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22" w:type="dxa"/>
        <w:tblLayout w:type="fixed"/>
        <w:tblLook w:val="0000" w:firstRow="0" w:lastRow="0" w:firstColumn="0" w:lastColumn="0" w:noHBand="0" w:noVBand="0"/>
        <w:tblCaption w:val="Cover page header for AASB amending Standard"/>
        <w:tblDescription w:val="Identification that the pronouncement is an AASB Standard, the Standard number, and the month of issue of the AASB amending Standard"/>
      </w:tblPr>
      <w:tblGrid>
        <w:gridCol w:w="4661"/>
        <w:gridCol w:w="4661"/>
      </w:tblGrid>
      <w:tr w:rsidR="00090A6F" w:rsidRPr="00BE0C02" w14:paraId="448CCC7D" w14:textId="77777777" w:rsidTr="00A22E0D">
        <w:tc>
          <w:tcPr>
            <w:tcW w:w="4661" w:type="dxa"/>
          </w:tcPr>
          <w:p w14:paraId="799ACB9D" w14:textId="721046A5" w:rsidR="00672FD6" w:rsidRPr="00BE0C02" w:rsidRDefault="00291416" w:rsidP="008D3DD9">
            <w:pPr>
              <w:jc w:val="left"/>
              <w:rPr>
                <w:b/>
                <w:sz w:val="32"/>
                <w:szCs w:val="32"/>
              </w:rPr>
            </w:pPr>
            <w:bookmarkStart w:id="0" w:name="_GoBack"/>
            <w:bookmarkEnd w:id="0"/>
            <w:r w:rsidRPr="00BE0C02">
              <w:rPr>
                <w:b/>
                <w:sz w:val="32"/>
                <w:szCs w:val="32"/>
              </w:rPr>
              <w:t>AASB </w:t>
            </w:r>
            <w:r w:rsidR="005F7801" w:rsidRPr="00BE0C02">
              <w:rPr>
                <w:b/>
                <w:sz w:val="32"/>
                <w:szCs w:val="32"/>
              </w:rPr>
              <w:t>Standard</w:t>
            </w:r>
          </w:p>
        </w:tc>
        <w:tc>
          <w:tcPr>
            <w:tcW w:w="4661" w:type="dxa"/>
          </w:tcPr>
          <w:p w14:paraId="42824DE1" w14:textId="726F901C" w:rsidR="00090A6F" w:rsidRPr="00BE0C02" w:rsidRDefault="002A07B4">
            <w:pPr>
              <w:pStyle w:val="CoverNumber"/>
            </w:pPr>
            <w:r>
              <w:t>AASB 2020-2</w:t>
            </w:r>
          </w:p>
          <w:p w14:paraId="1BF296B8" w14:textId="3CF88080" w:rsidR="00090A6F" w:rsidRPr="00BE0C02" w:rsidRDefault="000240F9" w:rsidP="00884EE9">
            <w:pPr>
              <w:pStyle w:val="CoverDate"/>
            </w:pPr>
            <w:r>
              <w:t>March</w:t>
            </w:r>
            <w:r w:rsidR="005F7801" w:rsidRPr="00BE0C02">
              <w:t xml:space="preserve"> </w:t>
            </w:r>
            <w:r w:rsidR="00835536" w:rsidRPr="00BE0C02">
              <w:t>2020</w:t>
            </w:r>
          </w:p>
        </w:tc>
      </w:tr>
    </w:tbl>
    <w:p w14:paraId="3561474E" w14:textId="781CAADA" w:rsidR="00090A6F" w:rsidRPr="00BE0C02" w:rsidRDefault="00123D86" w:rsidP="000672D4">
      <w:pPr>
        <w:pStyle w:val="CoverTitle"/>
        <w:jc w:val="left"/>
        <w:outlineLvl w:val="0"/>
      </w:pPr>
      <w:r>
        <w:t xml:space="preserve">Amendments to Australian Accounting Standards – </w:t>
      </w:r>
      <w:r w:rsidR="00FF281E" w:rsidRPr="00BE0C02">
        <w:t xml:space="preserve">Removal of Special Purpose Financial Statements for </w:t>
      </w:r>
      <w:r w:rsidR="008A69FD" w:rsidRPr="00BE0C02">
        <w:t xml:space="preserve">Certain </w:t>
      </w:r>
      <w:r w:rsidR="00FF281E" w:rsidRPr="00BE0C02">
        <w:t xml:space="preserve">For-Profit </w:t>
      </w:r>
      <w:r w:rsidR="008A69FD" w:rsidRPr="00BE0C02">
        <w:t xml:space="preserve">Private Sector </w:t>
      </w:r>
      <w:r w:rsidR="00FF281E" w:rsidRPr="00BE0C02">
        <w:t>Entities</w:t>
      </w:r>
      <w:r w:rsidR="008B643A" w:rsidRPr="00BE0C02">
        <w:rPr>
          <w:noProof/>
          <w:lang w:eastAsia="en-AU"/>
        </w:rPr>
        <w:drawing>
          <wp:anchor distT="0" distB="0" distL="114300" distR="114300" simplePos="0" relativeHeight="251656192" behindDoc="0" locked="1" layoutInCell="1" allowOverlap="1" wp14:anchorId="23C77406" wp14:editId="2BD108A6">
            <wp:simplePos x="0" y="0"/>
            <wp:positionH relativeFrom="margin">
              <wp:posOffset>0</wp:posOffset>
            </wp:positionH>
            <wp:positionV relativeFrom="margin">
              <wp:align>bottom</wp:align>
            </wp:positionV>
            <wp:extent cx="1677600" cy="1332000"/>
            <wp:effectExtent l="0" t="0" r="0" b="190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875402" w14:textId="77777777" w:rsidR="00A40BA8" w:rsidRPr="00BE0C02" w:rsidRDefault="00A40BA8" w:rsidP="00A40BA8"/>
    <w:p w14:paraId="39AA29EF" w14:textId="77777777" w:rsidR="0041794F" w:rsidRPr="00BE0C02" w:rsidRDefault="0041794F" w:rsidP="00A40BA8">
      <w:pPr>
        <w:sectPr w:rsidR="0041794F" w:rsidRPr="00BE0C02" w:rsidSect="00DE3C1B">
          <w:headerReference w:type="even" r:id="rId12"/>
          <w:headerReference w:type="default" r:id="rId13"/>
          <w:headerReference w:type="first" r:id="rId14"/>
          <w:type w:val="continuous"/>
          <w:pgSz w:w="11907" w:h="16840" w:code="9"/>
          <w:pgMar w:top="1418" w:right="1418" w:bottom="1418" w:left="1418" w:header="709" w:footer="709" w:gutter="0"/>
          <w:paperSrc w:first="7" w:other="7"/>
          <w:cols w:space="720"/>
          <w:docGrid w:linePitch="65"/>
        </w:sectPr>
      </w:pPr>
    </w:p>
    <w:p w14:paraId="492069B8" w14:textId="76D5B021" w:rsidR="006C154B" w:rsidRPr="00BE0C02" w:rsidRDefault="00FF1CB7" w:rsidP="00766E15">
      <w:pPr>
        <w:pStyle w:val="ConvSectionTitle"/>
      </w:pPr>
      <w:bookmarkStart w:id="1" w:name="CopyrightText"/>
      <w:r w:rsidRPr="00BE0C02">
        <w:lastRenderedPageBreak/>
        <w:t>Obtaining a copy of this Standard</w:t>
      </w:r>
    </w:p>
    <w:p w14:paraId="7B84A529" w14:textId="53F91E07" w:rsidR="006C154B" w:rsidRPr="00BE0C02" w:rsidRDefault="00FF1CB7" w:rsidP="00FF1CB7">
      <w:pPr>
        <w:pStyle w:val="Default"/>
        <w:spacing w:after="200"/>
        <w:rPr>
          <w:sz w:val="19"/>
          <w:szCs w:val="19"/>
        </w:rPr>
      </w:pPr>
      <w:r w:rsidRPr="00BE0C02">
        <w:rPr>
          <w:sz w:val="19"/>
          <w:szCs w:val="19"/>
        </w:rPr>
        <w:t>This Standard is available on the AASB website: www.aasb.gov.au.</w:t>
      </w:r>
    </w:p>
    <w:p w14:paraId="3973EF66" w14:textId="55890C9E" w:rsidR="00FF1CB7" w:rsidRPr="00BE0C02" w:rsidRDefault="00FF1CB7" w:rsidP="00FF1CB7">
      <w:pPr>
        <w:pStyle w:val="Default"/>
        <w:spacing w:after="200"/>
        <w:rPr>
          <w:sz w:val="19"/>
          <w:szCs w:val="19"/>
        </w:rPr>
      </w:pPr>
      <w:r w:rsidRPr="00BE0C02">
        <w:rPr>
          <w:sz w:val="19"/>
          <w:szCs w:val="19"/>
        </w:rPr>
        <w:t>Australian Accounting Standards Board</w:t>
      </w:r>
      <w:r w:rsidRPr="00BE0C02">
        <w:rPr>
          <w:sz w:val="19"/>
          <w:szCs w:val="19"/>
        </w:rPr>
        <w:br/>
        <w:t>PO Box 204</w:t>
      </w:r>
      <w:r w:rsidRPr="00BE0C02">
        <w:rPr>
          <w:sz w:val="19"/>
          <w:szCs w:val="19"/>
        </w:rPr>
        <w:br/>
        <w:t>Collins Street West</w:t>
      </w:r>
      <w:r w:rsidRPr="00BE0C02">
        <w:rPr>
          <w:sz w:val="19"/>
          <w:szCs w:val="19"/>
        </w:rPr>
        <w:br/>
        <w:t>Victoria 8007</w:t>
      </w:r>
      <w:r w:rsidRPr="00BE0C02">
        <w:rPr>
          <w:sz w:val="19"/>
          <w:szCs w:val="19"/>
        </w:rPr>
        <w:br/>
        <w:t>AUSTRALIA</w:t>
      </w:r>
    </w:p>
    <w:p w14:paraId="5C3DE487" w14:textId="3B3946E2" w:rsidR="00FF1CB7" w:rsidRPr="00BE0C02" w:rsidRDefault="00FF1CB7" w:rsidP="00FF1CB7">
      <w:pPr>
        <w:pStyle w:val="Default"/>
        <w:rPr>
          <w:sz w:val="19"/>
          <w:szCs w:val="19"/>
        </w:rPr>
      </w:pPr>
      <w:r w:rsidRPr="00BE0C02">
        <w:rPr>
          <w:sz w:val="19"/>
          <w:szCs w:val="19"/>
        </w:rPr>
        <w:t>Phone:</w:t>
      </w:r>
      <w:r w:rsidRPr="00BE0C02">
        <w:rPr>
          <w:sz w:val="19"/>
          <w:szCs w:val="19"/>
        </w:rPr>
        <w:tab/>
        <w:t>(03) 9617 7600</w:t>
      </w:r>
      <w:r w:rsidRPr="00BE0C02">
        <w:rPr>
          <w:sz w:val="19"/>
          <w:szCs w:val="19"/>
        </w:rPr>
        <w:br/>
        <w:t>E-mail:</w:t>
      </w:r>
      <w:r w:rsidRPr="00BE0C02">
        <w:rPr>
          <w:sz w:val="19"/>
          <w:szCs w:val="19"/>
        </w:rPr>
        <w:tab/>
        <w:t>standard@aasb.gov.au</w:t>
      </w:r>
      <w:r w:rsidRPr="00BE0C02">
        <w:rPr>
          <w:rStyle w:val="Hyperlink"/>
          <w:sz w:val="19"/>
          <w:szCs w:val="19"/>
        </w:rPr>
        <w:br/>
      </w:r>
      <w:r w:rsidRPr="00BE0C02">
        <w:rPr>
          <w:sz w:val="19"/>
          <w:szCs w:val="19"/>
        </w:rPr>
        <w:t>Website:</w:t>
      </w:r>
      <w:r w:rsidRPr="00BE0C02">
        <w:rPr>
          <w:sz w:val="19"/>
          <w:szCs w:val="19"/>
        </w:rPr>
        <w:tab/>
        <w:t>www.aasb.gov.au</w:t>
      </w:r>
    </w:p>
    <w:p w14:paraId="7259007A" w14:textId="316501C3" w:rsidR="00687ABD" w:rsidRPr="00BE0C02" w:rsidRDefault="00687ABD" w:rsidP="00766E15">
      <w:pPr>
        <w:pStyle w:val="Heading1"/>
      </w:pPr>
      <w:r w:rsidRPr="00BE0C02">
        <w:t xml:space="preserve">Other </w:t>
      </w:r>
      <w:r w:rsidR="00FF1CB7" w:rsidRPr="00BE0C02">
        <w:t>Enquiries</w:t>
      </w:r>
    </w:p>
    <w:p w14:paraId="2D44BE49" w14:textId="6448D629" w:rsidR="00FF1CB7" w:rsidRPr="00BE0C02" w:rsidRDefault="00FF1CB7" w:rsidP="00FF1CB7">
      <w:pPr>
        <w:jc w:val="left"/>
      </w:pPr>
      <w:r w:rsidRPr="00BE0C02">
        <w:rPr>
          <w:szCs w:val="19"/>
        </w:rPr>
        <w:t>Phone:</w:t>
      </w:r>
      <w:r w:rsidRPr="00BE0C02">
        <w:rPr>
          <w:szCs w:val="19"/>
        </w:rPr>
        <w:tab/>
        <w:t>(03) 9617 7600</w:t>
      </w:r>
      <w:r w:rsidRPr="00BE0C02">
        <w:rPr>
          <w:szCs w:val="19"/>
        </w:rPr>
        <w:br/>
        <w:t>E-mail:</w:t>
      </w:r>
      <w:r w:rsidRPr="00BE0C02">
        <w:rPr>
          <w:szCs w:val="19"/>
        </w:rPr>
        <w:tab/>
        <w:t>standard@aasb.gov.au</w:t>
      </w:r>
    </w:p>
    <w:bookmarkEnd w:id="1"/>
    <w:p w14:paraId="391A3C19" w14:textId="77777777" w:rsidR="006C154B" w:rsidRPr="00BE0C02" w:rsidRDefault="006C154B" w:rsidP="009C64D5">
      <w:pPr>
        <w:pStyle w:val="Default"/>
        <w:spacing w:before="6960"/>
        <w:rPr>
          <w:sz w:val="19"/>
          <w:szCs w:val="19"/>
        </w:rPr>
      </w:pPr>
      <w:r w:rsidRPr="00BE0C02">
        <w:rPr>
          <w:sz w:val="19"/>
          <w:szCs w:val="19"/>
        </w:rPr>
        <w:t xml:space="preserve">COPYRIGHT </w:t>
      </w:r>
    </w:p>
    <w:p w14:paraId="3E805C74" w14:textId="77777777" w:rsidR="00E8407B" w:rsidRPr="00BE0C02" w:rsidRDefault="00E8407B" w:rsidP="00E8407B">
      <w:pPr>
        <w:pStyle w:val="Default"/>
        <w:jc w:val="both"/>
        <w:rPr>
          <w:sz w:val="19"/>
          <w:szCs w:val="19"/>
        </w:rPr>
      </w:pPr>
    </w:p>
    <w:p w14:paraId="5D67B205" w14:textId="4E7EE740" w:rsidR="006C154B" w:rsidRPr="00BE0C02" w:rsidRDefault="00493727" w:rsidP="00E8407B">
      <w:pPr>
        <w:pStyle w:val="Default"/>
        <w:jc w:val="both"/>
        <w:rPr>
          <w:sz w:val="20"/>
          <w:szCs w:val="20"/>
        </w:rPr>
      </w:pPr>
      <w:r w:rsidRPr="00BE0C02">
        <w:rPr>
          <w:sz w:val="20"/>
          <w:szCs w:val="20"/>
        </w:rPr>
        <w:t xml:space="preserve">© Commonwealth of Australia </w:t>
      </w:r>
      <w:r w:rsidR="00FF1CB7" w:rsidRPr="00BE0C02">
        <w:rPr>
          <w:sz w:val="20"/>
          <w:szCs w:val="20"/>
        </w:rPr>
        <w:t>2020</w:t>
      </w:r>
    </w:p>
    <w:p w14:paraId="6E254886" w14:textId="77777777" w:rsidR="00687ABD" w:rsidRPr="00BE0C02" w:rsidRDefault="00687ABD" w:rsidP="00E8407B">
      <w:pPr>
        <w:pStyle w:val="Default"/>
        <w:jc w:val="both"/>
        <w:rPr>
          <w:sz w:val="19"/>
          <w:szCs w:val="19"/>
        </w:rPr>
      </w:pPr>
    </w:p>
    <w:p w14:paraId="275C2D4C" w14:textId="03865AB6" w:rsidR="00687ABD" w:rsidRPr="00BE0C02" w:rsidRDefault="006C154B" w:rsidP="00E8407B">
      <w:pPr>
        <w:pStyle w:val="Default"/>
        <w:jc w:val="both"/>
        <w:rPr>
          <w:sz w:val="19"/>
          <w:szCs w:val="19"/>
        </w:rPr>
      </w:pPr>
      <w:r w:rsidRPr="00BE0C02">
        <w:rPr>
          <w:sz w:val="19"/>
          <w:szCs w:val="19"/>
        </w:rPr>
        <w:t xml:space="preserve">This work is copyright. </w:t>
      </w:r>
      <w:r w:rsidR="00687ABD" w:rsidRPr="00BE0C02">
        <w:rPr>
          <w:sz w:val="19"/>
          <w:szCs w:val="19"/>
        </w:rPr>
        <w:t xml:space="preserve">Apart from any use as permitted under the </w:t>
      </w:r>
      <w:r w:rsidR="00687ABD" w:rsidRPr="00BE0C02">
        <w:rPr>
          <w:i/>
          <w:sz w:val="19"/>
          <w:szCs w:val="19"/>
        </w:rPr>
        <w:t>Copyright Act 1968</w:t>
      </w:r>
      <w:r w:rsidR="00687ABD" w:rsidRPr="00BE0C02">
        <w:rPr>
          <w:sz w:val="19"/>
          <w:szCs w:val="19"/>
        </w:rPr>
        <w:t>, no part may be reproduced by any process without prior written permission. Requests and enquiries concerning reproduction and rights should be addressed to The National Director, Australian Accounting Standards Board, PO Box 204, Collins Street West, Victoria</w:t>
      </w:r>
      <w:r w:rsidR="009C64D5" w:rsidRPr="00BE0C02">
        <w:rPr>
          <w:sz w:val="19"/>
          <w:szCs w:val="19"/>
        </w:rPr>
        <w:t> </w:t>
      </w:r>
      <w:r w:rsidR="00687ABD" w:rsidRPr="00BE0C02">
        <w:rPr>
          <w:sz w:val="19"/>
          <w:szCs w:val="19"/>
        </w:rPr>
        <w:t xml:space="preserve">8007. </w:t>
      </w:r>
    </w:p>
    <w:p w14:paraId="164296C0" w14:textId="77777777" w:rsidR="00687ABD" w:rsidRPr="00BE0C02" w:rsidRDefault="00687ABD" w:rsidP="00687ABD">
      <w:pPr>
        <w:pStyle w:val="Default"/>
        <w:rPr>
          <w:sz w:val="19"/>
          <w:szCs w:val="19"/>
        </w:rPr>
      </w:pPr>
    </w:p>
    <w:p w14:paraId="139E0AEF" w14:textId="1D5CC2B9" w:rsidR="00E51696" w:rsidRPr="00BE0C02" w:rsidRDefault="006C154B" w:rsidP="0041794F">
      <w:pPr>
        <w:pStyle w:val="Default"/>
        <w:rPr>
          <w:sz w:val="19"/>
          <w:szCs w:val="19"/>
        </w:rPr>
      </w:pPr>
      <w:r w:rsidRPr="00BE0C02">
        <w:rPr>
          <w:sz w:val="19"/>
          <w:szCs w:val="19"/>
        </w:rPr>
        <w:t xml:space="preserve">ISSN </w:t>
      </w:r>
      <w:r w:rsidR="00FF1CB7" w:rsidRPr="00BE0C02">
        <w:rPr>
          <w:sz w:val="19"/>
          <w:szCs w:val="19"/>
        </w:rPr>
        <w:t>1036-4803</w:t>
      </w:r>
    </w:p>
    <w:p w14:paraId="31163BBB" w14:textId="77777777" w:rsidR="00E51696" w:rsidRPr="00BE0C02" w:rsidRDefault="00E51696" w:rsidP="0041794F">
      <w:pPr>
        <w:pStyle w:val="Default"/>
        <w:rPr>
          <w:sz w:val="19"/>
          <w:szCs w:val="19"/>
        </w:rPr>
        <w:sectPr w:rsidR="00E51696" w:rsidRPr="00BE0C02" w:rsidSect="0041794F">
          <w:headerReference w:type="even" r:id="rId15"/>
          <w:footerReference w:type="default" r:id="rId16"/>
          <w:headerReference w:type="first" r:id="rId17"/>
          <w:pgSz w:w="11907" w:h="16840" w:code="9"/>
          <w:pgMar w:top="1418" w:right="1418" w:bottom="1418" w:left="1418" w:header="709" w:footer="709" w:gutter="0"/>
          <w:paperSrc w:first="7" w:other="7"/>
          <w:cols w:space="720"/>
          <w:docGrid w:linePitch="65"/>
        </w:sectPr>
      </w:pPr>
    </w:p>
    <w:p w14:paraId="657DB05B" w14:textId="77777777" w:rsidR="00090A6F" w:rsidRPr="00BE0C02" w:rsidRDefault="005655CE" w:rsidP="00011EC4">
      <w:pPr>
        <w:pStyle w:val="ConvSectionTitle"/>
      </w:pPr>
      <w:r w:rsidRPr="00BE0C02">
        <w:lastRenderedPageBreak/>
        <w:t>Contents</w:t>
      </w:r>
    </w:p>
    <w:p w14:paraId="21E373CB" w14:textId="77777777" w:rsidR="00090A6F" w:rsidRPr="00BE0C02" w:rsidRDefault="00091F8B" w:rsidP="00012BBC">
      <w:pPr>
        <w:pStyle w:val="ContentsCapsPlain"/>
        <w:spacing w:before="400"/>
      </w:pPr>
      <w:r w:rsidRPr="00BE0C02">
        <w:t>PREFACE</w:t>
      </w:r>
    </w:p>
    <w:p w14:paraId="2DDDF954" w14:textId="69F015DF" w:rsidR="003730F5" w:rsidRPr="00BE0C02" w:rsidRDefault="003730F5" w:rsidP="003730F5">
      <w:pPr>
        <w:pStyle w:val="ContentsCapsBold"/>
        <w:rPr>
          <w:iCs/>
        </w:rPr>
      </w:pPr>
      <w:r w:rsidRPr="00BE0C02">
        <w:rPr>
          <w:iCs/>
        </w:rPr>
        <w:t>ACCOUNTING STANDARD</w:t>
      </w:r>
    </w:p>
    <w:p w14:paraId="37B2E967" w14:textId="408EF741" w:rsidR="00090A6F" w:rsidRPr="00BE0C02" w:rsidRDefault="002A07B4" w:rsidP="003730F5">
      <w:pPr>
        <w:pStyle w:val="ContentsCapsBold"/>
        <w:rPr>
          <w:i/>
          <w:iCs/>
        </w:rPr>
      </w:pPr>
      <w:r>
        <w:rPr>
          <w:iCs/>
        </w:rPr>
        <w:t>AASB 2020-2</w:t>
      </w:r>
      <w:r w:rsidR="00B766A3" w:rsidRPr="00BE0C02">
        <w:rPr>
          <w:iCs/>
        </w:rPr>
        <w:t xml:space="preserve"> </w:t>
      </w:r>
      <w:r w:rsidR="004A0184">
        <w:rPr>
          <w:i/>
        </w:rPr>
        <w:t xml:space="preserve">AMENDMENTS TO AUSTRALIAN ACCOUNTING STANDARDS – </w:t>
      </w:r>
      <w:r w:rsidR="00612747" w:rsidRPr="00BE0C02">
        <w:rPr>
          <w:i/>
          <w:iCs/>
        </w:rPr>
        <w:t xml:space="preserve">REMOVAL OF SPECIAL PURPOSE FINANCIAL STATEMENTS FOR </w:t>
      </w:r>
      <w:r w:rsidR="00590245" w:rsidRPr="00BE0C02">
        <w:rPr>
          <w:i/>
          <w:iCs/>
        </w:rPr>
        <w:t xml:space="preserve">CERTAIN </w:t>
      </w:r>
      <w:r w:rsidR="00612747" w:rsidRPr="00BE0C02">
        <w:rPr>
          <w:i/>
          <w:iCs/>
        </w:rPr>
        <w:t xml:space="preserve">FOR-PROFIT </w:t>
      </w:r>
      <w:r w:rsidR="00590245" w:rsidRPr="00BE0C02">
        <w:rPr>
          <w:i/>
          <w:iCs/>
        </w:rPr>
        <w:t xml:space="preserve">PRIVATE SECTOR </w:t>
      </w:r>
      <w:r w:rsidR="00612747" w:rsidRPr="00BE0C02">
        <w:rPr>
          <w:i/>
          <w:iCs/>
        </w:rPr>
        <w:t>ENTITIES</w:t>
      </w:r>
    </w:p>
    <w:p w14:paraId="65B0DEBF" w14:textId="77777777" w:rsidR="002B7803" w:rsidRPr="00BE0C02" w:rsidRDefault="002B7803" w:rsidP="002B7803"/>
    <w:p w14:paraId="4D5E266B" w14:textId="77777777" w:rsidR="00090A6F" w:rsidRPr="00BE0C02" w:rsidRDefault="00902715">
      <w:pPr>
        <w:pStyle w:val="ContentsParaHead"/>
      </w:pPr>
      <w:r w:rsidRPr="00BE0C02">
        <w:t>from page</w:t>
      </w:r>
    </w:p>
    <w:p w14:paraId="2FF4B954" w14:textId="15527A7B" w:rsidR="00090A6F" w:rsidRPr="00BE0C02" w:rsidRDefault="00FD559E" w:rsidP="00D03E51">
      <w:pPr>
        <w:pStyle w:val="ContentsLevel1"/>
        <w:ind w:right="-1"/>
        <w:rPr>
          <w:b/>
        </w:rPr>
      </w:pPr>
      <w:bookmarkStart w:id="2" w:name="TOCRange"/>
      <w:r w:rsidRPr="00BE0C02">
        <w:rPr>
          <w:b/>
        </w:rPr>
        <w:t>OBJECTIVE</w:t>
      </w:r>
      <w:r w:rsidRPr="00BE0C02">
        <w:rPr>
          <w:b/>
        </w:rPr>
        <w:tab/>
      </w:r>
      <w:r w:rsidR="000528F0" w:rsidRPr="00BE0C02">
        <w:rPr>
          <w:b/>
        </w:rPr>
        <w:t>5</w:t>
      </w:r>
    </w:p>
    <w:p w14:paraId="5A7698EA" w14:textId="3E9ADF8A" w:rsidR="00090A6F" w:rsidRPr="00BE0C02" w:rsidRDefault="00FD559E" w:rsidP="00D03E51">
      <w:pPr>
        <w:pStyle w:val="ContentsLevel1"/>
        <w:ind w:right="-1"/>
        <w:rPr>
          <w:b/>
        </w:rPr>
      </w:pPr>
      <w:r w:rsidRPr="00BE0C02">
        <w:rPr>
          <w:b/>
        </w:rPr>
        <w:t>APPLICATION</w:t>
      </w:r>
      <w:r w:rsidRPr="00BE0C02">
        <w:rPr>
          <w:b/>
        </w:rPr>
        <w:tab/>
      </w:r>
      <w:r w:rsidR="000528F0" w:rsidRPr="00BE0C02">
        <w:rPr>
          <w:b/>
        </w:rPr>
        <w:t>5</w:t>
      </w:r>
    </w:p>
    <w:p w14:paraId="12D53B34" w14:textId="4CFD02C7" w:rsidR="00F93472" w:rsidRPr="00BE0C02" w:rsidRDefault="00FD559E" w:rsidP="00D03E51">
      <w:pPr>
        <w:pStyle w:val="ContentsLevel1"/>
        <w:ind w:right="-1"/>
        <w:rPr>
          <w:b/>
        </w:rPr>
      </w:pPr>
      <w:r w:rsidRPr="00BE0C02">
        <w:rPr>
          <w:b/>
        </w:rPr>
        <w:t xml:space="preserve">AMENDMENTS TO THE </w:t>
      </w:r>
      <w:r w:rsidRPr="00BE0C02">
        <w:rPr>
          <w:b/>
          <w:i/>
        </w:rPr>
        <w:t>CONCEPTUAL FRAMEWORK FOR FINANCIAL REPORTING</w:t>
      </w:r>
      <w:r w:rsidR="00D03E51" w:rsidRPr="00BE0C02">
        <w:rPr>
          <w:b/>
        </w:rPr>
        <w:tab/>
      </w:r>
      <w:r w:rsidR="000D6E62" w:rsidRPr="00BE0C02">
        <w:rPr>
          <w:b/>
        </w:rPr>
        <w:t>6</w:t>
      </w:r>
    </w:p>
    <w:p w14:paraId="194CE67A" w14:textId="0CCD3A69" w:rsidR="009B6BBD" w:rsidRPr="00BE0C02" w:rsidRDefault="00FD559E" w:rsidP="00D03E51">
      <w:pPr>
        <w:pStyle w:val="ContentsLevel1"/>
        <w:ind w:right="-1"/>
        <w:rPr>
          <w:b/>
        </w:rPr>
      </w:pPr>
      <w:r w:rsidRPr="00BE0C02">
        <w:rPr>
          <w:b/>
        </w:rPr>
        <w:t xml:space="preserve">AMENDMENTS TO THE </w:t>
      </w:r>
      <w:r w:rsidRPr="00BE0C02">
        <w:rPr>
          <w:b/>
          <w:i/>
        </w:rPr>
        <w:t xml:space="preserve">FRAMEWORK FOR THE PREPARATION AND PRESENTATION </w:t>
      </w:r>
      <w:r w:rsidR="00D03E51" w:rsidRPr="00BE0C02">
        <w:rPr>
          <w:b/>
          <w:i/>
        </w:rPr>
        <w:br/>
      </w:r>
      <w:r w:rsidRPr="00BE0C02">
        <w:rPr>
          <w:b/>
          <w:i/>
        </w:rPr>
        <w:t>OF FINANCIAL STATEMENTS</w:t>
      </w:r>
      <w:r w:rsidRPr="00BE0C02">
        <w:rPr>
          <w:b/>
        </w:rPr>
        <w:tab/>
      </w:r>
      <w:r w:rsidR="000D6E62" w:rsidRPr="00BE0C02">
        <w:rPr>
          <w:b/>
        </w:rPr>
        <w:t>6</w:t>
      </w:r>
    </w:p>
    <w:p w14:paraId="36328CB8" w14:textId="062388B4" w:rsidR="00612747" w:rsidRPr="00BE0C02" w:rsidRDefault="00FD559E" w:rsidP="00D03E51">
      <w:pPr>
        <w:pStyle w:val="ContentsLevel1"/>
        <w:ind w:right="-1"/>
        <w:rPr>
          <w:b/>
        </w:rPr>
      </w:pPr>
      <w:r w:rsidRPr="00BE0C02">
        <w:rPr>
          <w:b/>
        </w:rPr>
        <w:t xml:space="preserve">AMENDMENTS TO STATEMENT </w:t>
      </w:r>
      <w:r w:rsidR="00E26497" w:rsidRPr="00BE0C02">
        <w:rPr>
          <w:b/>
        </w:rPr>
        <w:t>OF ACCOUNTING CONCEPTS SAC 1</w:t>
      </w:r>
      <w:r w:rsidR="00D03E51" w:rsidRPr="00BE0C02">
        <w:rPr>
          <w:b/>
        </w:rPr>
        <w:tab/>
      </w:r>
      <w:r w:rsidR="000D6E62" w:rsidRPr="00BE0C02">
        <w:rPr>
          <w:b/>
        </w:rPr>
        <w:t>7</w:t>
      </w:r>
    </w:p>
    <w:p w14:paraId="4C4D43BD" w14:textId="5F31540E" w:rsidR="00612747" w:rsidRPr="00BE0C02" w:rsidRDefault="00FD559E" w:rsidP="00D03E51">
      <w:pPr>
        <w:pStyle w:val="ContentsLevel1"/>
        <w:ind w:right="-1"/>
        <w:rPr>
          <w:b/>
        </w:rPr>
      </w:pPr>
      <w:r w:rsidRPr="00BE0C02">
        <w:rPr>
          <w:b/>
        </w:rPr>
        <w:t>AMENDMENTS TO AASB 1</w:t>
      </w:r>
      <w:r w:rsidRPr="00BE0C02">
        <w:rPr>
          <w:b/>
        </w:rPr>
        <w:tab/>
      </w:r>
      <w:r w:rsidR="000D6E62" w:rsidRPr="00BE0C02">
        <w:rPr>
          <w:b/>
        </w:rPr>
        <w:t>7</w:t>
      </w:r>
    </w:p>
    <w:p w14:paraId="4B2C7BC8" w14:textId="027284F1" w:rsidR="00612747" w:rsidRPr="00BE0C02" w:rsidRDefault="00FD559E" w:rsidP="00D03E51">
      <w:pPr>
        <w:pStyle w:val="ContentsLevel1"/>
        <w:ind w:right="-1"/>
        <w:rPr>
          <w:b/>
        </w:rPr>
      </w:pPr>
      <w:r w:rsidRPr="00BE0C02">
        <w:rPr>
          <w:b/>
        </w:rPr>
        <w:t>AMENDMENTS TO AASB 10</w:t>
      </w:r>
      <w:r w:rsidRPr="00BE0C02">
        <w:rPr>
          <w:b/>
        </w:rPr>
        <w:tab/>
      </w:r>
      <w:r w:rsidR="000D6E62" w:rsidRPr="00BE0C02">
        <w:rPr>
          <w:b/>
        </w:rPr>
        <w:t>7</w:t>
      </w:r>
    </w:p>
    <w:p w14:paraId="3E182D0C" w14:textId="422A603E" w:rsidR="003343E3" w:rsidRPr="00BE0C02" w:rsidRDefault="003343E3" w:rsidP="003343E3">
      <w:pPr>
        <w:pStyle w:val="ContentsLevel1"/>
        <w:ind w:right="-1"/>
        <w:rPr>
          <w:b/>
        </w:rPr>
      </w:pPr>
      <w:r w:rsidRPr="00BE0C02">
        <w:rPr>
          <w:b/>
        </w:rPr>
        <w:t>AMENDMENTS TO AASB 1048</w:t>
      </w:r>
      <w:r w:rsidRPr="00BE0C02">
        <w:rPr>
          <w:b/>
        </w:rPr>
        <w:tab/>
      </w:r>
      <w:r w:rsidR="000D6E62" w:rsidRPr="00BE0C02">
        <w:rPr>
          <w:b/>
        </w:rPr>
        <w:t>8</w:t>
      </w:r>
    </w:p>
    <w:p w14:paraId="0495847F" w14:textId="197D801F" w:rsidR="00612747" w:rsidRPr="00BE0C02" w:rsidRDefault="00D03E51" w:rsidP="00D03E51">
      <w:pPr>
        <w:pStyle w:val="ContentsLevel1"/>
        <w:ind w:right="-1"/>
        <w:rPr>
          <w:b/>
        </w:rPr>
      </w:pPr>
      <w:r w:rsidRPr="00BE0C02">
        <w:rPr>
          <w:b/>
        </w:rPr>
        <w:t>AMENDMENTS TO AASB 1053</w:t>
      </w:r>
      <w:r w:rsidR="00FD559E" w:rsidRPr="00BE0C02">
        <w:rPr>
          <w:b/>
        </w:rPr>
        <w:tab/>
      </w:r>
      <w:r w:rsidR="000D6E62" w:rsidRPr="00BE0C02">
        <w:rPr>
          <w:b/>
        </w:rPr>
        <w:t>8</w:t>
      </w:r>
    </w:p>
    <w:p w14:paraId="7708B1A2" w14:textId="30168ABF" w:rsidR="00612747" w:rsidRPr="00BE0C02" w:rsidRDefault="00FD559E" w:rsidP="00D03E51">
      <w:pPr>
        <w:pStyle w:val="ContentsLevel1"/>
        <w:ind w:right="-1"/>
        <w:rPr>
          <w:b/>
        </w:rPr>
      </w:pPr>
      <w:r w:rsidRPr="00BE0C02">
        <w:rPr>
          <w:b/>
        </w:rPr>
        <w:t>AMENDMENTS TO AASB 1057</w:t>
      </w:r>
      <w:r w:rsidRPr="00BE0C02">
        <w:rPr>
          <w:b/>
        </w:rPr>
        <w:tab/>
      </w:r>
      <w:r w:rsidR="000D6E62" w:rsidRPr="00BE0C02">
        <w:rPr>
          <w:b/>
        </w:rPr>
        <w:t>12</w:t>
      </w:r>
    </w:p>
    <w:p w14:paraId="23938838" w14:textId="5E266049" w:rsidR="00C52E37" w:rsidRPr="00BE0C02" w:rsidRDefault="00FD559E" w:rsidP="00D03E51">
      <w:pPr>
        <w:pStyle w:val="ContentsLevel1"/>
        <w:ind w:right="-1"/>
        <w:rPr>
          <w:b/>
        </w:rPr>
      </w:pPr>
      <w:r w:rsidRPr="00BE0C02">
        <w:rPr>
          <w:b/>
        </w:rPr>
        <w:t>COMMENCEMENT O</w:t>
      </w:r>
      <w:r w:rsidR="00E26497" w:rsidRPr="00BE0C02">
        <w:rPr>
          <w:b/>
        </w:rPr>
        <w:t xml:space="preserve">F THE LEGISLATIVE INSTRUMENT </w:t>
      </w:r>
      <w:r w:rsidR="00E26497" w:rsidRPr="00BE0C02">
        <w:rPr>
          <w:b/>
        </w:rPr>
        <w:tab/>
      </w:r>
      <w:r w:rsidR="00A81C81">
        <w:rPr>
          <w:b/>
        </w:rPr>
        <w:t>16</w:t>
      </w:r>
    </w:p>
    <w:p w14:paraId="6DDD8344" w14:textId="77777777" w:rsidR="00C52E37" w:rsidRPr="00BE0C02" w:rsidRDefault="00C52E37" w:rsidP="00D03E51">
      <w:pPr>
        <w:pStyle w:val="ContentsLevel1"/>
        <w:ind w:right="-1"/>
        <w:rPr>
          <w:b/>
        </w:rPr>
      </w:pPr>
    </w:p>
    <w:p w14:paraId="6601A703" w14:textId="314A58F2" w:rsidR="00C52E37" w:rsidRPr="00BE0C02" w:rsidRDefault="00FD559E" w:rsidP="00D03E51">
      <w:pPr>
        <w:pStyle w:val="ContentsLevel1"/>
        <w:ind w:right="-1"/>
        <w:rPr>
          <w:b/>
        </w:rPr>
      </w:pPr>
      <w:r w:rsidRPr="00BE0C02">
        <w:rPr>
          <w:b/>
        </w:rPr>
        <w:t>BASIS FOR CONCLUSIONS</w:t>
      </w:r>
    </w:p>
    <w:p w14:paraId="6870F9BA" w14:textId="77777777" w:rsidR="00C52E37" w:rsidRPr="00BE0C02" w:rsidRDefault="00C52E37" w:rsidP="00F93472">
      <w:pPr>
        <w:pStyle w:val="ContentsLevel1"/>
        <w:ind w:right="-1"/>
        <w:jc w:val="both"/>
      </w:pPr>
    </w:p>
    <w:bookmarkEnd w:id="2"/>
    <w:p w14:paraId="51293407" w14:textId="51AB8592" w:rsidR="00A84268" w:rsidRPr="00BE0C02" w:rsidRDefault="00A84268" w:rsidP="00902715">
      <w:pPr>
        <w:pStyle w:val="ContentsBox"/>
      </w:pPr>
      <w:r w:rsidRPr="00BE0C02">
        <w:t xml:space="preserve">Australian Accounting Standard </w:t>
      </w:r>
      <w:r w:rsidR="002A07B4">
        <w:t>AASB 2020-2</w:t>
      </w:r>
      <w:r w:rsidR="00173210" w:rsidRPr="00BE0C02">
        <w:t xml:space="preserve"> </w:t>
      </w:r>
      <w:r w:rsidR="004A0184">
        <w:rPr>
          <w:i/>
          <w:iCs/>
        </w:rPr>
        <w:t xml:space="preserve">Amendments to Australian Accounting Standards – </w:t>
      </w:r>
      <w:r w:rsidR="00612747" w:rsidRPr="00BE0C02">
        <w:rPr>
          <w:i/>
          <w:iCs/>
        </w:rPr>
        <w:t xml:space="preserve">Removal of Special Purpose Financial Statements for </w:t>
      </w:r>
      <w:r w:rsidR="00590245" w:rsidRPr="00BE0C02">
        <w:rPr>
          <w:i/>
          <w:iCs/>
        </w:rPr>
        <w:t xml:space="preserve">Certain </w:t>
      </w:r>
      <w:r w:rsidR="00612747" w:rsidRPr="00BE0C02">
        <w:rPr>
          <w:i/>
          <w:iCs/>
        </w:rPr>
        <w:t xml:space="preserve">For-Profit </w:t>
      </w:r>
      <w:r w:rsidR="00590245" w:rsidRPr="00BE0C02">
        <w:rPr>
          <w:i/>
          <w:iCs/>
        </w:rPr>
        <w:t xml:space="preserve">Private Sector </w:t>
      </w:r>
      <w:r w:rsidR="00612747" w:rsidRPr="00BE0C02">
        <w:rPr>
          <w:i/>
          <w:iCs/>
        </w:rPr>
        <w:t>Entities</w:t>
      </w:r>
      <w:r w:rsidR="00A85469" w:rsidRPr="00BE0C02">
        <w:rPr>
          <w:i/>
        </w:rPr>
        <w:t xml:space="preserve"> </w:t>
      </w:r>
      <w:r w:rsidR="00FD559E" w:rsidRPr="00BE0C02">
        <w:t xml:space="preserve">is set out </w:t>
      </w:r>
      <w:r w:rsidR="00902715" w:rsidRPr="00BE0C02">
        <w:t>o</w:t>
      </w:r>
      <w:r w:rsidR="00FD559E" w:rsidRPr="00BE0C02">
        <w:t>n pages</w:t>
      </w:r>
      <w:r w:rsidR="00A85469" w:rsidRPr="00BE0C02">
        <w:t xml:space="preserve"> </w:t>
      </w:r>
      <w:r w:rsidR="000D6E62" w:rsidRPr="00BE0C02">
        <w:t>5</w:t>
      </w:r>
      <w:r w:rsidRPr="00BE0C02">
        <w:t xml:space="preserve"> – </w:t>
      </w:r>
      <w:r w:rsidR="00123D86">
        <w:t>16</w:t>
      </w:r>
      <w:r w:rsidRPr="00BE0C02">
        <w:t>. All the paragraphs have equal authority.</w:t>
      </w:r>
    </w:p>
    <w:p w14:paraId="34BDDA1E" w14:textId="77777777" w:rsidR="0041794F" w:rsidRPr="00BE0C02" w:rsidRDefault="0041794F" w:rsidP="0041794F">
      <w:pPr>
        <w:pStyle w:val="ContentsBox"/>
        <w:pBdr>
          <w:top w:val="none" w:sz="0" w:space="0" w:color="auto"/>
          <w:left w:val="none" w:sz="0" w:space="0" w:color="auto"/>
          <w:bottom w:val="none" w:sz="0" w:space="0" w:color="auto"/>
          <w:right w:val="none" w:sz="0" w:space="0" w:color="auto"/>
        </w:pBdr>
      </w:pPr>
    </w:p>
    <w:p w14:paraId="7265881D" w14:textId="77777777" w:rsidR="0041794F" w:rsidRPr="00BE0C02" w:rsidRDefault="0041794F" w:rsidP="0041794F">
      <w:pPr>
        <w:pStyle w:val="ContentsBox"/>
        <w:pBdr>
          <w:top w:val="none" w:sz="0" w:space="0" w:color="auto"/>
          <w:left w:val="none" w:sz="0" w:space="0" w:color="auto"/>
          <w:bottom w:val="none" w:sz="0" w:space="0" w:color="auto"/>
          <w:right w:val="none" w:sz="0" w:space="0" w:color="auto"/>
        </w:pBdr>
        <w:sectPr w:rsidR="0041794F" w:rsidRPr="00BE0C02" w:rsidSect="0041794F">
          <w:headerReference w:type="even" r:id="rId18"/>
          <w:footerReference w:type="default" r:id="rId19"/>
          <w:headerReference w:type="first" r:id="rId20"/>
          <w:pgSz w:w="11907" w:h="16840" w:code="9"/>
          <w:pgMar w:top="1418" w:right="1418" w:bottom="1418" w:left="1418" w:header="709" w:footer="709" w:gutter="0"/>
          <w:paperSrc w:first="7" w:other="7"/>
          <w:cols w:space="720"/>
          <w:docGrid w:linePitch="65"/>
        </w:sectPr>
      </w:pPr>
    </w:p>
    <w:p w14:paraId="3C23AADC" w14:textId="77777777" w:rsidR="00090A6F" w:rsidRPr="00BE0C02" w:rsidRDefault="001B3593" w:rsidP="00011EC4">
      <w:pPr>
        <w:pStyle w:val="ConvSectionTitle"/>
        <w:rPr>
          <w:i/>
          <w:iCs/>
        </w:rPr>
      </w:pPr>
      <w:r w:rsidRPr="00BE0C02">
        <w:lastRenderedPageBreak/>
        <w:t>Preface</w:t>
      </w:r>
    </w:p>
    <w:p w14:paraId="3F5E8A2C" w14:textId="1CC2ABB4" w:rsidR="002750A1" w:rsidRPr="00BE0C02" w:rsidRDefault="00A85469" w:rsidP="000275FA">
      <w:pPr>
        <w:pStyle w:val="IASBSectionTitle1NonInd"/>
      </w:pPr>
      <w:bookmarkStart w:id="3" w:name="ArisingNo"/>
      <w:bookmarkEnd w:id="3"/>
      <w:r w:rsidRPr="00BE0C02">
        <w:t xml:space="preserve">Standards amended by </w:t>
      </w:r>
      <w:r w:rsidR="002A07B4">
        <w:t>AASB 2020-2</w:t>
      </w:r>
    </w:p>
    <w:p w14:paraId="28E78211" w14:textId="76505720" w:rsidR="00B54581" w:rsidRPr="00BE0C02" w:rsidRDefault="00B54581" w:rsidP="00B54581">
      <w:pPr>
        <w:pStyle w:val="NoNumPlain1"/>
      </w:pPr>
      <w:r w:rsidRPr="00BE0C02">
        <w:t>This Standard makes amendments to the Australian Accounting Standards and other pronouncements listed on page</w:t>
      </w:r>
      <w:r w:rsidR="00E17BA3" w:rsidRPr="00BE0C02">
        <w:t> 5</w:t>
      </w:r>
      <w:r w:rsidRPr="00BE0C02">
        <w:t xml:space="preserve"> of the Standard.</w:t>
      </w:r>
    </w:p>
    <w:p w14:paraId="547595F9" w14:textId="2AAC33A9" w:rsidR="00B54581" w:rsidRPr="00BE0C02" w:rsidRDefault="00B54581" w:rsidP="00B54581">
      <w:pPr>
        <w:pStyle w:val="NoNumPlain1"/>
      </w:pPr>
      <w:r w:rsidRPr="00BE0C02">
        <w:t xml:space="preserve">These amendments </w:t>
      </w:r>
      <w:r w:rsidR="00FE708F" w:rsidRPr="00BE0C02">
        <w:t xml:space="preserve">explicitly </w:t>
      </w:r>
      <w:r w:rsidR="00882663" w:rsidRPr="00BE0C02">
        <w:t>extend</w:t>
      </w:r>
      <w:r w:rsidRPr="00BE0C02">
        <w:t xml:space="preserve"> the </w:t>
      </w:r>
      <w:r w:rsidR="00882663" w:rsidRPr="00BE0C02">
        <w:t>application</w:t>
      </w:r>
      <w:r w:rsidRPr="00BE0C02">
        <w:t xml:space="preserve"> of the</w:t>
      </w:r>
      <w:r w:rsidRPr="00BE0C02">
        <w:rPr>
          <w:i/>
        </w:rPr>
        <w:t xml:space="preserve"> </w:t>
      </w:r>
      <w:r w:rsidR="00FE708F" w:rsidRPr="00BE0C02">
        <w:t xml:space="preserve">Standards and the </w:t>
      </w:r>
      <w:r w:rsidR="00054D84" w:rsidRPr="00BE0C02">
        <w:t xml:space="preserve">AASB </w:t>
      </w:r>
      <w:r w:rsidRPr="00BE0C02">
        <w:rPr>
          <w:i/>
        </w:rPr>
        <w:t>Conceptual Framework for</w:t>
      </w:r>
      <w:r w:rsidR="00E67037" w:rsidRPr="00BE0C02">
        <w:rPr>
          <w:i/>
        </w:rPr>
        <w:t xml:space="preserve"> </w:t>
      </w:r>
      <w:r w:rsidRPr="00BE0C02">
        <w:rPr>
          <w:i/>
        </w:rPr>
        <w:t>Financial Reporting</w:t>
      </w:r>
      <w:r w:rsidRPr="00BE0C02">
        <w:t xml:space="preserve"> </w:t>
      </w:r>
      <w:r w:rsidR="0041366D" w:rsidRPr="00BE0C02">
        <w:t xml:space="preserve">(May 2019) </w:t>
      </w:r>
      <w:r w:rsidR="00882663" w:rsidRPr="00BE0C02">
        <w:t>to additional for-profit private sector entities.</w:t>
      </w:r>
      <w:r w:rsidR="008511F5" w:rsidRPr="00BE0C02">
        <w:t xml:space="preserve"> </w:t>
      </w:r>
      <w:r w:rsidR="00DB6B4B" w:rsidRPr="00BE0C02">
        <w:t xml:space="preserve">The amendments </w:t>
      </w:r>
      <w:r w:rsidR="00882663" w:rsidRPr="00BE0C02">
        <w:t>build upon</w:t>
      </w:r>
      <w:r w:rsidRPr="00BE0C02">
        <w:t xml:space="preserve"> the </w:t>
      </w:r>
      <w:r w:rsidR="00882663" w:rsidRPr="00BE0C02">
        <w:t xml:space="preserve">consequential amendments to pronouncements previously made in </w:t>
      </w:r>
      <w:r w:rsidR="00AF5ACC" w:rsidRPr="00BE0C02">
        <w:t xml:space="preserve">Accounting </w:t>
      </w:r>
      <w:r w:rsidRPr="00BE0C02">
        <w:t xml:space="preserve">Standard </w:t>
      </w:r>
      <w:r w:rsidR="00882663" w:rsidRPr="00BE0C02">
        <w:t xml:space="preserve">AASB 2019-1 </w:t>
      </w:r>
      <w:r w:rsidRPr="00BE0C02">
        <w:rPr>
          <w:i/>
        </w:rPr>
        <w:t xml:space="preserve">Amendments to </w:t>
      </w:r>
      <w:r w:rsidR="00882663" w:rsidRPr="00BE0C02">
        <w:rPr>
          <w:i/>
          <w:szCs w:val="19"/>
        </w:rPr>
        <w:t xml:space="preserve">Australian Accounting Standards – </w:t>
      </w:r>
      <w:r w:rsidRPr="00BE0C02">
        <w:rPr>
          <w:i/>
        </w:rPr>
        <w:t>References to the Conceptual Framework</w:t>
      </w:r>
      <w:r w:rsidR="00E17BA3" w:rsidRPr="00BE0C02">
        <w:rPr>
          <w:iCs/>
        </w:rPr>
        <w:t xml:space="preserve"> (May 2019)</w:t>
      </w:r>
      <w:r w:rsidRPr="00BE0C02">
        <w:t>.</w:t>
      </w:r>
    </w:p>
    <w:p w14:paraId="3E075C74" w14:textId="032B615D" w:rsidR="00DD0736" w:rsidRPr="00BE0C02" w:rsidRDefault="00DD0736" w:rsidP="003C38F1">
      <w:pPr>
        <w:pStyle w:val="IASBSectionTitle1NonInd"/>
        <w:spacing w:before="240"/>
      </w:pPr>
      <w:r w:rsidRPr="00BE0C02">
        <w:t xml:space="preserve">Main features </w:t>
      </w:r>
      <w:r w:rsidR="00A85469" w:rsidRPr="00BE0C02">
        <w:t xml:space="preserve">of </w:t>
      </w:r>
      <w:r w:rsidR="00F93472" w:rsidRPr="00BE0C02">
        <w:t>this Standard</w:t>
      </w:r>
    </w:p>
    <w:p w14:paraId="3B72B6AB" w14:textId="77777777" w:rsidR="00DD0736" w:rsidRPr="00BE0C02" w:rsidRDefault="00DD0736" w:rsidP="0041366D">
      <w:pPr>
        <w:pStyle w:val="IASBSectionTitle2Ind"/>
        <w:ind w:left="510"/>
      </w:pPr>
      <w:r w:rsidRPr="00BE0C02">
        <w:t>Main requirements</w:t>
      </w:r>
    </w:p>
    <w:p w14:paraId="3AD68082" w14:textId="2FD60DEF" w:rsidR="00CB489C" w:rsidRPr="00BE0C02" w:rsidRDefault="00CB489C" w:rsidP="00CB489C">
      <w:pPr>
        <w:pStyle w:val="NoNumPlain1"/>
      </w:pPr>
      <w:r w:rsidRPr="00BE0C02">
        <w:t xml:space="preserve">This Standard </w:t>
      </w:r>
      <w:r w:rsidR="001B1CE0" w:rsidRPr="00BE0C02">
        <w:t>makes</w:t>
      </w:r>
      <w:r w:rsidRPr="00BE0C02">
        <w:t xml:space="preserve"> amendments to the </w:t>
      </w:r>
      <w:r w:rsidR="00DB6B4B" w:rsidRPr="00BE0C02">
        <w:t xml:space="preserve">Standards </w:t>
      </w:r>
      <w:r w:rsidR="005914E0" w:rsidRPr="00BE0C02">
        <w:t xml:space="preserve">(via AASB 1057 </w:t>
      </w:r>
      <w:r w:rsidR="005914E0" w:rsidRPr="00BE0C02">
        <w:rPr>
          <w:i/>
        </w:rPr>
        <w:t>Application of Australian Accounting Standards</w:t>
      </w:r>
      <w:r w:rsidR="005914E0" w:rsidRPr="00BE0C02">
        <w:t xml:space="preserve">) </w:t>
      </w:r>
      <w:r w:rsidR="00DB6B4B" w:rsidRPr="00BE0C02">
        <w:t xml:space="preserve">and the </w:t>
      </w:r>
      <w:r w:rsidRPr="00BE0C02">
        <w:rPr>
          <w:i/>
        </w:rPr>
        <w:t>Conceptual Framework for Financial Reporting</w:t>
      </w:r>
      <w:r w:rsidRPr="00BE0C02">
        <w:t xml:space="preserve"> (</w:t>
      </w:r>
      <w:r w:rsidRPr="00BE0C02">
        <w:rPr>
          <w:i/>
        </w:rPr>
        <w:t>Conceptual Framework</w:t>
      </w:r>
      <w:r w:rsidRPr="00BE0C02">
        <w:t xml:space="preserve">) </w:t>
      </w:r>
      <w:r w:rsidR="003C0372" w:rsidRPr="00BE0C02">
        <w:t xml:space="preserve">so that </w:t>
      </w:r>
      <w:r w:rsidR="00DB6B4B" w:rsidRPr="00BE0C02">
        <w:t xml:space="preserve">they apply explicitly </w:t>
      </w:r>
      <w:r w:rsidRPr="00BE0C02">
        <w:t>to:</w:t>
      </w:r>
    </w:p>
    <w:p w14:paraId="520CD284" w14:textId="52C66024" w:rsidR="00CB489C" w:rsidRPr="00BE0C02" w:rsidRDefault="0093434D" w:rsidP="005C5810">
      <w:pPr>
        <w:pStyle w:val="NumPlainA"/>
        <w:rPr>
          <w:szCs w:val="19"/>
        </w:rPr>
      </w:pPr>
      <w:r w:rsidRPr="00BE0C02">
        <w:rPr>
          <w:szCs w:val="19"/>
        </w:rPr>
        <w:t xml:space="preserve">for-profit </w:t>
      </w:r>
      <w:r w:rsidR="00CB489C" w:rsidRPr="00BE0C02">
        <w:rPr>
          <w:szCs w:val="19"/>
        </w:rPr>
        <w:t xml:space="preserve">private sector entities that are required by legislation to </w:t>
      </w:r>
      <w:r w:rsidR="00461390" w:rsidRPr="00BE0C02">
        <w:rPr>
          <w:szCs w:val="19"/>
        </w:rPr>
        <w:t xml:space="preserve">prepare financial statements that </w:t>
      </w:r>
      <w:r w:rsidR="00CB489C" w:rsidRPr="00BE0C02">
        <w:rPr>
          <w:szCs w:val="19"/>
        </w:rPr>
        <w:t xml:space="preserve">comply with </w:t>
      </w:r>
      <w:r w:rsidR="003C0372" w:rsidRPr="00BE0C02">
        <w:rPr>
          <w:szCs w:val="19"/>
        </w:rPr>
        <w:t xml:space="preserve">either </w:t>
      </w:r>
      <w:r w:rsidR="00CB489C" w:rsidRPr="00BE0C02">
        <w:rPr>
          <w:szCs w:val="19"/>
        </w:rPr>
        <w:t>Australian Accounting Standards</w:t>
      </w:r>
      <w:r w:rsidR="003C0372" w:rsidRPr="00BE0C02">
        <w:rPr>
          <w:szCs w:val="19"/>
        </w:rPr>
        <w:t xml:space="preserve"> or accounting standards (with the </w:t>
      </w:r>
      <w:r w:rsidR="0041366D" w:rsidRPr="00BE0C02">
        <w:rPr>
          <w:szCs w:val="19"/>
        </w:rPr>
        <w:t>previous limitation</w:t>
      </w:r>
      <w:r w:rsidR="003C0372" w:rsidRPr="00BE0C02">
        <w:rPr>
          <w:szCs w:val="19"/>
        </w:rPr>
        <w:t xml:space="preserve"> to entities with public accountability removed)</w:t>
      </w:r>
      <w:r w:rsidR="00CB489C" w:rsidRPr="00BE0C02">
        <w:rPr>
          <w:szCs w:val="19"/>
        </w:rPr>
        <w:t>;</w:t>
      </w:r>
      <w:r w:rsidR="00DB6B4B" w:rsidRPr="00BE0C02">
        <w:rPr>
          <w:szCs w:val="19"/>
        </w:rPr>
        <w:t xml:space="preserve"> and</w:t>
      </w:r>
    </w:p>
    <w:p w14:paraId="50F5033E" w14:textId="2F5B4643" w:rsidR="003C0372" w:rsidRPr="00BE0C02" w:rsidRDefault="003C0372" w:rsidP="005C5810">
      <w:pPr>
        <w:pStyle w:val="NumPlainA"/>
        <w:rPr>
          <w:szCs w:val="19"/>
        </w:rPr>
      </w:pPr>
      <w:r w:rsidRPr="00BE0C02">
        <w:rPr>
          <w:szCs w:val="19"/>
        </w:rPr>
        <w:t xml:space="preserve">other for-profit private sector entities that are required only by their constituting document or another document to </w:t>
      </w:r>
      <w:r w:rsidR="00461390" w:rsidRPr="00BE0C02">
        <w:rPr>
          <w:szCs w:val="19"/>
        </w:rPr>
        <w:t xml:space="preserve">prepare financial statements that </w:t>
      </w:r>
      <w:r w:rsidRPr="00BE0C02">
        <w:rPr>
          <w:szCs w:val="19"/>
        </w:rPr>
        <w:t xml:space="preserve">comply with Australian Accounting Standards, provided that the relevant document was created or amended on or after 1 July </w:t>
      </w:r>
      <w:r w:rsidR="00D768A9" w:rsidRPr="00BE0C02">
        <w:rPr>
          <w:szCs w:val="19"/>
        </w:rPr>
        <w:t>2021</w:t>
      </w:r>
      <w:r w:rsidR="00DB6B4B" w:rsidRPr="00BE0C02">
        <w:rPr>
          <w:szCs w:val="19"/>
        </w:rPr>
        <w:t>.</w:t>
      </w:r>
    </w:p>
    <w:p w14:paraId="6FC30609" w14:textId="7341D142" w:rsidR="00DB6B4B" w:rsidRPr="00BE0C02" w:rsidRDefault="00DB6B4B" w:rsidP="00DB6B4B">
      <w:pPr>
        <w:pStyle w:val="NumPlainA"/>
        <w:numPr>
          <w:ilvl w:val="0"/>
          <w:numId w:val="0"/>
        </w:numPr>
        <w:rPr>
          <w:szCs w:val="19"/>
        </w:rPr>
      </w:pPr>
      <w:r w:rsidRPr="00BE0C02">
        <w:rPr>
          <w:szCs w:val="19"/>
        </w:rPr>
        <w:t xml:space="preserve">The </w:t>
      </w:r>
      <w:r w:rsidRPr="00BE0C02">
        <w:rPr>
          <w:i/>
          <w:szCs w:val="19"/>
        </w:rPr>
        <w:t>Conceptual Framework</w:t>
      </w:r>
      <w:r w:rsidRPr="00BE0C02">
        <w:rPr>
          <w:szCs w:val="19"/>
        </w:rPr>
        <w:t xml:space="preserve"> is also amended to apply to other for-profit entities (including for-profit public sector entities) that elect to prepare general purpose financial statements and </w:t>
      </w:r>
      <w:r w:rsidR="00123D86">
        <w:rPr>
          <w:szCs w:val="19"/>
        </w:rPr>
        <w:t>as a result</w:t>
      </w:r>
      <w:r w:rsidR="00123D86" w:rsidRPr="00BE0C02">
        <w:rPr>
          <w:szCs w:val="19"/>
        </w:rPr>
        <w:t xml:space="preserve"> </w:t>
      </w:r>
      <w:r w:rsidRPr="00BE0C02">
        <w:rPr>
          <w:szCs w:val="19"/>
        </w:rPr>
        <w:t xml:space="preserve">apply the </w:t>
      </w:r>
      <w:r w:rsidRPr="00BE0C02">
        <w:rPr>
          <w:i/>
          <w:szCs w:val="19"/>
        </w:rPr>
        <w:t>Conceptual Framework</w:t>
      </w:r>
      <w:r w:rsidRPr="00BE0C02">
        <w:rPr>
          <w:szCs w:val="19"/>
        </w:rPr>
        <w:t xml:space="preserve"> and the consequential amendments to other pronouncements set out in </w:t>
      </w:r>
      <w:r w:rsidR="00631444" w:rsidRPr="00BE0C02">
        <w:rPr>
          <w:szCs w:val="19"/>
        </w:rPr>
        <w:t xml:space="preserve">this Standard, as well as in </w:t>
      </w:r>
      <w:r w:rsidRPr="00BE0C02">
        <w:rPr>
          <w:szCs w:val="19"/>
        </w:rPr>
        <w:t>AASB 2019-1</w:t>
      </w:r>
      <w:r w:rsidR="005914E0" w:rsidRPr="00BE0C02">
        <w:rPr>
          <w:szCs w:val="19"/>
        </w:rPr>
        <w:t>.</w:t>
      </w:r>
    </w:p>
    <w:p w14:paraId="27CB7E08" w14:textId="6B33E367" w:rsidR="00370BF6" w:rsidRPr="00BE0C02" w:rsidRDefault="00370BF6" w:rsidP="00CB489C">
      <w:pPr>
        <w:pStyle w:val="NoNumPlain1"/>
      </w:pPr>
      <w:r w:rsidRPr="00BE0C02">
        <w:rPr>
          <w:szCs w:val="19"/>
        </w:rPr>
        <w:t xml:space="preserve">The </w:t>
      </w:r>
      <w:r w:rsidR="001379BC" w:rsidRPr="00BE0C02">
        <w:rPr>
          <w:szCs w:val="19"/>
        </w:rPr>
        <w:t>applicability of the</w:t>
      </w:r>
      <w:r w:rsidRPr="00BE0C02">
        <w:rPr>
          <w:szCs w:val="19"/>
        </w:rPr>
        <w:t xml:space="preserve"> </w:t>
      </w:r>
      <w:r w:rsidRPr="00BE0C02">
        <w:rPr>
          <w:i/>
          <w:szCs w:val="19"/>
        </w:rPr>
        <w:t>Framework for the Preparation and Presentation of Financial Statement</w:t>
      </w:r>
      <w:r w:rsidRPr="00BE0C02">
        <w:rPr>
          <w:szCs w:val="19"/>
        </w:rPr>
        <w:t xml:space="preserve">s and Statement of Accounting Concepts SAC 1 </w:t>
      </w:r>
      <w:r w:rsidR="00AF5ACC" w:rsidRPr="00BE0C02">
        <w:rPr>
          <w:i/>
          <w:szCs w:val="19"/>
        </w:rPr>
        <w:t>Definition of the Reporting Entity</w:t>
      </w:r>
      <w:r w:rsidR="00AF5ACC" w:rsidRPr="00BE0C02">
        <w:rPr>
          <w:szCs w:val="19"/>
        </w:rPr>
        <w:t xml:space="preserve"> </w:t>
      </w:r>
      <w:r w:rsidR="001379BC" w:rsidRPr="00BE0C02">
        <w:rPr>
          <w:szCs w:val="19"/>
        </w:rPr>
        <w:t xml:space="preserve">is </w:t>
      </w:r>
      <w:r w:rsidRPr="00BE0C02">
        <w:rPr>
          <w:szCs w:val="19"/>
        </w:rPr>
        <w:t xml:space="preserve">amended </w:t>
      </w:r>
      <w:r w:rsidR="00AF5ACC" w:rsidRPr="00BE0C02">
        <w:rPr>
          <w:szCs w:val="19"/>
        </w:rPr>
        <w:t>so</w:t>
      </w:r>
      <w:r w:rsidRPr="00BE0C02">
        <w:rPr>
          <w:szCs w:val="19"/>
        </w:rPr>
        <w:t xml:space="preserve"> that they </w:t>
      </w:r>
      <w:r w:rsidR="00AF5ACC" w:rsidRPr="00BE0C02">
        <w:rPr>
          <w:szCs w:val="19"/>
        </w:rPr>
        <w:t xml:space="preserve">continue to </w:t>
      </w:r>
      <w:r w:rsidRPr="00BE0C02">
        <w:rPr>
          <w:szCs w:val="19"/>
        </w:rPr>
        <w:t xml:space="preserve">apply to for-profit entities that </w:t>
      </w:r>
      <w:r w:rsidR="006645A9" w:rsidRPr="00BE0C02">
        <w:rPr>
          <w:szCs w:val="19"/>
        </w:rPr>
        <w:t>do not need to</w:t>
      </w:r>
      <w:r w:rsidRPr="00BE0C02">
        <w:rPr>
          <w:szCs w:val="19"/>
        </w:rPr>
        <w:t xml:space="preserve"> apply the </w:t>
      </w:r>
      <w:r w:rsidRPr="00BE0C02">
        <w:rPr>
          <w:i/>
          <w:szCs w:val="19"/>
        </w:rPr>
        <w:t>Conceptual Framework</w:t>
      </w:r>
      <w:r w:rsidR="007E3A49">
        <w:rPr>
          <w:i/>
          <w:szCs w:val="19"/>
        </w:rPr>
        <w:t xml:space="preserve"> </w:t>
      </w:r>
      <w:r w:rsidR="007E3A49" w:rsidRPr="00C7798D">
        <w:rPr>
          <w:szCs w:val="19"/>
        </w:rPr>
        <w:t>(eg for-profit public sector entities and those who</w:t>
      </w:r>
      <w:r w:rsidR="00172FBF" w:rsidRPr="00C7798D">
        <w:rPr>
          <w:szCs w:val="19"/>
        </w:rPr>
        <w:t>s</w:t>
      </w:r>
      <w:r w:rsidR="005D61D3" w:rsidRPr="00C7798D">
        <w:rPr>
          <w:szCs w:val="19"/>
        </w:rPr>
        <w:t xml:space="preserve">e constituting document was created </w:t>
      </w:r>
      <w:r w:rsidR="00EE6AB5" w:rsidRPr="00C7798D">
        <w:rPr>
          <w:szCs w:val="19"/>
        </w:rPr>
        <w:t xml:space="preserve">or amended </w:t>
      </w:r>
      <w:r w:rsidR="005D61D3" w:rsidRPr="00C7798D">
        <w:rPr>
          <w:szCs w:val="19"/>
        </w:rPr>
        <w:t>before 1 July 20</w:t>
      </w:r>
      <w:r w:rsidR="00EE6AB5" w:rsidRPr="00C7798D">
        <w:rPr>
          <w:szCs w:val="19"/>
        </w:rPr>
        <w:t>21)</w:t>
      </w:r>
      <w:r w:rsidR="001379BC" w:rsidRPr="00BE0C02">
        <w:rPr>
          <w:szCs w:val="19"/>
        </w:rPr>
        <w:t>,</w:t>
      </w:r>
      <w:r w:rsidR="00AF5ACC" w:rsidRPr="00BE0C02">
        <w:rPr>
          <w:szCs w:val="19"/>
        </w:rPr>
        <w:t xml:space="preserve"> </w:t>
      </w:r>
      <w:r w:rsidR="00D42B7C" w:rsidRPr="00BE0C02">
        <w:rPr>
          <w:szCs w:val="19"/>
        </w:rPr>
        <w:t xml:space="preserve">as well as to not-for-profit entities </w:t>
      </w:r>
      <w:r w:rsidR="00AF5ACC" w:rsidRPr="00BE0C02">
        <w:rPr>
          <w:szCs w:val="19"/>
        </w:rPr>
        <w:t>(subject to exceptions stated in the Standards)</w:t>
      </w:r>
      <w:r w:rsidRPr="00BE0C02">
        <w:rPr>
          <w:szCs w:val="19"/>
        </w:rPr>
        <w:t>.</w:t>
      </w:r>
    </w:p>
    <w:p w14:paraId="44AECF00" w14:textId="5C704C74" w:rsidR="00370BF6" w:rsidRPr="00BE0C02" w:rsidRDefault="00610BDA" w:rsidP="00370BF6">
      <w:pPr>
        <w:pStyle w:val="NoNumPlain1"/>
      </w:pPr>
      <w:r w:rsidRPr="00BE0C02">
        <w:t xml:space="preserve">Consequential amendments are made to various Standards, including </w:t>
      </w:r>
      <w:r w:rsidR="000A4AB3" w:rsidRPr="00BE0C02">
        <w:t>amending</w:t>
      </w:r>
      <w:r w:rsidRPr="00BE0C02">
        <w:t xml:space="preserve"> the applicability of the ‘reporting entity’ definition in AASB 1057 </w:t>
      </w:r>
      <w:r w:rsidR="000A4AB3" w:rsidRPr="00BE0C02">
        <w:t>so that it</w:t>
      </w:r>
      <w:r w:rsidRPr="00BE0C02">
        <w:t xml:space="preserve"> is not relevant to </w:t>
      </w:r>
      <w:r w:rsidR="000A4AB3" w:rsidRPr="00BE0C02">
        <w:t xml:space="preserve">the </w:t>
      </w:r>
      <w:r w:rsidRPr="00BE0C02">
        <w:t>entities</w:t>
      </w:r>
      <w:r w:rsidR="00123D86">
        <w:t xml:space="preserve"> to which</w:t>
      </w:r>
      <w:r w:rsidRPr="00BE0C02">
        <w:t xml:space="preserve"> </w:t>
      </w:r>
      <w:r w:rsidR="00821B49" w:rsidRPr="00BE0C02">
        <w:t xml:space="preserve">this </w:t>
      </w:r>
      <w:r w:rsidR="00C00A1E">
        <w:t>S</w:t>
      </w:r>
      <w:r w:rsidR="00821B49" w:rsidRPr="00BE0C02">
        <w:t xml:space="preserve">tandard is applicable </w:t>
      </w:r>
      <w:r w:rsidR="000A4AB3" w:rsidRPr="00BE0C02">
        <w:t xml:space="preserve">(all of which would apply </w:t>
      </w:r>
      <w:r w:rsidRPr="00BE0C02">
        <w:t xml:space="preserve">the </w:t>
      </w:r>
      <w:r w:rsidRPr="00BE0C02">
        <w:rPr>
          <w:i/>
        </w:rPr>
        <w:t>Conceptual Framework</w:t>
      </w:r>
      <w:r w:rsidR="000A4AB3" w:rsidRPr="00BE0C02">
        <w:t>)</w:t>
      </w:r>
      <w:r w:rsidRPr="00BE0C02">
        <w:t xml:space="preserve">. </w:t>
      </w:r>
      <w:r w:rsidR="001B1CE0" w:rsidRPr="00BE0C02">
        <w:t xml:space="preserve">As a consequence, the ability of such an entity to prepare special purpose financial statements is removed and it </w:t>
      </w:r>
      <w:r w:rsidR="0029596E" w:rsidRPr="00BE0C02">
        <w:t xml:space="preserve">will </w:t>
      </w:r>
      <w:r w:rsidR="00370BF6" w:rsidRPr="00BE0C02">
        <w:t>need to prepare general purpose financial statements that comply with Australian Accounting Standards</w:t>
      </w:r>
      <w:r w:rsidR="00AF5ACC" w:rsidRPr="00BE0C02">
        <w:t xml:space="preserve"> (or accounting standards</w:t>
      </w:r>
      <w:r w:rsidR="005914E0" w:rsidRPr="00BE0C02">
        <w:t>,</w:t>
      </w:r>
      <w:r w:rsidR="00AF5ACC" w:rsidRPr="00BE0C02">
        <w:t xml:space="preserve"> under legislative requirements)</w:t>
      </w:r>
      <w:r w:rsidR="00370BF6" w:rsidRPr="00BE0C02">
        <w:t xml:space="preserve">. </w:t>
      </w:r>
    </w:p>
    <w:p w14:paraId="01480187" w14:textId="12A28390" w:rsidR="00370BF6" w:rsidRPr="00BE0C02" w:rsidRDefault="00370BF6" w:rsidP="00CB489C">
      <w:pPr>
        <w:pStyle w:val="NoNumPlain1"/>
      </w:pPr>
      <w:r w:rsidRPr="00BE0C02">
        <w:t xml:space="preserve">This Standard </w:t>
      </w:r>
      <w:r w:rsidR="001B1CE0" w:rsidRPr="00BE0C02">
        <w:t>also</w:t>
      </w:r>
      <w:r w:rsidRPr="00BE0C02">
        <w:t xml:space="preserve"> </w:t>
      </w:r>
      <w:r w:rsidR="00221E3D" w:rsidRPr="00BE0C02">
        <w:t xml:space="preserve">adds an Appendix to AASB 1053 </w:t>
      </w:r>
      <w:r w:rsidR="00221E3D" w:rsidRPr="00BE0C02">
        <w:rPr>
          <w:i/>
          <w:iCs/>
        </w:rPr>
        <w:t xml:space="preserve">Application of Tiers of Australian Accounting Standards </w:t>
      </w:r>
      <w:r w:rsidRPr="00BE0C02" w:rsidDel="00BB7FC9">
        <w:t xml:space="preserve">to </w:t>
      </w:r>
      <w:r w:rsidRPr="00BE0C02">
        <w:t>provide</w:t>
      </w:r>
      <w:r w:rsidRPr="00BE0C02" w:rsidDel="006E145F">
        <w:t xml:space="preserve"> </w:t>
      </w:r>
      <w:r w:rsidRPr="00BE0C02">
        <w:t xml:space="preserve">relief from restating comparative information for entities </w:t>
      </w:r>
      <w:r w:rsidR="007C0AC3" w:rsidRPr="00BE0C02">
        <w:t xml:space="preserve">that </w:t>
      </w:r>
      <w:r w:rsidR="003D4FB0" w:rsidRPr="00BE0C02">
        <w:t>elect</w:t>
      </w:r>
      <w:r w:rsidR="007C0AC3" w:rsidRPr="00BE0C02">
        <w:t xml:space="preserve"> to early adopt the requirements</w:t>
      </w:r>
      <w:r w:rsidR="006F276D" w:rsidRPr="00BE0C02">
        <w:t xml:space="preserve"> in this Standard.</w:t>
      </w:r>
    </w:p>
    <w:p w14:paraId="426F594E" w14:textId="77777777" w:rsidR="0069165E" w:rsidRPr="00BE0C02" w:rsidRDefault="0069165E" w:rsidP="0041366D">
      <w:pPr>
        <w:pStyle w:val="IASBSectionTitle2Ind"/>
        <w:ind w:left="510"/>
      </w:pPr>
      <w:r w:rsidRPr="00BE0C02">
        <w:t>Application date</w:t>
      </w:r>
    </w:p>
    <w:p w14:paraId="44C1E732" w14:textId="794F7AFA" w:rsidR="00F237E9" w:rsidRPr="00BE0C02" w:rsidRDefault="00994A75" w:rsidP="001B3593">
      <w:pPr>
        <w:pStyle w:val="IASBNormal"/>
      </w:pPr>
      <w:r w:rsidRPr="00BE0C02">
        <w:t>This Standard applies</w:t>
      </w:r>
      <w:r w:rsidR="001A058E" w:rsidRPr="00BE0C02">
        <w:t xml:space="preserve"> to annual reporting periods beginning on or after</w:t>
      </w:r>
      <w:r w:rsidR="006D041B" w:rsidRPr="00BE0C02">
        <w:t xml:space="preserve"> </w:t>
      </w:r>
      <w:r w:rsidR="00D768A9" w:rsidRPr="00BE0C02">
        <w:t>1 July 2021</w:t>
      </w:r>
      <w:r w:rsidR="00965A5A" w:rsidRPr="00BE0C02">
        <w:t>,</w:t>
      </w:r>
      <w:r w:rsidR="001A058E" w:rsidRPr="00BE0C02">
        <w:t xml:space="preserve"> with </w:t>
      </w:r>
      <w:r w:rsidR="00965A5A" w:rsidRPr="00BE0C02">
        <w:t>earlier</w:t>
      </w:r>
      <w:r w:rsidR="001A058E" w:rsidRPr="00BE0C02">
        <w:t xml:space="preserve"> </w:t>
      </w:r>
      <w:r w:rsidR="00965A5A" w:rsidRPr="00BE0C02">
        <w:t>application</w:t>
      </w:r>
      <w:r w:rsidR="001A058E" w:rsidRPr="00BE0C02">
        <w:t xml:space="preserve"> permitted.</w:t>
      </w:r>
    </w:p>
    <w:p w14:paraId="5DCF30A5" w14:textId="77777777" w:rsidR="0041794F" w:rsidRPr="00BE0C02" w:rsidRDefault="0041794F" w:rsidP="001B3593">
      <w:pPr>
        <w:pStyle w:val="IASBNormal"/>
      </w:pPr>
    </w:p>
    <w:p w14:paraId="708A0EB8" w14:textId="77777777" w:rsidR="00E51696" w:rsidRPr="00BE0C02" w:rsidRDefault="00E51696" w:rsidP="001B3593">
      <w:pPr>
        <w:pStyle w:val="IASBNormal"/>
        <w:sectPr w:rsidR="00E51696" w:rsidRPr="00BE0C02" w:rsidSect="0041794F">
          <w:headerReference w:type="even" r:id="rId21"/>
          <w:footerReference w:type="default" r:id="rId22"/>
          <w:headerReference w:type="first" r:id="rId23"/>
          <w:pgSz w:w="11907" w:h="16840" w:code="9"/>
          <w:pgMar w:top="1418" w:right="1418" w:bottom="1418" w:left="1418" w:header="709" w:footer="709" w:gutter="0"/>
          <w:paperSrc w:first="7" w:other="7"/>
          <w:cols w:space="720"/>
          <w:docGrid w:linePitch="65"/>
        </w:sectPr>
      </w:pPr>
    </w:p>
    <w:p w14:paraId="7B638E71" w14:textId="269B774A" w:rsidR="00994A75" w:rsidRPr="00BE0C02" w:rsidRDefault="00994A75" w:rsidP="00994A75">
      <w:pPr>
        <w:pStyle w:val="ConvSectionTitle"/>
        <w:spacing w:after="0"/>
      </w:pPr>
      <w:r w:rsidRPr="00BE0C02">
        <w:lastRenderedPageBreak/>
        <w:t xml:space="preserve">Accounting Standard </w:t>
      </w:r>
      <w:r w:rsidR="002A07B4">
        <w:t>AASB 2020-2</w:t>
      </w:r>
    </w:p>
    <w:p w14:paraId="355C90F1" w14:textId="60520AC8" w:rsidR="001B3593" w:rsidRPr="00BE0C02" w:rsidRDefault="001B3593" w:rsidP="005472B2">
      <w:pPr>
        <w:pStyle w:val="BodyText"/>
        <w:spacing w:before="200"/>
        <w:rPr>
          <w:lang w:eastAsia="en-AU"/>
        </w:rPr>
      </w:pPr>
      <w:r w:rsidRPr="00BE0C02">
        <w:rPr>
          <w:lang w:eastAsia="en-AU"/>
        </w:rPr>
        <w:t>The Australian Accounting Standards Board mak</w:t>
      </w:r>
      <w:r w:rsidR="00A85469" w:rsidRPr="00BE0C02">
        <w:rPr>
          <w:lang w:eastAsia="en-AU"/>
        </w:rPr>
        <w:t xml:space="preserve">es Accounting Standard </w:t>
      </w:r>
      <w:r w:rsidR="002A07B4">
        <w:rPr>
          <w:lang w:eastAsia="en-AU"/>
        </w:rPr>
        <w:t>AASB 2020-2</w:t>
      </w:r>
      <w:r w:rsidRPr="00BE0C02">
        <w:rPr>
          <w:lang w:eastAsia="en-AU"/>
        </w:rPr>
        <w:t xml:space="preserve"> </w:t>
      </w:r>
      <w:r w:rsidR="004A0184">
        <w:rPr>
          <w:i/>
          <w:iCs/>
          <w:lang w:eastAsia="en-AU"/>
        </w:rPr>
        <w:t xml:space="preserve">Amendments to Australian Accounting Standards – </w:t>
      </w:r>
      <w:r w:rsidR="007933D3" w:rsidRPr="00BE0C02">
        <w:rPr>
          <w:i/>
        </w:rPr>
        <w:t xml:space="preserve">Removal of Special Purpose Financial Statements for </w:t>
      </w:r>
      <w:r w:rsidR="0021571C" w:rsidRPr="00BE0C02">
        <w:rPr>
          <w:i/>
        </w:rPr>
        <w:t xml:space="preserve">Certain </w:t>
      </w:r>
      <w:r w:rsidR="007933D3" w:rsidRPr="00BE0C02">
        <w:rPr>
          <w:i/>
        </w:rPr>
        <w:t xml:space="preserve">For-Profit </w:t>
      </w:r>
      <w:r w:rsidR="0021571C" w:rsidRPr="00BE0C02">
        <w:rPr>
          <w:i/>
        </w:rPr>
        <w:t xml:space="preserve">Private Sector </w:t>
      </w:r>
      <w:r w:rsidR="007933D3" w:rsidRPr="00BE0C02">
        <w:rPr>
          <w:i/>
        </w:rPr>
        <w:t>Entities</w:t>
      </w:r>
      <w:r w:rsidR="007933D3" w:rsidRPr="00BE0C02">
        <w:rPr>
          <w:lang w:eastAsia="en-AU"/>
        </w:rPr>
        <w:t xml:space="preserve"> </w:t>
      </w:r>
      <w:r w:rsidRPr="00BE0C02">
        <w:rPr>
          <w:lang w:eastAsia="en-AU"/>
        </w:rPr>
        <w:t>under section</w:t>
      </w:r>
      <w:r w:rsidR="00994A75" w:rsidRPr="00BE0C02">
        <w:rPr>
          <w:lang w:eastAsia="en-AU"/>
        </w:rPr>
        <w:t> </w:t>
      </w:r>
      <w:r w:rsidRPr="00BE0C02">
        <w:rPr>
          <w:lang w:eastAsia="en-AU"/>
        </w:rPr>
        <w:t xml:space="preserve">334 of the </w:t>
      </w:r>
      <w:r w:rsidRPr="00BE0C02">
        <w:rPr>
          <w:i/>
          <w:lang w:eastAsia="en-AU"/>
        </w:rPr>
        <w:t>Corporations Act 2001</w:t>
      </w:r>
      <w:r w:rsidRPr="00BE0C02">
        <w:rPr>
          <w:lang w:eastAsia="en-AU"/>
        </w:rPr>
        <w:t>.</w:t>
      </w:r>
    </w:p>
    <w:p w14:paraId="3B314C30" w14:textId="77777777" w:rsidR="001B3593" w:rsidRPr="00BE0C02" w:rsidRDefault="001B3593" w:rsidP="00257D50">
      <w:pPr>
        <w:pStyle w:val="BodyText"/>
        <w:spacing w:after="0"/>
        <w:jc w:val="right"/>
        <w:rPr>
          <w:lang w:eastAsia="en-AU"/>
        </w:rPr>
      </w:pPr>
      <w:r w:rsidRPr="00BE0C02">
        <w:rPr>
          <w:lang w:eastAsia="en-AU"/>
        </w:rPr>
        <w:t>Kris Peach</w:t>
      </w:r>
    </w:p>
    <w:p w14:paraId="6D4490B8" w14:textId="7EEF4746" w:rsidR="001B3593" w:rsidRPr="00BE0C02" w:rsidRDefault="00942763" w:rsidP="00257D50">
      <w:pPr>
        <w:pStyle w:val="BodyText"/>
        <w:tabs>
          <w:tab w:val="right" w:pos="9072"/>
        </w:tabs>
        <w:jc w:val="left"/>
        <w:rPr>
          <w:lang w:eastAsia="en-AU"/>
        </w:rPr>
      </w:pPr>
      <w:r>
        <w:rPr>
          <w:lang w:eastAsia="en-AU"/>
        </w:rPr>
        <w:t xml:space="preserve">Dated </w:t>
      </w:r>
      <w:r w:rsidR="00F72212">
        <w:rPr>
          <w:lang w:eastAsia="en-AU"/>
        </w:rPr>
        <w:t>6 March 2020</w:t>
      </w:r>
      <w:r w:rsidR="00257D50" w:rsidRPr="00BE0C02">
        <w:rPr>
          <w:lang w:eastAsia="en-AU"/>
        </w:rPr>
        <w:tab/>
      </w:r>
      <w:r w:rsidR="001B3593" w:rsidRPr="00BE0C02">
        <w:rPr>
          <w:lang w:eastAsia="en-AU"/>
        </w:rPr>
        <w:t>Chair – AASB</w:t>
      </w:r>
    </w:p>
    <w:p w14:paraId="7A70E763" w14:textId="00E76CCC" w:rsidR="00994A75" w:rsidRPr="00BE0C02" w:rsidRDefault="00994A75" w:rsidP="00994A75">
      <w:pPr>
        <w:pStyle w:val="ConvSectionTitle"/>
        <w:spacing w:after="0"/>
      </w:pPr>
      <w:r w:rsidRPr="00BE0C02">
        <w:t xml:space="preserve">Accounting Standard </w:t>
      </w:r>
      <w:r w:rsidR="002A07B4">
        <w:t>AASB 2020-2</w:t>
      </w:r>
    </w:p>
    <w:p w14:paraId="5869CD9B" w14:textId="477C7EE7" w:rsidR="00270378" w:rsidRPr="00BE0C02" w:rsidRDefault="004A0184" w:rsidP="00270378">
      <w:pPr>
        <w:pStyle w:val="ConvSectionTitle"/>
        <w:spacing w:before="0" w:after="0"/>
        <w:rPr>
          <w:i/>
        </w:rPr>
      </w:pPr>
      <w:r>
        <w:rPr>
          <w:i/>
        </w:rPr>
        <w:t xml:space="preserve">Amendments to Australian Accounting Standards – </w:t>
      </w:r>
      <w:r w:rsidR="007933D3" w:rsidRPr="00BE0C02">
        <w:rPr>
          <w:i/>
        </w:rPr>
        <w:t xml:space="preserve">Removal of Special Purpose Financial Statements for </w:t>
      </w:r>
      <w:r w:rsidR="00130D63" w:rsidRPr="00BE0C02">
        <w:rPr>
          <w:i/>
        </w:rPr>
        <w:t xml:space="preserve">Certain </w:t>
      </w:r>
      <w:r w:rsidR="007933D3" w:rsidRPr="00BE0C02">
        <w:rPr>
          <w:i/>
        </w:rPr>
        <w:t xml:space="preserve">For-Profit </w:t>
      </w:r>
      <w:r w:rsidR="00130D63" w:rsidRPr="00BE0C02">
        <w:rPr>
          <w:i/>
        </w:rPr>
        <w:t xml:space="preserve">Private Sector </w:t>
      </w:r>
      <w:r w:rsidR="007933D3" w:rsidRPr="00BE0C02">
        <w:rPr>
          <w:i/>
        </w:rPr>
        <w:t>Entities</w:t>
      </w:r>
    </w:p>
    <w:p w14:paraId="6E018AE6" w14:textId="77777777" w:rsidR="00BA5A1C" w:rsidRPr="00BE0C02" w:rsidRDefault="00BA5A1C" w:rsidP="00270378">
      <w:pPr>
        <w:pStyle w:val="IASBSectionTitle1NonInd"/>
      </w:pPr>
      <w:r w:rsidRPr="00BE0C02">
        <w:t>Objective</w:t>
      </w:r>
    </w:p>
    <w:p w14:paraId="4C3A805B" w14:textId="77777777" w:rsidR="0060019B" w:rsidRPr="00BE0C02" w:rsidRDefault="00ED5174" w:rsidP="00A445EE">
      <w:pPr>
        <w:pStyle w:val="NoNumPlain1"/>
      </w:pPr>
      <w:r w:rsidRPr="00BE0C02">
        <w:t>Th</w:t>
      </w:r>
      <w:r w:rsidR="00290804" w:rsidRPr="00BE0C02">
        <w:t>is Standard amends</w:t>
      </w:r>
      <w:r w:rsidR="0060019B" w:rsidRPr="00BE0C02">
        <w:t>:</w:t>
      </w:r>
    </w:p>
    <w:p w14:paraId="7B5B04FD" w14:textId="77777777" w:rsidR="00DE4BC2" w:rsidRPr="00BE0C02" w:rsidRDefault="00203710" w:rsidP="007E6349">
      <w:pPr>
        <w:pStyle w:val="IASBNormalnparaL1"/>
        <w:numPr>
          <w:ilvl w:val="0"/>
          <w:numId w:val="22"/>
        </w:numPr>
        <w:ind w:left="782" w:hanging="782"/>
        <w:rPr>
          <w:lang w:val="en-AU"/>
        </w:rPr>
      </w:pPr>
      <w:r w:rsidRPr="00BE0C02">
        <w:rPr>
          <w:lang w:val="en-AU"/>
        </w:rPr>
        <w:t xml:space="preserve">the </w:t>
      </w:r>
      <w:r w:rsidRPr="00BE0C02">
        <w:rPr>
          <w:i/>
          <w:lang w:val="en-AU"/>
        </w:rPr>
        <w:t>Conceptual Framework for Financial Reporting</w:t>
      </w:r>
      <w:r w:rsidRPr="00BE0C02">
        <w:rPr>
          <w:lang w:val="en-AU"/>
        </w:rPr>
        <w:t xml:space="preserve"> (May 2019)</w:t>
      </w:r>
      <w:r w:rsidR="00DE4BC2" w:rsidRPr="00BE0C02">
        <w:rPr>
          <w:lang w:val="en-AU"/>
        </w:rPr>
        <w:t xml:space="preserve">; </w:t>
      </w:r>
    </w:p>
    <w:p w14:paraId="6DDB4742" w14:textId="77777777" w:rsidR="004F7F69" w:rsidRPr="00BE0C02" w:rsidRDefault="004F7F69" w:rsidP="007E6349">
      <w:pPr>
        <w:pStyle w:val="IASBNormalnparaL1"/>
        <w:numPr>
          <w:ilvl w:val="0"/>
          <w:numId w:val="22"/>
        </w:numPr>
        <w:spacing w:after="120"/>
        <w:ind w:left="782" w:hanging="782"/>
        <w:rPr>
          <w:lang w:val="en-AU"/>
        </w:rPr>
      </w:pPr>
      <w:r w:rsidRPr="00BE0C02">
        <w:rPr>
          <w:lang w:val="en-AU"/>
        </w:rPr>
        <w:t>the</w:t>
      </w:r>
      <w:r w:rsidRPr="00BE0C02">
        <w:rPr>
          <w:i/>
          <w:lang w:val="en-AU"/>
        </w:rPr>
        <w:t xml:space="preserve"> Framework for the Preparation and Presentation of Financial Statements </w:t>
      </w:r>
      <w:r w:rsidRPr="00BE0C02">
        <w:rPr>
          <w:lang w:val="en-AU"/>
        </w:rPr>
        <w:t>(July 2004);</w:t>
      </w:r>
    </w:p>
    <w:p w14:paraId="104997CE" w14:textId="77777777" w:rsidR="00DE4BC2" w:rsidRPr="00BE0C02" w:rsidRDefault="004F7F69" w:rsidP="00417E74">
      <w:pPr>
        <w:pStyle w:val="NumPlain2"/>
        <w:numPr>
          <w:ilvl w:val="0"/>
          <w:numId w:val="0"/>
        </w:numPr>
        <w:spacing w:before="0"/>
      </w:pPr>
      <w:r w:rsidRPr="00BE0C02">
        <w:t>(c)</w:t>
      </w:r>
      <w:r w:rsidRPr="00BE0C02">
        <w:tab/>
        <w:t xml:space="preserve">Statement of Accounting Concepts SAC 1 </w:t>
      </w:r>
      <w:r w:rsidRPr="00BE0C02">
        <w:rPr>
          <w:i/>
        </w:rPr>
        <w:t xml:space="preserve">Definition of the Reporting Entity </w:t>
      </w:r>
      <w:r w:rsidR="00D03E51" w:rsidRPr="00BE0C02">
        <w:t>(August 1990);</w:t>
      </w:r>
    </w:p>
    <w:p w14:paraId="725171CE" w14:textId="024D8293" w:rsidR="004F7F69" w:rsidRPr="00BE0C02" w:rsidRDefault="004F7F69" w:rsidP="00417E74">
      <w:pPr>
        <w:pStyle w:val="NumPlain2"/>
        <w:numPr>
          <w:ilvl w:val="0"/>
          <w:numId w:val="0"/>
        </w:numPr>
        <w:spacing w:before="0"/>
      </w:pPr>
      <w:r w:rsidRPr="00BE0C02">
        <w:t>(d)</w:t>
      </w:r>
      <w:r w:rsidRPr="00BE0C02">
        <w:tab/>
        <w:t xml:space="preserve">AASB 1 </w:t>
      </w:r>
      <w:r w:rsidRPr="00BE0C02">
        <w:rPr>
          <w:i/>
        </w:rPr>
        <w:t>First-</w:t>
      </w:r>
      <w:r w:rsidR="00D42B7C" w:rsidRPr="00BE0C02">
        <w:rPr>
          <w:i/>
        </w:rPr>
        <w:t>time</w:t>
      </w:r>
      <w:r w:rsidRPr="00BE0C02">
        <w:rPr>
          <w:i/>
        </w:rPr>
        <w:t xml:space="preserve"> Adoption of Australian Accounting Standards</w:t>
      </w:r>
      <w:r w:rsidRPr="00BE0C02">
        <w:t xml:space="preserve"> (July 2015); </w:t>
      </w:r>
    </w:p>
    <w:p w14:paraId="3987DFFA" w14:textId="77777777" w:rsidR="004F7F69" w:rsidRPr="00BE0C02" w:rsidRDefault="004F7F69" w:rsidP="00417E74">
      <w:pPr>
        <w:pStyle w:val="NumPlain2"/>
        <w:numPr>
          <w:ilvl w:val="0"/>
          <w:numId w:val="0"/>
        </w:numPr>
        <w:spacing w:before="0"/>
      </w:pPr>
      <w:r w:rsidRPr="00BE0C02">
        <w:t>(e)</w:t>
      </w:r>
      <w:r w:rsidRPr="00BE0C02">
        <w:tab/>
        <w:t xml:space="preserve">AASB 10 </w:t>
      </w:r>
      <w:r w:rsidRPr="00BE0C02">
        <w:rPr>
          <w:i/>
        </w:rPr>
        <w:t>Consolidated Financial Statements</w:t>
      </w:r>
      <w:r w:rsidRPr="00BE0C02">
        <w:t xml:space="preserve"> (July 2015);</w:t>
      </w:r>
    </w:p>
    <w:p w14:paraId="339F2DC4" w14:textId="25543B4A" w:rsidR="003343E3" w:rsidRPr="00BE0C02" w:rsidRDefault="004F7F69" w:rsidP="00417E74">
      <w:pPr>
        <w:pStyle w:val="NumPlain2"/>
        <w:numPr>
          <w:ilvl w:val="0"/>
          <w:numId w:val="0"/>
        </w:numPr>
        <w:spacing w:before="0"/>
      </w:pPr>
      <w:r w:rsidRPr="00BE0C02">
        <w:t>(f)</w:t>
      </w:r>
      <w:r w:rsidRPr="00BE0C02">
        <w:tab/>
        <w:t xml:space="preserve">AASB </w:t>
      </w:r>
      <w:r w:rsidR="003343E3" w:rsidRPr="00BE0C02">
        <w:t xml:space="preserve">1048 </w:t>
      </w:r>
      <w:r w:rsidR="003343E3" w:rsidRPr="00BE0C02">
        <w:rPr>
          <w:i/>
        </w:rPr>
        <w:t>Interpretation of Standards</w:t>
      </w:r>
      <w:r w:rsidR="003343E3" w:rsidRPr="00BE0C02">
        <w:t xml:space="preserve"> (December 2017);</w:t>
      </w:r>
    </w:p>
    <w:p w14:paraId="2CA84247" w14:textId="29C86BF9" w:rsidR="004F7F69" w:rsidRPr="00BE0C02" w:rsidRDefault="004F7F69" w:rsidP="00417E74">
      <w:pPr>
        <w:pStyle w:val="NumPlain2"/>
        <w:numPr>
          <w:ilvl w:val="0"/>
          <w:numId w:val="0"/>
        </w:numPr>
      </w:pPr>
      <w:r w:rsidRPr="00BE0C02">
        <w:t>(</w:t>
      </w:r>
      <w:r w:rsidR="003343E3" w:rsidRPr="00BE0C02">
        <w:t>g</w:t>
      </w:r>
      <w:r w:rsidRPr="00BE0C02">
        <w:t>)</w:t>
      </w:r>
      <w:r w:rsidRPr="00BE0C02">
        <w:tab/>
        <w:t xml:space="preserve">AASB 1053 </w:t>
      </w:r>
      <w:r w:rsidRPr="00BE0C02">
        <w:rPr>
          <w:i/>
        </w:rPr>
        <w:t>Application of Tiers of Australian Accounting Standards</w:t>
      </w:r>
      <w:r w:rsidRPr="00BE0C02">
        <w:t xml:space="preserve"> (June 2010);</w:t>
      </w:r>
      <w:r w:rsidR="00D03E51" w:rsidRPr="00BE0C02">
        <w:t xml:space="preserve"> and</w:t>
      </w:r>
    </w:p>
    <w:p w14:paraId="4E036A12" w14:textId="7296EF55" w:rsidR="004F7F69" w:rsidRPr="00BE0C02" w:rsidRDefault="004F7F69" w:rsidP="00417E74">
      <w:pPr>
        <w:pStyle w:val="NumPlain2"/>
        <w:numPr>
          <w:ilvl w:val="0"/>
          <w:numId w:val="0"/>
        </w:numPr>
      </w:pPr>
      <w:r w:rsidRPr="00BE0C02">
        <w:t>(</w:t>
      </w:r>
      <w:r w:rsidR="003343E3" w:rsidRPr="00BE0C02">
        <w:t>h</w:t>
      </w:r>
      <w:r w:rsidRPr="00BE0C02">
        <w:t>)</w:t>
      </w:r>
      <w:r w:rsidRPr="00BE0C02">
        <w:tab/>
        <w:t xml:space="preserve">AASB 1057 </w:t>
      </w:r>
      <w:r w:rsidRPr="00BE0C02">
        <w:rPr>
          <w:i/>
        </w:rPr>
        <w:t>Application of Australian Accounting Standards</w:t>
      </w:r>
      <w:r w:rsidRPr="00BE0C02">
        <w:t xml:space="preserve"> (July 2015)</w:t>
      </w:r>
      <w:r w:rsidR="00B54581" w:rsidRPr="00BE0C02">
        <w:t xml:space="preserve">; </w:t>
      </w:r>
    </w:p>
    <w:p w14:paraId="74090AEE" w14:textId="50F1E68F" w:rsidR="0009048B" w:rsidRPr="00BE0C02" w:rsidRDefault="005B631C" w:rsidP="00A445EE">
      <w:pPr>
        <w:pStyle w:val="NoNumPlain1"/>
      </w:pPr>
      <w:r w:rsidRPr="00BE0C02">
        <w:t>to update the set of for-profit entities for which</w:t>
      </w:r>
      <w:r w:rsidR="00B54581" w:rsidRPr="00BE0C02">
        <w:t xml:space="preserve"> </w:t>
      </w:r>
      <w:r w:rsidRPr="00BE0C02">
        <w:t xml:space="preserve">the reporting entity concept </w:t>
      </w:r>
      <w:r w:rsidR="00E15B78" w:rsidRPr="00BE0C02">
        <w:t>in</w:t>
      </w:r>
      <w:r w:rsidRPr="00BE0C02">
        <w:t xml:space="preserve"> SAC 1 </w:t>
      </w:r>
      <w:r w:rsidR="00D03E51" w:rsidRPr="00BE0C02">
        <w:t xml:space="preserve">is no longer relevant. Such entities </w:t>
      </w:r>
      <w:r w:rsidRPr="00BE0C02">
        <w:t>a</w:t>
      </w:r>
      <w:r w:rsidR="00D03E51" w:rsidRPr="00BE0C02">
        <w:t>re therefore not able to prepare</w:t>
      </w:r>
      <w:r w:rsidRPr="00BE0C02">
        <w:t xml:space="preserve"> special </w:t>
      </w:r>
      <w:r w:rsidR="00D03E51" w:rsidRPr="00BE0C02">
        <w:t xml:space="preserve">purpose financial statements when </w:t>
      </w:r>
      <w:r w:rsidR="00097ECA" w:rsidRPr="00BE0C02">
        <w:t xml:space="preserve">financial statements are required to comply with </w:t>
      </w:r>
      <w:r w:rsidR="00D03E51" w:rsidRPr="00BE0C02">
        <w:t>Australian Accounting Standards</w:t>
      </w:r>
      <w:r w:rsidR="00974D97" w:rsidRPr="00BE0C02">
        <w:t xml:space="preserve"> </w:t>
      </w:r>
      <w:r w:rsidR="00B86DE8" w:rsidRPr="00BE0C02">
        <w:t xml:space="preserve">or </w:t>
      </w:r>
      <w:r w:rsidR="00097ECA" w:rsidRPr="00BE0C02">
        <w:t xml:space="preserve">when legislation requires financial statements to comply </w:t>
      </w:r>
      <w:r w:rsidR="00B86DE8" w:rsidRPr="00BE0C02">
        <w:t>with accounting standards</w:t>
      </w:r>
      <w:r w:rsidR="00DE4BC2" w:rsidRPr="00BE0C02">
        <w:t>.</w:t>
      </w:r>
      <w:r w:rsidR="00D03E51" w:rsidRPr="00BE0C02">
        <w:t xml:space="preserve"> This Standard also makes </w:t>
      </w:r>
      <w:r w:rsidR="00E26497" w:rsidRPr="00BE0C02">
        <w:t xml:space="preserve">transition and </w:t>
      </w:r>
      <w:r w:rsidR="00D03E51" w:rsidRPr="00BE0C02">
        <w:t>consequential amendments to other Standards and pronouncements.</w:t>
      </w:r>
    </w:p>
    <w:p w14:paraId="19F536DD" w14:textId="77777777" w:rsidR="00BA5A1C" w:rsidRPr="00BE0C02" w:rsidRDefault="00BA5A1C" w:rsidP="000275FA">
      <w:pPr>
        <w:pStyle w:val="IASBSectionTitle1NonInd"/>
      </w:pPr>
      <w:r w:rsidRPr="00BE0C02">
        <w:t>Application</w:t>
      </w:r>
    </w:p>
    <w:p w14:paraId="6F466D10" w14:textId="0206241E" w:rsidR="00BA5A1C" w:rsidRPr="00BE0C02" w:rsidRDefault="00605C46" w:rsidP="00A445EE">
      <w:pPr>
        <w:pStyle w:val="NoNumPlain1"/>
      </w:pPr>
      <w:r w:rsidRPr="00BE0C02">
        <w:t xml:space="preserve">The amendments </w:t>
      </w:r>
      <w:r w:rsidR="007417C4" w:rsidRPr="00BE0C02">
        <w:t>set out in this Standard</w:t>
      </w:r>
      <w:r w:rsidR="00BA5A1C" w:rsidRPr="00BE0C02">
        <w:t xml:space="preserve"> apply to entities and financial statements in accordance with the application</w:t>
      </w:r>
      <w:r w:rsidR="00010915" w:rsidRPr="00BE0C02">
        <w:t xml:space="preserve"> of</w:t>
      </w:r>
      <w:r w:rsidR="00BA5A1C" w:rsidRPr="00BE0C02">
        <w:t xml:space="preserve"> </w:t>
      </w:r>
      <w:r w:rsidR="000C6EAA" w:rsidRPr="00BE0C02">
        <w:t xml:space="preserve">the other Standards </w:t>
      </w:r>
      <w:r w:rsidR="00BA5A1C" w:rsidRPr="00BE0C02">
        <w:t xml:space="preserve">set out in </w:t>
      </w:r>
      <w:r w:rsidR="00291416" w:rsidRPr="00BE0C02">
        <w:t>AASB </w:t>
      </w:r>
      <w:r w:rsidR="00BA5A1C" w:rsidRPr="00BE0C02">
        <w:t xml:space="preserve">1057 </w:t>
      </w:r>
      <w:r w:rsidR="00BA5A1C" w:rsidRPr="00BE0C02">
        <w:rPr>
          <w:i/>
        </w:rPr>
        <w:t>Application of Australian Accounting Standards</w:t>
      </w:r>
      <w:r w:rsidR="00C60D0F" w:rsidRPr="00BE0C02">
        <w:t xml:space="preserve"> and the other pronouncements</w:t>
      </w:r>
      <w:r w:rsidR="00BA5A1C" w:rsidRPr="00BE0C02">
        <w:rPr>
          <w:i/>
        </w:rPr>
        <w:t>.</w:t>
      </w:r>
    </w:p>
    <w:p w14:paraId="7BD2E22A" w14:textId="7A18F274" w:rsidR="00D14F18" w:rsidRPr="00BE0C02" w:rsidRDefault="00605C46" w:rsidP="00A445EE">
      <w:pPr>
        <w:pStyle w:val="NoNumPlain1"/>
      </w:pPr>
      <w:r w:rsidRPr="00BE0C02">
        <w:t xml:space="preserve">This </w:t>
      </w:r>
      <w:r w:rsidR="00BA5A1C" w:rsidRPr="00BE0C02">
        <w:t xml:space="preserve">Standard applies to annual </w:t>
      </w:r>
      <w:r w:rsidR="002B67F2" w:rsidRPr="00BE0C02">
        <w:t xml:space="preserve">reporting </w:t>
      </w:r>
      <w:r w:rsidR="00BA5A1C" w:rsidRPr="00BE0C02">
        <w:t xml:space="preserve">periods </w:t>
      </w:r>
      <w:r w:rsidR="00E369EE" w:rsidRPr="00BE0C02">
        <w:t xml:space="preserve">beginning </w:t>
      </w:r>
      <w:r w:rsidR="00BA5A1C" w:rsidRPr="00BE0C02">
        <w:t xml:space="preserve">on or after </w:t>
      </w:r>
      <w:r w:rsidR="002A655F" w:rsidRPr="00BE0C02">
        <w:t>1 July 2021</w:t>
      </w:r>
      <w:r w:rsidR="00BA5A1C" w:rsidRPr="00BE0C02">
        <w:t>.</w:t>
      </w:r>
      <w:bookmarkStart w:id="4" w:name="EarlyYesPara"/>
      <w:r w:rsidR="008511F5" w:rsidRPr="00BE0C02">
        <w:t xml:space="preserve"> </w:t>
      </w:r>
    </w:p>
    <w:p w14:paraId="643B6010" w14:textId="5F14BFD1" w:rsidR="00BA5A1C" w:rsidRPr="00BE0C02" w:rsidRDefault="00BA5A1C" w:rsidP="00A445EE">
      <w:pPr>
        <w:pStyle w:val="NoNumPlain1"/>
      </w:pPr>
      <w:r w:rsidRPr="00BE0C02">
        <w:t xml:space="preserve">This Standard may be applied to annual </w:t>
      </w:r>
      <w:r w:rsidR="002B67F2" w:rsidRPr="00BE0C02">
        <w:t xml:space="preserve">reporting </w:t>
      </w:r>
      <w:r w:rsidRPr="00BE0C02">
        <w:t xml:space="preserve">periods </w:t>
      </w:r>
      <w:bookmarkStart w:id="5" w:name="EarlyText"/>
      <w:r w:rsidRPr="00BE0C02">
        <w:t>beginning</w:t>
      </w:r>
      <w:bookmarkEnd w:id="5"/>
      <w:r w:rsidRPr="00BE0C02">
        <w:t xml:space="preserve"> before </w:t>
      </w:r>
      <w:r w:rsidR="002A655F" w:rsidRPr="00BE0C02">
        <w:t>1 July 2021</w:t>
      </w:r>
      <w:r w:rsidR="00DE4BC2" w:rsidRPr="00BE0C02">
        <w:t>.</w:t>
      </w:r>
      <w:r w:rsidR="00957CB6" w:rsidRPr="00BE0C02">
        <w:t xml:space="preserve"> </w:t>
      </w:r>
      <w:r w:rsidR="007417C4" w:rsidRPr="00BE0C02">
        <w:t xml:space="preserve">When </w:t>
      </w:r>
      <w:r w:rsidR="00605C46" w:rsidRPr="00BE0C02">
        <w:t xml:space="preserve">an </w:t>
      </w:r>
      <w:r w:rsidRPr="00BE0C02">
        <w:t>entity applies this Standard to such an annual period, it shall disclose that fact.</w:t>
      </w:r>
    </w:p>
    <w:p w14:paraId="54E13AED" w14:textId="77777777" w:rsidR="00DE4BC2" w:rsidRPr="00BE0C02" w:rsidRDefault="00DE4BC2" w:rsidP="00A445EE">
      <w:pPr>
        <w:pStyle w:val="NoNumPlain1"/>
      </w:pPr>
      <w:r w:rsidRPr="00BE0C02">
        <w:t xml:space="preserve">This Standard uses underlining, striking out and other typographical material to identify some of the amendments to a </w:t>
      </w:r>
      <w:r w:rsidR="002A025B" w:rsidRPr="00BE0C02">
        <w:t>pronouncement</w:t>
      </w:r>
      <w:r w:rsidRPr="00BE0C02">
        <w:t>, in order to make the amendments more understandable. However, the amendments made by this Standard do not include that underlining, striking out or other typographical material. Amended paragraphs are shown with deleted text struck through and new text underlined. Ellipses (…) are used to help provide the context within which amendments are made and also to indicate text that is not amended.</w:t>
      </w:r>
    </w:p>
    <w:bookmarkEnd w:id="4"/>
    <w:p w14:paraId="5F9E6C43" w14:textId="77777777" w:rsidR="000C6EAA" w:rsidRPr="00BE0C02" w:rsidRDefault="000C6EAA" w:rsidP="000C6EAA">
      <w:pPr>
        <w:pStyle w:val="Heading2"/>
      </w:pPr>
      <w:r w:rsidRPr="00BE0C02">
        <w:lastRenderedPageBreak/>
        <w:t xml:space="preserve">Amendments to the </w:t>
      </w:r>
      <w:r w:rsidRPr="00BE0C02">
        <w:rPr>
          <w:i/>
        </w:rPr>
        <w:t>Conceptual Framework for Financial Reporting</w:t>
      </w:r>
    </w:p>
    <w:p w14:paraId="5BAC4232" w14:textId="77777777" w:rsidR="000C6EAA" w:rsidRPr="00BE0C02" w:rsidRDefault="000C2E3C" w:rsidP="00D03E51">
      <w:pPr>
        <w:keepNext/>
        <w:pBdr>
          <w:top w:val="single" w:sz="4" w:space="1" w:color="auto"/>
          <w:left w:val="single" w:sz="4" w:space="4" w:color="auto"/>
          <w:bottom w:val="single" w:sz="4" w:space="1" w:color="auto"/>
          <w:right w:val="single" w:sz="4" w:space="4" w:color="auto"/>
        </w:pBdr>
        <w:autoSpaceDE w:val="0"/>
        <w:autoSpaceDN w:val="0"/>
        <w:adjustRightInd w:val="0"/>
        <w:jc w:val="left"/>
        <w:rPr>
          <w:szCs w:val="19"/>
        </w:rPr>
      </w:pPr>
      <w:r w:rsidRPr="00BE0C02">
        <w:rPr>
          <w:szCs w:val="19"/>
        </w:rPr>
        <w:t>Paragraph</w:t>
      </w:r>
      <w:r w:rsidR="00280D29" w:rsidRPr="00BE0C02">
        <w:rPr>
          <w:szCs w:val="19"/>
        </w:rPr>
        <w:t>s</w:t>
      </w:r>
      <w:r w:rsidRPr="00BE0C02">
        <w:rPr>
          <w:szCs w:val="19"/>
        </w:rPr>
        <w:t xml:space="preserve"> Aus1</w:t>
      </w:r>
      <w:r w:rsidR="00AA2E6D" w:rsidRPr="00BE0C02">
        <w:rPr>
          <w:szCs w:val="19"/>
        </w:rPr>
        <w:t>.1</w:t>
      </w:r>
      <w:r w:rsidR="00280D29" w:rsidRPr="00BE0C02">
        <w:rPr>
          <w:szCs w:val="19"/>
        </w:rPr>
        <w:t xml:space="preserve"> and </w:t>
      </w:r>
      <w:r w:rsidR="00323BFA" w:rsidRPr="00BE0C02">
        <w:rPr>
          <w:szCs w:val="19"/>
        </w:rPr>
        <w:t>Aus</w:t>
      </w:r>
      <w:r w:rsidR="00280D29" w:rsidRPr="00BE0C02">
        <w:rPr>
          <w:szCs w:val="19"/>
        </w:rPr>
        <w:t>1.2</w:t>
      </w:r>
      <w:r w:rsidRPr="00BE0C02">
        <w:rPr>
          <w:szCs w:val="19"/>
        </w:rPr>
        <w:t xml:space="preserve"> </w:t>
      </w:r>
      <w:r w:rsidR="00280D29" w:rsidRPr="00BE0C02">
        <w:rPr>
          <w:szCs w:val="19"/>
        </w:rPr>
        <w:t>are</w:t>
      </w:r>
      <w:r w:rsidRPr="00BE0C02">
        <w:rPr>
          <w:szCs w:val="19"/>
        </w:rPr>
        <w:t xml:space="preserve"> amended. </w:t>
      </w:r>
    </w:p>
    <w:p w14:paraId="7A745BAA" w14:textId="77777777" w:rsidR="000C2E3C" w:rsidRPr="00BE0C02" w:rsidRDefault="000C2E3C" w:rsidP="000C2E3C">
      <w:pPr>
        <w:pStyle w:val="Heading2"/>
        <w:pBdr>
          <w:bottom w:val="none" w:sz="0" w:space="0" w:color="auto"/>
        </w:pBdr>
        <w:rPr>
          <w:sz w:val="22"/>
          <w:szCs w:val="22"/>
        </w:rPr>
      </w:pPr>
      <w:r w:rsidRPr="00BE0C02">
        <w:rPr>
          <w:sz w:val="22"/>
          <w:szCs w:val="22"/>
        </w:rPr>
        <w:t>APPLICATION</w:t>
      </w:r>
    </w:p>
    <w:p w14:paraId="5CED915A" w14:textId="77777777" w:rsidR="000C2E3C" w:rsidRPr="00BE0C02" w:rsidRDefault="000C2E3C" w:rsidP="00D03E51">
      <w:pPr>
        <w:pStyle w:val="IASBNormalnpara"/>
        <w:keepNext/>
        <w:rPr>
          <w:lang w:val="en-AU"/>
        </w:rPr>
      </w:pPr>
      <w:r w:rsidRPr="00BE0C02">
        <w:rPr>
          <w:lang w:val="en-AU"/>
        </w:rPr>
        <w:t>Aus1.1</w:t>
      </w:r>
      <w:r w:rsidRPr="00BE0C02">
        <w:rPr>
          <w:lang w:val="en-AU"/>
        </w:rPr>
        <w:tab/>
        <w:t xml:space="preserve">This </w:t>
      </w:r>
      <w:r w:rsidRPr="00BE0C02">
        <w:rPr>
          <w:i/>
          <w:lang w:val="en-AU"/>
        </w:rPr>
        <w:t>Conceptual Framework</w:t>
      </w:r>
      <w:r w:rsidRPr="00BE0C02">
        <w:rPr>
          <w:lang w:val="en-AU"/>
        </w:rPr>
        <w:t xml:space="preserve"> applies to: </w:t>
      </w:r>
    </w:p>
    <w:p w14:paraId="20EE08A2" w14:textId="2C0E9E95" w:rsidR="00891C76" w:rsidRPr="00BE0C02" w:rsidRDefault="00952635" w:rsidP="00952635">
      <w:pPr>
        <w:pStyle w:val="IASBNormalnparaL1"/>
        <w:rPr>
          <w:lang w:val="en-AU"/>
        </w:rPr>
      </w:pPr>
      <w:r w:rsidRPr="00BE0C02">
        <w:rPr>
          <w:lang w:val="en-AU"/>
        </w:rPr>
        <w:t>(a)</w:t>
      </w:r>
      <w:r w:rsidRPr="00BE0C02">
        <w:rPr>
          <w:lang w:val="en-AU"/>
        </w:rPr>
        <w:tab/>
      </w:r>
      <w:r w:rsidR="000C2E3C" w:rsidRPr="00BE0C02">
        <w:rPr>
          <w:lang w:val="en-AU"/>
        </w:rPr>
        <w:t xml:space="preserve">for-profit private sector entities that </w:t>
      </w:r>
      <w:r w:rsidR="000C2E3C" w:rsidRPr="00BE0C02">
        <w:rPr>
          <w:strike/>
          <w:lang w:val="en-AU"/>
        </w:rPr>
        <w:t xml:space="preserve">have public accountability* and </w:t>
      </w:r>
      <w:r w:rsidR="000C2E3C" w:rsidRPr="00BE0C02">
        <w:rPr>
          <w:lang w:val="en-AU"/>
        </w:rPr>
        <w:t xml:space="preserve">are required by legislation to </w:t>
      </w:r>
      <w:r w:rsidR="00AB5B62" w:rsidRPr="00BE0C02">
        <w:rPr>
          <w:u w:val="single"/>
          <w:lang w:val="en-AU"/>
        </w:rPr>
        <w:t xml:space="preserve">prepare financial statements that </w:t>
      </w:r>
      <w:r w:rsidR="000C2E3C" w:rsidRPr="00BE0C02">
        <w:rPr>
          <w:lang w:val="en-AU"/>
        </w:rPr>
        <w:t xml:space="preserve">comply with </w:t>
      </w:r>
      <w:r w:rsidR="003D5845" w:rsidRPr="00BE0C02">
        <w:rPr>
          <w:u w:val="single"/>
          <w:lang w:val="en-AU"/>
        </w:rPr>
        <w:t>eithe</w:t>
      </w:r>
      <w:r w:rsidR="000C2E3C" w:rsidRPr="00BE0C02">
        <w:rPr>
          <w:u w:val="single"/>
          <w:lang w:val="en-AU"/>
        </w:rPr>
        <w:t>r</w:t>
      </w:r>
      <w:r w:rsidR="000C2E3C" w:rsidRPr="00BE0C02">
        <w:rPr>
          <w:lang w:val="en-AU"/>
        </w:rPr>
        <w:t xml:space="preserve"> Australian Accounting Standards</w:t>
      </w:r>
      <w:r w:rsidR="003D5845" w:rsidRPr="00BE0C02">
        <w:rPr>
          <w:u w:val="single"/>
          <w:lang w:val="en-AU"/>
        </w:rPr>
        <w:t xml:space="preserve"> or accounting standards</w:t>
      </w:r>
      <w:r w:rsidR="003D5845" w:rsidRPr="00BE0C02">
        <w:rPr>
          <w:lang w:val="en-AU"/>
        </w:rPr>
        <w:t>;</w:t>
      </w:r>
      <w:r w:rsidR="000C2E3C" w:rsidRPr="00BE0C02">
        <w:rPr>
          <w:szCs w:val="19"/>
          <w:lang w:val="en-AU"/>
        </w:rPr>
        <w:t xml:space="preserve"> </w:t>
      </w:r>
      <w:r w:rsidR="003D5845" w:rsidRPr="00BE0C02">
        <w:rPr>
          <w:strike/>
          <w:szCs w:val="19"/>
          <w:lang w:val="en-AU"/>
        </w:rPr>
        <w:t>and</w:t>
      </w:r>
    </w:p>
    <w:p w14:paraId="66CDE7A5" w14:textId="3C1AC101" w:rsidR="003D5845" w:rsidRPr="00BE0C02" w:rsidRDefault="00952635" w:rsidP="00952635">
      <w:pPr>
        <w:pStyle w:val="IASBNormalnparaL1"/>
        <w:rPr>
          <w:u w:val="single"/>
          <w:lang w:val="en-AU"/>
        </w:rPr>
      </w:pPr>
      <w:r w:rsidRPr="00BE0C02">
        <w:rPr>
          <w:lang w:val="en-AU"/>
        </w:rPr>
        <w:t>(b)</w:t>
      </w:r>
      <w:r w:rsidRPr="00BE0C02">
        <w:rPr>
          <w:lang w:val="en-AU"/>
        </w:rPr>
        <w:tab/>
      </w:r>
      <w:r w:rsidR="003D5845" w:rsidRPr="00BE0C02">
        <w:rPr>
          <w:u w:val="single"/>
          <w:lang w:val="en-AU"/>
        </w:rPr>
        <w:t xml:space="preserve">other for-profit private sector entities that </w:t>
      </w:r>
      <w:r w:rsidR="003D5845" w:rsidRPr="00BE0C02">
        <w:rPr>
          <w:szCs w:val="19"/>
          <w:u w:val="single"/>
          <w:lang w:val="en-AU"/>
        </w:rPr>
        <w:t xml:space="preserve">are required only by their </w:t>
      </w:r>
      <w:r w:rsidR="00640E16" w:rsidRPr="00BE0C02">
        <w:rPr>
          <w:szCs w:val="19"/>
          <w:u w:val="single"/>
          <w:lang w:val="en-AU"/>
        </w:rPr>
        <w:t xml:space="preserve">constituting </w:t>
      </w:r>
      <w:r w:rsidR="00D547F1" w:rsidRPr="00BE0C02">
        <w:rPr>
          <w:szCs w:val="19"/>
          <w:u w:val="single"/>
          <w:lang w:val="en-AU"/>
        </w:rPr>
        <w:t xml:space="preserve">document or another </w:t>
      </w:r>
      <w:r w:rsidR="00640E16" w:rsidRPr="00BE0C02">
        <w:rPr>
          <w:szCs w:val="19"/>
          <w:u w:val="single"/>
          <w:lang w:val="en-AU"/>
        </w:rPr>
        <w:t>document</w:t>
      </w:r>
      <w:r w:rsidR="003D5845" w:rsidRPr="00BE0C02">
        <w:rPr>
          <w:szCs w:val="19"/>
          <w:u w:val="single"/>
          <w:lang w:val="en-AU"/>
        </w:rPr>
        <w:t xml:space="preserve"> to </w:t>
      </w:r>
      <w:r w:rsidR="00AB5B62" w:rsidRPr="00BE0C02">
        <w:rPr>
          <w:szCs w:val="19"/>
          <w:u w:val="single"/>
          <w:lang w:val="en-AU"/>
        </w:rPr>
        <w:t xml:space="preserve">prepare financial statements that </w:t>
      </w:r>
      <w:r w:rsidR="003D5845" w:rsidRPr="00BE0C02">
        <w:rPr>
          <w:szCs w:val="19"/>
          <w:u w:val="single"/>
          <w:lang w:val="en-AU"/>
        </w:rPr>
        <w:t>comply with Australian Accounting Standards</w:t>
      </w:r>
      <w:r w:rsidR="00640E16" w:rsidRPr="00BE0C02">
        <w:rPr>
          <w:szCs w:val="19"/>
          <w:u w:val="single"/>
          <w:lang w:val="en-AU"/>
        </w:rPr>
        <w:t xml:space="preserve">, provided that the </w:t>
      </w:r>
      <w:r w:rsidR="00DE0238" w:rsidRPr="00BE0C02">
        <w:rPr>
          <w:szCs w:val="19"/>
          <w:u w:val="single"/>
          <w:lang w:val="en-AU"/>
        </w:rPr>
        <w:t xml:space="preserve">relevant </w:t>
      </w:r>
      <w:r w:rsidR="00640E16" w:rsidRPr="00BE0C02">
        <w:rPr>
          <w:szCs w:val="19"/>
          <w:u w:val="single"/>
          <w:lang w:val="en-AU"/>
        </w:rPr>
        <w:t xml:space="preserve">document was created or amended on or after 1 July </w:t>
      </w:r>
      <w:r w:rsidR="00DA02B9" w:rsidRPr="00BE0C02">
        <w:rPr>
          <w:szCs w:val="19"/>
          <w:u w:val="single"/>
          <w:lang w:val="en-AU"/>
        </w:rPr>
        <w:t>2021</w:t>
      </w:r>
      <w:r w:rsidR="00640E16" w:rsidRPr="00BE0C02">
        <w:rPr>
          <w:szCs w:val="19"/>
          <w:u w:val="single"/>
          <w:lang w:val="en-AU"/>
        </w:rPr>
        <w:t>; and</w:t>
      </w:r>
    </w:p>
    <w:p w14:paraId="043C9902" w14:textId="5CC685DC" w:rsidR="000C2E3C" w:rsidRPr="00BE0C02" w:rsidRDefault="00A93E47" w:rsidP="00DE0238">
      <w:pPr>
        <w:pStyle w:val="IASBNormalnparaL1"/>
        <w:rPr>
          <w:lang w:val="en-AU"/>
        </w:rPr>
      </w:pPr>
      <w:r w:rsidRPr="00BE0C02">
        <w:rPr>
          <w:u w:val="single"/>
          <w:lang w:val="en-AU"/>
        </w:rPr>
        <w:t>(c)</w:t>
      </w:r>
      <w:r w:rsidRPr="00BE0C02">
        <w:rPr>
          <w:lang w:val="en-AU"/>
        </w:rPr>
        <w:tab/>
      </w:r>
      <w:r w:rsidR="000C2E3C" w:rsidRPr="00BE0C02">
        <w:rPr>
          <w:lang w:val="en-AU"/>
        </w:rPr>
        <w:t>other</w:t>
      </w:r>
      <w:r w:rsidR="003D5845" w:rsidRPr="00BE0C02">
        <w:rPr>
          <w:lang w:val="en-AU"/>
        </w:rPr>
        <w:t xml:space="preserve"> </w:t>
      </w:r>
      <w:r w:rsidR="000C2E3C" w:rsidRPr="00BE0C02">
        <w:rPr>
          <w:lang w:val="en-AU"/>
        </w:rPr>
        <w:t xml:space="preserve">for-profit entities </w:t>
      </w:r>
      <w:r w:rsidR="00667E9B" w:rsidRPr="00BE0C02">
        <w:rPr>
          <w:u w:val="single"/>
          <w:lang w:val="en-AU"/>
        </w:rPr>
        <w:t>(private sector</w:t>
      </w:r>
      <w:r w:rsidR="00B544FE" w:rsidRPr="00BE0C02">
        <w:rPr>
          <w:u w:val="single"/>
          <w:lang w:val="en-AU"/>
        </w:rPr>
        <w:t xml:space="preserve"> or public sector)</w:t>
      </w:r>
      <w:r w:rsidR="000C2E3C" w:rsidRPr="00BE0C02">
        <w:rPr>
          <w:lang w:val="en-AU"/>
        </w:rPr>
        <w:t xml:space="preserve"> that elect to </w:t>
      </w:r>
      <w:r w:rsidR="003F5247" w:rsidRPr="00BE0C02">
        <w:rPr>
          <w:u w:val="single"/>
          <w:lang w:val="en-AU"/>
        </w:rPr>
        <w:t>prepare general purpose financial statements</w:t>
      </w:r>
      <w:r w:rsidR="003F5247" w:rsidRPr="00BE0C02" w:rsidDel="0006410F">
        <w:rPr>
          <w:strike/>
          <w:lang w:val="en-AU"/>
        </w:rPr>
        <w:t xml:space="preserve"> </w:t>
      </w:r>
      <w:r w:rsidR="000C2E3C" w:rsidRPr="00BE0C02">
        <w:rPr>
          <w:strike/>
          <w:lang w:val="en-AU"/>
        </w:rPr>
        <w:t xml:space="preserve">apply the </w:t>
      </w:r>
      <w:r w:rsidR="000C2E3C" w:rsidRPr="00BE0C02">
        <w:rPr>
          <w:i/>
          <w:strike/>
          <w:lang w:val="en-AU"/>
        </w:rPr>
        <w:t>Conceptual Framework</w:t>
      </w:r>
      <w:r w:rsidR="000C2E3C" w:rsidRPr="00BE0C02">
        <w:rPr>
          <w:strike/>
          <w:lang w:val="en-AU"/>
        </w:rPr>
        <w:t xml:space="preserve"> and the consequential amendments to other pronouncements set out in Accounting Standard AASB</w:t>
      </w:r>
      <w:r w:rsidR="00D14F18" w:rsidRPr="00BE0C02">
        <w:rPr>
          <w:strike/>
          <w:lang w:val="en-AU"/>
        </w:rPr>
        <w:t> </w:t>
      </w:r>
      <w:r w:rsidR="000C2E3C" w:rsidRPr="00BE0C02">
        <w:rPr>
          <w:strike/>
          <w:lang w:val="en-AU"/>
        </w:rPr>
        <w:t>2019</w:t>
      </w:r>
      <w:r w:rsidR="00D14F18" w:rsidRPr="00BE0C02">
        <w:rPr>
          <w:strike/>
          <w:lang w:val="en-AU"/>
        </w:rPr>
        <w:noBreakHyphen/>
      </w:r>
      <w:r w:rsidR="00661BA7" w:rsidRPr="00BE0C02">
        <w:rPr>
          <w:strike/>
          <w:lang w:val="en-AU"/>
        </w:rPr>
        <w:t>1</w:t>
      </w:r>
      <w:r w:rsidR="000C2E3C" w:rsidRPr="00BE0C02">
        <w:rPr>
          <w:strike/>
          <w:lang w:val="en-AU"/>
        </w:rPr>
        <w:t xml:space="preserve"> </w:t>
      </w:r>
      <w:r w:rsidR="000C2E3C" w:rsidRPr="00BE0C02">
        <w:rPr>
          <w:i/>
          <w:strike/>
          <w:lang w:val="en-AU"/>
        </w:rPr>
        <w:t>Amendments to Australian Accounting Standards – References to the Conceptual Framework</w:t>
      </w:r>
      <w:r w:rsidR="00855AA0" w:rsidRPr="00BE0C02" w:rsidDel="007B2853">
        <w:rPr>
          <w:lang w:val="en-AU"/>
        </w:rPr>
        <w:t>.</w:t>
      </w:r>
      <w:r w:rsidR="00855AA0" w:rsidRPr="00BE0C02">
        <w:rPr>
          <w:lang w:val="en-AU"/>
        </w:rPr>
        <w:t xml:space="preserve"> </w:t>
      </w:r>
    </w:p>
    <w:p w14:paraId="23C6A311" w14:textId="77777777" w:rsidR="00A92F06" w:rsidRPr="00BE0C02" w:rsidRDefault="00A92F06" w:rsidP="00944EEF">
      <w:pPr>
        <w:autoSpaceDE w:val="0"/>
        <w:autoSpaceDN w:val="0"/>
        <w:adjustRightInd w:val="0"/>
        <w:spacing w:before="100"/>
        <w:ind w:left="782"/>
        <w:rPr>
          <w:strike/>
          <w:sz w:val="16"/>
          <w:szCs w:val="16"/>
        </w:rPr>
      </w:pPr>
      <w:r w:rsidRPr="00BE0C02">
        <w:rPr>
          <w:strike/>
          <w:szCs w:val="19"/>
        </w:rPr>
        <w:t>*</w:t>
      </w:r>
      <w:r w:rsidRPr="00BE0C02">
        <w:rPr>
          <w:sz w:val="16"/>
          <w:szCs w:val="16"/>
        </w:rPr>
        <w:t xml:space="preserve"> </w:t>
      </w:r>
      <w:r w:rsidRPr="00BE0C02">
        <w:rPr>
          <w:sz w:val="16"/>
          <w:szCs w:val="16"/>
        </w:rPr>
        <w:tab/>
      </w:r>
      <w:r w:rsidRPr="00BE0C02">
        <w:rPr>
          <w:strike/>
          <w:sz w:val="16"/>
          <w:szCs w:val="16"/>
        </w:rPr>
        <w:t xml:space="preserve">The term ‘public accountability’ is defined in AASB 1053 </w:t>
      </w:r>
      <w:r w:rsidRPr="00BE0C02">
        <w:rPr>
          <w:i/>
          <w:strike/>
          <w:sz w:val="16"/>
          <w:szCs w:val="16"/>
        </w:rPr>
        <w:t>Application of Tiers of Australian Accounting Standards</w:t>
      </w:r>
      <w:r w:rsidRPr="00BE0C02">
        <w:rPr>
          <w:strike/>
          <w:sz w:val="16"/>
          <w:szCs w:val="16"/>
        </w:rPr>
        <w:t>.</w:t>
      </w:r>
    </w:p>
    <w:p w14:paraId="166A85A4" w14:textId="07C567B3" w:rsidR="000C2E3C" w:rsidRPr="00BE0C02" w:rsidRDefault="000C2E3C" w:rsidP="000C2E3C">
      <w:pPr>
        <w:pStyle w:val="IASBNormalnpara"/>
        <w:rPr>
          <w:lang w:val="en-AU"/>
        </w:rPr>
      </w:pPr>
      <w:r w:rsidRPr="00BE0C02">
        <w:rPr>
          <w:lang w:val="en-AU"/>
        </w:rPr>
        <w:t>Aus1.2</w:t>
      </w:r>
      <w:r w:rsidRPr="00BE0C02">
        <w:rPr>
          <w:lang w:val="en-AU"/>
        </w:rPr>
        <w:tab/>
        <w:t xml:space="preserve">This </w:t>
      </w:r>
      <w:r w:rsidRPr="00BE0C02">
        <w:rPr>
          <w:i/>
          <w:lang w:val="en-AU"/>
        </w:rPr>
        <w:t>Conceptual Framework</w:t>
      </w:r>
      <w:r w:rsidRPr="00BE0C02">
        <w:rPr>
          <w:lang w:val="en-AU"/>
        </w:rPr>
        <w:t xml:space="preserve"> applies to periods beginning on or after 1 </w:t>
      </w:r>
      <w:r w:rsidR="0063460B" w:rsidRPr="00BE0C02">
        <w:rPr>
          <w:strike/>
          <w:szCs w:val="19"/>
          <w:lang w:val="en-AU"/>
        </w:rPr>
        <w:t>January</w:t>
      </w:r>
      <w:r w:rsidR="006109D1" w:rsidRPr="00BE0C02">
        <w:rPr>
          <w:strike/>
          <w:szCs w:val="19"/>
          <w:lang w:val="en-AU"/>
        </w:rPr>
        <w:t xml:space="preserve"> </w:t>
      </w:r>
      <w:r w:rsidRPr="00BE0C02" w:rsidDel="00E92C4E">
        <w:rPr>
          <w:strike/>
          <w:szCs w:val="19"/>
          <w:lang w:val="en-AU"/>
        </w:rPr>
        <w:t>2020</w:t>
      </w:r>
      <w:r w:rsidR="006109D1" w:rsidRPr="00BE0C02">
        <w:rPr>
          <w:u w:val="single"/>
          <w:lang w:val="en-AU"/>
        </w:rPr>
        <w:t xml:space="preserve"> </w:t>
      </w:r>
      <w:r w:rsidR="008719E1" w:rsidRPr="00BE0C02">
        <w:rPr>
          <w:u w:val="single"/>
          <w:lang w:val="en-AU"/>
        </w:rPr>
        <w:t xml:space="preserve">July </w:t>
      </w:r>
      <w:r w:rsidR="00E92C4E" w:rsidRPr="00BE0C02">
        <w:rPr>
          <w:u w:val="single"/>
          <w:lang w:val="en-AU"/>
        </w:rPr>
        <w:t>2021</w:t>
      </w:r>
      <w:r w:rsidRPr="00BE0C02">
        <w:rPr>
          <w:lang w:val="en-AU"/>
        </w:rPr>
        <w:t xml:space="preserve">. Earlier application is permitted if at the same time an entity also applies the </w:t>
      </w:r>
      <w:r w:rsidR="00FE33B6" w:rsidRPr="00BE0C02">
        <w:rPr>
          <w:lang w:val="en-AU"/>
        </w:rPr>
        <w:t>amendments made by AASB </w:t>
      </w:r>
      <w:r w:rsidRPr="00BE0C02">
        <w:rPr>
          <w:lang w:val="en-AU"/>
        </w:rPr>
        <w:t>2019-</w:t>
      </w:r>
      <w:r w:rsidR="00B17A08" w:rsidRPr="00BE0C02">
        <w:rPr>
          <w:lang w:val="en-AU"/>
        </w:rPr>
        <w:t>1</w:t>
      </w:r>
      <w:r w:rsidR="00855AA0" w:rsidRPr="00BE0C02">
        <w:rPr>
          <w:lang w:val="en-AU"/>
        </w:rPr>
        <w:t xml:space="preserve"> </w:t>
      </w:r>
      <w:r w:rsidR="00D50B71" w:rsidRPr="00BE0C02">
        <w:rPr>
          <w:i/>
          <w:iCs/>
          <w:u w:val="single"/>
          <w:lang w:val="en-AU"/>
        </w:rPr>
        <w:t>Amendments to Australian Accounting Standards</w:t>
      </w:r>
      <w:r w:rsidR="00513A82" w:rsidRPr="00BE0C02">
        <w:rPr>
          <w:i/>
          <w:iCs/>
          <w:u w:val="single"/>
          <w:lang w:val="en-AU"/>
        </w:rPr>
        <w:t xml:space="preserve"> – References to the Conceptual Framework</w:t>
      </w:r>
      <w:r w:rsidR="00855AA0" w:rsidRPr="00BE0C02">
        <w:rPr>
          <w:u w:val="single"/>
          <w:lang w:val="en-AU"/>
        </w:rPr>
        <w:t xml:space="preserve"> and </w:t>
      </w:r>
      <w:r w:rsidR="002A07B4">
        <w:rPr>
          <w:u w:val="single"/>
          <w:lang w:val="en-AU"/>
        </w:rPr>
        <w:t>AASB 2020-2</w:t>
      </w:r>
      <w:r w:rsidR="00F81342" w:rsidRPr="00BE0C02">
        <w:rPr>
          <w:u w:val="single"/>
          <w:lang w:val="en-AU"/>
        </w:rPr>
        <w:t xml:space="preserve"> </w:t>
      </w:r>
      <w:r w:rsidR="00AF3438">
        <w:rPr>
          <w:i/>
          <w:iCs/>
          <w:u w:val="single"/>
          <w:lang w:val="en-AU"/>
        </w:rPr>
        <w:t xml:space="preserve">Amendments to Australian Accounting Standards – </w:t>
      </w:r>
      <w:r w:rsidR="00F81342" w:rsidRPr="00BE0C02">
        <w:rPr>
          <w:i/>
          <w:iCs/>
          <w:u w:val="single"/>
          <w:lang w:val="en-AU"/>
        </w:rPr>
        <w:t>Removal of Special Purpose Financial Statements for Certain For</w:t>
      </w:r>
      <w:r w:rsidR="00892915" w:rsidRPr="00BE0C02">
        <w:rPr>
          <w:i/>
          <w:iCs/>
          <w:u w:val="single"/>
          <w:lang w:val="en-AU"/>
        </w:rPr>
        <w:t>-</w:t>
      </w:r>
      <w:r w:rsidR="00F81342" w:rsidRPr="00BE0C02">
        <w:rPr>
          <w:i/>
          <w:iCs/>
          <w:u w:val="single"/>
          <w:lang w:val="en-AU"/>
        </w:rPr>
        <w:t>Profit Private Sector Entities</w:t>
      </w:r>
      <w:r w:rsidR="00855AA0" w:rsidRPr="00BE0C02">
        <w:rPr>
          <w:lang w:val="en-AU"/>
        </w:rPr>
        <w:t>.</w:t>
      </w:r>
    </w:p>
    <w:p w14:paraId="0F959C7A" w14:textId="77777777" w:rsidR="000C6EAA" w:rsidRPr="00BE0C02" w:rsidRDefault="000C6EAA" w:rsidP="000C6EAA">
      <w:pPr>
        <w:pStyle w:val="Heading2"/>
      </w:pPr>
      <w:r w:rsidRPr="00BE0C02">
        <w:t xml:space="preserve">Amendments to the </w:t>
      </w:r>
      <w:r w:rsidRPr="00BE0C02">
        <w:rPr>
          <w:i/>
        </w:rPr>
        <w:t>Framework for the Preparation and Presentation of Financial Statements</w:t>
      </w:r>
    </w:p>
    <w:p w14:paraId="79A0BB20" w14:textId="77777777" w:rsidR="000C6EAA" w:rsidRPr="00BE0C02" w:rsidRDefault="000C6EAA" w:rsidP="000C6EAA">
      <w:pPr>
        <w:pBdr>
          <w:top w:val="single" w:sz="4" w:space="1" w:color="auto"/>
          <w:left w:val="single" w:sz="4" w:space="4" w:color="auto"/>
          <w:bottom w:val="single" w:sz="4" w:space="1" w:color="auto"/>
          <w:right w:val="single" w:sz="4" w:space="4" w:color="auto"/>
        </w:pBdr>
        <w:autoSpaceDE w:val="0"/>
        <w:autoSpaceDN w:val="0"/>
        <w:adjustRightInd w:val="0"/>
        <w:jc w:val="left"/>
        <w:rPr>
          <w:szCs w:val="19"/>
        </w:rPr>
      </w:pPr>
      <w:r w:rsidRPr="00BE0C02">
        <w:rPr>
          <w:szCs w:val="19"/>
        </w:rPr>
        <w:t>Paragraphs Aus1.2A and Aus1.2B are amended.</w:t>
      </w:r>
    </w:p>
    <w:p w14:paraId="2637AD6B" w14:textId="77777777" w:rsidR="000C6EAA" w:rsidRPr="00BE0C02" w:rsidRDefault="000C6EAA" w:rsidP="000C6EAA">
      <w:pPr>
        <w:pStyle w:val="Heading1"/>
        <w:spacing w:before="240"/>
        <w:rPr>
          <w:rFonts w:ascii="Times New Roman" w:hAnsi="Times New Roman" w:cs="Times New Roman"/>
        </w:rPr>
      </w:pPr>
      <w:r w:rsidRPr="00BE0C02">
        <w:rPr>
          <w:rFonts w:ascii="Times New Roman" w:hAnsi="Times New Roman" w:cs="Times New Roman"/>
        </w:rPr>
        <w:t>Application</w:t>
      </w:r>
    </w:p>
    <w:p w14:paraId="41049FD6" w14:textId="77777777" w:rsidR="000C6EAA" w:rsidRPr="00BE0C02" w:rsidRDefault="000C6EAA" w:rsidP="00F71C78">
      <w:pPr>
        <w:spacing w:after="100"/>
        <w:jc w:val="left"/>
        <w:rPr>
          <w:szCs w:val="19"/>
        </w:rPr>
      </w:pPr>
      <w:r w:rsidRPr="00BE0C02">
        <w:rPr>
          <w:szCs w:val="19"/>
        </w:rPr>
        <w:t>…</w:t>
      </w:r>
    </w:p>
    <w:p w14:paraId="6974B6E5" w14:textId="6BB35B33" w:rsidR="000C6EAA" w:rsidRPr="00BE0C02" w:rsidRDefault="000C6EAA" w:rsidP="00944EEF">
      <w:pPr>
        <w:pStyle w:val="IASBNormalnpara"/>
        <w:rPr>
          <w:szCs w:val="19"/>
          <w:lang w:val="en-AU"/>
        </w:rPr>
      </w:pPr>
      <w:r w:rsidRPr="00BE0C02">
        <w:rPr>
          <w:szCs w:val="19"/>
          <w:lang w:val="en-AU"/>
        </w:rPr>
        <w:t>Aus1.2A</w:t>
      </w:r>
      <w:r w:rsidRPr="00BE0C02">
        <w:rPr>
          <w:szCs w:val="19"/>
          <w:lang w:val="en-AU"/>
        </w:rPr>
        <w:tab/>
      </w:r>
      <w:r w:rsidRPr="00BE0C02">
        <w:rPr>
          <w:lang w:val="en-AU"/>
        </w:rPr>
        <w:t>This</w:t>
      </w:r>
      <w:r w:rsidRPr="00BE0C02">
        <w:rPr>
          <w:szCs w:val="19"/>
          <w:lang w:val="en-AU"/>
        </w:rPr>
        <w:t xml:space="preserve"> </w:t>
      </w:r>
      <w:r w:rsidRPr="00BE0C02">
        <w:rPr>
          <w:i/>
          <w:szCs w:val="19"/>
          <w:lang w:val="en-AU"/>
        </w:rPr>
        <w:t>Framework</w:t>
      </w:r>
      <w:r w:rsidRPr="00BE0C02">
        <w:rPr>
          <w:szCs w:val="19"/>
          <w:lang w:val="en-AU"/>
        </w:rPr>
        <w:t xml:space="preserve"> does not apply in relation to reporting periods beginning on or after 1 </w:t>
      </w:r>
      <w:r w:rsidR="00FD52D7" w:rsidRPr="00BE0C02">
        <w:rPr>
          <w:strike/>
          <w:szCs w:val="19"/>
          <w:lang w:val="en-AU"/>
        </w:rPr>
        <w:t>January</w:t>
      </w:r>
      <w:r w:rsidR="00A47417" w:rsidRPr="00BE0C02">
        <w:rPr>
          <w:strike/>
          <w:szCs w:val="19"/>
          <w:lang w:val="en-AU"/>
        </w:rPr>
        <w:t xml:space="preserve"> </w:t>
      </w:r>
      <w:r w:rsidR="008719E1" w:rsidRPr="00BE0C02">
        <w:rPr>
          <w:szCs w:val="19"/>
          <w:u w:val="single"/>
          <w:lang w:val="en-AU"/>
        </w:rPr>
        <w:t xml:space="preserve">July </w:t>
      </w:r>
      <w:r w:rsidR="0021630D" w:rsidRPr="00BE0C02">
        <w:rPr>
          <w:szCs w:val="19"/>
          <w:u w:val="single"/>
          <w:lang w:val="en-AU"/>
        </w:rPr>
        <w:t>2021</w:t>
      </w:r>
      <w:r w:rsidR="0021630D" w:rsidRPr="00BE0C02">
        <w:rPr>
          <w:szCs w:val="19"/>
          <w:lang w:val="en-AU"/>
        </w:rPr>
        <w:t xml:space="preserve"> </w:t>
      </w:r>
      <w:r w:rsidRPr="00BE0C02">
        <w:rPr>
          <w:szCs w:val="19"/>
          <w:lang w:val="en-AU"/>
        </w:rPr>
        <w:t>to:</w:t>
      </w:r>
    </w:p>
    <w:p w14:paraId="3D996D72" w14:textId="6A5D0EF7" w:rsidR="00FE33B6" w:rsidRPr="00BE0C02" w:rsidRDefault="000C6EAA" w:rsidP="007E6349">
      <w:pPr>
        <w:pStyle w:val="IASBNormalnparaL1"/>
        <w:numPr>
          <w:ilvl w:val="0"/>
          <w:numId w:val="23"/>
        </w:numPr>
        <w:ind w:left="1564" w:hanging="782"/>
        <w:rPr>
          <w:strike/>
          <w:szCs w:val="19"/>
          <w:lang w:val="en-AU"/>
        </w:rPr>
      </w:pPr>
      <w:r w:rsidRPr="00BE0C02">
        <w:rPr>
          <w:szCs w:val="19"/>
          <w:lang w:val="en-AU"/>
        </w:rPr>
        <w:t>for-</w:t>
      </w:r>
      <w:r w:rsidRPr="00BE0C02">
        <w:rPr>
          <w:lang w:val="en-AU"/>
        </w:rPr>
        <w:t>profit</w:t>
      </w:r>
      <w:r w:rsidRPr="00BE0C02">
        <w:rPr>
          <w:szCs w:val="19"/>
          <w:lang w:val="en-AU"/>
        </w:rPr>
        <w:t xml:space="preserve"> private sector entities that</w:t>
      </w:r>
      <w:r w:rsidRPr="00BE0C02">
        <w:rPr>
          <w:strike/>
          <w:lang w:val="en-AU"/>
        </w:rPr>
        <w:t xml:space="preserve"> </w:t>
      </w:r>
      <w:r w:rsidRPr="00BE0C02">
        <w:rPr>
          <w:strike/>
          <w:szCs w:val="19"/>
          <w:lang w:val="en-AU"/>
        </w:rPr>
        <w:t>have public accountability* and</w:t>
      </w:r>
      <w:r w:rsidRPr="00BE0C02">
        <w:rPr>
          <w:lang w:val="en-AU"/>
        </w:rPr>
        <w:t xml:space="preserve"> </w:t>
      </w:r>
      <w:r w:rsidRPr="00BE0C02">
        <w:rPr>
          <w:szCs w:val="19"/>
          <w:lang w:val="en-AU"/>
        </w:rPr>
        <w:t xml:space="preserve">are required by legislation to </w:t>
      </w:r>
      <w:r w:rsidR="00AB5B62" w:rsidRPr="00BE0C02">
        <w:rPr>
          <w:szCs w:val="19"/>
          <w:u w:val="single"/>
          <w:lang w:val="en-AU"/>
        </w:rPr>
        <w:t>prepare financial statements that</w:t>
      </w:r>
      <w:r w:rsidR="00AB5B62" w:rsidRPr="00BE0C02">
        <w:rPr>
          <w:szCs w:val="19"/>
          <w:lang w:val="en-AU"/>
        </w:rPr>
        <w:t xml:space="preserve"> </w:t>
      </w:r>
      <w:r w:rsidRPr="00BE0C02">
        <w:rPr>
          <w:szCs w:val="19"/>
          <w:lang w:val="en-AU"/>
        </w:rPr>
        <w:t xml:space="preserve">comply with </w:t>
      </w:r>
      <w:r w:rsidR="00F71C78" w:rsidRPr="00BE0C02">
        <w:rPr>
          <w:u w:val="single"/>
          <w:lang w:val="en-AU"/>
        </w:rPr>
        <w:t>either</w:t>
      </w:r>
      <w:r w:rsidR="00F71C78" w:rsidRPr="00BE0C02">
        <w:rPr>
          <w:lang w:val="en-AU"/>
        </w:rPr>
        <w:t xml:space="preserve"> </w:t>
      </w:r>
      <w:r w:rsidRPr="00BE0C02">
        <w:rPr>
          <w:szCs w:val="19"/>
          <w:lang w:val="en-AU"/>
        </w:rPr>
        <w:t>Australian Accounting Standards</w:t>
      </w:r>
      <w:r w:rsidR="00F71C78" w:rsidRPr="00BE0C02">
        <w:rPr>
          <w:u w:val="single"/>
          <w:lang w:val="en-AU"/>
        </w:rPr>
        <w:t xml:space="preserve"> or accounting standards</w:t>
      </w:r>
      <w:r w:rsidR="00F71C78" w:rsidRPr="00BE0C02">
        <w:rPr>
          <w:szCs w:val="19"/>
          <w:lang w:val="en-AU"/>
        </w:rPr>
        <w:t xml:space="preserve">; </w:t>
      </w:r>
      <w:r w:rsidR="00F71C78" w:rsidRPr="00BE0C02">
        <w:rPr>
          <w:strike/>
          <w:szCs w:val="19"/>
          <w:lang w:val="en-AU"/>
        </w:rPr>
        <w:t>and</w:t>
      </w:r>
    </w:p>
    <w:p w14:paraId="42088ABA" w14:textId="5ABE971B" w:rsidR="00F71C78" w:rsidRPr="00BE0C02" w:rsidRDefault="00F71C78" w:rsidP="007E6349">
      <w:pPr>
        <w:pStyle w:val="IASBNormalnparaL1"/>
        <w:numPr>
          <w:ilvl w:val="0"/>
          <w:numId w:val="23"/>
        </w:numPr>
        <w:ind w:left="1564" w:hanging="782"/>
        <w:rPr>
          <w:u w:val="single"/>
          <w:lang w:val="en-AU"/>
        </w:rPr>
      </w:pPr>
      <w:r w:rsidRPr="00BE0C02">
        <w:rPr>
          <w:u w:val="single"/>
          <w:lang w:val="en-AU"/>
        </w:rPr>
        <w:t xml:space="preserve">other for-profit private sector entities that </w:t>
      </w:r>
      <w:r w:rsidRPr="00BE0C02">
        <w:rPr>
          <w:szCs w:val="19"/>
          <w:u w:val="single"/>
          <w:lang w:val="en-AU"/>
        </w:rPr>
        <w:t xml:space="preserve">are required only by their constituting document </w:t>
      </w:r>
      <w:r w:rsidR="00CD6A20" w:rsidRPr="00BE0C02">
        <w:rPr>
          <w:szCs w:val="19"/>
          <w:u w:val="single"/>
          <w:lang w:val="en-AU"/>
        </w:rPr>
        <w:t xml:space="preserve">or another document </w:t>
      </w:r>
      <w:r w:rsidRPr="00BE0C02">
        <w:rPr>
          <w:szCs w:val="19"/>
          <w:u w:val="single"/>
          <w:lang w:val="en-AU"/>
        </w:rPr>
        <w:t xml:space="preserve">to </w:t>
      </w:r>
      <w:r w:rsidR="00AB5B62" w:rsidRPr="00BE0C02">
        <w:rPr>
          <w:szCs w:val="19"/>
          <w:u w:val="single"/>
          <w:lang w:val="en-AU"/>
        </w:rPr>
        <w:t xml:space="preserve">prepare financial statements that </w:t>
      </w:r>
      <w:r w:rsidRPr="00BE0C02">
        <w:rPr>
          <w:szCs w:val="19"/>
          <w:u w:val="single"/>
          <w:lang w:val="en-AU"/>
        </w:rPr>
        <w:t xml:space="preserve">comply with Australian Accounting Standards, provided that the </w:t>
      </w:r>
      <w:r w:rsidR="00DE0238" w:rsidRPr="00BE0C02">
        <w:rPr>
          <w:szCs w:val="19"/>
          <w:u w:val="single"/>
          <w:lang w:val="en-AU"/>
        </w:rPr>
        <w:t xml:space="preserve">relevant </w:t>
      </w:r>
      <w:r w:rsidRPr="00BE0C02">
        <w:rPr>
          <w:szCs w:val="19"/>
          <w:u w:val="single"/>
          <w:lang w:val="en-AU"/>
        </w:rPr>
        <w:t xml:space="preserve">document was created or amended on or after 1 July </w:t>
      </w:r>
      <w:r w:rsidR="00DA02B9" w:rsidRPr="00BE0C02">
        <w:rPr>
          <w:szCs w:val="19"/>
          <w:u w:val="single"/>
          <w:lang w:val="en-AU"/>
        </w:rPr>
        <w:t>2021</w:t>
      </w:r>
      <w:r w:rsidRPr="00BE0C02">
        <w:rPr>
          <w:szCs w:val="19"/>
          <w:u w:val="single"/>
          <w:lang w:val="en-AU"/>
        </w:rPr>
        <w:t>; and</w:t>
      </w:r>
    </w:p>
    <w:p w14:paraId="5CBED304" w14:textId="576A7434" w:rsidR="000C6EAA" w:rsidRPr="00BE0C02" w:rsidRDefault="00A93E47" w:rsidP="00944EEF">
      <w:pPr>
        <w:pStyle w:val="IASBNormalnparaL1"/>
        <w:rPr>
          <w:szCs w:val="19"/>
          <w:lang w:val="en-AU"/>
        </w:rPr>
      </w:pPr>
      <w:r w:rsidRPr="00BE0C02">
        <w:rPr>
          <w:szCs w:val="19"/>
          <w:u w:val="single"/>
          <w:lang w:val="en-AU"/>
        </w:rPr>
        <w:t>(c)</w:t>
      </w:r>
      <w:r w:rsidRPr="00BE0C02">
        <w:rPr>
          <w:szCs w:val="19"/>
          <w:lang w:val="en-AU"/>
        </w:rPr>
        <w:tab/>
      </w:r>
      <w:r w:rsidR="00D166D8" w:rsidRPr="00BE0C02">
        <w:rPr>
          <w:szCs w:val="19"/>
          <w:lang w:val="en-AU"/>
        </w:rPr>
        <w:t>other for-profit entities</w:t>
      </w:r>
      <w:r w:rsidR="003B273E" w:rsidRPr="00BE0C02">
        <w:rPr>
          <w:szCs w:val="19"/>
          <w:lang w:val="en-AU"/>
        </w:rPr>
        <w:t xml:space="preserve"> </w:t>
      </w:r>
      <w:r w:rsidR="00CE70EC" w:rsidRPr="00BE0C02">
        <w:rPr>
          <w:u w:val="single"/>
          <w:lang w:val="en-AU"/>
        </w:rPr>
        <w:t>(private sector or public sector)</w:t>
      </w:r>
      <w:r w:rsidR="006C09DC" w:rsidRPr="00BE0C02">
        <w:rPr>
          <w:lang w:val="en-AU"/>
        </w:rPr>
        <w:t xml:space="preserve"> </w:t>
      </w:r>
      <w:r w:rsidR="000C6EAA" w:rsidRPr="00BE0C02">
        <w:rPr>
          <w:szCs w:val="19"/>
          <w:lang w:val="en-AU"/>
        </w:rPr>
        <w:t xml:space="preserve">that elect to </w:t>
      </w:r>
      <w:r w:rsidR="007A0A33" w:rsidRPr="00BE0C02">
        <w:rPr>
          <w:szCs w:val="19"/>
          <w:u w:val="single"/>
          <w:lang w:val="en-AU"/>
        </w:rPr>
        <w:t>prepare general purpose financial statements</w:t>
      </w:r>
      <w:r w:rsidR="007A0A33" w:rsidRPr="00BE0C02">
        <w:rPr>
          <w:strike/>
          <w:szCs w:val="19"/>
          <w:lang w:val="en-AU"/>
        </w:rPr>
        <w:t xml:space="preserve"> </w:t>
      </w:r>
      <w:r w:rsidR="000C6EAA" w:rsidRPr="00BE0C02">
        <w:rPr>
          <w:strike/>
          <w:szCs w:val="19"/>
          <w:lang w:val="en-AU"/>
        </w:rPr>
        <w:t xml:space="preserve">apply the </w:t>
      </w:r>
      <w:r w:rsidR="000C6EAA" w:rsidRPr="00BE0C02">
        <w:rPr>
          <w:i/>
          <w:strike/>
          <w:szCs w:val="19"/>
          <w:lang w:val="en-AU"/>
        </w:rPr>
        <w:t>Conceptual Framework for Financial Reporting</w:t>
      </w:r>
      <w:r w:rsidR="000C6EAA" w:rsidRPr="00BE0C02">
        <w:rPr>
          <w:strike/>
          <w:szCs w:val="19"/>
          <w:lang w:val="en-AU"/>
        </w:rPr>
        <w:t xml:space="preserve"> and the</w:t>
      </w:r>
      <w:r w:rsidR="006E476A" w:rsidRPr="00BE0C02">
        <w:rPr>
          <w:strike/>
          <w:szCs w:val="19"/>
          <w:lang w:val="en-AU"/>
        </w:rPr>
        <w:t xml:space="preserve"> </w:t>
      </w:r>
      <w:r w:rsidR="000C6EAA" w:rsidRPr="00BE0C02">
        <w:rPr>
          <w:strike/>
          <w:szCs w:val="19"/>
          <w:lang w:val="en-AU"/>
        </w:rPr>
        <w:t>consequential amendments to other</w:t>
      </w:r>
      <w:r w:rsidR="000B5219" w:rsidRPr="00BE0C02">
        <w:rPr>
          <w:strike/>
          <w:szCs w:val="19"/>
          <w:lang w:val="en-AU"/>
        </w:rPr>
        <w:t xml:space="preserve"> pronouncements set out in </w:t>
      </w:r>
      <w:r w:rsidR="000B5219" w:rsidRPr="00BE0C02">
        <w:rPr>
          <w:strike/>
          <w:lang w:val="en-AU"/>
        </w:rPr>
        <w:t>AASB </w:t>
      </w:r>
      <w:r w:rsidR="000C6EAA" w:rsidRPr="00BE0C02">
        <w:rPr>
          <w:strike/>
          <w:lang w:val="en-AU"/>
        </w:rPr>
        <w:t>2019</w:t>
      </w:r>
      <w:r w:rsidR="006E476A" w:rsidRPr="00BE0C02">
        <w:rPr>
          <w:strike/>
          <w:lang w:val="en-AU"/>
        </w:rPr>
        <w:noBreakHyphen/>
      </w:r>
      <w:r w:rsidR="00B17A08" w:rsidRPr="00BE0C02">
        <w:rPr>
          <w:strike/>
          <w:szCs w:val="19"/>
          <w:lang w:val="en-AU"/>
        </w:rPr>
        <w:t>1</w:t>
      </w:r>
      <w:r w:rsidR="000C6EAA" w:rsidRPr="00BE0C02">
        <w:rPr>
          <w:strike/>
          <w:szCs w:val="19"/>
          <w:lang w:val="en-AU"/>
        </w:rPr>
        <w:t xml:space="preserve"> </w:t>
      </w:r>
      <w:r w:rsidR="000C6EAA" w:rsidRPr="00BE0C02">
        <w:rPr>
          <w:i/>
          <w:strike/>
          <w:szCs w:val="19"/>
          <w:lang w:val="en-AU"/>
        </w:rPr>
        <w:t>Amendments to Australian Accounting Standards – References to the Conceptual Framework</w:t>
      </w:r>
      <w:r w:rsidR="00873723" w:rsidRPr="00BE0C02">
        <w:rPr>
          <w:szCs w:val="19"/>
          <w:lang w:val="en-AU"/>
        </w:rPr>
        <w:t>;</w:t>
      </w:r>
    </w:p>
    <w:p w14:paraId="1FB22B4E" w14:textId="77777777" w:rsidR="000C6EAA" w:rsidRPr="00BE0C02" w:rsidRDefault="000C6EAA" w:rsidP="00944EEF">
      <w:pPr>
        <w:pStyle w:val="IASBNormalnparaL1"/>
        <w:rPr>
          <w:szCs w:val="19"/>
          <w:u w:val="single"/>
          <w:lang w:val="en-AU"/>
        </w:rPr>
      </w:pPr>
      <w:r w:rsidRPr="00BE0C02">
        <w:rPr>
          <w:lang w:val="en-AU"/>
        </w:rPr>
        <w:t xml:space="preserve">except as otherwise required by Australian Accounting Standards. </w:t>
      </w:r>
    </w:p>
    <w:p w14:paraId="11340390" w14:textId="77777777" w:rsidR="00BF1B64" w:rsidRPr="00BE0C02" w:rsidRDefault="00BF1B64" w:rsidP="007933D3">
      <w:pPr>
        <w:autoSpaceDE w:val="0"/>
        <w:autoSpaceDN w:val="0"/>
        <w:adjustRightInd w:val="0"/>
        <w:spacing w:before="100"/>
        <w:ind w:left="1491" w:hanging="709"/>
        <w:rPr>
          <w:strike/>
          <w:sz w:val="16"/>
          <w:szCs w:val="16"/>
        </w:rPr>
      </w:pPr>
      <w:r w:rsidRPr="00BE0C02">
        <w:rPr>
          <w:strike/>
          <w:szCs w:val="19"/>
        </w:rPr>
        <w:t>*</w:t>
      </w:r>
      <w:r w:rsidRPr="00BE0C02">
        <w:rPr>
          <w:sz w:val="16"/>
          <w:szCs w:val="16"/>
        </w:rPr>
        <w:t xml:space="preserve"> </w:t>
      </w:r>
      <w:r w:rsidRPr="00BE0C02">
        <w:rPr>
          <w:sz w:val="16"/>
          <w:szCs w:val="16"/>
        </w:rPr>
        <w:tab/>
      </w:r>
      <w:r w:rsidRPr="00BE0C02">
        <w:rPr>
          <w:strike/>
          <w:sz w:val="16"/>
          <w:szCs w:val="16"/>
        </w:rPr>
        <w:t xml:space="preserve">The term ‘public accountability’ is defined in AASB 1053 </w:t>
      </w:r>
      <w:r w:rsidRPr="00BE0C02">
        <w:rPr>
          <w:i/>
          <w:strike/>
          <w:sz w:val="16"/>
          <w:szCs w:val="16"/>
        </w:rPr>
        <w:t>Application of Tiers of Australian Accounting Standards</w:t>
      </w:r>
      <w:r w:rsidRPr="00BE0C02">
        <w:rPr>
          <w:strike/>
          <w:sz w:val="16"/>
          <w:szCs w:val="16"/>
        </w:rPr>
        <w:t>.</w:t>
      </w:r>
    </w:p>
    <w:p w14:paraId="137975F2" w14:textId="77777777" w:rsidR="000C6EAA" w:rsidRPr="00BE0C02" w:rsidRDefault="000C6EAA" w:rsidP="00944EEF">
      <w:pPr>
        <w:pStyle w:val="IASBNormalnpara"/>
        <w:rPr>
          <w:lang w:val="en-AU"/>
        </w:rPr>
      </w:pPr>
      <w:r w:rsidRPr="00BE0C02">
        <w:rPr>
          <w:szCs w:val="19"/>
          <w:lang w:val="en-AU"/>
        </w:rPr>
        <w:t>Aus1.2B</w:t>
      </w:r>
      <w:r w:rsidRPr="00BE0C02">
        <w:rPr>
          <w:szCs w:val="19"/>
          <w:lang w:val="en-AU"/>
        </w:rPr>
        <w:tab/>
        <w:t xml:space="preserve">If an </w:t>
      </w:r>
      <w:r w:rsidRPr="00BE0C02">
        <w:rPr>
          <w:lang w:val="en-AU"/>
        </w:rPr>
        <w:t>entity</w:t>
      </w:r>
      <w:r w:rsidRPr="00BE0C02">
        <w:rPr>
          <w:szCs w:val="19"/>
          <w:lang w:val="en-AU"/>
        </w:rPr>
        <w:t xml:space="preserve"> identified in paragraph Aus1.2A </w:t>
      </w:r>
      <w:r w:rsidR="003B273E" w:rsidRPr="00BE0C02">
        <w:rPr>
          <w:szCs w:val="19"/>
          <w:lang w:val="en-AU"/>
        </w:rPr>
        <w:t>elects</w:t>
      </w:r>
      <w:r w:rsidRPr="00BE0C02">
        <w:rPr>
          <w:szCs w:val="19"/>
          <w:lang w:val="en-AU"/>
        </w:rPr>
        <w:t xml:space="preserve"> to apply the </w:t>
      </w:r>
      <w:r w:rsidRPr="00BE0C02">
        <w:rPr>
          <w:i/>
          <w:szCs w:val="19"/>
          <w:lang w:val="en-AU"/>
        </w:rPr>
        <w:t>Conceptual Framework for Financial Reporting</w:t>
      </w:r>
      <w:r w:rsidRPr="00BE0C02">
        <w:rPr>
          <w:szCs w:val="19"/>
          <w:lang w:val="en-AU"/>
        </w:rPr>
        <w:t xml:space="preserve"> to an annual reporting period </w:t>
      </w:r>
      <w:r w:rsidR="00873723" w:rsidRPr="00BE0C02">
        <w:rPr>
          <w:szCs w:val="19"/>
          <w:u w:val="single"/>
          <w:lang w:val="en-AU"/>
        </w:rPr>
        <w:t>prior to its mandatory application for the entity</w:t>
      </w:r>
      <w:r w:rsidR="00CD6A20" w:rsidRPr="00BE0C02">
        <w:rPr>
          <w:strike/>
          <w:szCs w:val="19"/>
          <w:lang w:val="en-AU"/>
        </w:rPr>
        <w:t xml:space="preserve"> </w:t>
      </w:r>
      <w:r w:rsidRPr="00BE0C02">
        <w:rPr>
          <w:strike/>
          <w:szCs w:val="19"/>
          <w:lang w:val="en-AU"/>
        </w:rPr>
        <w:t>beginning before 1</w:t>
      </w:r>
      <w:r w:rsidR="00CD6A20" w:rsidRPr="00BE0C02">
        <w:rPr>
          <w:strike/>
          <w:szCs w:val="19"/>
          <w:lang w:val="en-AU"/>
        </w:rPr>
        <w:t> </w:t>
      </w:r>
      <w:r w:rsidRPr="00BE0C02">
        <w:rPr>
          <w:strike/>
          <w:szCs w:val="19"/>
          <w:lang w:val="en-AU"/>
        </w:rPr>
        <w:t>January 2020</w:t>
      </w:r>
      <w:r w:rsidRPr="00BE0C02">
        <w:rPr>
          <w:szCs w:val="19"/>
          <w:lang w:val="en-AU"/>
        </w:rPr>
        <w:t xml:space="preserve">, the entity shall not apply this </w:t>
      </w:r>
      <w:r w:rsidRPr="00BE0C02">
        <w:rPr>
          <w:i/>
          <w:szCs w:val="19"/>
          <w:lang w:val="en-AU"/>
        </w:rPr>
        <w:t xml:space="preserve">Framework </w:t>
      </w:r>
      <w:r w:rsidRPr="00BE0C02">
        <w:rPr>
          <w:szCs w:val="19"/>
          <w:lang w:val="en-AU"/>
        </w:rPr>
        <w:t xml:space="preserve">to that period, </w:t>
      </w:r>
      <w:r w:rsidRPr="00BE0C02">
        <w:rPr>
          <w:lang w:val="en-AU"/>
        </w:rPr>
        <w:t>except as otherwise required by Australian Accounting Standards.</w:t>
      </w:r>
    </w:p>
    <w:p w14:paraId="35AE7518" w14:textId="77777777" w:rsidR="000C6EAA" w:rsidRPr="00BE0C02" w:rsidRDefault="000C6EAA" w:rsidP="000C6EAA">
      <w:pPr>
        <w:pStyle w:val="Heading2"/>
        <w:jc w:val="both"/>
      </w:pPr>
      <w:r w:rsidRPr="00BE0C02">
        <w:lastRenderedPageBreak/>
        <w:t>Amendments to Statement of Accounting Concepts SAC 1</w:t>
      </w:r>
    </w:p>
    <w:p w14:paraId="00CEEBB2" w14:textId="77777777" w:rsidR="000C6EAA" w:rsidRPr="00BE0C02" w:rsidRDefault="000C6EAA" w:rsidP="00D03E51">
      <w:pPr>
        <w:keepNext/>
        <w:pBdr>
          <w:top w:val="single" w:sz="4" w:space="1" w:color="auto"/>
          <w:left w:val="single" w:sz="4" w:space="4" w:color="auto"/>
          <w:bottom w:val="single" w:sz="4" w:space="1" w:color="auto"/>
          <w:right w:val="single" w:sz="4" w:space="4" w:color="auto"/>
        </w:pBdr>
        <w:autoSpaceDE w:val="0"/>
        <w:autoSpaceDN w:val="0"/>
        <w:adjustRightInd w:val="0"/>
        <w:rPr>
          <w:szCs w:val="19"/>
        </w:rPr>
      </w:pPr>
      <w:r w:rsidRPr="00BE0C02">
        <w:rPr>
          <w:szCs w:val="19"/>
        </w:rPr>
        <w:t>Paragraphs 2A and 2B are amended.</w:t>
      </w:r>
    </w:p>
    <w:p w14:paraId="1D34B434" w14:textId="77777777" w:rsidR="000C6EAA" w:rsidRPr="00BE0C02" w:rsidRDefault="000C6EAA" w:rsidP="00D03E51">
      <w:pPr>
        <w:keepNext/>
        <w:autoSpaceDE w:val="0"/>
        <w:autoSpaceDN w:val="0"/>
        <w:adjustRightInd w:val="0"/>
        <w:rPr>
          <w:szCs w:val="19"/>
        </w:rPr>
      </w:pPr>
    </w:p>
    <w:p w14:paraId="09F1ECA3" w14:textId="77777777" w:rsidR="000C6EAA" w:rsidRPr="00BE0C02" w:rsidRDefault="000C6EAA" w:rsidP="00D03E51">
      <w:pPr>
        <w:keepNext/>
        <w:autoSpaceDE w:val="0"/>
        <w:autoSpaceDN w:val="0"/>
        <w:adjustRightInd w:val="0"/>
        <w:spacing w:after="100"/>
        <w:rPr>
          <w:i/>
          <w:szCs w:val="19"/>
        </w:rPr>
      </w:pPr>
      <w:r w:rsidRPr="00BE0C02">
        <w:rPr>
          <w:i/>
          <w:szCs w:val="19"/>
        </w:rPr>
        <w:t>Application and Operative Date</w:t>
      </w:r>
    </w:p>
    <w:p w14:paraId="210FDB9B" w14:textId="77777777" w:rsidR="000C6EAA" w:rsidRPr="00BE0C02" w:rsidRDefault="000C6EAA" w:rsidP="000C6EAA">
      <w:pPr>
        <w:autoSpaceDE w:val="0"/>
        <w:autoSpaceDN w:val="0"/>
        <w:adjustRightInd w:val="0"/>
        <w:rPr>
          <w:szCs w:val="19"/>
        </w:rPr>
      </w:pPr>
      <w:r w:rsidRPr="00BE0C02">
        <w:rPr>
          <w:szCs w:val="19"/>
        </w:rPr>
        <w:t xml:space="preserve">… </w:t>
      </w:r>
    </w:p>
    <w:p w14:paraId="786895D8" w14:textId="29F8DA90" w:rsidR="000C6EAA" w:rsidRPr="00BE0C02" w:rsidRDefault="00A47417" w:rsidP="00944EEF">
      <w:pPr>
        <w:pStyle w:val="IASBNormalnpara"/>
        <w:rPr>
          <w:szCs w:val="19"/>
          <w:lang w:val="en-AU"/>
        </w:rPr>
      </w:pPr>
      <w:r w:rsidRPr="00BE0C02">
        <w:rPr>
          <w:szCs w:val="19"/>
          <w:lang w:val="en-AU"/>
        </w:rPr>
        <w:t>2A</w:t>
      </w:r>
      <w:r w:rsidRPr="00BE0C02">
        <w:rPr>
          <w:szCs w:val="19"/>
          <w:lang w:val="en-AU"/>
        </w:rPr>
        <w:tab/>
      </w:r>
      <w:r w:rsidR="000C6EAA" w:rsidRPr="00BE0C02">
        <w:rPr>
          <w:szCs w:val="19"/>
          <w:lang w:val="en-AU"/>
        </w:rPr>
        <w:t xml:space="preserve">This Statement does not apply in relation to reporting periods beginning on or after 1 </w:t>
      </w:r>
      <w:r w:rsidR="000C6EAA" w:rsidRPr="00BE0C02">
        <w:rPr>
          <w:strike/>
          <w:szCs w:val="19"/>
          <w:lang w:val="en-AU"/>
        </w:rPr>
        <w:t xml:space="preserve">January </w:t>
      </w:r>
      <w:r w:rsidR="000C6EAA" w:rsidRPr="00BE0C02" w:rsidDel="00924F60">
        <w:rPr>
          <w:strike/>
          <w:szCs w:val="19"/>
          <w:lang w:val="en-AU"/>
        </w:rPr>
        <w:t xml:space="preserve">2020 </w:t>
      </w:r>
      <w:r w:rsidR="00C264DF" w:rsidRPr="00BE0C02">
        <w:rPr>
          <w:szCs w:val="19"/>
          <w:u w:val="single"/>
          <w:lang w:val="en-AU"/>
        </w:rPr>
        <w:t>July </w:t>
      </w:r>
      <w:r w:rsidR="00924F60" w:rsidRPr="00BE0C02">
        <w:rPr>
          <w:szCs w:val="19"/>
          <w:u w:val="single"/>
          <w:lang w:val="en-AU"/>
        </w:rPr>
        <w:t>2021</w:t>
      </w:r>
      <w:r w:rsidR="00924F60" w:rsidRPr="00BE0C02">
        <w:rPr>
          <w:szCs w:val="19"/>
          <w:lang w:val="en-AU"/>
        </w:rPr>
        <w:t xml:space="preserve"> </w:t>
      </w:r>
      <w:r w:rsidR="000C6EAA" w:rsidRPr="00BE0C02">
        <w:rPr>
          <w:szCs w:val="19"/>
          <w:lang w:val="en-AU"/>
        </w:rPr>
        <w:t>to:</w:t>
      </w:r>
    </w:p>
    <w:p w14:paraId="5F49816E" w14:textId="67D231D2" w:rsidR="00A93E47" w:rsidRPr="00BE0C02" w:rsidRDefault="00B21DA1" w:rsidP="00944EEF">
      <w:pPr>
        <w:pStyle w:val="IASBNormalnparaL1"/>
        <w:rPr>
          <w:strike/>
          <w:szCs w:val="19"/>
          <w:lang w:val="en-AU"/>
        </w:rPr>
      </w:pPr>
      <w:r w:rsidRPr="00BE0C02">
        <w:rPr>
          <w:szCs w:val="19"/>
          <w:lang w:val="en-AU"/>
        </w:rPr>
        <w:t>(a)</w:t>
      </w:r>
      <w:r w:rsidRPr="00BE0C02">
        <w:rPr>
          <w:szCs w:val="19"/>
          <w:lang w:val="en-AU"/>
        </w:rPr>
        <w:tab/>
      </w:r>
      <w:r w:rsidR="00A93E47" w:rsidRPr="00BE0C02">
        <w:rPr>
          <w:szCs w:val="19"/>
          <w:lang w:val="en-AU"/>
        </w:rPr>
        <w:t>for-</w:t>
      </w:r>
      <w:r w:rsidR="00A93E47" w:rsidRPr="00BE0C02">
        <w:rPr>
          <w:lang w:val="en-AU"/>
        </w:rPr>
        <w:t>profit</w:t>
      </w:r>
      <w:r w:rsidR="00A93E47" w:rsidRPr="00BE0C02">
        <w:rPr>
          <w:szCs w:val="19"/>
          <w:lang w:val="en-AU"/>
        </w:rPr>
        <w:t xml:space="preserve"> private </w:t>
      </w:r>
      <w:r w:rsidR="00A93E47" w:rsidRPr="00BE0C02">
        <w:rPr>
          <w:lang w:val="en-AU"/>
        </w:rPr>
        <w:t>sector</w:t>
      </w:r>
      <w:r w:rsidR="00A93E47" w:rsidRPr="00BE0C02">
        <w:rPr>
          <w:szCs w:val="19"/>
          <w:lang w:val="en-AU"/>
        </w:rPr>
        <w:t xml:space="preserve"> entities that</w:t>
      </w:r>
      <w:r w:rsidR="00A93E47" w:rsidRPr="00BE0C02">
        <w:rPr>
          <w:strike/>
          <w:lang w:val="en-AU"/>
        </w:rPr>
        <w:t xml:space="preserve"> </w:t>
      </w:r>
      <w:r w:rsidR="00A93E47" w:rsidRPr="00BE0C02">
        <w:rPr>
          <w:strike/>
          <w:szCs w:val="19"/>
          <w:lang w:val="en-AU"/>
        </w:rPr>
        <w:t>have public accountability* and</w:t>
      </w:r>
      <w:r w:rsidR="00A93E47" w:rsidRPr="00BE0C02">
        <w:rPr>
          <w:lang w:val="en-AU"/>
        </w:rPr>
        <w:t xml:space="preserve"> </w:t>
      </w:r>
      <w:r w:rsidR="00A93E47" w:rsidRPr="00BE0C02">
        <w:rPr>
          <w:szCs w:val="19"/>
          <w:lang w:val="en-AU"/>
        </w:rPr>
        <w:t xml:space="preserve">are required by legislation to </w:t>
      </w:r>
      <w:r w:rsidR="00AB5B62" w:rsidRPr="00BE0C02">
        <w:rPr>
          <w:szCs w:val="19"/>
          <w:u w:val="single"/>
          <w:lang w:val="en-AU"/>
        </w:rPr>
        <w:t>prepare financial statements that</w:t>
      </w:r>
      <w:r w:rsidR="00AB5B62" w:rsidRPr="00BE0C02">
        <w:rPr>
          <w:szCs w:val="19"/>
          <w:lang w:val="en-AU"/>
        </w:rPr>
        <w:t xml:space="preserve"> </w:t>
      </w:r>
      <w:r w:rsidR="00A93E47" w:rsidRPr="00BE0C02">
        <w:rPr>
          <w:szCs w:val="19"/>
          <w:lang w:val="en-AU"/>
        </w:rPr>
        <w:t xml:space="preserve">comply with </w:t>
      </w:r>
      <w:r w:rsidR="00A93E47" w:rsidRPr="00BE0C02">
        <w:rPr>
          <w:u w:val="single"/>
          <w:lang w:val="en-AU"/>
        </w:rPr>
        <w:t>either</w:t>
      </w:r>
      <w:r w:rsidR="00A93E47" w:rsidRPr="00BE0C02">
        <w:rPr>
          <w:lang w:val="en-AU"/>
        </w:rPr>
        <w:t xml:space="preserve"> </w:t>
      </w:r>
      <w:r w:rsidR="00A93E47" w:rsidRPr="00BE0C02">
        <w:rPr>
          <w:szCs w:val="19"/>
          <w:lang w:val="en-AU"/>
        </w:rPr>
        <w:t>Australian Accounting Standards</w:t>
      </w:r>
      <w:r w:rsidR="00A93E47" w:rsidRPr="00BE0C02">
        <w:rPr>
          <w:u w:val="single"/>
          <w:lang w:val="en-AU"/>
        </w:rPr>
        <w:t xml:space="preserve"> or accounting standards</w:t>
      </w:r>
      <w:r w:rsidR="00A93E47" w:rsidRPr="00BE0C02">
        <w:rPr>
          <w:szCs w:val="19"/>
          <w:lang w:val="en-AU"/>
        </w:rPr>
        <w:t xml:space="preserve">; </w:t>
      </w:r>
      <w:r w:rsidR="00A93E47" w:rsidRPr="00BE0C02">
        <w:rPr>
          <w:strike/>
          <w:szCs w:val="19"/>
          <w:lang w:val="en-AU"/>
        </w:rPr>
        <w:t>and</w:t>
      </w:r>
    </w:p>
    <w:p w14:paraId="21F7483B" w14:textId="4AE5A0D3" w:rsidR="00EC0CE2" w:rsidRPr="00BE0C02" w:rsidRDefault="00A93E47" w:rsidP="00944EEF">
      <w:pPr>
        <w:pStyle w:val="IASBNormalnparaL1"/>
        <w:rPr>
          <w:szCs w:val="19"/>
          <w:u w:val="single"/>
          <w:lang w:val="en-AU"/>
        </w:rPr>
      </w:pPr>
      <w:r w:rsidRPr="00BE0C02">
        <w:rPr>
          <w:lang w:val="en-AU"/>
        </w:rPr>
        <w:t>(b)</w:t>
      </w:r>
      <w:r w:rsidRPr="00BE0C02">
        <w:rPr>
          <w:lang w:val="en-AU"/>
        </w:rPr>
        <w:tab/>
      </w:r>
      <w:r w:rsidRPr="00BE0C02">
        <w:rPr>
          <w:u w:val="single"/>
          <w:lang w:val="en-AU"/>
        </w:rPr>
        <w:t xml:space="preserve">other for-profit private sector entities that </w:t>
      </w:r>
      <w:r w:rsidRPr="00BE0C02">
        <w:rPr>
          <w:szCs w:val="19"/>
          <w:u w:val="single"/>
          <w:lang w:val="en-AU"/>
        </w:rPr>
        <w:t xml:space="preserve">are required only by their constituting document </w:t>
      </w:r>
      <w:r w:rsidR="00CD6A20" w:rsidRPr="00BE0C02">
        <w:rPr>
          <w:szCs w:val="19"/>
          <w:u w:val="single"/>
          <w:lang w:val="en-AU"/>
        </w:rPr>
        <w:t xml:space="preserve">or another document </w:t>
      </w:r>
      <w:r w:rsidRPr="00BE0C02">
        <w:rPr>
          <w:szCs w:val="19"/>
          <w:u w:val="single"/>
          <w:lang w:val="en-AU"/>
        </w:rPr>
        <w:t xml:space="preserve">to </w:t>
      </w:r>
      <w:r w:rsidR="00AB5B62" w:rsidRPr="00BE0C02">
        <w:rPr>
          <w:szCs w:val="19"/>
          <w:u w:val="single"/>
          <w:lang w:val="en-AU"/>
        </w:rPr>
        <w:t xml:space="preserve">prepare financial statements that </w:t>
      </w:r>
      <w:r w:rsidRPr="00BE0C02">
        <w:rPr>
          <w:szCs w:val="19"/>
          <w:u w:val="single"/>
          <w:lang w:val="en-AU"/>
        </w:rPr>
        <w:t xml:space="preserve">comply with Australian Accounting Standards, provided that the </w:t>
      </w:r>
      <w:r w:rsidR="00DE0238" w:rsidRPr="00BE0C02">
        <w:rPr>
          <w:szCs w:val="19"/>
          <w:u w:val="single"/>
          <w:lang w:val="en-AU"/>
        </w:rPr>
        <w:t xml:space="preserve">relevant </w:t>
      </w:r>
      <w:r w:rsidRPr="00BE0C02">
        <w:rPr>
          <w:szCs w:val="19"/>
          <w:u w:val="single"/>
          <w:lang w:val="en-AU"/>
        </w:rPr>
        <w:t xml:space="preserve">document was created or amended on or after 1 July </w:t>
      </w:r>
      <w:r w:rsidR="00924F60" w:rsidRPr="00BE0C02">
        <w:rPr>
          <w:szCs w:val="19"/>
          <w:u w:val="single"/>
          <w:lang w:val="en-AU"/>
        </w:rPr>
        <w:t>2021</w:t>
      </w:r>
      <w:r w:rsidRPr="00BE0C02">
        <w:rPr>
          <w:szCs w:val="19"/>
          <w:u w:val="single"/>
          <w:lang w:val="en-AU"/>
        </w:rPr>
        <w:t>; and</w:t>
      </w:r>
    </w:p>
    <w:p w14:paraId="269ACF29" w14:textId="0E1C8DA6" w:rsidR="0078078A" w:rsidRPr="00BE0C02" w:rsidRDefault="00EC0CE2" w:rsidP="00944EEF">
      <w:pPr>
        <w:spacing w:before="100" w:line="259" w:lineRule="auto"/>
        <w:ind w:left="1564" w:hanging="782"/>
        <w:rPr>
          <w:szCs w:val="19"/>
        </w:rPr>
      </w:pPr>
      <w:r w:rsidRPr="00BE0C02">
        <w:rPr>
          <w:szCs w:val="19"/>
          <w:u w:val="single"/>
        </w:rPr>
        <w:t>(c)</w:t>
      </w:r>
      <w:r w:rsidRPr="00BE0C02">
        <w:rPr>
          <w:szCs w:val="19"/>
        </w:rPr>
        <w:tab/>
      </w:r>
      <w:r w:rsidRPr="00BE0C02">
        <w:rPr>
          <w:szCs w:val="19"/>
        </w:rPr>
        <w:tab/>
      </w:r>
      <w:r w:rsidR="00A93E47" w:rsidRPr="00BE0C02">
        <w:rPr>
          <w:szCs w:val="19"/>
        </w:rPr>
        <w:t xml:space="preserve">other for-profit entities </w:t>
      </w:r>
      <w:r w:rsidR="005C0F0C" w:rsidRPr="00BE0C02">
        <w:rPr>
          <w:u w:val="single"/>
        </w:rPr>
        <w:t>(private sector or public sector)</w:t>
      </w:r>
      <w:r w:rsidR="00A93E47" w:rsidRPr="00BE0C02">
        <w:t xml:space="preserve"> </w:t>
      </w:r>
      <w:r w:rsidR="00A93E47" w:rsidRPr="00BE0C02">
        <w:rPr>
          <w:szCs w:val="19"/>
        </w:rPr>
        <w:t xml:space="preserve">that elect to </w:t>
      </w:r>
      <w:r w:rsidR="007A0A33" w:rsidRPr="00BE0C02">
        <w:rPr>
          <w:szCs w:val="19"/>
          <w:u w:val="single"/>
        </w:rPr>
        <w:t>prepare general purpose financial statements</w:t>
      </w:r>
      <w:r w:rsidR="007A0A33" w:rsidRPr="00BE0C02">
        <w:rPr>
          <w:strike/>
          <w:szCs w:val="19"/>
        </w:rPr>
        <w:t xml:space="preserve"> </w:t>
      </w:r>
      <w:r w:rsidR="00A93E47" w:rsidRPr="00BE0C02">
        <w:rPr>
          <w:strike/>
          <w:szCs w:val="19"/>
        </w:rPr>
        <w:t xml:space="preserve">apply the consequential amendments to other pronouncements set out in </w:t>
      </w:r>
      <w:r w:rsidR="00A93E47" w:rsidRPr="00BE0C02">
        <w:rPr>
          <w:strike/>
        </w:rPr>
        <w:t>AASB 2019</w:t>
      </w:r>
      <w:r w:rsidR="00E251D0" w:rsidRPr="00BE0C02">
        <w:rPr>
          <w:strike/>
        </w:rPr>
        <w:noBreakHyphen/>
      </w:r>
      <w:r w:rsidRPr="00BE0C02">
        <w:rPr>
          <w:strike/>
          <w:szCs w:val="19"/>
        </w:rPr>
        <w:t>1</w:t>
      </w:r>
      <w:r w:rsidR="00A93E47" w:rsidRPr="00BE0C02">
        <w:rPr>
          <w:strike/>
          <w:szCs w:val="19"/>
        </w:rPr>
        <w:t xml:space="preserve"> </w:t>
      </w:r>
      <w:r w:rsidR="00A93E47" w:rsidRPr="00BE0C02">
        <w:rPr>
          <w:i/>
          <w:strike/>
          <w:szCs w:val="19"/>
        </w:rPr>
        <w:t>Amendments to Australian Accounting Standards – References to the Conceptual Framework</w:t>
      </w:r>
      <w:r w:rsidR="001A0998" w:rsidRPr="00BE0C02">
        <w:rPr>
          <w:szCs w:val="19"/>
        </w:rPr>
        <w:t>.</w:t>
      </w:r>
    </w:p>
    <w:p w14:paraId="1C0A1590" w14:textId="77777777" w:rsidR="00BF1B64" w:rsidRPr="00BE0C02" w:rsidRDefault="00BF1B64" w:rsidP="00944EEF">
      <w:pPr>
        <w:autoSpaceDE w:val="0"/>
        <w:autoSpaceDN w:val="0"/>
        <w:adjustRightInd w:val="0"/>
        <w:spacing w:before="100"/>
        <w:ind w:left="782"/>
        <w:rPr>
          <w:sz w:val="16"/>
          <w:szCs w:val="16"/>
        </w:rPr>
      </w:pPr>
      <w:r w:rsidRPr="00BE0C02">
        <w:rPr>
          <w:strike/>
          <w:szCs w:val="19"/>
        </w:rPr>
        <w:t>*</w:t>
      </w:r>
      <w:r w:rsidRPr="00BE0C02">
        <w:rPr>
          <w:sz w:val="16"/>
          <w:szCs w:val="16"/>
        </w:rPr>
        <w:tab/>
      </w:r>
      <w:r w:rsidRPr="00BE0C02">
        <w:rPr>
          <w:strike/>
          <w:sz w:val="16"/>
          <w:szCs w:val="16"/>
        </w:rPr>
        <w:t xml:space="preserve">The term ‘public accountability’ is defined in AASB 1053 </w:t>
      </w:r>
      <w:r w:rsidRPr="00BE0C02">
        <w:rPr>
          <w:i/>
          <w:strike/>
          <w:sz w:val="16"/>
          <w:szCs w:val="16"/>
        </w:rPr>
        <w:t>Application of Tiers of Australian Accounting Standards</w:t>
      </w:r>
      <w:r w:rsidRPr="00BE0C02">
        <w:rPr>
          <w:strike/>
          <w:sz w:val="16"/>
          <w:szCs w:val="16"/>
        </w:rPr>
        <w:t>.</w:t>
      </w:r>
    </w:p>
    <w:p w14:paraId="49E9FB98" w14:textId="77777777" w:rsidR="009B6F31" w:rsidRPr="00BE0C02" w:rsidRDefault="000C6EAA" w:rsidP="006109D1">
      <w:pPr>
        <w:pStyle w:val="IASBNormalnpara"/>
      </w:pPr>
      <w:r w:rsidRPr="00BE0C02">
        <w:t>2</w:t>
      </w:r>
      <w:r w:rsidR="009B6F31" w:rsidRPr="00BE0C02">
        <w:t>B</w:t>
      </w:r>
      <w:r w:rsidR="009B6F31" w:rsidRPr="00BE0C02">
        <w:tab/>
        <w:t>If an enti</w:t>
      </w:r>
      <w:r w:rsidR="001728ED" w:rsidRPr="00BE0C02">
        <w:t xml:space="preserve">ty identified in paragraph </w:t>
      </w:r>
      <w:r w:rsidR="009B6F31" w:rsidRPr="00BE0C02">
        <w:t xml:space="preserve">2A elects to apply the </w:t>
      </w:r>
      <w:r w:rsidR="009B6F31" w:rsidRPr="00BE0C02">
        <w:rPr>
          <w:i/>
        </w:rPr>
        <w:t>Conceptual Framework for Financial Reporting</w:t>
      </w:r>
      <w:r w:rsidR="009B6F31" w:rsidRPr="00BE0C02">
        <w:t xml:space="preserve"> to an annual reporting period </w:t>
      </w:r>
      <w:r w:rsidR="009B6F31" w:rsidRPr="00BE0C02">
        <w:rPr>
          <w:u w:val="single"/>
        </w:rPr>
        <w:t>prior to its mandatory application for the entity</w:t>
      </w:r>
      <w:r w:rsidR="0065223F" w:rsidRPr="00BE0C02">
        <w:t xml:space="preserve"> </w:t>
      </w:r>
      <w:r w:rsidR="009B6F31" w:rsidRPr="00BE0C02">
        <w:rPr>
          <w:strike/>
        </w:rPr>
        <w:t>beginning before 1 January 2020</w:t>
      </w:r>
      <w:r w:rsidR="009B6F31" w:rsidRPr="00BE0C02">
        <w:t>, the entity shall not apply this Statement</w:t>
      </w:r>
      <w:r w:rsidR="009B6F31" w:rsidRPr="00BE0C02">
        <w:rPr>
          <w:i/>
        </w:rPr>
        <w:t xml:space="preserve"> </w:t>
      </w:r>
      <w:r w:rsidR="009B6F31" w:rsidRPr="00BE0C02">
        <w:t>to that period</w:t>
      </w:r>
      <w:r w:rsidR="00563C4F" w:rsidRPr="00BE0C02">
        <w:t>.</w:t>
      </w:r>
    </w:p>
    <w:p w14:paraId="3065DE98" w14:textId="77777777" w:rsidR="008B3922" w:rsidRPr="00BE0C02" w:rsidRDefault="008B3922" w:rsidP="008B3922">
      <w:pPr>
        <w:pStyle w:val="Heading2"/>
        <w:jc w:val="both"/>
      </w:pPr>
      <w:r w:rsidRPr="00BE0C02">
        <w:t>Amendments to AASB 1</w:t>
      </w:r>
    </w:p>
    <w:p w14:paraId="2BA03A98" w14:textId="5792C5C9" w:rsidR="002F2E21" w:rsidRPr="00BE0C02" w:rsidRDefault="002F2E21" w:rsidP="002F2E21">
      <w:pPr>
        <w:pBdr>
          <w:top w:val="single" w:sz="4" w:space="1" w:color="auto"/>
          <w:left w:val="single" w:sz="4" w:space="4" w:color="auto"/>
          <w:bottom w:val="single" w:sz="4" w:space="2" w:color="auto"/>
          <w:right w:val="single" w:sz="4" w:space="4" w:color="auto"/>
        </w:pBdr>
        <w:autoSpaceDE w:val="0"/>
        <w:autoSpaceDN w:val="0"/>
        <w:adjustRightInd w:val="0"/>
        <w:rPr>
          <w:bCs/>
          <w:szCs w:val="19"/>
        </w:rPr>
      </w:pPr>
      <w:r w:rsidRPr="00BE0C02">
        <w:rPr>
          <w:bCs/>
          <w:szCs w:val="19"/>
        </w:rPr>
        <w:t xml:space="preserve">Paragraph </w:t>
      </w:r>
      <w:r w:rsidR="007A7CC2" w:rsidRPr="00BE0C02">
        <w:rPr>
          <w:bCs/>
          <w:szCs w:val="19"/>
        </w:rPr>
        <w:t xml:space="preserve">Aus12.1 </w:t>
      </w:r>
      <w:r w:rsidRPr="00BE0C02">
        <w:rPr>
          <w:bCs/>
          <w:szCs w:val="19"/>
        </w:rPr>
        <w:t xml:space="preserve">is </w:t>
      </w:r>
      <w:r w:rsidR="007A7CC2" w:rsidRPr="00BE0C02">
        <w:rPr>
          <w:bCs/>
          <w:szCs w:val="19"/>
        </w:rPr>
        <w:t>added</w:t>
      </w:r>
      <w:r w:rsidRPr="00BE0C02">
        <w:rPr>
          <w:bCs/>
          <w:szCs w:val="19"/>
        </w:rPr>
        <w:t>.</w:t>
      </w:r>
    </w:p>
    <w:p w14:paraId="7EAF7173" w14:textId="3B27EC55" w:rsidR="002F2E21" w:rsidRPr="00BE0C02" w:rsidRDefault="007A7CC2" w:rsidP="00F16E3D">
      <w:pPr>
        <w:spacing w:before="240"/>
        <w:ind w:left="780" w:hanging="780"/>
      </w:pPr>
      <w:r w:rsidRPr="00BE0C02">
        <w:t>Aus12.1</w:t>
      </w:r>
      <w:r w:rsidRPr="00BE0C02">
        <w:tab/>
      </w:r>
      <w:r w:rsidR="004C25D7" w:rsidRPr="00BE0C02">
        <w:t xml:space="preserve">Entities </w:t>
      </w:r>
      <w:r w:rsidR="00A57C0E" w:rsidRPr="00BE0C02">
        <w:t xml:space="preserve">that </w:t>
      </w:r>
      <w:r w:rsidR="003A42EC" w:rsidRPr="00BE0C02">
        <w:t xml:space="preserve">elect to </w:t>
      </w:r>
      <w:r w:rsidR="002807CE" w:rsidRPr="00BE0C02">
        <w:t xml:space="preserve">apply </w:t>
      </w:r>
      <w:r w:rsidR="00360E31">
        <w:t>AASB 1060</w:t>
      </w:r>
      <w:r w:rsidR="002807CE" w:rsidRPr="00BE0C02">
        <w:t xml:space="preserve"> </w:t>
      </w:r>
      <w:r w:rsidR="00255B26" w:rsidRPr="00BE0C02">
        <w:rPr>
          <w:i/>
          <w:iCs/>
        </w:rPr>
        <w:t xml:space="preserve">General Purpose Financial Statements </w:t>
      </w:r>
      <w:r w:rsidR="00A57C0E" w:rsidRPr="00BE0C02">
        <w:rPr>
          <w:i/>
        </w:rPr>
        <w:t>– Simplified Disclosure</w:t>
      </w:r>
      <w:r w:rsidR="00824552" w:rsidRPr="00BE0C02">
        <w:rPr>
          <w:i/>
        </w:rPr>
        <w:t xml:space="preserve">s </w:t>
      </w:r>
      <w:r w:rsidR="00255B26" w:rsidRPr="00BE0C02">
        <w:rPr>
          <w:i/>
          <w:iCs/>
        </w:rPr>
        <w:t>for For-Profit and Not-for-Profit Tier 2 Entities</w:t>
      </w:r>
      <w:r w:rsidR="00824552" w:rsidRPr="00BE0C02">
        <w:t xml:space="preserve"> </w:t>
      </w:r>
      <w:r w:rsidR="00413CF1" w:rsidRPr="00BE0C02">
        <w:t xml:space="preserve">to periods beginning before 1 July 2021 (ie early application) </w:t>
      </w:r>
      <w:r w:rsidR="00E94B75" w:rsidRPr="00BE0C02">
        <w:t xml:space="preserve">may also </w:t>
      </w:r>
      <w:r w:rsidR="009F4E28" w:rsidRPr="00BE0C02">
        <w:t xml:space="preserve">elect to apply the short-term exemptions from restating comparative information </w:t>
      </w:r>
      <w:r w:rsidR="00326645" w:rsidRPr="00BE0C02">
        <w:t>set out in AASB</w:t>
      </w:r>
      <w:r w:rsidR="003C2873">
        <w:t> </w:t>
      </w:r>
      <w:r w:rsidR="00326645" w:rsidRPr="00BE0C02">
        <w:t xml:space="preserve">1053 </w:t>
      </w:r>
      <w:r w:rsidR="00326645" w:rsidRPr="00BE0C02">
        <w:rPr>
          <w:i/>
          <w:iCs/>
        </w:rPr>
        <w:t>Application of Tiers of Australian Accounting Standards</w:t>
      </w:r>
      <w:r w:rsidR="00326645" w:rsidRPr="00BE0C02">
        <w:t xml:space="preserve"> Appendix E, where applicable. </w:t>
      </w:r>
      <w:r w:rsidR="00BD7388" w:rsidRPr="00BE0C02">
        <w:t xml:space="preserve">For entities that apply that relief, references to the ‘date of transition to Australian Accounting Standards’ in </w:t>
      </w:r>
      <w:r w:rsidR="00D43F60" w:rsidRPr="00BE0C02">
        <w:t xml:space="preserve">this Standard </w:t>
      </w:r>
      <w:r w:rsidR="00BD7388" w:rsidRPr="00BE0C02">
        <w:t>shall mean the beginning of the first Australian-Accounting-Standards reporting period.</w:t>
      </w:r>
    </w:p>
    <w:p w14:paraId="738214EE" w14:textId="77777777" w:rsidR="000C6EAA" w:rsidRPr="00BE0C02" w:rsidRDefault="000C6EAA" w:rsidP="000C6EAA">
      <w:pPr>
        <w:pStyle w:val="Heading2"/>
        <w:jc w:val="both"/>
      </w:pPr>
      <w:r w:rsidRPr="00BE0C02">
        <w:t>Amendments to AASB 10</w:t>
      </w:r>
    </w:p>
    <w:p w14:paraId="6069D2CA" w14:textId="77777777" w:rsidR="000C6EAA" w:rsidRPr="00BE0C02" w:rsidRDefault="00FD559E" w:rsidP="007763EC">
      <w:pPr>
        <w:pBdr>
          <w:top w:val="single" w:sz="4" w:space="1" w:color="auto"/>
          <w:left w:val="single" w:sz="4" w:space="4" w:color="auto"/>
          <w:bottom w:val="single" w:sz="4" w:space="2" w:color="auto"/>
          <w:right w:val="single" w:sz="4" w:space="4" w:color="auto"/>
        </w:pBdr>
        <w:autoSpaceDE w:val="0"/>
        <w:autoSpaceDN w:val="0"/>
        <w:adjustRightInd w:val="0"/>
        <w:rPr>
          <w:bCs/>
          <w:szCs w:val="19"/>
        </w:rPr>
      </w:pPr>
      <w:r w:rsidRPr="00BE0C02">
        <w:rPr>
          <w:bCs/>
          <w:szCs w:val="19"/>
        </w:rPr>
        <w:t>Paragraph</w:t>
      </w:r>
      <w:r w:rsidR="000C6EAA" w:rsidRPr="00BE0C02">
        <w:rPr>
          <w:bCs/>
          <w:szCs w:val="19"/>
        </w:rPr>
        <w:t xml:space="preserve"> Aus4.2</w:t>
      </w:r>
      <w:r w:rsidR="00DD5788" w:rsidRPr="00BE0C02">
        <w:rPr>
          <w:bCs/>
          <w:szCs w:val="19"/>
        </w:rPr>
        <w:t xml:space="preserve"> </w:t>
      </w:r>
      <w:r w:rsidR="00EC0CE2" w:rsidRPr="00BE0C02">
        <w:rPr>
          <w:bCs/>
          <w:szCs w:val="19"/>
        </w:rPr>
        <w:t>is</w:t>
      </w:r>
      <w:r w:rsidR="000C6EAA" w:rsidRPr="00BE0C02">
        <w:rPr>
          <w:bCs/>
          <w:szCs w:val="19"/>
        </w:rPr>
        <w:t xml:space="preserve"> amended.</w:t>
      </w:r>
    </w:p>
    <w:p w14:paraId="56C8719D" w14:textId="77777777" w:rsidR="000C6EAA" w:rsidRPr="00BE0C02" w:rsidRDefault="000C6EAA" w:rsidP="000C6EAA">
      <w:pPr>
        <w:pStyle w:val="Heading2"/>
        <w:spacing w:before="240"/>
        <w:jc w:val="both"/>
      </w:pPr>
      <w:r w:rsidRPr="00BE0C02">
        <w:t>Scope</w:t>
      </w:r>
    </w:p>
    <w:p w14:paraId="62BB72E5" w14:textId="77777777" w:rsidR="000C6EAA" w:rsidRPr="00BE0C02" w:rsidRDefault="000C6EAA" w:rsidP="000C6EAA">
      <w:pPr>
        <w:autoSpaceDE w:val="0"/>
        <w:autoSpaceDN w:val="0"/>
        <w:adjustRightInd w:val="0"/>
        <w:rPr>
          <w:szCs w:val="19"/>
        </w:rPr>
      </w:pPr>
      <w:r w:rsidRPr="00BE0C02">
        <w:rPr>
          <w:szCs w:val="19"/>
        </w:rPr>
        <w:t>…</w:t>
      </w:r>
    </w:p>
    <w:p w14:paraId="4C339362" w14:textId="313849A9" w:rsidR="000C6EAA" w:rsidRPr="00BE0C02" w:rsidRDefault="000C6EAA" w:rsidP="00944EEF">
      <w:pPr>
        <w:pStyle w:val="IASBNormalnpara"/>
        <w:rPr>
          <w:szCs w:val="19"/>
          <w:lang w:val="en-AU"/>
        </w:rPr>
      </w:pPr>
      <w:r w:rsidRPr="00BE0C02">
        <w:rPr>
          <w:szCs w:val="19"/>
          <w:lang w:val="en-AU"/>
        </w:rPr>
        <w:t>Aus4.2</w:t>
      </w:r>
      <w:r w:rsidRPr="00BE0C02">
        <w:rPr>
          <w:szCs w:val="19"/>
          <w:lang w:val="en-AU"/>
        </w:rPr>
        <w:tab/>
        <w:t xml:space="preserve">Notwithstanding paragraphs 4(a) and Aus4.1, the ultimate Australian parent shall present consolidated financial </w:t>
      </w:r>
      <w:r w:rsidRPr="00BE0C02">
        <w:rPr>
          <w:lang w:val="en-AU"/>
        </w:rPr>
        <w:t>statements</w:t>
      </w:r>
      <w:r w:rsidRPr="00BE0C02">
        <w:rPr>
          <w:szCs w:val="19"/>
          <w:lang w:val="en-AU"/>
        </w:rPr>
        <w:t xml:space="preserve"> that consolidate its investments in subsidiaries in accordance with this Standard when the ultimate Australian parent is required by legislation to </w:t>
      </w:r>
      <w:r w:rsidR="00C80444" w:rsidRPr="00BE0C02">
        <w:rPr>
          <w:szCs w:val="19"/>
          <w:u w:val="single"/>
          <w:lang w:val="en-AU"/>
        </w:rPr>
        <w:t>prepare financial statements that</w:t>
      </w:r>
      <w:r w:rsidR="00C80444" w:rsidRPr="00BE0C02">
        <w:rPr>
          <w:szCs w:val="19"/>
          <w:lang w:val="en-AU"/>
        </w:rPr>
        <w:t xml:space="preserve"> </w:t>
      </w:r>
      <w:r w:rsidRPr="00BE0C02">
        <w:rPr>
          <w:szCs w:val="19"/>
          <w:lang w:val="en-AU"/>
        </w:rPr>
        <w:t xml:space="preserve">comply with </w:t>
      </w:r>
      <w:r w:rsidR="003F13B1" w:rsidRPr="00BE0C02">
        <w:rPr>
          <w:szCs w:val="19"/>
          <w:lang w:val="en-AU"/>
        </w:rPr>
        <w:t xml:space="preserve">either </w:t>
      </w:r>
      <w:r w:rsidRPr="00BE0C02">
        <w:rPr>
          <w:szCs w:val="19"/>
          <w:lang w:val="en-AU"/>
        </w:rPr>
        <w:t>Australian Accounting Standards</w:t>
      </w:r>
      <w:r w:rsidR="007933D3" w:rsidRPr="00BE0C02">
        <w:rPr>
          <w:szCs w:val="19"/>
          <w:lang w:val="en-AU"/>
        </w:rPr>
        <w:t xml:space="preserve"> </w:t>
      </w:r>
      <w:r w:rsidR="007933D3" w:rsidRPr="00BE0C02">
        <w:rPr>
          <w:szCs w:val="19"/>
          <w:u w:val="single"/>
          <w:lang w:val="en-AU"/>
        </w:rPr>
        <w:t>or accounting standards</w:t>
      </w:r>
      <w:r w:rsidRPr="00BE0C02">
        <w:rPr>
          <w:szCs w:val="19"/>
          <w:lang w:val="en-AU"/>
        </w:rPr>
        <w:t>, except if the ultimate Australian parent is required, in accordance with paragraph 31 of this Standard, to measure all of its subsidiaries at fair value through profit or loss.</w:t>
      </w:r>
    </w:p>
    <w:p w14:paraId="5624E8BC" w14:textId="77777777" w:rsidR="00A81C81" w:rsidRDefault="00A81C81">
      <w:pPr>
        <w:jc w:val="left"/>
        <w:rPr>
          <w:rFonts w:ascii="Arial" w:hAnsi="Arial" w:cs="Arial"/>
          <w:b/>
          <w:iCs/>
          <w:sz w:val="26"/>
          <w:szCs w:val="28"/>
        </w:rPr>
      </w:pPr>
      <w:r>
        <w:br w:type="page"/>
      </w:r>
    </w:p>
    <w:p w14:paraId="4C0FF2AF" w14:textId="65A06A8F" w:rsidR="001B36EF" w:rsidRPr="00BE0C02" w:rsidRDefault="001B36EF" w:rsidP="001B36EF">
      <w:pPr>
        <w:pStyle w:val="Heading2"/>
        <w:jc w:val="both"/>
      </w:pPr>
      <w:r w:rsidRPr="00BE0C02">
        <w:lastRenderedPageBreak/>
        <w:t>Amendments to AASB 1048</w:t>
      </w:r>
    </w:p>
    <w:p w14:paraId="307BE66B" w14:textId="7BAEDB50" w:rsidR="001B36EF" w:rsidRPr="00BE0C02" w:rsidRDefault="00D6683E" w:rsidP="00070D60">
      <w:pPr>
        <w:pBdr>
          <w:top w:val="single" w:sz="4" w:space="1" w:color="auto"/>
          <w:left w:val="single" w:sz="4" w:space="4" w:color="auto"/>
          <w:bottom w:val="single" w:sz="4" w:space="1" w:color="auto"/>
          <w:right w:val="single" w:sz="4" w:space="4" w:color="auto"/>
        </w:pBdr>
        <w:rPr>
          <w:szCs w:val="19"/>
        </w:rPr>
      </w:pPr>
      <w:r w:rsidRPr="00BE0C02">
        <w:rPr>
          <w:szCs w:val="19"/>
        </w:rPr>
        <w:t>Paragraph</w:t>
      </w:r>
      <w:r w:rsidR="0066153A" w:rsidRPr="00BE0C02">
        <w:rPr>
          <w:szCs w:val="19"/>
        </w:rPr>
        <w:t>s</w:t>
      </w:r>
      <w:r w:rsidRPr="00BE0C02">
        <w:rPr>
          <w:szCs w:val="19"/>
        </w:rPr>
        <w:t xml:space="preserve"> 10 </w:t>
      </w:r>
      <w:r w:rsidR="0066153A" w:rsidRPr="00BE0C02">
        <w:rPr>
          <w:szCs w:val="19"/>
        </w:rPr>
        <w:t xml:space="preserve">and AusCF10 are </w:t>
      </w:r>
      <w:r w:rsidR="001B36EF" w:rsidRPr="00BE0C02">
        <w:rPr>
          <w:szCs w:val="19"/>
        </w:rPr>
        <w:t>amended.</w:t>
      </w:r>
    </w:p>
    <w:p w14:paraId="65D6DFBB" w14:textId="77777777" w:rsidR="001B36EF" w:rsidRPr="00BE0C02" w:rsidRDefault="001B36EF" w:rsidP="001B36EF">
      <w:pPr>
        <w:pStyle w:val="Heading2"/>
        <w:spacing w:before="240"/>
        <w:jc w:val="both"/>
      </w:pPr>
      <w:r w:rsidRPr="00BE0C02">
        <w:t>Conceptual framework</w:t>
      </w:r>
    </w:p>
    <w:p w14:paraId="7F51E7B7" w14:textId="7E20818C" w:rsidR="001B36EF" w:rsidRPr="00BE0C02" w:rsidRDefault="001B36EF" w:rsidP="001B36EF">
      <w:pPr>
        <w:pStyle w:val="IASBNormalnpara"/>
        <w:rPr>
          <w:b/>
          <w:bCs/>
          <w:szCs w:val="19"/>
        </w:rPr>
      </w:pPr>
      <w:r w:rsidRPr="00BE0C02">
        <w:rPr>
          <w:b/>
          <w:bCs/>
          <w:szCs w:val="19"/>
        </w:rPr>
        <w:t>10</w:t>
      </w:r>
      <w:r w:rsidRPr="00BE0C02">
        <w:rPr>
          <w:b/>
          <w:bCs/>
          <w:szCs w:val="19"/>
        </w:rPr>
        <w:tab/>
      </w:r>
      <w:r w:rsidRPr="00BE0C02">
        <w:rPr>
          <w:b/>
          <w:szCs w:val="19"/>
        </w:rPr>
        <w:t xml:space="preserve">Each reference to the </w:t>
      </w:r>
      <w:r w:rsidRPr="00BE0C02">
        <w:rPr>
          <w:b/>
          <w:bCs/>
          <w:i/>
          <w:szCs w:val="19"/>
        </w:rPr>
        <w:t>Conceptual Framework for Financial Reporting</w:t>
      </w:r>
      <w:r w:rsidRPr="00BE0C02">
        <w:rPr>
          <w:b/>
          <w:i/>
          <w:szCs w:val="19"/>
        </w:rPr>
        <w:t xml:space="preserve"> </w:t>
      </w:r>
      <w:r w:rsidRPr="00BE0C02">
        <w:rPr>
          <w:b/>
          <w:szCs w:val="19"/>
        </w:rPr>
        <w:t xml:space="preserve">(or </w:t>
      </w:r>
      <w:r w:rsidRPr="00BE0C02">
        <w:rPr>
          <w:b/>
          <w:bCs/>
          <w:i/>
          <w:szCs w:val="19"/>
        </w:rPr>
        <w:t>Conceptual</w:t>
      </w:r>
      <w:r w:rsidRPr="00BE0C02">
        <w:rPr>
          <w:b/>
          <w:szCs w:val="19"/>
        </w:rPr>
        <w:t xml:space="preserve"> </w:t>
      </w:r>
      <w:r w:rsidRPr="00BE0C02">
        <w:rPr>
          <w:b/>
          <w:i/>
          <w:szCs w:val="19"/>
        </w:rPr>
        <w:t>Framework</w:t>
      </w:r>
      <w:r w:rsidRPr="00BE0C02">
        <w:rPr>
          <w:b/>
          <w:szCs w:val="19"/>
        </w:rPr>
        <w:t>) in other Australian Accounting Standards (including Interpretations) is taken to be a reference to the relevant pronouncement listed in Table 3 below. Each row in Table 3 is to be treated as a separate provision of this Standard</w:t>
      </w:r>
      <w:r w:rsidRPr="00BE0C02">
        <w:rPr>
          <w:b/>
          <w:bCs/>
          <w:szCs w:val="19"/>
        </w:rPr>
        <w:t>.</w:t>
      </w:r>
    </w:p>
    <w:p w14:paraId="04334F12" w14:textId="77777777" w:rsidR="001B36EF" w:rsidRPr="00BE0C02" w:rsidRDefault="001B36EF" w:rsidP="001B36EF">
      <w:pPr>
        <w:pStyle w:val="Default"/>
        <w:jc w:val="both"/>
        <w:rPr>
          <w:b/>
          <w:bCs/>
          <w:color w:val="auto"/>
          <w:sz w:val="19"/>
          <w:szCs w:val="19"/>
        </w:rPr>
      </w:pPr>
    </w:p>
    <w:p w14:paraId="3F6D151E" w14:textId="77777777" w:rsidR="001B36EF" w:rsidRPr="00BE0C02" w:rsidRDefault="001B36EF" w:rsidP="003C6ABD">
      <w:pPr>
        <w:pStyle w:val="Default"/>
        <w:keepNext/>
        <w:jc w:val="both"/>
        <w:rPr>
          <w:color w:val="auto"/>
          <w:sz w:val="19"/>
          <w:szCs w:val="19"/>
        </w:rPr>
      </w:pPr>
      <w:r w:rsidRPr="00BE0C02">
        <w:rPr>
          <w:b/>
          <w:bCs/>
          <w:i/>
          <w:iCs/>
          <w:color w:val="auto"/>
          <w:sz w:val="19"/>
          <w:szCs w:val="19"/>
        </w:rPr>
        <w:t>Table 3: Australian conceptual framework pronouncements</w:t>
      </w:r>
    </w:p>
    <w:tbl>
      <w:tblPr>
        <w:tblW w:w="9263" w:type="dxa"/>
        <w:tblInd w:w="-108" w:type="dxa"/>
        <w:tblBorders>
          <w:top w:val="nil"/>
          <w:left w:val="nil"/>
          <w:bottom w:val="nil"/>
          <w:right w:val="nil"/>
        </w:tblBorders>
        <w:tblLayout w:type="fixed"/>
        <w:tblCellMar>
          <w:top w:w="108" w:type="dxa"/>
          <w:bottom w:w="108" w:type="dxa"/>
        </w:tblCellMar>
        <w:tblLook w:val="0000" w:firstRow="0" w:lastRow="0" w:firstColumn="0" w:lastColumn="0" w:noHBand="0" w:noVBand="0"/>
        <w:tblCaption w:val="1048 Table 4"/>
        <w:tblDescription w:val="1048 Table 4"/>
      </w:tblPr>
      <w:tblGrid>
        <w:gridCol w:w="2730"/>
        <w:gridCol w:w="4324"/>
        <w:gridCol w:w="2209"/>
      </w:tblGrid>
      <w:tr w:rsidR="00644728" w:rsidRPr="00BE0C02" w14:paraId="03AD76A7" w14:textId="77777777" w:rsidTr="001B36EF">
        <w:trPr>
          <w:trHeight w:val="339"/>
        </w:trPr>
        <w:tc>
          <w:tcPr>
            <w:tcW w:w="2730" w:type="dxa"/>
            <w:tcBorders>
              <w:top w:val="double" w:sz="4" w:space="0" w:color="auto"/>
              <w:bottom w:val="double" w:sz="4" w:space="0" w:color="auto"/>
              <w:right w:val="single" w:sz="4" w:space="0" w:color="auto"/>
            </w:tcBorders>
          </w:tcPr>
          <w:p w14:paraId="56D006D9" w14:textId="77777777" w:rsidR="001B36EF" w:rsidRPr="00BE0C02" w:rsidRDefault="001B36EF" w:rsidP="003C6ABD">
            <w:pPr>
              <w:pStyle w:val="Default"/>
              <w:keepNext/>
              <w:jc w:val="both"/>
              <w:rPr>
                <w:color w:val="auto"/>
                <w:sz w:val="19"/>
                <w:szCs w:val="19"/>
              </w:rPr>
            </w:pPr>
            <w:r w:rsidRPr="00BE0C02">
              <w:rPr>
                <w:b/>
                <w:bCs/>
                <w:color w:val="auto"/>
                <w:sz w:val="19"/>
                <w:szCs w:val="19"/>
              </w:rPr>
              <w:t xml:space="preserve">Issue Date </w:t>
            </w:r>
          </w:p>
        </w:tc>
        <w:tc>
          <w:tcPr>
            <w:tcW w:w="4324" w:type="dxa"/>
            <w:tcBorders>
              <w:top w:val="double" w:sz="4" w:space="0" w:color="auto"/>
              <w:left w:val="single" w:sz="4" w:space="0" w:color="auto"/>
              <w:bottom w:val="double" w:sz="4" w:space="0" w:color="auto"/>
              <w:right w:val="single" w:sz="4" w:space="0" w:color="auto"/>
            </w:tcBorders>
          </w:tcPr>
          <w:p w14:paraId="05A3A2B4" w14:textId="77777777" w:rsidR="001B36EF" w:rsidRPr="00BE0C02" w:rsidRDefault="001B36EF" w:rsidP="001B36EF">
            <w:pPr>
              <w:pStyle w:val="Default"/>
              <w:jc w:val="both"/>
              <w:rPr>
                <w:color w:val="auto"/>
                <w:sz w:val="19"/>
                <w:szCs w:val="19"/>
              </w:rPr>
            </w:pPr>
            <w:r w:rsidRPr="00BE0C02">
              <w:rPr>
                <w:b/>
                <w:bCs/>
                <w:color w:val="auto"/>
                <w:sz w:val="19"/>
                <w:szCs w:val="19"/>
              </w:rPr>
              <w:t xml:space="preserve">Title </w:t>
            </w:r>
          </w:p>
        </w:tc>
        <w:tc>
          <w:tcPr>
            <w:tcW w:w="2209" w:type="dxa"/>
            <w:tcBorders>
              <w:top w:val="double" w:sz="4" w:space="0" w:color="auto"/>
              <w:left w:val="single" w:sz="4" w:space="0" w:color="auto"/>
              <w:bottom w:val="double" w:sz="4" w:space="0" w:color="auto"/>
            </w:tcBorders>
          </w:tcPr>
          <w:p w14:paraId="71A58E22" w14:textId="77777777" w:rsidR="001B36EF" w:rsidRPr="00BE0C02" w:rsidRDefault="001B36EF" w:rsidP="001B36EF">
            <w:pPr>
              <w:pStyle w:val="Default"/>
              <w:jc w:val="both"/>
              <w:rPr>
                <w:color w:val="auto"/>
                <w:sz w:val="19"/>
                <w:szCs w:val="19"/>
              </w:rPr>
            </w:pPr>
            <w:r w:rsidRPr="00BE0C02">
              <w:rPr>
                <w:b/>
                <w:bCs/>
                <w:color w:val="auto"/>
                <w:sz w:val="19"/>
                <w:szCs w:val="19"/>
              </w:rPr>
              <w:t xml:space="preserve">Application Date </w:t>
            </w:r>
          </w:p>
          <w:p w14:paraId="774A97C6" w14:textId="77777777" w:rsidR="001B36EF" w:rsidRPr="00BE0C02" w:rsidRDefault="001B36EF" w:rsidP="001B36EF">
            <w:pPr>
              <w:pStyle w:val="Default"/>
              <w:jc w:val="both"/>
              <w:rPr>
                <w:color w:val="auto"/>
                <w:sz w:val="19"/>
                <w:szCs w:val="19"/>
              </w:rPr>
            </w:pPr>
            <w:r w:rsidRPr="00BE0C02">
              <w:rPr>
                <w:color w:val="auto"/>
                <w:sz w:val="19"/>
                <w:szCs w:val="19"/>
              </w:rPr>
              <w:t xml:space="preserve">(annual reporting periods) </w:t>
            </w:r>
          </w:p>
        </w:tc>
      </w:tr>
      <w:tr w:rsidR="007B6B82" w:rsidRPr="00BE0C02" w14:paraId="41C0EC76" w14:textId="77777777" w:rsidTr="001B36EF">
        <w:trPr>
          <w:trHeight w:val="229"/>
        </w:trPr>
        <w:tc>
          <w:tcPr>
            <w:tcW w:w="2730" w:type="dxa"/>
            <w:tcBorders>
              <w:top w:val="single" w:sz="4" w:space="0" w:color="auto"/>
              <w:bottom w:val="single" w:sz="4" w:space="0" w:color="auto"/>
              <w:right w:val="single" w:sz="4" w:space="0" w:color="auto"/>
            </w:tcBorders>
          </w:tcPr>
          <w:p w14:paraId="0C3EA3A6" w14:textId="45F8C4FE" w:rsidR="001B36EF" w:rsidRPr="00BE0C02" w:rsidRDefault="007B6AD3" w:rsidP="001B36EF">
            <w:pPr>
              <w:pStyle w:val="Default"/>
              <w:jc w:val="both"/>
              <w:rPr>
                <w:color w:val="auto"/>
                <w:sz w:val="19"/>
                <w:szCs w:val="19"/>
                <w:u w:val="single"/>
              </w:rPr>
            </w:pPr>
            <w:r>
              <w:rPr>
                <w:color w:val="auto"/>
                <w:sz w:val="19"/>
                <w:szCs w:val="19"/>
                <w:u w:val="single"/>
              </w:rPr>
              <w:t>March</w:t>
            </w:r>
            <w:r w:rsidR="00D6683E" w:rsidRPr="00BE0C02">
              <w:rPr>
                <w:color w:val="auto"/>
                <w:sz w:val="19"/>
                <w:szCs w:val="19"/>
                <w:u w:val="single"/>
              </w:rPr>
              <w:t xml:space="preserve"> </w:t>
            </w:r>
            <w:r>
              <w:rPr>
                <w:color w:val="auto"/>
                <w:sz w:val="19"/>
                <w:szCs w:val="19"/>
                <w:u w:val="single"/>
              </w:rPr>
              <w:t>2020</w:t>
            </w:r>
          </w:p>
          <w:p w14:paraId="1BF0011F" w14:textId="7C5ECC50" w:rsidR="001B36EF" w:rsidRPr="00BE0C02" w:rsidRDefault="003343E3" w:rsidP="001B36EF">
            <w:pPr>
              <w:pStyle w:val="Default"/>
              <w:jc w:val="both"/>
              <w:rPr>
                <w:color w:val="auto"/>
                <w:sz w:val="19"/>
                <w:szCs w:val="19"/>
                <w:u w:val="single"/>
              </w:rPr>
            </w:pPr>
            <w:r w:rsidRPr="00BE0C02">
              <w:rPr>
                <w:color w:val="auto"/>
                <w:sz w:val="19"/>
                <w:szCs w:val="19"/>
                <w:u w:val="single"/>
              </w:rPr>
              <w:t>[as amended to]</w:t>
            </w:r>
          </w:p>
        </w:tc>
        <w:tc>
          <w:tcPr>
            <w:tcW w:w="4324" w:type="dxa"/>
            <w:tcBorders>
              <w:top w:val="single" w:sz="4" w:space="0" w:color="auto"/>
              <w:left w:val="single" w:sz="4" w:space="0" w:color="auto"/>
              <w:bottom w:val="single" w:sz="4" w:space="0" w:color="auto"/>
              <w:right w:val="single" w:sz="4" w:space="0" w:color="auto"/>
            </w:tcBorders>
          </w:tcPr>
          <w:p w14:paraId="0ED41D6C" w14:textId="77777777" w:rsidR="001B36EF" w:rsidRPr="00BE0C02" w:rsidRDefault="00D6683E" w:rsidP="001B36EF">
            <w:pPr>
              <w:pStyle w:val="Default"/>
              <w:jc w:val="both"/>
              <w:rPr>
                <w:color w:val="auto"/>
                <w:sz w:val="19"/>
                <w:szCs w:val="19"/>
                <w:u w:val="single"/>
              </w:rPr>
            </w:pPr>
            <w:r w:rsidRPr="00BE0C02">
              <w:rPr>
                <w:color w:val="auto"/>
                <w:sz w:val="19"/>
                <w:szCs w:val="19"/>
                <w:u w:val="single"/>
              </w:rPr>
              <w:t>Conceptual Framework for Financial Reporting (or Conceptual Framework)</w:t>
            </w:r>
          </w:p>
          <w:p w14:paraId="6167C2A0" w14:textId="4C1C8605" w:rsidR="00D6683E" w:rsidRPr="00BE0C02" w:rsidRDefault="00D6683E" w:rsidP="001B36EF">
            <w:pPr>
              <w:pStyle w:val="Default"/>
              <w:jc w:val="both"/>
              <w:rPr>
                <w:color w:val="auto"/>
                <w:sz w:val="19"/>
                <w:szCs w:val="19"/>
                <w:u w:val="single"/>
              </w:rPr>
            </w:pPr>
            <w:r w:rsidRPr="00BE0C02">
              <w:rPr>
                <w:i/>
                <w:color w:val="auto"/>
                <w:sz w:val="19"/>
                <w:szCs w:val="19"/>
                <w:u w:val="single"/>
              </w:rPr>
              <w:t>Note</w:t>
            </w:r>
            <w:r w:rsidR="00070D60" w:rsidRPr="00BE0C02">
              <w:rPr>
                <w:i/>
                <w:color w:val="auto"/>
                <w:sz w:val="19"/>
                <w:szCs w:val="19"/>
                <w:u w:val="single"/>
              </w:rPr>
              <w:t xml:space="preserve"> </w:t>
            </w:r>
            <w:r w:rsidR="00070D60" w:rsidRPr="00BE0C02">
              <w:rPr>
                <w:color w:val="auto"/>
                <w:sz w:val="19"/>
                <w:szCs w:val="19"/>
                <w:u w:val="single"/>
              </w:rPr>
              <w:t>– for</w:t>
            </w:r>
            <w:r w:rsidR="004A6AFD" w:rsidRPr="00BE0C02">
              <w:rPr>
                <w:color w:val="auto"/>
                <w:sz w:val="19"/>
                <w:szCs w:val="19"/>
                <w:u w:val="single"/>
              </w:rPr>
              <w:t>-</w:t>
            </w:r>
            <w:r w:rsidR="00070D60" w:rsidRPr="00BE0C02">
              <w:rPr>
                <w:color w:val="auto"/>
                <w:sz w:val="19"/>
                <w:szCs w:val="19"/>
                <w:u w:val="single"/>
              </w:rPr>
              <w:t>profit entities applying the Conceptual Framework are set out in paragraph Aus1.1 of the Conceptual Framework</w:t>
            </w:r>
          </w:p>
        </w:tc>
        <w:tc>
          <w:tcPr>
            <w:tcW w:w="2209" w:type="dxa"/>
            <w:tcBorders>
              <w:top w:val="single" w:sz="4" w:space="0" w:color="auto"/>
              <w:left w:val="single" w:sz="4" w:space="0" w:color="auto"/>
              <w:bottom w:val="single" w:sz="4" w:space="0" w:color="auto"/>
            </w:tcBorders>
          </w:tcPr>
          <w:p w14:paraId="676604EF" w14:textId="77777777" w:rsidR="001B36EF" w:rsidRPr="00BE0C02" w:rsidRDefault="00D6683E" w:rsidP="001B36EF">
            <w:pPr>
              <w:pStyle w:val="Default"/>
              <w:jc w:val="both"/>
              <w:rPr>
                <w:color w:val="auto"/>
                <w:sz w:val="19"/>
                <w:szCs w:val="19"/>
                <w:u w:val="single"/>
              </w:rPr>
            </w:pPr>
            <w:r w:rsidRPr="00BE0C02">
              <w:rPr>
                <w:color w:val="auto"/>
                <w:sz w:val="19"/>
                <w:szCs w:val="19"/>
                <w:u w:val="single"/>
              </w:rPr>
              <w:t>(beginning)</w:t>
            </w:r>
          </w:p>
          <w:p w14:paraId="64A24F16" w14:textId="7872D35F" w:rsidR="00D6683E" w:rsidRPr="00BE0C02" w:rsidRDefault="00D6683E" w:rsidP="001B36EF">
            <w:pPr>
              <w:pStyle w:val="Default"/>
              <w:jc w:val="both"/>
              <w:rPr>
                <w:color w:val="auto"/>
                <w:sz w:val="19"/>
                <w:szCs w:val="19"/>
                <w:u w:val="single"/>
              </w:rPr>
            </w:pPr>
            <w:r w:rsidRPr="00BE0C02">
              <w:rPr>
                <w:color w:val="auto"/>
                <w:sz w:val="19"/>
                <w:szCs w:val="19"/>
                <w:u w:val="single"/>
              </w:rPr>
              <w:t xml:space="preserve">1 July </w:t>
            </w:r>
            <w:r w:rsidR="007F03AF" w:rsidRPr="00BE0C02">
              <w:rPr>
                <w:color w:val="auto"/>
                <w:sz w:val="19"/>
                <w:szCs w:val="19"/>
                <w:u w:val="single"/>
              </w:rPr>
              <w:t>2021</w:t>
            </w:r>
          </w:p>
        </w:tc>
      </w:tr>
      <w:tr w:rsidR="007B6B82" w:rsidRPr="00BE0C02" w14:paraId="54CBFB7E" w14:textId="77777777" w:rsidTr="001B36EF">
        <w:trPr>
          <w:trHeight w:val="229"/>
        </w:trPr>
        <w:tc>
          <w:tcPr>
            <w:tcW w:w="2730" w:type="dxa"/>
            <w:tcBorders>
              <w:top w:val="single" w:sz="4" w:space="0" w:color="auto"/>
              <w:bottom w:val="single" w:sz="4" w:space="0" w:color="auto"/>
              <w:right w:val="single" w:sz="4" w:space="0" w:color="auto"/>
            </w:tcBorders>
          </w:tcPr>
          <w:p w14:paraId="30AD918D" w14:textId="4FD838AA" w:rsidR="001B36EF" w:rsidRPr="00BE0C02" w:rsidRDefault="001B36EF" w:rsidP="001B36EF">
            <w:pPr>
              <w:pStyle w:val="Default"/>
              <w:jc w:val="both"/>
              <w:rPr>
                <w:color w:val="auto"/>
                <w:sz w:val="19"/>
                <w:szCs w:val="19"/>
                <w:u w:val="single"/>
              </w:rPr>
            </w:pPr>
            <w:r w:rsidRPr="00BE0C02">
              <w:rPr>
                <w:strike/>
                <w:color w:val="auto"/>
                <w:sz w:val="19"/>
                <w:szCs w:val="19"/>
              </w:rPr>
              <w:t>[Month</w:t>
            </w:r>
            <w:r w:rsidR="00D6683E" w:rsidRPr="00BE0C02">
              <w:rPr>
                <w:color w:val="auto"/>
                <w:sz w:val="19"/>
                <w:szCs w:val="19"/>
                <w:u w:val="single"/>
              </w:rPr>
              <w:t>May</w:t>
            </w:r>
            <w:r w:rsidR="00D6683E" w:rsidRPr="00BE0C02">
              <w:rPr>
                <w:color w:val="auto"/>
                <w:sz w:val="19"/>
                <w:szCs w:val="19"/>
              </w:rPr>
              <w:t xml:space="preserve"> </w:t>
            </w:r>
            <w:r w:rsidRPr="00BE0C02">
              <w:rPr>
                <w:color w:val="auto"/>
                <w:sz w:val="19"/>
                <w:szCs w:val="19"/>
              </w:rPr>
              <w:t>2019</w:t>
            </w:r>
            <w:r w:rsidRPr="00BE0C02">
              <w:rPr>
                <w:strike/>
                <w:color w:val="auto"/>
                <w:sz w:val="19"/>
                <w:szCs w:val="19"/>
                <w:u w:val="single"/>
              </w:rPr>
              <w:t>]</w:t>
            </w:r>
          </w:p>
        </w:tc>
        <w:tc>
          <w:tcPr>
            <w:tcW w:w="4324" w:type="dxa"/>
            <w:tcBorders>
              <w:top w:val="single" w:sz="4" w:space="0" w:color="auto"/>
              <w:left w:val="single" w:sz="4" w:space="0" w:color="auto"/>
              <w:bottom w:val="single" w:sz="4" w:space="0" w:color="auto"/>
              <w:right w:val="single" w:sz="4" w:space="0" w:color="auto"/>
            </w:tcBorders>
          </w:tcPr>
          <w:p w14:paraId="0DB5A07F" w14:textId="77777777" w:rsidR="001B36EF" w:rsidRPr="00BE0C02" w:rsidRDefault="001B36EF" w:rsidP="001B36EF">
            <w:pPr>
              <w:pStyle w:val="Default"/>
              <w:jc w:val="both"/>
              <w:rPr>
                <w:color w:val="auto"/>
                <w:sz w:val="19"/>
                <w:szCs w:val="19"/>
              </w:rPr>
            </w:pPr>
            <w:r w:rsidRPr="00BE0C02">
              <w:rPr>
                <w:color w:val="auto"/>
                <w:sz w:val="19"/>
                <w:szCs w:val="19"/>
              </w:rPr>
              <w:t>Conceptual Framework for Financial Reporting (or Conceptual Framework)</w:t>
            </w:r>
          </w:p>
          <w:p w14:paraId="0BDAEC8D" w14:textId="77777777" w:rsidR="001B36EF" w:rsidRPr="00BE0C02" w:rsidRDefault="001B36EF" w:rsidP="001B36EF">
            <w:pPr>
              <w:pStyle w:val="Default"/>
              <w:jc w:val="both"/>
              <w:rPr>
                <w:color w:val="auto"/>
                <w:sz w:val="19"/>
                <w:szCs w:val="19"/>
                <w:u w:val="single"/>
              </w:rPr>
            </w:pPr>
            <w:r w:rsidRPr="00BE0C02">
              <w:rPr>
                <w:i/>
                <w:color w:val="auto"/>
                <w:sz w:val="19"/>
                <w:szCs w:val="19"/>
              </w:rPr>
              <w:t>Note</w:t>
            </w:r>
            <w:r w:rsidRPr="00BE0C02">
              <w:rPr>
                <w:color w:val="auto"/>
                <w:sz w:val="19"/>
                <w:szCs w:val="19"/>
              </w:rPr>
              <w:t xml:space="preserve"> – this pronouncement is applicable only to for-profit private sector entities that have public accountability and are required by legislation to comply with Australian Accounting Standards and other for-profit entities that elect to apply this Framework</w:t>
            </w:r>
            <w:r w:rsidRPr="00BE0C02">
              <w:rPr>
                <w:color w:val="auto"/>
                <w:sz w:val="19"/>
                <w:szCs w:val="19"/>
                <w:u w:val="single"/>
              </w:rPr>
              <w:t xml:space="preserve"> </w:t>
            </w:r>
          </w:p>
        </w:tc>
        <w:tc>
          <w:tcPr>
            <w:tcW w:w="2209" w:type="dxa"/>
            <w:tcBorders>
              <w:top w:val="single" w:sz="4" w:space="0" w:color="auto"/>
              <w:left w:val="single" w:sz="4" w:space="0" w:color="auto"/>
              <w:bottom w:val="single" w:sz="4" w:space="0" w:color="auto"/>
            </w:tcBorders>
          </w:tcPr>
          <w:p w14:paraId="68B18A7A" w14:textId="77777777" w:rsidR="001B36EF" w:rsidRPr="00BE0C02" w:rsidRDefault="001B36EF" w:rsidP="001B36EF">
            <w:pPr>
              <w:pStyle w:val="Default"/>
              <w:jc w:val="both"/>
              <w:rPr>
                <w:color w:val="auto"/>
                <w:sz w:val="19"/>
                <w:szCs w:val="19"/>
              </w:rPr>
            </w:pPr>
            <w:r w:rsidRPr="00BE0C02">
              <w:rPr>
                <w:color w:val="auto"/>
                <w:sz w:val="19"/>
                <w:szCs w:val="19"/>
              </w:rPr>
              <w:t xml:space="preserve">(beginning) </w:t>
            </w:r>
          </w:p>
          <w:p w14:paraId="7E1A5F6E" w14:textId="77777777" w:rsidR="001B36EF" w:rsidRPr="00BE0C02" w:rsidRDefault="001B36EF" w:rsidP="001B36EF">
            <w:pPr>
              <w:pStyle w:val="Default"/>
              <w:jc w:val="both"/>
              <w:rPr>
                <w:color w:val="auto"/>
                <w:sz w:val="19"/>
                <w:szCs w:val="19"/>
                <w:u w:val="single"/>
              </w:rPr>
            </w:pPr>
            <w:r w:rsidRPr="00BE0C02">
              <w:rPr>
                <w:color w:val="auto"/>
                <w:sz w:val="19"/>
                <w:szCs w:val="19"/>
              </w:rPr>
              <w:t>1 January 2020</w:t>
            </w:r>
          </w:p>
        </w:tc>
      </w:tr>
    </w:tbl>
    <w:p w14:paraId="256F250E" w14:textId="77777777" w:rsidR="0066153A" w:rsidRPr="00BE0C02" w:rsidRDefault="0066153A" w:rsidP="0066153A">
      <w:pPr>
        <w:pStyle w:val="Default"/>
        <w:jc w:val="both"/>
        <w:rPr>
          <w:b/>
          <w:bCs/>
          <w:color w:val="auto"/>
          <w:sz w:val="19"/>
          <w:szCs w:val="19"/>
        </w:rPr>
      </w:pPr>
    </w:p>
    <w:p w14:paraId="220F057C" w14:textId="5334E197" w:rsidR="0066153A" w:rsidRPr="00BE0C02" w:rsidRDefault="0066153A" w:rsidP="0066153A">
      <w:pPr>
        <w:pStyle w:val="IASBNormalnpara"/>
        <w:rPr>
          <w:b/>
          <w:bCs/>
          <w:szCs w:val="19"/>
        </w:rPr>
      </w:pPr>
      <w:r w:rsidRPr="00BE0C02">
        <w:rPr>
          <w:b/>
          <w:bCs/>
          <w:szCs w:val="19"/>
        </w:rPr>
        <w:t>AusCF10</w:t>
      </w:r>
      <w:r w:rsidRPr="00BE0C02">
        <w:rPr>
          <w:b/>
          <w:bCs/>
          <w:szCs w:val="19"/>
        </w:rPr>
        <w:tab/>
      </w:r>
      <w:r w:rsidRPr="00BE0C02">
        <w:rPr>
          <w:b/>
          <w:szCs w:val="19"/>
        </w:rPr>
        <w:t xml:space="preserve">Notwithstanding paragraph 10, in respect of AusCF entities, </w:t>
      </w:r>
      <w:r w:rsidRPr="00BE0C02">
        <w:rPr>
          <w:b/>
          <w:bCs/>
          <w:szCs w:val="19"/>
        </w:rPr>
        <w:t xml:space="preserve">each reference to the </w:t>
      </w:r>
      <w:r w:rsidRPr="00BE0C02">
        <w:rPr>
          <w:b/>
          <w:bCs/>
          <w:i/>
          <w:szCs w:val="19"/>
        </w:rPr>
        <w:t xml:space="preserve">Framework for the Preparation and Presentation of Financial Statements </w:t>
      </w:r>
      <w:r w:rsidRPr="00BE0C02">
        <w:rPr>
          <w:b/>
          <w:bCs/>
          <w:szCs w:val="19"/>
        </w:rPr>
        <w:t xml:space="preserve">(or </w:t>
      </w:r>
      <w:r w:rsidRPr="00BE0C02">
        <w:rPr>
          <w:b/>
          <w:bCs/>
          <w:i/>
          <w:szCs w:val="19"/>
        </w:rPr>
        <w:t>Framework</w:t>
      </w:r>
      <w:r w:rsidRPr="00BE0C02">
        <w:rPr>
          <w:b/>
          <w:bCs/>
          <w:szCs w:val="19"/>
        </w:rPr>
        <w:t>) in other Australian Accounting Standards (including Interpretations) is taken to be a reference to the relevant pronouncement listed in Table 3 below. Each row in Table 3 is to be treated as a separate provision of this Standard.</w:t>
      </w:r>
    </w:p>
    <w:p w14:paraId="35523672" w14:textId="77777777" w:rsidR="0066153A" w:rsidRPr="00BE0C02" w:rsidRDefault="0066153A" w:rsidP="0066153A">
      <w:pPr>
        <w:pStyle w:val="Default"/>
        <w:jc w:val="both"/>
        <w:rPr>
          <w:b/>
          <w:bCs/>
          <w:color w:val="auto"/>
          <w:sz w:val="19"/>
          <w:szCs w:val="19"/>
        </w:rPr>
      </w:pPr>
    </w:p>
    <w:p w14:paraId="2DFF896F" w14:textId="77777777" w:rsidR="0066153A" w:rsidRPr="00BE0C02" w:rsidRDefault="0066153A" w:rsidP="0066153A">
      <w:pPr>
        <w:pStyle w:val="Default"/>
        <w:keepNext/>
        <w:jc w:val="both"/>
        <w:rPr>
          <w:color w:val="auto"/>
          <w:sz w:val="19"/>
          <w:szCs w:val="19"/>
        </w:rPr>
      </w:pPr>
      <w:r w:rsidRPr="00BE0C02">
        <w:rPr>
          <w:b/>
          <w:bCs/>
          <w:i/>
          <w:iCs/>
          <w:color w:val="auto"/>
          <w:sz w:val="19"/>
          <w:szCs w:val="19"/>
        </w:rPr>
        <w:t>Table 3: Australian conceptual framework pronouncements</w:t>
      </w:r>
    </w:p>
    <w:tbl>
      <w:tblPr>
        <w:tblW w:w="9263" w:type="dxa"/>
        <w:tblInd w:w="-108" w:type="dxa"/>
        <w:tblBorders>
          <w:top w:val="nil"/>
          <w:left w:val="nil"/>
          <w:bottom w:val="nil"/>
          <w:right w:val="nil"/>
        </w:tblBorders>
        <w:tblLayout w:type="fixed"/>
        <w:tblCellMar>
          <w:top w:w="108" w:type="dxa"/>
          <w:bottom w:w="108" w:type="dxa"/>
        </w:tblCellMar>
        <w:tblLook w:val="0000" w:firstRow="0" w:lastRow="0" w:firstColumn="0" w:lastColumn="0" w:noHBand="0" w:noVBand="0"/>
        <w:tblCaption w:val="1048 Table 4"/>
        <w:tblDescription w:val="1048 Table 4"/>
      </w:tblPr>
      <w:tblGrid>
        <w:gridCol w:w="2730"/>
        <w:gridCol w:w="4324"/>
        <w:gridCol w:w="2209"/>
      </w:tblGrid>
      <w:tr w:rsidR="00644728" w:rsidRPr="00BE0C02" w14:paraId="357C21F4" w14:textId="77777777" w:rsidTr="0066153A">
        <w:trPr>
          <w:trHeight w:val="339"/>
        </w:trPr>
        <w:tc>
          <w:tcPr>
            <w:tcW w:w="2730" w:type="dxa"/>
            <w:tcBorders>
              <w:top w:val="double" w:sz="4" w:space="0" w:color="auto"/>
              <w:bottom w:val="double" w:sz="4" w:space="0" w:color="auto"/>
              <w:right w:val="single" w:sz="4" w:space="0" w:color="auto"/>
            </w:tcBorders>
          </w:tcPr>
          <w:p w14:paraId="3F482EE2" w14:textId="77777777" w:rsidR="0066153A" w:rsidRPr="00BE0C02" w:rsidRDefault="0066153A" w:rsidP="003C6ABD">
            <w:pPr>
              <w:pStyle w:val="Default"/>
              <w:keepNext/>
              <w:jc w:val="both"/>
              <w:rPr>
                <w:color w:val="auto"/>
                <w:sz w:val="19"/>
                <w:szCs w:val="19"/>
              </w:rPr>
            </w:pPr>
            <w:r w:rsidRPr="00BE0C02">
              <w:rPr>
                <w:b/>
                <w:bCs/>
                <w:color w:val="auto"/>
                <w:sz w:val="19"/>
                <w:szCs w:val="19"/>
              </w:rPr>
              <w:t xml:space="preserve">Issue Date </w:t>
            </w:r>
          </w:p>
        </w:tc>
        <w:tc>
          <w:tcPr>
            <w:tcW w:w="4324" w:type="dxa"/>
            <w:tcBorders>
              <w:top w:val="double" w:sz="4" w:space="0" w:color="auto"/>
              <w:left w:val="single" w:sz="4" w:space="0" w:color="auto"/>
              <w:bottom w:val="double" w:sz="4" w:space="0" w:color="auto"/>
              <w:right w:val="single" w:sz="4" w:space="0" w:color="auto"/>
            </w:tcBorders>
          </w:tcPr>
          <w:p w14:paraId="4F3B597C" w14:textId="77777777" w:rsidR="0066153A" w:rsidRPr="00BE0C02" w:rsidRDefault="0066153A" w:rsidP="0066153A">
            <w:pPr>
              <w:pStyle w:val="Default"/>
              <w:jc w:val="both"/>
              <w:rPr>
                <w:color w:val="auto"/>
                <w:sz w:val="19"/>
                <w:szCs w:val="19"/>
              </w:rPr>
            </w:pPr>
            <w:r w:rsidRPr="00BE0C02">
              <w:rPr>
                <w:b/>
                <w:bCs/>
                <w:color w:val="auto"/>
                <w:sz w:val="19"/>
                <w:szCs w:val="19"/>
              </w:rPr>
              <w:t xml:space="preserve">Title </w:t>
            </w:r>
          </w:p>
        </w:tc>
        <w:tc>
          <w:tcPr>
            <w:tcW w:w="2209" w:type="dxa"/>
            <w:tcBorders>
              <w:top w:val="double" w:sz="4" w:space="0" w:color="auto"/>
              <w:left w:val="single" w:sz="4" w:space="0" w:color="auto"/>
              <w:bottom w:val="double" w:sz="4" w:space="0" w:color="auto"/>
            </w:tcBorders>
          </w:tcPr>
          <w:p w14:paraId="32E4CB88" w14:textId="77777777" w:rsidR="0066153A" w:rsidRPr="00BE0C02" w:rsidRDefault="0066153A" w:rsidP="0066153A">
            <w:pPr>
              <w:pStyle w:val="Default"/>
              <w:jc w:val="both"/>
              <w:rPr>
                <w:color w:val="auto"/>
                <w:sz w:val="19"/>
                <w:szCs w:val="19"/>
              </w:rPr>
            </w:pPr>
            <w:r w:rsidRPr="00BE0C02">
              <w:rPr>
                <w:b/>
                <w:bCs/>
                <w:color w:val="auto"/>
                <w:sz w:val="19"/>
                <w:szCs w:val="19"/>
              </w:rPr>
              <w:t xml:space="preserve">Application Date </w:t>
            </w:r>
          </w:p>
          <w:p w14:paraId="0E60DFF3" w14:textId="77777777" w:rsidR="0066153A" w:rsidRPr="00BE0C02" w:rsidRDefault="0066153A" w:rsidP="0066153A">
            <w:pPr>
              <w:pStyle w:val="Default"/>
              <w:jc w:val="both"/>
              <w:rPr>
                <w:color w:val="auto"/>
                <w:sz w:val="19"/>
                <w:szCs w:val="19"/>
              </w:rPr>
            </w:pPr>
            <w:r w:rsidRPr="00BE0C02">
              <w:rPr>
                <w:color w:val="auto"/>
                <w:sz w:val="19"/>
                <w:szCs w:val="19"/>
              </w:rPr>
              <w:t xml:space="preserve">(annual reporting periods) </w:t>
            </w:r>
          </w:p>
        </w:tc>
      </w:tr>
      <w:tr w:rsidR="007B6B82" w:rsidRPr="00BE0C02" w14:paraId="2FC698F1" w14:textId="77777777" w:rsidTr="0066153A">
        <w:trPr>
          <w:trHeight w:val="229"/>
        </w:trPr>
        <w:tc>
          <w:tcPr>
            <w:tcW w:w="2730" w:type="dxa"/>
            <w:tcBorders>
              <w:top w:val="single" w:sz="4" w:space="0" w:color="auto"/>
              <w:bottom w:val="single" w:sz="4" w:space="0" w:color="auto"/>
              <w:right w:val="single" w:sz="4" w:space="0" w:color="auto"/>
            </w:tcBorders>
          </w:tcPr>
          <w:p w14:paraId="298B99FC" w14:textId="5FD0B606" w:rsidR="0066153A" w:rsidRPr="00BE0C02" w:rsidRDefault="007B6AD3" w:rsidP="0066153A">
            <w:pPr>
              <w:pStyle w:val="Default"/>
              <w:jc w:val="both"/>
              <w:rPr>
                <w:color w:val="auto"/>
                <w:sz w:val="19"/>
                <w:szCs w:val="19"/>
                <w:u w:val="single"/>
              </w:rPr>
            </w:pPr>
            <w:r>
              <w:rPr>
                <w:color w:val="auto"/>
                <w:sz w:val="19"/>
                <w:szCs w:val="19"/>
                <w:u w:val="single"/>
              </w:rPr>
              <w:t>March 2020</w:t>
            </w:r>
          </w:p>
          <w:p w14:paraId="3A37B48D" w14:textId="6B9F2426" w:rsidR="0066153A" w:rsidRPr="00BE0C02" w:rsidRDefault="0066153A" w:rsidP="0066153A">
            <w:pPr>
              <w:pStyle w:val="Default"/>
              <w:jc w:val="both"/>
              <w:rPr>
                <w:color w:val="auto"/>
                <w:sz w:val="19"/>
                <w:szCs w:val="19"/>
              </w:rPr>
            </w:pPr>
            <w:r w:rsidRPr="00BE0C02">
              <w:rPr>
                <w:color w:val="auto"/>
                <w:sz w:val="19"/>
                <w:szCs w:val="19"/>
                <w:u w:val="single"/>
              </w:rPr>
              <w:t>[as amended to]</w:t>
            </w:r>
          </w:p>
        </w:tc>
        <w:tc>
          <w:tcPr>
            <w:tcW w:w="4324" w:type="dxa"/>
            <w:tcBorders>
              <w:top w:val="single" w:sz="4" w:space="0" w:color="auto"/>
              <w:left w:val="single" w:sz="4" w:space="0" w:color="auto"/>
              <w:bottom w:val="single" w:sz="4" w:space="0" w:color="auto"/>
              <w:right w:val="single" w:sz="4" w:space="0" w:color="auto"/>
            </w:tcBorders>
          </w:tcPr>
          <w:p w14:paraId="06164A29" w14:textId="2AA9F77C" w:rsidR="0066153A" w:rsidRPr="00BE0C02" w:rsidRDefault="0066153A" w:rsidP="0066153A">
            <w:pPr>
              <w:pStyle w:val="Default"/>
              <w:jc w:val="both"/>
              <w:rPr>
                <w:color w:val="auto"/>
                <w:sz w:val="19"/>
                <w:szCs w:val="19"/>
                <w:u w:val="single"/>
              </w:rPr>
            </w:pPr>
            <w:r w:rsidRPr="00BE0C02">
              <w:rPr>
                <w:color w:val="auto"/>
                <w:sz w:val="19"/>
                <w:szCs w:val="19"/>
                <w:u w:val="single"/>
              </w:rPr>
              <w:t>Framework for the Preparation and Presentation of Financial Statements (or Framework)</w:t>
            </w:r>
          </w:p>
        </w:tc>
        <w:tc>
          <w:tcPr>
            <w:tcW w:w="2209" w:type="dxa"/>
            <w:tcBorders>
              <w:top w:val="single" w:sz="4" w:space="0" w:color="auto"/>
              <w:left w:val="single" w:sz="4" w:space="0" w:color="auto"/>
              <w:bottom w:val="single" w:sz="4" w:space="0" w:color="auto"/>
            </w:tcBorders>
          </w:tcPr>
          <w:p w14:paraId="651DE3CE" w14:textId="77777777" w:rsidR="0066153A" w:rsidRPr="00BE0C02" w:rsidRDefault="0066153A" w:rsidP="0066153A">
            <w:pPr>
              <w:pStyle w:val="Default"/>
              <w:jc w:val="both"/>
              <w:rPr>
                <w:color w:val="auto"/>
                <w:sz w:val="19"/>
                <w:szCs w:val="19"/>
                <w:u w:val="single"/>
              </w:rPr>
            </w:pPr>
            <w:r w:rsidRPr="00BE0C02">
              <w:rPr>
                <w:color w:val="auto"/>
                <w:sz w:val="19"/>
                <w:szCs w:val="19"/>
                <w:u w:val="single"/>
              </w:rPr>
              <w:t>(beginning)</w:t>
            </w:r>
          </w:p>
          <w:p w14:paraId="2027BE92" w14:textId="6823DAF2" w:rsidR="0066153A" w:rsidRPr="00BE0C02" w:rsidRDefault="0066153A" w:rsidP="0066153A">
            <w:pPr>
              <w:pStyle w:val="Default"/>
              <w:jc w:val="both"/>
              <w:rPr>
                <w:color w:val="auto"/>
                <w:sz w:val="19"/>
                <w:szCs w:val="19"/>
              </w:rPr>
            </w:pPr>
            <w:r w:rsidRPr="00BE0C02">
              <w:rPr>
                <w:color w:val="auto"/>
                <w:sz w:val="19"/>
                <w:szCs w:val="19"/>
                <w:u w:val="single"/>
              </w:rPr>
              <w:t xml:space="preserve">1 July </w:t>
            </w:r>
            <w:r w:rsidR="007F03AF" w:rsidRPr="00BE0C02">
              <w:rPr>
                <w:color w:val="auto"/>
                <w:sz w:val="19"/>
                <w:szCs w:val="19"/>
                <w:u w:val="single"/>
              </w:rPr>
              <w:t>2021</w:t>
            </w:r>
          </w:p>
        </w:tc>
      </w:tr>
      <w:tr w:rsidR="007B6B82" w:rsidRPr="00BE0C02" w14:paraId="1C1EDCD2" w14:textId="77777777" w:rsidTr="0066153A">
        <w:trPr>
          <w:trHeight w:val="229"/>
        </w:trPr>
        <w:tc>
          <w:tcPr>
            <w:tcW w:w="2730" w:type="dxa"/>
            <w:tcBorders>
              <w:top w:val="single" w:sz="4" w:space="0" w:color="auto"/>
              <w:bottom w:val="single" w:sz="4" w:space="0" w:color="auto"/>
              <w:right w:val="single" w:sz="4" w:space="0" w:color="auto"/>
            </w:tcBorders>
          </w:tcPr>
          <w:p w14:paraId="11A39BF8" w14:textId="4CA346B8" w:rsidR="0066153A" w:rsidRPr="00BE0C02" w:rsidRDefault="0066153A" w:rsidP="0066153A">
            <w:pPr>
              <w:pStyle w:val="Default"/>
              <w:jc w:val="both"/>
              <w:rPr>
                <w:color w:val="auto"/>
                <w:sz w:val="19"/>
                <w:szCs w:val="19"/>
                <w:u w:val="single"/>
              </w:rPr>
            </w:pPr>
            <w:r w:rsidRPr="00BE0C02">
              <w:rPr>
                <w:color w:val="auto"/>
                <w:sz w:val="19"/>
                <w:szCs w:val="19"/>
                <w:u w:val="single"/>
              </w:rPr>
              <w:t>May 2019</w:t>
            </w:r>
          </w:p>
          <w:p w14:paraId="697D617A" w14:textId="455C506F" w:rsidR="0066153A" w:rsidRPr="00BE0C02" w:rsidRDefault="0066153A" w:rsidP="0066153A">
            <w:pPr>
              <w:pStyle w:val="Default"/>
              <w:jc w:val="both"/>
              <w:rPr>
                <w:color w:val="auto"/>
                <w:sz w:val="19"/>
                <w:szCs w:val="19"/>
                <w:u w:val="single"/>
              </w:rPr>
            </w:pPr>
            <w:r w:rsidRPr="00BE0C02">
              <w:rPr>
                <w:color w:val="auto"/>
                <w:sz w:val="19"/>
                <w:szCs w:val="19"/>
                <w:u w:val="single"/>
              </w:rPr>
              <w:t>[as amended to]</w:t>
            </w:r>
          </w:p>
        </w:tc>
        <w:tc>
          <w:tcPr>
            <w:tcW w:w="4324" w:type="dxa"/>
            <w:tcBorders>
              <w:top w:val="single" w:sz="4" w:space="0" w:color="auto"/>
              <w:left w:val="single" w:sz="4" w:space="0" w:color="auto"/>
              <w:bottom w:val="single" w:sz="4" w:space="0" w:color="auto"/>
              <w:right w:val="single" w:sz="4" w:space="0" w:color="auto"/>
            </w:tcBorders>
          </w:tcPr>
          <w:p w14:paraId="0A11678E" w14:textId="1E7286CC" w:rsidR="0066153A" w:rsidRPr="00BE0C02" w:rsidRDefault="0066153A" w:rsidP="0066153A">
            <w:pPr>
              <w:pStyle w:val="Default"/>
              <w:jc w:val="both"/>
              <w:rPr>
                <w:color w:val="auto"/>
                <w:sz w:val="19"/>
                <w:szCs w:val="19"/>
                <w:u w:val="single"/>
              </w:rPr>
            </w:pPr>
            <w:r w:rsidRPr="00BE0C02">
              <w:rPr>
                <w:color w:val="auto"/>
                <w:sz w:val="19"/>
                <w:szCs w:val="19"/>
                <w:u w:val="single"/>
              </w:rPr>
              <w:t>Framework for the Preparation and Presentation of Financial Statements (or Framework)</w:t>
            </w:r>
          </w:p>
        </w:tc>
        <w:tc>
          <w:tcPr>
            <w:tcW w:w="2209" w:type="dxa"/>
            <w:tcBorders>
              <w:top w:val="single" w:sz="4" w:space="0" w:color="auto"/>
              <w:left w:val="single" w:sz="4" w:space="0" w:color="auto"/>
              <w:bottom w:val="single" w:sz="4" w:space="0" w:color="auto"/>
            </w:tcBorders>
          </w:tcPr>
          <w:p w14:paraId="7C814558" w14:textId="77777777" w:rsidR="0066153A" w:rsidRPr="00BE0C02" w:rsidRDefault="0066153A" w:rsidP="0066153A">
            <w:pPr>
              <w:pStyle w:val="Default"/>
              <w:jc w:val="both"/>
              <w:rPr>
                <w:color w:val="auto"/>
                <w:sz w:val="19"/>
                <w:szCs w:val="19"/>
                <w:u w:val="single"/>
              </w:rPr>
            </w:pPr>
            <w:r w:rsidRPr="00BE0C02">
              <w:rPr>
                <w:color w:val="auto"/>
                <w:sz w:val="19"/>
                <w:szCs w:val="19"/>
                <w:u w:val="single"/>
              </w:rPr>
              <w:t xml:space="preserve">(beginning) </w:t>
            </w:r>
          </w:p>
          <w:p w14:paraId="58BE6B15" w14:textId="064E3603" w:rsidR="0066153A" w:rsidRPr="00BE0C02" w:rsidRDefault="0066153A" w:rsidP="0066153A">
            <w:pPr>
              <w:pStyle w:val="Default"/>
              <w:jc w:val="both"/>
              <w:rPr>
                <w:color w:val="auto"/>
                <w:sz w:val="19"/>
                <w:szCs w:val="19"/>
                <w:u w:val="single"/>
              </w:rPr>
            </w:pPr>
            <w:r w:rsidRPr="00BE0C02">
              <w:rPr>
                <w:color w:val="auto"/>
                <w:sz w:val="19"/>
                <w:szCs w:val="19"/>
                <w:u w:val="single"/>
              </w:rPr>
              <w:t>1 January 2020</w:t>
            </w:r>
          </w:p>
        </w:tc>
      </w:tr>
      <w:tr w:rsidR="007B6B82" w:rsidRPr="00BE0C02" w14:paraId="446C5DC4" w14:textId="77777777" w:rsidTr="0066153A">
        <w:trPr>
          <w:trHeight w:val="229"/>
        </w:trPr>
        <w:tc>
          <w:tcPr>
            <w:tcW w:w="2730" w:type="dxa"/>
            <w:tcBorders>
              <w:top w:val="single" w:sz="4" w:space="0" w:color="auto"/>
              <w:bottom w:val="single" w:sz="4" w:space="0" w:color="auto"/>
              <w:right w:val="single" w:sz="4" w:space="0" w:color="auto"/>
            </w:tcBorders>
          </w:tcPr>
          <w:p w14:paraId="762F5BB7" w14:textId="77777777" w:rsidR="0066153A" w:rsidRPr="00BE0C02" w:rsidRDefault="0066153A" w:rsidP="0066153A">
            <w:pPr>
              <w:pStyle w:val="Default"/>
              <w:jc w:val="both"/>
              <w:rPr>
                <w:color w:val="auto"/>
                <w:sz w:val="19"/>
                <w:szCs w:val="19"/>
              </w:rPr>
            </w:pPr>
            <w:r w:rsidRPr="00BE0C02">
              <w:rPr>
                <w:color w:val="auto"/>
                <w:sz w:val="19"/>
                <w:szCs w:val="19"/>
              </w:rPr>
              <w:t>June 2014</w:t>
            </w:r>
          </w:p>
          <w:p w14:paraId="11DE5FAA" w14:textId="77777777" w:rsidR="0066153A" w:rsidRPr="00BE0C02" w:rsidRDefault="0066153A" w:rsidP="0066153A">
            <w:pPr>
              <w:pStyle w:val="Default"/>
              <w:jc w:val="both"/>
              <w:rPr>
                <w:color w:val="auto"/>
                <w:sz w:val="19"/>
                <w:szCs w:val="19"/>
              </w:rPr>
            </w:pPr>
            <w:r w:rsidRPr="00BE0C02">
              <w:rPr>
                <w:color w:val="auto"/>
                <w:sz w:val="19"/>
                <w:szCs w:val="19"/>
              </w:rPr>
              <w:t>[as amended to]</w:t>
            </w:r>
          </w:p>
        </w:tc>
        <w:tc>
          <w:tcPr>
            <w:tcW w:w="4324" w:type="dxa"/>
            <w:tcBorders>
              <w:top w:val="single" w:sz="4" w:space="0" w:color="auto"/>
              <w:left w:val="single" w:sz="4" w:space="0" w:color="auto"/>
              <w:bottom w:val="single" w:sz="4" w:space="0" w:color="auto"/>
              <w:right w:val="single" w:sz="4" w:space="0" w:color="auto"/>
            </w:tcBorders>
          </w:tcPr>
          <w:p w14:paraId="1B08AAB1" w14:textId="77777777" w:rsidR="0066153A" w:rsidRPr="00BE0C02" w:rsidRDefault="0066153A" w:rsidP="0066153A">
            <w:pPr>
              <w:pStyle w:val="Default"/>
              <w:jc w:val="both"/>
              <w:rPr>
                <w:color w:val="auto"/>
                <w:sz w:val="19"/>
                <w:szCs w:val="19"/>
              </w:rPr>
            </w:pPr>
            <w:r w:rsidRPr="00BE0C02">
              <w:rPr>
                <w:color w:val="auto"/>
                <w:sz w:val="19"/>
                <w:szCs w:val="19"/>
              </w:rPr>
              <w:t>Framework for the Preparation and Presentation of Financial Statements (or Framework)</w:t>
            </w:r>
          </w:p>
        </w:tc>
        <w:tc>
          <w:tcPr>
            <w:tcW w:w="2209" w:type="dxa"/>
            <w:tcBorders>
              <w:top w:val="single" w:sz="4" w:space="0" w:color="auto"/>
              <w:left w:val="single" w:sz="4" w:space="0" w:color="auto"/>
              <w:bottom w:val="single" w:sz="4" w:space="0" w:color="auto"/>
            </w:tcBorders>
          </w:tcPr>
          <w:p w14:paraId="3689090A" w14:textId="77777777" w:rsidR="0066153A" w:rsidRPr="00BE0C02" w:rsidRDefault="0066153A" w:rsidP="0066153A">
            <w:pPr>
              <w:pStyle w:val="Default"/>
              <w:jc w:val="both"/>
              <w:rPr>
                <w:color w:val="auto"/>
                <w:sz w:val="19"/>
                <w:szCs w:val="19"/>
              </w:rPr>
            </w:pPr>
            <w:r w:rsidRPr="00BE0C02">
              <w:rPr>
                <w:color w:val="auto"/>
                <w:sz w:val="19"/>
                <w:szCs w:val="19"/>
              </w:rPr>
              <w:t xml:space="preserve">(beginning) </w:t>
            </w:r>
          </w:p>
          <w:p w14:paraId="422C9C13" w14:textId="5D003F6F" w:rsidR="0066153A" w:rsidRPr="00BE0C02" w:rsidRDefault="0066153A" w:rsidP="0066153A">
            <w:pPr>
              <w:pStyle w:val="Default"/>
              <w:jc w:val="both"/>
              <w:rPr>
                <w:color w:val="auto"/>
                <w:sz w:val="19"/>
                <w:szCs w:val="19"/>
              </w:rPr>
            </w:pPr>
            <w:r w:rsidRPr="00BE0C02">
              <w:rPr>
                <w:color w:val="auto"/>
                <w:sz w:val="19"/>
                <w:szCs w:val="19"/>
              </w:rPr>
              <w:t>1 July 2014</w:t>
            </w:r>
          </w:p>
        </w:tc>
      </w:tr>
    </w:tbl>
    <w:p w14:paraId="71A9E86C" w14:textId="77777777" w:rsidR="000C6EAA" w:rsidRPr="00BE0C02" w:rsidRDefault="000C6EAA" w:rsidP="000C6EAA">
      <w:pPr>
        <w:pStyle w:val="Heading2"/>
        <w:jc w:val="both"/>
      </w:pPr>
      <w:r w:rsidRPr="00BE0C02">
        <w:t>Amendments to AASB 1053</w:t>
      </w:r>
    </w:p>
    <w:p w14:paraId="1E465E90" w14:textId="0748D23C" w:rsidR="000C6EAA" w:rsidRPr="00BE0C02" w:rsidRDefault="000C6EAA" w:rsidP="000C6EAA">
      <w:pPr>
        <w:pBdr>
          <w:top w:val="single" w:sz="4" w:space="1" w:color="auto"/>
          <w:left w:val="single" w:sz="4" w:space="4" w:color="auto"/>
          <w:bottom w:val="single" w:sz="4" w:space="1" w:color="auto"/>
          <w:right w:val="single" w:sz="4" w:space="4" w:color="auto"/>
        </w:pBdr>
        <w:autoSpaceDE w:val="0"/>
        <w:autoSpaceDN w:val="0"/>
        <w:adjustRightInd w:val="0"/>
        <w:rPr>
          <w:szCs w:val="19"/>
        </w:rPr>
      </w:pPr>
      <w:r w:rsidRPr="00BE0C02">
        <w:rPr>
          <w:szCs w:val="19"/>
        </w:rPr>
        <w:t>Paragraph 2</w:t>
      </w:r>
      <w:r w:rsidR="00987B70" w:rsidRPr="00BE0C02">
        <w:rPr>
          <w:szCs w:val="19"/>
        </w:rPr>
        <w:t xml:space="preserve"> is deleted. Paragraphs</w:t>
      </w:r>
      <w:r w:rsidRPr="00BE0C02">
        <w:rPr>
          <w:szCs w:val="19"/>
        </w:rPr>
        <w:t xml:space="preserve"> 11</w:t>
      </w:r>
      <w:r w:rsidR="00746CC7" w:rsidRPr="00BE0C02">
        <w:rPr>
          <w:szCs w:val="19"/>
        </w:rPr>
        <w:t xml:space="preserve">, </w:t>
      </w:r>
      <w:r w:rsidR="00357780" w:rsidRPr="00BE0C02">
        <w:rPr>
          <w:szCs w:val="19"/>
        </w:rPr>
        <w:t>18A</w:t>
      </w:r>
      <w:r w:rsidRPr="00BE0C02">
        <w:rPr>
          <w:szCs w:val="19"/>
        </w:rPr>
        <w:t xml:space="preserve"> </w:t>
      </w:r>
      <w:r w:rsidR="00746CC7" w:rsidRPr="00BE0C02">
        <w:rPr>
          <w:szCs w:val="19"/>
        </w:rPr>
        <w:t>and 18B</w:t>
      </w:r>
      <w:r w:rsidRPr="00BE0C02">
        <w:rPr>
          <w:szCs w:val="19"/>
        </w:rPr>
        <w:t xml:space="preserve"> are amended.</w:t>
      </w:r>
      <w:r w:rsidR="005946AE" w:rsidRPr="00BE0C02">
        <w:rPr>
          <w:szCs w:val="19"/>
        </w:rPr>
        <w:t xml:space="preserve"> Paragraph 18D is added.</w:t>
      </w:r>
    </w:p>
    <w:p w14:paraId="0CA68060" w14:textId="27511C39" w:rsidR="000C6EAA" w:rsidRPr="00BE0C02" w:rsidRDefault="000C6EAA" w:rsidP="000C6EAA">
      <w:pPr>
        <w:pStyle w:val="Heading1"/>
        <w:spacing w:before="240"/>
        <w:jc w:val="both"/>
        <w:rPr>
          <w:rFonts w:ascii="Times New Roman" w:hAnsi="Times New Roman" w:cs="Times New Roman"/>
        </w:rPr>
      </w:pPr>
      <w:r w:rsidRPr="00BE0C02">
        <w:rPr>
          <w:rFonts w:ascii="Times New Roman" w:hAnsi="Times New Roman" w:cs="Times New Roman"/>
        </w:rPr>
        <w:t>Application</w:t>
      </w:r>
    </w:p>
    <w:p w14:paraId="6A978FFB" w14:textId="2DA63479" w:rsidR="000C6EAA" w:rsidRPr="00BE0C02" w:rsidRDefault="000C6EAA" w:rsidP="00944EEF">
      <w:pPr>
        <w:pStyle w:val="IASBNormalnpara"/>
        <w:rPr>
          <w:b/>
          <w:strike/>
          <w:szCs w:val="19"/>
          <w:lang w:val="en-AU"/>
        </w:rPr>
      </w:pPr>
      <w:r w:rsidRPr="00BE0C02">
        <w:rPr>
          <w:b/>
          <w:szCs w:val="19"/>
          <w:lang w:val="en-AU"/>
        </w:rPr>
        <w:t>2</w:t>
      </w:r>
      <w:r w:rsidRPr="00BE0C02">
        <w:rPr>
          <w:b/>
          <w:szCs w:val="19"/>
          <w:lang w:val="en-AU"/>
        </w:rPr>
        <w:tab/>
      </w:r>
      <w:r w:rsidR="00B31531" w:rsidRPr="00BE0C02">
        <w:rPr>
          <w:bCs/>
          <w:szCs w:val="19"/>
          <w:u w:val="single"/>
          <w:lang w:val="en-AU"/>
        </w:rPr>
        <w:t>[Deleted by the AASB]</w:t>
      </w:r>
      <w:r w:rsidR="00B31531" w:rsidRPr="00BE0C02">
        <w:rPr>
          <w:b/>
          <w:szCs w:val="19"/>
          <w:lang w:val="en-AU"/>
        </w:rPr>
        <w:t xml:space="preserve"> </w:t>
      </w:r>
      <w:r w:rsidRPr="00BE0C02">
        <w:rPr>
          <w:b/>
          <w:strike/>
          <w:szCs w:val="19"/>
          <w:lang w:val="en-AU"/>
        </w:rPr>
        <w:t>This Standard applies to</w:t>
      </w:r>
      <w:r w:rsidRPr="00BE0C02">
        <w:rPr>
          <w:b/>
          <w:strike/>
          <w:szCs w:val="19"/>
          <w:vertAlign w:val="superscript"/>
          <w:lang w:val="en-AU"/>
        </w:rPr>
        <w:t>1</w:t>
      </w:r>
      <w:r w:rsidRPr="00BE0C02">
        <w:rPr>
          <w:b/>
          <w:strike/>
          <w:szCs w:val="19"/>
          <w:lang w:val="en-AU"/>
        </w:rPr>
        <w:t>:</w:t>
      </w:r>
    </w:p>
    <w:p w14:paraId="537B775C" w14:textId="09231CD4" w:rsidR="000C6EAA" w:rsidRPr="00BE0C02" w:rsidRDefault="00944EEF" w:rsidP="000C57E1">
      <w:pPr>
        <w:pStyle w:val="IASBNormalnparaL1"/>
        <w:rPr>
          <w:b/>
          <w:strike/>
          <w:szCs w:val="19"/>
          <w:lang w:val="en-AU"/>
        </w:rPr>
      </w:pPr>
      <w:r w:rsidRPr="00BE0C02">
        <w:rPr>
          <w:b/>
          <w:strike/>
          <w:szCs w:val="19"/>
          <w:lang w:val="en-AU"/>
        </w:rPr>
        <w:t>(a)</w:t>
      </w:r>
      <w:r w:rsidRPr="00BE0C02">
        <w:rPr>
          <w:b/>
          <w:strike/>
          <w:szCs w:val="19"/>
          <w:lang w:val="en-AU"/>
        </w:rPr>
        <w:tab/>
      </w:r>
      <w:r w:rsidR="000C6EAA" w:rsidRPr="00BE0C02">
        <w:rPr>
          <w:b/>
          <w:strike/>
          <w:szCs w:val="19"/>
          <w:lang w:val="en-AU"/>
        </w:rPr>
        <w:t>each entity that is required to prepare financial reports in accordance with Part 2M.3 of the Corporations Act;</w:t>
      </w:r>
    </w:p>
    <w:p w14:paraId="429EE2D5" w14:textId="461A8EE5" w:rsidR="000C6EAA" w:rsidRPr="00BE0C02" w:rsidRDefault="0089327B" w:rsidP="0089327B">
      <w:pPr>
        <w:pStyle w:val="IASBNormalnparaL1"/>
        <w:rPr>
          <w:b/>
          <w:strike/>
          <w:szCs w:val="19"/>
          <w:lang w:val="en-AU"/>
        </w:rPr>
      </w:pPr>
      <w:r w:rsidRPr="00BE0C02">
        <w:rPr>
          <w:b/>
          <w:strike/>
          <w:szCs w:val="19"/>
          <w:lang w:val="en-AU"/>
        </w:rPr>
        <w:lastRenderedPageBreak/>
        <w:t>(b)</w:t>
      </w:r>
      <w:r w:rsidRPr="00BE0C02">
        <w:rPr>
          <w:b/>
          <w:strike/>
          <w:szCs w:val="19"/>
          <w:lang w:val="en-AU"/>
        </w:rPr>
        <w:tab/>
      </w:r>
      <w:r w:rsidR="000C6EAA" w:rsidRPr="00BE0C02">
        <w:rPr>
          <w:b/>
          <w:i/>
          <w:strike/>
          <w:szCs w:val="19"/>
          <w:lang w:val="en-AU"/>
        </w:rPr>
        <w:t>general purpose financial statements</w:t>
      </w:r>
      <w:r w:rsidR="000C6EAA" w:rsidRPr="00BE0C02">
        <w:rPr>
          <w:b/>
          <w:strike/>
          <w:szCs w:val="19"/>
          <w:lang w:val="en-AU"/>
        </w:rPr>
        <w:t xml:space="preserve"> of each </w:t>
      </w:r>
      <w:r w:rsidR="000C6EAA" w:rsidRPr="00BE0C02">
        <w:rPr>
          <w:b/>
          <w:i/>
          <w:strike/>
          <w:szCs w:val="19"/>
          <w:lang w:val="en-AU"/>
        </w:rPr>
        <w:t>reporting</w:t>
      </w:r>
      <w:r w:rsidR="000C6EAA" w:rsidRPr="00BE0C02">
        <w:rPr>
          <w:b/>
          <w:strike/>
          <w:szCs w:val="19"/>
          <w:lang w:val="en-AU"/>
        </w:rPr>
        <w:t xml:space="preserve"> </w:t>
      </w:r>
      <w:r w:rsidR="000C6EAA" w:rsidRPr="00BE0C02">
        <w:rPr>
          <w:b/>
          <w:i/>
          <w:strike/>
          <w:szCs w:val="19"/>
          <w:lang w:val="en-AU"/>
        </w:rPr>
        <w:t>entity</w:t>
      </w:r>
      <w:r w:rsidR="000C6EAA" w:rsidRPr="00BE0C02">
        <w:rPr>
          <w:b/>
          <w:strike/>
          <w:szCs w:val="19"/>
          <w:lang w:val="en-AU"/>
        </w:rPr>
        <w:t>;</w:t>
      </w:r>
    </w:p>
    <w:p w14:paraId="6470DA1F" w14:textId="49912407" w:rsidR="000C6EAA" w:rsidRPr="00BE0C02" w:rsidRDefault="0089327B" w:rsidP="0089327B">
      <w:pPr>
        <w:pStyle w:val="IASBNormalnparaL1"/>
        <w:rPr>
          <w:b/>
          <w:strike/>
          <w:szCs w:val="19"/>
          <w:lang w:val="en-AU"/>
        </w:rPr>
      </w:pPr>
      <w:r w:rsidRPr="00BE0C02">
        <w:rPr>
          <w:b/>
          <w:strike/>
          <w:szCs w:val="19"/>
          <w:lang w:val="en-AU"/>
        </w:rPr>
        <w:t>(c)</w:t>
      </w:r>
      <w:r w:rsidRPr="00BE0C02">
        <w:rPr>
          <w:b/>
          <w:strike/>
          <w:szCs w:val="19"/>
          <w:lang w:val="en-AU"/>
        </w:rPr>
        <w:tab/>
      </w:r>
      <w:r w:rsidR="000C6EAA" w:rsidRPr="00BE0C02">
        <w:rPr>
          <w:b/>
          <w:strike/>
          <w:szCs w:val="19"/>
          <w:lang w:val="en-AU"/>
        </w:rPr>
        <w:t>financial statements that are, or are held out to be, general purpose financial statements;</w:t>
      </w:r>
    </w:p>
    <w:p w14:paraId="586CC1CF" w14:textId="1E0EC47F" w:rsidR="000C6EAA" w:rsidRPr="00BE0C02" w:rsidRDefault="0089327B" w:rsidP="0089327B">
      <w:pPr>
        <w:pStyle w:val="IASBNormalnparaL1"/>
        <w:rPr>
          <w:b/>
          <w:strike/>
          <w:szCs w:val="19"/>
          <w:lang w:val="en-AU"/>
        </w:rPr>
      </w:pPr>
      <w:r w:rsidRPr="00BE0C02">
        <w:rPr>
          <w:b/>
          <w:strike/>
          <w:szCs w:val="19"/>
          <w:lang w:val="en-AU"/>
        </w:rPr>
        <w:t>(d)</w:t>
      </w:r>
      <w:r w:rsidRPr="00BE0C02">
        <w:rPr>
          <w:b/>
          <w:strike/>
          <w:szCs w:val="19"/>
          <w:lang w:val="en-AU"/>
        </w:rPr>
        <w:tab/>
      </w:r>
      <w:r w:rsidR="000C6EAA" w:rsidRPr="00BE0C02">
        <w:rPr>
          <w:b/>
          <w:strike/>
          <w:szCs w:val="19"/>
          <w:lang w:val="en-AU"/>
        </w:rPr>
        <w:t xml:space="preserve">financial statements of General Government Sectors (GGSs) prepared in accordance with AASB 1049 </w:t>
      </w:r>
      <w:r w:rsidR="000C6EAA" w:rsidRPr="00BE0C02">
        <w:rPr>
          <w:b/>
          <w:i/>
          <w:strike/>
          <w:szCs w:val="19"/>
          <w:lang w:val="en-AU"/>
        </w:rPr>
        <w:t>Whole of Government and General Government Sector Financial Reporting</w:t>
      </w:r>
      <w:r w:rsidR="000C6EAA" w:rsidRPr="00BE0C02">
        <w:rPr>
          <w:b/>
          <w:strike/>
          <w:szCs w:val="19"/>
          <w:lang w:val="en-AU"/>
        </w:rPr>
        <w:t>; and</w:t>
      </w:r>
    </w:p>
    <w:p w14:paraId="5F540747" w14:textId="1C6D3A04" w:rsidR="000C6EAA" w:rsidRDefault="0089327B" w:rsidP="0089327B">
      <w:pPr>
        <w:pStyle w:val="IASBNormalnparaL1"/>
        <w:rPr>
          <w:b/>
          <w:strike/>
          <w:szCs w:val="19"/>
          <w:lang w:val="en-AU"/>
        </w:rPr>
      </w:pPr>
      <w:r w:rsidRPr="00BE0C02">
        <w:rPr>
          <w:b/>
          <w:strike/>
          <w:szCs w:val="19"/>
          <w:lang w:val="en-AU"/>
        </w:rPr>
        <w:t>(e)</w:t>
      </w:r>
      <w:r w:rsidRPr="00BE0C02">
        <w:rPr>
          <w:b/>
          <w:strike/>
          <w:szCs w:val="19"/>
          <w:lang w:val="en-AU"/>
        </w:rPr>
        <w:tab/>
      </w:r>
      <w:r w:rsidR="000C6EAA" w:rsidRPr="00BE0C02">
        <w:rPr>
          <w:b/>
          <w:strike/>
          <w:szCs w:val="19"/>
          <w:lang w:val="en-AU"/>
        </w:rPr>
        <w:t>for-profit private sector entities that have public accountability and are required by legislation to comply with Australian Accounting Standards</w:t>
      </w:r>
      <w:r w:rsidR="001C6480" w:rsidRPr="00BE0C02">
        <w:rPr>
          <w:b/>
          <w:strike/>
          <w:szCs w:val="19"/>
          <w:lang w:val="en-AU"/>
        </w:rPr>
        <w:t>.</w:t>
      </w:r>
    </w:p>
    <w:p w14:paraId="25576693" w14:textId="3DDA2E92" w:rsidR="003C2873" w:rsidRPr="0033700E" w:rsidRDefault="00ED3EA5" w:rsidP="0033700E">
      <w:pPr>
        <w:pStyle w:val="IASBNormalnparaL1"/>
        <w:ind w:left="2344" w:hanging="780"/>
        <w:rPr>
          <w:b/>
          <w:strike/>
          <w:szCs w:val="19"/>
          <w:lang w:val="en-AU"/>
        </w:rPr>
      </w:pPr>
      <w:r w:rsidRPr="0033700E">
        <w:rPr>
          <w:b/>
          <w:strike/>
          <w:sz w:val="17"/>
          <w:szCs w:val="17"/>
          <w:lang w:val="en-AU"/>
        </w:rPr>
        <w:t>1</w:t>
      </w:r>
      <w:r w:rsidR="00675D5A" w:rsidRPr="007C66E7">
        <w:rPr>
          <w:b/>
          <w:szCs w:val="19"/>
          <w:lang w:val="en-AU"/>
        </w:rPr>
        <w:tab/>
      </w:r>
      <w:r w:rsidR="00675D5A" w:rsidRPr="0033700E">
        <w:rPr>
          <w:b/>
          <w:strike/>
          <w:sz w:val="17"/>
          <w:szCs w:val="17"/>
          <w:lang w:val="en-AU"/>
        </w:rPr>
        <w:t>This application paragraph does not amend the application paragraphs of other Standards that are restricted to reporting entities</w:t>
      </w:r>
      <w:r w:rsidRPr="0033700E">
        <w:rPr>
          <w:b/>
          <w:strike/>
          <w:sz w:val="17"/>
          <w:szCs w:val="17"/>
          <w:lang w:val="en-AU"/>
        </w:rPr>
        <w:t>.</w:t>
      </w:r>
    </w:p>
    <w:p w14:paraId="0A90DE54" w14:textId="53CA5D1C" w:rsidR="000C6EAA" w:rsidRPr="00BE0C02" w:rsidRDefault="000C6EAA" w:rsidP="0077332E">
      <w:pPr>
        <w:pStyle w:val="IASBNormalnparaL1"/>
        <w:ind w:left="0" w:firstLine="0"/>
        <w:rPr>
          <w:szCs w:val="19"/>
        </w:rPr>
      </w:pPr>
      <w:r w:rsidRPr="00BE0C02">
        <w:rPr>
          <w:szCs w:val="19"/>
        </w:rPr>
        <w:t>…</w:t>
      </w:r>
    </w:p>
    <w:p w14:paraId="72ADF635" w14:textId="77777777" w:rsidR="000C6EAA" w:rsidRPr="00BE0C02" w:rsidRDefault="00450768" w:rsidP="00357780">
      <w:pPr>
        <w:pStyle w:val="Heading1"/>
        <w:spacing w:before="100" w:after="0"/>
        <w:jc w:val="both"/>
        <w:rPr>
          <w:rFonts w:ascii="Times New Roman" w:hAnsi="Times New Roman" w:cs="Times New Roman"/>
          <w:sz w:val="22"/>
          <w:szCs w:val="22"/>
        </w:rPr>
      </w:pPr>
      <w:r w:rsidRPr="00BE0C02">
        <w:rPr>
          <w:rFonts w:ascii="Times New Roman" w:hAnsi="Times New Roman" w:cs="Times New Roman"/>
          <w:sz w:val="22"/>
          <w:szCs w:val="22"/>
        </w:rPr>
        <w:t>Application</w:t>
      </w:r>
      <w:r w:rsidR="000C6EAA" w:rsidRPr="00BE0C02">
        <w:rPr>
          <w:rFonts w:ascii="Times New Roman" w:hAnsi="Times New Roman" w:cs="Times New Roman"/>
          <w:sz w:val="22"/>
          <w:szCs w:val="22"/>
        </w:rPr>
        <w:t xml:space="preserve"> of </w:t>
      </w:r>
      <w:r w:rsidRPr="00BE0C02">
        <w:rPr>
          <w:rFonts w:ascii="Times New Roman" w:hAnsi="Times New Roman" w:cs="Times New Roman"/>
          <w:sz w:val="22"/>
          <w:szCs w:val="22"/>
        </w:rPr>
        <w:t xml:space="preserve">Tier 1 </w:t>
      </w:r>
      <w:r w:rsidR="000C6EAA" w:rsidRPr="00BE0C02">
        <w:rPr>
          <w:rFonts w:ascii="Times New Roman" w:hAnsi="Times New Roman" w:cs="Times New Roman"/>
          <w:sz w:val="22"/>
          <w:szCs w:val="22"/>
        </w:rPr>
        <w:t>Reporting Requirements</w:t>
      </w:r>
    </w:p>
    <w:p w14:paraId="16CB4A37" w14:textId="77777777" w:rsidR="000C6EAA" w:rsidRPr="00BE0C02" w:rsidRDefault="000C6EAA" w:rsidP="000C57E1">
      <w:pPr>
        <w:pStyle w:val="IASBNormalnpara"/>
        <w:rPr>
          <w:b/>
          <w:szCs w:val="19"/>
          <w:lang w:val="en-AU"/>
        </w:rPr>
      </w:pPr>
      <w:r w:rsidRPr="00BE0C02">
        <w:rPr>
          <w:b/>
          <w:szCs w:val="19"/>
          <w:lang w:val="en-AU"/>
        </w:rPr>
        <w:t>11</w:t>
      </w:r>
      <w:r w:rsidRPr="00BE0C02">
        <w:rPr>
          <w:szCs w:val="19"/>
          <w:lang w:val="en-AU"/>
        </w:rPr>
        <w:tab/>
      </w:r>
      <w:r w:rsidRPr="00BE0C02">
        <w:rPr>
          <w:b/>
          <w:szCs w:val="19"/>
          <w:lang w:val="en-AU"/>
        </w:rPr>
        <w:t>The following types of entities shall prepare general purpose financial statements that comply with Tier</w:t>
      </w:r>
      <w:r w:rsidR="001B644C" w:rsidRPr="00BE0C02">
        <w:rPr>
          <w:b/>
          <w:szCs w:val="19"/>
          <w:lang w:val="en-AU"/>
        </w:rPr>
        <w:t> </w:t>
      </w:r>
      <w:r w:rsidRPr="00BE0C02">
        <w:rPr>
          <w:b/>
          <w:szCs w:val="19"/>
          <w:lang w:val="en-AU"/>
        </w:rPr>
        <w:t>1 reporting requirements:</w:t>
      </w:r>
    </w:p>
    <w:p w14:paraId="0FEAD64F" w14:textId="215333CC" w:rsidR="000C6EAA" w:rsidRPr="00BE0C02" w:rsidRDefault="00F1668B" w:rsidP="00F1668B">
      <w:pPr>
        <w:pStyle w:val="IASBNormalnparaL1"/>
        <w:rPr>
          <w:b/>
          <w:szCs w:val="19"/>
          <w:lang w:val="en-AU"/>
        </w:rPr>
      </w:pPr>
      <w:r w:rsidRPr="00BE0C02">
        <w:rPr>
          <w:b/>
          <w:szCs w:val="19"/>
          <w:lang w:val="en-AU"/>
        </w:rPr>
        <w:t>(a)</w:t>
      </w:r>
      <w:r w:rsidRPr="00BE0C02">
        <w:rPr>
          <w:b/>
          <w:szCs w:val="19"/>
          <w:lang w:val="en-AU"/>
        </w:rPr>
        <w:tab/>
      </w:r>
      <w:r w:rsidR="000C6EAA" w:rsidRPr="00BE0C02">
        <w:rPr>
          <w:b/>
          <w:szCs w:val="19"/>
          <w:lang w:val="en-AU"/>
        </w:rPr>
        <w:t xml:space="preserve">for-profit private sector entities that have public accountability and are required by legislation to </w:t>
      </w:r>
      <w:r w:rsidR="00A43D8B" w:rsidRPr="00BE0C02">
        <w:rPr>
          <w:b/>
          <w:szCs w:val="19"/>
          <w:u w:val="single"/>
          <w:lang w:val="en-AU"/>
        </w:rPr>
        <w:t>prepare financial statements that</w:t>
      </w:r>
      <w:r w:rsidR="00A43D8B" w:rsidRPr="00BE0C02">
        <w:rPr>
          <w:b/>
          <w:szCs w:val="19"/>
          <w:lang w:val="en-AU"/>
        </w:rPr>
        <w:t xml:space="preserve"> </w:t>
      </w:r>
      <w:r w:rsidR="000C6EAA" w:rsidRPr="00BE0C02">
        <w:rPr>
          <w:b/>
          <w:szCs w:val="19"/>
          <w:lang w:val="en-AU"/>
        </w:rPr>
        <w:t>comply with</w:t>
      </w:r>
      <w:r w:rsidR="00512487" w:rsidRPr="00BE0C02">
        <w:rPr>
          <w:b/>
          <w:szCs w:val="19"/>
          <w:lang w:val="en-AU"/>
        </w:rPr>
        <w:t xml:space="preserve"> </w:t>
      </w:r>
      <w:r w:rsidR="00512487" w:rsidRPr="00BE0C02">
        <w:rPr>
          <w:b/>
          <w:szCs w:val="19"/>
          <w:u w:val="single"/>
          <w:lang w:val="en-AU"/>
        </w:rPr>
        <w:t>either</w:t>
      </w:r>
      <w:r w:rsidR="000C6EAA" w:rsidRPr="00BE0C02">
        <w:rPr>
          <w:b/>
          <w:szCs w:val="19"/>
          <w:lang w:val="en-AU"/>
        </w:rPr>
        <w:t xml:space="preserve"> Australian Accounting</w:t>
      </w:r>
      <w:r w:rsidR="000E48C9" w:rsidRPr="00BE0C02">
        <w:rPr>
          <w:b/>
          <w:szCs w:val="19"/>
          <w:lang w:val="en-AU"/>
        </w:rPr>
        <w:t xml:space="preserve"> Standards</w:t>
      </w:r>
      <w:r w:rsidR="000E48C9" w:rsidRPr="00BE0C02">
        <w:rPr>
          <w:b/>
          <w:szCs w:val="19"/>
          <w:u w:val="single"/>
          <w:lang w:val="en-AU"/>
        </w:rPr>
        <w:t xml:space="preserve"> or accounting standards</w:t>
      </w:r>
      <w:r w:rsidR="000C6EAA" w:rsidRPr="00BE0C02">
        <w:rPr>
          <w:b/>
          <w:szCs w:val="19"/>
          <w:lang w:val="en-AU"/>
        </w:rPr>
        <w:t>; and</w:t>
      </w:r>
    </w:p>
    <w:p w14:paraId="3F2C3C43" w14:textId="77777777" w:rsidR="000C6EAA" w:rsidRPr="00BE0C02" w:rsidRDefault="00F1668B" w:rsidP="00F1668B">
      <w:pPr>
        <w:pStyle w:val="IASBNormalnparaL1"/>
        <w:rPr>
          <w:b/>
          <w:szCs w:val="19"/>
          <w:lang w:val="en-AU"/>
        </w:rPr>
      </w:pPr>
      <w:r w:rsidRPr="00BE0C02">
        <w:rPr>
          <w:b/>
          <w:szCs w:val="19"/>
          <w:lang w:val="en-AU"/>
        </w:rPr>
        <w:t>(b)</w:t>
      </w:r>
      <w:r w:rsidRPr="00BE0C02">
        <w:rPr>
          <w:b/>
          <w:szCs w:val="19"/>
          <w:lang w:val="en-AU"/>
        </w:rPr>
        <w:tab/>
      </w:r>
      <w:r w:rsidR="000C6EAA" w:rsidRPr="00BE0C02">
        <w:rPr>
          <w:b/>
          <w:szCs w:val="19"/>
          <w:lang w:val="en-AU"/>
        </w:rPr>
        <w:t>the Australian Government and State, Territory and Local Governments.</w:t>
      </w:r>
    </w:p>
    <w:p w14:paraId="1F10AC96" w14:textId="77777777" w:rsidR="00450768" w:rsidRPr="00BE0C02" w:rsidRDefault="00450768" w:rsidP="00450768">
      <w:pPr>
        <w:autoSpaceDE w:val="0"/>
        <w:autoSpaceDN w:val="0"/>
        <w:adjustRightInd w:val="0"/>
        <w:spacing w:before="100"/>
        <w:ind w:left="720" w:hanging="720"/>
        <w:rPr>
          <w:szCs w:val="19"/>
        </w:rPr>
      </w:pPr>
      <w:r w:rsidRPr="00BE0C02">
        <w:rPr>
          <w:szCs w:val="19"/>
        </w:rPr>
        <w:t>…</w:t>
      </w:r>
    </w:p>
    <w:p w14:paraId="5DB9AC97" w14:textId="77777777" w:rsidR="00450768" w:rsidRPr="00BE0C02" w:rsidRDefault="00357780" w:rsidP="00357780">
      <w:pPr>
        <w:pStyle w:val="Heading1"/>
        <w:spacing w:before="100" w:after="0"/>
        <w:jc w:val="both"/>
        <w:rPr>
          <w:rFonts w:ascii="Times New Roman" w:hAnsi="Times New Roman" w:cs="Times New Roman"/>
          <w:sz w:val="22"/>
          <w:szCs w:val="22"/>
        </w:rPr>
      </w:pPr>
      <w:r w:rsidRPr="00BE0C02">
        <w:rPr>
          <w:rFonts w:ascii="Times New Roman" w:hAnsi="Times New Roman" w:cs="Times New Roman"/>
          <w:sz w:val="22"/>
          <w:szCs w:val="22"/>
        </w:rPr>
        <w:t>First-time Adoption of Australian Accounting Standards</w:t>
      </w:r>
    </w:p>
    <w:p w14:paraId="371EFC3D" w14:textId="77777777" w:rsidR="00357780" w:rsidRPr="00BE0C02" w:rsidRDefault="00357780" w:rsidP="00357780">
      <w:pPr>
        <w:autoSpaceDE w:val="0"/>
        <w:autoSpaceDN w:val="0"/>
        <w:adjustRightInd w:val="0"/>
        <w:spacing w:before="100"/>
        <w:ind w:left="720" w:hanging="720"/>
        <w:rPr>
          <w:szCs w:val="19"/>
        </w:rPr>
      </w:pPr>
      <w:r w:rsidRPr="00BE0C02">
        <w:rPr>
          <w:szCs w:val="19"/>
        </w:rPr>
        <w:t>…</w:t>
      </w:r>
    </w:p>
    <w:p w14:paraId="3ABF92C4" w14:textId="77777777" w:rsidR="00357780" w:rsidRPr="00BE0C02" w:rsidRDefault="00357780" w:rsidP="00357780">
      <w:pPr>
        <w:pStyle w:val="IASBNormalnpara"/>
        <w:rPr>
          <w:b/>
          <w:lang w:val="en-AU"/>
        </w:rPr>
      </w:pPr>
      <w:r w:rsidRPr="00BE0C02">
        <w:rPr>
          <w:b/>
          <w:lang w:val="en-AU"/>
        </w:rPr>
        <w:t>18A</w:t>
      </w:r>
      <w:r w:rsidRPr="00BE0C02">
        <w:rPr>
          <w:b/>
          <w:lang w:val="en-AU"/>
        </w:rPr>
        <w:tab/>
        <w:t>When applying Tier 2 reporting requirements for the first time, an entity that prepared its most recent previous financial statements in the form of special purpose financial statements:</w:t>
      </w:r>
    </w:p>
    <w:p w14:paraId="626E448A" w14:textId="55B7441B" w:rsidR="00357780" w:rsidRPr="00BE0C02" w:rsidRDefault="00357780" w:rsidP="00357780">
      <w:pPr>
        <w:pStyle w:val="IASBNormalnparaL1"/>
        <w:rPr>
          <w:b/>
          <w:lang w:val="en-AU"/>
        </w:rPr>
      </w:pPr>
      <w:r w:rsidRPr="00BE0C02">
        <w:rPr>
          <w:b/>
          <w:lang w:val="en-AU"/>
        </w:rPr>
        <w:t>(a)</w:t>
      </w:r>
      <w:r w:rsidRPr="00BE0C02">
        <w:rPr>
          <w:b/>
          <w:lang w:val="en-AU"/>
        </w:rPr>
        <w:tab/>
        <w:t>without applying, or only selectively applying, applicable recognition and measurement requirements of Australian Accounting Standards</w:t>
      </w:r>
      <w:r w:rsidR="00FD16A6" w:rsidRPr="00BE0C02">
        <w:rPr>
          <w:b/>
          <w:u w:val="single"/>
          <w:lang w:val="en-AU"/>
        </w:rPr>
        <w:t xml:space="preserve">, </w:t>
      </w:r>
      <w:r w:rsidR="006F6BBA" w:rsidRPr="00BE0C02">
        <w:rPr>
          <w:b/>
          <w:u w:val="single"/>
          <w:lang w:val="en-AU"/>
        </w:rPr>
        <w:t>including</w:t>
      </w:r>
      <w:r w:rsidR="00636E5B" w:rsidRPr="00BE0C02">
        <w:rPr>
          <w:b/>
          <w:u w:val="single"/>
          <w:lang w:val="en-AU"/>
        </w:rPr>
        <w:t xml:space="preserve">, if a parent entity, </w:t>
      </w:r>
      <w:r w:rsidR="00FD16A6" w:rsidRPr="00BE0C02">
        <w:rPr>
          <w:b/>
          <w:u w:val="single"/>
          <w:lang w:val="en-AU"/>
        </w:rPr>
        <w:t xml:space="preserve">without presenting </w:t>
      </w:r>
      <w:r w:rsidR="00636E5B" w:rsidRPr="00BE0C02">
        <w:rPr>
          <w:b/>
          <w:u w:val="single"/>
          <w:lang w:val="en-AU"/>
        </w:rPr>
        <w:t xml:space="preserve">consolidated financial statements prepared in accordance with AASB 10 </w:t>
      </w:r>
      <w:r w:rsidR="00636E5B" w:rsidRPr="00BE0C02">
        <w:rPr>
          <w:b/>
          <w:i/>
          <w:u w:val="single"/>
          <w:lang w:val="en-AU"/>
        </w:rPr>
        <w:t>Consolidated Financial Statements</w:t>
      </w:r>
      <w:r w:rsidR="00EF68EC" w:rsidRPr="00BE0C02">
        <w:rPr>
          <w:b/>
          <w:i/>
          <w:u w:val="single"/>
          <w:lang w:val="en-AU"/>
        </w:rPr>
        <w:t xml:space="preserve"> </w:t>
      </w:r>
      <w:r w:rsidR="00EF68EC" w:rsidRPr="00BE0C02">
        <w:rPr>
          <w:b/>
          <w:iCs/>
          <w:u w:val="single"/>
          <w:lang w:val="en-AU"/>
        </w:rPr>
        <w:t>(unless exempt)</w:t>
      </w:r>
      <w:r w:rsidR="00FD16A6" w:rsidRPr="00BE0C02">
        <w:rPr>
          <w:b/>
          <w:u w:val="single"/>
          <w:lang w:val="en-AU"/>
        </w:rPr>
        <w:t>,</w:t>
      </w:r>
      <w:r w:rsidR="00FD16A6" w:rsidRPr="00BE0C02">
        <w:rPr>
          <w:b/>
          <w:lang w:val="en-AU"/>
        </w:rPr>
        <w:t xml:space="preserve"> </w:t>
      </w:r>
      <w:r w:rsidRPr="00BE0C02">
        <w:rPr>
          <w:b/>
          <w:lang w:val="en-AU"/>
        </w:rPr>
        <w:t>shall apply either:</w:t>
      </w:r>
    </w:p>
    <w:p w14:paraId="3B484C15" w14:textId="3A2F7BEA" w:rsidR="00357780" w:rsidRPr="00BE0C02" w:rsidRDefault="00357780" w:rsidP="00357780">
      <w:pPr>
        <w:pStyle w:val="IASBNormalnparaL2"/>
        <w:rPr>
          <w:b/>
          <w:lang w:val="en-AU"/>
        </w:rPr>
      </w:pPr>
      <w:r w:rsidRPr="00BE0C02">
        <w:rPr>
          <w:b/>
          <w:lang w:val="en-AU"/>
        </w:rPr>
        <w:t>(i)</w:t>
      </w:r>
      <w:r w:rsidRPr="00BE0C02">
        <w:rPr>
          <w:b/>
          <w:lang w:val="en-AU"/>
        </w:rPr>
        <w:tab/>
        <w:t xml:space="preserve">all </w:t>
      </w:r>
      <w:r w:rsidR="00947C23" w:rsidRPr="00BE0C02">
        <w:rPr>
          <w:b/>
          <w:lang w:val="en-AU"/>
        </w:rPr>
        <w:t xml:space="preserve">the </w:t>
      </w:r>
      <w:r w:rsidRPr="00BE0C02">
        <w:rPr>
          <w:b/>
          <w:lang w:val="en-AU"/>
        </w:rPr>
        <w:t>relevant requirements of AASB 1; or</w:t>
      </w:r>
    </w:p>
    <w:p w14:paraId="5F9B9552" w14:textId="72A69B11" w:rsidR="00357780" w:rsidRPr="00BE0C02" w:rsidRDefault="00357780" w:rsidP="00357780">
      <w:pPr>
        <w:pStyle w:val="IASBNormalnparaL1"/>
        <w:ind w:left="2347"/>
        <w:rPr>
          <w:b/>
          <w:strike/>
          <w:lang w:val="en-AU"/>
        </w:rPr>
      </w:pPr>
      <w:r w:rsidRPr="00BE0C02">
        <w:rPr>
          <w:b/>
          <w:lang w:val="en-AU"/>
        </w:rPr>
        <w:t>(ii)</w:t>
      </w:r>
      <w:r w:rsidRPr="00BE0C02">
        <w:rPr>
          <w:b/>
          <w:lang w:val="en-AU"/>
        </w:rPr>
        <w:tab/>
        <w:t>Tier 2 reporting requirements directly using the requirements in AASB 108</w:t>
      </w:r>
      <w:r w:rsidR="00754FA8" w:rsidRPr="00BE0C02">
        <w:rPr>
          <w:b/>
          <w:lang w:val="en-AU"/>
        </w:rPr>
        <w:t xml:space="preserve"> </w:t>
      </w:r>
      <w:r w:rsidR="00754FA8" w:rsidRPr="00BE0C02">
        <w:rPr>
          <w:b/>
          <w:i/>
          <w:iCs/>
          <w:u w:val="single"/>
          <w:lang w:val="en-AU"/>
        </w:rPr>
        <w:t>Accounting Policies, Changes in Accounting Estimates and Errors</w:t>
      </w:r>
      <w:r w:rsidRPr="00BE0C02">
        <w:rPr>
          <w:b/>
          <w:lang w:val="en-AU"/>
        </w:rPr>
        <w:t>;</w:t>
      </w:r>
      <w:r w:rsidR="00947C23" w:rsidRPr="00BE0C02">
        <w:rPr>
          <w:b/>
          <w:lang w:val="en-AU"/>
        </w:rPr>
        <w:t xml:space="preserve"> </w:t>
      </w:r>
      <w:r w:rsidR="00947C23" w:rsidRPr="00BE0C02">
        <w:rPr>
          <w:b/>
          <w:strike/>
          <w:lang w:val="en-AU"/>
        </w:rPr>
        <w:t>and</w:t>
      </w:r>
    </w:p>
    <w:p w14:paraId="2B992474" w14:textId="330C786C" w:rsidR="00947C23" w:rsidRPr="00BE0C02" w:rsidRDefault="00015B7E" w:rsidP="00015B7E">
      <w:pPr>
        <w:pStyle w:val="IASBNormalnparaL1"/>
        <w:rPr>
          <w:b/>
          <w:u w:val="single"/>
          <w:lang w:val="en-AU"/>
        </w:rPr>
      </w:pPr>
      <w:r w:rsidRPr="00BE0C02">
        <w:rPr>
          <w:b/>
          <w:u w:val="single"/>
          <w:lang w:val="en-AU"/>
        </w:rPr>
        <w:t>(b)</w:t>
      </w:r>
      <w:r w:rsidRPr="00BE0C02">
        <w:rPr>
          <w:b/>
          <w:u w:val="single"/>
          <w:lang w:val="en-AU"/>
        </w:rPr>
        <w:tab/>
      </w:r>
      <w:r w:rsidR="00B26E22" w:rsidRPr="00BE0C02">
        <w:rPr>
          <w:b/>
          <w:u w:val="single"/>
          <w:lang w:val="en-AU"/>
        </w:rPr>
        <w:t>without presenting consolidated financial statements</w:t>
      </w:r>
      <w:r w:rsidR="00151DDC" w:rsidRPr="00BE0C02">
        <w:rPr>
          <w:b/>
          <w:u w:val="single"/>
          <w:lang w:val="en-AU"/>
        </w:rPr>
        <w:t>,</w:t>
      </w:r>
      <w:r w:rsidR="00B26E22" w:rsidRPr="00BE0C02">
        <w:rPr>
          <w:b/>
          <w:u w:val="single"/>
          <w:lang w:val="en-AU"/>
        </w:rPr>
        <w:t xml:space="preserve"> on the basis that</w:t>
      </w:r>
      <w:r w:rsidR="001A711C" w:rsidRPr="00BE0C02">
        <w:rPr>
          <w:b/>
          <w:u w:val="single"/>
          <w:lang w:val="en-AU"/>
        </w:rPr>
        <w:t xml:space="preserve"> neither</w:t>
      </w:r>
      <w:r w:rsidR="00B26E22" w:rsidRPr="00BE0C02">
        <w:rPr>
          <w:b/>
          <w:u w:val="single"/>
          <w:lang w:val="en-AU"/>
        </w:rPr>
        <w:t xml:space="preserve"> the </w:t>
      </w:r>
      <w:r w:rsidR="00DD1AB2" w:rsidRPr="00BE0C02">
        <w:rPr>
          <w:b/>
          <w:u w:val="single"/>
          <w:lang w:val="en-AU"/>
        </w:rPr>
        <w:t xml:space="preserve">parent </w:t>
      </w:r>
      <w:r w:rsidR="007250A5" w:rsidRPr="00BE0C02">
        <w:rPr>
          <w:b/>
          <w:u w:val="single"/>
          <w:lang w:val="en-AU"/>
        </w:rPr>
        <w:t>n</w:t>
      </w:r>
      <w:r w:rsidR="00DD1AB2" w:rsidRPr="00BE0C02">
        <w:rPr>
          <w:b/>
          <w:u w:val="single"/>
          <w:lang w:val="en-AU"/>
        </w:rPr>
        <w:t xml:space="preserve">or the </w:t>
      </w:r>
      <w:r w:rsidR="00E24174" w:rsidRPr="00BE0C02">
        <w:rPr>
          <w:b/>
          <w:u w:val="single"/>
          <w:lang w:val="en-AU"/>
        </w:rPr>
        <w:t>group</w:t>
      </w:r>
      <w:r w:rsidR="00B26E22" w:rsidRPr="00BE0C02">
        <w:rPr>
          <w:b/>
          <w:u w:val="single"/>
          <w:lang w:val="en-AU"/>
        </w:rPr>
        <w:t xml:space="preserve"> was a reporting entity</w:t>
      </w:r>
      <w:r w:rsidR="008E2C12" w:rsidRPr="00BE0C02">
        <w:rPr>
          <w:b/>
          <w:u w:val="single"/>
          <w:lang w:val="en-AU"/>
        </w:rPr>
        <w:t xml:space="preserve"> </w:t>
      </w:r>
      <w:r w:rsidR="00E24174" w:rsidRPr="00BE0C02">
        <w:rPr>
          <w:b/>
          <w:u w:val="single"/>
          <w:lang w:val="en-AU"/>
        </w:rPr>
        <w:t>(</w:t>
      </w:r>
      <w:r w:rsidR="008E2C12" w:rsidRPr="00BE0C02">
        <w:rPr>
          <w:b/>
          <w:u w:val="single"/>
          <w:lang w:val="en-AU"/>
        </w:rPr>
        <w:t>as defined in AASB 1057</w:t>
      </w:r>
      <w:r w:rsidR="00E24174" w:rsidRPr="00BE0C02">
        <w:rPr>
          <w:b/>
          <w:u w:val="single"/>
          <w:lang w:val="en-AU"/>
        </w:rPr>
        <w:t>)</w:t>
      </w:r>
      <w:r w:rsidR="00615CC5" w:rsidRPr="00BE0C02">
        <w:rPr>
          <w:b/>
          <w:u w:val="single"/>
          <w:lang w:val="en-AU"/>
        </w:rPr>
        <w:t>,</w:t>
      </w:r>
      <w:r w:rsidR="00B26E22" w:rsidRPr="00BE0C02">
        <w:rPr>
          <w:b/>
          <w:u w:val="single"/>
          <w:lang w:val="en-AU"/>
        </w:rPr>
        <w:t xml:space="preserve"> shall apply either:</w:t>
      </w:r>
    </w:p>
    <w:p w14:paraId="23E3849A" w14:textId="57AD9032" w:rsidR="00B26E22" w:rsidRPr="00BE0C02" w:rsidRDefault="00B26E22" w:rsidP="005946AE">
      <w:pPr>
        <w:pStyle w:val="IASBNormalnparaL1"/>
        <w:ind w:firstLine="0"/>
        <w:rPr>
          <w:b/>
          <w:u w:val="single"/>
          <w:lang w:val="en-AU"/>
        </w:rPr>
      </w:pPr>
      <w:r w:rsidRPr="00BE0C02">
        <w:rPr>
          <w:b/>
          <w:u w:val="single"/>
          <w:lang w:val="en-AU"/>
        </w:rPr>
        <w:t>(i)</w:t>
      </w:r>
      <w:r w:rsidRPr="00BE0C02">
        <w:rPr>
          <w:b/>
          <w:u w:val="single"/>
          <w:lang w:val="en-AU"/>
        </w:rPr>
        <w:tab/>
      </w:r>
      <w:r w:rsidR="00FF2ABF" w:rsidRPr="00BE0C02">
        <w:rPr>
          <w:b/>
          <w:u w:val="single"/>
          <w:lang w:val="en-AU"/>
        </w:rPr>
        <w:t>all the relevant requirements of AASB 1; or</w:t>
      </w:r>
    </w:p>
    <w:p w14:paraId="504C4F1F" w14:textId="1FE04C34" w:rsidR="00FF2ABF" w:rsidRPr="00BE0C02" w:rsidRDefault="00697D28" w:rsidP="005946AE">
      <w:pPr>
        <w:pStyle w:val="IASBNormalnparaL1"/>
        <w:ind w:firstLine="0"/>
        <w:rPr>
          <w:b/>
          <w:u w:val="single"/>
          <w:lang w:val="en-AU"/>
        </w:rPr>
      </w:pPr>
      <w:r w:rsidRPr="00BE0C02">
        <w:rPr>
          <w:b/>
          <w:u w:val="single"/>
          <w:lang w:val="en-AU"/>
        </w:rPr>
        <w:t>(ii)</w:t>
      </w:r>
      <w:r w:rsidRPr="00BE0C02">
        <w:rPr>
          <w:b/>
          <w:u w:val="single"/>
          <w:lang w:val="en-AU"/>
        </w:rPr>
        <w:tab/>
        <w:t xml:space="preserve">Tier 2 reporting requirements directly using the requirements </w:t>
      </w:r>
      <w:r w:rsidR="00116E01" w:rsidRPr="00BE0C02">
        <w:rPr>
          <w:b/>
          <w:u w:val="single"/>
          <w:lang w:val="en-AU"/>
        </w:rPr>
        <w:t>in AASB 108; and</w:t>
      </w:r>
    </w:p>
    <w:p w14:paraId="0C0093E1" w14:textId="7C08B616" w:rsidR="006C2FD5" w:rsidRPr="00BE0C02" w:rsidRDefault="00357780" w:rsidP="00790C79">
      <w:pPr>
        <w:pStyle w:val="IASBNormalnparaL1"/>
        <w:rPr>
          <w:b/>
          <w:lang w:val="en-AU"/>
        </w:rPr>
      </w:pPr>
      <w:r w:rsidRPr="00BE0C02">
        <w:rPr>
          <w:b/>
          <w:lang w:val="en-AU"/>
        </w:rPr>
        <w:t>(</w:t>
      </w:r>
      <w:r w:rsidRPr="00BE0C02">
        <w:rPr>
          <w:b/>
          <w:strike/>
          <w:lang w:val="en-AU"/>
        </w:rPr>
        <w:t>b</w:t>
      </w:r>
      <w:r w:rsidR="00015B7E" w:rsidRPr="00BE0C02">
        <w:rPr>
          <w:b/>
          <w:u w:val="single"/>
          <w:lang w:val="en-AU"/>
        </w:rPr>
        <w:t>c</w:t>
      </w:r>
      <w:r w:rsidRPr="00BE0C02">
        <w:rPr>
          <w:b/>
          <w:lang w:val="en-AU"/>
        </w:rPr>
        <w:t>)</w:t>
      </w:r>
      <w:r w:rsidRPr="00BE0C02">
        <w:rPr>
          <w:b/>
          <w:lang w:val="en-AU"/>
        </w:rPr>
        <w:tab/>
        <w:t>applying all applicable recognition and measurement requirements of Australian Accounting Standards</w:t>
      </w:r>
      <w:r w:rsidR="004E6A84" w:rsidRPr="00BE0C02">
        <w:rPr>
          <w:b/>
          <w:u w:val="single"/>
          <w:lang w:val="en-AU"/>
        </w:rPr>
        <w:t xml:space="preserve">, </w:t>
      </w:r>
      <w:r w:rsidR="004C730C" w:rsidRPr="00BE0C02">
        <w:rPr>
          <w:b/>
          <w:u w:val="single"/>
          <w:lang w:val="en-AU"/>
        </w:rPr>
        <w:t>including</w:t>
      </w:r>
      <w:r w:rsidR="00D23BBC" w:rsidRPr="00BE0C02">
        <w:rPr>
          <w:b/>
          <w:u w:val="single"/>
          <w:lang w:val="en-AU"/>
        </w:rPr>
        <w:t>, if a parent entity,</w:t>
      </w:r>
      <w:r w:rsidR="00FE7972" w:rsidRPr="00BE0C02">
        <w:rPr>
          <w:b/>
          <w:u w:val="single"/>
          <w:lang w:val="en-AU"/>
        </w:rPr>
        <w:t xml:space="preserve"> presenting consolidated financial statements prepared in accordance with AASB 10</w:t>
      </w:r>
      <w:r w:rsidR="00EF68EC" w:rsidRPr="00BE0C02">
        <w:rPr>
          <w:b/>
          <w:u w:val="single"/>
          <w:lang w:val="en-AU"/>
        </w:rPr>
        <w:t xml:space="preserve"> (unless exempt)</w:t>
      </w:r>
      <w:r w:rsidR="00FE7972" w:rsidRPr="00BE0C02">
        <w:rPr>
          <w:b/>
          <w:u w:val="single"/>
          <w:lang w:val="en-AU"/>
        </w:rPr>
        <w:t>,</w:t>
      </w:r>
      <w:r w:rsidR="00FE7972" w:rsidRPr="00BE0C02">
        <w:rPr>
          <w:b/>
          <w:lang w:val="en-AU"/>
        </w:rPr>
        <w:t xml:space="preserve"> </w:t>
      </w:r>
      <w:r w:rsidRPr="00BE0C02">
        <w:rPr>
          <w:b/>
          <w:lang w:val="en-AU"/>
        </w:rPr>
        <w:t>shall not apply AASB 1.</w:t>
      </w:r>
    </w:p>
    <w:p w14:paraId="3E0BD438" w14:textId="5216A019" w:rsidR="00C472D6" w:rsidRPr="00BE0C02" w:rsidRDefault="00C472D6" w:rsidP="00C472D6">
      <w:pPr>
        <w:pStyle w:val="IASBNormalnpara"/>
        <w:rPr>
          <w:bCs/>
          <w:lang w:val="en-AU"/>
        </w:rPr>
      </w:pPr>
      <w:r w:rsidRPr="00BE0C02">
        <w:rPr>
          <w:bCs/>
          <w:lang w:val="en-AU"/>
        </w:rPr>
        <w:t>18B</w:t>
      </w:r>
      <w:r w:rsidR="001F6E01" w:rsidRPr="00BE0C02">
        <w:rPr>
          <w:bCs/>
          <w:lang w:val="en-AU"/>
        </w:rPr>
        <w:tab/>
        <w:t>An entity applying paragraph 18A(</w:t>
      </w:r>
      <w:r w:rsidR="001F6E01" w:rsidRPr="00BE0C02">
        <w:rPr>
          <w:bCs/>
          <w:strike/>
          <w:lang w:val="en-AU"/>
        </w:rPr>
        <w:t>b</w:t>
      </w:r>
      <w:r w:rsidR="001F6E01" w:rsidRPr="00BE0C02">
        <w:rPr>
          <w:bCs/>
          <w:u w:val="single"/>
          <w:lang w:val="en-AU"/>
        </w:rPr>
        <w:t>c</w:t>
      </w:r>
      <w:r w:rsidR="000B3E1F" w:rsidRPr="00BE0C02">
        <w:rPr>
          <w:bCs/>
          <w:lang w:val="en-AU"/>
        </w:rPr>
        <w:t xml:space="preserve">) continues applying the applicable recognition and measurement requirements of Australian Accounting Standards, whether it had previously initially applied recognition and </w:t>
      </w:r>
      <w:r w:rsidR="00746CC7" w:rsidRPr="00BE0C02">
        <w:rPr>
          <w:bCs/>
          <w:lang w:val="en-AU"/>
        </w:rPr>
        <w:t>measurement requirements consistent with AASB 1 or a predecessor to AASB 108, whichever was applicable at the time.</w:t>
      </w:r>
    </w:p>
    <w:p w14:paraId="6F0FECAD" w14:textId="56A577CF" w:rsidR="004D5A2D" w:rsidRPr="00BE0C02" w:rsidRDefault="004D5A2D" w:rsidP="004D5A2D">
      <w:pPr>
        <w:pStyle w:val="IASBNormalnparaL1"/>
        <w:ind w:left="0" w:firstLine="0"/>
        <w:rPr>
          <w:lang w:val="en-AU"/>
        </w:rPr>
      </w:pPr>
      <w:r w:rsidRPr="00BE0C02">
        <w:rPr>
          <w:lang w:val="en-AU"/>
        </w:rPr>
        <w:t>…</w:t>
      </w:r>
    </w:p>
    <w:p w14:paraId="71C0E1FE" w14:textId="40A8735E" w:rsidR="008B2BD2" w:rsidRPr="00BE0C02" w:rsidRDefault="00987157" w:rsidP="009E0B7B">
      <w:pPr>
        <w:pStyle w:val="IASBNormalnparaL1"/>
        <w:ind w:left="780" w:hanging="780"/>
        <w:rPr>
          <w:bCs/>
          <w:lang w:val="en-AU"/>
        </w:rPr>
      </w:pPr>
      <w:r w:rsidRPr="00BE0C02">
        <w:rPr>
          <w:bCs/>
          <w:lang w:val="en-AU"/>
        </w:rPr>
        <w:t>18</w:t>
      </w:r>
      <w:r w:rsidR="00DB1AC0" w:rsidRPr="00BE0C02">
        <w:rPr>
          <w:bCs/>
          <w:lang w:val="en-AU"/>
        </w:rPr>
        <w:t>D</w:t>
      </w:r>
      <w:r w:rsidRPr="00BE0C02">
        <w:rPr>
          <w:bCs/>
          <w:lang w:val="en-AU"/>
        </w:rPr>
        <w:tab/>
      </w:r>
      <w:r w:rsidR="00D067AF" w:rsidRPr="00BE0C02">
        <w:rPr>
          <w:bCs/>
          <w:lang w:val="en-AU"/>
        </w:rPr>
        <w:t xml:space="preserve">Paragraph 18A(a) </w:t>
      </w:r>
      <w:r w:rsidR="007D6BD2" w:rsidRPr="00BE0C02">
        <w:rPr>
          <w:bCs/>
          <w:lang w:val="en-AU"/>
        </w:rPr>
        <w:t xml:space="preserve">addresses where an entity has not applied, or only </w:t>
      </w:r>
      <w:r w:rsidR="003B5757" w:rsidRPr="00BE0C02">
        <w:rPr>
          <w:bCs/>
          <w:lang w:val="en-AU"/>
        </w:rPr>
        <w:t xml:space="preserve">selectively applied, applicable recognition and measurement requirements, </w:t>
      </w:r>
      <w:r w:rsidR="005310B3" w:rsidRPr="00BE0C02">
        <w:rPr>
          <w:bCs/>
          <w:lang w:val="en-AU"/>
        </w:rPr>
        <w:t xml:space="preserve">rather than </w:t>
      </w:r>
      <w:r w:rsidR="003B5757" w:rsidRPr="00BE0C02">
        <w:rPr>
          <w:bCs/>
          <w:lang w:val="en-AU"/>
        </w:rPr>
        <w:t xml:space="preserve">whether the entity had made an explicit and unreserved statement of compliance with such requirements. </w:t>
      </w:r>
      <w:r w:rsidR="009204ED" w:rsidRPr="00BE0C02">
        <w:rPr>
          <w:bCs/>
          <w:lang w:val="en-AU"/>
        </w:rPr>
        <w:t>As</w:t>
      </w:r>
      <w:r w:rsidR="000D40F3" w:rsidRPr="00BE0C02">
        <w:rPr>
          <w:bCs/>
          <w:lang w:val="en-AU"/>
        </w:rPr>
        <w:t xml:space="preserve"> </w:t>
      </w:r>
      <w:r w:rsidR="003B5757" w:rsidRPr="00BE0C02">
        <w:rPr>
          <w:bCs/>
          <w:lang w:val="en-AU"/>
        </w:rPr>
        <w:t>such</w:t>
      </w:r>
      <w:r w:rsidR="002131F3" w:rsidRPr="00BE0C02">
        <w:rPr>
          <w:bCs/>
          <w:lang w:val="en-AU"/>
        </w:rPr>
        <w:t xml:space="preserve">, </w:t>
      </w:r>
      <w:r w:rsidR="000A13D0" w:rsidRPr="00BE0C02">
        <w:rPr>
          <w:bCs/>
          <w:lang w:val="en-AU"/>
        </w:rPr>
        <w:t xml:space="preserve">if </w:t>
      </w:r>
      <w:r w:rsidR="000D40F3" w:rsidRPr="00BE0C02">
        <w:rPr>
          <w:bCs/>
          <w:lang w:val="en-AU"/>
        </w:rPr>
        <w:t xml:space="preserve">an entity </w:t>
      </w:r>
      <w:r w:rsidR="00534451" w:rsidRPr="00BE0C02">
        <w:rPr>
          <w:bCs/>
          <w:lang w:val="en-AU"/>
        </w:rPr>
        <w:t>becomes aware</w:t>
      </w:r>
      <w:r w:rsidR="000D40F3" w:rsidRPr="00BE0C02">
        <w:rPr>
          <w:bCs/>
          <w:lang w:val="en-AU"/>
        </w:rPr>
        <w:t xml:space="preserve"> </w:t>
      </w:r>
      <w:r w:rsidR="002131F3" w:rsidRPr="00BE0C02">
        <w:rPr>
          <w:bCs/>
          <w:lang w:val="en-AU"/>
        </w:rPr>
        <w:t xml:space="preserve">it </w:t>
      </w:r>
      <w:r w:rsidR="003D043D" w:rsidRPr="00BE0C02">
        <w:rPr>
          <w:bCs/>
          <w:lang w:val="en-AU"/>
        </w:rPr>
        <w:t xml:space="preserve">had claimed compliance with </w:t>
      </w:r>
      <w:r w:rsidR="006447DD" w:rsidRPr="00BE0C02">
        <w:rPr>
          <w:bCs/>
          <w:lang w:val="en-AU"/>
        </w:rPr>
        <w:t xml:space="preserve">applicable </w:t>
      </w:r>
      <w:r w:rsidR="003D043D" w:rsidRPr="00BE0C02">
        <w:rPr>
          <w:bCs/>
          <w:lang w:val="en-AU"/>
        </w:rPr>
        <w:t xml:space="preserve">recognition and measurement </w:t>
      </w:r>
      <w:r w:rsidR="003D2363" w:rsidRPr="00BE0C02">
        <w:rPr>
          <w:bCs/>
          <w:lang w:val="en-AU"/>
        </w:rPr>
        <w:t xml:space="preserve">requirements </w:t>
      </w:r>
      <w:r w:rsidR="009E3841" w:rsidRPr="00BE0C02">
        <w:rPr>
          <w:bCs/>
          <w:lang w:val="en-AU"/>
        </w:rPr>
        <w:t xml:space="preserve">of Australian Accounting Standards </w:t>
      </w:r>
      <w:r w:rsidR="003D2363" w:rsidRPr="00BE0C02">
        <w:rPr>
          <w:bCs/>
          <w:lang w:val="en-AU"/>
        </w:rPr>
        <w:t xml:space="preserve">in error in its most recent previous </w:t>
      </w:r>
      <w:r w:rsidR="005D4338" w:rsidRPr="00BE0C02">
        <w:rPr>
          <w:bCs/>
          <w:lang w:val="en-AU"/>
        </w:rPr>
        <w:t xml:space="preserve">special purpose financial statements, </w:t>
      </w:r>
      <w:r w:rsidR="008C0AF4" w:rsidRPr="00BE0C02">
        <w:rPr>
          <w:bCs/>
          <w:lang w:val="en-AU"/>
        </w:rPr>
        <w:t>the entity</w:t>
      </w:r>
      <w:r w:rsidR="005C27FB" w:rsidRPr="00BE0C02">
        <w:rPr>
          <w:bCs/>
          <w:lang w:val="en-AU"/>
        </w:rPr>
        <w:t xml:space="preserve"> </w:t>
      </w:r>
      <w:r w:rsidR="00D067AF" w:rsidRPr="00BE0C02">
        <w:rPr>
          <w:bCs/>
          <w:lang w:val="en-AU"/>
        </w:rPr>
        <w:t>applies</w:t>
      </w:r>
      <w:r w:rsidR="009E3841" w:rsidRPr="00BE0C02">
        <w:rPr>
          <w:bCs/>
          <w:lang w:val="en-AU"/>
        </w:rPr>
        <w:t xml:space="preserve"> </w:t>
      </w:r>
      <w:r w:rsidR="00803AA4" w:rsidRPr="00BE0C02">
        <w:rPr>
          <w:bCs/>
          <w:lang w:val="en-AU"/>
        </w:rPr>
        <w:t>paragraph 18A</w:t>
      </w:r>
      <w:r w:rsidR="00C9016B" w:rsidRPr="00BE0C02">
        <w:rPr>
          <w:bCs/>
          <w:lang w:val="en-AU"/>
        </w:rPr>
        <w:t>(a)</w:t>
      </w:r>
      <w:r w:rsidR="00803AA4" w:rsidRPr="00BE0C02">
        <w:rPr>
          <w:bCs/>
          <w:lang w:val="en-AU"/>
        </w:rPr>
        <w:t xml:space="preserve">. </w:t>
      </w:r>
    </w:p>
    <w:p w14:paraId="4EF4C146" w14:textId="01714CE1" w:rsidR="00D8405A" w:rsidRPr="00BE0C02" w:rsidRDefault="00D8405A">
      <w:pPr>
        <w:jc w:val="left"/>
        <w:rPr>
          <w:bCs/>
        </w:rPr>
      </w:pPr>
      <w:r w:rsidRPr="00BE0C02">
        <w:rPr>
          <w:bCs/>
        </w:rPr>
        <w:br w:type="page"/>
      </w:r>
    </w:p>
    <w:p w14:paraId="729F09AF" w14:textId="77777777" w:rsidR="00C45248" w:rsidRPr="00BE0C02" w:rsidRDefault="00C45248" w:rsidP="009E0B7B">
      <w:pPr>
        <w:pStyle w:val="IASBNormalnparaL1"/>
        <w:ind w:left="780" w:hanging="780"/>
        <w:rPr>
          <w:bCs/>
          <w:lang w:val="en-AU"/>
        </w:rPr>
      </w:pPr>
    </w:p>
    <w:p w14:paraId="615852B7" w14:textId="3D497E7D" w:rsidR="00C45248" w:rsidRPr="00BE0C02" w:rsidRDefault="00317A85" w:rsidP="00C45248">
      <w:pPr>
        <w:pBdr>
          <w:top w:val="single" w:sz="4" w:space="1" w:color="auto"/>
          <w:left w:val="single" w:sz="4" w:space="4" w:color="auto"/>
          <w:bottom w:val="single" w:sz="4" w:space="1" w:color="auto"/>
          <w:right w:val="single" w:sz="4" w:space="4" w:color="auto"/>
        </w:pBdr>
        <w:autoSpaceDE w:val="0"/>
        <w:autoSpaceDN w:val="0"/>
        <w:adjustRightInd w:val="0"/>
        <w:rPr>
          <w:szCs w:val="19"/>
        </w:rPr>
      </w:pPr>
      <w:r w:rsidRPr="00BE0C02">
        <w:rPr>
          <w:szCs w:val="19"/>
        </w:rPr>
        <w:t>In Appendix C, Chart 1</w:t>
      </w:r>
      <w:r w:rsidR="00DD2867" w:rsidRPr="00BE0C02">
        <w:rPr>
          <w:szCs w:val="19"/>
        </w:rPr>
        <w:t xml:space="preserve">: First-time Adoption of Tier 1 or Tier 2 Reporting </w:t>
      </w:r>
      <w:r w:rsidR="00D8405A" w:rsidRPr="00BE0C02">
        <w:rPr>
          <w:szCs w:val="19"/>
        </w:rPr>
        <w:t>Requirements (paragraph</w:t>
      </w:r>
      <w:r w:rsidR="00261DAA" w:rsidRPr="00BE0C02">
        <w:rPr>
          <w:szCs w:val="19"/>
        </w:rPr>
        <w:t>s</w:t>
      </w:r>
      <w:r w:rsidR="00D8405A" w:rsidRPr="00BE0C02">
        <w:rPr>
          <w:szCs w:val="19"/>
        </w:rPr>
        <w:t xml:space="preserve"> 18</w:t>
      </w:r>
      <w:r w:rsidR="004C3E34">
        <w:rPr>
          <w:szCs w:val="19"/>
        </w:rPr>
        <w:t>−</w:t>
      </w:r>
      <w:r w:rsidR="00D8405A" w:rsidRPr="00BE0C02">
        <w:rPr>
          <w:szCs w:val="19"/>
        </w:rPr>
        <w:t>18</w:t>
      </w:r>
      <w:r w:rsidR="004124C3" w:rsidRPr="00BE0C02">
        <w:rPr>
          <w:szCs w:val="19"/>
        </w:rPr>
        <w:t>B</w:t>
      </w:r>
      <w:r w:rsidR="00D8405A" w:rsidRPr="00BE0C02">
        <w:rPr>
          <w:szCs w:val="19"/>
        </w:rPr>
        <w:t xml:space="preserve">) </w:t>
      </w:r>
      <w:r w:rsidRPr="00BE0C02">
        <w:rPr>
          <w:szCs w:val="19"/>
        </w:rPr>
        <w:t xml:space="preserve">is replaced with the </w:t>
      </w:r>
      <w:r w:rsidR="00D8405A" w:rsidRPr="00BE0C02">
        <w:rPr>
          <w:szCs w:val="19"/>
        </w:rPr>
        <w:t>following.</w:t>
      </w:r>
    </w:p>
    <w:p w14:paraId="2AD97D9F" w14:textId="0075116D" w:rsidR="006D517D" w:rsidRPr="00BE0C02" w:rsidRDefault="00D8405A" w:rsidP="00BE2305">
      <w:pPr>
        <w:pStyle w:val="IASBNormalnparaL1"/>
        <w:spacing w:after="120"/>
        <w:ind w:left="780" w:hanging="780"/>
        <w:rPr>
          <w:b/>
          <w:lang w:val="en-AU"/>
        </w:rPr>
      </w:pPr>
      <w:r w:rsidRPr="00BE0C02">
        <w:rPr>
          <w:b/>
          <w:lang w:val="en-AU"/>
        </w:rPr>
        <w:t>Chart 1: First-time Adoption of Tier 1 or Tier 2 Reporting Requirements (</w:t>
      </w:r>
      <w:r w:rsidR="00384148" w:rsidRPr="00BE0C02">
        <w:rPr>
          <w:b/>
          <w:lang w:val="en-AU"/>
        </w:rPr>
        <w:t>paragraphs 18</w:t>
      </w:r>
      <w:r w:rsidR="004C3E34">
        <w:rPr>
          <w:b/>
          <w:lang w:val="en-AU"/>
        </w:rPr>
        <w:t>−</w:t>
      </w:r>
      <w:r w:rsidR="00384148" w:rsidRPr="00BE0C02">
        <w:rPr>
          <w:b/>
          <w:lang w:val="en-AU"/>
        </w:rPr>
        <w:t>18D)</w:t>
      </w:r>
    </w:p>
    <w:p w14:paraId="2D49D1F5" w14:textId="6988A8DD" w:rsidR="00384148" w:rsidRPr="00BE0C02" w:rsidRDefault="00BE2305" w:rsidP="009E0B7B">
      <w:pPr>
        <w:pStyle w:val="IASBNormalnparaL1"/>
        <w:ind w:left="780" w:hanging="780"/>
        <w:rPr>
          <w:b/>
          <w:lang w:val="en-AU"/>
        </w:rPr>
      </w:pPr>
      <w:r>
        <w:rPr>
          <w:noProof/>
        </w:rPr>
        <mc:AlternateContent>
          <mc:Choice Requires="wpg">
            <w:drawing>
              <wp:inline distT="0" distB="0" distL="0" distR="0" wp14:anchorId="45D75FE8" wp14:editId="7365AD8B">
                <wp:extent cx="5716270" cy="7261225"/>
                <wp:effectExtent l="0" t="0" r="17780" b="15875"/>
                <wp:docPr id="2" name="Group 6" descr="Chart 1: First-time Adoption of Tier 1 or Tier 2 Reporting Requirements (paragraphs 18−18D)"/>
                <wp:cNvGraphicFramePr/>
                <a:graphic xmlns:a="http://schemas.openxmlformats.org/drawingml/2006/main">
                  <a:graphicData uri="http://schemas.microsoft.com/office/word/2010/wordprocessingGroup">
                    <wpg:wgp>
                      <wpg:cNvGrpSpPr/>
                      <wpg:grpSpPr>
                        <a:xfrm>
                          <a:off x="0" y="0"/>
                          <a:ext cx="5716270" cy="7261225"/>
                          <a:chOff x="0" y="0"/>
                          <a:chExt cx="5716776" cy="7261340"/>
                        </a:xfrm>
                      </wpg:grpSpPr>
                      <wps:wsp>
                        <wps:cNvPr id="6" name="Rectangle 6"/>
                        <wps:cNvSpPr/>
                        <wps:spPr>
                          <a:xfrm>
                            <a:off x="561606" y="0"/>
                            <a:ext cx="3230595" cy="4457448"/>
                          </a:xfrm>
                          <a:prstGeom prst="rect">
                            <a:avLst/>
                          </a:prstGeom>
                        </wps:spPr>
                        <wps:bodyPr/>
                      </wps:wsp>
                      <wps:wsp>
                        <wps:cNvPr id="9" name="Rectangle 9" descr="flowchart information in regard to first time adoption of tier 1 or tier 2 reporting requirements for paragraphs 18 to 18b" title="first time adoption of tier 1 or tier 2 reporting requirements"/>
                        <wps:cNvSpPr/>
                        <wps:spPr>
                          <a:xfrm>
                            <a:off x="1263443" y="34186"/>
                            <a:ext cx="1069882" cy="431866"/>
                          </a:xfrm>
                          <a:prstGeom prst="rect">
                            <a:avLst/>
                          </a:prstGeom>
                          <a:noFill/>
                          <a:ln w="9525" cap="flat" cmpd="sng" algn="ctr">
                            <a:solidFill>
                              <a:sysClr val="windowText" lastClr="000000"/>
                            </a:solidFill>
                            <a:prstDash val="solid"/>
                          </a:ln>
                          <a:effectLst/>
                        </wps:spPr>
                        <wps:txbx>
                          <w:txbxContent>
                            <w:p w14:paraId="66F40273" w14:textId="77777777" w:rsidR="00BE2305" w:rsidRDefault="00BE2305" w:rsidP="00BE2305">
                              <w:pPr>
                                <w:spacing w:line="130" w:lineRule="exact"/>
                                <w:jc w:val="center"/>
                                <w:rPr>
                                  <w:sz w:val="24"/>
                                  <w:szCs w:val="24"/>
                                </w:rPr>
                              </w:pPr>
                              <w:r>
                                <w:rPr>
                                  <w:rFonts w:cs="Arial"/>
                                  <w:color w:val="000000"/>
                                  <w:kern w:val="24"/>
                                  <w:sz w:val="13"/>
                                  <w:szCs w:val="13"/>
                                </w:rPr>
                                <w:t>Transitioning from special purpose financial statements to Tier 1 or Tier 2 for the first time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Elbow Connector 21" descr="arrows" title="directional arrows"/>
                        <wps:cNvCnPr>
                          <a:cxnSpLocks/>
                        </wps:cNvCnPr>
                        <wps:spPr>
                          <a:xfrm rot="5400000">
                            <a:off x="1688669" y="577748"/>
                            <a:ext cx="224501" cy="1"/>
                          </a:xfrm>
                          <a:prstGeom prst="bentConnector3">
                            <a:avLst>
                              <a:gd name="adj1" fmla="val 50000"/>
                            </a:avLst>
                          </a:prstGeom>
                          <a:noFill/>
                          <a:ln w="9525" cap="flat" cmpd="sng" algn="ctr">
                            <a:solidFill>
                              <a:sysClr val="windowText" lastClr="000000"/>
                            </a:solidFill>
                            <a:prstDash val="solid"/>
                            <a:tailEnd type="triangle"/>
                          </a:ln>
                          <a:effectLst/>
                        </wps:spPr>
                        <wps:bodyPr/>
                      </wps:wsp>
                      <wps:wsp>
                        <wps:cNvPr id="15" name="Hexagon 15" descr="flowchart information in regard to first time adoption of tier 1 or tier 2 reporting requirements for paragraphs 18 to 18b&#10;" title="first time adoption of tier 1 or tier 2 reporting requirements"/>
                        <wps:cNvSpPr/>
                        <wps:spPr>
                          <a:xfrm>
                            <a:off x="1248724" y="691379"/>
                            <a:ext cx="1069881" cy="474318"/>
                          </a:xfrm>
                          <a:prstGeom prst="hexagon">
                            <a:avLst/>
                          </a:prstGeom>
                          <a:noFill/>
                          <a:ln w="9525" cap="flat" cmpd="sng" algn="ctr">
                            <a:solidFill>
                              <a:sysClr val="windowText" lastClr="000000"/>
                            </a:solidFill>
                            <a:prstDash val="solid"/>
                          </a:ln>
                          <a:effectLst/>
                        </wps:spPr>
                        <wps:txbx>
                          <w:txbxContent>
                            <w:p w14:paraId="3A0EE6B2" w14:textId="77777777" w:rsidR="00BE2305" w:rsidRDefault="00BE2305" w:rsidP="00BE2305">
                              <w:pPr>
                                <w:spacing w:line="130" w:lineRule="exact"/>
                                <w:jc w:val="center"/>
                                <w:rPr>
                                  <w:sz w:val="24"/>
                                  <w:szCs w:val="24"/>
                                </w:rPr>
                              </w:pPr>
                              <w:r>
                                <w:rPr>
                                  <w:rFonts w:cs="Arial"/>
                                  <w:color w:val="000000"/>
                                  <w:kern w:val="24"/>
                                  <w:sz w:val="13"/>
                                  <w:szCs w:val="13"/>
                                </w:rPr>
                                <w:t>Is the entity adopting Tier 1 requirements?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20" name="Elbow Connector 18" descr="arrows" title="directional arrows"/>
                        <wps:cNvCnPr/>
                        <wps:spPr>
                          <a:xfrm rot="5400000">
                            <a:off x="1666678" y="1306973"/>
                            <a:ext cx="268483" cy="1"/>
                          </a:xfrm>
                          <a:prstGeom prst="bentConnector3">
                            <a:avLst>
                              <a:gd name="adj1" fmla="val 50000"/>
                            </a:avLst>
                          </a:prstGeom>
                          <a:noFill/>
                          <a:ln w="9525" cap="flat" cmpd="sng" algn="ctr">
                            <a:solidFill>
                              <a:sysClr val="windowText" lastClr="000000"/>
                            </a:solidFill>
                            <a:prstDash val="solid"/>
                            <a:tailEnd type="triangle"/>
                          </a:ln>
                          <a:effectLst/>
                        </wps:spPr>
                        <wps:bodyPr/>
                      </wps:wsp>
                      <wps:wsp>
                        <wps:cNvPr id="21" name="Text Box 2" descr="no" title="no"/>
                        <wps:cNvSpPr txBox="1">
                          <a:spLocks noChangeArrowheads="1"/>
                        </wps:cNvSpPr>
                        <wps:spPr bwMode="auto">
                          <a:xfrm>
                            <a:off x="1915153" y="1196247"/>
                            <a:ext cx="355044" cy="238112"/>
                          </a:xfrm>
                          <a:prstGeom prst="rect">
                            <a:avLst/>
                          </a:prstGeom>
                          <a:noFill/>
                          <a:ln w="9525">
                            <a:noFill/>
                            <a:miter lim="800000"/>
                            <a:headEnd/>
                            <a:tailEnd/>
                          </a:ln>
                        </wps:spPr>
                        <wps:txbx>
                          <w:txbxContent>
                            <w:p w14:paraId="68B50A3C" w14:textId="77777777" w:rsidR="00BE2305" w:rsidRDefault="00BE2305" w:rsidP="00BE2305">
                              <w:pPr>
                                <w:spacing w:line="200" w:lineRule="exact"/>
                                <w:rPr>
                                  <w:sz w:val="24"/>
                                  <w:szCs w:val="24"/>
                                </w:rPr>
                              </w:pPr>
                              <w:r>
                                <w:rPr>
                                  <w:rFonts w:cs="Arial"/>
                                  <w:color w:val="000000"/>
                                  <w:kern w:val="24"/>
                                  <w:sz w:val="14"/>
                                  <w:szCs w:val="14"/>
                                </w:rPr>
                                <w:t>No</w:t>
                              </w:r>
                            </w:p>
                          </w:txbxContent>
                        </wps:txbx>
                        <wps:bodyPr rot="0" vert="horz" wrap="square" lIns="91440" tIns="45720" rIns="91440" bIns="45720" anchor="t" anchorCtr="0">
                          <a:noAutofit/>
                        </wps:bodyPr>
                      </wps:wsp>
                      <wps:wsp>
                        <wps:cNvPr id="22" name="Rectangle 22" descr="flowchart information in regard to first time adoption of tier 1 or tier 2 reporting requirements for paragraphs 18 to 18b&#10;" title="first time adoption of tier 1 or tier 2 reporting requirements"/>
                        <wps:cNvSpPr/>
                        <wps:spPr>
                          <a:xfrm>
                            <a:off x="1338099" y="1434359"/>
                            <a:ext cx="932098" cy="291449"/>
                          </a:xfrm>
                          <a:prstGeom prst="rect">
                            <a:avLst/>
                          </a:prstGeom>
                          <a:noFill/>
                          <a:ln w="9525" cap="flat" cmpd="sng" algn="ctr">
                            <a:solidFill>
                              <a:sysClr val="windowText" lastClr="000000"/>
                            </a:solidFill>
                            <a:prstDash val="solid"/>
                          </a:ln>
                          <a:effectLst/>
                        </wps:spPr>
                        <wps:txbx>
                          <w:txbxContent>
                            <w:p w14:paraId="04569C42" w14:textId="77777777" w:rsidR="00BE2305" w:rsidRDefault="00BE2305" w:rsidP="00BE2305">
                              <w:pPr>
                                <w:jc w:val="center"/>
                                <w:rPr>
                                  <w:sz w:val="24"/>
                                  <w:szCs w:val="24"/>
                                </w:rPr>
                              </w:pPr>
                              <w:r>
                                <w:rPr>
                                  <w:rFonts w:cs="Arial"/>
                                  <w:color w:val="000000"/>
                                  <w:kern w:val="24"/>
                                  <w:sz w:val="13"/>
                                  <w:szCs w:val="13"/>
                                </w:rPr>
                                <w:t>Adoption of Tier 2 requirements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Elbow Connector 23" descr="arrows" title="directional arrows"/>
                        <wps:cNvCnPr>
                          <a:cxnSpLocks/>
                          <a:endCxn id="25" idx="0"/>
                        </wps:cNvCnPr>
                        <wps:spPr>
                          <a:xfrm rot="10800000" flipV="1">
                            <a:off x="359854" y="934998"/>
                            <a:ext cx="888875" cy="496390"/>
                          </a:xfrm>
                          <a:prstGeom prst="bentConnector2">
                            <a:avLst/>
                          </a:prstGeom>
                          <a:noFill/>
                          <a:ln w="9525" cap="flat" cmpd="sng" algn="ctr">
                            <a:solidFill>
                              <a:sysClr val="windowText" lastClr="000000"/>
                            </a:solidFill>
                            <a:prstDash val="solid"/>
                            <a:tailEnd type="triangle"/>
                          </a:ln>
                          <a:effectLst/>
                        </wps:spPr>
                        <wps:bodyPr/>
                      </wps:wsp>
                      <wps:wsp>
                        <wps:cNvPr id="24" name="Text Box 2" descr="yes" title="yes"/>
                        <wps:cNvSpPr txBox="1">
                          <a:spLocks noChangeArrowheads="1"/>
                        </wps:cNvSpPr>
                        <wps:spPr bwMode="auto">
                          <a:xfrm>
                            <a:off x="931451" y="688635"/>
                            <a:ext cx="362084" cy="288833"/>
                          </a:xfrm>
                          <a:prstGeom prst="rect">
                            <a:avLst/>
                          </a:prstGeom>
                          <a:noFill/>
                          <a:ln w="9525">
                            <a:noFill/>
                            <a:miter lim="800000"/>
                            <a:headEnd/>
                            <a:tailEnd/>
                          </a:ln>
                        </wps:spPr>
                        <wps:txbx>
                          <w:txbxContent>
                            <w:p w14:paraId="09B53824" w14:textId="77777777" w:rsidR="00BE2305" w:rsidRDefault="00BE2305" w:rsidP="00BE2305">
                              <w:pPr>
                                <w:spacing w:line="200" w:lineRule="exact"/>
                                <w:rPr>
                                  <w:sz w:val="24"/>
                                  <w:szCs w:val="24"/>
                                </w:rPr>
                              </w:pPr>
                              <w:r>
                                <w:rPr>
                                  <w:rFonts w:cs="Arial"/>
                                  <w:color w:val="000000"/>
                                  <w:kern w:val="24"/>
                                  <w:sz w:val="14"/>
                                  <w:szCs w:val="14"/>
                                </w:rPr>
                                <w:t>Yes</w:t>
                              </w:r>
                            </w:p>
                          </w:txbxContent>
                        </wps:txbx>
                        <wps:bodyPr rot="0" vert="horz" wrap="square" lIns="91440" tIns="45720" rIns="91440" bIns="45720" anchor="t" anchorCtr="0">
                          <a:noAutofit/>
                        </wps:bodyPr>
                      </wps:wsp>
                      <wps:wsp>
                        <wps:cNvPr id="25" name="Rectangle 25" descr="flowchart information in regard to first time adoption of tier 1 or tier 2 reporting requirements for paragraphs 18 to 18b&#10;" title="first time adoption of tier 1 or tier 2 reporting requirements"/>
                        <wps:cNvSpPr/>
                        <wps:spPr>
                          <a:xfrm>
                            <a:off x="0" y="1431388"/>
                            <a:ext cx="719705" cy="743535"/>
                          </a:xfrm>
                          <a:prstGeom prst="rect">
                            <a:avLst/>
                          </a:prstGeom>
                          <a:noFill/>
                          <a:ln w="9525" cap="flat" cmpd="sng" algn="ctr">
                            <a:solidFill>
                              <a:sysClr val="windowText" lastClr="000000"/>
                            </a:solidFill>
                            <a:prstDash val="solid"/>
                          </a:ln>
                          <a:effectLst/>
                        </wps:spPr>
                        <wps:txbx>
                          <w:txbxContent>
                            <w:p w14:paraId="08377E58" w14:textId="77777777" w:rsidR="00BE2305" w:rsidRDefault="00BE2305" w:rsidP="00BE2305">
                              <w:pPr>
                                <w:jc w:val="center"/>
                                <w:rPr>
                                  <w:sz w:val="24"/>
                                  <w:szCs w:val="24"/>
                                </w:rPr>
                              </w:pPr>
                              <w:r>
                                <w:rPr>
                                  <w:rFonts w:cs="Arial"/>
                                  <w:color w:val="000000"/>
                                  <w:kern w:val="24"/>
                                  <w:sz w:val="13"/>
                                  <w:szCs w:val="13"/>
                                </w:rPr>
                                <w:t xml:space="preserve">Apply AASB 1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Straight Arrow Connector 26" descr="arrow" title="directional arrow"/>
                        <wps:cNvCnPr>
                          <a:cxnSpLocks/>
                        </wps:cNvCnPr>
                        <wps:spPr>
                          <a:xfrm>
                            <a:off x="1859760" y="3790951"/>
                            <a:ext cx="0" cy="302809"/>
                          </a:xfrm>
                          <a:prstGeom prst="straightConnector1">
                            <a:avLst/>
                          </a:prstGeom>
                          <a:noFill/>
                          <a:ln w="9525" cap="flat" cmpd="sng" algn="ctr">
                            <a:solidFill>
                              <a:sysClr val="windowText" lastClr="000000"/>
                            </a:solidFill>
                            <a:prstDash val="solid"/>
                            <a:tailEnd type="triangle"/>
                          </a:ln>
                          <a:effectLst/>
                        </wps:spPr>
                        <wps:bodyPr/>
                      </wps:wsp>
                      <wps:wsp>
                        <wps:cNvPr id="27" name="Hexagon 27" descr="flowchart information in regard to first time adoption of tier 1 or tier 2 reporting requirements for paragraphs 18 to 18b&#10;" title="first time adoption of tier 1 or tier 2 reporting requirements"/>
                        <wps:cNvSpPr/>
                        <wps:spPr>
                          <a:xfrm>
                            <a:off x="1293695" y="1999581"/>
                            <a:ext cx="1044265" cy="854710"/>
                          </a:xfrm>
                          <a:prstGeom prst="hexagon">
                            <a:avLst/>
                          </a:prstGeom>
                          <a:noFill/>
                          <a:ln w="9525" cap="flat" cmpd="sng" algn="ctr">
                            <a:solidFill>
                              <a:sysClr val="windowText" lastClr="000000"/>
                            </a:solidFill>
                            <a:prstDash val="solid"/>
                          </a:ln>
                          <a:effectLst/>
                        </wps:spPr>
                        <wps:txbx>
                          <w:txbxContent>
                            <w:p w14:paraId="53F6B176" w14:textId="77777777" w:rsidR="00BE2305" w:rsidRDefault="00BE2305" w:rsidP="00BE2305">
                              <w:pPr>
                                <w:spacing w:line="130" w:lineRule="exact"/>
                                <w:jc w:val="center"/>
                                <w:rPr>
                                  <w:sz w:val="24"/>
                                  <w:szCs w:val="24"/>
                                </w:rPr>
                              </w:pPr>
                              <w:r>
                                <w:rPr>
                                  <w:rFonts w:cs="Arial"/>
                                  <w:color w:val="000000"/>
                                  <w:kern w:val="24"/>
                                  <w:sz w:val="13"/>
                                  <w:szCs w:val="13"/>
                                </w:rPr>
                                <w:t>Did the entity apply all applicable R&amp;M requirements in its most recent financial statements, including AASB 10 if a parent?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8" name="Elbow Connector 28" descr="arrows" title="directional arrows"/>
                        <wps:cNvCnPr>
                          <a:cxnSpLocks/>
                        </wps:cNvCnPr>
                        <wps:spPr>
                          <a:xfrm>
                            <a:off x="2337960" y="2426936"/>
                            <a:ext cx="1505067" cy="734043"/>
                          </a:xfrm>
                          <a:prstGeom prst="bentConnector3">
                            <a:avLst>
                              <a:gd name="adj1" fmla="val 99781"/>
                            </a:avLst>
                          </a:prstGeom>
                          <a:noFill/>
                          <a:ln w="9525" cap="flat" cmpd="sng" algn="ctr">
                            <a:solidFill>
                              <a:sysClr val="windowText" lastClr="000000"/>
                            </a:solidFill>
                            <a:prstDash val="solid"/>
                            <a:tailEnd type="triangle"/>
                          </a:ln>
                          <a:effectLst/>
                        </wps:spPr>
                        <wps:bodyPr/>
                      </wps:wsp>
                      <wps:wsp>
                        <wps:cNvPr id="29" name="Text Box 2" descr="yes" title="yes"/>
                        <wps:cNvSpPr txBox="1">
                          <a:spLocks noChangeArrowheads="1"/>
                        </wps:cNvSpPr>
                        <wps:spPr bwMode="auto">
                          <a:xfrm>
                            <a:off x="2337960" y="2192995"/>
                            <a:ext cx="405873" cy="238112"/>
                          </a:xfrm>
                          <a:prstGeom prst="rect">
                            <a:avLst/>
                          </a:prstGeom>
                          <a:noFill/>
                          <a:ln w="9525">
                            <a:noFill/>
                            <a:miter lim="800000"/>
                            <a:headEnd/>
                            <a:tailEnd/>
                          </a:ln>
                        </wps:spPr>
                        <wps:txbx>
                          <w:txbxContent>
                            <w:p w14:paraId="3A02DE40" w14:textId="77777777" w:rsidR="00BE2305" w:rsidRDefault="00BE2305" w:rsidP="00BE2305">
                              <w:pPr>
                                <w:spacing w:line="200" w:lineRule="exact"/>
                                <w:rPr>
                                  <w:sz w:val="24"/>
                                  <w:szCs w:val="24"/>
                                </w:rPr>
                              </w:pPr>
                              <w:r>
                                <w:rPr>
                                  <w:rFonts w:cs="Arial"/>
                                  <w:color w:val="000000"/>
                                  <w:kern w:val="24"/>
                                  <w:sz w:val="14"/>
                                  <w:szCs w:val="14"/>
                                </w:rPr>
                                <w:t>Yes</w:t>
                              </w:r>
                            </w:p>
                          </w:txbxContent>
                        </wps:txbx>
                        <wps:bodyPr rot="0" vert="horz" wrap="square" lIns="91440" tIns="45720" rIns="91440" bIns="45720" anchor="t" anchorCtr="0">
                          <a:noAutofit/>
                        </wps:bodyPr>
                      </wps:wsp>
                      <wps:wsp>
                        <wps:cNvPr id="30" name="Rectangle 30" descr="flowchart information in regard to first time adoption of tier 1 or tier 2 reporting requirements for paragraphs 18 to 18b&#10;" title="first time adoption of tier 1 or tier 2 reporting requirements"/>
                        <wps:cNvSpPr/>
                        <wps:spPr>
                          <a:xfrm>
                            <a:off x="3149650" y="4076886"/>
                            <a:ext cx="1423907" cy="512172"/>
                          </a:xfrm>
                          <a:prstGeom prst="rect">
                            <a:avLst/>
                          </a:prstGeom>
                          <a:noFill/>
                          <a:ln w="9525" cap="flat" cmpd="sng" algn="ctr">
                            <a:solidFill>
                              <a:sysClr val="windowText" lastClr="000000"/>
                            </a:solidFill>
                            <a:prstDash val="solid"/>
                          </a:ln>
                          <a:effectLst/>
                        </wps:spPr>
                        <wps:txbx>
                          <w:txbxContent>
                            <w:p w14:paraId="1B1503AF" w14:textId="77777777" w:rsidR="00BE2305" w:rsidRDefault="00BE2305" w:rsidP="00BE2305">
                              <w:pPr>
                                <w:jc w:val="center"/>
                                <w:rPr>
                                  <w:sz w:val="24"/>
                                  <w:szCs w:val="24"/>
                                </w:rPr>
                              </w:pPr>
                              <w:r>
                                <w:rPr>
                                  <w:rFonts w:cs="Arial"/>
                                  <w:color w:val="000000"/>
                                  <w:kern w:val="24"/>
                                  <w:sz w:val="13"/>
                                  <w:szCs w:val="13"/>
                                </w:rPr>
                                <w:t xml:space="preserve">Do not apply AASB 1 – continue applying applicable R&amp;M requirements </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31" name="Elbow Connector 24" descr="arrows" title="directional arrows"/>
                        <wps:cNvCnPr/>
                        <wps:spPr>
                          <a:xfrm rot="16200000" flipH="1">
                            <a:off x="1670651" y="3018624"/>
                            <a:ext cx="325514" cy="1"/>
                          </a:xfrm>
                          <a:prstGeom prst="bentConnector3">
                            <a:avLst>
                              <a:gd name="adj1" fmla="val 50000"/>
                            </a:avLst>
                          </a:prstGeom>
                          <a:noFill/>
                          <a:ln w="9525" cap="flat" cmpd="sng" algn="ctr">
                            <a:solidFill>
                              <a:sysClr val="windowText" lastClr="000000"/>
                            </a:solidFill>
                            <a:prstDash val="solid"/>
                            <a:tailEnd type="triangle"/>
                          </a:ln>
                          <a:effectLst/>
                        </wps:spPr>
                        <wps:bodyPr/>
                      </wps:wsp>
                      <wps:wsp>
                        <wps:cNvPr id="32" name="Text Box 2" descr="no" title="no"/>
                        <wps:cNvSpPr txBox="1">
                          <a:spLocks noChangeArrowheads="1"/>
                        </wps:cNvSpPr>
                        <wps:spPr bwMode="auto">
                          <a:xfrm>
                            <a:off x="1915153" y="2876000"/>
                            <a:ext cx="354934" cy="237477"/>
                          </a:xfrm>
                          <a:prstGeom prst="rect">
                            <a:avLst/>
                          </a:prstGeom>
                          <a:noFill/>
                          <a:ln w="9525">
                            <a:noFill/>
                            <a:miter lim="800000"/>
                            <a:headEnd/>
                            <a:tailEnd/>
                          </a:ln>
                        </wps:spPr>
                        <wps:txbx>
                          <w:txbxContent>
                            <w:p w14:paraId="103B2087" w14:textId="77777777" w:rsidR="00BE2305" w:rsidRDefault="00BE2305" w:rsidP="00BE2305">
                              <w:pPr>
                                <w:spacing w:line="200" w:lineRule="exact"/>
                                <w:rPr>
                                  <w:sz w:val="24"/>
                                  <w:szCs w:val="24"/>
                                </w:rPr>
                              </w:pPr>
                              <w:r>
                                <w:rPr>
                                  <w:rFonts w:cs="Arial"/>
                                  <w:color w:val="000000"/>
                                  <w:kern w:val="24"/>
                                  <w:sz w:val="14"/>
                                  <w:szCs w:val="14"/>
                                </w:rPr>
                                <w:t>No</w:t>
                              </w:r>
                            </w:p>
                          </w:txbxContent>
                        </wps:txbx>
                        <wps:bodyPr rot="0" vert="horz" wrap="square" lIns="91440" tIns="45720" rIns="91440" bIns="45720" anchor="t" anchorCtr="0">
                          <a:noAutofit/>
                        </wps:bodyPr>
                      </wps:wsp>
                      <wps:wsp>
                        <wps:cNvPr id="33" name="Rectangle 33" descr="flowchart information in regard to first time adoption of tier 1 or tier 2 reporting requirements for paragraphs 18 to 18b&#10;" title="first time adoption of tier 1 or tier 2 reporting requirements"/>
                        <wps:cNvSpPr/>
                        <wps:spPr>
                          <a:xfrm>
                            <a:off x="1166233" y="3185973"/>
                            <a:ext cx="1387053" cy="604978"/>
                          </a:xfrm>
                          <a:prstGeom prst="rect">
                            <a:avLst/>
                          </a:prstGeom>
                          <a:noFill/>
                          <a:ln w="9525" cap="flat" cmpd="sng" algn="ctr">
                            <a:solidFill>
                              <a:sysClr val="windowText" lastClr="000000"/>
                            </a:solidFill>
                            <a:prstDash val="solid"/>
                          </a:ln>
                          <a:effectLst/>
                        </wps:spPr>
                        <wps:txbx>
                          <w:txbxContent>
                            <w:p w14:paraId="475B8740" w14:textId="1CE376C9" w:rsidR="00BE2305" w:rsidRDefault="00BE2305" w:rsidP="00BE2305">
                              <w:pPr>
                                <w:jc w:val="center"/>
                                <w:rPr>
                                  <w:sz w:val="24"/>
                                  <w:szCs w:val="24"/>
                                </w:rPr>
                              </w:pPr>
                              <w:r>
                                <w:rPr>
                                  <w:rFonts w:cs="Arial"/>
                                  <w:color w:val="000000"/>
                                  <w:kern w:val="24"/>
                                  <w:sz w:val="13"/>
                                  <w:szCs w:val="13"/>
                                </w:rPr>
                                <w:t>Apply AASB 1 and AASB 1060 paragraphs 206</w:t>
                              </w:r>
                              <w:r w:rsidR="004C3E34">
                                <w:rPr>
                                  <w:color w:val="000000"/>
                                  <w:kern w:val="24"/>
                                  <w:sz w:val="13"/>
                                  <w:szCs w:val="13"/>
                                </w:rPr>
                                <w:t>−</w:t>
                              </w:r>
                              <w:r>
                                <w:rPr>
                                  <w:rFonts w:cs="Arial"/>
                                  <w:color w:val="000000"/>
                                  <w:kern w:val="24"/>
                                  <w:sz w:val="13"/>
                                  <w:szCs w:val="13"/>
                                </w:rPr>
                                <w:t>213 disclosures or apply AASB 108 and AASB 10</w:t>
                              </w:r>
                              <w:r w:rsidR="00C31C4C">
                                <w:rPr>
                                  <w:rFonts w:cs="Arial"/>
                                  <w:color w:val="000000"/>
                                  <w:kern w:val="24"/>
                                  <w:sz w:val="13"/>
                                  <w:szCs w:val="13"/>
                                </w:rPr>
                                <w:t>60</w:t>
                              </w:r>
                              <w:r>
                                <w:rPr>
                                  <w:rFonts w:cs="Arial"/>
                                  <w:color w:val="000000"/>
                                  <w:kern w:val="24"/>
                                  <w:sz w:val="13"/>
                                  <w:szCs w:val="13"/>
                                </w:rPr>
                                <w:t xml:space="preserve"> paragraphs 106</w:t>
                              </w:r>
                              <w:r w:rsidR="004C3E34">
                                <w:rPr>
                                  <w:color w:val="000000"/>
                                  <w:kern w:val="24"/>
                                  <w:sz w:val="13"/>
                                  <w:szCs w:val="13"/>
                                </w:rPr>
                                <w:t>−</w:t>
                              </w:r>
                              <w:r>
                                <w:rPr>
                                  <w:rFonts w:cs="Arial"/>
                                  <w:color w:val="000000"/>
                                  <w:kern w:val="24"/>
                                  <w:sz w:val="13"/>
                                  <w:szCs w:val="13"/>
                                </w:rPr>
                                <w:t>110 disclosures</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34" name="Hexagon 34" descr="flowchart information in regard to first time adoption of tier 1 or tier 2 reporting requirements for paragraphs 18 to 18b&#10;" title="first time adoption of tier 1 or tier 2 reporting requirements"/>
                        <wps:cNvSpPr/>
                        <wps:spPr>
                          <a:xfrm>
                            <a:off x="1166233" y="4093760"/>
                            <a:ext cx="1387054" cy="512173"/>
                          </a:xfrm>
                          <a:prstGeom prst="hexagon">
                            <a:avLst/>
                          </a:prstGeom>
                          <a:noFill/>
                          <a:ln w="9525" cap="flat" cmpd="sng" algn="ctr">
                            <a:solidFill>
                              <a:sysClr val="windowText" lastClr="000000"/>
                            </a:solidFill>
                            <a:prstDash val="solid"/>
                          </a:ln>
                          <a:effectLst/>
                        </wps:spPr>
                        <wps:txbx>
                          <w:txbxContent>
                            <w:p w14:paraId="1D608289" w14:textId="77777777" w:rsidR="00BE2305" w:rsidRDefault="00BE2305" w:rsidP="00BE2305">
                              <w:pPr>
                                <w:spacing w:line="130" w:lineRule="exact"/>
                                <w:jc w:val="center"/>
                                <w:rPr>
                                  <w:sz w:val="24"/>
                                  <w:szCs w:val="24"/>
                                </w:rPr>
                              </w:pPr>
                              <w:r>
                                <w:rPr>
                                  <w:rFonts w:cs="Arial"/>
                                  <w:color w:val="000000"/>
                                  <w:kern w:val="24"/>
                                  <w:sz w:val="13"/>
                                  <w:szCs w:val="13"/>
                                </w:rPr>
                                <w:t xml:space="preserve">Is the entity adopting Tier 2 </w:t>
                              </w:r>
                              <w:r>
                                <w:rPr>
                                  <w:rFonts w:cs="Arial"/>
                                  <w:color w:val="000000"/>
                                  <w:kern w:val="24"/>
                                  <w:sz w:val="13"/>
                                  <w:szCs w:val="13"/>
                                </w:rPr>
                                <w:br/>
                                <w:t>– Simplified Disclosures for a reporting period beginning before 1 July 2022?</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35" name="Rectangle 35" descr="flowchart information in regard to first time adoption of tier 1 or tier 2 reporting requirements for paragraphs 18 to 18b&#10;" title="first time adoption of tier 1 or tier 2 reporting requirements"/>
                        <wps:cNvSpPr/>
                        <wps:spPr>
                          <a:xfrm>
                            <a:off x="1166233" y="6568327"/>
                            <a:ext cx="1516217" cy="693013"/>
                          </a:xfrm>
                          <a:prstGeom prst="rect">
                            <a:avLst/>
                          </a:prstGeom>
                          <a:noFill/>
                          <a:ln w="9525" cap="flat" cmpd="sng" algn="ctr">
                            <a:solidFill>
                              <a:sysClr val="windowText" lastClr="000000"/>
                            </a:solidFill>
                            <a:prstDash val="solid"/>
                          </a:ln>
                          <a:effectLst/>
                        </wps:spPr>
                        <wps:txbx>
                          <w:txbxContent>
                            <w:p w14:paraId="1A7C84E8" w14:textId="77777777" w:rsidR="00BE2305" w:rsidRDefault="00BE2305" w:rsidP="00BE2305">
                              <w:pPr>
                                <w:rPr>
                                  <w:sz w:val="24"/>
                                  <w:szCs w:val="24"/>
                                </w:rPr>
                              </w:pPr>
                              <w:r>
                                <w:rPr>
                                  <w:rFonts w:cs="Arial"/>
                                  <w:color w:val="000000"/>
                                  <w:kern w:val="24"/>
                                  <w:sz w:val="13"/>
                                  <w:szCs w:val="13"/>
                                </w:rPr>
                                <w:t xml:space="preserve">   Additional optional relief from:</w:t>
                              </w:r>
                            </w:p>
                            <w:p w14:paraId="36038888" w14:textId="77777777" w:rsidR="00BE2305" w:rsidRDefault="00BE2305" w:rsidP="00BE2305">
                              <w:pPr>
                                <w:tabs>
                                  <w:tab w:val="left" w:pos="360"/>
                                </w:tabs>
                              </w:pPr>
                              <w:r>
                                <w:rPr>
                                  <w:rFonts w:cs="Arial"/>
                                  <w:color w:val="000000"/>
                                  <w:kern w:val="24"/>
                                  <w:sz w:val="13"/>
                                  <w:szCs w:val="13"/>
                                </w:rPr>
                                <w:t xml:space="preserve">   ●  </w:t>
                              </w:r>
                              <w:r>
                                <w:rPr>
                                  <w:rFonts w:cs="Arial"/>
                                  <w:color w:val="000000"/>
                                  <w:kern w:val="24"/>
                                  <w:sz w:val="13"/>
                                  <w:szCs w:val="13"/>
                                </w:rPr>
                                <w:tab/>
                                <w:t>Restating comparative information</w:t>
                              </w:r>
                            </w:p>
                            <w:p w14:paraId="4099917D" w14:textId="77777777" w:rsidR="00BE2305" w:rsidRDefault="00BE2305" w:rsidP="00BE2305">
                              <w:pPr>
                                <w:tabs>
                                  <w:tab w:val="left" w:pos="360"/>
                                </w:tabs>
                              </w:pPr>
                              <w:r>
                                <w:rPr>
                                  <w:rFonts w:cs="Arial"/>
                                  <w:color w:val="000000"/>
                                  <w:kern w:val="24"/>
                                  <w:sz w:val="13"/>
                                  <w:szCs w:val="13"/>
                                </w:rPr>
                                <w:t xml:space="preserve">   ●</w:t>
                              </w:r>
                              <w:r>
                                <w:rPr>
                                  <w:rFonts w:cs="Arial"/>
                                  <w:color w:val="000000"/>
                                  <w:kern w:val="24"/>
                                  <w:sz w:val="13"/>
                                  <w:szCs w:val="13"/>
                                </w:rPr>
                                <w:tab/>
                                <w:t xml:space="preserve">Providing comparative information </w:t>
                              </w:r>
                              <w:r>
                                <w:rPr>
                                  <w:rFonts w:cs="Arial"/>
                                  <w:color w:val="000000"/>
                                  <w:kern w:val="24"/>
                                  <w:sz w:val="13"/>
                                  <w:szCs w:val="13"/>
                                </w:rPr>
                                <w:tab/>
                                <w:t>for new disclosures</w:t>
                              </w:r>
                            </w:p>
                            <w:p w14:paraId="5E6F3835" w14:textId="77777777" w:rsidR="00BE2305" w:rsidRDefault="00BE2305" w:rsidP="00BE2305">
                              <w:pPr>
                                <w:jc w:val="center"/>
                              </w:pPr>
                              <w:r>
                                <w:rPr>
                                  <w:rFonts w:cs="Arial"/>
                                  <w:color w:val="000000"/>
                                  <w:kern w:val="24"/>
                                  <w:sz w:val="13"/>
                                  <w:szCs w:val="13"/>
                                </w:rPr>
                                <w:t>(See Appendix E)</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36" name="Rectangle 36" descr="flowchart information in regard to first time adoption of tier 1 or tier 2 reporting requirements for paragraphs 18 to 18b&#10;" title="first time adoption of tier 1 or tier 2 reporting requirements"/>
                        <wps:cNvSpPr/>
                        <wps:spPr>
                          <a:xfrm>
                            <a:off x="3176071" y="6568327"/>
                            <a:ext cx="1423905" cy="693013"/>
                          </a:xfrm>
                          <a:prstGeom prst="rect">
                            <a:avLst/>
                          </a:prstGeom>
                          <a:noFill/>
                          <a:ln w="9525" cap="flat" cmpd="sng" algn="ctr">
                            <a:solidFill>
                              <a:sysClr val="windowText" lastClr="000000"/>
                            </a:solidFill>
                            <a:prstDash val="solid"/>
                          </a:ln>
                          <a:effectLst/>
                        </wps:spPr>
                        <wps:txbx>
                          <w:txbxContent>
                            <w:p w14:paraId="6BCC3440" w14:textId="77777777" w:rsidR="00BE2305" w:rsidRDefault="00BE2305" w:rsidP="00BE2305">
                              <w:pPr>
                                <w:jc w:val="center"/>
                                <w:rPr>
                                  <w:sz w:val="24"/>
                                  <w:szCs w:val="24"/>
                                </w:rPr>
                              </w:pPr>
                              <w:r>
                                <w:rPr>
                                  <w:rFonts w:cs="Arial"/>
                                  <w:color w:val="000000"/>
                                  <w:kern w:val="24"/>
                                  <w:sz w:val="13"/>
                                  <w:szCs w:val="13"/>
                                </w:rPr>
                                <w:t>Additional optional relief available from providing comparative information for new disclosures</w:t>
                              </w:r>
                              <w:r>
                                <w:rPr>
                                  <w:rFonts w:cs="Arial"/>
                                  <w:color w:val="000000"/>
                                  <w:kern w:val="24"/>
                                  <w:sz w:val="13"/>
                                  <w:szCs w:val="13"/>
                                </w:rPr>
                                <w:br/>
                                <w:t>(See Appendix E)</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37" name="Elbow Connector 18" descr="arrows" title="directional arrows"/>
                        <wps:cNvCnPr/>
                        <wps:spPr>
                          <a:xfrm rot="5400000">
                            <a:off x="1669906" y="1867084"/>
                            <a:ext cx="268483" cy="1"/>
                          </a:xfrm>
                          <a:prstGeom prst="bentConnector3">
                            <a:avLst>
                              <a:gd name="adj1" fmla="val 50000"/>
                            </a:avLst>
                          </a:prstGeom>
                          <a:noFill/>
                          <a:ln w="9525" cap="flat" cmpd="sng" algn="ctr">
                            <a:solidFill>
                              <a:sysClr val="windowText" lastClr="000000"/>
                            </a:solidFill>
                            <a:prstDash val="solid"/>
                            <a:tailEnd type="triangle"/>
                          </a:ln>
                          <a:effectLst/>
                        </wps:spPr>
                        <wps:bodyPr/>
                      </wps:wsp>
                      <wps:wsp>
                        <wps:cNvPr id="38" name="Text Box 2" descr="yes" title="yes"/>
                        <wps:cNvSpPr txBox="1">
                          <a:spLocks noChangeArrowheads="1"/>
                        </wps:cNvSpPr>
                        <wps:spPr bwMode="auto">
                          <a:xfrm>
                            <a:off x="1865884" y="4661189"/>
                            <a:ext cx="405873" cy="238112"/>
                          </a:xfrm>
                          <a:prstGeom prst="rect">
                            <a:avLst/>
                          </a:prstGeom>
                          <a:noFill/>
                          <a:ln w="9525">
                            <a:noFill/>
                            <a:miter lim="800000"/>
                            <a:headEnd/>
                            <a:tailEnd/>
                          </a:ln>
                        </wps:spPr>
                        <wps:txbx>
                          <w:txbxContent>
                            <w:p w14:paraId="13FD63C7" w14:textId="77777777" w:rsidR="00BE2305" w:rsidRDefault="00BE2305" w:rsidP="00BE2305">
                              <w:pPr>
                                <w:spacing w:line="200" w:lineRule="exact"/>
                                <w:rPr>
                                  <w:sz w:val="24"/>
                                  <w:szCs w:val="24"/>
                                </w:rPr>
                              </w:pPr>
                              <w:r>
                                <w:rPr>
                                  <w:rFonts w:cs="Arial"/>
                                  <w:color w:val="000000"/>
                                  <w:kern w:val="24"/>
                                  <w:sz w:val="14"/>
                                  <w:szCs w:val="14"/>
                                </w:rPr>
                                <w:t>Yes</w:t>
                              </w:r>
                            </w:p>
                          </w:txbxContent>
                        </wps:txbx>
                        <wps:bodyPr rot="0" vert="horz" wrap="square" lIns="91440" tIns="45720" rIns="91440" bIns="45720" anchor="t" anchorCtr="0">
                          <a:noAutofit/>
                        </wps:bodyPr>
                      </wps:wsp>
                      <wps:wsp>
                        <wps:cNvPr id="39" name="Text Box 2" descr="yes" title="yes"/>
                        <wps:cNvSpPr txBox="1">
                          <a:spLocks noChangeArrowheads="1"/>
                        </wps:cNvSpPr>
                        <wps:spPr bwMode="auto">
                          <a:xfrm>
                            <a:off x="2696329" y="3200220"/>
                            <a:ext cx="405873" cy="238112"/>
                          </a:xfrm>
                          <a:prstGeom prst="rect">
                            <a:avLst/>
                          </a:prstGeom>
                          <a:noFill/>
                          <a:ln w="9525">
                            <a:noFill/>
                            <a:miter lim="800000"/>
                            <a:headEnd/>
                            <a:tailEnd/>
                          </a:ln>
                        </wps:spPr>
                        <wps:txbx>
                          <w:txbxContent>
                            <w:p w14:paraId="7AE98BC0" w14:textId="77777777" w:rsidR="00BE2305" w:rsidRDefault="00BE2305" w:rsidP="00BE2305">
                              <w:pPr>
                                <w:spacing w:line="200" w:lineRule="exact"/>
                                <w:rPr>
                                  <w:sz w:val="24"/>
                                  <w:szCs w:val="24"/>
                                </w:rPr>
                              </w:pPr>
                              <w:r>
                                <w:rPr>
                                  <w:rFonts w:cs="Arial"/>
                                  <w:color w:val="000000"/>
                                  <w:kern w:val="24"/>
                                  <w:sz w:val="14"/>
                                  <w:szCs w:val="14"/>
                                </w:rPr>
                                <w:t>Yes</w:t>
                              </w:r>
                            </w:p>
                          </w:txbxContent>
                        </wps:txbx>
                        <wps:bodyPr rot="0" vert="horz" wrap="square" lIns="91440" tIns="45720" rIns="91440" bIns="45720" anchor="t" anchorCtr="0">
                          <a:noAutofit/>
                        </wps:bodyPr>
                      </wps:wsp>
                      <wps:wsp>
                        <wps:cNvPr id="40" name="Text Box 2" descr="no" title="no"/>
                        <wps:cNvSpPr txBox="1">
                          <a:spLocks noChangeArrowheads="1"/>
                        </wps:cNvSpPr>
                        <wps:spPr bwMode="auto">
                          <a:xfrm>
                            <a:off x="3888023" y="3749316"/>
                            <a:ext cx="723822" cy="366239"/>
                          </a:xfrm>
                          <a:prstGeom prst="rect">
                            <a:avLst/>
                          </a:prstGeom>
                          <a:noFill/>
                          <a:ln w="9525">
                            <a:noFill/>
                            <a:miter lim="800000"/>
                            <a:headEnd/>
                            <a:tailEnd/>
                          </a:ln>
                        </wps:spPr>
                        <wps:txbx>
                          <w:txbxContent>
                            <w:p w14:paraId="6CA3495F" w14:textId="1E82A226" w:rsidR="00BE2305" w:rsidRDefault="00BE2305" w:rsidP="00BE2305">
                              <w:pPr>
                                <w:spacing w:line="200" w:lineRule="exact"/>
                                <w:jc w:val="left"/>
                                <w:rPr>
                                  <w:sz w:val="24"/>
                                  <w:szCs w:val="24"/>
                                </w:rPr>
                              </w:pPr>
                              <w:r>
                                <w:rPr>
                                  <w:rFonts w:cs="Arial"/>
                                  <w:color w:val="000000"/>
                                  <w:kern w:val="24"/>
                                  <w:sz w:val="14"/>
                                  <w:szCs w:val="14"/>
                                </w:rPr>
                                <w:t xml:space="preserve">No or </w:t>
                              </w:r>
                              <w:r>
                                <w:rPr>
                                  <w:rFonts w:cs="Arial"/>
                                  <w:color w:val="000000"/>
                                  <w:kern w:val="24"/>
                                  <w:sz w:val="14"/>
                                  <w:szCs w:val="14"/>
                                </w:rPr>
                                <w:br/>
                                <w:t>not applicable</w:t>
                              </w:r>
                            </w:p>
                          </w:txbxContent>
                        </wps:txbx>
                        <wps:bodyPr rot="0" vert="horz" wrap="square" lIns="91440" tIns="45720" rIns="91440" bIns="45720" anchor="t" anchorCtr="0">
                          <a:noAutofit/>
                        </wps:bodyPr>
                      </wps:wsp>
                      <wps:wsp>
                        <wps:cNvPr id="41" name="Hexagon 41" descr="flowchart information in regard to first time adoption of tier 1 or tier 2 reporting requirements for paragraphs 18 to 18b&#10;" title="first time adoption of tier 1 or tier 2 reporting requirements"/>
                        <wps:cNvSpPr/>
                        <wps:spPr>
                          <a:xfrm>
                            <a:off x="3068493" y="3169692"/>
                            <a:ext cx="1505066" cy="603971"/>
                          </a:xfrm>
                          <a:prstGeom prst="hexagon">
                            <a:avLst/>
                          </a:prstGeom>
                          <a:noFill/>
                          <a:ln w="9525" cap="flat" cmpd="sng" algn="ctr">
                            <a:solidFill>
                              <a:sysClr val="windowText" lastClr="000000"/>
                            </a:solidFill>
                            <a:prstDash val="solid"/>
                          </a:ln>
                          <a:effectLst/>
                        </wps:spPr>
                        <wps:txbx>
                          <w:txbxContent>
                            <w:p w14:paraId="4F42AED5" w14:textId="77777777" w:rsidR="00BE2305" w:rsidRDefault="00BE2305" w:rsidP="00BE2305">
                              <w:pPr>
                                <w:jc w:val="center"/>
                                <w:rPr>
                                  <w:sz w:val="24"/>
                                  <w:szCs w:val="24"/>
                                </w:rPr>
                              </w:pPr>
                              <w:r>
                                <w:rPr>
                                  <w:rFonts w:cs="Arial"/>
                                  <w:color w:val="000000"/>
                                  <w:kern w:val="24"/>
                                  <w:sz w:val="13"/>
                                  <w:szCs w:val="13"/>
                                </w:rPr>
                                <w:t>If a parent, did the entity apply the reporting entity concept in order to not present consolidated financial statements?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42" name="Rectangle 42" descr="flowchart information in regard to first time adoption of tier 1 or tier 2 reporting requirements for paragraphs 18 to 18b&#10;" title="first time adoption of tier 1 or tier 2 reporting requirements"/>
                        <wps:cNvSpPr/>
                        <wps:spPr>
                          <a:xfrm>
                            <a:off x="0" y="5634991"/>
                            <a:ext cx="712013" cy="743535"/>
                          </a:xfrm>
                          <a:prstGeom prst="rect">
                            <a:avLst/>
                          </a:prstGeom>
                          <a:noFill/>
                          <a:ln w="9525" cap="flat" cmpd="sng" algn="ctr">
                            <a:solidFill>
                              <a:sysClr val="windowText" lastClr="000000"/>
                            </a:solidFill>
                            <a:prstDash val="solid"/>
                          </a:ln>
                          <a:effectLst/>
                        </wps:spPr>
                        <wps:txbx>
                          <w:txbxContent>
                            <w:p w14:paraId="4C39FBD1" w14:textId="77777777" w:rsidR="00BE2305" w:rsidRDefault="00BE2305" w:rsidP="00BE2305">
                              <w:pPr>
                                <w:spacing w:line="200" w:lineRule="exact"/>
                                <w:jc w:val="center"/>
                                <w:rPr>
                                  <w:sz w:val="24"/>
                                  <w:szCs w:val="24"/>
                                </w:rPr>
                              </w:pPr>
                              <w:r>
                                <w:rPr>
                                  <w:rFonts w:cs="Arial"/>
                                  <w:color w:val="000000"/>
                                  <w:kern w:val="24"/>
                                  <w:sz w:val="13"/>
                                  <w:szCs w:val="13"/>
                                </w:rPr>
                                <w:t>No additional relief</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descr="flowchart information in regard to first time adoption of tier 1 or tier 2 reporting requirements for paragraphs 18 to 18b&#10;" title="first time adoption of tier 1 or tier 2 reporting requirements"/>
                        <wps:cNvSpPr/>
                        <wps:spPr>
                          <a:xfrm>
                            <a:off x="4997071" y="5634991"/>
                            <a:ext cx="719705" cy="743535"/>
                          </a:xfrm>
                          <a:prstGeom prst="rect">
                            <a:avLst/>
                          </a:prstGeom>
                          <a:noFill/>
                          <a:ln w="9525" cap="flat" cmpd="sng" algn="ctr">
                            <a:solidFill>
                              <a:sysClr val="windowText" lastClr="000000"/>
                            </a:solidFill>
                            <a:prstDash val="solid"/>
                          </a:ln>
                          <a:effectLst/>
                        </wps:spPr>
                        <wps:txbx>
                          <w:txbxContent>
                            <w:p w14:paraId="677E63FB" w14:textId="77777777" w:rsidR="00BE2305" w:rsidRDefault="00BE2305" w:rsidP="00BE2305">
                              <w:pPr>
                                <w:spacing w:line="200" w:lineRule="exact"/>
                                <w:jc w:val="center"/>
                                <w:rPr>
                                  <w:sz w:val="24"/>
                                  <w:szCs w:val="24"/>
                                </w:rPr>
                              </w:pPr>
                              <w:r>
                                <w:rPr>
                                  <w:rFonts w:cs="Arial"/>
                                  <w:color w:val="000000"/>
                                  <w:kern w:val="24"/>
                                  <w:sz w:val="13"/>
                                  <w:szCs w:val="13"/>
                                </w:rPr>
                                <w:t>No additional relief</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 name="Text Box 2" descr="no" title="no"/>
                        <wps:cNvSpPr txBox="1">
                          <a:spLocks noChangeArrowheads="1"/>
                        </wps:cNvSpPr>
                        <wps:spPr bwMode="auto">
                          <a:xfrm>
                            <a:off x="791549" y="4120789"/>
                            <a:ext cx="354934" cy="237477"/>
                          </a:xfrm>
                          <a:prstGeom prst="rect">
                            <a:avLst/>
                          </a:prstGeom>
                          <a:noFill/>
                          <a:ln w="9525">
                            <a:noFill/>
                            <a:miter lim="800000"/>
                            <a:headEnd/>
                            <a:tailEnd/>
                          </a:ln>
                        </wps:spPr>
                        <wps:txbx>
                          <w:txbxContent>
                            <w:p w14:paraId="76CE72F7" w14:textId="77777777" w:rsidR="00BE2305" w:rsidRDefault="00BE2305" w:rsidP="00BE2305">
                              <w:pPr>
                                <w:spacing w:line="200" w:lineRule="exact"/>
                                <w:rPr>
                                  <w:sz w:val="24"/>
                                  <w:szCs w:val="24"/>
                                </w:rPr>
                              </w:pPr>
                              <w:r>
                                <w:rPr>
                                  <w:rFonts w:cs="Arial"/>
                                  <w:color w:val="000000"/>
                                  <w:kern w:val="24"/>
                                  <w:sz w:val="14"/>
                                  <w:szCs w:val="14"/>
                                </w:rPr>
                                <w:t>No</w:t>
                              </w:r>
                            </w:p>
                          </w:txbxContent>
                        </wps:txbx>
                        <wps:bodyPr rot="0" vert="horz" wrap="square" lIns="91440" tIns="45720" rIns="91440" bIns="45720" anchor="t" anchorCtr="0">
                          <a:noAutofit/>
                        </wps:bodyPr>
                      </wps:wsp>
                      <wps:wsp>
                        <wps:cNvPr id="45" name="Rectangle 45" descr="flowchart information in regard to first time adoption of tier 1 or tier 2 reporting requirements for paragraphs 18 to 18b&#10;" title="first time adoption of tier 1 or tier 2 reporting requirements"/>
                        <wps:cNvSpPr/>
                        <wps:spPr>
                          <a:xfrm>
                            <a:off x="1263442" y="4942956"/>
                            <a:ext cx="1185635" cy="512172"/>
                          </a:xfrm>
                          <a:prstGeom prst="rect">
                            <a:avLst/>
                          </a:prstGeom>
                          <a:noFill/>
                          <a:ln w="9525" cap="flat" cmpd="sng" algn="ctr">
                            <a:solidFill>
                              <a:sysClr val="windowText" lastClr="000000"/>
                            </a:solidFill>
                            <a:prstDash val="solid"/>
                          </a:ln>
                          <a:effectLst/>
                        </wps:spPr>
                        <wps:txbx>
                          <w:txbxContent>
                            <w:p w14:paraId="691D6550" w14:textId="77777777" w:rsidR="00BE2305" w:rsidRDefault="00BE2305" w:rsidP="00BE2305">
                              <w:pPr>
                                <w:jc w:val="center"/>
                                <w:rPr>
                                  <w:sz w:val="24"/>
                                  <w:szCs w:val="24"/>
                                </w:rPr>
                              </w:pPr>
                              <w:r>
                                <w:rPr>
                                  <w:rFonts w:cs="Arial"/>
                                  <w:color w:val="000000"/>
                                  <w:kern w:val="24"/>
                                  <w:sz w:val="13"/>
                                  <w:szCs w:val="13"/>
                                </w:rPr>
                                <w:t>Optional relief from distinguishing errors and changes in accounting policy</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46" name="Hexagon 46" descr="flowchart information in regard to first time adoption of tier 1 or tier 2 reporting requirements for paragraphs 18 to 18b&#10;" title="first time adoption of tier 1 or tier 2 reporting requirements"/>
                        <wps:cNvSpPr/>
                        <wps:spPr>
                          <a:xfrm>
                            <a:off x="1135523" y="5750673"/>
                            <a:ext cx="1423907" cy="512172"/>
                          </a:xfrm>
                          <a:prstGeom prst="hexagon">
                            <a:avLst/>
                          </a:prstGeom>
                          <a:noFill/>
                          <a:ln w="9525" cap="flat" cmpd="sng" algn="ctr">
                            <a:solidFill>
                              <a:sysClr val="windowText" lastClr="000000"/>
                            </a:solidFill>
                            <a:prstDash val="solid"/>
                          </a:ln>
                          <a:effectLst/>
                        </wps:spPr>
                        <wps:txbx>
                          <w:txbxContent>
                            <w:p w14:paraId="27C4AA5F" w14:textId="77777777" w:rsidR="00BE2305" w:rsidRDefault="00BE2305" w:rsidP="00BE2305">
                              <w:pPr>
                                <w:jc w:val="center"/>
                                <w:rPr>
                                  <w:sz w:val="24"/>
                                  <w:szCs w:val="24"/>
                                </w:rPr>
                              </w:pPr>
                              <w:r>
                                <w:rPr>
                                  <w:rFonts w:cs="Arial"/>
                                  <w:color w:val="000000"/>
                                  <w:kern w:val="24"/>
                                  <w:sz w:val="13"/>
                                  <w:szCs w:val="13"/>
                                </w:rPr>
                                <w:t xml:space="preserve">Is the entity adopting Tier 2 </w:t>
                              </w:r>
                              <w:r>
                                <w:rPr>
                                  <w:rFonts w:cs="Arial"/>
                                  <w:color w:val="000000"/>
                                  <w:kern w:val="24"/>
                                  <w:sz w:val="13"/>
                                  <w:szCs w:val="13"/>
                                </w:rPr>
                                <w:br/>
                                <w:t>– Simplified Disclosures for a reporting period beginning before 1 July 2021?</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47" name="Straight Arrow Connector 47" descr="arrow" title="directional arrow"/>
                        <wps:cNvCnPr>
                          <a:cxnSpLocks/>
                        </wps:cNvCnPr>
                        <wps:spPr>
                          <a:xfrm flipH="1">
                            <a:off x="2540896" y="3471677"/>
                            <a:ext cx="529411" cy="0"/>
                          </a:xfrm>
                          <a:prstGeom prst="straightConnector1">
                            <a:avLst/>
                          </a:prstGeom>
                          <a:noFill/>
                          <a:ln w="9525" cap="flat" cmpd="sng" algn="ctr">
                            <a:solidFill>
                              <a:sysClr val="windowText" lastClr="000000"/>
                            </a:solidFill>
                            <a:prstDash val="solid"/>
                            <a:tailEnd type="triangle"/>
                          </a:ln>
                          <a:effectLst/>
                        </wps:spPr>
                        <wps:bodyPr/>
                      </wps:wsp>
                      <wps:wsp>
                        <wps:cNvPr id="48" name="Hexagon 48" descr="flowchart information in regard to first time adoption of tier 1 or tier 2 reporting requirements for paragraphs 18 to 18b&#10;" title="first time adoption of tier 1 or tier 2 reporting requirements"/>
                        <wps:cNvSpPr/>
                        <wps:spPr>
                          <a:xfrm>
                            <a:off x="3149654" y="5750673"/>
                            <a:ext cx="1423907" cy="512173"/>
                          </a:xfrm>
                          <a:prstGeom prst="hexagon">
                            <a:avLst/>
                          </a:prstGeom>
                          <a:noFill/>
                          <a:ln w="9525" cap="flat" cmpd="sng" algn="ctr">
                            <a:solidFill>
                              <a:sysClr val="windowText" lastClr="000000"/>
                            </a:solidFill>
                            <a:prstDash val="solid"/>
                          </a:ln>
                          <a:effectLst/>
                        </wps:spPr>
                        <wps:txbx>
                          <w:txbxContent>
                            <w:p w14:paraId="3EC8BF1A" w14:textId="77777777" w:rsidR="00BE2305" w:rsidRDefault="00BE2305" w:rsidP="00BE2305">
                              <w:pPr>
                                <w:spacing w:line="130" w:lineRule="exact"/>
                                <w:jc w:val="center"/>
                                <w:rPr>
                                  <w:sz w:val="24"/>
                                  <w:szCs w:val="24"/>
                                </w:rPr>
                              </w:pPr>
                              <w:r>
                                <w:rPr>
                                  <w:rFonts w:cs="Arial"/>
                                  <w:color w:val="000000"/>
                                  <w:kern w:val="24"/>
                                  <w:sz w:val="13"/>
                                  <w:szCs w:val="13"/>
                                </w:rPr>
                                <w:t xml:space="preserve">Is the entity adopting Tier 2 </w:t>
                              </w:r>
                              <w:r>
                                <w:rPr>
                                  <w:rFonts w:cs="Arial"/>
                                  <w:color w:val="000000"/>
                                  <w:kern w:val="24"/>
                                  <w:sz w:val="13"/>
                                  <w:szCs w:val="13"/>
                                </w:rPr>
                                <w:br/>
                                <w:t>– Simplified Disclosures for a reporting period beginning before 1 July 2021?</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49" name="Straight Arrow Connector 49" descr="arrow" title="directional arrow"/>
                        <wps:cNvCnPr>
                          <a:cxnSpLocks/>
                        </wps:cNvCnPr>
                        <wps:spPr>
                          <a:xfrm>
                            <a:off x="3861603" y="6260009"/>
                            <a:ext cx="1" cy="297784"/>
                          </a:xfrm>
                          <a:prstGeom prst="straightConnector1">
                            <a:avLst/>
                          </a:prstGeom>
                          <a:noFill/>
                          <a:ln w="9525" cap="flat" cmpd="sng" algn="ctr">
                            <a:solidFill>
                              <a:sysClr val="windowText" lastClr="000000"/>
                            </a:solidFill>
                            <a:prstDash val="solid"/>
                            <a:tailEnd type="triangle"/>
                          </a:ln>
                          <a:effectLst/>
                        </wps:spPr>
                        <wps:bodyPr/>
                      </wps:wsp>
                      <wps:wsp>
                        <wps:cNvPr id="50" name="Straight Arrow Connector 50" descr="arrow" title="directional arrow"/>
                        <wps:cNvCnPr>
                          <a:cxnSpLocks/>
                        </wps:cNvCnPr>
                        <wps:spPr>
                          <a:xfrm>
                            <a:off x="1856260" y="4609373"/>
                            <a:ext cx="0" cy="333583"/>
                          </a:xfrm>
                          <a:prstGeom prst="straightConnector1">
                            <a:avLst/>
                          </a:prstGeom>
                          <a:noFill/>
                          <a:ln w="9525" cap="flat" cmpd="sng" algn="ctr">
                            <a:solidFill>
                              <a:sysClr val="windowText" lastClr="000000"/>
                            </a:solidFill>
                            <a:prstDash val="solid"/>
                            <a:tailEnd type="triangle"/>
                          </a:ln>
                          <a:effectLst/>
                        </wps:spPr>
                        <wps:bodyPr/>
                      </wps:wsp>
                      <wps:wsp>
                        <wps:cNvPr id="51" name="Straight Arrow Connector 51" descr="arrow" title="directional arrow"/>
                        <wps:cNvCnPr>
                          <a:cxnSpLocks/>
                        </wps:cNvCnPr>
                        <wps:spPr>
                          <a:xfrm>
                            <a:off x="1856260" y="5455128"/>
                            <a:ext cx="0" cy="296307"/>
                          </a:xfrm>
                          <a:prstGeom prst="straightConnector1">
                            <a:avLst/>
                          </a:prstGeom>
                          <a:noFill/>
                          <a:ln w="9525" cap="flat" cmpd="sng" algn="ctr">
                            <a:solidFill>
                              <a:sysClr val="windowText" lastClr="000000"/>
                            </a:solidFill>
                            <a:prstDash val="solid"/>
                            <a:tailEnd type="triangle"/>
                          </a:ln>
                          <a:effectLst/>
                        </wps:spPr>
                        <wps:bodyPr/>
                      </wps:wsp>
                      <wps:wsp>
                        <wps:cNvPr id="52" name="Straight Arrow Connector 52" descr="arrow" title="directional arrow"/>
                        <wps:cNvCnPr>
                          <a:cxnSpLocks/>
                        </wps:cNvCnPr>
                        <wps:spPr>
                          <a:xfrm flipH="1">
                            <a:off x="710048" y="6001597"/>
                            <a:ext cx="427440" cy="3441"/>
                          </a:xfrm>
                          <a:prstGeom prst="straightConnector1">
                            <a:avLst/>
                          </a:prstGeom>
                          <a:noFill/>
                          <a:ln w="9525" cap="flat" cmpd="sng" algn="ctr">
                            <a:solidFill>
                              <a:sysClr val="windowText" lastClr="000000"/>
                            </a:solidFill>
                            <a:prstDash val="solid"/>
                            <a:tailEnd type="triangle"/>
                          </a:ln>
                          <a:effectLst/>
                        </wps:spPr>
                        <wps:bodyPr/>
                      </wps:wsp>
                      <wps:wsp>
                        <wps:cNvPr id="53" name="Straight Arrow Connector 53" descr="arrow" title="directional arrow"/>
                        <wps:cNvCnPr>
                          <a:cxnSpLocks/>
                        </wps:cNvCnPr>
                        <wps:spPr>
                          <a:xfrm>
                            <a:off x="1867669" y="6275832"/>
                            <a:ext cx="0" cy="279509"/>
                          </a:xfrm>
                          <a:prstGeom prst="straightConnector1">
                            <a:avLst/>
                          </a:prstGeom>
                          <a:noFill/>
                          <a:ln w="9525" cap="flat" cmpd="sng" algn="ctr">
                            <a:solidFill>
                              <a:sysClr val="windowText" lastClr="000000"/>
                            </a:solidFill>
                            <a:prstDash val="solid"/>
                            <a:tailEnd type="triangle"/>
                          </a:ln>
                          <a:effectLst/>
                        </wps:spPr>
                        <wps:bodyPr/>
                      </wps:wsp>
                      <wps:wsp>
                        <wps:cNvPr id="54" name="Text Box 2" descr="yes" title="yes"/>
                        <wps:cNvSpPr txBox="1">
                          <a:spLocks noChangeArrowheads="1"/>
                        </wps:cNvSpPr>
                        <wps:spPr bwMode="auto">
                          <a:xfrm>
                            <a:off x="1912732" y="6289921"/>
                            <a:ext cx="405873" cy="238112"/>
                          </a:xfrm>
                          <a:prstGeom prst="rect">
                            <a:avLst/>
                          </a:prstGeom>
                          <a:noFill/>
                          <a:ln w="9525">
                            <a:noFill/>
                            <a:miter lim="800000"/>
                            <a:headEnd/>
                            <a:tailEnd/>
                          </a:ln>
                        </wps:spPr>
                        <wps:txbx>
                          <w:txbxContent>
                            <w:p w14:paraId="365811F3" w14:textId="77777777" w:rsidR="00BE2305" w:rsidRDefault="00BE2305" w:rsidP="00BE2305">
                              <w:pPr>
                                <w:spacing w:line="200" w:lineRule="exact"/>
                                <w:rPr>
                                  <w:sz w:val="24"/>
                                  <w:szCs w:val="24"/>
                                </w:rPr>
                              </w:pPr>
                              <w:r>
                                <w:rPr>
                                  <w:rFonts w:cs="Arial"/>
                                  <w:color w:val="000000"/>
                                  <w:kern w:val="24"/>
                                  <w:sz w:val="14"/>
                                  <w:szCs w:val="14"/>
                                </w:rPr>
                                <w:t>Yes</w:t>
                              </w:r>
                            </w:p>
                          </w:txbxContent>
                        </wps:txbx>
                        <wps:bodyPr rot="0" vert="horz" wrap="square" lIns="91440" tIns="45720" rIns="91440" bIns="45720" anchor="t" anchorCtr="0">
                          <a:noAutofit/>
                        </wps:bodyPr>
                      </wps:wsp>
                      <wps:wsp>
                        <wps:cNvPr id="55" name="Text Box 2" descr="yes" title="yes"/>
                        <wps:cNvSpPr txBox="1">
                          <a:spLocks noChangeArrowheads="1"/>
                        </wps:cNvSpPr>
                        <wps:spPr bwMode="auto">
                          <a:xfrm>
                            <a:off x="3851903" y="6289845"/>
                            <a:ext cx="405873" cy="238112"/>
                          </a:xfrm>
                          <a:prstGeom prst="rect">
                            <a:avLst/>
                          </a:prstGeom>
                          <a:noFill/>
                          <a:ln w="9525">
                            <a:noFill/>
                            <a:miter lim="800000"/>
                            <a:headEnd/>
                            <a:tailEnd/>
                          </a:ln>
                        </wps:spPr>
                        <wps:txbx>
                          <w:txbxContent>
                            <w:p w14:paraId="6BB57862" w14:textId="77777777" w:rsidR="00BE2305" w:rsidRDefault="00BE2305" w:rsidP="00BE2305">
                              <w:pPr>
                                <w:spacing w:line="200" w:lineRule="exact"/>
                                <w:rPr>
                                  <w:sz w:val="24"/>
                                  <w:szCs w:val="24"/>
                                </w:rPr>
                              </w:pPr>
                              <w:r>
                                <w:rPr>
                                  <w:rFonts w:cs="Arial"/>
                                  <w:color w:val="000000"/>
                                  <w:kern w:val="24"/>
                                  <w:sz w:val="14"/>
                                  <w:szCs w:val="14"/>
                                </w:rPr>
                                <w:t>Yes</w:t>
                              </w:r>
                            </w:p>
                          </w:txbxContent>
                        </wps:txbx>
                        <wps:bodyPr rot="0" vert="horz" wrap="square" lIns="91440" tIns="45720" rIns="91440" bIns="45720" anchor="t" anchorCtr="0">
                          <a:noAutofit/>
                        </wps:bodyPr>
                      </wps:wsp>
                      <wps:wsp>
                        <wps:cNvPr id="56" name="Elbow Connector 29" descr="arrows" title="directional arrows"/>
                        <wps:cNvCnPr>
                          <a:cxnSpLocks/>
                        </wps:cNvCnPr>
                        <wps:spPr>
                          <a:xfrm rot="10800000" flipV="1">
                            <a:off x="356007" y="4349847"/>
                            <a:ext cx="810226" cy="1285144"/>
                          </a:xfrm>
                          <a:prstGeom prst="bentConnector2">
                            <a:avLst/>
                          </a:prstGeom>
                          <a:noFill/>
                          <a:ln w="9525" cap="flat" cmpd="sng" algn="ctr">
                            <a:solidFill>
                              <a:sysClr val="windowText" lastClr="000000"/>
                            </a:solidFill>
                            <a:prstDash val="solid"/>
                            <a:tailEnd type="triangle"/>
                          </a:ln>
                          <a:effectLst/>
                        </wps:spPr>
                        <wps:bodyPr/>
                      </wps:wsp>
                      <wps:wsp>
                        <wps:cNvPr id="57" name="Text Box 2" descr="no" title="no"/>
                        <wps:cNvSpPr txBox="1">
                          <a:spLocks noChangeArrowheads="1"/>
                        </wps:cNvSpPr>
                        <wps:spPr bwMode="auto">
                          <a:xfrm>
                            <a:off x="4586982" y="5800345"/>
                            <a:ext cx="354934" cy="237477"/>
                          </a:xfrm>
                          <a:prstGeom prst="rect">
                            <a:avLst/>
                          </a:prstGeom>
                          <a:noFill/>
                          <a:ln w="9525">
                            <a:noFill/>
                            <a:miter lim="800000"/>
                            <a:headEnd/>
                            <a:tailEnd/>
                          </a:ln>
                        </wps:spPr>
                        <wps:txbx>
                          <w:txbxContent>
                            <w:p w14:paraId="2BD83107" w14:textId="77777777" w:rsidR="00BE2305" w:rsidRDefault="00BE2305" w:rsidP="00BE2305">
                              <w:pPr>
                                <w:spacing w:line="200" w:lineRule="exact"/>
                                <w:rPr>
                                  <w:sz w:val="24"/>
                                  <w:szCs w:val="24"/>
                                </w:rPr>
                              </w:pPr>
                              <w:r>
                                <w:rPr>
                                  <w:rFonts w:cs="Arial"/>
                                  <w:color w:val="000000"/>
                                  <w:kern w:val="24"/>
                                  <w:sz w:val="14"/>
                                  <w:szCs w:val="14"/>
                                </w:rPr>
                                <w:t>No</w:t>
                              </w:r>
                            </w:p>
                          </w:txbxContent>
                        </wps:txbx>
                        <wps:bodyPr rot="0" vert="horz" wrap="square" lIns="91440" tIns="45720" rIns="91440" bIns="45720" anchor="t" anchorCtr="0">
                          <a:noAutofit/>
                        </wps:bodyPr>
                      </wps:wsp>
                      <wps:wsp>
                        <wps:cNvPr id="58" name="Straight Arrow Connector 58" descr="arrow" title="directional arrow"/>
                        <wps:cNvCnPr>
                          <a:cxnSpLocks/>
                        </wps:cNvCnPr>
                        <wps:spPr>
                          <a:xfrm>
                            <a:off x="3861604" y="4589058"/>
                            <a:ext cx="0" cy="1161615"/>
                          </a:xfrm>
                          <a:prstGeom prst="straightConnector1">
                            <a:avLst/>
                          </a:prstGeom>
                          <a:noFill/>
                          <a:ln w="9525" cap="flat" cmpd="sng" algn="ctr">
                            <a:solidFill>
                              <a:sysClr val="windowText" lastClr="000000"/>
                            </a:solidFill>
                            <a:prstDash val="solid"/>
                            <a:tailEnd type="triangle"/>
                          </a:ln>
                          <a:effectLst/>
                        </wps:spPr>
                        <wps:bodyPr/>
                      </wps:wsp>
                      <wps:wsp>
                        <wps:cNvPr id="59" name="Straight Arrow Connector 59" descr="arrow" title="directional arrow"/>
                        <wps:cNvCnPr>
                          <a:cxnSpLocks/>
                        </wps:cNvCnPr>
                        <wps:spPr>
                          <a:xfrm>
                            <a:off x="3861604" y="3773663"/>
                            <a:ext cx="0" cy="303223"/>
                          </a:xfrm>
                          <a:prstGeom prst="straightConnector1">
                            <a:avLst/>
                          </a:prstGeom>
                          <a:noFill/>
                          <a:ln w="9525" cap="flat" cmpd="sng" algn="ctr">
                            <a:solidFill>
                              <a:sysClr val="windowText" lastClr="000000"/>
                            </a:solidFill>
                            <a:prstDash val="solid"/>
                            <a:tailEnd type="triangle"/>
                          </a:ln>
                          <a:effectLst/>
                        </wps:spPr>
                        <wps:bodyPr/>
                      </wps:wsp>
                      <wps:wsp>
                        <wps:cNvPr id="60" name="Text Box 2" descr="no" title="no"/>
                        <wps:cNvSpPr txBox="1">
                          <a:spLocks noChangeArrowheads="1"/>
                        </wps:cNvSpPr>
                        <wps:spPr bwMode="auto">
                          <a:xfrm>
                            <a:off x="798157" y="5751622"/>
                            <a:ext cx="354934" cy="237477"/>
                          </a:xfrm>
                          <a:prstGeom prst="rect">
                            <a:avLst/>
                          </a:prstGeom>
                          <a:noFill/>
                          <a:ln w="9525">
                            <a:noFill/>
                            <a:miter lim="800000"/>
                            <a:headEnd/>
                            <a:tailEnd/>
                          </a:ln>
                        </wps:spPr>
                        <wps:txbx>
                          <w:txbxContent>
                            <w:p w14:paraId="1FDDA2E6" w14:textId="77777777" w:rsidR="00BE2305" w:rsidRDefault="00BE2305" w:rsidP="00BE2305">
                              <w:pPr>
                                <w:spacing w:line="200" w:lineRule="exact"/>
                                <w:rPr>
                                  <w:sz w:val="24"/>
                                  <w:szCs w:val="24"/>
                                </w:rPr>
                              </w:pPr>
                              <w:r>
                                <w:rPr>
                                  <w:rFonts w:cs="Arial"/>
                                  <w:color w:val="000000"/>
                                  <w:kern w:val="24"/>
                                  <w:sz w:val="14"/>
                                  <w:szCs w:val="14"/>
                                </w:rPr>
                                <w:t>No</w:t>
                              </w:r>
                            </w:p>
                          </w:txbxContent>
                        </wps:txbx>
                        <wps:bodyPr rot="0" vert="horz" wrap="square" lIns="91440" tIns="45720" rIns="91440" bIns="45720" anchor="t" anchorCtr="0">
                          <a:noAutofit/>
                        </wps:bodyPr>
                      </wps:wsp>
                      <wps:wsp>
                        <wps:cNvPr id="61" name="Straight Arrow Connector 61" descr="arrow" title="directional arrow"/>
                        <wps:cNvCnPr>
                          <a:cxnSpLocks/>
                        </wps:cNvCnPr>
                        <wps:spPr>
                          <a:xfrm flipV="1">
                            <a:off x="4573561" y="6006759"/>
                            <a:ext cx="423510" cy="1"/>
                          </a:xfrm>
                          <a:prstGeom prst="straightConnector1">
                            <a:avLst/>
                          </a:prstGeom>
                          <a:noFill/>
                          <a:ln w="9525" cap="flat" cmpd="sng" algn="ctr">
                            <a:solidFill>
                              <a:sysClr val="windowText" lastClr="000000"/>
                            </a:solidFill>
                            <a:prstDash val="solid"/>
                            <a:tailEnd type="triangle"/>
                          </a:ln>
                          <a:effectLst/>
                        </wps:spPr>
                        <wps:bodyPr/>
                      </wps:wsp>
                    </wpg:wgp>
                  </a:graphicData>
                </a:graphic>
              </wp:inline>
            </w:drawing>
          </mc:Choice>
          <mc:Fallback>
            <w:pict>
              <v:group w14:anchorId="45D75FE8" id="Group 6" o:spid="_x0000_s1026" alt="Chart 1: First-time Adoption of Tier 1 or Tier 2 Reporting Requirements (paragraphs 18−18D)" style="width:450.1pt;height:571.75pt;mso-position-horizontal-relative:char;mso-position-vertical-relative:line" coordsize="57167,72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">
                <v:rect id="Rectangle 6" o:spid="_x0000_s1027" style="position:absolute;left:5616;width:32306;height:44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v:rect id="Rectangle 9" o:spid="_x0000_s1028" alt="flowchart information in regard to first time adoption of tier 1 or tier 2 reporting requirements for paragraphs 18 to 18b" style="position:absolute;left:12634;top:341;width:10699;height:43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" filled="f" strokecolor="windowText">
                  <v:textbox>
                    <w:txbxContent>
                      <w:p w14:paraId="66F40273" w14:textId="77777777" w:rsidR="00BE2305" w:rsidRDefault="00BE2305" w:rsidP="00BE2305">
                        <w:pPr>
                          <w:spacing w:line="130" w:lineRule="exact"/>
                          <w:jc w:val="center"/>
                          <w:rPr>
                            <w:sz w:val="24"/>
                            <w:szCs w:val="24"/>
                          </w:rPr>
                        </w:pPr>
                        <w:r>
                          <w:rPr>
                            <w:rFonts w:cs="Arial"/>
                            <w:color w:val="000000"/>
                            <w:kern w:val="24"/>
                            <w:sz w:val="13"/>
                            <w:szCs w:val="13"/>
                          </w:rPr>
                          <w:t>Transitioning from special purpose financial statements to Tier 1 or Tier 2 for the first time</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1" o:spid="_x0000_s1029" type="#_x0000_t34" alt="arrows" style="position:absolute;left:16886;top:5777;width:2245;height: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" strokecolor="windowText">
                  <v:stroke endarrow="block"/>
                  <o:lock v:ext="edit" shapetype="f"/>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5" o:spid="_x0000_s1030" type="#_x0000_t9" alt="flowchart information in regard to first time adoption of tier 1 or tier 2 reporting requirements for paragraphs 18 to 18b&#10;" style="position:absolute;left:12487;top:6913;width:10699;height:4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" adj="2394" filled="f" strokecolor="windowText">
                  <v:textbox inset="1mm,0,1mm,0">
                    <w:txbxContent>
                      <w:p w14:paraId="3A0EE6B2" w14:textId="77777777" w:rsidR="00BE2305" w:rsidRDefault="00BE2305" w:rsidP="00BE2305">
                        <w:pPr>
                          <w:spacing w:line="130" w:lineRule="exact"/>
                          <w:jc w:val="center"/>
                          <w:rPr>
                            <w:sz w:val="24"/>
                            <w:szCs w:val="24"/>
                          </w:rPr>
                        </w:pPr>
                        <w:r>
                          <w:rPr>
                            <w:rFonts w:cs="Arial"/>
                            <w:color w:val="000000"/>
                            <w:kern w:val="24"/>
                            <w:sz w:val="13"/>
                            <w:szCs w:val="13"/>
                          </w:rPr>
                          <w:t>Is the entity adopting Tier 1 requirements?</w:t>
                        </w:r>
                      </w:p>
                    </w:txbxContent>
                  </v:textbox>
                </v:shape>
                <v:shape id="Elbow Connector 18" o:spid="_x0000_s1031" type="#_x0000_t34" alt="arrows" style="position:absolute;left:16666;top:13070;width:2685;height: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" strokecolor="windowText">
                  <v:stroke endarrow="block"/>
                </v:shape>
                <v:shapetype id="_x0000_t202" coordsize="21600,21600" o:spt="202" path="m,l,21600r21600,l21600,xe">
                  <v:stroke joinstyle="miter"/>
                  <v:path gradientshapeok="t" o:connecttype="rect"/>
                </v:shapetype>
                <v:shape id="_x0000_s1032" type="#_x0000_t202" alt="no" style="position:absolute;left:19151;top:11962;width:355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68B50A3C" w14:textId="77777777" w:rsidR="00BE2305" w:rsidRDefault="00BE2305" w:rsidP="00BE2305">
                        <w:pPr>
                          <w:spacing w:line="200" w:lineRule="exact"/>
                          <w:rPr>
                            <w:sz w:val="24"/>
                            <w:szCs w:val="24"/>
                          </w:rPr>
                        </w:pPr>
                        <w:r>
                          <w:rPr>
                            <w:rFonts w:cs="Arial"/>
                            <w:color w:val="000000"/>
                            <w:kern w:val="24"/>
                            <w:sz w:val="14"/>
                            <w:szCs w:val="14"/>
                          </w:rPr>
                          <w:t>No</w:t>
                        </w:r>
                      </w:p>
                    </w:txbxContent>
                  </v:textbox>
                </v:shape>
                <v:rect id="Rectangle 22" o:spid="_x0000_s1033" alt="flowchart information in regard to first time adoption of tier 1 or tier 2 reporting requirements for paragraphs 18 to 18b&#10;" style="position:absolute;left:13380;top:14343;width:9321;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" filled="f" strokecolor="windowText">
                  <v:textbox>
                    <w:txbxContent>
                      <w:p w14:paraId="04569C42" w14:textId="77777777" w:rsidR="00BE2305" w:rsidRDefault="00BE2305" w:rsidP="00BE2305">
                        <w:pPr>
                          <w:jc w:val="center"/>
                          <w:rPr>
                            <w:sz w:val="24"/>
                            <w:szCs w:val="24"/>
                          </w:rPr>
                        </w:pPr>
                        <w:r>
                          <w:rPr>
                            <w:rFonts w:cs="Arial"/>
                            <w:color w:val="000000"/>
                            <w:kern w:val="24"/>
                            <w:sz w:val="13"/>
                            <w:szCs w:val="13"/>
                          </w:rPr>
                          <w:t>Adoption of Tier 2 requirements</w:t>
                        </w:r>
                      </w:p>
                    </w:txbxContent>
                  </v:textbox>
                </v:rect>
                <v:shapetype id="_x0000_t33" coordsize="21600,21600" o:spt="33" o:oned="t" path="m,l21600,r,21600e" filled="f">
                  <v:stroke joinstyle="miter"/>
                  <v:path arrowok="t" fillok="f" o:connecttype="none"/>
                  <o:lock v:ext="edit" shapetype="t"/>
                </v:shapetype>
                <v:shape id="Elbow Connector 23" o:spid="_x0000_s1034" type="#_x0000_t33" alt="arrows" style="position:absolute;left:3598;top:9349;width:8889;height:4964;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" strokecolor="windowText">
                  <v:stroke endarrow="block"/>
                  <o:lock v:ext="edit" shapetype="f"/>
                </v:shape>
                <v:shape id="_x0000_s1035" type="#_x0000_t202" alt="yes" style="position:absolute;left:9314;top:6886;width:3621;height:2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09B53824" w14:textId="77777777" w:rsidR="00BE2305" w:rsidRDefault="00BE2305" w:rsidP="00BE2305">
                        <w:pPr>
                          <w:spacing w:line="200" w:lineRule="exact"/>
                          <w:rPr>
                            <w:sz w:val="24"/>
                            <w:szCs w:val="24"/>
                          </w:rPr>
                        </w:pPr>
                        <w:r>
                          <w:rPr>
                            <w:rFonts w:cs="Arial"/>
                            <w:color w:val="000000"/>
                            <w:kern w:val="24"/>
                            <w:sz w:val="14"/>
                            <w:szCs w:val="14"/>
                          </w:rPr>
                          <w:t>Yes</w:t>
                        </w:r>
                      </w:p>
                    </w:txbxContent>
                  </v:textbox>
                </v:shape>
                <v:rect id="Rectangle 25" o:spid="_x0000_s1036" alt="flowchart information in regard to first time adoption of tier 1 or tier 2 reporting requirements for paragraphs 18 to 18b&#10;" style="position:absolute;top:14313;width:7197;height:7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" filled="f" strokecolor="windowText">
                  <v:textbox>
                    <w:txbxContent>
                      <w:p w14:paraId="08377E58" w14:textId="77777777" w:rsidR="00BE2305" w:rsidRDefault="00BE2305" w:rsidP="00BE2305">
                        <w:pPr>
                          <w:jc w:val="center"/>
                          <w:rPr>
                            <w:sz w:val="24"/>
                            <w:szCs w:val="24"/>
                          </w:rPr>
                        </w:pPr>
                        <w:r>
                          <w:rPr>
                            <w:rFonts w:cs="Arial"/>
                            <w:color w:val="000000"/>
                            <w:kern w:val="24"/>
                            <w:sz w:val="13"/>
                            <w:szCs w:val="13"/>
                          </w:rPr>
                          <w:t xml:space="preserve">Apply AASB 1 </w:t>
                        </w:r>
                      </w:p>
                    </w:txbxContent>
                  </v:textbox>
                </v:rect>
                <v:shapetype id="_x0000_t32" coordsize="21600,21600" o:spt="32" o:oned="t" path="m,l21600,21600e" filled="f">
                  <v:path arrowok="t" fillok="f" o:connecttype="none"/>
                  <o:lock v:ext="edit" shapetype="t"/>
                </v:shapetype>
                <v:shape id="Straight Arrow Connector 26" o:spid="_x0000_s1037" type="#_x0000_t32" alt="arrow" style="position:absolute;left:18597;top:37909;width:0;height:30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" strokecolor="windowText">
                  <v:stroke endarrow="block"/>
                  <o:lock v:ext="edit" shapetype="f"/>
                </v:shape>
                <v:shape id="Hexagon 27" o:spid="_x0000_s1038" type="#_x0000_t9" alt="flowchart information in regard to first time adoption of tier 1 or tier 2 reporting requirements for paragraphs 18 to 18b&#10;" style="position:absolute;left:12936;top:19995;width:10443;height:8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" adj="4420" filled="f" strokecolor="windowText">
                  <v:textbox inset="0,0,0,0">
                    <w:txbxContent>
                      <w:p w14:paraId="53F6B176" w14:textId="77777777" w:rsidR="00BE2305" w:rsidRDefault="00BE2305" w:rsidP="00BE2305">
                        <w:pPr>
                          <w:spacing w:line="130" w:lineRule="exact"/>
                          <w:jc w:val="center"/>
                          <w:rPr>
                            <w:sz w:val="24"/>
                            <w:szCs w:val="24"/>
                          </w:rPr>
                        </w:pPr>
                        <w:r>
                          <w:rPr>
                            <w:rFonts w:cs="Arial"/>
                            <w:color w:val="000000"/>
                            <w:kern w:val="24"/>
                            <w:sz w:val="13"/>
                            <w:szCs w:val="13"/>
                          </w:rPr>
                          <w:t>Did the entity apply all applicable R&amp;M requirements in its most recent financial statements, including AASB 10 if a parent?</w:t>
                        </w:r>
                      </w:p>
                    </w:txbxContent>
                  </v:textbox>
                </v:shape>
                <v:shape id="Elbow Connector 28" o:spid="_x0000_s1039" type="#_x0000_t34" alt="arrows" style="position:absolute;left:23379;top:24269;width:15051;height:734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" adj="21553" strokecolor="windowText">
                  <v:stroke endarrow="block"/>
                  <o:lock v:ext="edit" shapetype="f"/>
                </v:shape>
                <v:shape id="_x0000_s1040" type="#_x0000_t202" alt="yes" style="position:absolute;left:23379;top:21929;width:4059;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3A02DE40" w14:textId="77777777" w:rsidR="00BE2305" w:rsidRDefault="00BE2305" w:rsidP="00BE2305">
                        <w:pPr>
                          <w:spacing w:line="200" w:lineRule="exact"/>
                          <w:rPr>
                            <w:sz w:val="24"/>
                            <w:szCs w:val="24"/>
                          </w:rPr>
                        </w:pPr>
                        <w:r>
                          <w:rPr>
                            <w:rFonts w:cs="Arial"/>
                            <w:color w:val="000000"/>
                            <w:kern w:val="24"/>
                            <w:sz w:val="14"/>
                            <w:szCs w:val="14"/>
                          </w:rPr>
                          <w:t>Yes</w:t>
                        </w:r>
                      </w:p>
                    </w:txbxContent>
                  </v:textbox>
                </v:shape>
                <v:rect id="Rectangle 30" o:spid="_x0000_s1041" alt="flowchart information in regard to first time adoption of tier 1 or tier 2 reporting requirements for paragraphs 18 to 18b&#10;" style="position:absolute;left:31496;top:40768;width:14239;height:5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" filled="f" strokecolor="windowText">
                  <v:textbox inset="1mm,,1mm">
                    <w:txbxContent>
                      <w:p w14:paraId="1B1503AF" w14:textId="77777777" w:rsidR="00BE2305" w:rsidRDefault="00BE2305" w:rsidP="00BE2305">
                        <w:pPr>
                          <w:jc w:val="center"/>
                          <w:rPr>
                            <w:sz w:val="24"/>
                            <w:szCs w:val="24"/>
                          </w:rPr>
                        </w:pPr>
                        <w:r>
                          <w:rPr>
                            <w:rFonts w:cs="Arial"/>
                            <w:color w:val="000000"/>
                            <w:kern w:val="24"/>
                            <w:sz w:val="13"/>
                            <w:szCs w:val="13"/>
                          </w:rPr>
                          <w:t xml:space="preserve">Do not apply AASB 1 – continue applying applicable R&amp;M requirements </w:t>
                        </w:r>
                      </w:p>
                    </w:txbxContent>
                  </v:textbox>
                </v:rect>
                <v:shape id="Elbow Connector 24" o:spid="_x0000_s1042" type="#_x0000_t34" alt="arrows" style="position:absolute;left:16706;top:30186;width:3255;height: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" strokecolor="windowText">
                  <v:stroke endarrow="block"/>
                </v:shape>
                <v:shape id="_x0000_s1043" type="#_x0000_t202" alt="no" style="position:absolute;left:19151;top:28760;width:3549;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103B2087" w14:textId="77777777" w:rsidR="00BE2305" w:rsidRDefault="00BE2305" w:rsidP="00BE2305">
                        <w:pPr>
                          <w:spacing w:line="200" w:lineRule="exact"/>
                          <w:rPr>
                            <w:sz w:val="24"/>
                            <w:szCs w:val="24"/>
                          </w:rPr>
                        </w:pPr>
                        <w:r>
                          <w:rPr>
                            <w:rFonts w:cs="Arial"/>
                            <w:color w:val="000000"/>
                            <w:kern w:val="24"/>
                            <w:sz w:val="14"/>
                            <w:szCs w:val="14"/>
                          </w:rPr>
                          <w:t>No</w:t>
                        </w:r>
                      </w:p>
                    </w:txbxContent>
                  </v:textbox>
                </v:shape>
                <v:rect id="Rectangle 33" o:spid="_x0000_s1044" alt="flowchart information in regard to first time adoption of tier 1 or tier 2 reporting requirements for paragraphs 18 to 18b&#10;" style="position:absolute;left:11662;top:31859;width:13870;height:6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" filled="f" strokecolor="windowText">
                  <v:textbox inset="1mm,,1mm">
                    <w:txbxContent>
                      <w:p w14:paraId="475B8740" w14:textId="1CE376C9" w:rsidR="00BE2305" w:rsidRDefault="00BE2305" w:rsidP="00BE2305">
                        <w:pPr>
                          <w:jc w:val="center"/>
                          <w:rPr>
                            <w:sz w:val="24"/>
                            <w:szCs w:val="24"/>
                          </w:rPr>
                        </w:pPr>
                        <w:r>
                          <w:rPr>
                            <w:rFonts w:cs="Arial"/>
                            <w:color w:val="000000"/>
                            <w:kern w:val="24"/>
                            <w:sz w:val="13"/>
                            <w:szCs w:val="13"/>
                          </w:rPr>
                          <w:t>Apply AASB 1 and AASB 1060 paragraphs 206</w:t>
                        </w:r>
                        <w:r w:rsidR="004C3E34">
                          <w:rPr>
                            <w:color w:val="000000"/>
                            <w:kern w:val="24"/>
                            <w:sz w:val="13"/>
                            <w:szCs w:val="13"/>
                          </w:rPr>
                          <w:t>−</w:t>
                        </w:r>
                        <w:r>
                          <w:rPr>
                            <w:rFonts w:cs="Arial"/>
                            <w:color w:val="000000"/>
                            <w:kern w:val="24"/>
                            <w:sz w:val="13"/>
                            <w:szCs w:val="13"/>
                          </w:rPr>
                          <w:t>213 disclosures or apply AASB 108 and AASB 10</w:t>
                        </w:r>
                        <w:r w:rsidR="00C31C4C">
                          <w:rPr>
                            <w:rFonts w:cs="Arial"/>
                            <w:color w:val="000000"/>
                            <w:kern w:val="24"/>
                            <w:sz w:val="13"/>
                            <w:szCs w:val="13"/>
                          </w:rPr>
                          <w:t>60</w:t>
                        </w:r>
                        <w:r>
                          <w:rPr>
                            <w:rFonts w:cs="Arial"/>
                            <w:color w:val="000000"/>
                            <w:kern w:val="24"/>
                            <w:sz w:val="13"/>
                            <w:szCs w:val="13"/>
                          </w:rPr>
                          <w:t xml:space="preserve"> paragraphs 106</w:t>
                        </w:r>
                        <w:r w:rsidR="004C3E34">
                          <w:rPr>
                            <w:color w:val="000000"/>
                            <w:kern w:val="24"/>
                            <w:sz w:val="13"/>
                            <w:szCs w:val="13"/>
                          </w:rPr>
                          <w:t>−</w:t>
                        </w:r>
                        <w:r>
                          <w:rPr>
                            <w:rFonts w:cs="Arial"/>
                            <w:color w:val="000000"/>
                            <w:kern w:val="24"/>
                            <w:sz w:val="13"/>
                            <w:szCs w:val="13"/>
                          </w:rPr>
                          <w:t>110 disclosures</w:t>
                        </w:r>
                      </w:p>
                    </w:txbxContent>
                  </v:textbox>
                </v:rect>
                <v:shape id="Hexagon 34" o:spid="_x0000_s1045" type="#_x0000_t9" alt="flowchart information in regard to first time adoption of tier 1 or tier 2 reporting requirements for paragraphs 18 to 18b&#10;" style="position:absolute;left:11662;top:40937;width:13870;height:5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" adj="1994" filled="f" strokecolor="windowText">
                  <v:textbox inset="1mm,0,1mm,0">
                    <w:txbxContent>
                      <w:p w14:paraId="1D608289" w14:textId="77777777" w:rsidR="00BE2305" w:rsidRDefault="00BE2305" w:rsidP="00BE2305">
                        <w:pPr>
                          <w:spacing w:line="130" w:lineRule="exact"/>
                          <w:jc w:val="center"/>
                          <w:rPr>
                            <w:sz w:val="24"/>
                            <w:szCs w:val="24"/>
                          </w:rPr>
                        </w:pPr>
                        <w:r>
                          <w:rPr>
                            <w:rFonts w:cs="Arial"/>
                            <w:color w:val="000000"/>
                            <w:kern w:val="24"/>
                            <w:sz w:val="13"/>
                            <w:szCs w:val="13"/>
                          </w:rPr>
                          <w:t xml:space="preserve">Is the entity adopting Tier 2 </w:t>
                        </w:r>
                        <w:r>
                          <w:rPr>
                            <w:rFonts w:cs="Arial"/>
                            <w:color w:val="000000"/>
                            <w:kern w:val="24"/>
                            <w:sz w:val="13"/>
                            <w:szCs w:val="13"/>
                          </w:rPr>
                          <w:br/>
                          <w:t>– Simplified Disclosures for a reporting period beginning before 1 July 2022?</w:t>
                        </w:r>
                      </w:p>
                    </w:txbxContent>
                  </v:textbox>
                </v:shape>
                <v:rect id="Rectangle 35" o:spid="_x0000_s1046" alt="flowchart information in regard to first time adoption of tier 1 or tier 2 reporting requirements for paragraphs 18 to 18b&#10;" style="position:absolute;left:11662;top:65683;width:15162;height:6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" filled="f" strokecolor="windowText">
                  <v:textbox inset="1mm,,1mm">
                    <w:txbxContent>
                      <w:p w14:paraId="1A7C84E8" w14:textId="77777777" w:rsidR="00BE2305" w:rsidRDefault="00BE2305" w:rsidP="00BE2305">
                        <w:pPr>
                          <w:rPr>
                            <w:sz w:val="24"/>
                            <w:szCs w:val="24"/>
                          </w:rPr>
                        </w:pPr>
                        <w:r>
                          <w:rPr>
                            <w:rFonts w:cs="Arial"/>
                            <w:color w:val="000000"/>
                            <w:kern w:val="24"/>
                            <w:sz w:val="13"/>
                            <w:szCs w:val="13"/>
                          </w:rPr>
                          <w:t xml:space="preserve">   Additional optional relief from:</w:t>
                        </w:r>
                      </w:p>
                      <w:p w14:paraId="36038888" w14:textId="77777777" w:rsidR="00BE2305" w:rsidRDefault="00BE2305" w:rsidP="00BE2305">
                        <w:pPr>
                          <w:tabs>
                            <w:tab w:val="left" w:pos="360"/>
                          </w:tabs>
                        </w:pPr>
                        <w:r>
                          <w:rPr>
                            <w:rFonts w:cs="Arial"/>
                            <w:color w:val="000000"/>
                            <w:kern w:val="24"/>
                            <w:sz w:val="13"/>
                            <w:szCs w:val="13"/>
                          </w:rPr>
                          <w:t xml:space="preserve">   </w:t>
                        </w:r>
                        <w:proofErr w:type="gramStart"/>
                        <w:r>
                          <w:rPr>
                            <w:rFonts w:cs="Arial"/>
                            <w:color w:val="000000"/>
                            <w:kern w:val="24"/>
                            <w:sz w:val="13"/>
                            <w:szCs w:val="13"/>
                          </w:rPr>
                          <w:t xml:space="preserve">●  </w:t>
                        </w:r>
                        <w:r>
                          <w:rPr>
                            <w:rFonts w:cs="Arial"/>
                            <w:color w:val="000000"/>
                            <w:kern w:val="24"/>
                            <w:sz w:val="13"/>
                            <w:szCs w:val="13"/>
                          </w:rPr>
                          <w:tab/>
                        </w:r>
                        <w:proofErr w:type="gramEnd"/>
                        <w:r>
                          <w:rPr>
                            <w:rFonts w:cs="Arial"/>
                            <w:color w:val="000000"/>
                            <w:kern w:val="24"/>
                            <w:sz w:val="13"/>
                            <w:szCs w:val="13"/>
                          </w:rPr>
                          <w:t>Restating comparative information</w:t>
                        </w:r>
                      </w:p>
                      <w:p w14:paraId="4099917D" w14:textId="77777777" w:rsidR="00BE2305" w:rsidRDefault="00BE2305" w:rsidP="00BE2305">
                        <w:pPr>
                          <w:tabs>
                            <w:tab w:val="left" w:pos="360"/>
                          </w:tabs>
                        </w:pPr>
                        <w:r>
                          <w:rPr>
                            <w:rFonts w:cs="Arial"/>
                            <w:color w:val="000000"/>
                            <w:kern w:val="24"/>
                            <w:sz w:val="13"/>
                            <w:szCs w:val="13"/>
                          </w:rPr>
                          <w:t xml:space="preserve">   ●</w:t>
                        </w:r>
                        <w:r>
                          <w:rPr>
                            <w:rFonts w:cs="Arial"/>
                            <w:color w:val="000000"/>
                            <w:kern w:val="24"/>
                            <w:sz w:val="13"/>
                            <w:szCs w:val="13"/>
                          </w:rPr>
                          <w:tab/>
                          <w:t xml:space="preserve">Providing comparative information </w:t>
                        </w:r>
                        <w:r>
                          <w:rPr>
                            <w:rFonts w:cs="Arial"/>
                            <w:color w:val="000000"/>
                            <w:kern w:val="24"/>
                            <w:sz w:val="13"/>
                            <w:szCs w:val="13"/>
                          </w:rPr>
                          <w:tab/>
                          <w:t>for new disclosures</w:t>
                        </w:r>
                      </w:p>
                      <w:p w14:paraId="5E6F3835" w14:textId="77777777" w:rsidR="00BE2305" w:rsidRDefault="00BE2305" w:rsidP="00BE2305">
                        <w:pPr>
                          <w:jc w:val="center"/>
                        </w:pPr>
                        <w:r>
                          <w:rPr>
                            <w:rFonts w:cs="Arial"/>
                            <w:color w:val="000000"/>
                            <w:kern w:val="24"/>
                            <w:sz w:val="13"/>
                            <w:szCs w:val="13"/>
                          </w:rPr>
                          <w:t>(See Appendix E)</w:t>
                        </w:r>
                      </w:p>
                    </w:txbxContent>
                  </v:textbox>
                </v:rect>
                <v:rect id="Rectangle 36" o:spid="_x0000_s1047" alt="flowchart information in regard to first time adoption of tier 1 or tier 2 reporting requirements for paragraphs 18 to 18b&#10;" style="position:absolute;left:31760;top:65683;width:14239;height:6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" filled="f" strokecolor="windowText">
                  <v:textbox inset="1mm,,1mm">
                    <w:txbxContent>
                      <w:p w14:paraId="6BCC3440" w14:textId="77777777" w:rsidR="00BE2305" w:rsidRDefault="00BE2305" w:rsidP="00BE2305">
                        <w:pPr>
                          <w:jc w:val="center"/>
                          <w:rPr>
                            <w:sz w:val="24"/>
                            <w:szCs w:val="24"/>
                          </w:rPr>
                        </w:pPr>
                        <w:r>
                          <w:rPr>
                            <w:rFonts w:cs="Arial"/>
                            <w:color w:val="000000"/>
                            <w:kern w:val="24"/>
                            <w:sz w:val="13"/>
                            <w:szCs w:val="13"/>
                          </w:rPr>
                          <w:t>Additional optional relief available from providing comparative information for new disclosures</w:t>
                        </w:r>
                        <w:r>
                          <w:rPr>
                            <w:rFonts w:cs="Arial"/>
                            <w:color w:val="000000"/>
                            <w:kern w:val="24"/>
                            <w:sz w:val="13"/>
                            <w:szCs w:val="13"/>
                          </w:rPr>
                          <w:br/>
                          <w:t>(See Appendix E)</w:t>
                        </w:r>
                      </w:p>
                    </w:txbxContent>
                  </v:textbox>
                </v:rect>
                <v:shape id="Elbow Connector 18" o:spid="_x0000_s1048" type="#_x0000_t34" alt="arrows" style="position:absolute;left:16698;top:18671;width:2685;height: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" strokecolor="windowText">
                  <v:stroke endarrow="block"/>
                </v:shape>
                <v:shape id="_x0000_s1049" type="#_x0000_t202" alt="yes" style="position:absolute;left:18658;top:46611;width:4059;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13FD63C7" w14:textId="77777777" w:rsidR="00BE2305" w:rsidRDefault="00BE2305" w:rsidP="00BE2305">
                        <w:pPr>
                          <w:spacing w:line="200" w:lineRule="exact"/>
                          <w:rPr>
                            <w:sz w:val="24"/>
                            <w:szCs w:val="24"/>
                          </w:rPr>
                        </w:pPr>
                        <w:r>
                          <w:rPr>
                            <w:rFonts w:cs="Arial"/>
                            <w:color w:val="000000"/>
                            <w:kern w:val="24"/>
                            <w:sz w:val="14"/>
                            <w:szCs w:val="14"/>
                          </w:rPr>
                          <w:t>Yes</w:t>
                        </w:r>
                      </w:p>
                    </w:txbxContent>
                  </v:textbox>
                </v:shape>
                <v:shape id="_x0000_s1050" type="#_x0000_t202" alt="yes" style="position:absolute;left:26963;top:32002;width:405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7AE98BC0" w14:textId="77777777" w:rsidR="00BE2305" w:rsidRDefault="00BE2305" w:rsidP="00BE2305">
                        <w:pPr>
                          <w:spacing w:line="200" w:lineRule="exact"/>
                          <w:rPr>
                            <w:sz w:val="24"/>
                            <w:szCs w:val="24"/>
                          </w:rPr>
                        </w:pPr>
                        <w:r>
                          <w:rPr>
                            <w:rFonts w:cs="Arial"/>
                            <w:color w:val="000000"/>
                            <w:kern w:val="24"/>
                            <w:sz w:val="14"/>
                            <w:szCs w:val="14"/>
                          </w:rPr>
                          <w:t>Yes</w:t>
                        </w:r>
                      </w:p>
                    </w:txbxContent>
                  </v:textbox>
                </v:shape>
                <v:shape id="_x0000_s1051" type="#_x0000_t202" alt="no" style="position:absolute;left:38880;top:37493;width:7238;height:3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6CA3495F" w14:textId="1E82A226" w:rsidR="00BE2305" w:rsidRDefault="00BE2305" w:rsidP="00BE2305">
                        <w:pPr>
                          <w:spacing w:line="200" w:lineRule="exact"/>
                          <w:jc w:val="left"/>
                          <w:rPr>
                            <w:sz w:val="24"/>
                            <w:szCs w:val="24"/>
                          </w:rPr>
                        </w:pPr>
                        <w:r>
                          <w:rPr>
                            <w:rFonts w:cs="Arial"/>
                            <w:color w:val="000000"/>
                            <w:kern w:val="24"/>
                            <w:sz w:val="14"/>
                            <w:szCs w:val="14"/>
                          </w:rPr>
                          <w:t xml:space="preserve">No or </w:t>
                        </w:r>
                        <w:r>
                          <w:rPr>
                            <w:rFonts w:cs="Arial"/>
                            <w:color w:val="000000"/>
                            <w:kern w:val="24"/>
                            <w:sz w:val="14"/>
                            <w:szCs w:val="14"/>
                          </w:rPr>
                          <w:br/>
                          <w:t>not applicable</w:t>
                        </w:r>
                      </w:p>
                    </w:txbxContent>
                  </v:textbox>
                </v:shape>
                <v:shape id="Hexagon 41" o:spid="_x0000_s1052" type="#_x0000_t9" alt="flowchart information in regard to first time adoption of tier 1 or tier 2 reporting requirements for paragraphs 18 to 18b&#10;" style="position:absolute;left:30684;top:31696;width:15051;height:6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" adj="2167" filled="f" strokecolor="windowText">
                  <v:textbox inset="1mm,0,1mm,0">
                    <w:txbxContent>
                      <w:p w14:paraId="4F42AED5" w14:textId="77777777" w:rsidR="00BE2305" w:rsidRDefault="00BE2305" w:rsidP="00BE2305">
                        <w:pPr>
                          <w:jc w:val="center"/>
                          <w:rPr>
                            <w:sz w:val="24"/>
                            <w:szCs w:val="24"/>
                          </w:rPr>
                        </w:pPr>
                        <w:r>
                          <w:rPr>
                            <w:rFonts w:cs="Arial"/>
                            <w:color w:val="000000"/>
                            <w:kern w:val="24"/>
                            <w:sz w:val="13"/>
                            <w:szCs w:val="13"/>
                          </w:rPr>
                          <w:t>If a parent, did the entity apply the reporting entity concept in order to not present consolidated financial statements?</w:t>
                        </w:r>
                      </w:p>
                    </w:txbxContent>
                  </v:textbox>
                </v:shape>
                <v:rect id="Rectangle 42" o:spid="_x0000_s1053" alt="flowchart information in regard to first time adoption of tier 1 or tier 2 reporting requirements for paragraphs 18 to 18b&#10;" style="position:absolute;top:56349;width:7120;height:7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" filled="f" strokecolor="windowText">
                  <v:textbox>
                    <w:txbxContent>
                      <w:p w14:paraId="4C39FBD1" w14:textId="77777777" w:rsidR="00BE2305" w:rsidRDefault="00BE2305" w:rsidP="00BE2305">
                        <w:pPr>
                          <w:spacing w:line="200" w:lineRule="exact"/>
                          <w:jc w:val="center"/>
                          <w:rPr>
                            <w:sz w:val="24"/>
                            <w:szCs w:val="24"/>
                          </w:rPr>
                        </w:pPr>
                        <w:r>
                          <w:rPr>
                            <w:rFonts w:cs="Arial"/>
                            <w:color w:val="000000"/>
                            <w:kern w:val="24"/>
                            <w:sz w:val="13"/>
                            <w:szCs w:val="13"/>
                          </w:rPr>
                          <w:t>No additional relief</w:t>
                        </w:r>
                      </w:p>
                    </w:txbxContent>
                  </v:textbox>
                </v:rect>
                <v:rect id="Rectangle 43" o:spid="_x0000_s1054" alt="flowchart information in regard to first time adoption of tier 1 or tier 2 reporting requirements for paragraphs 18 to 18b&#10;" style="position:absolute;left:49970;top:56349;width:7197;height:7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" filled="f" strokecolor="windowText">
                  <v:textbox>
                    <w:txbxContent>
                      <w:p w14:paraId="677E63FB" w14:textId="77777777" w:rsidR="00BE2305" w:rsidRDefault="00BE2305" w:rsidP="00BE2305">
                        <w:pPr>
                          <w:spacing w:line="200" w:lineRule="exact"/>
                          <w:jc w:val="center"/>
                          <w:rPr>
                            <w:sz w:val="24"/>
                            <w:szCs w:val="24"/>
                          </w:rPr>
                        </w:pPr>
                        <w:r>
                          <w:rPr>
                            <w:rFonts w:cs="Arial"/>
                            <w:color w:val="000000"/>
                            <w:kern w:val="24"/>
                            <w:sz w:val="13"/>
                            <w:szCs w:val="13"/>
                          </w:rPr>
                          <w:t>No additional relief</w:t>
                        </w:r>
                      </w:p>
                    </w:txbxContent>
                  </v:textbox>
                </v:rect>
                <v:shape id="_x0000_s1055" type="#_x0000_t202" alt="no" style="position:absolute;left:7915;top:41207;width:3549;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76CE72F7" w14:textId="77777777" w:rsidR="00BE2305" w:rsidRDefault="00BE2305" w:rsidP="00BE2305">
                        <w:pPr>
                          <w:spacing w:line="200" w:lineRule="exact"/>
                          <w:rPr>
                            <w:sz w:val="24"/>
                            <w:szCs w:val="24"/>
                          </w:rPr>
                        </w:pPr>
                        <w:r>
                          <w:rPr>
                            <w:rFonts w:cs="Arial"/>
                            <w:color w:val="000000"/>
                            <w:kern w:val="24"/>
                            <w:sz w:val="14"/>
                            <w:szCs w:val="14"/>
                          </w:rPr>
                          <w:t>No</w:t>
                        </w:r>
                      </w:p>
                    </w:txbxContent>
                  </v:textbox>
                </v:shape>
                <v:rect id="Rectangle 45" o:spid="_x0000_s1056" alt="flowchart information in regard to first time adoption of tier 1 or tier 2 reporting requirements for paragraphs 18 to 18b&#10;" style="position:absolute;left:12634;top:49429;width:11856;height:5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" filled="f" strokecolor="windowText">
                  <v:textbox inset="1mm,,1mm">
                    <w:txbxContent>
                      <w:p w14:paraId="691D6550" w14:textId="77777777" w:rsidR="00BE2305" w:rsidRDefault="00BE2305" w:rsidP="00BE2305">
                        <w:pPr>
                          <w:jc w:val="center"/>
                          <w:rPr>
                            <w:sz w:val="24"/>
                            <w:szCs w:val="24"/>
                          </w:rPr>
                        </w:pPr>
                        <w:r>
                          <w:rPr>
                            <w:rFonts w:cs="Arial"/>
                            <w:color w:val="000000"/>
                            <w:kern w:val="24"/>
                            <w:sz w:val="13"/>
                            <w:szCs w:val="13"/>
                          </w:rPr>
                          <w:t>Optional relief from distinguishing errors and changes in accounting policy</w:t>
                        </w:r>
                      </w:p>
                    </w:txbxContent>
                  </v:textbox>
                </v:rect>
                <v:shape id="Hexagon 46" o:spid="_x0000_s1057" type="#_x0000_t9" alt="flowchart information in regard to first time adoption of tier 1 or tier 2 reporting requirements for paragraphs 18 to 18b&#10;" style="position:absolute;left:11355;top:57506;width:14239;height:5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" adj="1942" filled="f" strokecolor="windowText">
                  <v:textbox inset="1mm,0,1mm,0">
                    <w:txbxContent>
                      <w:p w14:paraId="27C4AA5F" w14:textId="77777777" w:rsidR="00BE2305" w:rsidRDefault="00BE2305" w:rsidP="00BE2305">
                        <w:pPr>
                          <w:jc w:val="center"/>
                          <w:rPr>
                            <w:sz w:val="24"/>
                            <w:szCs w:val="24"/>
                          </w:rPr>
                        </w:pPr>
                        <w:r>
                          <w:rPr>
                            <w:rFonts w:cs="Arial"/>
                            <w:color w:val="000000"/>
                            <w:kern w:val="24"/>
                            <w:sz w:val="13"/>
                            <w:szCs w:val="13"/>
                          </w:rPr>
                          <w:t xml:space="preserve">Is the entity adopting Tier 2 </w:t>
                        </w:r>
                        <w:r>
                          <w:rPr>
                            <w:rFonts w:cs="Arial"/>
                            <w:color w:val="000000"/>
                            <w:kern w:val="24"/>
                            <w:sz w:val="13"/>
                            <w:szCs w:val="13"/>
                          </w:rPr>
                          <w:br/>
                          <w:t>– Simplified Disclosures for a reporting period beginning before 1 July 2021?</w:t>
                        </w:r>
                      </w:p>
                    </w:txbxContent>
                  </v:textbox>
                </v:shape>
                <v:shape id="Straight Arrow Connector 47" o:spid="_x0000_s1058" type="#_x0000_t32" alt="arrow" style="position:absolute;left:25408;top:34716;width:52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" strokecolor="windowText">
                  <v:stroke endarrow="block"/>
                  <o:lock v:ext="edit" shapetype="f"/>
                </v:shape>
                <v:shape id="Hexagon 48" o:spid="_x0000_s1059" type="#_x0000_t9" alt="flowchart information in regard to first time adoption of tier 1 or tier 2 reporting requirements for paragraphs 18 to 18b&#10;" style="position:absolute;left:31496;top:57506;width:14239;height:5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" adj="1942" filled="f" strokecolor="windowText">
                  <v:textbox inset="1mm,0,1mm,0">
                    <w:txbxContent>
                      <w:p w14:paraId="3EC8BF1A" w14:textId="77777777" w:rsidR="00BE2305" w:rsidRDefault="00BE2305" w:rsidP="00BE2305">
                        <w:pPr>
                          <w:spacing w:line="130" w:lineRule="exact"/>
                          <w:jc w:val="center"/>
                          <w:rPr>
                            <w:sz w:val="24"/>
                            <w:szCs w:val="24"/>
                          </w:rPr>
                        </w:pPr>
                        <w:r>
                          <w:rPr>
                            <w:rFonts w:cs="Arial"/>
                            <w:color w:val="000000"/>
                            <w:kern w:val="24"/>
                            <w:sz w:val="13"/>
                            <w:szCs w:val="13"/>
                          </w:rPr>
                          <w:t xml:space="preserve">Is the entity adopting Tier 2 </w:t>
                        </w:r>
                        <w:r>
                          <w:rPr>
                            <w:rFonts w:cs="Arial"/>
                            <w:color w:val="000000"/>
                            <w:kern w:val="24"/>
                            <w:sz w:val="13"/>
                            <w:szCs w:val="13"/>
                          </w:rPr>
                          <w:br/>
                          <w:t>– Simplified Disclosures for a reporting period beginning before 1 July 2021?</w:t>
                        </w:r>
                      </w:p>
                    </w:txbxContent>
                  </v:textbox>
                </v:shape>
                <v:shape id="Straight Arrow Connector 49" o:spid="_x0000_s1060" type="#_x0000_t32" alt="arrow" style="position:absolute;left:38616;top:62600;width:0;height:29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" strokecolor="windowText">
                  <v:stroke endarrow="block"/>
                  <o:lock v:ext="edit" shapetype="f"/>
                </v:shape>
                <v:shape id="Straight Arrow Connector 50" o:spid="_x0000_s1061" type="#_x0000_t32" alt="arrow" style="position:absolute;left:18562;top:46093;width:0;height:33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" strokecolor="windowText">
                  <v:stroke endarrow="block"/>
                  <o:lock v:ext="edit" shapetype="f"/>
                </v:shape>
                <v:shape id="Straight Arrow Connector 51" o:spid="_x0000_s1062" type="#_x0000_t32" alt="arrow" style="position:absolute;left:18562;top:54551;width:0;height:29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" strokecolor="windowText">
                  <v:stroke endarrow="block"/>
                  <o:lock v:ext="edit" shapetype="f"/>
                </v:shape>
                <v:shape id="Straight Arrow Connector 52" o:spid="_x0000_s1063" type="#_x0000_t32" alt="arrow" style="position:absolute;left:7100;top:60015;width:4274;height: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" strokecolor="windowText">
                  <v:stroke endarrow="block"/>
                  <o:lock v:ext="edit" shapetype="f"/>
                </v:shape>
                <v:shape id="Straight Arrow Connector 53" o:spid="_x0000_s1064" type="#_x0000_t32" alt="arrow" style="position:absolute;left:18676;top:62758;width:0;height:27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" strokecolor="windowText">
                  <v:stroke endarrow="block"/>
                  <o:lock v:ext="edit" shapetype="f"/>
                </v:shape>
                <v:shape id="_x0000_s1065" type="#_x0000_t202" alt="yes" style="position:absolute;left:19127;top:62899;width:405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365811F3" w14:textId="77777777" w:rsidR="00BE2305" w:rsidRDefault="00BE2305" w:rsidP="00BE2305">
                        <w:pPr>
                          <w:spacing w:line="200" w:lineRule="exact"/>
                          <w:rPr>
                            <w:sz w:val="24"/>
                            <w:szCs w:val="24"/>
                          </w:rPr>
                        </w:pPr>
                        <w:r>
                          <w:rPr>
                            <w:rFonts w:cs="Arial"/>
                            <w:color w:val="000000"/>
                            <w:kern w:val="24"/>
                            <w:sz w:val="14"/>
                            <w:szCs w:val="14"/>
                          </w:rPr>
                          <w:t>Yes</w:t>
                        </w:r>
                      </w:p>
                    </w:txbxContent>
                  </v:textbox>
                </v:shape>
                <v:shape id="_x0000_s1066" type="#_x0000_t202" alt="yes" style="position:absolute;left:38519;top:62898;width:405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6BB57862" w14:textId="77777777" w:rsidR="00BE2305" w:rsidRDefault="00BE2305" w:rsidP="00BE2305">
                        <w:pPr>
                          <w:spacing w:line="200" w:lineRule="exact"/>
                          <w:rPr>
                            <w:sz w:val="24"/>
                            <w:szCs w:val="24"/>
                          </w:rPr>
                        </w:pPr>
                        <w:r>
                          <w:rPr>
                            <w:rFonts w:cs="Arial"/>
                            <w:color w:val="000000"/>
                            <w:kern w:val="24"/>
                            <w:sz w:val="14"/>
                            <w:szCs w:val="14"/>
                          </w:rPr>
                          <w:t>Yes</w:t>
                        </w:r>
                      </w:p>
                    </w:txbxContent>
                  </v:textbox>
                </v:shape>
                <v:shape id="Elbow Connector 29" o:spid="_x0000_s1067" type="#_x0000_t33" alt="arrows" style="position:absolute;left:3560;top:43498;width:8102;height:12851;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" strokecolor="windowText">
                  <v:stroke endarrow="block"/>
                  <o:lock v:ext="edit" shapetype="f"/>
                </v:shape>
                <v:shape id="_x0000_s1068" type="#_x0000_t202" alt="no" style="position:absolute;left:45869;top:58003;width:3550;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2BD83107" w14:textId="77777777" w:rsidR="00BE2305" w:rsidRDefault="00BE2305" w:rsidP="00BE2305">
                        <w:pPr>
                          <w:spacing w:line="200" w:lineRule="exact"/>
                          <w:rPr>
                            <w:sz w:val="24"/>
                            <w:szCs w:val="24"/>
                          </w:rPr>
                        </w:pPr>
                        <w:r>
                          <w:rPr>
                            <w:rFonts w:cs="Arial"/>
                            <w:color w:val="000000"/>
                            <w:kern w:val="24"/>
                            <w:sz w:val="14"/>
                            <w:szCs w:val="14"/>
                          </w:rPr>
                          <w:t>No</w:t>
                        </w:r>
                      </w:p>
                    </w:txbxContent>
                  </v:textbox>
                </v:shape>
                <v:shape id="Straight Arrow Connector 58" o:spid="_x0000_s1069" type="#_x0000_t32" alt="arrow" style="position:absolute;left:38616;top:45890;width:0;height:116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" strokecolor="windowText">
                  <v:stroke endarrow="block"/>
                  <o:lock v:ext="edit" shapetype="f"/>
                </v:shape>
                <v:shape id="Straight Arrow Connector 59" o:spid="_x0000_s1070" type="#_x0000_t32" alt="arrow" style="position:absolute;left:38616;top:37736;width:0;height:30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" strokecolor="windowText">
                  <v:stroke endarrow="block"/>
                  <o:lock v:ext="edit" shapetype="f"/>
                </v:shape>
                <v:shape id="_x0000_s1071" type="#_x0000_t202" alt="no" style="position:absolute;left:7981;top:57516;width:3549;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1FDDA2E6" w14:textId="77777777" w:rsidR="00BE2305" w:rsidRDefault="00BE2305" w:rsidP="00BE2305">
                        <w:pPr>
                          <w:spacing w:line="200" w:lineRule="exact"/>
                          <w:rPr>
                            <w:sz w:val="24"/>
                            <w:szCs w:val="24"/>
                          </w:rPr>
                        </w:pPr>
                        <w:r>
                          <w:rPr>
                            <w:rFonts w:cs="Arial"/>
                            <w:color w:val="000000"/>
                            <w:kern w:val="24"/>
                            <w:sz w:val="14"/>
                            <w:szCs w:val="14"/>
                          </w:rPr>
                          <w:t>No</w:t>
                        </w:r>
                      </w:p>
                    </w:txbxContent>
                  </v:textbox>
                </v:shape>
                <v:shape id="Straight Arrow Connector 61" o:spid="_x0000_s1072" type="#_x0000_t32" alt="arrow" style="position:absolute;left:45735;top:60067;width:423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" strokecolor="windowText">
                  <v:stroke endarrow="block"/>
                  <o:lock v:ext="edit" shapetype="f"/>
                </v:shape>
                <w10:anchorlock/>
              </v:group>
            </w:pict>
          </mc:Fallback>
        </mc:AlternateContent>
      </w:r>
    </w:p>
    <w:p w14:paraId="7C132B16" w14:textId="722C0424" w:rsidR="00384148" w:rsidRPr="00BE0C02" w:rsidRDefault="005F45E6">
      <w:pPr>
        <w:jc w:val="left"/>
        <w:rPr>
          <w:szCs w:val="19"/>
        </w:rPr>
      </w:pPr>
      <w:r w:rsidRPr="00BE0C02">
        <w:rPr>
          <w:noProof/>
          <w:lang w:eastAsia="en-AU"/>
        </w:rPr>
        <mc:AlternateContent>
          <mc:Choice Requires="wps">
            <w:drawing>
              <wp:anchor distT="0" distB="0" distL="114300" distR="114300" simplePos="0" relativeHeight="251657216" behindDoc="0" locked="0" layoutInCell="1" allowOverlap="1" wp14:anchorId="0410290A" wp14:editId="430E3B40">
                <wp:simplePos x="0" y="0"/>
                <wp:positionH relativeFrom="column">
                  <wp:posOffset>755623</wp:posOffset>
                </wp:positionH>
                <wp:positionV relativeFrom="paragraph">
                  <wp:posOffset>6433144</wp:posOffset>
                </wp:positionV>
                <wp:extent cx="354934" cy="237477"/>
                <wp:effectExtent l="0" t="0" r="0" b="0"/>
                <wp:wrapNone/>
                <wp:docPr id="19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34" cy="237477"/>
                        </a:xfrm>
                        <a:prstGeom prst="rect">
                          <a:avLst/>
                        </a:prstGeom>
                        <a:noFill/>
                        <a:ln w="9525">
                          <a:noFill/>
                          <a:miter lim="800000"/>
                          <a:headEnd/>
                          <a:tailEnd/>
                        </a:ln>
                      </wps:spPr>
                      <wps:txbx>
                        <w:txbxContent>
                          <w:p w14:paraId="062C43C1" w14:textId="77777777" w:rsidR="00123D86" w:rsidRDefault="00123D86" w:rsidP="005F45E6">
                            <w:pPr>
                              <w:spacing w:line="200" w:lineRule="exact"/>
                              <w:rPr>
                                <w:sz w:val="24"/>
                                <w:szCs w:val="24"/>
                              </w:rPr>
                            </w:pPr>
                            <w:r>
                              <w:rPr>
                                <w:rFonts w:cstheme="minorBidi"/>
                                <w:color w:val="000000" w:themeColor="text1"/>
                                <w:kern w:val="24"/>
                                <w:sz w:val="14"/>
                                <w:szCs w:val="14"/>
                              </w:rPr>
                              <w:t>No</w:t>
                            </w:r>
                          </w:p>
                        </w:txbxContent>
                      </wps:txbx>
                      <wps:bodyPr rot="0" vert="horz" wrap="square" lIns="91440" tIns="45720" rIns="91440" bIns="45720" anchor="t" anchorCtr="0">
                        <a:noAutofit/>
                      </wps:bodyPr>
                    </wps:wsp>
                  </a:graphicData>
                </a:graphic>
              </wp:anchor>
            </w:drawing>
          </mc:Choice>
          <mc:Fallback>
            <w:pict>
              <v:shape w14:anchorId="0410290A" id="Text Box 2" o:spid="_x0000_s1073" type="#_x0000_t202" style="position:absolute;margin-left:59.5pt;margin-top:506.55pt;width:27.95pt;height:18.7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" filled="f" stroked="f">
                <v:textbox>
                  <w:txbxContent>
                    <w:p w14:paraId="062C43C1" w14:textId="77777777" w:rsidR="00123D86" w:rsidRDefault="00123D86" w:rsidP="005F45E6">
                      <w:pPr>
                        <w:spacing w:line="200" w:lineRule="exact"/>
                        <w:rPr>
                          <w:sz w:val="24"/>
                          <w:szCs w:val="24"/>
                        </w:rPr>
                      </w:pPr>
                      <w:r>
                        <w:rPr>
                          <w:rFonts w:cstheme="minorBidi"/>
                          <w:color w:val="000000" w:themeColor="text1"/>
                          <w:kern w:val="24"/>
                          <w:sz w:val="14"/>
                          <w:szCs w:val="14"/>
                        </w:rPr>
                        <w:t>No</w:t>
                      </w:r>
                    </w:p>
                  </w:txbxContent>
                </v:textbox>
              </v:shape>
            </w:pict>
          </mc:Fallback>
        </mc:AlternateContent>
      </w:r>
      <w:r w:rsidR="00384148" w:rsidRPr="00BE0C02">
        <w:rPr>
          <w:szCs w:val="19"/>
        </w:rPr>
        <w:br w:type="page"/>
      </w:r>
    </w:p>
    <w:p w14:paraId="4518385E" w14:textId="325EDB63" w:rsidR="006D517D" w:rsidRPr="00BE0C02" w:rsidRDefault="00CE7D84" w:rsidP="006D517D">
      <w:pPr>
        <w:pBdr>
          <w:top w:val="single" w:sz="4" w:space="1" w:color="auto"/>
          <w:left w:val="single" w:sz="4" w:space="4" w:color="auto"/>
          <w:bottom w:val="single" w:sz="4" w:space="1" w:color="auto"/>
          <w:right w:val="single" w:sz="4" w:space="4" w:color="auto"/>
        </w:pBdr>
        <w:autoSpaceDE w:val="0"/>
        <w:autoSpaceDN w:val="0"/>
        <w:adjustRightInd w:val="0"/>
        <w:rPr>
          <w:szCs w:val="19"/>
        </w:rPr>
      </w:pPr>
      <w:r w:rsidRPr="00BE0C02">
        <w:rPr>
          <w:szCs w:val="19"/>
        </w:rPr>
        <w:lastRenderedPageBreak/>
        <w:t>Appendix E is added.</w:t>
      </w:r>
    </w:p>
    <w:p w14:paraId="63849006" w14:textId="71D55D46" w:rsidR="00F95615" w:rsidRPr="00BE0C02" w:rsidRDefault="00F95615" w:rsidP="006D517D">
      <w:pPr>
        <w:pStyle w:val="IASBSectionTitle2Ind"/>
        <w:ind w:left="0"/>
      </w:pPr>
      <w:r w:rsidRPr="00BE0C02">
        <w:t xml:space="preserve">Appendix E </w:t>
      </w:r>
    </w:p>
    <w:p w14:paraId="4D375344" w14:textId="0669E948" w:rsidR="006D517D" w:rsidRPr="00BE0C02" w:rsidRDefault="00223B5C" w:rsidP="006D517D">
      <w:pPr>
        <w:pStyle w:val="IASBSectionTitle2Ind"/>
        <w:ind w:left="0"/>
      </w:pPr>
      <w:r w:rsidRPr="00BE0C02">
        <w:t>S</w:t>
      </w:r>
      <w:r w:rsidR="006D517D" w:rsidRPr="00BE0C02">
        <w:t>hort-term exemption</w:t>
      </w:r>
      <w:r w:rsidR="00F32A0E" w:rsidRPr="00BE0C02">
        <w:t>s</w:t>
      </w:r>
      <w:r w:rsidR="006D517D" w:rsidRPr="00BE0C02">
        <w:t xml:space="preserve"> </w:t>
      </w:r>
      <w:r w:rsidR="00CB4631" w:rsidRPr="00BE0C02">
        <w:t xml:space="preserve">for entities </w:t>
      </w:r>
      <w:r w:rsidR="003F1CA6" w:rsidRPr="00BE0C02">
        <w:t>applying</w:t>
      </w:r>
      <w:r w:rsidR="00B91F42" w:rsidRPr="00BE0C02">
        <w:t xml:space="preserve"> </w:t>
      </w:r>
      <w:r w:rsidR="00812A55" w:rsidRPr="00BE0C02">
        <w:t xml:space="preserve">Tier 2 – Simplified </w:t>
      </w:r>
      <w:r w:rsidR="00A53595" w:rsidRPr="00BE0C02">
        <w:t xml:space="preserve">Disclosures </w:t>
      </w:r>
      <w:r w:rsidR="003D4530" w:rsidRPr="00BE0C02">
        <w:t>for periods beginning before 1 July 202</w:t>
      </w:r>
      <w:r w:rsidR="00CD5174" w:rsidRPr="00BE0C02">
        <w:t>2</w:t>
      </w:r>
    </w:p>
    <w:p w14:paraId="3B00BD64" w14:textId="5FD92E65" w:rsidR="00056F22" w:rsidRPr="00BE0C02" w:rsidRDefault="00060B45" w:rsidP="006D517D">
      <w:pPr>
        <w:pStyle w:val="IASBSectionTitle2Ind"/>
        <w:ind w:left="0"/>
        <w:rPr>
          <w:rFonts w:ascii="Times New Roman" w:hAnsi="Times New Roman" w:cs="Times New Roman"/>
          <w:b w:val="0"/>
          <w:bCs/>
          <w:i/>
          <w:iCs/>
          <w:sz w:val="19"/>
          <w:szCs w:val="19"/>
        </w:rPr>
      </w:pPr>
      <w:r w:rsidRPr="00BE0C02">
        <w:rPr>
          <w:rFonts w:ascii="Times New Roman" w:hAnsi="Times New Roman" w:cs="Times New Roman"/>
          <w:b w:val="0"/>
          <w:bCs/>
          <w:i/>
          <w:iCs/>
          <w:sz w:val="19"/>
          <w:szCs w:val="19"/>
        </w:rPr>
        <w:t>This</w:t>
      </w:r>
      <w:r w:rsidR="001A07F6" w:rsidRPr="00BE0C02">
        <w:rPr>
          <w:rFonts w:ascii="Times New Roman" w:hAnsi="Times New Roman" w:cs="Times New Roman"/>
          <w:b w:val="0"/>
          <w:bCs/>
          <w:i/>
          <w:iCs/>
          <w:sz w:val="19"/>
          <w:szCs w:val="19"/>
        </w:rPr>
        <w:t xml:space="preserve"> appendix is an integral part of AASB 1053</w:t>
      </w:r>
    </w:p>
    <w:p w14:paraId="03BF3D0A" w14:textId="3D61538E" w:rsidR="00C304C3" w:rsidRPr="00BE0C02" w:rsidRDefault="00C304C3" w:rsidP="00EE3A0E">
      <w:pPr>
        <w:pStyle w:val="AusG1"/>
        <w:spacing w:after="0"/>
        <w:ind w:left="782" w:hanging="782"/>
      </w:pPr>
      <w:r w:rsidRPr="00BE0C02">
        <w:t xml:space="preserve">This appendix sets out </w:t>
      </w:r>
      <w:r w:rsidR="006E1B08" w:rsidRPr="00BE0C02">
        <w:t>optional</w:t>
      </w:r>
      <w:r w:rsidRPr="00BE0C02">
        <w:t xml:space="preserve"> short-term exemptions </w:t>
      </w:r>
      <w:r w:rsidR="00833252" w:rsidRPr="00BE0C02">
        <w:t>for</w:t>
      </w:r>
      <w:r w:rsidRPr="00BE0C02">
        <w:t xml:space="preserve"> </w:t>
      </w:r>
      <w:r w:rsidR="004F3370" w:rsidRPr="00BE0C02">
        <w:t xml:space="preserve">for-profit </w:t>
      </w:r>
      <w:r w:rsidR="00B64D98" w:rsidRPr="00BE0C02">
        <w:t xml:space="preserve">private sector </w:t>
      </w:r>
      <w:r w:rsidR="003D4530" w:rsidRPr="00BE0C02">
        <w:t xml:space="preserve">entities </w:t>
      </w:r>
      <w:r w:rsidR="005B2167" w:rsidRPr="00BE0C02">
        <w:t>appl</w:t>
      </w:r>
      <w:r w:rsidR="008331AD" w:rsidRPr="00BE0C02">
        <w:t xml:space="preserve">ying </w:t>
      </w:r>
      <w:r w:rsidR="00360E31">
        <w:t>AASB 1060</w:t>
      </w:r>
      <w:r w:rsidR="00606DA5" w:rsidRPr="00BE0C02">
        <w:t xml:space="preserve"> </w:t>
      </w:r>
      <w:r w:rsidR="00606DA5" w:rsidRPr="00BE0C02">
        <w:rPr>
          <w:i/>
          <w:iCs/>
        </w:rPr>
        <w:t>General Purpose Financial Statements</w:t>
      </w:r>
      <w:r w:rsidR="00575CC9" w:rsidRPr="00BE0C02">
        <w:rPr>
          <w:i/>
          <w:iCs/>
        </w:rPr>
        <w:t xml:space="preserve"> – Simplified Disclosures for For-Profit and Not-for-Profit </w:t>
      </w:r>
      <w:r w:rsidR="0048670C" w:rsidRPr="00BE0C02">
        <w:rPr>
          <w:i/>
          <w:iCs/>
        </w:rPr>
        <w:t xml:space="preserve">Tier 2 </w:t>
      </w:r>
      <w:r w:rsidR="00575CC9" w:rsidRPr="00BE0C02">
        <w:rPr>
          <w:i/>
          <w:iCs/>
        </w:rPr>
        <w:t>Entities</w:t>
      </w:r>
      <w:r w:rsidR="006A41B3" w:rsidRPr="00BE0C02">
        <w:t xml:space="preserve"> </w:t>
      </w:r>
      <w:r w:rsidR="003012ED" w:rsidRPr="00BE0C02">
        <w:t>to</w:t>
      </w:r>
      <w:r w:rsidR="006A41B3" w:rsidRPr="00BE0C02">
        <w:t xml:space="preserve"> periods beginning before 1 July 2022</w:t>
      </w:r>
      <w:r w:rsidR="00833252" w:rsidRPr="00BE0C02">
        <w:t>, as follows:</w:t>
      </w:r>
    </w:p>
    <w:p w14:paraId="7A84D0E8" w14:textId="59CF3CE2" w:rsidR="00833252" w:rsidRPr="00BE0C02" w:rsidRDefault="00A308B7" w:rsidP="007E6349">
      <w:pPr>
        <w:pStyle w:val="AusG1"/>
        <w:numPr>
          <w:ilvl w:val="0"/>
          <w:numId w:val="87"/>
        </w:numPr>
        <w:spacing w:after="0"/>
      </w:pPr>
      <w:r w:rsidRPr="00BE0C02">
        <w:t xml:space="preserve">relief from distinguishing the correction of errors </w:t>
      </w:r>
      <w:r w:rsidR="003012ED" w:rsidRPr="00BE0C02">
        <w:t>and</w:t>
      </w:r>
      <w:r w:rsidRPr="00BE0C02">
        <w:t xml:space="preserve"> changes in accounting policy</w:t>
      </w:r>
      <w:r w:rsidR="003012ED" w:rsidRPr="00BE0C02">
        <w:t>,</w:t>
      </w:r>
      <w:r w:rsidRPr="00BE0C02">
        <w:t xml:space="preserve"> for periods beginning </w:t>
      </w:r>
      <w:r w:rsidR="009268A9" w:rsidRPr="00BE0C02">
        <w:t>before 1 July 2022</w:t>
      </w:r>
      <w:r w:rsidR="008423F9" w:rsidRPr="00BE0C02">
        <w:t xml:space="preserve"> (see paragraph E</w:t>
      </w:r>
      <w:r w:rsidR="006B3955">
        <w:t>3</w:t>
      </w:r>
      <w:r w:rsidR="008423F9" w:rsidRPr="00BE0C02">
        <w:t>)</w:t>
      </w:r>
      <w:r w:rsidR="009268A9" w:rsidRPr="00BE0C02">
        <w:t>;</w:t>
      </w:r>
    </w:p>
    <w:p w14:paraId="7AB8D51D" w14:textId="7E5FA32F" w:rsidR="009268A9" w:rsidRPr="00BE0C02" w:rsidRDefault="009268A9" w:rsidP="007E6349">
      <w:pPr>
        <w:pStyle w:val="AusG1"/>
        <w:numPr>
          <w:ilvl w:val="0"/>
          <w:numId w:val="87"/>
        </w:numPr>
        <w:spacing w:after="0"/>
      </w:pPr>
      <w:r w:rsidRPr="00BE0C02">
        <w:t xml:space="preserve">relief from </w:t>
      </w:r>
      <w:r w:rsidR="008423F9" w:rsidRPr="00BE0C02">
        <w:t xml:space="preserve">providing comparative </w:t>
      </w:r>
      <w:r w:rsidR="00957017" w:rsidRPr="00BE0C02">
        <w:t>information not previously disclosed in the notes</w:t>
      </w:r>
      <w:r w:rsidR="002F62BA" w:rsidRPr="00BE0C02">
        <w:t>,</w:t>
      </w:r>
      <w:r w:rsidR="008423F9" w:rsidRPr="00BE0C02">
        <w:t xml:space="preserve"> for </w:t>
      </w:r>
      <w:r w:rsidR="00076876" w:rsidRPr="00BE0C02">
        <w:t>periods beginning before 1 July 2021 (see paragraph E</w:t>
      </w:r>
      <w:r w:rsidR="006B3955">
        <w:t>4</w:t>
      </w:r>
      <w:r w:rsidR="00076876" w:rsidRPr="00BE0C02">
        <w:t xml:space="preserve">); </w:t>
      </w:r>
      <w:r w:rsidR="00C421AB" w:rsidRPr="00BE0C02">
        <w:t>and</w:t>
      </w:r>
    </w:p>
    <w:p w14:paraId="03610964" w14:textId="59BD8E94" w:rsidR="00076876" w:rsidRDefault="00076876" w:rsidP="007E6349">
      <w:pPr>
        <w:pStyle w:val="AusG1"/>
        <w:numPr>
          <w:ilvl w:val="0"/>
          <w:numId w:val="87"/>
        </w:numPr>
        <w:spacing w:after="0"/>
      </w:pPr>
      <w:r w:rsidRPr="00BE0C02">
        <w:t>relief from restating comparative information</w:t>
      </w:r>
      <w:r w:rsidR="002F62BA" w:rsidRPr="00BE0C02">
        <w:t>,</w:t>
      </w:r>
      <w:r w:rsidRPr="00BE0C02">
        <w:t xml:space="preserve"> for </w:t>
      </w:r>
      <w:r w:rsidR="001101F1" w:rsidRPr="00BE0C02">
        <w:t>periods beginning before 1 July 2021 (see paragraphs E</w:t>
      </w:r>
      <w:r w:rsidR="006B3955">
        <w:t>5</w:t>
      </w:r>
      <w:r w:rsidR="002F62BA" w:rsidRPr="00BE0C02">
        <w:t>–</w:t>
      </w:r>
      <w:r w:rsidR="001101F1" w:rsidRPr="00BE0C02">
        <w:t>E</w:t>
      </w:r>
      <w:r w:rsidR="006B3955">
        <w:t>7</w:t>
      </w:r>
      <w:r w:rsidR="006A41B3" w:rsidRPr="00BE0C02">
        <w:t>)</w:t>
      </w:r>
      <w:r w:rsidR="002F62BA" w:rsidRPr="00BE0C02">
        <w:t xml:space="preserve">. </w:t>
      </w:r>
    </w:p>
    <w:p w14:paraId="75D61154" w14:textId="57F5B10F" w:rsidR="00263F6F" w:rsidRPr="00BE0C02" w:rsidRDefault="002038F0" w:rsidP="00F16707">
      <w:pPr>
        <w:pStyle w:val="AusG1"/>
        <w:spacing w:after="0"/>
        <w:ind w:left="782" w:hanging="782"/>
      </w:pPr>
      <w:r>
        <w:t xml:space="preserve">If an entity applies one or more of the exemptions set out in this appendix, </w:t>
      </w:r>
      <w:r w:rsidR="0050297D">
        <w:t>it shall disclose that fact.</w:t>
      </w:r>
    </w:p>
    <w:p w14:paraId="4F653E61" w14:textId="767BAF6A" w:rsidR="006A41B3" w:rsidRPr="00BE0C02" w:rsidRDefault="006A41B3" w:rsidP="00957017">
      <w:pPr>
        <w:pStyle w:val="AusG1"/>
        <w:numPr>
          <w:ilvl w:val="0"/>
          <w:numId w:val="0"/>
        </w:numPr>
        <w:spacing w:after="0"/>
      </w:pPr>
      <w:r w:rsidRPr="00BE0C02">
        <w:rPr>
          <w:b/>
          <w:bCs/>
        </w:rPr>
        <w:t xml:space="preserve">Relief from distinguishing the correction of errors </w:t>
      </w:r>
      <w:r w:rsidR="002F62BA" w:rsidRPr="00BE0C02">
        <w:rPr>
          <w:b/>
          <w:bCs/>
        </w:rPr>
        <w:t>and</w:t>
      </w:r>
      <w:r w:rsidRPr="00BE0C02">
        <w:rPr>
          <w:b/>
          <w:bCs/>
        </w:rPr>
        <w:t xml:space="preserve"> changes in accounting policy</w:t>
      </w:r>
    </w:p>
    <w:p w14:paraId="206B310D" w14:textId="3B12A123" w:rsidR="00946EF5" w:rsidRPr="00BE0C02" w:rsidRDefault="00957017" w:rsidP="006A41B3">
      <w:pPr>
        <w:pStyle w:val="AusG1"/>
        <w:spacing w:after="0"/>
        <w:ind w:left="782" w:hanging="782"/>
      </w:pPr>
      <w:r w:rsidRPr="00BE0C02">
        <w:t xml:space="preserve">For periods beginning before 1 July 2022, </w:t>
      </w:r>
      <w:r w:rsidR="00946EF5" w:rsidRPr="00BE0C02">
        <w:t xml:space="preserve">notwithstanding </w:t>
      </w:r>
      <w:r w:rsidR="00360E31">
        <w:t>AASB 1060</w:t>
      </w:r>
      <w:r w:rsidR="00946EF5" w:rsidRPr="00BE0C02">
        <w:t xml:space="preserve"> paragraph </w:t>
      </w:r>
      <w:r w:rsidR="007C2307">
        <w:t>211</w:t>
      </w:r>
      <w:r w:rsidR="004B1C63" w:rsidRPr="00BE0C02">
        <w:t xml:space="preserve"> </w:t>
      </w:r>
      <w:r w:rsidRPr="00BE0C02">
        <w:t>(</w:t>
      </w:r>
      <w:r w:rsidR="004B1C63" w:rsidRPr="00BE0C02">
        <w:t>for entities applying AASB 1</w:t>
      </w:r>
      <w:r w:rsidR="005A0D3C" w:rsidRPr="00BE0C02">
        <w:t xml:space="preserve"> </w:t>
      </w:r>
      <w:r w:rsidR="005A0D3C" w:rsidRPr="00BE0C02">
        <w:rPr>
          <w:i/>
          <w:iCs/>
        </w:rPr>
        <w:t>First-time Adoption of Australian Accounting Standards</w:t>
      </w:r>
      <w:r w:rsidR="00C013CE" w:rsidRPr="00BE0C02">
        <w:t xml:space="preserve"> to the period</w:t>
      </w:r>
      <w:r w:rsidRPr="00BE0C02">
        <w:t>) and</w:t>
      </w:r>
      <w:r w:rsidR="00B033B3" w:rsidRPr="00BE0C02">
        <w:t xml:space="preserve"> </w:t>
      </w:r>
      <w:r w:rsidR="00360E31">
        <w:t>AASB 1060</w:t>
      </w:r>
      <w:r w:rsidR="00B033B3" w:rsidRPr="00BE0C02">
        <w:t xml:space="preserve"> paragraph </w:t>
      </w:r>
      <w:r w:rsidR="00EA5959">
        <w:t>110</w:t>
      </w:r>
      <w:r w:rsidR="00E037D1" w:rsidRPr="00BE0C02">
        <w:t xml:space="preserve"> </w:t>
      </w:r>
      <w:r w:rsidRPr="00BE0C02">
        <w:t>(</w:t>
      </w:r>
      <w:r w:rsidR="00E037D1" w:rsidRPr="00BE0C02">
        <w:t>for entities applying AASB 108</w:t>
      </w:r>
      <w:r w:rsidR="00C013CE" w:rsidRPr="00BE0C02">
        <w:t xml:space="preserve"> </w:t>
      </w:r>
      <w:r w:rsidR="00C013CE" w:rsidRPr="00BE0C02">
        <w:rPr>
          <w:i/>
          <w:iCs/>
        </w:rPr>
        <w:t>Accounting Policies,</w:t>
      </w:r>
      <w:r w:rsidR="00B73D21" w:rsidRPr="00BE0C02">
        <w:rPr>
          <w:i/>
          <w:iCs/>
        </w:rPr>
        <w:t xml:space="preserve"> </w:t>
      </w:r>
      <w:r w:rsidR="00C013CE" w:rsidRPr="00BE0C02">
        <w:rPr>
          <w:i/>
          <w:iCs/>
        </w:rPr>
        <w:t xml:space="preserve">Changes in Accounting </w:t>
      </w:r>
      <w:r w:rsidR="00955448" w:rsidRPr="00BE0C02">
        <w:rPr>
          <w:i/>
          <w:iCs/>
        </w:rPr>
        <w:t>Estimates and Errors</w:t>
      </w:r>
      <w:r w:rsidR="00C013CE" w:rsidRPr="00BE0C02">
        <w:rPr>
          <w:i/>
          <w:iCs/>
        </w:rPr>
        <w:t xml:space="preserve"> </w:t>
      </w:r>
      <w:r w:rsidR="00722474" w:rsidRPr="00BE0C02">
        <w:t>instead of AASB 1</w:t>
      </w:r>
      <w:r w:rsidRPr="00BE0C02">
        <w:t>)</w:t>
      </w:r>
      <w:r w:rsidR="00E037D1" w:rsidRPr="00BE0C02">
        <w:t>,</w:t>
      </w:r>
      <w:r w:rsidRPr="00BE0C02">
        <w:t xml:space="preserve"> an entity</w:t>
      </w:r>
      <w:r w:rsidR="00B67E25" w:rsidRPr="00BE0C02">
        <w:t xml:space="preserve"> </w:t>
      </w:r>
      <w:r w:rsidR="00037A1B" w:rsidRPr="00BE0C02">
        <w:t>applying paragraph 18A(a) or (b)</w:t>
      </w:r>
      <w:r w:rsidR="00B67E25" w:rsidRPr="00BE0C02">
        <w:t xml:space="preserve"> </w:t>
      </w:r>
      <w:r w:rsidRPr="00BE0C02">
        <w:t>need</w:t>
      </w:r>
      <w:r w:rsidR="00B67E25" w:rsidRPr="00BE0C02">
        <w:t xml:space="preserve"> </w:t>
      </w:r>
      <w:r w:rsidR="00946EF5" w:rsidRPr="00BE0C02">
        <w:t xml:space="preserve">not distinguish the correction of errors </w:t>
      </w:r>
      <w:r w:rsidR="001B4448" w:rsidRPr="00BE0C02">
        <w:t>and</w:t>
      </w:r>
      <w:r w:rsidR="00946EF5" w:rsidRPr="00BE0C02">
        <w:t xml:space="preserve"> changes in accounting policies if the entity becomes aware of errors made </w:t>
      </w:r>
      <w:r w:rsidR="00E037D1" w:rsidRPr="00BE0C02">
        <w:t>in its most recent previous special purpose financial statements</w:t>
      </w:r>
      <w:r w:rsidR="00946EF5" w:rsidRPr="00BE0C02">
        <w:t>.</w:t>
      </w:r>
    </w:p>
    <w:p w14:paraId="1C84DE82" w14:textId="7A04C9A3" w:rsidR="00490B0C" w:rsidRPr="00BE0C02" w:rsidRDefault="00490B0C" w:rsidP="00490B0C">
      <w:pPr>
        <w:pStyle w:val="AusG1"/>
        <w:numPr>
          <w:ilvl w:val="0"/>
          <w:numId w:val="0"/>
        </w:numPr>
        <w:spacing w:after="0"/>
        <w:rPr>
          <w:b/>
          <w:bCs/>
        </w:rPr>
      </w:pPr>
      <w:r w:rsidRPr="00BE0C02">
        <w:rPr>
          <w:b/>
          <w:bCs/>
        </w:rPr>
        <w:t xml:space="preserve">Relief from presenting comparative information </w:t>
      </w:r>
      <w:r w:rsidR="00957017" w:rsidRPr="00BE0C02">
        <w:rPr>
          <w:b/>
          <w:bCs/>
        </w:rPr>
        <w:t>not previously disclosed in the notes</w:t>
      </w:r>
    </w:p>
    <w:p w14:paraId="1AC902BE" w14:textId="2F9A3DFD" w:rsidR="006A41B3" w:rsidRPr="00BE0C02" w:rsidRDefault="00556F8C" w:rsidP="006A41B3">
      <w:pPr>
        <w:pStyle w:val="AusG1"/>
        <w:spacing w:after="0"/>
        <w:ind w:left="782" w:hanging="782"/>
      </w:pPr>
      <w:r w:rsidRPr="00BE0C02">
        <w:t xml:space="preserve">Notwithstanding </w:t>
      </w:r>
      <w:r w:rsidR="00360E31">
        <w:t>AASB 1060</w:t>
      </w:r>
      <w:r w:rsidRPr="00BE0C02">
        <w:t xml:space="preserve"> paragraph </w:t>
      </w:r>
      <w:r w:rsidR="00482488">
        <w:t>20</w:t>
      </w:r>
      <w:r w:rsidR="00234E11" w:rsidRPr="00BE0C02">
        <w:t xml:space="preserve">, entities that elect to apply </w:t>
      </w:r>
      <w:r w:rsidR="00360E31">
        <w:t>AASB 1060</w:t>
      </w:r>
      <w:r w:rsidR="009A76E1" w:rsidRPr="00BE0C02">
        <w:t xml:space="preserve"> </w:t>
      </w:r>
      <w:r w:rsidR="00480A40" w:rsidRPr="00BE0C02">
        <w:t>to</w:t>
      </w:r>
      <w:r w:rsidR="004A2366" w:rsidRPr="00BE0C02">
        <w:t xml:space="preserve"> periods</w:t>
      </w:r>
      <w:r w:rsidR="009A76E1" w:rsidRPr="00BE0C02">
        <w:t xml:space="preserve"> beginning before 1 July 2021</w:t>
      </w:r>
      <w:r w:rsidR="00025E27" w:rsidRPr="00BE0C02">
        <w:t xml:space="preserve"> (ie early application</w:t>
      </w:r>
      <w:r w:rsidR="009A76E1" w:rsidRPr="00BE0C02">
        <w:t>)</w:t>
      </w:r>
      <w:r w:rsidR="00380A82" w:rsidRPr="00BE0C02">
        <w:t xml:space="preserve"> need </w:t>
      </w:r>
      <w:r w:rsidR="006A41B3" w:rsidRPr="00BE0C02">
        <w:t>not present comparative information in the notes if the entity did not disclose the comparable information in its most recent previous financial statements</w:t>
      </w:r>
      <w:r w:rsidR="00380A82" w:rsidRPr="00BE0C02">
        <w:t>.</w:t>
      </w:r>
    </w:p>
    <w:p w14:paraId="1BE8FA84" w14:textId="59AAD495" w:rsidR="00ED147E" w:rsidRPr="00BE0C02" w:rsidRDefault="00490B0C" w:rsidP="00ED147E">
      <w:pPr>
        <w:pStyle w:val="AusG1"/>
        <w:numPr>
          <w:ilvl w:val="0"/>
          <w:numId w:val="0"/>
        </w:numPr>
        <w:spacing w:after="0"/>
        <w:rPr>
          <w:b/>
          <w:bCs/>
        </w:rPr>
      </w:pPr>
      <w:r w:rsidRPr="00BE0C02">
        <w:rPr>
          <w:b/>
          <w:bCs/>
        </w:rPr>
        <w:t>Relief</w:t>
      </w:r>
      <w:r w:rsidR="00F10396" w:rsidRPr="00BE0C02">
        <w:rPr>
          <w:b/>
          <w:bCs/>
        </w:rPr>
        <w:t xml:space="preserve"> from restating comparative information </w:t>
      </w:r>
      <w:r w:rsidR="00EE0CC8" w:rsidRPr="00BE0C02">
        <w:rPr>
          <w:b/>
          <w:bCs/>
        </w:rPr>
        <w:t>for certain for-profit private sector entities</w:t>
      </w:r>
    </w:p>
    <w:p w14:paraId="32EBD590" w14:textId="5586423F" w:rsidR="00701D53" w:rsidRPr="00BE0C02" w:rsidRDefault="006D517D" w:rsidP="00380A82">
      <w:pPr>
        <w:pStyle w:val="AusG1"/>
        <w:spacing w:after="0"/>
        <w:ind w:left="782" w:hanging="782"/>
      </w:pPr>
      <w:r w:rsidRPr="00BE0C02">
        <w:t>Paragraphs E</w:t>
      </w:r>
      <w:r w:rsidR="0065623D">
        <w:t>6</w:t>
      </w:r>
      <w:r w:rsidRPr="00BE0C02">
        <w:t>–E</w:t>
      </w:r>
      <w:r w:rsidR="0065623D">
        <w:t>7</w:t>
      </w:r>
      <w:r w:rsidRPr="00BE0C02">
        <w:t xml:space="preserve"> apply to </w:t>
      </w:r>
      <w:r w:rsidR="000D33EF" w:rsidRPr="00BE0C02">
        <w:t xml:space="preserve">a </w:t>
      </w:r>
      <w:r w:rsidRPr="00BE0C02">
        <w:t xml:space="preserve">for-profit private sector </w:t>
      </w:r>
      <w:r w:rsidR="000D33EF" w:rsidRPr="00BE0C02">
        <w:t xml:space="preserve">entity </w:t>
      </w:r>
      <w:r w:rsidRPr="00BE0C02">
        <w:t>that</w:t>
      </w:r>
      <w:r w:rsidR="00ED147E" w:rsidRPr="00BE0C02">
        <w:t xml:space="preserve"> </w:t>
      </w:r>
      <w:r w:rsidR="00441B59" w:rsidRPr="00BE0C02">
        <w:t>elect</w:t>
      </w:r>
      <w:r w:rsidR="00380A82" w:rsidRPr="00BE0C02">
        <w:t>s</w:t>
      </w:r>
      <w:r w:rsidR="00441B59" w:rsidRPr="00BE0C02">
        <w:t xml:space="preserve"> to </w:t>
      </w:r>
      <w:r w:rsidR="008451C6" w:rsidRPr="00BE0C02">
        <w:t xml:space="preserve">apply </w:t>
      </w:r>
      <w:r w:rsidR="00360E31">
        <w:t>AASB 1060</w:t>
      </w:r>
      <w:r w:rsidR="000A27B9" w:rsidRPr="00BE0C02">
        <w:t xml:space="preserve"> to </w:t>
      </w:r>
      <w:r w:rsidR="004A2366" w:rsidRPr="00BE0C02">
        <w:t>periods</w:t>
      </w:r>
      <w:r w:rsidR="00380A82" w:rsidRPr="00BE0C02">
        <w:t xml:space="preserve"> beginning before 1 July 2021</w:t>
      </w:r>
      <w:r w:rsidR="00146174" w:rsidRPr="00BE0C02">
        <w:t xml:space="preserve"> (ie early application)</w:t>
      </w:r>
      <w:r w:rsidR="00B110BB" w:rsidRPr="00BE0C02">
        <w:t xml:space="preserve"> and also </w:t>
      </w:r>
      <w:r w:rsidR="00A7226E" w:rsidRPr="00BE0C02">
        <w:t>applies</w:t>
      </w:r>
      <w:r w:rsidR="00B110BB" w:rsidRPr="00BE0C02">
        <w:t xml:space="preserve"> AASB 1 in preparing </w:t>
      </w:r>
      <w:r w:rsidR="008A196F" w:rsidRPr="00BE0C02">
        <w:t xml:space="preserve">its </w:t>
      </w:r>
      <w:r w:rsidR="009B4D38" w:rsidRPr="00BE0C02">
        <w:t>first Australian-Accounting-Standards financial statements (Tier 2) for</w:t>
      </w:r>
      <w:r w:rsidR="00EA39E5" w:rsidRPr="00BE0C02">
        <w:t xml:space="preserve"> the period</w:t>
      </w:r>
      <w:r w:rsidR="00380A82" w:rsidRPr="00BE0C02">
        <w:t>.</w:t>
      </w:r>
    </w:p>
    <w:p w14:paraId="3996C4A6" w14:textId="09AA441B" w:rsidR="006D517D" w:rsidRPr="00BE0C02" w:rsidRDefault="006D517D" w:rsidP="00EE3A0E">
      <w:pPr>
        <w:pStyle w:val="AusG1"/>
        <w:spacing w:after="0"/>
        <w:ind w:left="782" w:hanging="782"/>
      </w:pPr>
      <w:r w:rsidRPr="00BE0C02">
        <w:t xml:space="preserve">Notwithstanding AASB 1 paragraph </w:t>
      </w:r>
      <w:r w:rsidR="00976197" w:rsidRPr="00BE0C02">
        <w:t>7</w:t>
      </w:r>
      <w:r w:rsidRPr="00BE0C02">
        <w:t xml:space="preserve">, comparative information need not be restated in the entity’s first Australian-Accounting-Standards financial statements (Tier 2). Under this approach, references to the ‘date of transition to Australian Accounting Standards’ </w:t>
      </w:r>
      <w:r w:rsidR="00E45CD7" w:rsidRPr="00BE0C02">
        <w:t xml:space="preserve">in AASB 1 </w:t>
      </w:r>
      <w:r w:rsidRPr="00BE0C02">
        <w:t xml:space="preserve">shall mean the beginning of the first Australian-Accounting-Standards reporting period. Consequently, consistent with </w:t>
      </w:r>
      <w:r w:rsidR="00E45CD7" w:rsidRPr="00BE0C02">
        <w:t xml:space="preserve">AASB 1 </w:t>
      </w:r>
      <w:r w:rsidRPr="00BE0C02">
        <w:t>paragraph 11, the entity shall recognise adjustments arising from any differences between the carrying amounts in its previous special purpose financial statements and its opening carrying amounts based on the retrospective application of Australian Accounting Standards directly in retained earnings (or, if appropriate, another category of equity) at the beginning of the first Australian-Accounting-Standards reporting period.</w:t>
      </w:r>
    </w:p>
    <w:p w14:paraId="6802F5DC" w14:textId="3C1C234A" w:rsidR="006D517D" w:rsidRPr="00BE0C02" w:rsidRDefault="006D517D" w:rsidP="00EE3A0E">
      <w:pPr>
        <w:pStyle w:val="AusG1"/>
        <w:spacing w:after="0"/>
        <w:ind w:left="782" w:hanging="782"/>
      </w:pPr>
      <w:r w:rsidRPr="00BE0C02">
        <w:t xml:space="preserve">An entity that elects to not restate comparative information in its first Australian-Accounting-Standards financial statements (Tier 2) in accordance with </w:t>
      </w:r>
      <w:r w:rsidR="0027573C" w:rsidRPr="00BE0C02">
        <w:t>paragraph E</w:t>
      </w:r>
      <w:r w:rsidR="005D65DB">
        <w:t>6</w:t>
      </w:r>
      <w:r w:rsidR="0027573C" w:rsidRPr="00BE0C02">
        <w:t xml:space="preserve"> </w:t>
      </w:r>
      <w:r w:rsidR="00DA3140" w:rsidRPr="00BE0C02">
        <w:t xml:space="preserve">need not provide the reconciliations required by </w:t>
      </w:r>
      <w:r w:rsidR="00360E31">
        <w:t>AASB 1060</w:t>
      </w:r>
      <w:r w:rsidR="00C029D5" w:rsidRPr="00BE0C02">
        <w:t xml:space="preserve"> paragraph</w:t>
      </w:r>
      <w:r w:rsidR="005A0D3C" w:rsidRPr="00BE0C02">
        <w:t>s</w:t>
      </w:r>
      <w:r w:rsidR="00C029D5" w:rsidRPr="00BE0C02">
        <w:t xml:space="preserve"> </w:t>
      </w:r>
      <w:r w:rsidR="00FB4D39">
        <w:t>210</w:t>
      </w:r>
      <w:r w:rsidR="00167AB1" w:rsidRPr="00BE0C02">
        <w:t>(b)</w:t>
      </w:r>
      <w:r w:rsidR="005A0D3C" w:rsidRPr="00BE0C02">
        <w:t xml:space="preserve"> and </w:t>
      </w:r>
      <w:r w:rsidR="00167AB1" w:rsidRPr="00BE0C02">
        <w:t xml:space="preserve">(c). </w:t>
      </w:r>
      <w:r w:rsidR="00976197" w:rsidRPr="00BE0C02">
        <w:t>The</w:t>
      </w:r>
      <w:r w:rsidR="00EA0F3E" w:rsidRPr="00BE0C02">
        <w:t xml:space="preserve"> entity </w:t>
      </w:r>
      <w:r w:rsidRPr="00BE0C02">
        <w:t>shall:</w:t>
      </w:r>
    </w:p>
    <w:p w14:paraId="549EE5CB" w14:textId="7419E14D" w:rsidR="006D517D" w:rsidRPr="00BE0C02" w:rsidRDefault="006D517D" w:rsidP="006D517D">
      <w:pPr>
        <w:pStyle w:val="AusG2"/>
        <w:spacing w:after="0"/>
      </w:pPr>
      <w:r w:rsidRPr="00BE0C02">
        <w:t>(a)</w:t>
      </w:r>
      <w:r w:rsidRPr="00BE0C02">
        <w:tab/>
        <w:t>present two statements of financial position</w:t>
      </w:r>
      <w:r w:rsidR="00DD6910" w:rsidRPr="00BE0C02">
        <w:t>, two</w:t>
      </w:r>
      <w:r w:rsidR="001B264B" w:rsidRPr="00BE0C02">
        <w:t xml:space="preserve"> statements of profit or loss and other comprehensive income</w:t>
      </w:r>
      <w:r w:rsidR="00A156D0" w:rsidRPr="00BE0C02">
        <w:t xml:space="preserve">, </w:t>
      </w:r>
      <w:r w:rsidR="001B264B" w:rsidRPr="00BE0C02">
        <w:t xml:space="preserve">two separate statements of profit or loss (if presented), </w:t>
      </w:r>
      <w:r w:rsidR="00F663AD" w:rsidRPr="00BE0C02">
        <w:t xml:space="preserve">two statements of cash flows and two statements of changes </w:t>
      </w:r>
      <w:r w:rsidR="00F41536" w:rsidRPr="00BE0C02">
        <w:t>in</w:t>
      </w:r>
      <w:r w:rsidR="00F663AD" w:rsidRPr="00BE0C02">
        <w:t xml:space="preserve"> equity and related notes, </w:t>
      </w:r>
      <w:r w:rsidRPr="00BE0C02">
        <w:t>as follows:</w:t>
      </w:r>
    </w:p>
    <w:p w14:paraId="6EE273A9" w14:textId="00C39D7F" w:rsidR="006D517D" w:rsidRPr="00BE0C02" w:rsidRDefault="006D517D" w:rsidP="006D517D">
      <w:pPr>
        <w:pStyle w:val="AusG3"/>
        <w:spacing w:after="0"/>
      </w:pPr>
      <w:r w:rsidRPr="00BE0C02">
        <w:t>(i)</w:t>
      </w:r>
      <w:r w:rsidRPr="00BE0C02">
        <w:tab/>
        <w:t>the statement</w:t>
      </w:r>
      <w:r w:rsidR="000432F0" w:rsidRPr="00BE0C02">
        <w:t>s and related notes</w:t>
      </w:r>
      <w:r w:rsidRPr="00BE0C02">
        <w:t xml:space="preserve"> as at the end of the first Australian-Accounting-Standards reporting period, compliant with Australian Accounting Standards; and</w:t>
      </w:r>
    </w:p>
    <w:p w14:paraId="007C0F36" w14:textId="25641CF6" w:rsidR="006D517D" w:rsidRPr="00BE0C02" w:rsidRDefault="006D517D" w:rsidP="006D517D">
      <w:pPr>
        <w:pStyle w:val="AusG3"/>
        <w:spacing w:after="0"/>
      </w:pPr>
      <w:r w:rsidRPr="00BE0C02">
        <w:t>(ii)</w:t>
      </w:r>
      <w:r w:rsidRPr="00BE0C02">
        <w:tab/>
        <w:t>the statement</w:t>
      </w:r>
      <w:r w:rsidR="000432F0" w:rsidRPr="00BE0C02">
        <w:t>s and related notes</w:t>
      </w:r>
      <w:r w:rsidRPr="00BE0C02">
        <w:t xml:space="preserve"> presented in its most recent previous special purpose financial statements (not necessarily compliant with Australian Accounting Standards); </w:t>
      </w:r>
    </w:p>
    <w:p w14:paraId="326044FD" w14:textId="2A7AB592" w:rsidR="006D517D" w:rsidRDefault="006D517D" w:rsidP="006D517D">
      <w:pPr>
        <w:pStyle w:val="AusG2"/>
        <w:spacing w:after="0"/>
      </w:pPr>
    </w:p>
    <w:p w14:paraId="787E56F9" w14:textId="08FC9C46" w:rsidR="00EC5D33" w:rsidRPr="00BE0C02" w:rsidRDefault="00EC5D33" w:rsidP="006D517D">
      <w:pPr>
        <w:pStyle w:val="AusG2"/>
        <w:spacing w:after="0"/>
      </w:pPr>
      <w:r>
        <w:lastRenderedPageBreak/>
        <w:t>(b)</w:t>
      </w:r>
      <w:r w:rsidR="001C4825">
        <w:tab/>
      </w:r>
      <w:r w:rsidR="00CA6423">
        <w:t>disclose</w:t>
      </w:r>
      <w:r w:rsidR="005A15A5">
        <w:t xml:space="preserve"> a reconciliation of its equity </w:t>
      </w:r>
      <w:r w:rsidR="00910E65">
        <w:t xml:space="preserve">presented </w:t>
      </w:r>
      <w:r w:rsidR="00641616">
        <w:t>in its most recent previous special purpose financial statements</w:t>
      </w:r>
      <w:r w:rsidR="00577AC9">
        <w:t xml:space="preserve"> to its equity determined in accordance with Australian </w:t>
      </w:r>
      <w:r w:rsidR="00046C5F">
        <w:t xml:space="preserve">Accounting Standards – Simplified Disclosures </w:t>
      </w:r>
      <w:r w:rsidR="00CA6423">
        <w:t>at</w:t>
      </w:r>
      <w:r w:rsidR="00A63753">
        <w:t xml:space="preserve"> the date of transition to Australian Accounting Standards – Simplified Disclosures;</w:t>
      </w:r>
    </w:p>
    <w:p w14:paraId="09E88C6C" w14:textId="63EE9AD2" w:rsidR="006D517D" w:rsidRPr="00BE0C02" w:rsidRDefault="006D517D" w:rsidP="006D517D">
      <w:pPr>
        <w:pStyle w:val="AusG2"/>
        <w:spacing w:after="0"/>
      </w:pPr>
      <w:r w:rsidRPr="00BE0C02">
        <w:t>(</w:t>
      </w:r>
      <w:r w:rsidR="00860B73" w:rsidRPr="00BE0C02">
        <w:t>c</w:t>
      </w:r>
      <w:r w:rsidRPr="00BE0C02">
        <w:t>)</w:t>
      </w:r>
      <w:r w:rsidRPr="00BE0C02">
        <w:tab/>
        <w:t xml:space="preserve">disclose a description of the main adjustments that would have been required to make the comparative statement of profit or loss and other comprehensive income </w:t>
      </w:r>
      <w:r w:rsidR="00246D7D" w:rsidRPr="00BE0C02">
        <w:t xml:space="preserve">and separate </w:t>
      </w:r>
      <w:r w:rsidR="000432F0" w:rsidRPr="00BE0C02">
        <w:t>statement of profit or loss</w:t>
      </w:r>
      <w:r w:rsidR="00246D7D" w:rsidRPr="00BE0C02">
        <w:t xml:space="preserve"> (if presented)</w:t>
      </w:r>
      <w:r w:rsidRPr="00BE0C02">
        <w:t xml:space="preserve"> compliant with Australian Accounting Standards. </w:t>
      </w:r>
      <w:r w:rsidR="001D13DC" w:rsidRPr="00BE0C02">
        <w:t>The</w:t>
      </w:r>
      <w:r w:rsidRPr="00BE0C02">
        <w:t xml:space="preserve"> entity need not quantify those adjustments; and</w:t>
      </w:r>
    </w:p>
    <w:p w14:paraId="395FC3CF" w14:textId="53B6445A" w:rsidR="006D517D" w:rsidRPr="00BE0C02" w:rsidRDefault="006D517D" w:rsidP="006D517D">
      <w:pPr>
        <w:pStyle w:val="AusG2"/>
        <w:spacing w:after="0"/>
      </w:pPr>
      <w:r w:rsidRPr="00BE0C02">
        <w:t>(</w:t>
      </w:r>
      <w:r w:rsidR="00860B73" w:rsidRPr="00BE0C02">
        <w:t>d</w:t>
      </w:r>
      <w:r w:rsidRPr="00BE0C02">
        <w:t>)</w:t>
      </w:r>
      <w:r w:rsidRPr="00BE0C02">
        <w:tab/>
        <w:t>prominently label the comparative information that is not compliant with Australian Accounting Standards as such.</w:t>
      </w:r>
    </w:p>
    <w:p w14:paraId="4CC34B0F" w14:textId="77777777" w:rsidR="000C6EAA" w:rsidRPr="00BE0C02" w:rsidRDefault="000C6EAA" w:rsidP="000C6EAA">
      <w:pPr>
        <w:pStyle w:val="Heading2"/>
        <w:jc w:val="both"/>
      </w:pPr>
      <w:r w:rsidRPr="00BE0C02">
        <w:t>Amendments to AASB 1057</w:t>
      </w:r>
    </w:p>
    <w:p w14:paraId="7B235464" w14:textId="18CC180B" w:rsidR="000C6EAA" w:rsidRPr="00BE0C02" w:rsidRDefault="000C6EAA" w:rsidP="000C6EAA">
      <w:pPr>
        <w:pBdr>
          <w:top w:val="single" w:sz="4" w:space="1" w:color="auto"/>
          <w:left w:val="single" w:sz="4" w:space="4" w:color="auto"/>
          <w:bottom w:val="single" w:sz="4" w:space="1" w:color="auto"/>
          <w:right w:val="single" w:sz="4" w:space="4" w:color="auto"/>
        </w:pBdr>
        <w:autoSpaceDE w:val="0"/>
        <w:autoSpaceDN w:val="0"/>
        <w:adjustRightInd w:val="0"/>
        <w:rPr>
          <w:szCs w:val="19"/>
        </w:rPr>
      </w:pPr>
      <w:r w:rsidRPr="00BE0C02">
        <w:rPr>
          <w:szCs w:val="19"/>
        </w:rPr>
        <w:t>Paragraph</w:t>
      </w:r>
      <w:r w:rsidR="008A29A2" w:rsidRPr="00BE0C02">
        <w:rPr>
          <w:szCs w:val="19"/>
        </w:rPr>
        <w:t>s</w:t>
      </w:r>
      <w:r w:rsidRPr="00BE0C02">
        <w:rPr>
          <w:szCs w:val="19"/>
        </w:rPr>
        <w:t xml:space="preserve"> 2, 5</w:t>
      </w:r>
      <w:r w:rsidR="00B91C84" w:rsidRPr="00BE0C02">
        <w:rPr>
          <w:szCs w:val="19"/>
        </w:rPr>
        <w:t xml:space="preserve">, </w:t>
      </w:r>
      <w:r w:rsidR="005E2808" w:rsidRPr="00BE0C02">
        <w:rPr>
          <w:szCs w:val="19"/>
        </w:rPr>
        <w:t>6–7</w:t>
      </w:r>
      <w:r w:rsidR="00F73C82" w:rsidRPr="00BE0C02">
        <w:rPr>
          <w:szCs w:val="19"/>
        </w:rPr>
        <w:t xml:space="preserve">, 9, </w:t>
      </w:r>
      <w:r w:rsidR="005E4584" w:rsidRPr="00BE0C02">
        <w:rPr>
          <w:szCs w:val="19"/>
        </w:rPr>
        <w:t>10</w:t>
      </w:r>
      <w:r w:rsidRPr="00BE0C02">
        <w:rPr>
          <w:szCs w:val="19"/>
        </w:rPr>
        <w:t>, 12, 18, 20, 22–24 and 26 and the Appendix are amended.</w:t>
      </w:r>
      <w:r w:rsidR="00F73C82" w:rsidRPr="00BE0C02">
        <w:rPr>
          <w:szCs w:val="19"/>
        </w:rPr>
        <w:t xml:space="preserve"> Paragraph 8 is deleted.</w:t>
      </w:r>
    </w:p>
    <w:p w14:paraId="15696748" w14:textId="77777777" w:rsidR="000C6EAA" w:rsidRPr="00BE0C02" w:rsidRDefault="000C6EAA" w:rsidP="000C6EAA">
      <w:pPr>
        <w:pStyle w:val="Heading2"/>
        <w:spacing w:before="240"/>
        <w:jc w:val="both"/>
      </w:pPr>
      <w:r w:rsidRPr="00BE0C02">
        <w:t>Application of this Standard</w:t>
      </w:r>
    </w:p>
    <w:p w14:paraId="07ABFED1" w14:textId="77777777" w:rsidR="000C6EAA" w:rsidRPr="00BE0C02" w:rsidRDefault="000C6EAA" w:rsidP="00F1668B">
      <w:pPr>
        <w:pStyle w:val="IASBNormalnpara"/>
        <w:rPr>
          <w:b/>
          <w:szCs w:val="19"/>
          <w:lang w:val="en-AU"/>
        </w:rPr>
      </w:pPr>
      <w:r w:rsidRPr="00BE0C02">
        <w:rPr>
          <w:b/>
          <w:szCs w:val="19"/>
          <w:lang w:val="en-AU"/>
        </w:rPr>
        <w:t>2</w:t>
      </w:r>
      <w:r w:rsidRPr="00BE0C02">
        <w:rPr>
          <w:b/>
          <w:szCs w:val="19"/>
          <w:lang w:val="en-AU"/>
        </w:rPr>
        <w:tab/>
        <w:t>This Standard applies to:</w:t>
      </w:r>
    </w:p>
    <w:p w14:paraId="6C5B3A3E" w14:textId="77777777" w:rsidR="000C6EAA" w:rsidRPr="00BE0C02" w:rsidRDefault="00F1668B" w:rsidP="00F1668B">
      <w:pPr>
        <w:pStyle w:val="IASBNormalnparaL1"/>
        <w:rPr>
          <w:b/>
          <w:szCs w:val="19"/>
          <w:lang w:val="en-AU"/>
        </w:rPr>
      </w:pPr>
      <w:r w:rsidRPr="00BE0C02">
        <w:rPr>
          <w:b/>
          <w:szCs w:val="19"/>
          <w:lang w:val="en-AU"/>
        </w:rPr>
        <w:t>(a)</w:t>
      </w:r>
      <w:r w:rsidRPr="00BE0C02">
        <w:rPr>
          <w:b/>
          <w:szCs w:val="19"/>
          <w:lang w:val="en-AU"/>
        </w:rPr>
        <w:tab/>
      </w:r>
      <w:r w:rsidR="000C6EAA" w:rsidRPr="00BE0C02">
        <w:rPr>
          <w:b/>
          <w:szCs w:val="19"/>
          <w:lang w:val="en-AU"/>
        </w:rPr>
        <w:t>each entity that is required to prepare financial reports in accordance with Part 2M.3 of the Corporations Act;</w:t>
      </w:r>
    </w:p>
    <w:p w14:paraId="02D63DB6" w14:textId="6881F2AE" w:rsidR="000C6EAA" w:rsidRPr="00BE0C02" w:rsidRDefault="00F1668B" w:rsidP="00F1668B">
      <w:pPr>
        <w:pStyle w:val="IASBNormalnparaL1"/>
        <w:rPr>
          <w:b/>
          <w:szCs w:val="19"/>
          <w:lang w:val="en-AU"/>
        </w:rPr>
      </w:pPr>
      <w:r w:rsidRPr="00BE0C02">
        <w:rPr>
          <w:b/>
          <w:szCs w:val="19"/>
          <w:lang w:val="en-AU"/>
        </w:rPr>
        <w:t>(b)</w:t>
      </w:r>
      <w:r w:rsidRPr="00BE0C02">
        <w:rPr>
          <w:b/>
          <w:szCs w:val="19"/>
          <w:lang w:val="en-AU"/>
        </w:rPr>
        <w:tab/>
      </w:r>
      <w:r w:rsidR="000C6EAA" w:rsidRPr="00BE0C02">
        <w:rPr>
          <w:b/>
          <w:i/>
          <w:szCs w:val="19"/>
          <w:lang w:val="en-AU"/>
        </w:rPr>
        <w:t>general purpose financial statements</w:t>
      </w:r>
      <w:r w:rsidR="000C6EAA" w:rsidRPr="00BE0C02">
        <w:rPr>
          <w:b/>
          <w:szCs w:val="19"/>
          <w:lang w:val="en-AU"/>
        </w:rPr>
        <w:t xml:space="preserve"> of each </w:t>
      </w:r>
      <w:r w:rsidR="004608A5" w:rsidRPr="00BE0C02">
        <w:rPr>
          <w:b/>
          <w:szCs w:val="19"/>
          <w:u w:val="single"/>
          <w:lang w:val="en-AU"/>
        </w:rPr>
        <w:t>not-for-profit</w:t>
      </w:r>
      <w:r w:rsidR="004608A5" w:rsidRPr="00BE0C02">
        <w:rPr>
          <w:b/>
          <w:szCs w:val="19"/>
          <w:lang w:val="en-AU"/>
        </w:rPr>
        <w:t xml:space="preserve"> </w:t>
      </w:r>
      <w:r w:rsidR="000C6EAA" w:rsidRPr="00BE0C02">
        <w:rPr>
          <w:b/>
          <w:i/>
          <w:szCs w:val="19"/>
          <w:lang w:val="en-AU"/>
        </w:rPr>
        <w:t>reporting</w:t>
      </w:r>
      <w:r w:rsidR="000C6EAA" w:rsidRPr="00BE0C02">
        <w:rPr>
          <w:b/>
          <w:szCs w:val="19"/>
          <w:lang w:val="en-AU"/>
        </w:rPr>
        <w:t xml:space="preserve"> </w:t>
      </w:r>
      <w:r w:rsidR="000C6EAA" w:rsidRPr="00BE0C02">
        <w:rPr>
          <w:b/>
          <w:i/>
          <w:szCs w:val="19"/>
          <w:lang w:val="en-AU"/>
        </w:rPr>
        <w:t>entity</w:t>
      </w:r>
      <w:r w:rsidR="000C6EAA" w:rsidRPr="00BE0C02">
        <w:rPr>
          <w:b/>
          <w:szCs w:val="19"/>
          <w:lang w:val="en-AU"/>
        </w:rPr>
        <w:t>;</w:t>
      </w:r>
    </w:p>
    <w:p w14:paraId="700A12DB" w14:textId="58B626B5" w:rsidR="000C6EAA" w:rsidRPr="00BE0C02" w:rsidRDefault="00F1668B" w:rsidP="00F1668B">
      <w:pPr>
        <w:pStyle w:val="IASBNormalnparaL1"/>
        <w:rPr>
          <w:b/>
          <w:szCs w:val="19"/>
          <w:lang w:val="en-AU"/>
        </w:rPr>
      </w:pPr>
      <w:r w:rsidRPr="00BE0C02">
        <w:rPr>
          <w:b/>
          <w:szCs w:val="19"/>
          <w:lang w:val="en-AU"/>
        </w:rPr>
        <w:t>(c)</w:t>
      </w:r>
      <w:r w:rsidRPr="00BE0C02">
        <w:rPr>
          <w:b/>
          <w:szCs w:val="19"/>
          <w:lang w:val="en-AU"/>
        </w:rPr>
        <w:tab/>
      </w:r>
      <w:r w:rsidR="00A57E23" w:rsidRPr="00BE0C02">
        <w:rPr>
          <w:b/>
          <w:szCs w:val="19"/>
          <w:u w:val="single"/>
          <w:lang w:val="en-AU"/>
        </w:rPr>
        <w:t xml:space="preserve">each entity that elects to prepare </w:t>
      </w:r>
      <w:r w:rsidR="000C6EAA" w:rsidRPr="00BE0C02">
        <w:rPr>
          <w:b/>
          <w:szCs w:val="19"/>
          <w:lang w:val="en-AU"/>
        </w:rPr>
        <w:t>financial statements that are, or are held out to be, general purpose financial statements;</w:t>
      </w:r>
    </w:p>
    <w:p w14:paraId="4D824E0D" w14:textId="77777777" w:rsidR="000C6EAA" w:rsidRPr="00BE0C02" w:rsidRDefault="00F1668B" w:rsidP="00F1668B">
      <w:pPr>
        <w:pStyle w:val="IASBNormalnparaL1"/>
        <w:rPr>
          <w:b/>
          <w:szCs w:val="19"/>
          <w:u w:val="single"/>
          <w:lang w:val="en-AU"/>
        </w:rPr>
      </w:pPr>
      <w:r w:rsidRPr="00BE0C02">
        <w:rPr>
          <w:b/>
          <w:szCs w:val="19"/>
          <w:lang w:val="en-AU"/>
        </w:rPr>
        <w:t>(d)</w:t>
      </w:r>
      <w:r w:rsidRPr="00BE0C02">
        <w:rPr>
          <w:b/>
          <w:szCs w:val="19"/>
          <w:lang w:val="en-AU"/>
        </w:rPr>
        <w:tab/>
      </w:r>
      <w:r w:rsidR="000C6EAA" w:rsidRPr="00BE0C02">
        <w:rPr>
          <w:b/>
          <w:szCs w:val="19"/>
          <w:lang w:val="en-AU"/>
        </w:rPr>
        <w:t xml:space="preserve">financial statements of General Government Sectors (GGSs) prepared in accordance with AASB 1049 </w:t>
      </w:r>
      <w:r w:rsidR="000C6EAA" w:rsidRPr="00BE0C02">
        <w:rPr>
          <w:b/>
          <w:i/>
          <w:szCs w:val="19"/>
          <w:lang w:val="en-AU"/>
        </w:rPr>
        <w:t>Whole of Government and General Government Sector Financial Reporting</w:t>
      </w:r>
      <w:r w:rsidR="000C6EAA" w:rsidRPr="00BE0C02">
        <w:rPr>
          <w:b/>
          <w:szCs w:val="19"/>
          <w:lang w:val="en-AU"/>
        </w:rPr>
        <w:t xml:space="preserve">; </w:t>
      </w:r>
      <w:r w:rsidR="000C6EAA" w:rsidRPr="00BE0C02">
        <w:rPr>
          <w:b/>
          <w:strike/>
          <w:szCs w:val="19"/>
          <w:lang w:val="en-AU"/>
        </w:rPr>
        <w:t>and</w:t>
      </w:r>
    </w:p>
    <w:p w14:paraId="1AF92842" w14:textId="11CEC7B7" w:rsidR="00674218" w:rsidRPr="00BE0C02" w:rsidRDefault="00F1668B" w:rsidP="00F1668B">
      <w:pPr>
        <w:pStyle w:val="IASBNormalnparaL1"/>
        <w:rPr>
          <w:b/>
          <w:szCs w:val="19"/>
          <w:lang w:val="en-AU"/>
        </w:rPr>
      </w:pPr>
      <w:r w:rsidRPr="00BE0C02">
        <w:rPr>
          <w:b/>
          <w:szCs w:val="19"/>
          <w:lang w:val="en-AU"/>
        </w:rPr>
        <w:t>(e)</w:t>
      </w:r>
      <w:r w:rsidRPr="00BE0C02">
        <w:rPr>
          <w:b/>
          <w:szCs w:val="19"/>
          <w:lang w:val="en-AU"/>
        </w:rPr>
        <w:tab/>
      </w:r>
      <w:r w:rsidR="000C6EAA" w:rsidRPr="00BE0C02">
        <w:rPr>
          <w:b/>
          <w:szCs w:val="19"/>
          <w:lang w:val="en-AU"/>
        </w:rPr>
        <w:t xml:space="preserve">for-profit private sector entities that </w:t>
      </w:r>
      <w:r w:rsidR="000C6EAA" w:rsidRPr="00BE0C02">
        <w:rPr>
          <w:b/>
          <w:strike/>
          <w:szCs w:val="19"/>
          <w:lang w:val="en-AU"/>
        </w:rPr>
        <w:t xml:space="preserve">have public accountability and </w:t>
      </w:r>
      <w:r w:rsidR="000C6EAA" w:rsidRPr="00BE0C02">
        <w:rPr>
          <w:b/>
          <w:szCs w:val="19"/>
          <w:lang w:val="en-AU"/>
        </w:rPr>
        <w:t>are required by legislation</w:t>
      </w:r>
      <w:r w:rsidR="00227385" w:rsidRPr="00BE0C02">
        <w:rPr>
          <w:b/>
          <w:szCs w:val="19"/>
          <w:u w:val="single"/>
          <w:lang w:val="en-AU"/>
        </w:rPr>
        <w:t>*</w:t>
      </w:r>
      <w:r w:rsidR="000C6EAA" w:rsidRPr="00BE0C02">
        <w:rPr>
          <w:b/>
          <w:szCs w:val="19"/>
          <w:lang w:val="en-AU"/>
        </w:rPr>
        <w:t xml:space="preserve"> to </w:t>
      </w:r>
      <w:r w:rsidR="00A43D8B" w:rsidRPr="00BE0C02">
        <w:rPr>
          <w:b/>
          <w:szCs w:val="19"/>
          <w:u w:val="single"/>
          <w:lang w:val="en-AU"/>
        </w:rPr>
        <w:t>prepare financial statements that</w:t>
      </w:r>
      <w:r w:rsidR="00A43D8B" w:rsidRPr="00BE0C02">
        <w:rPr>
          <w:b/>
          <w:szCs w:val="19"/>
          <w:lang w:val="en-AU"/>
        </w:rPr>
        <w:t xml:space="preserve"> </w:t>
      </w:r>
      <w:r w:rsidR="000C6EAA" w:rsidRPr="00BE0C02">
        <w:rPr>
          <w:b/>
          <w:szCs w:val="19"/>
          <w:lang w:val="en-AU"/>
        </w:rPr>
        <w:t xml:space="preserve">comply with </w:t>
      </w:r>
      <w:r w:rsidR="002238E0" w:rsidRPr="00BE0C02">
        <w:rPr>
          <w:b/>
          <w:szCs w:val="19"/>
          <w:u w:val="single"/>
          <w:lang w:val="en-AU"/>
        </w:rPr>
        <w:t>either</w:t>
      </w:r>
      <w:r w:rsidR="000C6EAA" w:rsidRPr="00BE0C02">
        <w:rPr>
          <w:b/>
          <w:szCs w:val="19"/>
          <w:lang w:val="en-AU"/>
        </w:rPr>
        <w:t xml:space="preserve"> Australian Accounting Standards</w:t>
      </w:r>
      <w:r w:rsidR="00674218" w:rsidRPr="00BE0C02">
        <w:rPr>
          <w:b/>
          <w:szCs w:val="19"/>
          <w:u w:val="single"/>
          <w:lang w:val="en-AU"/>
        </w:rPr>
        <w:t xml:space="preserve"> or accounting standards; and</w:t>
      </w:r>
    </w:p>
    <w:p w14:paraId="638A3627" w14:textId="663472DF" w:rsidR="009941BB" w:rsidRPr="00BE0C02" w:rsidRDefault="00D11937" w:rsidP="00F1668B">
      <w:pPr>
        <w:pStyle w:val="IASBNormalnparaL1"/>
        <w:rPr>
          <w:b/>
          <w:szCs w:val="19"/>
          <w:lang w:val="en-AU"/>
        </w:rPr>
      </w:pPr>
      <w:r w:rsidRPr="00BE0C02">
        <w:rPr>
          <w:b/>
          <w:szCs w:val="19"/>
          <w:u w:val="single"/>
          <w:lang w:val="en-AU"/>
        </w:rPr>
        <w:t>(f)</w:t>
      </w:r>
      <w:r w:rsidRPr="00BE0C02">
        <w:rPr>
          <w:b/>
          <w:szCs w:val="19"/>
          <w:u w:val="single"/>
          <w:lang w:val="en-AU"/>
        </w:rPr>
        <w:tab/>
      </w:r>
      <w:r w:rsidR="00674218" w:rsidRPr="00BE0C02">
        <w:rPr>
          <w:b/>
          <w:szCs w:val="19"/>
          <w:u w:val="single"/>
          <w:lang w:val="en-AU"/>
        </w:rPr>
        <w:t xml:space="preserve">other for-profit private sector entities that are required only by their constituting document </w:t>
      </w:r>
      <w:r w:rsidR="00DE0238" w:rsidRPr="00BE0C02">
        <w:rPr>
          <w:b/>
          <w:szCs w:val="19"/>
          <w:u w:val="single"/>
          <w:lang w:val="en-AU"/>
        </w:rPr>
        <w:t xml:space="preserve">or another document </w:t>
      </w:r>
      <w:r w:rsidR="00674218" w:rsidRPr="00BE0C02">
        <w:rPr>
          <w:b/>
          <w:szCs w:val="19"/>
          <w:u w:val="single"/>
          <w:lang w:val="en-AU"/>
        </w:rPr>
        <w:t>to</w:t>
      </w:r>
      <w:r w:rsidR="00A43D8B" w:rsidRPr="00BE0C02">
        <w:rPr>
          <w:b/>
          <w:szCs w:val="19"/>
          <w:u w:val="single"/>
          <w:lang w:val="en-AU"/>
        </w:rPr>
        <w:t xml:space="preserve"> prepare financial statements that</w:t>
      </w:r>
      <w:r w:rsidR="00674218" w:rsidRPr="00BE0C02">
        <w:rPr>
          <w:b/>
          <w:szCs w:val="19"/>
          <w:u w:val="single"/>
          <w:lang w:val="en-AU"/>
        </w:rPr>
        <w:t xml:space="preserve"> comply with Australian Accounting Standards, provided that the </w:t>
      </w:r>
      <w:r w:rsidR="00DE0238" w:rsidRPr="00BE0C02">
        <w:rPr>
          <w:b/>
          <w:szCs w:val="19"/>
          <w:u w:val="single"/>
          <w:lang w:val="en-AU"/>
        </w:rPr>
        <w:t xml:space="preserve">relevant </w:t>
      </w:r>
      <w:r w:rsidR="00674218" w:rsidRPr="00BE0C02">
        <w:rPr>
          <w:b/>
          <w:szCs w:val="19"/>
          <w:u w:val="single"/>
          <w:lang w:val="en-AU"/>
        </w:rPr>
        <w:t xml:space="preserve">document was created or amended on or after 1 July </w:t>
      </w:r>
      <w:r w:rsidR="00B63DD5" w:rsidRPr="00BE0C02">
        <w:rPr>
          <w:b/>
          <w:szCs w:val="19"/>
          <w:u w:val="single"/>
          <w:lang w:val="en-AU"/>
        </w:rPr>
        <w:t>2021</w:t>
      </w:r>
      <w:r w:rsidR="00674218" w:rsidRPr="00BE0C02">
        <w:rPr>
          <w:b/>
          <w:szCs w:val="19"/>
          <w:lang w:val="en-AU"/>
        </w:rPr>
        <w:t>.</w:t>
      </w:r>
    </w:p>
    <w:p w14:paraId="18DA9C0B" w14:textId="77777777" w:rsidR="00227385" w:rsidRPr="00BE0C02" w:rsidRDefault="00227385" w:rsidP="00227385">
      <w:pPr>
        <w:pStyle w:val="IASBNormalnparaL1"/>
        <w:ind w:left="1491" w:hanging="709"/>
        <w:rPr>
          <w:sz w:val="16"/>
          <w:szCs w:val="16"/>
        </w:rPr>
      </w:pPr>
      <w:r w:rsidRPr="00BE0C02">
        <w:rPr>
          <w:sz w:val="16"/>
          <w:szCs w:val="16"/>
          <w:u w:val="single"/>
        </w:rPr>
        <w:t>*</w:t>
      </w:r>
      <w:r w:rsidRPr="00BE0C02">
        <w:rPr>
          <w:sz w:val="16"/>
          <w:szCs w:val="16"/>
        </w:rPr>
        <w:t xml:space="preserve"> </w:t>
      </w:r>
      <w:r w:rsidRPr="00BE0C02">
        <w:rPr>
          <w:sz w:val="16"/>
          <w:szCs w:val="16"/>
        </w:rPr>
        <w:tab/>
      </w:r>
      <w:r w:rsidRPr="00BE0C02">
        <w:rPr>
          <w:sz w:val="16"/>
          <w:szCs w:val="16"/>
          <w:u w:val="single"/>
        </w:rPr>
        <w:t>References in this Standard to ‘legislation’ mean legislation of a government in Australia.</w:t>
      </w:r>
    </w:p>
    <w:p w14:paraId="484C6FA0" w14:textId="15A1039A" w:rsidR="000C6EAA" w:rsidRPr="00BE0C02" w:rsidRDefault="00227385" w:rsidP="003C6ABD">
      <w:pPr>
        <w:pStyle w:val="Default"/>
        <w:spacing w:before="100"/>
        <w:ind w:left="992" w:hanging="992"/>
        <w:jc w:val="both"/>
        <w:rPr>
          <w:bCs/>
          <w:color w:val="auto"/>
          <w:sz w:val="19"/>
          <w:szCs w:val="19"/>
        </w:rPr>
      </w:pPr>
      <w:r w:rsidRPr="00BE0C02">
        <w:rPr>
          <w:bCs/>
          <w:color w:val="auto"/>
          <w:sz w:val="19"/>
          <w:szCs w:val="19"/>
        </w:rPr>
        <w:t xml:space="preserve"> </w:t>
      </w:r>
      <w:r w:rsidR="000C6EAA" w:rsidRPr="00BE0C02">
        <w:rPr>
          <w:bCs/>
          <w:color w:val="auto"/>
          <w:sz w:val="19"/>
          <w:szCs w:val="19"/>
        </w:rPr>
        <w:t>…</w:t>
      </w:r>
    </w:p>
    <w:p w14:paraId="376337D3" w14:textId="77777777" w:rsidR="000C6EAA" w:rsidRPr="00BE0C02" w:rsidRDefault="000C6EAA" w:rsidP="000C6EAA">
      <w:pPr>
        <w:pStyle w:val="Heading2"/>
        <w:spacing w:before="240"/>
        <w:jc w:val="both"/>
      </w:pPr>
      <w:r w:rsidRPr="00BE0C02">
        <w:t>Application of Australian Accounting Standards</w:t>
      </w:r>
    </w:p>
    <w:p w14:paraId="7461664D" w14:textId="5FBC03BC" w:rsidR="000C6EAA" w:rsidRPr="00BE0C02" w:rsidRDefault="0048159A" w:rsidP="00F1668B">
      <w:pPr>
        <w:pStyle w:val="IASBNormalnpara"/>
        <w:rPr>
          <w:b/>
          <w:szCs w:val="19"/>
          <w:lang w:val="en-AU"/>
        </w:rPr>
      </w:pPr>
      <w:r w:rsidRPr="00BE0C02">
        <w:rPr>
          <w:b/>
          <w:szCs w:val="19"/>
          <w:lang w:val="en-AU"/>
        </w:rPr>
        <w:t>5</w:t>
      </w:r>
      <w:r w:rsidR="000C6EAA" w:rsidRPr="00BE0C02">
        <w:rPr>
          <w:b/>
          <w:szCs w:val="19"/>
          <w:lang w:val="en-AU"/>
        </w:rPr>
        <w:tab/>
        <w:t xml:space="preserve">Unless specified otherwise in paragraphs </w:t>
      </w:r>
      <w:r w:rsidR="001F4AFB" w:rsidRPr="00BE0C02">
        <w:rPr>
          <w:b/>
          <w:szCs w:val="19"/>
          <w:lang w:val="en-AU"/>
        </w:rPr>
        <w:t>5A</w:t>
      </w:r>
      <w:r w:rsidR="00480B2D" w:rsidRPr="00BE0C02">
        <w:rPr>
          <w:b/>
          <w:szCs w:val="19"/>
          <w:lang w:val="en-AU"/>
        </w:rPr>
        <w:t>–</w:t>
      </w:r>
      <w:r w:rsidR="000C6EAA" w:rsidRPr="00BE0C02">
        <w:rPr>
          <w:b/>
          <w:szCs w:val="19"/>
          <w:lang w:val="en-AU"/>
        </w:rPr>
        <w:t>21, Australian Accounting Standards apply to:</w:t>
      </w:r>
    </w:p>
    <w:p w14:paraId="579E9135" w14:textId="68EF6AF6" w:rsidR="000C6EAA" w:rsidRPr="00BE0C02" w:rsidRDefault="00F1668B" w:rsidP="00F1668B">
      <w:pPr>
        <w:pStyle w:val="IASBNormalnparaL1"/>
        <w:rPr>
          <w:b/>
          <w:szCs w:val="19"/>
          <w:lang w:val="en-AU"/>
        </w:rPr>
      </w:pPr>
      <w:r w:rsidRPr="00BE0C02">
        <w:rPr>
          <w:b/>
          <w:szCs w:val="19"/>
          <w:lang w:val="en-AU"/>
        </w:rPr>
        <w:t>(a)</w:t>
      </w:r>
      <w:r w:rsidRPr="00BE0C02">
        <w:rPr>
          <w:b/>
          <w:szCs w:val="19"/>
          <w:lang w:val="en-AU"/>
        </w:rPr>
        <w:tab/>
      </w:r>
      <w:r w:rsidR="000C6EAA" w:rsidRPr="00BE0C02">
        <w:rPr>
          <w:b/>
          <w:szCs w:val="19"/>
          <w:lang w:val="en-AU"/>
        </w:rPr>
        <w:t xml:space="preserve">each </w:t>
      </w:r>
      <w:r w:rsidR="000E2F13" w:rsidRPr="00BE0C02">
        <w:rPr>
          <w:b/>
          <w:szCs w:val="19"/>
          <w:u w:val="single"/>
          <w:lang w:val="en-AU"/>
        </w:rPr>
        <w:t>not-for-profit</w:t>
      </w:r>
      <w:r w:rsidR="000C6EAA" w:rsidRPr="00BE0C02">
        <w:rPr>
          <w:b/>
          <w:szCs w:val="19"/>
          <w:u w:val="single"/>
          <w:lang w:val="en-AU"/>
        </w:rPr>
        <w:t xml:space="preserve"> entity</w:t>
      </w:r>
      <w:r w:rsidR="000C6EAA" w:rsidRPr="00BE0C02">
        <w:rPr>
          <w:b/>
          <w:szCs w:val="19"/>
          <w:lang w:val="en-AU"/>
        </w:rPr>
        <w:t xml:space="preserve"> that is required to prepare financial reports in accordance with Part 2M.3 of the Corporations Act and that is a reporting entity;</w:t>
      </w:r>
    </w:p>
    <w:p w14:paraId="79357432" w14:textId="69A86D7A" w:rsidR="000C6EAA" w:rsidRPr="00BE0C02" w:rsidRDefault="00F1668B" w:rsidP="00F1668B">
      <w:pPr>
        <w:pStyle w:val="IASBNormalnparaL1"/>
        <w:rPr>
          <w:b/>
          <w:szCs w:val="19"/>
          <w:lang w:val="en-AU"/>
        </w:rPr>
      </w:pPr>
      <w:r w:rsidRPr="00BE0C02">
        <w:rPr>
          <w:b/>
          <w:szCs w:val="19"/>
          <w:lang w:val="en-AU"/>
        </w:rPr>
        <w:t>(b)</w:t>
      </w:r>
      <w:r w:rsidRPr="00BE0C02">
        <w:rPr>
          <w:b/>
          <w:szCs w:val="19"/>
          <w:lang w:val="en-AU"/>
        </w:rPr>
        <w:tab/>
      </w:r>
      <w:r w:rsidR="000C6EAA" w:rsidRPr="00BE0C02">
        <w:rPr>
          <w:b/>
          <w:szCs w:val="19"/>
          <w:lang w:val="en-AU"/>
        </w:rPr>
        <w:t xml:space="preserve">general purpose financial statements of each other </w:t>
      </w:r>
      <w:r w:rsidR="002C60FE" w:rsidRPr="00BE0C02">
        <w:rPr>
          <w:b/>
          <w:szCs w:val="19"/>
          <w:u w:val="single"/>
          <w:lang w:val="en-AU"/>
        </w:rPr>
        <w:t>not-for-profit</w:t>
      </w:r>
      <w:r w:rsidR="004C02FA" w:rsidRPr="00BE0C02">
        <w:rPr>
          <w:b/>
          <w:szCs w:val="19"/>
          <w:u w:val="single"/>
          <w:lang w:val="en-AU"/>
        </w:rPr>
        <w:t xml:space="preserve"> entity that is a</w:t>
      </w:r>
      <w:r w:rsidR="002C60FE" w:rsidRPr="00BE0C02">
        <w:rPr>
          <w:b/>
          <w:szCs w:val="19"/>
          <w:lang w:val="en-AU"/>
        </w:rPr>
        <w:t xml:space="preserve"> </w:t>
      </w:r>
      <w:r w:rsidR="000C6EAA" w:rsidRPr="00BE0C02">
        <w:rPr>
          <w:b/>
          <w:szCs w:val="19"/>
          <w:lang w:val="en-AU"/>
        </w:rPr>
        <w:t>reporting entity;</w:t>
      </w:r>
    </w:p>
    <w:p w14:paraId="12B7891E" w14:textId="2AE18828" w:rsidR="000C6EAA" w:rsidRPr="00BE0C02" w:rsidRDefault="00F1668B" w:rsidP="00F1668B">
      <w:pPr>
        <w:pStyle w:val="IASBNormalnparaL1"/>
        <w:rPr>
          <w:b/>
          <w:szCs w:val="19"/>
          <w:lang w:val="en-AU"/>
        </w:rPr>
      </w:pPr>
      <w:r w:rsidRPr="00BE0C02">
        <w:rPr>
          <w:b/>
          <w:szCs w:val="19"/>
          <w:lang w:val="en-AU"/>
        </w:rPr>
        <w:t>(c)</w:t>
      </w:r>
      <w:r w:rsidRPr="00BE0C02">
        <w:rPr>
          <w:b/>
          <w:szCs w:val="19"/>
          <w:lang w:val="en-AU"/>
        </w:rPr>
        <w:tab/>
      </w:r>
      <w:r w:rsidR="002C60FE" w:rsidRPr="00BE0C02">
        <w:rPr>
          <w:b/>
          <w:szCs w:val="19"/>
          <w:u w:val="single"/>
          <w:lang w:val="en-AU"/>
        </w:rPr>
        <w:t>each entity that elects to prepare</w:t>
      </w:r>
      <w:r w:rsidR="002C60FE" w:rsidRPr="00BE0C02">
        <w:rPr>
          <w:b/>
          <w:szCs w:val="19"/>
          <w:lang w:val="en-AU"/>
        </w:rPr>
        <w:t xml:space="preserve"> </w:t>
      </w:r>
      <w:r w:rsidR="000C6EAA" w:rsidRPr="00BE0C02">
        <w:rPr>
          <w:b/>
          <w:szCs w:val="19"/>
          <w:lang w:val="en-AU"/>
        </w:rPr>
        <w:t xml:space="preserve">financial statements that are, or are held out to be, general purpose financial statements; </w:t>
      </w:r>
      <w:r w:rsidR="000C6EAA" w:rsidRPr="00BE0C02">
        <w:rPr>
          <w:b/>
          <w:strike/>
          <w:szCs w:val="19"/>
          <w:lang w:val="en-AU"/>
        </w:rPr>
        <w:t>and</w:t>
      </w:r>
    </w:p>
    <w:p w14:paraId="26140D8E" w14:textId="1BFFD17F" w:rsidR="00674218" w:rsidRPr="00BE0C02" w:rsidRDefault="00F1668B" w:rsidP="00F1668B">
      <w:pPr>
        <w:pStyle w:val="IASBNormalnparaL1"/>
        <w:rPr>
          <w:b/>
          <w:szCs w:val="19"/>
          <w:lang w:val="en-AU"/>
        </w:rPr>
      </w:pPr>
      <w:r w:rsidRPr="00BE0C02">
        <w:rPr>
          <w:b/>
          <w:szCs w:val="19"/>
          <w:lang w:val="en-AU"/>
        </w:rPr>
        <w:t>(d)</w:t>
      </w:r>
      <w:r w:rsidRPr="00BE0C02">
        <w:rPr>
          <w:b/>
          <w:szCs w:val="19"/>
          <w:lang w:val="en-AU"/>
        </w:rPr>
        <w:tab/>
      </w:r>
      <w:r w:rsidR="000C6EAA" w:rsidRPr="00BE0C02">
        <w:rPr>
          <w:b/>
          <w:szCs w:val="19"/>
          <w:lang w:val="en-AU"/>
        </w:rPr>
        <w:t xml:space="preserve">for-profit private sector entities that </w:t>
      </w:r>
      <w:r w:rsidR="000C6EAA" w:rsidRPr="00BE0C02">
        <w:rPr>
          <w:b/>
          <w:strike/>
          <w:szCs w:val="19"/>
          <w:lang w:val="en-AU"/>
        </w:rPr>
        <w:t xml:space="preserve">have public accountability and </w:t>
      </w:r>
      <w:r w:rsidR="000C6EAA" w:rsidRPr="00BE0C02">
        <w:rPr>
          <w:b/>
          <w:szCs w:val="19"/>
          <w:lang w:val="en-AU"/>
        </w:rPr>
        <w:t xml:space="preserve">are required by legislation to </w:t>
      </w:r>
      <w:r w:rsidR="00A43D8B" w:rsidRPr="00BE0C02">
        <w:rPr>
          <w:b/>
          <w:szCs w:val="19"/>
          <w:u w:val="single"/>
          <w:lang w:val="en-AU"/>
        </w:rPr>
        <w:t>prepare financial statements that</w:t>
      </w:r>
      <w:r w:rsidR="00A43D8B" w:rsidRPr="00BE0C02">
        <w:rPr>
          <w:b/>
          <w:szCs w:val="19"/>
          <w:lang w:val="en-AU"/>
        </w:rPr>
        <w:t xml:space="preserve"> </w:t>
      </w:r>
      <w:r w:rsidR="000C6EAA" w:rsidRPr="00BE0C02">
        <w:rPr>
          <w:b/>
          <w:szCs w:val="19"/>
          <w:lang w:val="en-AU"/>
        </w:rPr>
        <w:t xml:space="preserve">comply with </w:t>
      </w:r>
      <w:r w:rsidR="002238E0" w:rsidRPr="00BE0C02">
        <w:rPr>
          <w:b/>
          <w:szCs w:val="19"/>
          <w:u w:val="single"/>
          <w:lang w:val="en-AU"/>
        </w:rPr>
        <w:t>either</w:t>
      </w:r>
      <w:r w:rsidR="002238E0" w:rsidRPr="00BE0C02">
        <w:rPr>
          <w:b/>
          <w:szCs w:val="19"/>
          <w:lang w:val="en-AU"/>
        </w:rPr>
        <w:t xml:space="preserve"> </w:t>
      </w:r>
      <w:r w:rsidR="000C6EAA" w:rsidRPr="00BE0C02">
        <w:rPr>
          <w:b/>
          <w:szCs w:val="19"/>
          <w:lang w:val="en-AU"/>
        </w:rPr>
        <w:t>Australian Accounting Standards</w:t>
      </w:r>
      <w:r w:rsidR="00674218" w:rsidRPr="00BE0C02">
        <w:rPr>
          <w:b/>
          <w:szCs w:val="19"/>
          <w:u w:val="single"/>
          <w:lang w:val="en-AU"/>
        </w:rPr>
        <w:t xml:space="preserve"> or accounting standards; and</w:t>
      </w:r>
    </w:p>
    <w:p w14:paraId="6A58C944" w14:textId="4AE82D3F" w:rsidR="000C6EAA" w:rsidRPr="00BE0C02" w:rsidRDefault="00D11937" w:rsidP="00F1668B">
      <w:pPr>
        <w:pStyle w:val="IASBNormalnparaL1"/>
        <w:rPr>
          <w:b/>
          <w:szCs w:val="19"/>
          <w:lang w:val="en-AU"/>
        </w:rPr>
      </w:pPr>
      <w:r w:rsidRPr="00BE0C02">
        <w:rPr>
          <w:b/>
          <w:szCs w:val="19"/>
          <w:u w:val="single"/>
          <w:lang w:val="en-AU"/>
        </w:rPr>
        <w:t>(e)</w:t>
      </w:r>
      <w:r w:rsidRPr="00BE0C02">
        <w:rPr>
          <w:b/>
          <w:szCs w:val="19"/>
          <w:u w:val="single"/>
          <w:lang w:val="en-AU"/>
        </w:rPr>
        <w:tab/>
      </w:r>
      <w:r w:rsidR="00674218" w:rsidRPr="00BE0C02">
        <w:rPr>
          <w:b/>
          <w:szCs w:val="19"/>
          <w:u w:val="single"/>
          <w:lang w:val="en-AU"/>
        </w:rPr>
        <w:t xml:space="preserve">other for-profit private sector entities that are required only by their constituting document </w:t>
      </w:r>
      <w:r w:rsidR="002B2C8F" w:rsidRPr="00BE0C02">
        <w:rPr>
          <w:b/>
          <w:szCs w:val="19"/>
          <w:u w:val="single"/>
          <w:lang w:val="en-AU"/>
        </w:rPr>
        <w:t xml:space="preserve">or another document </w:t>
      </w:r>
      <w:r w:rsidR="00674218" w:rsidRPr="00BE0C02">
        <w:rPr>
          <w:b/>
          <w:szCs w:val="19"/>
          <w:u w:val="single"/>
          <w:lang w:val="en-AU"/>
        </w:rPr>
        <w:t xml:space="preserve">to </w:t>
      </w:r>
      <w:r w:rsidR="00A43D8B" w:rsidRPr="00BE0C02">
        <w:rPr>
          <w:b/>
          <w:szCs w:val="19"/>
          <w:u w:val="single"/>
          <w:lang w:val="en-AU"/>
        </w:rPr>
        <w:t xml:space="preserve">prepare financial statements that </w:t>
      </w:r>
      <w:r w:rsidR="00674218" w:rsidRPr="00BE0C02">
        <w:rPr>
          <w:b/>
          <w:szCs w:val="19"/>
          <w:u w:val="single"/>
          <w:lang w:val="en-AU"/>
        </w:rPr>
        <w:t xml:space="preserve">comply with Australian Accounting Standards, provided that the </w:t>
      </w:r>
      <w:r w:rsidR="002B2C8F" w:rsidRPr="00BE0C02">
        <w:rPr>
          <w:b/>
          <w:szCs w:val="19"/>
          <w:u w:val="single"/>
          <w:lang w:val="en-AU"/>
        </w:rPr>
        <w:t>relevant</w:t>
      </w:r>
      <w:r w:rsidR="00674218" w:rsidRPr="00BE0C02">
        <w:rPr>
          <w:b/>
          <w:szCs w:val="19"/>
          <w:u w:val="single"/>
          <w:lang w:val="en-AU"/>
        </w:rPr>
        <w:t xml:space="preserve"> document was created or amended on or after 1 July </w:t>
      </w:r>
      <w:r w:rsidR="00B63DD5" w:rsidRPr="00BE0C02">
        <w:rPr>
          <w:b/>
          <w:szCs w:val="19"/>
          <w:u w:val="single"/>
          <w:lang w:val="en-AU"/>
        </w:rPr>
        <w:t>2021</w:t>
      </w:r>
      <w:r w:rsidR="00727CEA" w:rsidRPr="00BE0C02">
        <w:rPr>
          <w:b/>
          <w:szCs w:val="19"/>
          <w:lang w:val="en-AU"/>
        </w:rPr>
        <w:t>.</w:t>
      </w:r>
    </w:p>
    <w:p w14:paraId="032DFB70" w14:textId="75E26546" w:rsidR="009009A8" w:rsidRPr="00BE0C02" w:rsidRDefault="009009A8" w:rsidP="009009A8">
      <w:pPr>
        <w:pStyle w:val="IASBNormalnparaL1"/>
        <w:ind w:left="0" w:firstLine="0"/>
        <w:rPr>
          <w:bCs/>
          <w:szCs w:val="19"/>
          <w:lang w:val="en-AU"/>
        </w:rPr>
      </w:pPr>
      <w:r w:rsidRPr="00BE0C02">
        <w:rPr>
          <w:bCs/>
          <w:szCs w:val="19"/>
          <w:lang w:val="en-AU"/>
        </w:rPr>
        <w:t>…</w:t>
      </w:r>
    </w:p>
    <w:p w14:paraId="6B2E16E2" w14:textId="481C9D95" w:rsidR="000C6EAA" w:rsidRPr="00BE0C02" w:rsidRDefault="0048159A" w:rsidP="005E4584">
      <w:pPr>
        <w:pStyle w:val="IASBNormalnpara"/>
        <w:keepNext/>
        <w:rPr>
          <w:b/>
          <w:szCs w:val="19"/>
          <w:lang w:val="en-AU"/>
        </w:rPr>
      </w:pPr>
      <w:r w:rsidRPr="00BE0C02">
        <w:rPr>
          <w:b/>
          <w:szCs w:val="19"/>
          <w:lang w:val="en-AU"/>
        </w:rPr>
        <w:lastRenderedPageBreak/>
        <w:t>6</w:t>
      </w:r>
      <w:r w:rsidR="000C6EAA" w:rsidRPr="00BE0C02">
        <w:rPr>
          <w:b/>
          <w:szCs w:val="19"/>
          <w:lang w:val="en-AU"/>
        </w:rPr>
        <w:tab/>
        <w:t xml:space="preserve">AASB 8 </w:t>
      </w:r>
      <w:r w:rsidR="000C6EAA" w:rsidRPr="00BE0C02">
        <w:rPr>
          <w:b/>
          <w:i/>
          <w:szCs w:val="19"/>
          <w:lang w:val="en-AU"/>
        </w:rPr>
        <w:t>Operating</w:t>
      </w:r>
      <w:r w:rsidR="000C6EAA" w:rsidRPr="00BE0C02">
        <w:rPr>
          <w:b/>
          <w:szCs w:val="19"/>
          <w:lang w:val="en-AU"/>
        </w:rPr>
        <w:t xml:space="preserve"> </w:t>
      </w:r>
      <w:r w:rsidR="000C6EAA" w:rsidRPr="00BE0C02">
        <w:rPr>
          <w:b/>
          <w:i/>
          <w:szCs w:val="19"/>
          <w:lang w:val="en-AU"/>
        </w:rPr>
        <w:t>Segments</w:t>
      </w:r>
      <w:r w:rsidR="000C6EAA" w:rsidRPr="00BE0C02">
        <w:rPr>
          <w:b/>
          <w:szCs w:val="19"/>
          <w:lang w:val="en-AU"/>
        </w:rPr>
        <w:t xml:space="preserve"> </w:t>
      </w:r>
      <w:r w:rsidR="003B3A66" w:rsidRPr="00BE0C02">
        <w:rPr>
          <w:b/>
          <w:szCs w:val="19"/>
          <w:u w:val="single"/>
          <w:lang w:val="en-AU"/>
        </w:rPr>
        <w:t xml:space="preserve">and AASB </w:t>
      </w:r>
      <w:r w:rsidR="007D0451" w:rsidRPr="00BE0C02">
        <w:rPr>
          <w:b/>
          <w:szCs w:val="19"/>
          <w:u w:val="single"/>
          <w:lang w:val="en-AU"/>
        </w:rPr>
        <w:t xml:space="preserve">120 </w:t>
      </w:r>
      <w:r w:rsidR="007D0451" w:rsidRPr="00BE0C02">
        <w:rPr>
          <w:b/>
          <w:i/>
          <w:iCs/>
          <w:szCs w:val="19"/>
          <w:u w:val="single"/>
          <w:lang w:val="en-AU"/>
        </w:rPr>
        <w:t>Accounting for Government Grants and Disclosure of Government Assistance</w:t>
      </w:r>
      <w:r w:rsidR="007D0451" w:rsidRPr="00BE0C02">
        <w:rPr>
          <w:b/>
          <w:szCs w:val="19"/>
          <w:lang w:val="en-AU"/>
        </w:rPr>
        <w:t xml:space="preserve"> </w:t>
      </w:r>
      <w:r w:rsidR="000C6EAA" w:rsidRPr="00BE0C02">
        <w:rPr>
          <w:b/>
          <w:strike/>
          <w:szCs w:val="19"/>
          <w:lang w:val="en-AU"/>
        </w:rPr>
        <w:t>applies to</w:t>
      </w:r>
      <w:r w:rsidR="00B0106E" w:rsidRPr="00BE0C02">
        <w:rPr>
          <w:b/>
          <w:szCs w:val="19"/>
          <w:lang w:val="en-AU"/>
        </w:rPr>
        <w:t xml:space="preserve"> </w:t>
      </w:r>
      <w:r w:rsidR="00B0106E" w:rsidRPr="00BE0C02">
        <w:rPr>
          <w:b/>
          <w:szCs w:val="19"/>
          <w:u w:val="single"/>
          <w:lang w:val="en-AU"/>
        </w:rPr>
        <w:t xml:space="preserve">apply as set out in paragraph 5, </w:t>
      </w:r>
      <w:r w:rsidR="008E6D76" w:rsidRPr="00BE0C02">
        <w:rPr>
          <w:b/>
          <w:szCs w:val="19"/>
          <w:u w:val="single"/>
          <w:lang w:val="en-AU"/>
        </w:rPr>
        <w:t>provided the entity is</w:t>
      </w:r>
      <w:r w:rsidR="000742A8" w:rsidRPr="00BE0C02">
        <w:rPr>
          <w:b/>
          <w:szCs w:val="19"/>
          <w:u w:val="single"/>
          <w:lang w:val="en-AU"/>
        </w:rPr>
        <w:t xml:space="preserve"> a for-profit entity</w:t>
      </w:r>
      <w:r w:rsidR="00527434" w:rsidRPr="00BE0C02">
        <w:rPr>
          <w:b/>
          <w:szCs w:val="19"/>
          <w:u w:val="single"/>
          <w:lang w:val="en-AU"/>
        </w:rPr>
        <w:t>.</w:t>
      </w:r>
    </w:p>
    <w:p w14:paraId="6230CC7E" w14:textId="77777777" w:rsidR="000C6EAA" w:rsidRPr="00BE0C02" w:rsidRDefault="00F1668B" w:rsidP="00F1668B">
      <w:pPr>
        <w:pStyle w:val="IASBNormalnparaL1"/>
        <w:rPr>
          <w:b/>
          <w:strike/>
          <w:szCs w:val="19"/>
          <w:lang w:val="en-AU"/>
        </w:rPr>
      </w:pPr>
      <w:r w:rsidRPr="00BE0C02">
        <w:rPr>
          <w:b/>
          <w:strike/>
          <w:szCs w:val="19"/>
          <w:lang w:val="en-AU"/>
        </w:rPr>
        <w:t>(a)</w:t>
      </w:r>
      <w:r w:rsidRPr="00BE0C02">
        <w:rPr>
          <w:b/>
          <w:strike/>
          <w:szCs w:val="19"/>
          <w:lang w:val="en-AU"/>
        </w:rPr>
        <w:tab/>
      </w:r>
      <w:r w:rsidR="000C6EAA" w:rsidRPr="00BE0C02">
        <w:rPr>
          <w:b/>
          <w:strike/>
          <w:szCs w:val="19"/>
          <w:lang w:val="en-AU"/>
        </w:rPr>
        <w:t>each for-profit entity that is required to prepare financial reports in accordance with Part 2M.3 of the Corporations Act and that is a reporting entity;</w:t>
      </w:r>
    </w:p>
    <w:p w14:paraId="0521E94D" w14:textId="77777777" w:rsidR="000C6EAA" w:rsidRPr="00BE0C02" w:rsidRDefault="00F1668B" w:rsidP="00F1668B">
      <w:pPr>
        <w:pStyle w:val="IASBNormalnparaL1"/>
        <w:rPr>
          <w:b/>
          <w:strike/>
          <w:szCs w:val="19"/>
          <w:lang w:val="en-AU"/>
        </w:rPr>
      </w:pPr>
      <w:r w:rsidRPr="00BE0C02">
        <w:rPr>
          <w:b/>
          <w:strike/>
          <w:szCs w:val="19"/>
          <w:lang w:val="en-AU"/>
        </w:rPr>
        <w:t>(b)</w:t>
      </w:r>
      <w:r w:rsidRPr="00BE0C02">
        <w:rPr>
          <w:b/>
          <w:strike/>
          <w:szCs w:val="19"/>
          <w:lang w:val="en-AU"/>
        </w:rPr>
        <w:tab/>
      </w:r>
      <w:r w:rsidR="000C6EAA" w:rsidRPr="00BE0C02">
        <w:rPr>
          <w:b/>
          <w:strike/>
          <w:szCs w:val="19"/>
          <w:lang w:val="en-AU"/>
        </w:rPr>
        <w:t>general purpose financial statements of each other for-profit reporting entity;</w:t>
      </w:r>
    </w:p>
    <w:p w14:paraId="00FFD531" w14:textId="6B147CA3" w:rsidR="00130B81" w:rsidRPr="00BE0C02" w:rsidRDefault="00F1668B" w:rsidP="00F1668B">
      <w:pPr>
        <w:pStyle w:val="IASBNormalnparaL1"/>
        <w:rPr>
          <w:b/>
          <w:strike/>
          <w:szCs w:val="19"/>
          <w:lang w:val="en-AU"/>
        </w:rPr>
      </w:pPr>
      <w:r w:rsidRPr="00BE0C02">
        <w:rPr>
          <w:b/>
          <w:strike/>
          <w:szCs w:val="19"/>
          <w:lang w:val="en-AU"/>
        </w:rPr>
        <w:t>(c)</w:t>
      </w:r>
      <w:r w:rsidRPr="00BE0C02">
        <w:rPr>
          <w:b/>
          <w:strike/>
          <w:szCs w:val="19"/>
          <w:lang w:val="en-AU"/>
        </w:rPr>
        <w:tab/>
      </w:r>
      <w:r w:rsidR="000C6EAA" w:rsidRPr="00BE0C02">
        <w:rPr>
          <w:b/>
          <w:strike/>
          <w:szCs w:val="19"/>
          <w:lang w:val="en-AU"/>
        </w:rPr>
        <w:t>financial statements of a for-profit entity that are, or are held out to be, general purpose financial statements; and</w:t>
      </w:r>
    </w:p>
    <w:p w14:paraId="7D0A0984" w14:textId="3D203F30" w:rsidR="00130B81" w:rsidRPr="00BE0C02" w:rsidRDefault="00F1668B" w:rsidP="002C2E37">
      <w:pPr>
        <w:pStyle w:val="IASBNormalnparaL1"/>
        <w:rPr>
          <w:b/>
          <w:szCs w:val="19"/>
          <w:lang w:val="en-AU"/>
        </w:rPr>
      </w:pPr>
      <w:r w:rsidRPr="00BE0C02">
        <w:rPr>
          <w:b/>
          <w:strike/>
          <w:szCs w:val="19"/>
          <w:lang w:val="en-AU"/>
        </w:rPr>
        <w:t>(d)</w:t>
      </w:r>
      <w:r w:rsidRPr="00BE0C02">
        <w:rPr>
          <w:b/>
          <w:strike/>
          <w:szCs w:val="19"/>
          <w:lang w:val="en-AU"/>
        </w:rPr>
        <w:tab/>
      </w:r>
      <w:r w:rsidR="00130B81" w:rsidRPr="00BE0C02">
        <w:rPr>
          <w:b/>
          <w:strike/>
          <w:szCs w:val="19"/>
          <w:lang w:val="en-AU"/>
        </w:rPr>
        <w:t>for-profit private sector entities that have public accountability and are required by legislation to comply with Australian Accounting Standards</w:t>
      </w:r>
      <w:r w:rsidR="00130B81" w:rsidRPr="00BE0C02">
        <w:rPr>
          <w:b/>
          <w:szCs w:val="19"/>
          <w:lang w:val="en-AU"/>
        </w:rPr>
        <w:t>.</w:t>
      </w:r>
    </w:p>
    <w:p w14:paraId="36E70448" w14:textId="2B96CF71" w:rsidR="00E76287" w:rsidRPr="00BE0C02" w:rsidRDefault="00E76287" w:rsidP="00E76287">
      <w:pPr>
        <w:pStyle w:val="IASBNormalnparaL1"/>
        <w:ind w:left="0" w:firstLine="0"/>
        <w:rPr>
          <w:b/>
          <w:szCs w:val="19"/>
          <w:u w:val="single"/>
          <w:lang w:val="en-AU"/>
        </w:rPr>
      </w:pPr>
      <w:r w:rsidRPr="00BE0C02">
        <w:rPr>
          <w:b/>
          <w:szCs w:val="19"/>
          <w:lang w:val="en-AU"/>
        </w:rPr>
        <w:t>6A</w:t>
      </w:r>
      <w:r w:rsidRPr="00BE0C02">
        <w:rPr>
          <w:b/>
          <w:szCs w:val="19"/>
          <w:lang w:val="en-AU"/>
        </w:rPr>
        <w:tab/>
      </w:r>
      <w:r w:rsidR="00BA6090" w:rsidRPr="00BE0C02">
        <w:rPr>
          <w:b/>
          <w:szCs w:val="19"/>
          <w:lang w:val="en-AU"/>
        </w:rPr>
        <w:t xml:space="preserve">AASB 17 </w:t>
      </w:r>
      <w:r w:rsidR="00DA151C" w:rsidRPr="00BE0C02">
        <w:rPr>
          <w:b/>
          <w:i/>
          <w:iCs/>
          <w:szCs w:val="19"/>
          <w:lang w:val="en-AU"/>
        </w:rPr>
        <w:t>Insurance Contracts</w:t>
      </w:r>
      <w:r w:rsidR="00DA151C" w:rsidRPr="00BE0C02">
        <w:rPr>
          <w:b/>
          <w:szCs w:val="19"/>
          <w:lang w:val="en-AU"/>
        </w:rPr>
        <w:t xml:space="preserve"> applies</w:t>
      </w:r>
      <w:r w:rsidR="009A50E3" w:rsidRPr="00BE0C02">
        <w:rPr>
          <w:b/>
          <w:szCs w:val="19"/>
          <w:u w:val="single"/>
          <w:lang w:val="en-AU"/>
        </w:rPr>
        <w:t xml:space="preserve"> as set out in paragraph 5, </w:t>
      </w:r>
    </w:p>
    <w:p w14:paraId="53A0FED0" w14:textId="7C142C39" w:rsidR="002F0BA7" w:rsidRPr="00BE0C02" w:rsidRDefault="002F0BA7" w:rsidP="007E6349">
      <w:pPr>
        <w:pStyle w:val="IASBNormalnparaL1"/>
        <w:numPr>
          <w:ilvl w:val="0"/>
          <w:numId w:val="89"/>
        </w:numPr>
        <w:rPr>
          <w:rFonts w:ascii="Times New Roman Bold" w:hAnsi="Times New Roman Bold"/>
          <w:b/>
          <w:strike/>
          <w:szCs w:val="19"/>
          <w:lang w:val="en-AU"/>
        </w:rPr>
      </w:pPr>
      <w:r w:rsidRPr="00BE0C02">
        <w:rPr>
          <w:rFonts w:ascii="Times New Roman Bold" w:hAnsi="Times New Roman Bold"/>
          <w:b/>
          <w:strike/>
          <w:szCs w:val="19"/>
          <w:lang w:val="en-AU"/>
        </w:rPr>
        <w:t>each entity that is required to prepare financial reports in accordance with Part 2M.3 of the Corporations Act and that is a reporting entity;</w:t>
      </w:r>
    </w:p>
    <w:p w14:paraId="5336E5A1" w14:textId="56DD66AB" w:rsidR="002F0BA7" w:rsidRPr="00BE0C02" w:rsidRDefault="00626684" w:rsidP="007E6349">
      <w:pPr>
        <w:pStyle w:val="IASBNormalnparaL1"/>
        <w:numPr>
          <w:ilvl w:val="0"/>
          <w:numId w:val="89"/>
        </w:numPr>
        <w:rPr>
          <w:rFonts w:ascii="Times New Roman Bold" w:hAnsi="Times New Roman Bold"/>
          <w:b/>
          <w:strike/>
          <w:szCs w:val="19"/>
          <w:lang w:val="en-AU"/>
        </w:rPr>
      </w:pPr>
      <w:r w:rsidRPr="00BE0C02">
        <w:rPr>
          <w:rFonts w:ascii="Times New Roman Bold" w:hAnsi="Times New Roman Bold"/>
          <w:b/>
          <w:strike/>
          <w:szCs w:val="19"/>
          <w:lang w:val="en-AU"/>
        </w:rPr>
        <w:t xml:space="preserve">general purpose financial statements </w:t>
      </w:r>
      <w:r w:rsidR="006A7173" w:rsidRPr="00BE0C02">
        <w:rPr>
          <w:rFonts w:ascii="Times New Roman Bold" w:hAnsi="Times New Roman Bold"/>
          <w:b/>
          <w:strike/>
          <w:szCs w:val="19"/>
          <w:lang w:val="en-AU"/>
        </w:rPr>
        <w:t>of eac</w:t>
      </w:r>
      <w:r w:rsidR="000B2AA8" w:rsidRPr="00BE0C02">
        <w:rPr>
          <w:rFonts w:ascii="Times New Roman Bold" w:hAnsi="Times New Roman Bold"/>
          <w:b/>
          <w:strike/>
          <w:szCs w:val="19"/>
          <w:lang w:val="en-AU"/>
        </w:rPr>
        <w:t>h other reporting entity; and</w:t>
      </w:r>
    </w:p>
    <w:p w14:paraId="06B89813" w14:textId="0A9A2529" w:rsidR="000B2AA8" w:rsidRPr="00BE0C02" w:rsidRDefault="000B2AA8" w:rsidP="007E6349">
      <w:pPr>
        <w:pStyle w:val="IASBNormalnparaL1"/>
        <w:numPr>
          <w:ilvl w:val="0"/>
          <w:numId w:val="89"/>
        </w:numPr>
        <w:rPr>
          <w:rFonts w:ascii="Times New Roman Bold" w:hAnsi="Times New Roman Bold"/>
          <w:b/>
          <w:strike/>
          <w:szCs w:val="19"/>
          <w:lang w:val="en-AU"/>
        </w:rPr>
      </w:pPr>
      <w:r w:rsidRPr="00BE0C02">
        <w:rPr>
          <w:rFonts w:ascii="Times New Roman Bold" w:hAnsi="Times New Roman Bold"/>
          <w:b/>
          <w:strike/>
          <w:szCs w:val="19"/>
          <w:lang w:val="en-AU"/>
        </w:rPr>
        <w:t>financial statements that are, or are held out to be, general purpose financial statements;</w:t>
      </w:r>
    </w:p>
    <w:p w14:paraId="4186B056" w14:textId="77777777" w:rsidR="00835602" w:rsidRPr="00BE0C02" w:rsidRDefault="000B2AA8" w:rsidP="00835602">
      <w:pPr>
        <w:pStyle w:val="IASBNormalnparaL1"/>
        <w:ind w:left="780" w:firstLine="0"/>
        <w:rPr>
          <w:b/>
          <w:szCs w:val="19"/>
          <w:lang w:val="en-AU"/>
        </w:rPr>
      </w:pPr>
      <w:r w:rsidRPr="00BE0C02">
        <w:rPr>
          <w:b/>
          <w:szCs w:val="19"/>
          <w:lang w:val="en-AU"/>
        </w:rPr>
        <w:t>except when the entity is:</w:t>
      </w:r>
    </w:p>
    <w:p w14:paraId="4DEAAF4A" w14:textId="5FC012D6" w:rsidR="000B2AA8" w:rsidRPr="00BE0C02" w:rsidRDefault="000F7C08" w:rsidP="000F7C08">
      <w:pPr>
        <w:pStyle w:val="IASBNormalnparaL1"/>
        <w:ind w:left="780" w:firstLine="0"/>
        <w:rPr>
          <w:b/>
          <w:szCs w:val="19"/>
          <w:lang w:val="en-AU"/>
        </w:rPr>
      </w:pPr>
      <w:r w:rsidRPr="00BE0C02">
        <w:rPr>
          <w:b/>
          <w:szCs w:val="19"/>
          <w:lang w:val="en-AU"/>
        </w:rPr>
        <w:t>(</w:t>
      </w:r>
      <w:r w:rsidRPr="00BE0C02">
        <w:rPr>
          <w:rFonts w:ascii="Times New Roman Bold" w:hAnsi="Times New Roman Bold"/>
          <w:b/>
          <w:strike/>
          <w:szCs w:val="19"/>
          <w:lang w:val="en-AU"/>
        </w:rPr>
        <w:t>d</w:t>
      </w:r>
      <w:r w:rsidR="00E7289C" w:rsidRPr="00BE0C02">
        <w:rPr>
          <w:rFonts w:ascii="Times New Roman Bold" w:hAnsi="Times New Roman Bold"/>
          <w:b/>
          <w:szCs w:val="19"/>
          <w:u w:val="single"/>
          <w:lang w:val="en-AU"/>
        </w:rPr>
        <w:t>a</w:t>
      </w:r>
      <w:r w:rsidRPr="00BE0C02">
        <w:rPr>
          <w:b/>
          <w:szCs w:val="19"/>
          <w:lang w:val="en-AU"/>
        </w:rPr>
        <w:t xml:space="preserve">) </w:t>
      </w:r>
      <w:r w:rsidRPr="00BE0C02">
        <w:rPr>
          <w:b/>
          <w:szCs w:val="19"/>
          <w:lang w:val="en-AU"/>
        </w:rPr>
        <w:tab/>
      </w:r>
      <w:r w:rsidR="000B2AA8" w:rsidRPr="00BE0C02">
        <w:rPr>
          <w:b/>
          <w:szCs w:val="19"/>
          <w:lang w:val="en-AU"/>
        </w:rPr>
        <w:t>a superannuation entity applying AASB 1056; or</w:t>
      </w:r>
    </w:p>
    <w:p w14:paraId="6C348C13" w14:textId="691BF5AD" w:rsidR="000B2AA8" w:rsidRPr="00BE0C02" w:rsidRDefault="000F7C08" w:rsidP="000F7C08">
      <w:pPr>
        <w:pStyle w:val="IASBNormalnparaL1"/>
        <w:ind w:left="780" w:firstLine="0"/>
        <w:rPr>
          <w:b/>
          <w:szCs w:val="19"/>
          <w:lang w:val="en-AU"/>
        </w:rPr>
      </w:pPr>
      <w:r w:rsidRPr="00BE0C02">
        <w:rPr>
          <w:b/>
          <w:szCs w:val="19"/>
          <w:lang w:val="en-AU"/>
        </w:rPr>
        <w:t>(</w:t>
      </w:r>
      <w:r w:rsidRPr="00BE0C02">
        <w:rPr>
          <w:rFonts w:ascii="Times New Roman Bold" w:hAnsi="Times New Roman Bold"/>
          <w:b/>
          <w:strike/>
          <w:szCs w:val="19"/>
          <w:lang w:val="en-AU"/>
        </w:rPr>
        <w:t>e</w:t>
      </w:r>
      <w:r w:rsidR="007113C5" w:rsidRPr="00BE0C02">
        <w:rPr>
          <w:rFonts w:ascii="Times New Roman Bold" w:hAnsi="Times New Roman Bold"/>
          <w:b/>
          <w:szCs w:val="19"/>
          <w:u w:val="single"/>
          <w:lang w:val="en-AU"/>
        </w:rPr>
        <w:t>b</w:t>
      </w:r>
      <w:r w:rsidRPr="00BE0C02">
        <w:rPr>
          <w:b/>
          <w:szCs w:val="19"/>
          <w:lang w:val="en-AU"/>
        </w:rPr>
        <w:t>)</w:t>
      </w:r>
      <w:r w:rsidRPr="00BE0C02">
        <w:rPr>
          <w:b/>
          <w:szCs w:val="19"/>
          <w:lang w:val="en-AU"/>
        </w:rPr>
        <w:tab/>
      </w:r>
      <w:r w:rsidR="000B2AA8" w:rsidRPr="00BE0C02">
        <w:rPr>
          <w:b/>
          <w:szCs w:val="19"/>
          <w:lang w:val="en-AU"/>
        </w:rPr>
        <w:t>a not-for-profit public sector entity.</w:t>
      </w:r>
    </w:p>
    <w:p w14:paraId="051C1780" w14:textId="77777777" w:rsidR="000C6EAA" w:rsidRPr="00BE0C02" w:rsidRDefault="00DC5C84" w:rsidP="00F1668B">
      <w:pPr>
        <w:pStyle w:val="IASBNormalnpara"/>
        <w:rPr>
          <w:b/>
          <w:szCs w:val="19"/>
          <w:lang w:val="en-AU"/>
        </w:rPr>
      </w:pPr>
      <w:r w:rsidRPr="00BE0C02">
        <w:rPr>
          <w:b/>
          <w:szCs w:val="19"/>
          <w:lang w:val="en-AU"/>
        </w:rPr>
        <w:t>7</w:t>
      </w:r>
      <w:r w:rsidR="000C6EAA" w:rsidRPr="00BE0C02">
        <w:rPr>
          <w:b/>
          <w:szCs w:val="19"/>
          <w:lang w:val="en-AU"/>
        </w:rPr>
        <w:tab/>
        <w:t>AASB 101</w:t>
      </w:r>
      <w:r w:rsidR="000C6EAA" w:rsidRPr="00BE0C02">
        <w:rPr>
          <w:b/>
          <w:i/>
          <w:szCs w:val="19"/>
          <w:lang w:val="en-AU"/>
        </w:rPr>
        <w:t xml:space="preserve"> Presentation of Financial Statements</w:t>
      </w:r>
      <w:r w:rsidR="000C6EAA" w:rsidRPr="00BE0C02">
        <w:rPr>
          <w:b/>
          <w:szCs w:val="19"/>
          <w:lang w:val="en-AU"/>
        </w:rPr>
        <w:t xml:space="preserve">, AASB 107 </w:t>
      </w:r>
      <w:r w:rsidR="000C6EAA" w:rsidRPr="00BE0C02">
        <w:rPr>
          <w:b/>
          <w:i/>
          <w:szCs w:val="19"/>
          <w:lang w:val="en-AU"/>
        </w:rPr>
        <w:t>Statement of Cash Flows</w:t>
      </w:r>
      <w:r w:rsidR="000C6EAA" w:rsidRPr="00BE0C02">
        <w:rPr>
          <w:b/>
          <w:szCs w:val="19"/>
          <w:lang w:val="en-AU"/>
        </w:rPr>
        <w:t xml:space="preserve">, AASB 108 </w:t>
      </w:r>
      <w:r w:rsidR="000C6EAA" w:rsidRPr="00BE0C02">
        <w:rPr>
          <w:b/>
          <w:i/>
          <w:szCs w:val="19"/>
          <w:lang w:val="en-AU"/>
        </w:rPr>
        <w:t>Accounting Policies, Changes in Accounting Estimates and Errors</w:t>
      </w:r>
      <w:r w:rsidR="000C6EAA" w:rsidRPr="00BE0C02">
        <w:rPr>
          <w:b/>
          <w:szCs w:val="19"/>
          <w:lang w:val="en-AU"/>
        </w:rPr>
        <w:t xml:space="preserve">, AASB 1048 </w:t>
      </w:r>
      <w:r w:rsidR="000C6EAA" w:rsidRPr="00BE0C02">
        <w:rPr>
          <w:b/>
          <w:i/>
          <w:szCs w:val="19"/>
          <w:lang w:val="en-AU"/>
        </w:rPr>
        <w:t>Interpretation of Standards</w:t>
      </w:r>
      <w:r w:rsidR="000C6EAA" w:rsidRPr="00BE0C02">
        <w:rPr>
          <w:b/>
          <w:szCs w:val="19"/>
          <w:lang w:val="en-AU"/>
        </w:rPr>
        <w:t xml:space="preserve"> and AASB 1054 </w:t>
      </w:r>
      <w:r w:rsidR="000C6EAA" w:rsidRPr="00BE0C02">
        <w:rPr>
          <w:b/>
          <w:i/>
          <w:szCs w:val="19"/>
          <w:lang w:val="en-AU"/>
        </w:rPr>
        <w:t>Australian Additional Disclosures</w:t>
      </w:r>
      <w:r w:rsidR="000C6EAA" w:rsidRPr="00BE0C02">
        <w:rPr>
          <w:b/>
          <w:szCs w:val="19"/>
          <w:lang w:val="en-AU"/>
        </w:rPr>
        <w:t xml:space="preserve"> apply to:</w:t>
      </w:r>
    </w:p>
    <w:p w14:paraId="21BE376F" w14:textId="7AB438BB" w:rsidR="000C6EAA" w:rsidRPr="00BE0C02" w:rsidRDefault="00F1668B" w:rsidP="00F1668B">
      <w:pPr>
        <w:pStyle w:val="IASBNormalnparaL1"/>
        <w:rPr>
          <w:b/>
          <w:szCs w:val="19"/>
          <w:lang w:val="en-AU"/>
        </w:rPr>
      </w:pPr>
      <w:r w:rsidRPr="00BE0C02">
        <w:rPr>
          <w:b/>
          <w:szCs w:val="19"/>
          <w:lang w:val="en-AU"/>
        </w:rPr>
        <w:t>(a)</w:t>
      </w:r>
      <w:r w:rsidRPr="00BE0C02">
        <w:rPr>
          <w:b/>
          <w:szCs w:val="19"/>
          <w:lang w:val="en-AU"/>
        </w:rPr>
        <w:tab/>
      </w:r>
      <w:r w:rsidR="000C6EAA" w:rsidRPr="00BE0C02">
        <w:rPr>
          <w:b/>
          <w:szCs w:val="19"/>
          <w:lang w:val="en-AU"/>
        </w:rPr>
        <w:t xml:space="preserve">each </w:t>
      </w:r>
      <w:r w:rsidR="00C402A6" w:rsidRPr="00BE0C02">
        <w:rPr>
          <w:b/>
          <w:szCs w:val="19"/>
          <w:u w:val="single"/>
          <w:lang w:val="en-AU"/>
        </w:rPr>
        <w:t xml:space="preserve">not-for-profit </w:t>
      </w:r>
      <w:r w:rsidR="000C6EAA" w:rsidRPr="00BE0C02">
        <w:rPr>
          <w:b/>
          <w:szCs w:val="19"/>
          <w:lang w:val="en-AU"/>
        </w:rPr>
        <w:t>entity that is required to prepare financial reports in accordance with Part 2M.3 of the Corporations Act;</w:t>
      </w:r>
    </w:p>
    <w:p w14:paraId="19615E11" w14:textId="52B7D4A3" w:rsidR="000C6EAA" w:rsidRPr="00BE0C02" w:rsidRDefault="00F1668B" w:rsidP="00F1668B">
      <w:pPr>
        <w:pStyle w:val="IASBNormalnparaL1"/>
        <w:rPr>
          <w:b/>
          <w:szCs w:val="19"/>
          <w:lang w:val="en-AU"/>
        </w:rPr>
      </w:pPr>
      <w:r w:rsidRPr="00BE0C02">
        <w:rPr>
          <w:b/>
          <w:szCs w:val="19"/>
          <w:lang w:val="en-AU"/>
        </w:rPr>
        <w:t>(b)</w:t>
      </w:r>
      <w:r w:rsidRPr="00BE0C02">
        <w:rPr>
          <w:b/>
          <w:szCs w:val="19"/>
          <w:lang w:val="en-AU"/>
        </w:rPr>
        <w:tab/>
      </w:r>
      <w:r w:rsidR="000C6EAA" w:rsidRPr="00BE0C02">
        <w:rPr>
          <w:b/>
          <w:szCs w:val="19"/>
          <w:lang w:val="en-AU"/>
        </w:rPr>
        <w:t xml:space="preserve">general purpose financial statements of each </w:t>
      </w:r>
      <w:r w:rsidR="003C19BE" w:rsidRPr="00BE0C02">
        <w:rPr>
          <w:b/>
          <w:szCs w:val="19"/>
          <w:u w:val="single"/>
          <w:lang w:val="en-AU"/>
        </w:rPr>
        <w:t>not-for-profit</w:t>
      </w:r>
      <w:r w:rsidR="00D76DD6" w:rsidRPr="00BE0C02">
        <w:rPr>
          <w:b/>
          <w:szCs w:val="19"/>
          <w:u w:val="single"/>
          <w:lang w:val="en-AU"/>
        </w:rPr>
        <w:t xml:space="preserve"> entity that is a</w:t>
      </w:r>
      <w:r w:rsidR="003C19BE" w:rsidRPr="00BE0C02">
        <w:rPr>
          <w:b/>
          <w:szCs w:val="19"/>
          <w:u w:val="single"/>
          <w:lang w:val="en-AU"/>
        </w:rPr>
        <w:t xml:space="preserve"> </w:t>
      </w:r>
      <w:r w:rsidR="000C6EAA" w:rsidRPr="00BE0C02">
        <w:rPr>
          <w:b/>
          <w:szCs w:val="19"/>
          <w:lang w:val="en-AU"/>
        </w:rPr>
        <w:t>reporting entity;</w:t>
      </w:r>
    </w:p>
    <w:p w14:paraId="47626341" w14:textId="533DD740" w:rsidR="000C6EAA" w:rsidRPr="00BE0C02" w:rsidRDefault="00F1668B" w:rsidP="00F1668B">
      <w:pPr>
        <w:pStyle w:val="IASBNormalnparaL1"/>
        <w:rPr>
          <w:b/>
          <w:szCs w:val="19"/>
          <w:lang w:val="en-AU"/>
        </w:rPr>
      </w:pPr>
      <w:r w:rsidRPr="00BE0C02">
        <w:rPr>
          <w:b/>
          <w:szCs w:val="19"/>
          <w:lang w:val="en-AU"/>
        </w:rPr>
        <w:t>(c)</w:t>
      </w:r>
      <w:r w:rsidRPr="00BE0C02">
        <w:rPr>
          <w:b/>
          <w:szCs w:val="19"/>
          <w:lang w:val="en-AU"/>
        </w:rPr>
        <w:tab/>
      </w:r>
      <w:r w:rsidR="003C19BE" w:rsidRPr="00BE0C02">
        <w:rPr>
          <w:b/>
          <w:szCs w:val="19"/>
          <w:u w:val="single"/>
          <w:lang w:val="en-AU"/>
        </w:rPr>
        <w:t>each entity that elects to prepare</w:t>
      </w:r>
      <w:r w:rsidR="003C19BE" w:rsidRPr="00BE0C02">
        <w:rPr>
          <w:b/>
          <w:szCs w:val="19"/>
          <w:lang w:val="en-AU"/>
        </w:rPr>
        <w:t xml:space="preserve"> </w:t>
      </w:r>
      <w:r w:rsidR="000C6EAA" w:rsidRPr="00BE0C02">
        <w:rPr>
          <w:b/>
          <w:szCs w:val="19"/>
          <w:lang w:val="en-AU"/>
        </w:rPr>
        <w:t xml:space="preserve">financial statements that are, or are held out to be, general purpose financial statements; </w:t>
      </w:r>
      <w:r w:rsidR="000C6EAA" w:rsidRPr="00BE0C02">
        <w:rPr>
          <w:b/>
          <w:strike/>
          <w:szCs w:val="19"/>
          <w:lang w:val="en-AU"/>
        </w:rPr>
        <w:t>and</w:t>
      </w:r>
    </w:p>
    <w:p w14:paraId="24868D7B" w14:textId="3173E75E" w:rsidR="00D11937" w:rsidRPr="00BE0C02" w:rsidRDefault="00D11937" w:rsidP="00F1668B">
      <w:pPr>
        <w:pStyle w:val="IASBNormalnparaL1"/>
        <w:rPr>
          <w:b/>
          <w:szCs w:val="19"/>
          <w:lang w:val="en-AU"/>
        </w:rPr>
      </w:pPr>
      <w:r w:rsidRPr="00BE0C02">
        <w:rPr>
          <w:b/>
          <w:szCs w:val="19"/>
          <w:lang w:val="en-AU"/>
        </w:rPr>
        <w:t>(d)</w:t>
      </w:r>
      <w:r w:rsidRPr="00BE0C02">
        <w:rPr>
          <w:b/>
          <w:szCs w:val="19"/>
          <w:lang w:val="en-AU"/>
        </w:rPr>
        <w:tab/>
        <w:t xml:space="preserve">for-profit private sector entities that </w:t>
      </w:r>
      <w:r w:rsidRPr="00BE0C02">
        <w:rPr>
          <w:b/>
          <w:strike/>
          <w:szCs w:val="19"/>
          <w:lang w:val="en-AU"/>
        </w:rPr>
        <w:t xml:space="preserve">have public accountability and </w:t>
      </w:r>
      <w:r w:rsidRPr="00BE0C02">
        <w:rPr>
          <w:b/>
          <w:szCs w:val="19"/>
          <w:lang w:val="en-AU"/>
        </w:rPr>
        <w:t xml:space="preserve">are required by legislation to </w:t>
      </w:r>
      <w:r w:rsidR="003C5DD2" w:rsidRPr="00BE0C02">
        <w:rPr>
          <w:b/>
          <w:szCs w:val="19"/>
          <w:u w:val="single"/>
          <w:lang w:val="en-AU"/>
        </w:rPr>
        <w:t>prepare financial statements that</w:t>
      </w:r>
      <w:r w:rsidRPr="00BE0C02">
        <w:rPr>
          <w:b/>
          <w:szCs w:val="19"/>
          <w:lang w:val="en-AU"/>
        </w:rPr>
        <w:t xml:space="preserve"> comply with </w:t>
      </w:r>
      <w:r w:rsidR="002238E0" w:rsidRPr="00BE0C02">
        <w:rPr>
          <w:b/>
          <w:szCs w:val="19"/>
          <w:u w:val="single"/>
          <w:lang w:val="en-AU"/>
        </w:rPr>
        <w:t>either</w:t>
      </w:r>
      <w:r w:rsidRPr="00BE0C02">
        <w:rPr>
          <w:b/>
          <w:szCs w:val="19"/>
          <w:lang w:val="en-AU"/>
        </w:rPr>
        <w:t xml:space="preserve"> Australian Accounting Standards</w:t>
      </w:r>
      <w:r w:rsidRPr="00BE0C02">
        <w:rPr>
          <w:b/>
          <w:szCs w:val="19"/>
          <w:u w:val="single"/>
          <w:lang w:val="en-AU"/>
        </w:rPr>
        <w:t xml:space="preserve"> or accounting standards; and</w:t>
      </w:r>
    </w:p>
    <w:p w14:paraId="58EE6B7E" w14:textId="1924E1FE" w:rsidR="00D11937" w:rsidRPr="00BE0C02" w:rsidRDefault="00D11937" w:rsidP="00F1668B">
      <w:pPr>
        <w:pStyle w:val="IASBNormalnparaL1"/>
        <w:rPr>
          <w:b/>
          <w:szCs w:val="19"/>
          <w:lang w:val="en-AU"/>
        </w:rPr>
      </w:pPr>
      <w:r w:rsidRPr="00BE0C02">
        <w:rPr>
          <w:b/>
          <w:szCs w:val="19"/>
          <w:u w:val="single"/>
          <w:lang w:val="en-AU"/>
        </w:rPr>
        <w:t>(e)</w:t>
      </w:r>
      <w:r w:rsidRPr="00BE0C02">
        <w:rPr>
          <w:b/>
          <w:szCs w:val="19"/>
          <w:u w:val="single"/>
          <w:lang w:val="en-AU"/>
        </w:rPr>
        <w:tab/>
        <w:t xml:space="preserve">other for-profit private sector entities that are required only by their constituting document </w:t>
      </w:r>
      <w:r w:rsidR="00347D9E" w:rsidRPr="00BE0C02">
        <w:rPr>
          <w:b/>
          <w:szCs w:val="19"/>
          <w:u w:val="single"/>
          <w:lang w:val="en-AU"/>
        </w:rPr>
        <w:t xml:space="preserve">or another document </w:t>
      </w:r>
      <w:r w:rsidRPr="00BE0C02">
        <w:rPr>
          <w:b/>
          <w:szCs w:val="19"/>
          <w:u w:val="single"/>
          <w:lang w:val="en-AU"/>
        </w:rPr>
        <w:t xml:space="preserve">to </w:t>
      </w:r>
      <w:r w:rsidR="003C5DD2" w:rsidRPr="00BE0C02">
        <w:rPr>
          <w:b/>
          <w:szCs w:val="19"/>
          <w:u w:val="single"/>
          <w:lang w:val="en-AU"/>
        </w:rPr>
        <w:t>prepare financial statements that</w:t>
      </w:r>
      <w:r w:rsidRPr="00BE0C02">
        <w:rPr>
          <w:b/>
          <w:szCs w:val="19"/>
          <w:u w:val="single"/>
          <w:lang w:val="en-AU"/>
        </w:rPr>
        <w:t xml:space="preserve"> comply with Australian Accounting Standards, provided that the </w:t>
      </w:r>
      <w:r w:rsidR="00347D9E" w:rsidRPr="00BE0C02">
        <w:rPr>
          <w:b/>
          <w:szCs w:val="19"/>
          <w:u w:val="single"/>
          <w:lang w:val="en-AU"/>
        </w:rPr>
        <w:t xml:space="preserve">relevant </w:t>
      </w:r>
      <w:r w:rsidRPr="00BE0C02">
        <w:rPr>
          <w:b/>
          <w:szCs w:val="19"/>
          <w:u w:val="single"/>
          <w:lang w:val="en-AU"/>
        </w:rPr>
        <w:t xml:space="preserve">document was created or amended on or after 1 July </w:t>
      </w:r>
      <w:r w:rsidR="00B63DD5" w:rsidRPr="00BE0C02">
        <w:rPr>
          <w:b/>
          <w:szCs w:val="19"/>
          <w:u w:val="single"/>
          <w:lang w:val="en-AU"/>
        </w:rPr>
        <w:t>2021</w:t>
      </w:r>
      <w:r w:rsidR="003E6A27" w:rsidRPr="00BE0C02">
        <w:rPr>
          <w:b/>
          <w:szCs w:val="19"/>
          <w:lang w:val="en-AU"/>
        </w:rPr>
        <w:t>.</w:t>
      </w:r>
    </w:p>
    <w:p w14:paraId="4D9EA95F" w14:textId="3E082564" w:rsidR="000C6EAA" w:rsidRPr="00BE0C02" w:rsidRDefault="00DC5C84" w:rsidP="00F1668B">
      <w:pPr>
        <w:pStyle w:val="IASBNormalnpara"/>
        <w:rPr>
          <w:b/>
          <w:strike/>
          <w:szCs w:val="19"/>
          <w:lang w:val="en-AU"/>
        </w:rPr>
      </w:pPr>
      <w:r w:rsidRPr="00BE0C02">
        <w:rPr>
          <w:b/>
          <w:szCs w:val="19"/>
          <w:lang w:val="en-AU"/>
        </w:rPr>
        <w:t>8</w:t>
      </w:r>
      <w:r w:rsidR="000C6EAA" w:rsidRPr="00BE0C02">
        <w:rPr>
          <w:b/>
          <w:szCs w:val="19"/>
          <w:lang w:val="en-AU"/>
        </w:rPr>
        <w:tab/>
      </w:r>
      <w:r w:rsidR="00B31531" w:rsidRPr="00BE0C02">
        <w:rPr>
          <w:bCs/>
          <w:szCs w:val="19"/>
          <w:u w:val="single"/>
          <w:lang w:val="en-AU"/>
        </w:rPr>
        <w:t>[Deleted by the AASB]</w:t>
      </w:r>
      <w:r w:rsidR="00B31531" w:rsidRPr="00BE0C02">
        <w:rPr>
          <w:b/>
          <w:szCs w:val="19"/>
          <w:lang w:val="en-AU"/>
        </w:rPr>
        <w:t xml:space="preserve"> </w:t>
      </w:r>
      <w:r w:rsidR="000C6EAA" w:rsidRPr="00BE0C02">
        <w:rPr>
          <w:b/>
          <w:strike/>
          <w:szCs w:val="19"/>
          <w:lang w:val="en-AU"/>
        </w:rPr>
        <w:t xml:space="preserve">AASB 120 </w:t>
      </w:r>
      <w:r w:rsidR="000C6EAA" w:rsidRPr="00BE0C02">
        <w:rPr>
          <w:b/>
          <w:i/>
          <w:strike/>
          <w:szCs w:val="19"/>
          <w:lang w:val="en-AU"/>
        </w:rPr>
        <w:t>Accounting for Government Grants and Disclosure of Government Assistance</w:t>
      </w:r>
      <w:r w:rsidR="000C6EAA" w:rsidRPr="00BE0C02">
        <w:rPr>
          <w:b/>
          <w:strike/>
          <w:szCs w:val="19"/>
          <w:lang w:val="en-AU"/>
        </w:rPr>
        <w:t xml:space="preserve"> applies to:</w:t>
      </w:r>
    </w:p>
    <w:p w14:paraId="5AD4913A" w14:textId="77777777" w:rsidR="000C6EAA" w:rsidRPr="00BE0C02" w:rsidRDefault="00F1668B" w:rsidP="00F1668B">
      <w:pPr>
        <w:pStyle w:val="IASBNormalnparaL1"/>
        <w:rPr>
          <w:b/>
          <w:strike/>
          <w:szCs w:val="19"/>
          <w:lang w:val="en-AU"/>
        </w:rPr>
      </w:pPr>
      <w:r w:rsidRPr="00BE0C02">
        <w:rPr>
          <w:b/>
          <w:strike/>
          <w:szCs w:val="19"/>
          <w:lang w:val="en-AU"/>
        </w:rPr>
        <w:t>(a)</w:t>
      </w:r>
      <w:r w:rsidRPr="00BE0C02">
        <w:rPr>
          <w:b/>
          <w:strike/>
          <w:szCs w:val="19"/>
          <w:lang w:val="en-AU"/>
        </w:rPr>
        <w:tab/>
      </w:r>
      <w:r w:rsidR="000C6EAA" w:rsidRPr="00BE0C02">
        <w:rPr>
          <w:b/>
          <w:strike/>
          <w:szCs w:val="19"/>
          <w:lang w:val="en-AU"/>
        </w:rPr>
        <w:t>each for-profit entity that is required to prepare financial reports in accordance with Part 2M.3 of the Corporations Act and that is a reporting entity;</w:t>
      </w:r>
    </w:p>
    <w:p w14:paraId="27D4579B" w14:textId="77777777" w:rsidR="000C6EAA" w:rsidRPr="00BE0C02" w:rsidRDefault="00F1668B" w:rsidP="00F1668B">
      <w:pPr>
        <w:pStyle w:val="IASBNormalnparaL1"/>
        <w:rPr>
          <w:b/>
          <w:strike/>
          <w:szCs w:val="19"/>
          <w:lang w:val="en-AU"/>
        </w:rPr>
      </w:pPr>
      <w:r w:rsidRPr="00BE0C02">
        <w:rPr>
          <w:b/>
          <w:strike/>
          <w:szCs w:val="19"/>
          <w:lang w:val="en-AU"/>
        </w:rPr>
        <w:t>(b)</w:t>
      </w:r>
      <w:r w:rsidRPr="00BE0C02">
        <w:rPr>
          <w:b/>
          <w:strike/>
          <w:szCs w:val="19"/>
          <w:lang w:val="en-AU"/>
        </w:rPr>
        <w:tab/>
      </w:r>
      <w:r w:rsidR="000C6EAA" w:rsidRPr="00BE0C02">
        <w:rPr>
          <w:b/>
          <w:strike/>
          <w:szCs w:val="19"/>
          <w:lang w:val="en-AU"/>
        </w:rPr>
        <w:t>general purpose financial statements of each other for-profit reporting entity;</w:t>
      </w:r>
    </w:p>
    <w:p w14:paraId="1831A09D" w14:textId="578D9EEA" w:rsidR="000C6EAA" w:rsidRPr="00BE0C02" w:rsidRDefault="00F1668B" w:rsidP="00F1668B">
      <w:pPr>
        <w:pStyle w:val="IASBNormalnparaL1"/>
        <w:rPr>
          <w:b/>
          <w:strike/>
          <w:szCs w:val="19"/>
          <w:lang w:val="en-AU"/>
        </w:rPr>
      </w:pPr>
      <w:r w:rsidRPr="00BE0C02">
        <w:rPr>
          <w:b/>
          <w:strike/>
          <w:szCs w:val="19"/>
          <w:lang w:val="en-AU"/>
        </w:rPr>
        <w:t>(c)</w:t>
      </w:r>
      <w:r w:rsidRPr="00BE0C02">
        <w:rPr>
          <w:b/>
          <w:strike/>
          <w:szCs w:val="19"/>
          <w:lang w:val="en-AU"/>
        </w:rPr>
        <w:tab/>
      </w:r>
      <w:r w:rsidR="000C6EAA" w:rsidRPr="00BE0C02">
        <w:rPr>
          <w:b/>
          <w:strike/>
          <w:szCs w:val="19"/>
          <w:lang w:val="en-AU"/>
        </w:rPr>
        <w:t>financial statements of a for-profit entity that are, or are held out to be, general purpose financial statements; and</w:t>
      </w:r>
    </w:p>
    <w:p w14:paraId="5D23E0EB" w14:textId="647B8014" w:rsidR="003E6A27" w:rsidRPr="00BE0C02" w:rsidRDefault="00F1668B" w:rsidP="00F1668B">
      <w:pPr>
        <w:pStyle w:val="IASBNormalnparaL1"/>
        <w:rPr>
          <w:b/>
          <w:strike/>
          <w:szCs w:val="19"/>
          <w:lang w:val="en-AU"/>
        </w:rPr>
      </w:pPr>
      <w:r w:rsidRPr="00BE0C02">
        <w:rPr>
          <w:b/>
          <w:strike/>
          <w:szCs w:val="19"/>
          <w:lang w:val="en-AU"/>
        </w:rPr>
        <w:t>(d)</w:t>
      </w:r>
      <w:r w:rsidRPr="00BE0C02">
        <w:rPr>
          <w:b/>
          <w:strike/>
          <w:szCs w:val="19"/>
          <w:lang w:val="en-AU"/>
        </w:rPr>
        <w:tab/>
      </w:r>
      <w:r w:rsidR="003E6A27" w:rsidRPr="00BE0C02">
        <w:rPr>
          <w:b/>
          <w:strike/>
          <w:szCs w:val="19"/>
          <w:lang w:val="en-AU"/>
        </w:rPr>
        <w:t>for-profit private sector entities that have public accountability and are required by legislation to comply with Australian Accounting Standards.</w:t>
      </w:r>
    </w:p>
    <w:p w14:paraId="44789001" w14:textId="77777777" w:rsidR="000C6EAA" w:rsidRPr="00BE0C02" w:rsidRDefault="00DC5C84" w:rsidP="00E26497">
      <w:pPr>
        <w:pStyle w:val="IASBNormalnpara"/>
        <w:keepNext/>
        <w:rPr>
          <w:b/>
          <w:szCs w:val="19"/>
          <w:lang w:val="en-AU"/>
        </w:rPr>
      </w:pPr>
      <w:r w:rsidRPr="00BE0C02">
        <w:rPr>
          <w:b/>
          <w:szCs w:val="19"/>
          <w:lang w:val="en-AU"/>
        </w:rPr>
        <w:t>9</w:t>
      </w:r>
      <w:r w:rsidR="000C6EAA" w:rsidRPr="00BE0C02">
        <w:rPr>
          <w:b/>
          <w:szCs w:val="19"/>
          <w:lang w:val="en-AU"/>
        </w:rPr>
        <w:tab/>
        <w:t xml:space="preserve">AASB 133 </w:t>
      </w:r>
      <w:r w:rsidR="000C6EAA" w:rsidRPr="00BE0C02">
        <w:rPr>
          <w:b/>
          <w:i/>
          <w:szCs w:val="19"/>
          <w:lang w:val="en-AU"/>
        </w:rPr>
        <w:t>Earnings per Share</w:t>
      </w:r>
      <w:r w:rsidR="000C6EAA" w:rsidRPr="00BE0C02">
        <w:rPr>
          <w:b/>
          <w:szCs w:val="19"/>
          <w:lang w:val="en-AU"/>
        </w:rPr>
        <w:t xml:space="preserve"> applies to:</w:t>
      </w:r>
    </w:p>
    <w:p w14:paraId="60396122" w14:textId="6FBD4B9E" w:rsidR="000C6EAA" w:rsidRPr="00BE0C02" w:rsidRDefault="00F1668B" w:rsidP="00F1668B">
      <w:pPr>
        <w:pStyle w:val="IASBNormalnparaL1"/>
        <w:rPr>
          <w:b/>
          <w:szCs w:val="19"/>
          <w:lang w:val="en-AU"/>
        </w:rPr>
      </w:pPr>
      <w:r w:rsidRPr="00BE0C02">
        <w:rPr>
          <w:b/>
          <w:szCs w:val="19"/>
          <w:lang w:val="en-AU"/>
        </w:rPr>
        <w:t>(a)</w:t>
      </w:r>
      <w:r w:rsidRPr="00BE0C02">
        <w:rPr>
          <w:b/>
          <w:szCs w:val="19"/>
          <w:lang w:val="en-AU"/>
        </w:rPr>
        <w:tab/>
      </w:r>
      <w:r w:rsidR="000C6EAA" w:rsidRPr="00BE0C02">
        <w:rPr>
          <w:b/>
          <w:szCs w:val="19"/>
          <w:lang w:val="en-AU"/>
        </w:rPr>
        <w:t xml:space="preserve">each </w:t>
      </w:r>
      <w:r w:rsidR="00A67CA8" w:rsidRPr="00BE0C02">
        <w:rPr>
          <w:b/>
          <w:szCs w:val="19"/>
          <w:u w:val="single"/>
          <w:lang w:val="en-AU"/>
        </w:rPr>
        <w:t>not-for-profit</w:t>
      </w:r>
      <w:r w:rsidR="00A67CA8" w:rsidRPr="00BE0C02">
        <w:rPr>
          <w:b/>
          <w:szCs w:val="19"/>
          <w:lang w:val="en-AU"/>
        </w:rPr>
        <w:t xml:space="preserve"> </w:t>
      </w:r>
      <w:r w:rsidR="000C6EAA" w:rsidRPr="00BE0C02">
        <w:rPr>
          <w:b/>
          <w:szCs w:val="19"/>
          <w:lang w:val="en-AU"/>
        </w:rPr>
        <w:t>entity that is required to prepare financial reports in accordance with Part 2M.3 of the Corporations Act and that is a reporting entity or discloses earnings per share; and</w:t>
      </w:r>
    </w:p>
    <w:p w14:paraId="14504F56" w14:textId="5979578E" w:rsidR="000C6EAA" w:rsidRPr="00BE0C02" w:rsidRDefault="00F1668B" w:rsidP="00F1668B">
      <w:pPr>
        <w:pStyle w:val="IASBNormalnparaL1"/>
        <w:rPr>
          <w:b/>
          <w:szCs w:val="19"/>
          <w:lang w:val="en-AU"/>
        </w:rPr>
      </w:pPr>
      <w:r w:rsidRPr="00BE0C02">
        <w:rPr>
          <w:b/>
          <w:szCs w:val="19"/>
          <w:lang w:val="en-AU"/>
        </w:rPr>
        <w:t>(b)</w:t>
      </w:r>
      <w:r w:rsidRPr="00BE0C02">
        <w:rPr>
          <w:b/>
          <w:szCs w:val="19"/>
          <w:lang w:val="en-AU"/>
        </w:rPr>
        <w:tab/>
      </w:r>
      <w:r w:rsidR="000C6EAA" w:rsidRPr="00BE0C02">
        <w:rPr>
          <w:b/>
          <w:szCs w:val="19"/>
          <w:lang w:val="en-AU"/>
        </w:rPr>
        <w:t xml:space="preserve">for-profit private sector entities that </w:t>
      </w:r>
      <w:r w:rsidR="000C6EAA" w:rsidRPr="00BE0C02">
        <w:rPr>
          <w:b/>
          <w:strike/>
          <w:szCs w:val="19"/>
          <w:lang w:val="en-AU"/>
        </w:rPr>
        <w:t xml:space="preserve">have public accountability and </w:t>
      </w:r>
      <w:r w:rsidR="000C6EAA" w:rsidRPr="00BE0C02">
        <w:rPr>
          <w:b/>
          <w:szCs w:val="19"/>
          <w:lang w:val="en-AU"/>
        </w:rPr>
        <w:t>are required to prepare financial reports in accordance with Part 2M.3 of the Corporations Act or disclose earnings per share.</w:t>
      </w:r>
    </w:p>
    <w:p w14:paraId="680064FD" w14:textId="77777777" w:rsidR="000C6EAA" w:rsidRPr="00BE0C02" w:rsidRDefault="000C6EAA" w:rsidP="00FB77F0">
      <w:pPr>
        <w:pStyle w:val="IASBNormalnpara"/>
        <w:keepNext/>
        <w:rPr>
          <w:b/>
          <w:szCs w:val="19"/>
          <w:lang w:val="en-AU"/>
        </w:rPr>
      </w:pPr>
      <w:r w:rsidRPr="00BE0C02">
        <w:rPr>
          <w:b/>
          <w:szCs w:val="19"/>
          <w:lang w:val="en-AU"/>
        </w:rPr>
        <w:lastRenderedPageBreak/>
        <w:t>10</w:t>
      </w:r>
      <w:r w:rsidRPr="00BE0C02">
        <w:rPr>
          <w:b/>
          <w:szCs w:val="19"/>
          <w:lang w:val="en-AU"/>
        </w:rPr>
        <w:tab/>
        <w:t xml:space="preserve">AASB 134 </w:t>
      </w:r>
      <w:r w:rsidRPr="00BE0C02">
        <w:rPr>
          <w:b/>
          <w:i/>
          <w:szCs w:val="19"/>
          <w:lang w:val="en-AU"/>
        </w:rPr>
        <w:t>Interim Financial Reporting</w:t>
      </w:r>
      <w:r w:rsidRPr="00BE0C02">
        <w:rPr>
          <w:b/>
          <w:szCs w:val="19"/>
          <w:lang w:val="en-AU"/>
        </w:rPr>
        <w:t xml:space="preserve"> applies to:</w:t>
      </w:r>
    </w:p>
    <w:p w14:paraId="722F3A70" w14:textId="77777777" w:rsidR="000C6EAA" w:rsidRPr="00BE0C02" w:rsidRDefault="00F1668B" w:rsidP="00F1668B">
      <w:pPr>
        <w:pStyle w:val="IASBNormalnparaL1"/>
        <w:rPr>
          <w:b/>
          <w:szCs w:val="19"/>
          <w:lang w:val="en-AU"/>
        </w:rPr>
      </w:pPr>
      <w:r w:rsidRPr="00BE0C02">
        <w:rPr>
          <w:b/>
          <w:szCs w:val="19"/>
          <w:lang w:val="en-AU"/>
        </w:rPr>
        <w:t>(a)</w:t>
      </w:r>
      <w:r w:rsidRPr="00BE0C02">
        <w:rPr>
          <w:b/>
          <w:szCs w:val="19"/>
          <w:lang w:val="en-AU"/>
        </w:rPr>
        <w:tab/>
      </w:r>
      <w:r w:rsidR="000C6EAA" w:rsidRPr="00BE0C02">
        <w:rPr>
          <w:b/>
          <w:szCs w:val="19"/>
          <w:lang w:val="en-AU"/>
        </w:rPr>
        <w:t>each disclosing entity required to prepare half-year financial reports in accordance with Part 2M.3 of the Corporations Act;</w:t>
      </w:r>
    </w:p>
    <w:p w14:paraId="18E1D68C" w14:textId="5F7316FB" w:rsidR="000C6EAA" w:rsidRPr="00BE0C02" w:rsidRDefault="00F1668B" w:rsidP="00F1668B">
      <w:pPr>
        <w:pStyle w:val="IASBNormalnparaL1"/>
        <w:rPr>
          <w:b/>
          <w:szCs w:val="19"/>
          <w:lang w:val="en-AU"/>
        </w:rPr>
      </w:pPr>
      <w:r w:rsidRPr="00BE0C02">
        <w:rPr>
          <w:b/>
          <w:szCs w:val="19"/>
          <w:lang w:val="en-AU"/>
        </w:rPr>
        <w:t>(b)</w:t>
      </w:r>
      <w:r w:rsidRPr="00BE0C02">
        <w:rPr>
          <w:b/>
          <w:szCs w:val="19"/>
          <w:lang w:val="en-AU"/>
        </w:rPr>
        <w:tab/>
      </w:r>
      <w:r w:rsidR="000C6EAA" w:rsidRPr="00BE0C02">
        <w:rPr>
          <w:b/>
          <w:szCs w:val="19"/>
          <w:lang w:val="en-AU"/>
        </w:rPr>
        <w:t xml:space="preserve">interim financial reports that are general purpose financial statements of each </w:t>
      </w:r>
      <w:r w:rsidR="000C6EAA" w:rsidRPr="00BE0C02">
        <w:rPr>
          <w:b/>
          <w:strike/>
          <w:lang w:val="en-AU"/>
        </w:rPr>
        <w:t>other</w:t>
      </w:r>
      <w:r w:rsidR="000C6EAA" w:rsidRPr="00BE0C02">
        <w:rPr>
          <w:b/>
          <w:szCs w:val="19"/>
          <w:lang w:val="en-AU"/>
        </w:rPr>
        <w:t xml:space="preserve"> </w:t>
      </w:r>
      <w:r w:rsidR="00D25F21" w:rsidRPr="00BE0C02">
        <w:rPr>
          <w:b/>
          <w:szCs w:val="19"/>
          <w:u w:val="single"/>
          <w:lang w:val="en-AU"/>
        </w:rPr>
        <w:t xml:space="preserve">not-for-profit entity that is a </w:t>
      </w:r>
      <w:r w:rsidR="000C6EAA" w:rsidRPr="00BE0C02">
        <w:rPr>
          <w:b/>
          <w:szCs w:val="19"/>
          <w:lang w:val="en-AU"/>
        </w:rPr>
        <w:t>reporting entity;</w:t>
      </w:r>
      <w:r w:rsidR="000C6EAA" w:rsidRPr="00BE0C02">
        <w:rPr>
          <w:b/>
          <w:strike/>
          <w:szCs w:val="19"/>
          <w:lang w:val="en-AU"/>
        </w:rPr>
        <w:t xml:space="preserve"> and</w:t>
      </w:r>
    </w:p>
    <w:p w14:paraId="2AF07614" w14:textId="7301EAAF" w:rsidR="000C6EAA" w:rsidRPr="00BE0C02" w:rsidRDefault="00F1668B" w:rsidP="00F1668B">
      <w:pPr>
        <w:pStyle w:val="IASBNormalnparaL1"/>
        <w:rPr>
          <w:b/>
          <w:szCs w:val="19"/>
          <w:lang w:val="en-AU"/>
        </w:rPr>
      </w:pPr>
      <w:r w:rsidRPr="00BE0C02">
        <w:rPr>
          <w:b/>
          <w:szCs w:val="19"/>
          <w:lang w:val="en-AU"/>
        </w:rPr>
        <w:t>(c)</w:t>
      </w:r>
      <w:r w:rsidRPr="00BE0C02">
        <w:rPr>
          <w:b/>
          <w:szCs w:val="19"/>
          <w:lang w:val="en-AU"/>
        </w:rPr>
        <w:tab/>
      </w:r>
      <w:r w:rsidR="00FA3B17" w:rsidRPr="00BE0C02">
        <w:rPr>
          <w:b/>
          <w:szCs w:val="19"/>
          <w:u w:val="single"/>
          <w:lang w:val="en-AU"/>
        </w:rPr>
        <w:t xml:space="preserve">each entity that elects to prepare </w:t>
      </w:r>
      <w:r w:rsidR="000C6EAA" w:rsidRPr="00BE0C02">
        <w:rPr>
          <w:b/>
          <w:szCs w:val="19"/>
          <w:lang w:val="en-AU"/>
        </w:rPr>
        <w:t>interim financial reports that are, or are held out to be, general purpose financial statements</w:t>
      </w:r>
      <w:r w:rsidR="000C6EAA" w:rsidRPr="00BE0C02">
        <w:rPr>
          <w:b/>
          <w:szCs w:val="19"/>
          <w:u w:val="single"/>
          <w:lang w:val="en-AU"/>
        </w:rPr>
        <w:t xml:space="preserve">; </w:t>
      </w:r>
    </w:p>
    <w:p w14:paraId="65EEA01A" w14:textId="1119625F" w:rsidR="00177DF7" w:rsidRPr="00BE0C02" w:rsidRDefault="00F1668B" w:rsidP="00F1668B">
      <w:pPr>
        <w:pStyle w:val="IASBNormalnparaL1"/>
        <w:rPr>
          <w:b/>
          <w:szCs w:val="19"/>
          <w:u w:val="single"/>
          <w:lang w:val="en-AU"/>
        </w:rPr>
      </w:pPr>
      <w:r w:rsidRPr="00BE0C02">
        <w:rPr>
          <w:b/>
          <w:szCs w:val="19"/>
          <w:u w:val="single"/>
          <w:lang w:val="en-AU"/>
        </w:rPr>
        <w:t>(d)</w:t>
      </w:r>
      <w:r w:rsidRPr="00BE0C02">
        <w:rPr>
          <w:b/>
          <w:szCs w:val="19"/>
          <w:u w:val="single"/>
          <w:lang w:val="en-AU"/>
        </w:rPr>
        <w:tab/>
      </w:r>
      <w:r w:rsidR="000C6EAA" w:rsidRPr="00BE0C02">
        <w:rPr>
          <w:b/>
          <w:szCs w:val="19"/>
          <w:u w:val="single"/>
          <w:lang w:val="en-AU"/>
        </w:rPr>
        <w:t xml:space="preserve">interim financial reports </w:t>
      </w:r>
      <w:r w:rsidR="00722206" w:rsidRPr="00BE0C02">
        <w:rPr>
          <w:b/>
          <w:szCs w:val="19"/>
          <w:u w:val="single"/>
          <w:lang w:val="en-AU"/>
        </w:rPr>
        <w:t>of for-</w:t>
      </w:r>
      <w:r w:rsidR="002A3D0E" w:rsidRPr="00BE0C02">
        <w:rPr>
          <w:b/>
          <w:szCs w:val="19"/>
          <w:u w:val="single"/>
          <w:lang w:val="en-AU"/>
        </w:rPr>
        <w:t xml:space="preserve">profit private sector entities </w:t>
      </w:r>
      <w:r w:rsidR="000C6EAA" w:rsidRPr="00BE0C02">
        <w:rPr>
          <w:b/>
          <w:szCs w:val="19"/>
          <w:u w:val="single"/>
          <w:lang w:val="en-AU"/>
        </w:rPr>
        <w:t xml:space="preserve">that are required </w:t>
      </w:r>
      <w:r w:rsidR="00177DF7" w:rsidRPr="00BE0C02">
        <w:rPr>
          <w:b/>
          <w:szCs w:val="19"/>
          <w:u w:val="single"/>
          <w:lang w:val="en-AU"/>
        </w:rPr>
        <w:t xml:space="preserve">by legislation </w:t>
      </w:r>
      <w:r w:rsidR="000C6EAA" w:rsidRPr="00BE0C02">
        <w:rPr>
          <w:b/>
          <w:szCs w:val="19"/>
          <w:u w:val="single"/>
          <w:lang w:val="en-AU"/>
        </w:rPr>
        <w:t xml:space="preserve">to </w:t>
      </w:r>
      <w:r w:rsidR="003C5DD2" w:rsidRPr="00BE0C02">
        <w:rPr>
          <w:b/>
          <w:szCs w:val="19"/>
          <w:u w:val="single"/>
          <w:lang w:val="en-AU"/>
        </w:rPr>
        <w:t xml:space="preserve">prepare financial statements that </w:t>
      </w:r>
      <w:r w:rsidR="000C6EAA" w:rsidRPr="00BE0C02">
        <w:rPr>
          <w:b/>
          <w:szCs w:val="19"/>
          <w:u w:val="single"/>
          <w:lang w:val="en-AU"/>
        </w:rPr>
        <w:t xml:space="preserve">comply with </w:t>
      </w:r>
      <w:r w:rsidR="0065223F" w:rsidRPr="00BE0C02">
        <w:rPr>
          <w:b/>
          <w:szCs w:val="19"/>
          <w:u w:val="single"/>
          <w:lang w:val="en-AU"/>
        </w:rPr>
        <w:t xml:space="preserve">either </w:t>
      </w:r>
      <w:r w:rsidR="000C6EAA" w:rsidRPr="00BE0C02">
        <w:rPr>
          <w:b/>
          <w:szCs w:val="19"/>
          <w:u w:val="single"/>
          <w:lang w:val="en-AU"/>
        </w:rPr>
        <w:t>Australian Accounting Standards</w:t>
      </w:r>
      <w:r w:rsidR="00177DF7" w:rsidRPr="00BE0C02">
        <w:rPr>
          <w:b/>
          <w:szCs w:val="19"/>
          <w:u w:val="single"/>
          <w:lang w:val="en-AU"/>
        </w:rPr>
        <w:t xml:space="preserve"> or accounting standards; and</w:t>
      </w:r>
    </w:p>
    <w:p w14:paraId="0E80E030" w14:textId="70ED743A" w:rsidR="000C6EAA" w:rsidRPr="00BE0C02" w:rsidRDefault="00F1668B" w:rsidP="00F1668B">
      <w:pPr>
        <w:pStyle w:val="IASBNormalnparaL1"/>
        <w:rPr>
          <w:b/>
          <w:szCs w:val="19"/>
          <w:u w:val="single"/>
          <w:lang w:val="en-AU"/>
        </w:rPr>
      </w:pPr>
      <w:r w:rsidRPr="00BE0C02">
        <w:rPr>
          <w:b/>
          <w:szCs w:val="19"/>
          <w:u w:val="single"/>
          <w:lang w:val="en-AU"/>
        </w:rPr>
        <w:t>(e)</w:t>
      </w:r>
      <w:r w:rsidRPr="00BE0C02">
        <w:rPr>
          <w:b/>
          <w:szCs w:val="19"/>
          <w:u w:val="single"/>
          <w:lang w:val="en-AU"/>
        </w:rPr>
        <w:tab/>
      </w:r>
      <w:r w:rsidR="00177DF7" w:rsidRPr="00BE0C02">
        <w:rPr>
          <w:b/>
          <w:szCs w:val="19"/>
          <w:u w:val="single"/>
          <w:lang w:val="en-AU"/>
        </w:rPr>
        <w:t xml:space="preserve">interim financial reports of other for-profit private sector entities that are required only by their constituting document </w:t>
      </w:r>
      <w:r w:rsidR="00347D9E" w:rsidRPr="00BE0C02">
        <w:rPr>
          <w:b/>
          <w:szCs w:val="19"/>
          <w:u w:val="single"/>
          <w:lang w:val="en-AU"/>
        </w:rPr>
        <w:t xml:space="preserve">or another document </w:t>
      </w:r>
      <w:r w:rsidR="00177DF7" w:rsidRPr="00BE0C02">
        <w:rPr>
          <w:b/>
          <w:szCs w:val="19"/>
          <w:u w:val="single"/>
          <w:lang w:val="en-AU"/>
        </w:rPr>
        <w:t xml:space="preserve">to </w:t>
      </w:r>
      <w:r w:rsidR="003C5DD2" w:rsidRPr="00BE0C02">
        <w:rPr>
          <w:b/>
          <w:szCs w:val="19"/>
          <w:u w:val="single"/>
          <w:lang w:val="en-AU"/>
        </w:rPr>
        <w:t xml:space="preserve">prepare financial statements that </w:t>
      </w:r>
      <w:r w:rsidR="00177DF7" w:rsidRPr="00BE0C02">
        <w:rPr>
          <w:b/>
          <w:szCs w:val="19"/>
          <w:u w:val="single"/>
          <w:lang w:val="en-AU"/>
        </w:rPr>
        <w:t xml:space="preserve">comply with Australian Accounting Standards, provided that the </w:t>
      </w:r>
      <w:r w:rsidR="00347D9E" w:rsidRPr="00BE0C02">
        <w:rPr>
          <w:b/>
          <w:szCs w:val="19"/>
          <w:u w:val="single"/>
          <w:lang w:val="en-AU"/>
        </w:rPr>
        <w:t xml:space="preserve">relevant </w:t>
      </w:r>
      <w:r w:rsidR="00177DF7" w:rsidRPr="00BE0C02">
        <w:rPr>
          <w:b/>
          <w:szCs w:val="19"/>
          <w:u w:val="single"/>
          <w:lang w:val="en-AU"/>
        </w:rPr>
        <w:t xml:space="preserve">document was created or amended on or after 1 July </w:t>
      </w:r>
      <w:r w:rsidR="00094CC7" w:rsidRPr="00BE0C02">
        <w:rPr>
          <w:b/>
          <w:szCs w:val="19"/>
          <w:u w:val="single"/>
          <w:lang w:val="en-AU"/>
        </w:rPr>
        <w:t>2021</w:t>
      </w:r>
      <w:r w:rsidR="000C6EAA" w:rsidRPr="00BE0C02">
        <w:rPr>
          <w:b/>
          <w:szCs w:val="19"/>
          <w:lang w:val="en-AU"/>
        </w:rPr>
        <w:t>.</w:t>
      </w:r>
    </w:p>
    <w:p w14:paraId="012543A5" w14:textId="77777777" w:rsidR="000C6EAA" w:rsidRPr="00BE0C02" w:rsidRDefault="000C6EAA" w:rsidP="000C6EAA">
      <w:pPr>
        <w:pStyle w:val="Default"/>
        <w:ind w:left="993" w:hanging="993"/>
        <w:jc w:val="both"/>
        <w:rPr>
          <w:bCs/>
          <w:color w:val="auto"/>
          <w:sz w:val="19"/>
          <w:szCs w:val="19"/>
        </w:rPr>
      </w:pPr>
      <w:r w:rsidRPr="00BE0C02">
        <w:rPr>
          <w:bCs/>
          <w:color w:val="auto"/>
          <w:sz w:val="19"/>
          <w:szCs w:val="19"/>
        </w:rPr>
        <w:t>…</w:t>
      </w:r>
    </w:p>
    <w:p w14:paraId="0DA0B8E2" w14:textId="77777777" w:rsidR="000C6EAA" w:rsidRPr="00BE0C02" w:rsidRDefault="00DC5C84" w:rsidP="00F1668B">
      <w:pPr>
        <w:pStyle w:val="IASBNormalnpara"/>
        <w:rPr>
          <w:b/>
          <w:szCs w:val="19"/>
          <w:lang w:val="en-AU"/>
        </w:rPr>
      </w:pPr>
      <w:r w:rsidRPr="00BE0C02">
        <w:rPr>
          <w:b/>
          <w:szCs w:val="19"/>
          <w:lang w:val="en-AU"/>
        </w:rPr>
        <w:t>12</w:t>
      </w:r>
      <w:r w:rsidR="000C6EAA" w:rsidRPr="00BE0C02">
        <w:rPr>
          <w:b/>
          <w:szCs w:val="19"/>
          <w:lang w:val="en-AU"/>
        </w:rPr>
        <w:tab/>
        <w:t xml:space="preserve">AASB 1038 </w:t>
      </w:r>
      <w:r w:rsidR="000C6EAA" w:rsidRPr="00BE0C02">
        <w:rPr>
          <w:b/>
          <w:i/>
          <w:szCs w:val="19"/>
          <w:lang w:val="en-AU"/>
        </w:rPr>
        <w:t>Life Insurance Contracts</w:t>
      </w:r>
      <w:r w:rsidR="000C6EAA" w:rsidRPr="00BE0C02">
        <w:rPr>
          <w:b/>
          <w:szCs w:val="19"/>
          <w:lang w:val="en-AU"/>
        </w:rPr>
        <w:t xml:space="preserve"> applies to:</w:t>
      </w:r>
    </w:p>
    <w:p w14:paraId="69E16275" w14:textId="77777777" w:rsidR="000C6EAA" w:rsidRPr="00BE0C02" w:rsidRDefault="00F1668B" w:rsidP="00F1668B">
      <w:pPr>
        <w:pStyle w:val="IASBNormalnparaL1"/>
        <w:rPr>
          <w:b/>
          <w:szCs w:val="19"/>
          <w:lang w:val="en-AU"/>
        </w:rPr>
      </w:pPr>
      <w:r w:rsidRPr="00BE0C02">
        <w:rPr>
          <w:b/>
          <w:szCs w:val="19"/>
          <w:lang w:val="en-AU"/>
        </w:rPr>
        <w:t>(a)</w:t>
      </w:r>
      <w:r w:rsidRPr="00BE0C02">
        <w:rPr>
          <w:b/>
          <w:szCs w:val="19"/>
          <w:lang w:val="en-AU"/>
        </w:rPr>
        <w:tab/>
      </w:r>
      <w:r w:rsidR="000C6EAA" w:rsidRPr="00BE0C02">
        <w:rPr>
          <w:b/>
          <w:szCs w:val="19"/>
          <w:lang w:val="en-AU"/>
        </w:rPr>
        <w:t>a life insurer; or</w:t>
      </w:r>
    </w:p>
    <w:p w14:paraId="068B1C3B" w14:textId="77777777" w:rsidR="000C6EAA" w:rsidRPr="00BE0C02" w:rsidRDefault="00F1668B" w:rsidP="00F1668B">
      <w:pPr>
        <w:pStyle w:val="IASBNormalnparaL1"/>
        <w:rPr>
          <w:b/>
          <w:szCs w:val="19"/>
          <w:lang w:val="en-AU"/>
        </w:rPr>
      </w:pPr>
      <w:r w:rsidRPr="00BE0C02">
        <w:rPr>
          <w:b/>
          <w:szCs w:val="19"/>
          <w:lang w:val="en-AU"/>
        </w:rPr>
        <w:t>(b)</w:t>
      </w:r>
      <w:r w:rsidRPr="00BE0C02">
        <w:rPr>
          <w:b/>
          <w:szCs w:val="19"/>
          <w:lang w:val="en-AU"/>
        </w:rPr>
        <w:tab/>
      </w:r>
      <w:r w:rsidR="000C6EAA" w:rsidRPr="00BE0C02">
        <w:rPr>
          <w:b/>
          <w:szCs w:val="19"/>
          <w:lang w:val="en-AU"/>
        </w:rPr>
        <w:t>the parent in a group that includes a life insurer;</w:t>
      </w:r>
    </w:p>
    <w:p w14:paraId="21C6A6A7" w14:textId="5A3D2B44" w:rsidR="000C6EAA" w:rsidRPr="00BE0C02" w:rsidRDefault="000C6EAA" w:rsidP="007600F5">
      <w:pPr>
        <w:pStyle w:val="Default"/>
        <w:spacing w:before="100"/>
        <w:ind w:left="782"/>
        <w:jc w:val="both"/>
        <w:rPr>
          <w:b/>
          <w:bCs/>
          <w:color w:val="auto"/>
          <w:sz w:val="19"/>
          <w:szCs w:val="19"/>
        </w:rPr>
      </w:pPr>
      <w:r w:rsidRPr="00BE0C02">
        <w:rPr>
          <w:b/>
          <w:bCs/>
          <w:color w:val="auto"/>
          <w:sz w:val="19"/>
          <w:szCs w:val="19"/>
        </w:rPr>
        <w:t>when the entity</w:t>
      </w:r>
      <w:r w:rsidR="00A04214" w:rsidRPr="00BE0C02">
        <w:rPr>
          <w:b/>
          <w:bCs/>
          <w:color w:val="auto"/>
          <w:sz w:val="19"/>
          <w:szCs w:val="19"/>
        </w:rPr>
        <w:t xml:space="preserve"> is a not-for-profit public sector entity</w:t>
      </w:r>
      <w:r w:rsidR="001C3F7C" w:rsidRPr="00BE0C02">
        <w:rPr>
          <w:b/>
          <w:bCs/>
          <w:color w:val="auto"/>
          <w:sz w:val="19"/>
          <w:szCs w:val="19"/>
        </w:rPr>
        <w:t xml:space="preserve"> that</w:t>
      </w:r>
      <w:r w:rsidRPr="00BE0C02">
        <w:rPr>
          <w:b/>
          <w:bCs/>
          <w:color w:val="auto"/>
          <w:sz w:val="19"/>
          <w:szCs w:val="19"/>
        </w:rPr>
        <w:t>:</w:t>
      </w:r>
    </w:p>
    <w:p w14:paraId="1B0B6C8B" w14:textId="6A720DF4" w:rsidR="000C6EAA" w:rsidRPr="00BE0C02" w:rsidRDefault="00E078D8" w:rsidP="00E078D8">
      <w:pPr>
        <w:pStyle w:val="IASBNormalnparaL1"/>
        <w:rPr>
          <w:b/>
          <w:szCs w:val="19"/>
          <w:u w:val="single"/>
          <w:lang w:val="en-AU"/>
        </w:rPr>
      </w:pPr>
      <w:r w:rsidRPr="00BE0C02">
        <w:rPr>
          <w:rFonts w:ascii="Times New Roman Bold" w:hAnsi="Times New Roman Bold"/>
          <w:b/>
          <w:szCs w:val="19"/>
          <w:lang w:val="en-AU"/>
        </w:rPr>
        <w:t>(c)</w:t>
      </w:r>
      <w:r w:rsidRPr="00BE0C02">
        <w:rPr>
          <w:rFonts w:ascii="Times New Roman Bold" w:hAnsi="Times New Roman Bold"/>
          <w:b/>
          <w:szCs w:val="19"/>
          <w:lang w:val="en-AU"/>
        </w:rPr>
        <w:tab/>
      </w:r>
      <w:r w:rsidRPr="00BE0C02">
        <w:rPr>
          <w:b/>
          <w:szCs w:val="19"/>
          <w:lang w:val="en-AU"/>
        </w:rPr>
        <w:tab/>
      </w:r>
      <w:r w:rsidR="000C6EAA" w:rsidRPr="00BE0C02">
        <w:rPr>
          <w:b/>
          <w:szCs w:val="19"/>
          <w:lang w:val="en-AU"/>
        </w:rPr>
        <w:t>is a reporting entity and prepares general purpose financial statements;</w:t>
      </w:r>
      <w:r w:rsidR="00DB207A" w:rsidRPr="00BE0C02">
        <w:rPr>
          <w:b/>
          <w:szCs w:val="19"/>
          <w:lang w:val="en-AU"/>
        </w:rPr>
        <w:t xml:space="preserve"> </w:t>
      </w:r>
      <w:r w:rsidR="00DB207A" w:rsidRPr="00BE0C02">
        <w:rPr>
          <w:b/>
          <w:szCs w:val="19"/>
          <w:u w:val="single"/>
          <w:lang w:val="en-AU"/>
        </w:rPr>
        <w:t>or</w:t>
      </w:r>
    </w:p>
    <w:p w14:paraId="204FDA27" w14:textId="348E2F2B" w:rsidR="000C6EAA" w:rsidRPr="00BE0C02" w:rsidRDefault="00E078D8" w:rsidP="00E078D8">
      <w:pPr>
        <w:pStyle w:val="IASBNormalnparaL1"/>
        <w:rPr>
          <w:b/>
          <w:szCs w:val="19"/>
          <w:u w:val="single"/>
          <w:lang w:val="en-AU"/>
        </w:rPr>
      </w:pPr>
      <w:r w:rsidRPr="00BE0C02">
        <w:rPr>
          <w:b/>
          <w:szCs w:val="19"/>
          <w:lang w:val="en-AU"/>
        </w:rPr>
        <w:t>(</w:t>
      </w:r>
      <w:r w:rsidR="0036623B" w:rsidRPr="00BE0C02">
        <w:rPr>
          <w:b/>
          <w:szCs w:val="19"/>
          <w:lang w:val="en-AU"/>
        </w:rPr>
        <w:t>d</w:t>
      </w:r>
      <w:r w:rsidRPr="00BE0C02">
        <w:rPr>
          <w:b/>
          <w:szCs w:val="19"/>
          <w:lang w:val="en-AU"/>
        </w:rPr>
        <w:t>)</w:t>
      </w:r>
      <w:r w:rsidRPr="00BE0C02">
        <w:rPr>
          <w:b/>
          <w:szCs w:val="19"/>
          <w:lang w:val="en-AU"/>
        </w:rPr>
        <w:tab/>
      </w:r>
      <w:r w:rsidR="000C6EAA" w:rsidRPr="00BE0C02">
        <w:rPr>
          <w:b/>
          <w:szCs w:val="19"/>
          <w:lang w:val="en-AU"/>
        </w:rPr>
        <w:t>prepares financial statements that are, or are held out to be, general purpose financial statements</w:t>
      </w:r>
      <w:r w:rsidR="000C6EAA" w:rsidRPr="00BE0C02">
        <w:rPr>
          <w:b/>
          <w:strike/>
          <w:szCs w:val="19"/>
          <w:lang w:val="en-AU"/>
        </w:rPr>
        <w:t>; or</w:t>
      </w:r>
      <w:r w:rsidR="005726B1" w:rsidRPr="00BE0C02">
        <w:rPr>
          <w:b/>
          <w:szCs w:val="19"/>
          <w:u w:val="single"/>
          <w:lang w:val="en-AU"/>
        </w:rPr>
        <w:t>.</w:t>
      </w:r>
    </w:p>
    <w:p w14:paraId="3270D2D9" w14:textId="22E2B543" w:rsidR="00AF08D6" w:rsidRPr="00BE0C02" w:rsidRDefault="00E078D8" w:rsidP="00E078D8">
      <w:pPr>
        <w:pStyle w:val="IASBNormalnparaL1"/>
        <w:rPr>
          <w:b/>
          <w:strike/>
          <w:szCs w:val="19"/>
          <w:lang w:val="en-AU"/>
        </w:rPr>
      </w:pPr>
      <w:r w:rsidRPr="00BE0C02">
        <w:rPr>
          <w:b/>
          <w:strike/>
          <w:szCs w:val="19"/>
          <w:lang w:val="en-AU"/>
        </w:rPr>
        <w:t>(</w:t>
      </w:r>
      <w:r w:rsidR="00CA4CB6" w:rsidRPr="00BE0C02">
        <w:rPr>
          <w:b/>
          <w:strike/>
          <w:szCs w:val="19"/>
          <w:lang w:val="en-AU"/>
        </w:rPr>
        <w:t>f</w:t>
      </w:r>
      <w:r w:rsidRPr="00BE0C02">
        <w:rPr>
          <w:b/>
          <w:strike/>
          <w:szCs w:val="19"/>
          <w:lang w:val="en-AU"/>
        </w:rPr>
        <w:t>)</w:t>
      </w:r>
      <w:r w:rsidRPr="00BE0C02">
        <w:rPr>
          <w:b/>
          <w:strike/>
          <w:szCs w:val="19"/>
          <w:lang w:val="en-AU"/>
        </w:rPr>
        <w:tab/>
      </w:r>
      <w:r w:rsidR="00E37184" w:rsidRPr="00BE0C02">
        <w:rPr>
          <w:b/>
          <w:strike/>
          <w:szCs w:val="19"/>
          <w:lang w:val="en-AU"/>
        </w:rPr>
        <w:t xml:space="preserve">is a </w:t>
      </w:r>
      <w:r w:rsidR="000C6EAA" w:rsidRPr="00BE0C02">
        <w:rPr>
          <w:b/>
          <w:strike/>
          <w:szCs w:val="19"/>
          <w:lang w:val="en-AU"/>
        </w:rPr>
        <w:t>for-profit private sector</w:t>
      </w:r>
      <w:r w:rsidR="00E37184" w:rsidRPr="00BE0C02">
        <w:rPr>
          <w:b/>
          <w:strike/>
          <w:szCs w:val="19"/>
          <w:lang w:val="en-AU"/>
        </w:rPr>
        <w:t xml:space="preserve"> entity</w:t>
      </w:r>
      <w:r w:rsidR="000C6EAA" w:rsidRPr="00BE0C02">
        <w:rPr>
          <w:b/>
          <w:strike/>
          <w:szCs w:val="19"/>
          <w:lang w:val="en-AU"/>
        </w:rPr>
        <w:t xml:space="preserve"> that ha</w:t>
      </w:r>
      <w:r w:rsidR="00E37184" w:rsidRPr="00BE0C02">
        <w:rPr>
          <w:b/>
          <w:strike/>
          <w:szCs w:val="19"/>
          <w:lang w:val="en-AU"/>
        </w:rPr>
        <w:t>s</w:t>
      </w:r>
      <w:r w:rsidR="000C6EAA" w:rsidRPr="00BE0C02">
        <w:rPr>
          <w:b/>
          <w:strike/>
          <w:szCs w:val="19"/>
          <w:lang w:val="en-AU"/>
        </w:rPr>
        <w:t xml:space="preserve"> public accountability and </w:t>
      </w:r>
      <w:r w:rsidR="00E37184" w:rsidRPr="00BE0C02">
        <w:rPr>
          <w:b/>
          <w:strike/>
          <w:szCs w:val="19"/>
          <w:lang w:val="en-AU"/>
        </w:rPr>
        <w:t>is</w:t>
      </w:r>
      <w:r w:rsidR="000C6EAA" w:rsidRPr="00BE0C02">
        <w:rPr>
          <w:b/>
          <w:strike/>
          <w:szCs w:val="19"/>
          <w:lang w:val="en-AU"/>
        </w:rPr>
        <w:t xml:space="preserve"> required by legislation</w:t>
      </w:r>
      <w:r w:rsidR="00AF08D6" w:rsidRPr="00BE0C02">
        <w:rPr>
          <w:b/>
          <w:strike/>
          <w:szCs w:val="19"/>
          <w:lang w:val="en-AU"/>
        </w:rPr>
        <w:t xml:space="preserve"> to comply with </w:t>
      </w:r>
      <w:r w:rsidR="000C6EAA" w:rsidRPr="00BE0C02">
        <w:rPr>
          <w:b/>
          <w:strike/>
          <w:szCs w:val="19"/>
          <w:lang w:val="en-AU"/>
        </w:rPr>
        <w:t>Australian Accounting Standards</w:t>
      </w:r>
      <w:r w:rsidR="005726B1" w:rsidRPr="00BE0C02">
        <w:rPr>
          <w:b/>
          <w:strike/>
          <w:szCs w:val="19"/>
          <w:lang w:val="en-AU"/>
        </w:rPr>
        <w:t>.</w:t>
      </w:r>
      <w:r w:rsidR="00AF08D6" w:rsidRPr="00BE0C02">
        <w:rPr>
          <w:strike/>
          <w:szCs w:val="19"/>
          <w:u w:val="single"/>
          <w:lang w:val="en-AU"/>
        </w:rPr>
        <w:t xml:space="preserve"> </w:t>
      </w:r>
    </w:p>
    <w:p w14:paraId="4B4E537B" w14:textId="77777777" w:rsidR="005E4584" w:rsidRPr="00BE0C02" w:rsidRDefault="005E4584" w:rsidP="005E4584">
      <w:pPr>
        <w:pStyle w:val="Default"/>
        <w:ind w:left="993" w:hanging="993"/>
        <w:jc w:val="both"/>
        <w:rPr>
          <w:bCs/>
          <w:color w:val="auto"/>
          <w:sz w:val="19"/>
          <w:szCs w:val="19"/>
        </w:rPr>
      </w:pPr>
      <w:r w:rsidRPr="00BE0C02">
        <w:rPr>
          <w:bCs/>
          <w:color w:val="auto"/>
          <w:sz w:val="19"/>
          <w:szCs w:val="19"/>
        </w:rPr>
        <w:t>…</w:t>
      </w:r>
    </w:p>
    <w:p w14:paraId="16E58135" w14:textId="77777777" w:rsidR="000C6EAA" w:rsidRPr="00BE0C02" w:rsidRDefault="00DC5C84" w:rsidP="00E078D8">
      <w:pPr>
        <w:pStyle w:val="IASBNormalnpara"/>
        <w:rPr>
          <w:b/>
          <w:szCs w:val="19"/>
          <w:lang w:val="en-AU"/>
        </w:rPr>
      </w:pPr>
      <w:r w:rsidRPr="00BE0C02">
        <w:rPr>
          <w:b/>
          <w:szCs w:val="19"/>
          <w:lang w:val="en-AU"/>
        </w:rPr>
        <w:t>18</w:t>
      </w:r>
      <w:r w:rsidR="000C6EAA" w:rsidRPr="00BE0C02">
        <w:rPr>
          <w:b/>
          <w:szCs w:val="19"/>
          <w:lang w:val="en-AU"/>
        </w:rPr>
        <w:tab/>
        <w:t xml:space="preserve">AASB 1053 </w:t>
      </w:r>
      <w:r w:rsidR="000C6EAA" w:rsidRPr="00BE0C02">
        <w:rPr>
          <w:b/>
          <w:i/>
          <w:szCs w:val="19"/>
          <w:lang w:val="en-AU"/>
        </w:rPr>
        <w:t>Application of Tiers of Australian Accounting Standards</w:t>
      </w:r>
      <w:r w:rsidR="000C6EAA" w:rsidRPr="00BE0C02">
        <w:rPr>
          <w:b/>
          <w:szCs w:val="19"/>
          <w:lang w:val="en-AU"/>
        </w:rPr>
        <w:t xml:space="preserve"> applies to:</w:t>
      </w:r>
    </w:p>
    <w:p w14:paraId="7D9A9AD4" w14:textId="09D93CDF" w:rsidR="000C6EAA" w:rsidRPr="00BE0C02" w:rsidRDefault="00E078D8" w:rsidP="00E078D8">
      <w:pPr>
        <w:pStyle w:val="IASBNormalnparaL1"/>
        <w:rPr>
          <w:b/>
          <w:szCs w:val="19"/>
          <w:lang w:val="en-AU"/>
        </w:rPr>
      </w:pPr>
      <w:r w:rsidRPr="00BE0C02">
        <w:rPr>
          <w:b/>
          <w:szCs w:val="19"/>
          <w:lang w:val="en-AU"/>
        </w:rPr>
        <w:t>(a)</w:t>
      </w:r>
      <w:r w:rsidRPr="00BE0C02">
        <w:rPr>
          <w:b/>
          <w:szCs w:val="19"/>
          <w:lang w:val="en-AU"/>
        </w:rPr>
        <w:tab/>
      </w:r>
      <w:r w:rsidR="000C6EAA" w:rsidRPr="00BE0C02">
        <w:rPr>
          <w:b/>
          <w:szCs w:val="19"/>
          <w:lang w:val="en-AU"/>
        </w:rPr>
        <w:t xml:space="preserve">each </w:t>
      </w:r>
      <w:r w:rsidR="00FC6B27" w:rsidRPr="00BE0C02">
        <w:rPr>
          <w:b/>
          <w:szCs w:val="19"/>
          <w:u w:val="single"/>
          <w:lang w:val="en-AU"/>
        </w:rPr>
        <w:t xml:space="preserve">not-for-profit </w:t>
      </w:r>
      <w:r w:rsidR="000C6EAA" w:rsidRPr="00BE0C02">
        <w:rPr>
          <w:b/>
          <w:szCs w:val="19"/>
          <w:lang w:val="en-AU"/>
        </w:rPr>
        <w:t>entity that is required to prepare financial reports in accordance with Part 2M.3 of the Corporations Act;</w:t>
      </w:r>
    </w:p>
    <w:p w14:paraId="2F32A948" w14:textId="3791BFD1" w:rsidR="000C6EAA" w:rsidRPr="00BE0C02" w:rsidRDefault="00E078D8" w:rsidP="00E078D8">
      <w:pPr>
        <w:pStyle w:val="IASBNormalnparaL1"/>
        <w:rPr>
          <w:b/>
          <w:szCs w:val="19"/>
          <w:lang w:val="en-AU"/>
        </w:rPr>
      </w:pPr>
      <w:r w:rsidRPr="00BE0C02">
        <w:rPr>
          <w:b/>
          <w:szCs w:val="19"/>
          <w:lang w:val="en-AU"/>
        </w:rPr>
        <w:t>(b)</w:t>
      </w:r>
      <w:r w:rsidRPr="00BE0C02">
        <w:rPr>
          <w:b/>
          <w:szCs w:val="19"/>
          <w:lang w:val="en-AU"/>
        </w:rPr>
        <w:tab/>
      </w:r>
      <w:r w:rsidR="000C6EAA" w:rsidRPr="00BE0C02">
        <w:rPr>
          <w:b/>
          <w:szCs w:val="19"/>
          <w:lang w:val="en-AU"/>
        </w:rPr>
        <w:t>general purpose financial statements of each</w:t>
      </w:r>
      <w:r w:rsidR="00697F8B" w:rsidRPr="00BE0C02">
        <w:rPr>
          <w:b/>
          <w:szCs w:val="19"/>
          <w:lang w:val="en-AU"/>
        </w:rPr>
        <w:t xml:space="preserve"> </w:t>
      </w:r>
      <w:r w:rsidR="00697F8B" w:rsidRPr="00BE0C02">
        <w:rPr>
          <w:b/>
          <w:szCs w:val="19"/>
          <w:u w:val="single"/>
          <w:lang w:val="en-AU"/>
        </w:rPr>
        <w:t>not-for-profit entity that is a</w:t>
      </w:r>
      <w:r w:rsidR="000C6EAA" w:rsidRPr="00BE0C02">
        <w:rPr>
          <w:b/>
          <w:szCs w:val="19"/>
          <w:lang w:val="en-AU"/>
        </w:rPr>
        <w:t xml:space="preserve"> reporting entity;</w:t>
      </w:r>
    </w:p>
    <w:p w14:paraId="45950925" w14:textId="238556C9" w:rsidR="000C6EAA" w:rsidRPr="00BE0C02" w:rsidRDefault="00E078D8" w:rsidP="00E078D8">
      <w:pPr>
        <w:pStyle w:val="IASBNormalnparaL1"/>
        <w:rPr>
          <w:b/>
          <w:szCs w:val="19"/>
          <w:lang w:val="en-AU"/>
        </w:rPr>
      </w:pPr>
      <w:r w:rsidRPr="00BE0C02">
        <w:rPr>
          <w:b/>
          <w:szCs w:val="19"/>
          <w:lang w:val="en-AU"/>
        </w:rPr>
        <w:t>(c)</w:t>
      </w:r>
      <w:r w:rsidRPr="00BE0C02">
        <w:rPr>
          <w:b/>
          <w:szCs w:val="19"/>
          <w:lang w:val="en-AU"/>
        </w:rPr>
        <w:tab/>
      </w:r>
      <w:r w:rsidR="00FC6B27" w:rsidRPr="00BE0C02">
        <w:rPr>
          <w:b/>
          <w:szCs w:val="19"/>
          <w:u w:val="single"/>
          <w:lang w:val="en-AU"/>
        </w:rPr>
        <w:t>each entity that elects to prepare</w:t>
      </w:r>
      <w:r w:rsidR="00FC6B27" w:rsidRPr="00BE0C02">
        <w:rPr>
          <w:b/>
          <w:szCs w:val="19"/>
          <w:lang w:val="en-AU"/>
        </w:rPr>
        <w:t xml:space="preserve"> </w:t>
      </w:r>
      <w:r w:rsidR="000C6EAA" w:rsidRPr="00BE0C02">
        <w:rPr>
          <w:b/>
          <w:szCs w:val="19"/>
          <w:lang w:val="en-AU"/>
        </w:rPr>
        <w:t>financial statements that are, or are held out to be, general purpose financial statements;</w:t>
      </w:r>
    </w:p>
    <w:p w14:paraId="018CB00E" w14:textId="77777777" w:rsidR="000C6EAA" w:rsidRPr="00BE0C02" w:rsidRDefault="00E078D8" w:rsidP="00E078D8">
      <w:pPr>
        <w:pStyle w:val="IASBNormalnparaL1"/>
        <w:rPr>
          <w:b/>
          <w:szCs w:val="19"/>
          <w:lang w:val="en-AU"/>
        </w:rPr>
      </w:pPr>
      <w:r w:rsidRPr="00BE0C02">
        <w:rPr>
          <w:b/>
          <w:szCs w:val="19"/>
          <w:lang w:val="en-AU"/>
        </w:rPr>
        <w:t>(d)</w:t>
      </w:r>
      <w:r w:rsidRPr="00BE0C02">
        <w:rPr>
          <w:b/>
          <w:szCs w:val="19"/>
          <w:lang w:val="en-AU"/>
        </w:rPr>
        <w:tab/>
      </w:r>
      <w:r w:rsidR="000C6EAA" w:rsidRPr="00BE0C02">
        <w:rPr>
          <w:b/>
          <w:szCs w:val="19"/>
          <w:lang w:val="en-AU"/>
        </w:rPr>
        <w:t xml:space="preserve">financial statements of GGSs prepared in accordance with AASB 1049; </w:t>
      </w:r>
      <w:r w:rsidR="000C6EAA" w:rsidRPr="00BE0C02">
        <w:rPr>
          <w:b/>
          <w:strike/>
          <w:szCs w:val="19"/>
          <w:lang w:val="en-AU"/>
        </w:rPr>
        <w:t>and</w:t>
      </w:r>
    </w:p>
    <w:p w14:paraId="0D4AB3E0" w14:textId="7814576C" w:rsidR="00BF6DDB" w:rsidRPr="00BE0C02" w:rsidRDefault="00E078D8" w:rsidP="00E078D8">
      <w:pPr>
        <w:pStyle w:val="IASBNormalnparaL1"/>
        <w:rPr>
          <w:b/>
          <w:szCs w:val="19"/>
          <w:lang w:val="en-AU"/>
        </w:rPr>
      </w:pPr>
      <w:r w:rsidRPr="00BE0C02">
        <w:rPr>
          <w:b/>
          <w:szCs w:val="19"/>
          <w:lang w:val="en-AU"/>
        </w:rPr>
        <w:t>(e)</w:t>
      </w:r>
      <w:r w:rsidRPr="00BE0C02">
        <w:rPr>
          <w:b/>
          <w:szCs w:val="19"/>
          <w:lang w:val="en-AU"/>
        </w:rPr>
        <w:tab/>
      </w:r>
      <w:r w:rsidR="000C6EAA" w:rsidRPr="00BE0C02">
        <w:rPr>
          <w:b/>
          <w:szCs w:val="19"/>
          <w:lang w:val="en-AU"/>
        </w:rPr>
        <w:t xml:space="preserve">for-profit private sector entities that </w:t>
      </w:r>
      <w:r w:rsidR="000C6EAA" w:rsidRPr="00BE0C02">
        <w:rPr>
          <w:b/>
          <w:strike/>
          <w:szCs w:val="19"/>
          <w:lang w:val="en-AU"/>
        </w:rPr>
        <w:t xml:space="preserve">have public accountability and </w:t>
      </w:r>
      <w:r w:rsidR="000C6EAA" w:rsidRPr="00BE0C02">
        <w:rPr>
          <w:b/>
          <w:szCs w:val="19"/>
          <w:lang w:val="en-AU"/>
        </w:rPr>
        <w:t xml:space="preserve">are required by legislation to </w:t>
      </w:r>
      <w:r w:rsidR="003C5DD2" w:rsidRPr="00BE0C02">
        <w:rPr>
          <w:b/>
          <w:szCs w:val="19"/>
          <w:u w:val="single"/>
          <w:lang w:val="en-AU"/>
        </w:rPr>
        <w:t>prepare financial statements that</w:t>
      </w:r>
      <w:r w:rsidR="003C5DD2" w:rsidRPr="00BE0C02">
        <w:rPr>
          <w:b/>
          <w:szCs w:val="19"/>
          <w:lang w:val="en-AU"/>
        </w:rPr>
        <w:t xml:space="preserve"> </w:t>
      </w:r>
      <w:r w:rsidR="000C6EAA" w:rsidRPr="00BE0C02">
        <w:rPr>
          <w:b/>
          <w:szCs w:val="19"/>
          <w:lang w:val="en-AU"/>
        </w:rPr>
        <w:t xml:space="preserve">comply with </w:t>
      </w:r>
      <w:r w:rsidR="0062395B" w:rsidRPr="00BE0C02">
        <w:rPr>
          <w:b/>
          <w:szCs w:val="19"/>
          <w:u w:val="single"/>
          <w:lang w:val="en-AU"/>
        </w:rPr>
        <w:t>either</w:t>
      </w:r>
      <w:r w:rsidR="0062395B" w:rsidRPr="00BE0C02">
        <w:rPr>
          <w:b/>
          <w:szCs w:val="19"/>
          <w:lang w:val="en-AU"/>
        </w:rPr>
        <w:t xml:space="preserve"> </w:t>
      </w:r>
      <w:r w:rsidR="000C6EAA" w:rsidRPr="00BE0C02">
        <w:rPr>
          <w:b/>
          <w:szCs w:val="19"/>
          <w:lang w:val="en-AU"/>
        </w:rPr>
        <w:t>Australian Accounting Standards</w:t>
      </w:r>
      <w:r w:rsidR="00BF6DDB" w:rsidRPr="00BE0C02">
        <w:rPr>
          <w:b/>
          <w:szCs w:val="19"/>
          <w:lang w:val="en-AU"/>
        </w:rPr>
        <w:t xml:space="preserve"> </w:t>
      </w:r>
      <w:r w:rsidR="00BF6DDB" w:rsidRPr="00BE0C02">
        <w:rPr>
          <w:b/>
          <w:szCs w:val="19"/>
          <w:u w:val="single"/>
          <w:lang w:val="en-AU"/>
        </w:rPr>
        <w:t xml:space="preserve">or accounting standards; and </w:t>
      </w:r>
    </w:p>
    <w:p w14:paraId="05E340FE" w14:textId="6090C3AA" w:rsidR="000C6EAA" w:rsidRPr="00BE0C02" w:rsidRDefault="00BF6DDB" w:rsidP="00E078D8">
      <w:pPr>
        <w:pStyle w:val="IASBNormalnparaL1"/>
        <w:rPr>
          <w:b/>
          <w:szCs w:val="19"/>
          <w:lang w:val="en-AU"/>
        </w:rPr>
      </w:pPr>
      <w:r w:rsidRPr="00BE0C02">
        <w:rPr>
          <w:b/>
          <w:szCs w:val="19"/>
          <w:u w:val="single"/>
          <w:lang w:val="en-AU"/>
        </w:rPr>
        <w:t>(f)</w:t>
      </w:r>
      <w:r w:rsidRPr="00BE0C02">
        <w:rPr>
          <w:b/>
          <w:szCs w:val="19"/>
          <w:u w:val="single"/>
          <w:lang w:val="en-AU"/>
        </w:rPr>
        <w:tab/>
        <w:t xml:space="preserve">other for-profit private sector entities that are required only by their constituting document </w:t>
      </w:r>
      <w:r w:rsidR="00347D9E" w:rsidRPr="00BE0C02">
        <w:rPr>
          <w:b/>
          <w:szCs w:val="19"/>
          <w:u w:val="single"/>
          <w:lang w:val="en-AU"/>
        </w:rPr>
        <w:t xml:space="preserve">or another document </w:t>
      </w:r>
      <w:r w:rsidRPr="00BE0C02">
        <w:rPr>
          <w:b/>
          <w:szCs w:val="19"/>
          <w:u w:val="single"/>
          <w:lang w:val="en-AU"/>
        </w:rPr>
        <w:t xml:space="preserve">to </w:t>
      </w:r>
      <w:r w:rsidR="003C5DD2" w:rsidRPr="00BE0C02">
        <w:rPr>
          <w:b/>
          <w:szCs w:val="19"/>
          <w:u w:val="single"/>
          <w:lang w:val="en-AU"/>
        </w:rPr>
        <w:t xml:space="preserve">prepare financial statements that </w:t>
      </w:r>
      <w:r w:rsidRPr="00BE0C02">
        <w:rPr>
          <w:b/>
          <w:szCs w:val="19"/>
          <w:u w:val="single"/>
          <w:lang w:val="en-AU"/>
        </w:rPr>
        <w:t xml:space="preserve">comply with Australian Accounting Standards, provided that the </w:t>
      </w:r>
      <w:r w:rsidR="00347D9E" w:rsidRPr="00BE0C02">
        <w:rPr>
          <w:b/>
          <w:szCs w:val="19"/>
          <w:u w:val="single"/>
          <w:lang w:val="en-AU"/>
        </w:rPr>
        <w:t xml:space="preserve">relevant </w:t>
      </w:r>
      <w:r w:rsidRPr="00BE0C02">
        <w:rPr>
          <w:b/>
          <w:szCs w:val="19"/>
          <w:u w:val="single"/>
          <w:lang w:val="en-AU"/>
        </w:rPr>
        <w:t xml:space="preserve">document was created or amended on or after 1 July </w:t>
      </w:r>
      <w:r w:rsidR="00094CC7" w:rsidRPr="00BE0C02">
        <w:rPr>
          <w:b/>
          <w:szCs w:val="19"/>
          <w:u w:val="single"/>
          <w:lang w:val="en-AU"/>
        </w:rPr>
        <w:t>2021</w:t>
      </w:r>
      <w:r w:rsidRPr="00BE0C02">
        <w:rPr>
          <w:b/>
          <w:szCs w:val="19"/>
          <w:lang w:val="en-AU"/>
        </w:rPr>
        <w:t>.</w:t>
      </w:r>
    </w:p>
    <w:p w14:paraId="7A40FA1E" w14:textId="77777777" w:rsidR="000C6EAA" w:rsidRPr="00BE0C02" w:rsidRDefault="000C6EAA" w:rsidP="000C6EAA">
      <w:pPr>
        <w:pStyle w:val="Default"/>
        <w:ind w:left="993" w:hanging="993"/>
        <w:jc w:val="both"/>
        <w:rPr>
          <w:bCs/>
          <w:color w:val="auto"/>
          <w:sz w:val="19"/>
          <w:szCs w:val="19"/>
        </w:rPr>
      </w:pPr>
      <w:r w:rsidRPr="00BE0C02">
        <w:rPr>
          <w:bCs/>
          <w:color w:val="auto"/>
          <w:sz w:val="19"/>
          <w:szCs w:val="19"/>
        </w:rPr>
        <w:t>…</w:t>
      </w:r>
    </w:p>
    <w:p w14:paraId="29C84F0B" w14:textId="77777777" w:rsidR="000C6EAA" w:rsidRPr="00BE0C02" w:rsidRDefault="00DC5C84" w:rsidP="00F127CB">
      <w:pPr>
        <w:pStyle w:val="IASBNormalnpara"/>
        <w:keepNext/>
        <w:rPr>
          <w:b/>
          <w:szCs w:val="19"/>
          <w:lang w:val="en-AU"/>
        </w:rPr>
      </w:pPr>
      <w:r w:rsidRPr="00BE0C02">
        <w:rPr>
          <w:b/>
          <w:szCs w:val="19"/>
          <w:lang w:val="en-AU"/>
        </w:rPr>
        <w:t>20</w:t>
      </w:r>
      <w:r w:rsidR="000C6EAA" w:rsidRPr="00BE0C02">
        <w:rPr>
          <w:b/>
          <w:szCs w:val="19"/>
          <w:lang w:val="en-AU"/>
        </w:rPr>
        <w:tab/>
        <w:t xml:space="preserve">AASB 1056 </w:t>
      </w:r>
      <w:r w:rsidR="000C6EAA" w:rsidRPr="00BE0C02">
        <w:rPr>
          <w:b/>
          <w:i/>
          <w:szCs w:val="19"/>
          <w:lang w:val="en-AU"/>
        </w:rPr>
        <w:t>Superannuation Entities</w:t>
      </w:r>
      <w:r w:rsidR="000C6EAA" w:rsidRPr="00BE0C02">
        <w:rPr>
          <w:b/>
          <w:szCs w:val="19"/>
          <w:lang w:val="en-AU"/>
        </w:rPr>
        <w:t xml:space="preserve"> applies to:</w:t>
      </w:r>
    </w:p>
    <w:p w14:paraId="048D17B7" w14:textId="6AB724D5" w:rsidR="000C6EAA" w:rsidRPr="00BE0C02" w:rsidRDefault="00E078D8" w:rsidP="00E078D8">
      <w:pPr>
        <w:pStyle w:val="IASBNormalnparaL1"/>
        <w:rPr>
          <w:b/>
          <w:szCs w:val="19"/>
          <w:lang w:val="en-AU"/>
        </w:rPr>
      </w:pPr>
      <w:r w:rsidRPr="00BE0C02">
        <w:rPr>
          <w:b/>
          <w:szCs w:val="19"/>
          <w:lang w:val="en-AU"/>
        </w:rPr>
        <w:t>(a)</w:t>
      </w:r>
      <w:r w:rsidRPr="00BE0C02">
        <w:rPr>
          <w:b/>
          <w:szCs w:val="19"/>
          <w:lang w:val="en-AU"/>
        </w:rPr>
        <w:tab/>
      </w:r>
      <w:r w:rsidR="000C6EAA" w:rsidRPr="00BE0C02">
        <w:rPr>
          <w:b/>
          <w:szCs w:val="19"/>
          <w:lang w:val="en-AU"/>
        </w:rPr>
        <w:t xml:space="preserve">general purpose financial statements of each </w:t>
      </w:r>
      <w:r w:rsidR="00FD3F01" w:rsidRPr="00BE0C02">
        <w:rPr>
          <w:b/>
          <w:szCs w:val="19"/>
          <w:u w:val="single"/>
          <w:lang w:val="en-AU"/>
        </w:rPr>
        <w:t xml:space="preserve">not-for-profit </w:t>
      </w:r>
      <w:r w:rsidR="000C6EAA" w:rsidRPr="00BE0C02">
        <w:rPr>
          <w:b/>
          <w:szCs w:val="19"/>
          <w:lang w:val="en-AU"/>
        </w:rPr>
        <w:t>superannuation entity that is a reporting entity;</w:t>
      </w:r>
    </w:p>
    <w:p w14:paraId="33D37C3B" w14:textId="538666E1" w:rsidR="000C6EAA" w:rsidRPr="00BE0C02" w:rsidRDefault="00E078D8" w:rsidP="00E078D8">
      <w:pPr>
        <w:pStyle w:val="IASBNormalnparaL1"/>
        <w:rPr>
          <w:b/>
          <w:szCs w:val="19"/>
          <w:lang w:val="en-AU"/>
        </w:rPr>
      </w:pPr>
      <w:r w:rsidRPr="00BE0C02">
        <w:rPr>
          <w:b/>
          <w:szCs w:val="19"/>
          <w:lang w:val="en-AU"/>
        </w:rPr>
        <w:t>(b)</w:t>
      </w:r>
      <w:r w:rsidRPr="00BE0C02">
        <w:rPr>
          <w:b/>
          <w:szCs w:val="19"/>
          <w:lang w:val="en-AU"/>
        </w:rPr>
        <w:tab/>
      </w:r>
      <w:r w:rsidR="004D0797" w:rsidRPr="00BE0C02">
        <w:rPr>
          <w:b/>
          <w:szCs w:val="19"/>
          <w:u w:val="single"/>
          <w:lang w:val="en-AU"/>
        </w:rPr>
        <w:t>each superannuation entity that elects to prepare</w:t>
      </w:r>
      <w:r w:rsidR="004D0797" w:rsidRPr="00BE0C02">
        <w:rPr>
          <w:b/>
          <w:szCs w:val="19"/>
          <w:lang w:val="en-AU"/>
        </w:rPr>
        <w:t xml:space="preserve"> </w:t>
      </w:r>
      <w:r w:rsidR="000C6EAA" w:rsidRPr="00BE0C02">
        <w:rPr>
          <w:b/>
          <w:szCs w:val="19"/>
          <w:lang w:val="en-AU"/>
        </w:rPr>
        <w:t xml:space="preserve">financial statements </w:t>
      </w:r>
      <w:r w:rsidR="000C6EAA" w:rsidRPr="00BE0C02">
        <w:rPr>
          <w:b/>
          <w:strike/>
          <w:szCs w:val="19"/>
          <w:lang w:val="en-AU"/>
        </w:rPr>
        <w:t>of a superannuation entity</w:t>
      </w:r>
      <w:r w:rsidR="000C6EAA" w:rsidRPr="00BE0C02">
        <w:rPr>
          <w:b/>
          <w:szCs w:val="19"/>
          <w:lang w:val="en-AU"/>
        </w:rPr>
        <w:t xml:space="preserve"> that are held out to be general purpose financial statements; </w:t>
      </w:r>
      <w:r w:rsidR="000C6EAA" w:rsidRPr="00BE0C02">
        <w:rPr>
          <w:b/>
          <w:strike/>
          <w:szCs w:val="19"/>
          <w:lang w:val="en-AU"/>
        </w:rPr>
        <w:t>and</w:t>
      </w:r>
    </w:p>
    <w:p w14:paraId="5351B87A" w14:textId="13D3101C" w:rsidR="000C6EAA" w:rsidRPr="00BE0C02" w:rsidRDefault="00E078D8" w:rsidP="00E078D8">
      <w:pPr>
        <w:pStyle w:val="IASBNormalnparaL1"/>
        <w:rPr>
          <w:b/>
          <w:szCs w:val="19"/>
          <w:lang w:val="en-AU"/>
        </w:rPr>
      </w:pPr>
      <w:r w:rsidRPr="00BE0C02">
        <w:rPr>
          <w:b/>
          <w:szCs w:val="19"/>
          <w:lang w:val="en-AU"/>
        </w:rPr>
        <w:t>(c)</w:t>
      </w:r>
      <w:r w:rsidRPr="00BE0C02">
        <w:rPr>
          <w:b/>
          <w:szCs w:val="19"/>
          <w:lang w:val="en-AU"/>
        </w:rPr>
        <w:tab/>
      </w:r>
      <w:r w:rsidR="000C6EAA" w:rsidRPr="00BE0C02">
        <w:rPr>
          <w:b/>
          <w:szCs w:val="19"/>
          <w:lang w:val="en-AU"/>
        </w:rPr>
        <w:t xml:space="preserve">for-profit </w:t>
      </w:r>
      <w:r w:rsidR="00344191" w:rsidRPr="00BE0C02">
        <w:rPr>
          <w:b/>
          <w:u w:val="single"/>
          <w:lang w:val="en-AU"/>
        </w:rPr>
        <w:t>private sector</w:t>
      </w:r>
      <w:r w:rsidR="00344191" w:rsidRPr="00BE0C02">
        <w:rPr>
          <w:b/>
          <w:szCs w:val="19"/>
          <w:lang w:val="en-AU"/>
        </w:rPr>
        <w:t xml:space="preserve"> </w:t>
      </w:r>
      <w:r w:rsidR="004C751E" w:rsidRPr="00BE0C02">
        <w:rPr>
          <w:b/>
          <w:szCs w:val="19"/>
          <w:lang w:val="en-AU"/>
        </w:rPr>
        <w:t xml:space="preserve">superannuation </w:t>
      </w:r>
      <w:r w:rsidR="000C6EAA" w:rsidRPr="00BE0C02">
        <w:rPr>
          <w:b/>
          <w:szCs w:val="19"/>
          <w:lang w:val="en-AU"/>
        </w:rPr>
        <w:t xml:space="preserve">entities that </w:t>
      </w:r>
      <w:r w:rsidR="000C6EAA" w:rsidRPr="00BE0C02">
        <w:rPr>
          <w:b/>
          <w:strike/>
          <w:szCs w:val="19"/>
          <w:lang w:val="en-AU"/>
        </w:rPr>
        <w:t>have public accountability and</w:t>
      </w:r>
      <w:r w:rsidR="000C6EAA" w:rsidRPr="00BE0C02">
        <w:rPr>
          <w:b/>
          <w:szCs w:val="19"/>
          <w:lang w:val="en-AU"/>
        </w:rPr>
        <w:t xml:space="preserve"> are required by legislation to </w:t>
      </w:r>
      <w:r w:rsidR="003C5DD2" w:rsidRPr="00BE0C02">
        <w:rPr>
          <w:b/>
          <w:szCs w:val="19"/>
          <w:u w:val="single"/>
          <w:lang w:val="en-AU"/>
        </w:rPr>
        <w:t>prepare financial statements that</w:t>
      </w:r>
      <w:r w:rsidR="003C5DD2" w:rsidRPr="00BE0C02">
        <w:rPr>
          <w:b/>
          <w:szCs w:val="19"/>
          <w:lang w:val="en-AU"/>
        </w:rPr>
        <w:t xml:space="preserve"> </w:t>
      </w:r>
      <w:r w:rsidR="000C6EAA" w:rsidRPr="00BE0C02">
        <w:rPr>
          <w:b/>
          <w:szCs w:val="19"/>
          <w:lang w:val="en-AU"/>
        </w:rPr>
        <w:t xml:space="preserve">comply with </w:t>
      </w:r>
      <w:r w:rsidR="0062395B" w:rsidRPr="00BE0C02">
        <w:rPr>
          <w:b/>
          <w:szCs w:val="19"/>
          <w:u w:val="single"/>
          <w:lang w:val="en-AU"/>
        </w:rPr>
        <w:t>either</w:t>
      </w:r>
      <w:r w:rsidR="0062395B" w:rsidRPr="00BE0C02">
        <w:rPr>
          <w:b/>
          <w:szCs w:val="19"/>
          <w:lang w:val="en-AU"/>
        </w:rPr>
        <w:t xml:space="preserve"> </w:t>
      </w:r>
      <w:r w:rsidR="000C6EAA" w:rsidRPr="00BE0C02">
        <w:rPr>
          <w:b/>
          <w:szCs w:val="19"/>
          <w:lang w:val="en-AU"/>
        </w:rPr>
        <w:t>Australian Accounting Standards</w:t>
      </w:r>
      <w:r w:rsidR="00BF6DDB" w:rsidRPr="00BE0C02">
        <w:rPr>
          <w:b/>
          <w:szCs w:val="19"/>
          <w:lang w:val="en-AU"/>
        </w:rPr>
        <w:t xml:space="preserve"> </w:t>
      </w:r>
      <w:r w:rsidR="00BF6DDB" w:rsidRPr="00BE0C02">
        <w:rPr>
          <w:b/>
          <w:szCs w:val="19"/>
          <w:u w:val="single"/>
          <w:lang w:val="en-AU"/>
        </w:rPr>
        <w:t xml:space="preserve">or accounting standards; and </w:t>
      </w:r>
    </w:p>
    <w:p w14:paraId="011F0062" w14:textId="2CAF2E7F" w:rsidR="00BF6DDB" w:rsidRPr="00BE0C02" w:rsidRDefault="00BF6DDB" w:rsidP="00E078D8">
      <w:pPr>
        <w:pStyle w:val="IASBNormalnparaL1"/>
        <w:rPr>
          <w:b/>
          <w:szCs w:val="19"/>
          <w:lang w:val="en-AU"/>
        </w:rPr>
      </w:pPr>
      <w:r w:rsidRPr="00BE0C02">
        <w:rPr>
          <w:b/>
          <w:szCs w:val="19"/>
          <w:u w:val="single"/>
          <w:lang w:val="en-AU"/>
        </w:rPr>
        <w:t>(d)</w:t>
      </w:r>
      <w:r w:rsidRPr="00BE0C02">
        <w:rPr>
          <w:b/>
          <w:szCs w:val="19"/>
          <w:u w:val="single"/>
          <w:lang w:val="en-AU"/>
        </w:rPr>
        <w:tab/>
        <w:t xml:space="preserve">other for-profit private sector </w:t>
      </w:r>
      <w:r w:rsidR="004C751E" w:rsidRPr="00BE0C02">
        <w:rPr>
          <w:b/>
          <w:szCs w:val="19"/>
          <w:u w:val="single"/>
          <w:lang w:val="en-AU"/>
        </w:rPr>
        <w:t xml:space="preserve">superannuation </w:t>
      </w:r>
      <w:r w:rsidRPr="00BE0C02">
        <w:rPr>
          <w:b/>
          <w:szCs w:val="19"/>
          <w:u w:val="single"/>
          <w:lang w:val="en-AU"/>
        </w:rPr>
        <w:t xml:space="preserve">entities that are required only by their constituting document </w:t>
      </w:r>
      <w:r w:rsidR="00347D9E" w:rsidRPr="00BE0C02">
        <w:rPr>
          <w:b/>
          <w:szCs w:val="19"/>
          <w:u w:val="single"/>
          <w:lang w:val="en-AU"/>
        </w:rPr>
        <w:t xml:space="preserve">or another document </w:t>
      </w:r>
      <w:r w:rsidRPr="00BE0C02">
        <w:rPr>
          <w:b/>
          <w:szCs w:val="19"/>
          <w:u w:val="single"/>
          <w:lang w:val="en-AU"/>
        </w:rPr>
        <w:t xml:space="preserve">to </w:t>
      </w:r>
      <w:r w:rsidR="003C5DD2" w:rsidRPr="00BE0C02">
        <w:rPr>
          <w:b/>
          <w:szCs w:val="19"/>
          <w:u w:val="single"/>
          <w:lang w:val="en-AU"/>
        </w:rPr>
        <w:t xml:space="preserve">prepare financial statements that </w:t>
      </w:r>
      <w:r w:rsidRPr="00BE0C02">
        <w:rPr>
          <w:b/>
          <w:szCs w:val="19"/>
          <w:u w:val="single"/>
          <w:lang w:val="en-AU"/>
        </w:rPr>
        <w:t xml:space="preserve">comply with Australian Accounting Standards, provided that the </w:t>
      </w:r>
      <w:r w:rsidR="00347D9E" w:rsidRPr="00BE0C02">
        <w:rPr>
          <w:b/>
          <w:szCs w:val="19"/>
          <w:u w:val="single"/>
          <w:lang w:val="en-AU"/>
        </w:rPr>
        <w:t xml:space="preserve">relevant </w:t>
      </w:r>
      <w:r w:rsidRPr="00BE0C02">
        <w:rPr>
          <w:b/>
          <w:szCs w:val="19"/>
          <w:u w:val="single"/>
          <w:lang w:val="en-AU"/>
        </w:rPr>
        <w:t xml:space="preserve">document was created or amended on or after 1 July </w:t>
      </w:r>
      <w:r w:rsidR="00094CC7" w:rsidRPr="00BE0C02">
        <w:rPr>
          <w:b/>
          <w:szCs w:val="19"/>
          <w:u w:val="single"/>
          <w:lang w:val="en-AU"/>
        </w:rPr>
        <w:t>2021</w:t>
      </w:r>
      <w:r w:rsidRPr="00BE0C02">
        <w:rPr>
          <w:b/>
          <w:szCs w:val="19"/>
          <w:lang w:val="en-AU"/>
        </w:rPr>
        <w:t>.</w:t>
      </w:r>
    </w:p>
    <w:p w14:paraId="1D5E5DD6" w14:textId="77777777" w:rsidR="000C6EAA" w:rsidRPr="00BE0C02" w:rsidRDefault="000C6EAA" w:rsidP="000C6EAA">
      <w:pPr>
        <w:pStyle w:val="Default"/>
        <w:ind w:left="993" w:hanging="993"/>
        <w:jc w:val="both"/>
        <w:rPr>
          <w:bCs/>
          <w:color w:val="auto"/>
          <w:sz w:val="19"/>
          <w:szCs w:val="19"/>
        </w:rPr>
      </w:pPr>
      <w:r w:rsidRPr="00BE0C02">
        <w:rPr>
          <w:bCs/>
          <w:color w:val="auto"/>
          <w:sz w:val="19"/>
          <w:szCs w:val="19"/>
        </w:rPr>
        <w:t>…</w:t>
      </w:r>
    </w:p>
    <w:p w14:paraId="484290FE" w14:textId="77777777" w:rsidR="000C6EAA" w:rsidRPr="00BE0C02" w:rsidRDefault="000C6EAA" w:rsidP="000C6EAA">
      <w:pPr>
        <w:pStyle w:val="Heading2"/>
        <w:spacing w:before="240"/>
        <w:jc w:val="both"/>
      </w:pPr>
      <w:r w:rsidRPr="00BE0C02">
        <w:lastRenderedPageBreak/>
        <w:t>Application of Australian Interpretations</w:t>
      </w:r>
    </w:p>
    <w:p w14:paraId="3CC132BC" w14:textId="77777777" w:rsidR="000C6EAA" w:rsidRPr="00BE0C02" w:rsidRDefault="00DC5C84" w:rsidP="00E078D8">
      <w:pPr>
        <w:pStyle w:val="IASBNormalnpara"/>
        <w:rPr>
          <w:b/>
          <w:szCs w:val="19"/>
          <w:lang w:val="en-AU"/>
        </w:rPr>
      </w:pPr>
      <w:r w:rsidRPr="00BE0C02">
        <w:rPr>
          <w:b/>
          <w:szCs w:val="19"/>
          <w:lang w:val="en-AU"/>
        </w:rPr>
        <w:t>22</w:t>
      </w:r>
      <w:r w:rsidR="000C6EAA" w:rsidRPr="00BE0C02">
        <w:rPr>
          <w:b/>
          <w:szCs w:val="19"/>
          <w:lang w:val="en-AU"/>
        </w:rPr>
        <w:tab/>
        <w:t>Unless specified otherwise in paragraphs 23–26, Interpretations apply to:</w:t>
      </w:r>
    </w:p>
    <w:p w14:paraId="5AC418FB" w14:textId="3598C257" w:rsidR="000C6EAA" w:rsidRPr="00BE0C02" w:rsidRDefault="00E078D8" w:rsidP="00E078D8">
      <w:pPr>
        <w:pStyle w:val="IASBNormalnparaL1"/>
        <w:rPr>
          <w:b/>
          <w:szCs w:val="19"/>
          <w:lang w:val="en-AU"/>
        </w:rPr>
      </w:pPr>
      <w:r w:rsidRPr="00BE0C02">
        <w:rPr>
          <w:b/>
          <w:szCs w:val="19"/>
          <w:lang w:val="en-AU"/>
        </w:rPr>
        <w:t>(a)</w:t>
      </w:r>
      <w:r w:rsidRPr="00BE0C02">
        <w:rPr>
          <w:b/>
          <w:szCs w:val="19"/>
          <w:lang w:val="en-AU"/>
        </w:rPr>
        <w:tab/>
      </w:r>
      <w:r w:rsidR="000C6EAA" w:rsidRPr="00BE0C02">
        <w:rPr>
          <w:b/>
          <w:szCs w:val="19"/>
          <w:lang w:val="en-AU"/>
        </w:rPr>
        <w:t xml:space="preserve">each </w:t>
      </w:r>
      <w:r w:rsidR="00650326" w:rsidRPr="00BE0C02">
        <w:rPr>
          <w:b/>
          <w:szCs w:val="19"/>
          <w:u w:val="single"/>
          <w:lang w:val="en-AU"/>
        </w:rPr>
        <w:t xml:space="preserve">not-for-profit </w:t>
      </w:r>
      <w:r w:rsidR="000C6EAA" w:rsidRPr="00BE0C02">
        <w:rPr>
          <w:b/>
          <w:szCs w:val="19"/>
          <w:lang w:val="en-AU"/>
        </w:rPr>
        <w:t>entity that is required to prepare financial reports in accordance with Part 2M.3 of the Corporations Act and that is a reporting entity;</w:t>
      </w:r>
    </w:p>
    <w:p w14:paraId="2FFF485A" w14:textId="7DAF87A4" w:rsidR="000C6EAA" w:rsidRPr="00BE0C02" w:rsidRDefault="00E078D8" w:rsidP="00E078D8">
      <w:pPr>
        <w:pStyle w:val="IASBNormalnparaL1"/>
        <w:rPr>
          <w:b/>
          <w:szCs w:val="19"/>
          <w:lang w:val="en-AU"/>
        </w:rPr>
      </w:pPr>
      <w:r w:rsidRPr="00BE0C02">
        <w:rPr>
          <w:b/>
          <w:szCs w:val="19"/>
          <w:lang w:val="en-AU"/>
        </w:rPr>
        <w:t>(b)</w:t>
      </w:r>
      <w:r w:rsidRPr="00BE0C02">
        <w:rPr>
          <w:b/>
          <w:szCs w:val="19"/>
          <w:lang w:val="en-AU"/>
        </w:rPr>
        <w:tab/>
      </w:r>
      <w:r w:rsidR="000C6EAA" w:rsidRPr="00BE0C02">
        <w:rPr>
          <w:b/>
          <w:szCs w:val="19"/>
          <w:lang w:val="en-AU"/>
        </w:rPr>
        <w:t xml:space="preserve">general purpose financial statements of each other </w:t>
      </w:r>
      <w:r w:rsidR="00D76DD6" w:rsidRPr="00BE0C02">
        <w:rPr>
          <w:b/>
          <w:szCs w:val="19"/>
          <w:u w:val="single"/>
          <w:lang w:val="en-AU"/>
        </w:rPr>
        <w:t xml:space="preserve">not-for-profit entity that is a </w:t>
      </w:r>
      <w:r w:rsidR="000C6EAA" w:rsidRPr="00BE0C02">
        <w:rPr>
          <w:b/>
          <w:szCs w:val="19"/>
          <w:lang w:val="en-AU"/>
        </w:rPr>
        <w:t>reporting entity;</w:t>
      </w:r>
    </w:p>
    <w:p w14:paraId="6F875F23" w14:textId="7BE196A1" w:rsidR="000C6EAA" w:rsidRPr="00BE0C02" w:rsidRDefault="00E078D8" w:rsidP="00E078D8">
      <w:pPr>
        <w:pStyle w:val="IASBNormalnparaL1"/>
        <w:rPr>
          <w:b/>
          <w:szCs w:val="19"/>
          <w:lang w:val="en-AU"/>
        </w:rPr>
      </w:pPr>
      <w:r w:rsidRPr="00BE0C02">
        <w:rPr>
          <w:b/>
          <w:szCs w:val="19"/>
          <w:lang w:val="en-AU"/>
        </w:rPr>
        <w:t>(c)</w:t>
      </w:r>
      <w:r w:rsidRPr="00BE0C02">
        <w:rPr>
          <w:b/>
          <w:szCs w:val="19"/>
          <w:lang w:val="en-AU"/>
        </w:rPr>
        <w:tab/>
      </w:r>
      <w:r w:rsidR="008C7502" w:rsidRPr="00BE0C02">
        <w:rPr>
          <w:b/>
          <w:szCs w:val="19"/>
          <w:u w:val="single"/>
          <w:lang w:val="en-AU"/>
        </w:rPr>
        <w:t>each entity that elects to prepare</w:t>
      </w:r>
      <w:r w:rsidR="008C7502" w:rsidRPr="00BE0C02">
        <w:rPr>
          <w:b/>
          <w:szCs w:val="19"/>
          <w:lang w:val="en-AU"/>
        </w:rPr>
        <w:t xml:space="preserve"> </w:t>
      </w:r>
      <w:r w:rsidR="000C6EAA" w:rsidRPr="00BE0C02">
        <w:rPr>
          <w:b/>
          <w:szCs w:val="19"/>
          <w:lang w:val="en-AU"/>
        </w:rPr>
        <w:t>financial statements that are, or are held out to be, general purpose financial statements;</w:t>
      </w:r>
      <w:r w:rsidR="000C6EAA" w:rsidRPr="00BE0C02">
        <w:rPr>
          <w:b/>
          <w:strike/>
          <w:szCs w:val="19"/>
          <w:lang w:val="en-AU"/>
        </w:rPr>
        <w:t xml:space="preserve"> and</w:t>
      </w:r>
    </w:p>
    <w:p w14:paraId="3759B5A1" w14:textId="17838AAF" w:rsidR="00BF6DDB" w:rsidRPr="00BE0C02" w:rsidRDefault="00E078D8" w:rsidP="00E078D8">
      <w:pPr>
        <w:pStyle w:val="IASBNormalnparaL1"/>
        <w:rPr>
          <w:b/>
          <w:szCs w:val="19"/>
          <w:lang w:val="en-AU"/>
        </w:rPr>
      </w:pPr>
      <w:r w:rsidRPr="00BE0C02">
        <w:rPr>
          <w:b/>
          <w:szCs w:val="19"/>
          <w:lang w:val="en-AU"/>
        </w:rPr>
        <w:t>(d)</w:t>
      </w:r>
      <w:r w:rsidRPr="00BE0C02">
        <w:rPr>
          <w:b/>
          <w:szCs w:val="19"/>
          <w:lang w:val="en-AU"/>
        </w:rPr>
        <w:tab/>
      </w:r>
      <w:r w:rsidR="000C6EAA" w:rsidRPr="00BE0C02">
        <w:rPr>
          <w:b/>
          <w:szCs w:val="19"/>
          <w:lang w:val="en-AU"/>
        </w:rPr>
        <w:t xml:space="preserve">for-profit private sector entities that </w:t>
      </w:r>
      <w:r w:rsidR="000C6EAA" w:rsidRPr="00BE0C02">
        <w:rPr>
          <w:b/>
          <w:strike/>
          <w:szCs w:val="19"/>
          <w:lang w:val="en-AU"/>
        </w:rPr>
        <w:t xml:space="preserve">have public accountability and </w:t>
      </w:r>
      <w:r w:rsidR="000C6EAA" w:rsidRPr="00BE0C02">
        <w:rPr>
          <w:b/>
          <w:szCs w:val="19"/>
          <w:lang w:val="en-AU"/>
        </w:rPr>
        <w:t xml:space="preserve">are required by legislation to </w:t>
      </w:r>
      <w:r w:rsidR="003C5DD2" w:rsidRPr="00BE0C02">
        <w:rPr>
          <w:b/>
          <w:szCs w:val="19"/>
          <w:u w:val="single"/>
          <w:lang w:val="en-AU"/>
        </w:rPr>
        <w:t>prepare financial statements that</w:t>
      </w:r>
      <w:r w:rsidR="000C6EAA" w:rsidRPr="00BE0C02">
        <w:rPr>
          <w:b/>
          <w:szCs w:val="19"/>
          <w:lang w:val="en-AU"/>
        </w:rPr>
        <w:t xml:space="preserve"> comply with </w:t>
      </w:r>
      <w:r w:rsidR="0062395B" w:rsidRPr="00BE0C02">
        <w:rPr>
          <w:b/>
          <w:szCs w:val="19"/>
          <w:u w:val="single"/>
          <w:lang w:val="en-AU"/>
        </w:rPr>
        <w:t>either</w:t>
      </w:r>
      <w:r w:rsidR="000C6EAA" w:rsidRPr="00BE0C02">
        <w:rPr>
          <w:b/>
          <w:szCs w:val="19"/>
          <w:lang w:val="en-AU"/>
        </w:rPr>
        <w:t xml:space="preserve"> Australian Accounting Standards</w:t>
      </w:r>
      <w:r w:rsidR="00BF6DDB" w:rsidRPr="00BE0C02">
        <w:rPr>
          <w:b/>
          <w:szCs w:val="19"/>
          <w:lang w:val="en-AU"/>
        </w:rPr>
        <w:t xml:space="preserve"> </w:t>
      </w:r>
      <w:r w:rsidR="00BF6DDB" w:rsidRPr="00BE0C02">
        <w:rPr>
          <w:b/>
          <w:szCs w:val="19"/>
          <w:u w:val="single"/>
          <w:lang w:val="en-AU"/>
        </w:rPr>
        <w:t>or accounting standards</w:t>
      </w:r>
      <w:r w:rsidR="008A4BD9" w:rsidRPr="00BE0C02">
        <w:rPr>
          <w:b/>
          <w:szCs w:val="19"/>
          <w:u w:val="single"/>
          <w:lang w:val="en-AU"/>
        </w:rPr>
        <w:t>,</w:t>
      </w:r>
      <w:r w:rsidR="00BF6DDB" w:rsidRPr="00BE0C02">
        <w:rPr>
          <w:szCs w:val="19"/>
          <w:u w:val="single"/>
          <w:lang w:val="en-AU"/>
        </w:rPr>
        <w:t xml:space="preserve"> </w:t>
      </w:r>
      <w:r w:rsidR="00BF6DDB" w:rsidRPr="00BE0C02">
        <w:rPr>
          <w:b/>
          <w:szCs w:val="19"/>
          <w:u w:val="single"/>
          <w:lang w:val="en-AU"/>
        </w:rPr>
        <w:t>and</w:t>
      </w:r>
    </w:p>
    <w:p w14:paraId="0799BB55" w14:textId="57977A87" w:rsidR="000C6EAA" w:rsidRPr="00BE0C02" w:rsidRDefault="00F03A40" w:rsidP="00E078D8">
      <w:pPr>
        <w:pStyle w:val="IASBNormalnparaL1"/>
        <w:rPr>
          <w:b/>
          <w:szCs w:val="19"/>
          <w:lang w:val="en-AU"/>
        </w:rPr>
      </w:pPr>
      <w:r w:rsidRPr="00BE0C02">
        <w:rPr>
          <w:b/>
          <w:szCs w:val="19"/>
          <w:u w:val="single"/>
          <w:lang w:val="en-AU"/>
        </w:rPr>
        <w:t>(e)</w:t>
      </w:r>
      <w:r w:rsidRPr="00BE0C02">
        <w:rPr>
          <w:b/>
          <w:szCs w:val="19"/>
          <w:u w:val="single"/>
          <w:lang w:val="en-AU"/>
        </w:rPr>
        <w:tab/>
      </w:r>
      <w:r w:rsidR="00BF6DDB" w:rsidRPr="00BE0C02">
        <w:rPr>
          <w:b/>
          <w:szCs w:val="19"/>
          <w:u w:val="single"/>
          <w:lang w:val="en-AU"/>
        </w:rPr>
        <w:t xml:space="preserve">other for-profit private sector entities that are required only by their constituting document </w:t>
      </w:r>
      <w:r w:rsidR="00347D9E" w:rsidRPr="00BE0C02">
        <w:rPr>
          <w:b/>
          <w:szCs w:val="19"/>
          <w:u w:val="single"/>
          <w:lang w:val="en-AU"/>
        </w:rPr>
        <w:t xml:space="preserve">or another document </w:t>
      </w:r>
      <w:r w:rsidR="00BF6DDB" w:rsidRPr="00BE0C02">
        <w:rPr>
          <w:b/>
          <w:szCs w:val="19"/>
          <w:u w:val="single"/>
          <w:lang w:val="en-AU"/>
        </w:rPr>
        <w:t xml:space="preserve">to </w:t>
      </w:r>
      <w:r w:rsidR="003C5DD2" w:rsidRPr="00BE0C02">
        <w:rPr>
          <w:b/>
          <w:szCs w:val="19"/>
          <w:u w:val="single"/>
          <w:lang w:val="en-AU"/>
        </w:rPr>
        <w:t xml:space="preserve">prepare financial statements that </w:t>
      </w:r>
      <w:r w:rsidR="00BF6DDB" w:rsidRPr="00BE0C02">
        <w:rPr>
          <w:b/>
          <w:szCs w:val="19"/>
          <w:u w:val="single"/>
          <w:lang w:val="en-AU"/>
        </w:rPr>
        <w:t xml:space="preserve">comply with Australian Accounting Standards, provided that the </w:t>
      </w:r>
      <w:r w:rsidR="00347D9E" w:rsidRPr="00BE0C02">
        <w:rPr>
          <w:b/>
          <w:szCs w:val="19"/>
          <w:u w:val="single"/>
          <w:lang w:val="en-AU"/>
        </w:rPr>
        <w:t xml:space="preserve">relevant </w:t>
      </w:r>
      <w:r w:rsidR="00BF6DDB" w:rsidRPr="00BE0C02">
        <w:rPr>
          <w:b/>
          <w:szCs w:val="19"/>
          <w:u w:val="single"/>
          <w:lang w:val="en-AU"/>
        </w:rPr>
        <w:t xml:space="preserve">document was created or amended on or after 1 July </w:t>
      </w:r>
      <w:r w:rsidR="00094CC7" w:rsidRPr="00BE0C02">
        <w:rPr>
          <w:b/>
          <w:szCs w:val="19"/>
          <w:u w:val="single"/>
          <w:lang w:val="en-AU"/>
        </w:rPr>
        <w:t>2021</w:t>
      </w:r>
      <w:r w:rsidR="00BF6DDB" w:rsidRPr="00BE0C02">
        <w:rPr>
          <w:b/>
          <w:szCs w:val="19"/>
          <w:lang w:val="en-AU"/>
        </w:rPr>
        <w:t>.</w:t>
      </w:r>
    </w:p>
    <w:p w14:paraId="2FB45730" w14:textId="40946B78" w:rsidR="000C6EAA" w:rsidRPr="00BE0C02" w:rsidRDefault="00DC5C84" w:rsidP="00E078D8">
      <w:pPr>
        <w:pStyle w:val="IASBNormalnpara"/>
        <w:rPr>
          <w:b/>
          <w:szCs w:val="19"/>
          <w:lang w:val="en-AU"/>
        </w:rPr>
      </w:pPr>
      <w:r w:rsidRPr="00BE0C02">
        <w:rPr>
          <w:b/>
          <w:szCs w:val="19"/>
          <w:lang w:val="en-AU"/>
        </w:rPr>
        <w:t>23</w:t>
      </w:r>
      <w:r w:rsidR="000C6EAA" w:rsidRPr="00BE0C02">
        <w:rPr>
          <w:b/>
          <w:szCs w:val="19"/>
          <w:lang w:val="en-AU"/>
        </w:rPr>
        <w:tab/>
        <w:t xml:space="preserve">Interpretation 110 </w:t>
      </w:r>
      <w:r w:rsidR="000C6EAA" w:rsidRPr="00BE0C02">
        <w:rPr>
          <w:b/>
          <w:i/>
          <w:szCs w:val="19"/>
          <w:lang w:val="en-AU"/>
        </w:rPr>
        <w:t>Government Assistance – No Specific Relation to Operating Activities</w:t>
      </w:r>
      <w:r w:rsidR="000C6EAA" w:rsidRPr="00BE0C02">
        <w:rPr>
          <w:b/>
          <w:szCs w:val="19"/>
          <w:lang w:val="en-AU"/>
        </w:rPr>
        <w:t xml:space="preserve"> applies</w:t>
      </w:r>
      <w:r w:rsidR="00622841" w:rsidRPr="00BE0C02">
        <w:rPr>
          <w:b/>
          <w:szCs w:val="19"/>
          <w:lang w:val="en-AU"/>
        </w:rPr>
        <w:t xml:space="preserve"> </w:t>
      </w:r>
      <w:r w:rsidR="00622841" w:rsidRPr="00BE0C02">
        <w:rPr>
          <w:b/>
          <w:strike/>
          <w:szCs w:val="19"/>
          <w:lang w:val="en-AU"/>
        </w:rPr>
        <w:t>to:</w:t>
      </w:r>
      <w:r w:rsidR="006068A4" w:rsidRPr="00BE0C02">
        <w:rPr>
          <w:b/>
          <w:szCs w:val="19"/>
          <w:lang w:val="en-AU"/>
        </w:rPr>
        <w:t xml:space="preserve"> </w:t>
      </w:r>
      <w:r w:rsidR="006068A4" w:rsidRPr="00BE0C02">
        <w:rPr>
          <w:b/>
          <w:szCs w:val="19"/>
          <w:u w:val="single"/>
          <w:lang w:val="en-AU"/>
        </w:rPr>
        <w:t>as set out in paragraph 22, provide</w:t>
      </w:r>
      <w:r w:rsidR="007D46DC">
        <w:rPr>
          <w:b/>
          <w:szCs w:val="19"/>
          <w:u w:val="single"/>
          <w:lang w:val="en-AU"/>
        </w:rPr>
        <w:t>d</w:t>
      </w:r>
      <w:r w:rsidR="006068A4" w:rsidRPr="00BE0C02">
        <w:rPr>
          <w:b/>
          <w:szCs w:val="19"/>
          <w:u w:val="single"/>
          <w:lang w:val="en-AU"/>
        </w:rPr>
        <w:t xml:space="preserve"> the entity is a for-profit entity.</w:t>
      </w:r>
      <w:r w:rsidR="000C6EAA" w:rsidRPr="00BE0C02">
        <w:rPr>
          <w:b/>
          <w:szCs w:val="19"/>
          <w:lang w:val="en-AU"/>
        </w:rPr>
        <w:t xml:space="preserve"> </w:t>
      </w:r>
    </w:p>
    <w:p w14:paraId="3481A5D4" w14:textId="77777777" w:rsidR="000C6EAA" w:rsidRPr="00BE0C02" w:rsidRDefault="00E078D8" w:rsidP="00E078D8">
      <w:pPr>
        <w:pStyle w:val="IASBNormalnparaL1"/>
        <w:rPr>
          <w:b/>
          <w:strike/>
          <w:szCs w:val="19"/>
          <w:lang w:val="en-AU"/>
        </w:rPr>
      </w:pPr>
      <w:r w:rsidRPr="00BE0C02">
        <w:rPr>
          <w:b/>
          <w:strike/>
          <w:szCs w:val="19"/>
          <w:lang w:val="en-AU"/>
        </w:rPr>
        <w:t>(a)</w:t>
      </w:r>
      <w:r w:rsidRPr="00BE0C02">
        <w:rPr>
          <w:b/>
          <w:strike/>
          <w:szCs w:val="19"/>
          <w:lang w:val="en-AU"/>
        </w:rPr>
        <w:tab/>
      </w:r>
      <w:r w:rsidR="000C6EAA" w:rsidRPr="00BE0C02">
        <w:rPr>
          <w:b/>
          <w:strike/>
          <w:szCs w:val="19"/>
          <w:lang w:val="en-AU"/>
        </w:rPr>
        <w:t>each for-profit entity that is required to prepare financial reports in accordance with Part 2M.3 of the Corporations Act and that is a reporting entity;</w:t>
      </w:r>
    </w:p>
    <w:p w14:paraId="6CC3843D" w14:textId="77777777" w:rsidR="000C6EAA" w:rsidRPr="00BE0C02" w:rsidRDefault="00E078D8" w:rsidP="00E078D8">
      <w:pPr>
        <w:pStyle w:val="IASBNormalnparaL1"/>
        <w:rPr>
          <w:b/>
          <w:strike/>
          <w:szCs w:val="19"/>
          <w:lang w:val="en-AU"/>
        </w:rPr>
      </w:pPr>
      <w:r w:rsidRPr="00BE0C02">
        <w:rPr>
          <w:b/>
          <w:strike/>
          <w:szCs w:val="19"/>
          <w:lang w:val="en-AU"/>
        </w:rPr>
        <w:t>(b)</w:t>
      </w:r>
      <w:r w:rsidRPr="00BE0C02">
        <w:rPr>
          <w:b/>
          <w:strike/>
          <w:szCs w:val="19"/>
          <w:lang w:val="en-AU"/>
        </w:rPr>
        <w:tab/>
      </w:r>
      <w:r w:rsidR="000C6EAA" w:rsidRPr="00BE0C02">
        <w:rPr>
          <w:b/>
          <w:strike/>
          <w:szCs w:val="19"/>
          <w:lang w:val="en-AU"/>
        </w:rPr>
        <w:t>general purpose financial statements of each other for-profit reporting entity;</w:t>
      </w:r>
    </w:p>
    <w:p w14:paraId="23B50A47" w14:textId="6044D46A" w:rsidR="000C6EAA" w:rsidRPr="00BE0C02" w:rsidRDefault="00E078D8" w:rsidP="00E078D8">
      <w:pPr>
        <w:pStyle w:val="IASBNormalnparaL1"/>
        <w:rPr>
          <w:b/>
          <w:strike/>
          <w:szCs w:val="19"/>
          <w:lang w:val="en-AU"/>
        </w:rPr>
      </w:pPr>
      <w:r w:rsidRPr="00BE0C02">
        <w:rPr>
          <w:b/>
          <w:strike/>
          <w:szCs w:val="19"/>
          <w:lang w:val="en-AU"/>
        </w:rPr>
        <w:t>(c)</w:t>
      </w:r>
      <w:r w:rsidRPr="00BE0C02">
        <w:rPr>
          <w:b/>
          <w:strike/>
          <w:szCs w:val="19"/>
          <w:lang w:val="en-AU"/>
        </w:rPr>
        <w:tab/>
      </w:r>
      <w:r w:rsidR="000C6EAA" w:rsidRPr="00BE0C02">
        <w:rPr>
          <w:b/>
          <w:strike/>
          <w:szCs w:val="19"/>
          <w:lang w:val="en-AU"/>
        </w:rPr>
        <w:t>financial statements of a for-profit entity that are, or are held out to be, general purpose financial statements; and</w:t>
      </w:r>
    </w:p>
    <w:p w14:paraId="14B17353" w14:textId="3D9AFEC8" w:rsidR="000C6EAA" w:rsidRPr="00BE0C02" w:rsidRDefault="00E078D8" w:rsidP="00FA1BF6">
      <w:pPr>
        <w:pStyle w:val="IASBNormalnparaL1"/>
        <w:rPr>
          <w:b/>
          <w:szCs w:val="19"/>
          <w:lang w:val="en-AU"/>
        </w:rPr>
      </w:pPr>
      <w:r w:rsidRPr="00BE0C02">
        <w:rPr>
          <w:b/>
          <w:strike/>
          <w:szCs w:val="19"/>
          <w:lang w:val="en-AU"/>
        </w:rPr>
        <w:t>(d)</w:t>
      </w:r>
      <w:r w:rsidRPr="00BE0C02">
        <w:rPr>
          <w:b/>
          <w:strike/>
          <w:szCs w:val="19"/>
          <w:lang w:val="en-AU"/>
        </w:rPr>
        <w:tab/>
      </w:r>
      <w:r w:rsidR="000C6EAA" w:rsidRPr="00BE0C02">
        <w:rPr>
          <w:b/>
          <w:strike/>
          <w:szCs w:val="19"/>
          <w:lang w:val="en-AU"/>
        </w:rPr>
        <w:t>for-profit private sector entities that have public accountability and are required by legislation to comply with Australian Accounting Standards</w:t>
      </w:r>
      <w:r w:rsidR="00FA1BF6" w:rsidRPr="00BE0C02">
        <w:rPr>
          <w:b/>
          <w:strike/>
          <w:szCs w:val="19"/>
          <w:lang w:val="en-AU"/>
        </w:rPr>
        <w:t>.</w:t>
      </w:r>
      <w:r w:rsidR="00F03A40" w:rsidRPr="00BE0C02">
        <w:rPr>
          <w:b/>
          <w:szCs w:val="19"/>
          <w:lang w:val="en-AU"/>
        </w:rPr>
        <w:t xml:space="preserve"> </w:t>
      </w:r>
    </w:p>
    <w:p w14:paraId="76A1E155" w14:textId="77777777" w:rsidR="000C6EAA" w:rsidRPr="00BE0C02" w:rsidRDefault="00DC5C84" w:rsidP="00E078D8">
      <w:pPr>
        <w:pStyle w:val="IASBNormalnpara"/>
        <w:rPr>
          <w:b/>
          <w:szCs w:val="19"/>
          <w:lang w:val="en-AU"/>
        </w:rPr>
      </w:pPr>
      <w:r w:rsidRPr="00BE0C02">
        <w:rPr>
          <w:b/>
          <w:szCs w:val="19"/>
          <w:lang w:val="en-AU"/>
        </w:rPr>
        <w:t>24</w:t>
      </w:r>
      <w:r w:rsidR="000C6EAA" w:rsidRPr="00BE0C02">
        <w:rPr>
          <w:b/>
          <w:szCs w:val="19"/>
          <w:lang w:val="en-AU"/>
        </w:rPr>
        <w:tab/>
        <w:t xml:space="preserve">Interpretation 1019 </w:t>
      </w:r>
      <w:r w:rsidR="000C6EAA" w:rsidRPr="00BE0C02">
        <w:rPr>
          <w:b/>
          <w:i/>
          <w:szCs w:val="19"/>
          <w:lang w:val="en-AU"/>
        </w:rPr>
        <w:t>The Superannuation Contributions Surcharge</w:t>
      </w:r>
      <w:r w:rsidR="000C6EAA" w:rsidRPr="00BE0C02">
        <w:rPr>
          <w:b/>
          <w:szCs w:val="19"/>
          <w:lang w:val="en-AU"/>
        </w:rPr>
        <w:t xml:space="preserve"> applies to:</w:t>
      </w:r>
    </w:p>
    <w:p w14:paraId="3B4E8432" w14:textId="3FAB3A85" w:rsidR="000C6EAA" w:rsidRPr="00BE0C02" w:rsidRDefault="00E078D8" w:rsidP="00E078D8">
      <w:pPr>
        <w:pStyle w:val="IASBNormalnparaL1"/>
        <w:rPr>
          <w:b/>
          <w:szCs w:val="19"/>
          <w:lang w:val="en-AU"/>
        </w:rPr>
      </w:pPr>
      <w:r w:rsidRPr="00BE0C02">
        <w:rPr>
          <w:b/>
          <w:szCs w:val="19"/>
          <w:lang w:val="en-AU"/>
        </w:rPr>
        <w:t>(a)</w:t>
      </w:r>
      <w:r w:rsidRPr="00BE0C02">
        <w:rPr>
          <w:b/>
          <w:szCs w:val="19"/>
          <w:lang w:val="en-AU"/>
        </w:rPr>
        <w:tab/>
      </w:r>
      <w:r w:rsidR="000C6EAA" w:rsidRPr="00BE0C02">
        <w:rPr>
          <w:b/>
          <w:szCs w:val="19"/>
          <w:lang w:val="en-AU"/>
        </w:rPr>
        <w:t>each</w:t>
      </w:r>
      <w:r w:rsidR="00013CAD" w:rsidRPr="00BE0C02">
        <w:rPr>
          <w:b/>
          <w:szCs w:val="19"/>
          <w:lang w:val="en-AU"/>
        </w:rPr>
        <w:t xml:space="preserve"> </w:t>
      </w:r>
      <w:r w:rsidR="00013CAD" w:rsidRPr="00BE0C02">
        <w:rPr>
          <w:b/>
          <w:szCs w:val="19"/>
          <w:u w:val="single"/>
          <w:lang w:val="en-AU"/>
        </w:rPr>
        <w:t>not-for-profit</w:t>
      </w:r>
      <w:r w:rsidR="000C6EAA" w:rsidRPr="00BE0C02">
        <w:rPr>
          <w:b/>
          <w:szCs w:val="19"/>
          <w:lang w:val="en-AU"/>
        </w:rPr>
        <w:t xml:space="preserve"> superannuation plan that is required to prepare financial reports in accordance with Part 2M.3 of the Corporations Act and that is a reporting entity;</w:t>
      </w:r>
    </w:p>
    <w:p w14:paraId="4E3257FE" w14:textId="3289CED6" w:rsidR="000C6EAA" w:rsidRPr="00BE0C02" w:rsidRDefault="009F2238" w:rsidP="009F2238">
      <w:pPr>
        <w:pStyle w:val="IASBNormalnparaL1"/>
        <w:rPr>
          <w:b/>
          <w:szCs w:val="19"/>
          <w:lang w:val="en-AU"/>
        </w:rPr>
      </w:pPr>
      <w:r w:rsidRPr="00BE0C02">
        <w:rPr>
          <w:b/>
          <w:szCs w:val="19"/>
          <w:lang w:val="en-AU"/>
        </w:rPr>
        <w:t>(b)</w:t>
      </w:r>
      <w:r w:rsidRPr="00BE0C02">
        <w:rPr>
          <w:b/>
          <w:szCs w:val="19"/>
          <w:lang w:val="en-AU"/>
        </w:rPr>
        <w:tab/>
      </w:r>
      <w:r w:rsidR="000C6EAA" w:rsidRPr="00BE0C02">
        <w:rPr>
          <w:b/>
          <w:szCs w:val="19"/>
          <w:lang w:val="en-AU"/>
        </w:rPr>
        <w:t xml:space="preserve">general purpose financial statements of each other </w:t>
      </w:r>
      <w:r w:rsidR="00013CAD" w:rsidRPr="00BE0C02">
        <w:rPr>
          <w:b/>
          <w:szCs w:val="19"/>
          <w:u w:val="single"/>
          <w:lang w:val="en-AU"/>
        </w:rPr>
        <w:t>not-for-profit</w:t>
      </w:r>
      <w:r w:rsidR="00013CAD" w:rsidRPr="00BE0C02">
        <w:rPr>
          <w:b/>
          <w:szCs w:val="19"/>
          <w:lang w:val="en-AU"/>
        </w:rPr>
        <w:t xml:space="preserve"> </w:t>
      </w:r>
      <w:r w:rsidR="000C6EAA" w:rsidRPr="00BE0C02">
        <w:rPr>
          <w:b/>
          <w:szCs w:val="19"/>
          <w:lang w:val="en-AU"/>
        </w:rPr>
        <w:t>superannuation plan that is a reporting entity;</w:t>
      </w:r>
    </w:p>
    <w:p w14:paraId="7C667F57" w14:textId="3760F411" w:rsidR="000C6EAA" w:rsidRPr="00BE0C02" w:rsidRDefault="009F2238" w:rsidP="009F2238">
      <w:pPr>
        <w:pStyle w:val="IASBNormalnparaL1"/>
        <w:rPr>
          <w:b/>
          <w:szCs w:val="19"/>
          <w:lang w:val="en-AU"/>
        </w:rPr>
      </w:pPr>
      <w:r w:rsidRPr="00BE0C02">
        <w:rPr>
          <w:b/>
          <w:szCs w:val="19"/>
          <w:lang w:val="en-AU"/>
        </w:rPr>
        <w:t>(c)</w:t>
      </w:r>
      <w:r w:rsidRPr="00BE0C02">
        <w:rPr>
          <w:b/>
          <w:szCs w:val="19"/>
          <w:lang w:val="en-AU"/>
        </w:rPr>
        <w:tab/>
      </w:r>
      <w:r w:rsidR="00C55CEC" w:rsidRPr="00BE0C02">
        <w:rPr>
          <w:b/>
          <w:szCs w:val="19"/>
          <w:u w:val="single"/>
          <w:lang w:val="en-AU"/>
        </w:rPr>
        <w:t>each superannuation plan that elects to prepare</w:t>
      </w:r>
      <w:r w:rsidR="00C55CEC" w:rsidRPr="00BE0C02">
        <w:rPr>
          <w:b/>
          <w:szCs w:val="19"/>
          <w:lang w:val="en-AU"/>
        </w:rPr>
        <w:t xml:space="preserve"> </w:t>
      </w:r>
      <w:r w:rsidR="000C6EAA" w:rsidRPr="00BE0C02">
        <w:rPr>
          <w:b/>
          <w:szCs w:val="19"/>
          <w:lang w:val="en-AU"/>
        </w:rPr>
        <w:t xml:space="preserve">financial statements </w:t>
      </w:r>
      <w:r w:rsidR="000C6EAA" w:rsidRPr="00BE0C02">
        <w:rPr>
          <w:b/>
          <w:szCs w:val="19"/>
          <w:u w:val="single"/>
          <w:lang w:val="en-AU"/>
        </w:rPr>
        <w:t>of a superannuation plan</w:t>
      </w:r>
      <w:r w:rsidR="000C6EAA" w:rsidRPr="00BE0C02">
        <w:rPr>
          <w:b/>
          <w:szCs w:val="19"/>
          <w:lang w:val="en-AU"/>
        </w:rPr>
        <w:t xml:space="preserve"> that are, or are held out to be, general purpose financial statements; </w:t>
      </w:r>
      <w:r w:rsidR="000C6EAA" w:rsidRPr="00BE0C02">
        <w:rPr>
          <w:b/>
          <w:strike/>
          <w:szCs w:val="19"/>
          <w:lang w:val="en-AU"/>
        </w:rPr>
        <w:t>and</w:t>
      </w:r>
    </w:p>
    <w:p w14:paraId="0330252B" w14:textId="69447651" w:rsidR="00F03A40" w:rsidRPr="00BE0C02" w:rsidRDefault="009F2238" w:rsidP="009F2238">
      <w:pPr>
        <w:pStyle w:val="IASBNormalnparaL1"/>
        <w:rPr>
          <w:b/>
          <w:szCs w:val="19"/>
          <w:lang w:val="en-AU"/>
        </w:rPr>
      </w:pPr>
      <w:r w:rsidRPr="00BE0C02">
        <w:rPr>
          <w:b/>
          <w:szCs w:val="19"/>
          <w:lang w:val="en-AU"/>
        </w:rPr>
        <w:t>(d)</w:t>
      </w:r>
      <w:r w:rsidRPr="00BE0C02">
        <w:rPr>
          <w:b/>
          <w:szCs w:val="19"/>
          <w:lang w:val="en-AU"/>
        </w:rPr>
        <w:tab/>
      </w:r>
      <w:r w:rsidR="000C6EAA" w:rsidRPr="00BE0C02">
        <w:rPr>
          <w:b/>
          <w:szCs w:val="19"/>
          <w:lang w:val="en-AU"/>
        </w:rPr>
        <w:t xml:space="preserve">for-profit </w:t>
      </w:r>
      <w:r w:rsidR="00E53828" w:rsidRPr="00BE0C02">
        <w:rPr>
          <w:b/>
          <w:szCs w:val="19"/>
          <w:lang w:val="en-AU"/>
        </w:rPr>
        <w:t>superannuation plans</w:t>
      </w:r>
      <w:r w:rsidR="000C6EAA" w:rsidRPr="00BE0C02">
        <w:rPr>
          <w:b/>
          <w:szCs w:val="19"/>
          <w:lang w:val="en-AU"/>
        </w:rPr>
        <w:t xml:space="preserve"> that </w:t>
      </w:r>
      <w:r w:rsidR="000C6EAA" w:rsidRPr="00BE0C02">
        <w:rPr>
          <w:b/>
          <w:strike/>
          <w:szCs w:val="19"/>
          <w:lang w:val="en-AU"/>
        </w:rPr>
        <w:t xml:space="preserve">have public accountability and </w:t>
      </w:r>
      <w:r w:rsidR="000C6EAA" w:rsidRPr="00BE0C02">
        <w:rPr>
          <w:b/>
          <w:szCs w:val="19"/>
          <w:lang w:val="en-AU"/>
        </w:rPr>
        <w:t xml:space="preserve">are required by legislation </w:t>
      </w:r>
      <w:r w:rsidR="00F03A40" w:rsidRPr="00BE0C02">
        <w:rPr>
          <w:b/>
          <w:szCs w:val="19"/>
          <w:lang w:val="en-AU"/>
        </w:rPr>
        <w:t xml:space="preserve">to </w:t>
      </w:r>
      <w:r w:rsidR="003C5DD2" w:rsidRPr="00BE0C02">
        <w:rPr>
          <w:b/>
          <w:szCs w:val="19"/>
          <w:u w:val="single"/>
          <w:lang w:val="en-AU"/>
        </w:rPr>
        <w:t>prepare financial statements that</w:t>
      </w:r>
      <w:r w:rsidR="003C5DD2" w:rsidRPr="00BE0C02">
        <w:rPr>
          <w:b/>
          <w:szCs w:val="19"/>
          <w:lang w:val="en-AU"/>
        </w:rPr>
        <w:t xml:space="preserve"> </w:t>
      </w:r>
      <w:r w:rsidR="00F03A40" w:rsidRPr="00BE0C02">
        <w:rPr>
          <w:b/>
          <w:szCs w:val="19"/>
          <w:lang w:val="en-AU"/>
        </w:rPr>
        <w:t xml:space="preserve">comply with </w:t>
      </w:r>
      <w:r w:rsidR="0062395B" w:rsidRPr="00BE0C02">
        <w:rPr>
          <w:b/>
          <w:szCs w:val="19"/>
          <w:u w:val="single"/>
          <w:lang w:val="en-AU"/>
        </w:rPr>
        <w:t>either</w:t>
      </w:r>
      <w:r w:rsidR="0062395B" w:rsidRPr="00BE0C02">
        <w:rPr>
          <w:b/>
          <w:szCs w:val="19"/>
          <w:lang w:val="en-AU"/>
        </w:rPr>
        <w:t xml:space="preserve"> </w:t>
      </w:r>
      <w:r w:rsidR="000C6EAA" w:rsidRPr="00BE0C02">
        <w:rPr>
          <w:b/>
          <w:szCs w:val="19"/>
          <w:lang w:val="en-AU"/>
        </w:rPr>
        <w:t>Australian Accounting Standards</w:t>
      </w:r>
      <w:r w:rsidR="00F03A40" w:rsidRPr="00BE0C02">
        <w:rPr>
          <w:b/>
          <w:szCs w:val="19"/>
          <w:lang w:val="en-AU"/>
        </w:rPr>
        <w:t xml:space="preserve"> </w:t>
      </w:r>
      <w:r w:rsidR="00F03A40" w:rsidRPr="00BE0C02">
        <w:rPr>
          <w:b/>
          <w:szCs w:val="19"/>
          <w:u w:val="single"/>
          <w:lang w:val="en-AU"/>
        </w:rPr>
        <w:t>or accounting standards; and</w:t>
      </w:r>
    </w:p>
    <w:p w14:paraId="690EA023" w14:textId="65C563CB" w:rsidR="000C6EAA" w:rsidRPr="00BE0C02" w:rsidRDefault="00F03A40" w:rsidP="009F2238">
      <w:pPr>
        <w:pStyle w:val="IASBNormalnparaL1"/>
        <w:rPr>
          <w:b/>
          <w:szCs w:val="19"/>
          <w:lang w:val="en-AU"/>
        </w:rPr>
      </w:pPr>
      <w:r w:rsidRPr="00BE0C02">
        <w:rPr>
          <w:b/>
          <w:szCs w:val="19"/>
          <w:u w:val="single"/>
          <w:lang w:val="en-AU"/>
        </w:rPr>
        <w:t>(e)</w:t>
      </w:r>
      <w:r w:rsidRPr="00BE0C02">
        <w:rPr>
          <w:b/>
          <w:szCs w:val="19"/>
          <w:u w:val="single"/>
          <w:lang w:val="en-AU"/>
        </w:rPr>
        <w:tab/>
        <w:t xml:space="preserve">other for-profit </w:t>
      </w:r>
      <w:r w:rsidR="00E53828" w:rsidRPr="00BE0C02">
        <w:rPr>
          <w:b/>
          <w:szCs w:val="19"/>
          <w:u w:val="single"/>
          <w:lang w:val="en-AU"/>
        </w:rPr>
        <w:t>superannuation plans</w:t>
      </w:r>
      <w:r w:rsidRPr="00BE0C02">
        <w:rPr>
          <w:b/>
          <w:szCs w:val="19"/>
          <w:u w:val="single"/>
          <w:lang w:val="en-AU"/>
        </w:rPr>
        <w:t xml:space="preserve"> that are required only by their constituting document </w:t>
      </w:r>
      <w:r w:rsidR="00347D9E" w:rsidRPr="00BE0C02">
        <w:rPr>
          <w:b/>
          <w:szCs w:val="19"/>
          <w:u w:val="single"/>
          <w:lang w:val="en-AU"/>
        </w:rPr>
        <w:t xml:space="preserve">or another document </w:t>
      </w:r>
      <w:r w:rsidRPr="00BE0C02">
        <w:rPr>
          <w:b/>
          <w:szCs w:val="19"/>
          <w:u w:val="single"/>
          <w:lang w:val="en-AU"/>
        </w:rPr>
        <w:t xml:space="preserve">to </w:t>
      </w:r>
      <w:r w:rsidR="003C5DD2" w:rsidRPr="00BE0C02">
        <w:rPr>
          <w:b/>
          <w:szCs w:val="19"/>
          <w:u w:val="single"/>
          <w:lang w:val="en-AU"/>
        </w:rPr>
        <w:t xml:space="preserve">prepare financial statements that </w:t>
      </w:r>
      <w:r w:rsidRPr="00BE0C02">
        <w:rPr>
          <w:b/>
          <w:szCs w:val="19"/>
          <w:u w:val="single"/>
          <w:lang w:val="en-AU"/>
        </w:rPr>
        <w:t xml:space="preserve">comply with Australian Accounting Standards, provided that the </w:t>
      </w:r>
      <w:r w:rsidR="00347D9E" w:rsidRPr="00BE0C02">
        <w:rPr>
          <w:b/>
          <w:szCs w:val="19"/>
          <w:u w:val="single"/>
          <w:lang w:val="en-AU"/>
        </w:rPr>
        <w:t xml:space="preserve">relevant </w:t>
      </w:r>
      <w:r w:rsidRPr="00BE0C02">
        <w:rPr>
          <w:b/>
          <w:szCs w:val="19"/>
          <w:u w:val="single"/>
          <w:lang w:val="en-AU"/>
        </w:rPr>
        <w:t xml:space="preserve">document was created or amended on or after 1 July </w:t>
      </w:r>
      <w:r w:rsidR="00862EB6" w:rsidRPr="00BE0C02">
        <w:rPr>
          <w:b/>
          <w:szCs w:val="19"/>
          <w:u w:val="single"/>
          <w:lang w:val="en-AU"/>
        </w:rPr>
        <w:t>2021</w:t>
      </w:r>
      <w:r w:rsidRPr="00BE0C02">
        <w:rPr>
          <w:b/>
          <w:szCs w:val="19"/>
          <w:lang w:val="en-AU"/>
        </w:rPr>
        <w:t>.</w:t>
      </w:r>
    </w:p>
    <w:p w14:paraId="71223D6D" w14:textId="77777777" w:rsidR="000C6EAA" w:rsidRPr="00BE0C02" w:rsidRDefault="000C6EAA" w:rsidP="000C6EAA">
      <w:pPr>
        <w:pStyle w:val="Default"/>
        <w:ind w:left="993" w:hanging="993"/>
        <w:jc w:val="both"/>
        <w:rPr>
          <w:bCs/>
          <w:color w:val="auto"/>
          <w:sz w:val="19"/>
          <w:szCs w:val="19"/>
        </w:rPr>
      </w:pPr>
      <w:r w:rsidRPr="00BE0C02">
        <w:rPr>
          <w:bCs/>
          <w:color w:val="auto"/>
          <w:sz w:val="19"/>
          <w:szCs w:val="19"/>
        </w:rPr>
        <w:t>…</w:t>
      </w:r>
    </w:p>
    <w:p w14:paraId="499B5FDB" w14:textId="77777777" w:rsidR="000C6EAA" w:rsidRPr="00BE0C02" w:rsidRDefault="000C6EAA" w:rsidP="009F2238">
      <w:pPr>
        <w:pStyle w:val="IASBNormalnpara"/>
        <w:rPr>
          <w:b/>
          <w:szCs w:val="19"/>
          <w:lang w:val="en-AU"/>
        </w:rPr>
      </w:pPr>
      <w:r w:rsidRPr="00BE0C02">
        <w:rPr>
          <w:b/>
          <w:szCs w:val="19"/>
          <w:lang w:val="en-AU"/>
        </w:rPr>
        <w:t>26</w:t>
      </w:r>
      <w:r w:rsidRPr="00BE0C02">
        <w:rPr>
          <w:b/>
          <w:szCs w:val="19"/>
          <w:lang w:val="en-AU"/>
        </w:rPr>
        <w:tab/>
        <w:t xml:space="preserve">Interpretation 1047 </w:t>
      </w:r>
      <w:r w:rsidRPr="00BE0C02">
        <w:rPr>
          <w:b/>
          <w:i/>
          <w:szCs w:val="19"/>
          <w:lang w:val="en-AU"/>
        </w:rPr>
        <w:t xml:space="preserve">Professional Indemnity Claims Liabilities in Medical Defence Organisations </w:t>
      </w:r>
      <w:r w:rsidRPr="00BE0C02">
        <w:rPr>
          <w:b/>
          <w:szCs w:val="19"/>
          <w:lang w:val="en-AU"/>
        </w:rPr>
        <w:t>applies to entities that are or include medical defence organisations as follows:</w:t>
      </w:r>
    </w:p>
    <w:p w14:paraId="21E85FBB" w14:textId="4651873D" w:rsidR="000C6EAA" w:rsidRPr="00BE0C02" w:rsidRDefault="009F2238" w:rsidP="009F2238">
      <w:pPr>
        <w:pStyle w:val="IASBNormalnparaL1"/>
        <w:rPr>
          <w:b/>
          <w:szCs w:val="19"/>
          <w:u w:val="single"/>
          <w:lang w:val="en-AU"/>
        </w:rPr>
      </w:pPr>
      <w:r w:rsidRPr="00BE0C02">
        <w:rPr>
          <w:b/>
          <w:szCs w:val="19"/>
          <w:lang w:val="en-AU"/>
        </w:rPr>
        <w:t>(</w:t>
      </w:r>
      <w:r w:rsidR="006B7C33" w:rsidRPr="00BE0C02">
        <w:rPr>
          <w:b/>
          <w:szCs w:val="19"/>
          <w:lang w:val="en-AU"/>
        </w:rPr>
        <w:t>a</w:t>
      </w:r>
      <w:r w:rsidRPr="00BE0C02">
        <w:rPr>
          <w:b/>
          <w:szCs w:val="19"/>
          <w:lang w:val="en-AU"/>
        </w:rPr>
        <w:t>)</w:t>
      </w:r>
      <w:r w:rsidRPr="00BE0C02">
        <w:rPr>
          <w:b/>
          <w:szCs w:val="19"/>
          <w:lang w:val="en-AU"/>
        </w:rPr>
        <w:tab/>
      </w:r>
      <w:r w:rsidR="000C6EAA" w:rsidRPr="00BE0C02">
        <w:rPr>
          <w:b/>
          <w:szCs w:val="19"/>
          <w:lang w:val="en-AU"/>
        </w:rPr>
        <w:t xml:space="preserve">general purpose financial statements of each </w:t>
      </w:r>
      <w:r w:rsidR="00B6414F" w:rsidRPr="00BE0C02">
        <w:rPr>
          <w:b/>
          <w:szCs w:val="19"/>
          <w:lang w:val="en-AU"/>
        </w:rPr>
        <w:t xml:space="preserve">not-for-profit public sector </w:t>
      </w:r>
      <w:r w:rsidR="000C6EAA" w:rsidRPr="00BE0C02">
        <w:rPr>
          <w:b/>
          <w:szCs w:val="19"/>
          <w:lang w:val="en-AU"/>
        </w:rPr>
        <w:t>reporting entity;</w:t>
      </w:r>
      <w:r w:rsidR="00663B91" w:rsidRPr="00BE0C02">
        <w:rPr>
          <w:b/>
          <w:szCs w:val="19"/>
          <w:lang w:val="en-AU"/>
        </w:rPr>
        <w:t xml:space="preserve"> </w:t>
      </w:r>
      <w:r w:rsidR="00663B91" w:rsidRPr="00BE0C02">
        <w:rPr>
          <w:b/>
          <w:szCs w:val="19"/>
          <w:u w:val="single"/>
          <w:lang w:val="en-AU"/>
        </w:rPr>
        <w:t>and</w:t>
      </w:r>
    </w:p>
    <w:p w14:paraId="6AAD4DA4" w14:textId="75F9B17D" w:rsidR="000C6EAA" w:rsidRPr="00BE0C02" w:rsidRDefault="009F2238" w:rsidP="009F2238">
      <w:pPr>
        <w:pStyle w:val="IASBNormalnparaL1"/>
        <w:rPr>
          <w:b/>
          <w:szCs w:val="19"/>
          <w:lang w:val="en-AU"/>
        </w:rPr>
      </w:pPr>
      <w:r w:rsidRPr="00BE0C02">
        <w:rPr>
          <w:b/>
          <w:szCs w:val="19"/>
          <w:lang w:val="en-AU"/>
        </w:rPr>
        <w:t>(</w:t>
      </w:r>
      <w:r w:rsidR="006B7C33" w:rsidRPr="00BE0C02">
        <w:rPr>
          <w:b/>
          <w:szCs w:val="19"/>
          <w:lang w:val="en-AU"/>
        </w:rPr>
        <w:t>b</w:t>
      </w:r>
      <w:r w:rsidRPr="00BE0C02">
        <w:rPr>
          <w:b/>
          <w:szCs w:val="19"/>
          <w:lang w:val="en-AU"/>
        </w:rPr>
        <w:t>)</w:t>
      </w:r>
      <w:r w:rsidRPr="00BE0C02">
        <w:rPr>
          <w:b/>
          <w:szCs w:val="19"/>
          <w:lang w:val="en-AU"/>
        </w:rPr>
        <w:tab/>
      </w:r>
      <w:r w:rsidR="00A617A0" w:rsidRPr="00BE0C02">
        <w:rPr>
          <w:b/>
          <w:szCs w:val="19"/>
          <w:u w:val="single"/>
          <w:lang w:val="en-AU"/>
        </w:rPr>
        <w:t xml:space="preserve">each </w:t>
      </w:r>
      <w:r w:rsidR="00BF4924" w:rsidRPr="00BE0C02">
        <w:rPr>
          <w:b/>
          <w:szCs w:val="19"/>
          <w:u w:val="single"/>
          <w:lang w:val="en-AU"/>
        </w:rPr>
        <w:t xml:space="preserve">not-for-profit public sector </w:t>
      </w:r>
      <w:r w:rsidR="00A617A0" w:rsidRPr="00BE0C02">
        <w:rPr>
          <w:b/>
          <w:szCs w:val="19"/>
          <w:u w:val="single"/>
          <w:lang w:val="en-AU"/>
        </w:rPr>
        <w:t>entity that elects to prepare</w:t>
      </w:r>
      <w:r w:rsidR="00A617A0" w:rsidRPr="00BE0C02">
        <w:rPr>
          <w:b/>
          <w:szCs w:val="19"/>
          <w:lang w:val="en-AU"/>
        </w:rPr>
        <w:t xml:space="preserve"> </w:t>
      </w:r>
      <w:r w:rsidR="000C6EAA" w:rsidRPr="00BE0C02">
        <w:rPr>
          <w:b/>
          <w:szCs w:val="19"/>
          <w:lang w:val="en-AU"/>
        </w:rPr>
        <w:t xml:space="preserve">financial statements </w:t>
      </w:r>
      <w:r w:rsidR="003322FB" w:rsidRPr="00D30075">
        <w:rPr>
          <w:b/>
          <w:strike/>
          <w:szCs w:val="19"/>
          <w:lang w:val="en-AU"/>
        </w:rPr>
        <w:t xml:space="preserve">of each not-for-profit public sector </w:t>
      </w:r>
      <w:r w:rsidR="003322FB" w:rsidRPr="00341A96">
        <w:rPr>
          <w:b/>
          <w:strike/>
          <w:szCs w:val="19"/>
          <w:lang w:val="en-AU"/>
        </w:rPr>
        <w:t>entit</w:t>
      </w:r>
      <w:r w:rsidR="00C66B01" w:rsidRPr="00341A96">
        <w:rPr>
          <w:b/>
          <w:strike/>
          <w:szCs w:val="19"/>
          <w:lang w:val="en-AU"/>
        </w:rPr>
        <w:t>y</w:t>
      </w:r>
      <w:r w:rsidR="00D30075">
        <w:rPr>
          <w:b/>
          <w:szCs w:val="19"/>
          <w:lang w:val="en-AU"/>
        </w:rPr>
        <w:t xml:space="preserve"> </w:t>
      </w:r>
      <w:r w:rsidR="000C6EAA" w:rsidRPr="00D30075">
        <w:rPr>
          <w:b/>
          <w:szCs w:val="19"/>
          <w:lang w:val="en-AU"/>
        </w:rPr>
        <w:t>that</w:t>
      </w:r>
      <w:r w:rsidR="000C6EAA" w:rsidRPr="00BE0C02">
        <w:rPr>
          <w:b/>
          <w:szCs w:val="19"/>
          <w:lang w:val="en-AU"/>
        </w:rPr>
        <w:t xml:space="preserve"> are, or are held out to be, general purpose financial statements</w:t>
      </w:r>
      <w:r w:rsidR="000C6EAA" w:rsidRPr="00BE0C02">
        <w:rPr>
          <w:b/>
          <w:strike/>
          <w:szCs w:val="19"/>
          <w:lang w:val="en-AU"/>
        </w:rPr>
        <w:t>; and</w:t>
      </w:r>
      <w:r w:rsidR="003B124D" w:rsidRPr="00C96A4A">
        <w:rPr>
          <w:b/>
          <w:szCs w:val="19"/>
          <w:u w:val="single"/>
          <w:lang w:val="en-AU"/>
        </w:rPr>
        <w:t>.</w:t>
      </w:r>
    </w:p>
    <w:p w14:paraId="15887C13" w14:textId="40602216" w:rsidR="00D82B31" w:rsidRPr="00BE0C02" w:rsidRDefault="009F2238" w:rsidP="009F2238">
      <w:pPr>
        <w:pStyle w:val="IASBNormalnparaL1"/>
        <w:rPr>
          <w:b/>
          <w:strike/>
          <w:szCs w:val="19"/>
          <w:lang w:val="en-AU"/>
        </w:rPr>
      </w:pPr>
      <w:r w:rsidRPr="00BE0C02">
        <w:rPr>
          <w:b/>
          <w:strike/>
          <w:szCs w:val="19"/>
          <w:lang w:val="en-AU"/>
        </w:rPr>
        <w:t>(d)</w:t>
      </w:r>
      <w:r w:rsidRPr="00BE0C02">
        <w:rPr>
          <w:b/>
          <w:strike/>
          <w:szCs w:val="19"/>
          <w:lang w:val="en-AU"/>
        </w:rPr>
        <w:tab/>
      </w:r>
      <w:r w:rsidR="000C6EAA" w:rsidRPr="00BE0C02">
        <w:rPr>
          <w:b/>
          <w:strike/>
          <w:szCs w:val="19"/>
          <w:lang w:val="en-AU"/>
        </w:rPr>
        <w:t>for-profit private sector entities that have public accountability and are required by legislation to comply with Australian Accounting Standards</w:t>
      </w:r>
      <w:r w:rsidR="00EC0B78" w:rsidRPr="00BE0C02">
        <w:rPr>
          <w:b/>
          <w:strike/>
          <w:szCs w:val="19"/>
          <w:lang w:val="en-AU"/>
        </w:rPr>
        <w:t>.</w:t>
      </w:r>
      <w:r w:rsidR="00D82B31" w:rsidRPr="00BE0C02">
        <w:rPr>
          <w:b/>
          <w:strike/>
          <w:szCs w:val="19"/>
          <w:lang w:val="en-AU"/>
        </w:rPr>
        <w:t xml:space="preserve"> </w:t>
      </w:r>
    </w:p>
    <w:p w14:paraId="6FDC8049" w14:textId="77777777" w:rsidR="000C6EAA" w:rsidRPr="00BE0C02" w:rsidRDefault="000C6EAA" w:rsidP="000C6EAA">
      <w:pPr>
        <w:pStyle w:val="Default"/>
        <w:ind w:left="993" w:hanging="993"/>
        <w:jc w:val="both"/>
        <w:rPr>
          <w:bCs/>
          <w:color w:val="auto"/>
          <w:sz w:val="19"/>
          <w:szCs w:val="19"/>
        </w:rPr>
      </w:pPr>
      <w:r w:rsidRPr="00BE0C02">
        <w:rPr>
          <w:bCs/>
          <w:color w:val="auto"/>
          <w:sz w:val="19"/>
          <w:szCs w:val="19"/>
        </w:rPr>
        <w:t>…</w:t>
      </w:r>
    </w:p>
    <w:p w14:paraId="79325E49" w14:textId="77777777" w:rsidR="000C6EAA" w:rsidRPr="00BE0C02" w:rsidRDefault="000C6EAA" w:rsidP="000C6EAA">
      <w:pPr>
        <w:pStyle w:val="Heading1"/>
        <w:spacing w:before="240"/>
        <w:contextualSpacing/>
        <w:jc w:val="both"/>
      </w:pPr>
      <w:r w:rsidRPr="00BE0C02">
        <w:lastRenderedPageBreak/>
        <w:t>Appendix</w:t>
      </w:r>
    </w:p>
    <w:p w14:paraId="1C581AC5" w14:textId="77777777" w:rsidR="000C6EAA" w:rsidRPr="00BE0C02" w:rsidRDefault="000C6EAA" w:rsidP="000C6EAA">
      <w:pPr>
        <w:pStyle w:val="Heading1"/>
        <w:spacing w:before="0"/>
        <w:jc w:val="both"/>
      </w:pPr>
      <w:r w:rsidRPr="00BE0C02">
        <w:t>Defined terms</w:t>
      </w:r>
    </w:p>
    <w:p w14:paraId="7B07C1F8" w14:textId="77777777" w:rsidR="000C6EAA" w:rsidRPr="00BE0C02" w:rsidRDefault="000C6EAA" w:rsidP="000C6EAA">
      <w:pPr>
        <w:pStyle w:val="Default"/>
        <w:ind w:left="993" w:hanging="993"/>
        <w:jc w:val="both"/>
        <w:rPr>
          <w:bCs/>
          <w:color w:val="auto"/>
          <w:sz w:val="19"/>
          <w:szCs w:val="19"/>
        </w:rPr>
      </w:pPr>
      <w:r w:rsidRPr="00BE0C02">
        <w:rPr>
          <w:bCs/>
          <w:color w:val="auto"/>
          <w:sz w:val="19"/>
          <w:szCs w:val="19"/>
        </w:rPr>
        <w:t>…</w:t>
      </w:r>
    </w:p>
    <w:p w14:paraId="73A92F17" w14:textId="77777777" w:rsidR="000C6EAA" w:rsidRPr="00BE0C02" w:rsidRDefault="000C6EAA" w:rsidP="005E4584">
      <w:pPr>
        <w:pStyle w:val="Default"/>
        <w:spacing w:before="100"/>
        <w:ind w:left="992" w:hanging="992"/>
        <w:jc w:val="both"/>
        <w:rPr>
          <w:b/>
          <w:bCs/>
          <w:color w:val="auto"/>
          <w:sz w:val="19"/>
          <w:szCs w:val="19"/>
        </w:rPr>
      </w:pPr>
      <w:r w:rsidRPr="00BE0C02">
        <w:rPr>
          <w:b/>
          <w:bCs/>
          <w:color w:val="auto"/>
          <w:sz w:val="19"/>
          <w:szCs w:val="19"/>
        </w:rPr>
        <w:t>reporting entity</w:t>
      </w:r>
    </w:p>
    <w:p w14:paraId="3C808A0E" w14:textId="44D076CB" w:rsidR="000C6EAA" w:rsidRPr="00BE0C02" w:rsidRDefault="000C6EAA" w:rsidP="009F2238">
      <w:pPr>
        <w:pStyle w:val="IASBNormalnpara"/>
        <w:ind w:firstLine="0"/>
        <w:rPr>
          <w:szCs w:val="19"/>
          <w:lang w:val="en-AU"/>
        </w:rPr>
      </w:pPr>
      <w:r w:rsidRPr="00BE0C02">
        <w:rPr>
          <w:szCs w:val="19"/>
          <w:lang w:val="en-AU"/>
        </w:rPr>
        <w:t>An entity in respect of which it is reasonable to expect the existence of users who rely on the entity’s general purpose financial statements for information that will be useful to them for making and evaluating decisions about the allocation of resources. A reporting entity can be a single entity or a group comprising a parent and all of its subsidiaries.</w:t>
      </w:r>
    </w:p>
    <w:p w14:paraId="2A3D08F0" w14:textId="77777777" w:rsidR="000C6EAA" w:rsidRPr="00BE0C02" w:rsidRDefault="000C6EAA" w:rsidP="009F2238">
      <w:pPr>
        <w:pStyle w:val="IASBNormalnpara"/>
        <w:ind w:firstLine="0"/>
        <w:rPr>
          <w:szCs w:val="19"/>
          <w:lang w:val="en-AU"/>
        </w:rPr>
      </w:pPr>
      <w:r w:rsidRPr="00BE0C02">
        <w:rPr>
          <w:szCs w:val="19"/>
          <w:lang w:val="en-AU"/>
        </w:rPr>
        <w:t>This reporting entity definition is not relevant to:</w:t>
      </w:r>
      <w:r w:rsidR="007103F8" w:rsidRPr="00BE0C02">
        <w:rPr>
          <w:szCs w:val="19"/>
          <w:lang w:val="en-AU"/>
        </w:rPr>
        <w:t xml:space="preserve"> </w:t>
      </w:r>
    </w:p>
    <w:p w14:paraId="028CAE77" w14:textId="1B750C5C" w:rsidR="000C6EAA" w:rsidRPr="00BE0C02" w:rsidRDefault="009F2238" w:rsidP="009F2238">
      <w:pPr>
        <w:pStyle w:val="IASBNormalnparaL1"/>
        <w:rPr>
          <w:strike/>
          <w:szCs w:val="19"/>
          <w:lang w:val="en-AU"/>
        </w:rPr>
      </w:pPr>
      <w:r w:rsidRPr="00BE0C02">
        <w:rPr>
          <w:szCs w:val="19"/>
          <w:lang w:val="en-AU"/>
        </w:rPr>
        <w:t>(a)</w:t>
      </w:r>
      <w:r w:rsidRPr="00BE0C02">
        <w:rPr>
          <w:szCs w:val="19"/>
          <w:lang w:val="en-AU"/>
        </w:rPr>
        <w:tab/>
      </w:r>
      <w:r w:rsidR="000C6EAA" w:rsidRPr="00BE0C02">
        <w:rPr>
          <w:szCs w:val="19"/>
          <w:lang w:val="en-AU"/>
        </w:rPr>
        <w:t xml:space="preserve">for-profit private sector entities that </w:t>
      </w:r>
      <w:r w:rsidR="000C6EAA" w:rsidRPr="00BE0C02">
        <w:rPr>
          <w:strike/>
          <w:szCs w:val="19"/>
          <w:lang w:val="en-AU"/>
        </w:rPr>
        <w:t xml:space="preserve">have public accountability and </w:t>
      </w:r>
      <w:r w:rsidR="000C6EAA" w:rsidRPr="00BE0C02">
        <w:rPr>
          <w:szCs w:val="19"/>
          <w:lang w:val="en-AU"/>
        </w:rPr>
        <w:t xml:space="preserve">are required by legislation to </w:t>
      </w:r>
      <w:r w:rsidR="003C5DD2" w:rsidRPr="00BE0C02">
        <w:rPr>
          <w:szCs w:val="19"/>
          <w:u w:val="single"/>
          <w:lang w:val="en-AU"/>
        </w:rPr>
        <w:t>prepare financial statements that</w:t>
      </w:r>
      <w:r w:rsidR="003C5DD2" w:rsidRPr="00BE0C02">
        <w:rPr>
          <w:b/>
          <w:szCs w:val="19"/>
          <w:u w:val="single"/>
          <w:lang w:val="en-AU"/>
        </w:rPr>
        <w:t xml:space="preserve"> </w:t>
      </w:r>
      <w:r w:rsidR="000C6EAA" w:rsidRPr="00BE0C02">
        <w:rPr>
          <w:szCs w:val="19"/>
          <w:lang w:val="en-AU"/>
        </w:rPr>
        <w:t xml:space="preserve">comply with </w:t>
      </w:r>
      <w:r w:rsidR="0062395B" w:rsidRPr="00BE0C02">
        <w:rPr>
          <w:szCs w:val="19"/>
          <w:u w:val="single"/>
          <w:lang w:val="en-AU"/>
        </w:rPr>
        <w:t>either</w:t>
      </w:r>
      <w:r w:rsidR="000C6EAA" w:rsidRPr="00BE0C02">
        <w:rPr>
          <w:szCs w:val="19"/>
          <w:lang w:val="en-AU"/>
        </w:rPr>
        <w:t xml:space="preserve"> Australian Accounting Standards</w:t>
      </w:r>
      <w:r w:rsidR="00E21555" w:rsidRPr="00BE0C02">
        <w:rPr>
          <w:szCs w:val="19"/>
          <w:lang w:val="en-AU"/>
        </w:rPr>
        <w:t xml:space="preserve"> </w:t>
      </w:r>
      <w:r w:rsidR="00C576E5" w:rsidRPr="00BE0C02">
        <w:rPr>
          <w:szCs w:val="19"/>
          <w:u w:val="single"/>
          <w:lang w:val="en-AU"/>
        </w:rPr>
        <w:t>or accounting standards</w:t>
      </w:r>
      <w:r w:rsidR="000C6EAA" w:rsidRPr="00BE0C02">
        <w:rPr>
          <w:szCs w:val="19"/>
          <w:lang w:val="en-AU"/>
        </w:rPr>
        <w:t>;</w:t>
      </w:r>
      <w:r w:rsidR="000C6EAA" w:rsidRPr="00BE0C02">
        <w:rPr>
          <w:strike/>
          <w:szCs w:val="19"/>
          <w:lang w:val="en-AU"/>
        </w:rPr>
        <w:t xml:space="preserve"> and</w:t>
      </w:r>
    </w:p>
    <w:p w14:paraId="6A0DC573" w14:textId="12F66E86" w:rsidR="00C576E5" w:rsidRPr="00BE0C02" w:rsidRDefault="009F2238" w:rsidP="009F2238">
      <w:pPr>
        <w:pStyle w:val="IASBNormalnparaL1"/>
        <w:rPr>
          <w:szCs w:val="19"/>
          <w:lang w:val="en-AU"/>
        </w:rPr>
      </w:pPr>
      <w:r w:rsidRPr="00BE0C02">
        <w:rPr>
          <w:szCs w:val="19"/>
          <w:lang w:val="en-AU"/>
        </w:rPr>
        <w:t>(b)</w:t>
      </w:r>
      <w:r w:rsidRPr="00BE0C02">
        <w:rPr>
          <w:szCs w:val="19"/>
          <w:lang w:val="en-AU"/>
        </w:rPr>
        <w:tab/>
      </w:r>
      <w:r w:rsidR="00C576E5" w:rsidRPr="00BE0C02">
        <w:rPr>
          <w:szCs w:val="19"/>
          <w:u w:val="single"/>
          <w:lang w:val="en-AU"/>
        </w:rPr>
        <w:t xml:space="preserve">other for-profit private sector entities that are required only by their constituting document or another document to </w:t>
      </w:r>
      <w:r w:rsidR="003C5DD2" w:rsidRPr="00BE0C02">
        <w:rPr>
          <w:szCs w:val="19"/>
          <w:u w:val="single"/>
          <w:lang w:val="en-AU"/>
        </w:rPr>
        <w:t>prepare financial statements that</w:t>
      </w:r>
      <w:r w:rsidR="003C5DD2" w:rsidRPr="00BE0C02">
        <w:rPr>
          <w:b/>
          <w:szCs w:val="19"/>
          <w:u w:val="single"/>
          <w:lang w:val="en-AU"/>
        </w:rPr>
        <w:t xml:space="preserve"> </w:t>
      </w:r>
      <w:r w:rsidR="00C576E5" w:rsidRPr="00BE0C02">
        <w:rPr>
          <w:szCs w:val="19"/>
          <w:u w:val="single"/>
          <w:lang w:val="en-AU"/>
        </w:rPr>
        <w:t xml:space="preserve">comply with Australian Accounting Standards, provided that the relevant document was created or amended on or after 1 July </w:t>
      </w:r>
      <w:r w:rsidR="00862EB6" w:rsidRPr="00BE0C02">
        <w:rPr>
          <w:szCs w:val="19"/>
          <w:u w:val="single"/>
          <w:lang w:val="en-AU"/>
        </w:rPr>
        <w:t>2021</w:t>
      </w:r>
      <w:r w:rsidR="00C576E5" w:rsidRPr="00BE0C02">
        <w:rPr>
          <w:szCs w:val="19"/>
          <w:u w:val="single"/>
          <w:lang w:val="en-AU"/>
        </w:rPr>
        <w:t>; and</w:t>
      </w:r>
    </w:p>
    <w:p w14:paraId="2D5CABCA" w14:textId="1A30B8E3" w:rsidR="000C6EAA" w:rsidRPr="00BE0C02" w:rsidRDefault="00C5075D" w:rsidP="009F2238">
      <w:pPr>
        <w:pStyle w:val="IASBNormalnparaL1"/>
        <w:rPr>
          <w:szCs w:val="19"/>
          <w:lang w:val="en-AU"/>
        </w:rPr>
      </w:pPr>
      <w:r w:rsidRPr="00BE0C02">
        <w:rPr>
          <w:szCs w:val="19"/>
          <w:lang w:val="en-AU"/>
        </w:rPr>
        <w:t>(c)</w:t>
      </w:r>
      <w:r w:rsidRPr="00BE0C02">
        <w:rPr>
          <w:szCs w:val="19"/>
          <w:lang w:val="en-AU"/>
        </w:rPr>
        <w:tab/>
      </w:r>
      <w:r w:rsidR="000C6EAA" w:rsidRPr="00BE0C02">
        <w:rPr>
          <w:szCs w:val="19"/>
          <w:lang w:val="en-AU"/>
        </w:rPr>
        <w:t xml:space="preserve">other for-profit entities </w:t>
      </w:r>
      <w:r w:rsidR="007566AE" w:rsidRPr="00BE0C02">
        <w:rPr>
          <w:u w:val="single"/>
          <w:lang w:val="en-AU"/>
        </w:rPr>
        <w:t>(private sector or public sector)</w:t>
      </w:r>
      <w:r w:rsidR="007566AE" w:rsidRPr="00BE0C02">
        <w:rPr>
          <w:szCs w:val="19"/>
          <w:lang w:val="en-AU"/>
        </w:rPr>
        <w:t xml:space="preserve"> </w:t>
      </w:r>
      <w:r w:rsidR="000C6EAA" w:rsidRPr="00BE0C02">
        <w:rPr>
          <w:szCs w:val="19"/>
          <w:lang w:val="en-AU"/>
        </w:rPr>
        <w:t xml:space="preserve">that elect to </w:t>
      </w:r>
      <w:r w:rsidR="00105CD2" w:rsidRPr="00BE0C02">
        <w:rPr>
          <w:szCs w:val="19"/>
          <w:lang w:val="en-AU"/>
        </w:rPr>
        <w:t>prepare general purpose financial statements</w:t>
      </w:r>
      <w:r w:rsidR="00105CD2" w:rsidRPr="00BE0C02">
        <w:rPr>
          <w:strike/>
          <w:szCs w:val="19"/>
          <w:lang w:val="en-AU"/>
        </w:rPr>
        <w:t xml:space="preserve"> and </w:t>
      </w:r>
      <w:r w:rsidR="000C6EAA" w:rsidRPr="00BE0C02">
        <w:rPr>
          <w:strike/>
          <w:szCs w:val="19"/>
          <w:lang w:val="en-AU"/>
        </w:rPr>
        <w:t xml:space="preserve">apply the </w:t>
      </w:r>
      <w:r w:rsidR="000C6EAA" w:rsidRPr="00BE0C02">
        <w:rPr>
          <w:i/>
          <w:strike/>
          <w:szCs w:val="19"/>
          <w:lang w:val="en-AU"/>
        </w:rPr>
        <w:t>Conceptual Framework for Financial Reporting</w:t>
      </w:r>
      <w:r w:rsidR="000C6EAA" w:rsidRPr="00BE0C02">
        <w:rPr>
          <w:strike/>
          <w:szCs w:val="19"/>
          <w:lang w:val="en-AU"/>
        </w:rPr>
        <w:t xml:space="preserve"> and the consequential amendments to other pronouncements set out in</w:t>
      </w:r>
      <w:r w:rsidR="00C576E5" w:rsidRPr="00BE0C02">
        <w:rPr>
          <w:strike/>
          <w:szCs w:val="19"/>
          <w:lang w:val="en-AU"/>
        </w:rPr>
        <w:t xml:space="preserve"> </w:t>
      </w:r>
      <w:r w:rsidR="000C6EAA" w:rsidRPr="00BE0C02">
        <w:rPr>
          <w:strike/>
          <w:szCs w:val="19"/>
          <w:lang w:val="en-AU"/>
        </w:rPr>
        <w:t>AASB 2019</w:t>
      </w:r>
      <w:r w:rsidR="0025399F" w:rsidRPr="00BE0C02">
        <w:rPr>
          <w:strike/>
          <w:szCs w:val="19"/>
          <w:lang w:val="en-AU"/>
        </w:rPr>
        <w:noBreakHyphen/>
      </w:r>
      <w:r w:rsidR="00C576E5" w:rsidRPr="00BE0C02">
        <w:rPr>
          <w:strike/>
          <w:szCs w:val="19"/>
          <w:lang w:val="en-AU"/>
        </w:rPr>
        <w:t>1</w:t>
      </w:r>
      <w:r w:rsidR="000C6EAA" w:rsidRPr="00BE0C02">
        <w:rPr>
          <w:strike/>
          <w:szCs w:val="19"/>
          <w:lang w:val="en-AU"/>
        </w:rPr>
        <w:t xml:space="preserve"> </w:t>
      </w:r>
      <w:r w:rsidR="000C6EAA" w:rsidRPr="00BE0C02">
        <w:rPr>
          <w:i/>
          <w:strike/>
          <w:szCs w:val="19"/>
          <w:lang w:val="en-AU"/>
        </w:rPr>
        <w:t>Amendments to Australian Accounting Standards – References to the Conceptual Framework</w:t>
      </w:r>
      <w:r w:rsidR="00C576E5" w:rsidRPr="00BE0C02">
        <w:rPr>
          <w:i/>
          <w:lang w:val="en-AU"/>
        </w:rPr>
        <w:t>.</w:t>
      </w:r>
    </w:p>
    <w:p w14:paraId="57373B26" w14:textId="77777777" w:rsidR="00BA5A1C" w:rsidRPr="00BE0C02" w:rsidRDefault="00BA5A1C" w:rsidP="003602DB">
      <w:pPr>
        <w:pStyle w:val="IASBSectionTitle1NonInd"/>
      </w:pPr>
      <w:r w:rsidRPr="00BE0C02">
        <w:t>Commencement of the legislative instrument</w:t>
      </w:r>
    </w:p>
    <w:p w14:paraId="7CE507AE" w14:textId="5A31AAD7" w:rsidR="00CD22B9" w:rsidRPr="00BE0C02" w:rsidRDefault="00BA5A1C" w:rsidP="00A445EE">
      <w:pPr>
        <w:pStyle w:val="NoNumPlain1"/>
      </w:pPr>
      <w:r w:rsidRPr="00BE0C02">
        <w:t>For legal purposes, this legislative instrument commences on</w:t>
      </w:r>
      <w:r w:rsidR="00DB3398" w:rsidRPr="00BE0C02">
        <w:t xml:space="preserve"> 30 June </w:t>
      </w:r>
      <w:r w:rsidR="00C10A11" w:rsidRPr="00BE0C02">
        <w:t>2021</w:t>
      </w:r>
      <w:r w:rsidR="00035279" w:rsidRPr="00BE0C02">
        <w:t>.</w:t>
      </w:r>
    </w:p>
    <w:p w14:paraId="2BBCEE7E" w14:textId="77777777" w:rsidR="003C6ABD" w:rsidRPr="00BE0C02" w:rsidRDefault="003C6ABD" w:rsidP="00A445EE">
      <w:pPr>
        <w:pStyle w:val="NoNumPlain1"/>
      </w:pPr>
    </w:p>
    <w:p w14:paraId="7964871B" w14:textId="77777777" w:rsidR="00CD336D" w:rsidRPr="00BE0C02" w:rsidRDefault="00CD336D" w:rsidP="00A445EE">
      <w:pPr>
        <w:pStyle w:val="NoNumPlain1"/>
        <w:sectPr w:rsidR="00CD336D" w:rsidRPr="00BE0C02" w:rsidSect="009746F9">
          <w:headerReference w:type="even" r:id="rId24"/>
          <w:footerReference w:type="default" r:id="rId25"/>
          <w:headerReference w:type="first" r:id="rId26"/>
          <w:footerReference w:type="first" r:id="rId27"/>
          <w:pgSz w:w="11907" w:h="16840" w:code="9"/>
          <w:pgMar w:top="1418" w:right="1418" w:bottom="1418" w:left="1418" w:header="709" w:footer="709" w:gutter="0"/>
          <w:paperSrc w:first="7" w:other="7"/>
          <w:cols w:space="720"/>
          <w:docGrid w:linePitch="258"/>
        </w:sectPr>
      </w:pPr>
    </w:p>
    <w:p w14:paraId="20A02267" w14:textId="1A34BD60" w:rsidR="00CD22B9" w:rsidRPr="00BE0C02" w:rsidRDefault="00CD22B9" w:rsidP="00CD22B9">
      <w:pPr>
        <w:pStyle w:val="Heading1"/>
      </w:pPr>
      <w:r w:rsidRPr="00BE0C02">
        <w:lastRenderedPageBreak/>
        <w:t>Basis for Conclusions</w:t>
      </w:r>
    </w:p>
    <w:p w14:paraId="3A548C2E" w14:textId="3AF9593F" w:rsidR="00D56F68" w:rsidRPr="00BE0C02" w:rsidRDefault="00CD22B9" w:rsidP="00D56F68">
      <w:pPr>
        <w:pStyle w:val="AppendixNote"/>
        <w:spacing w:after="100"/>
      </w:pPr>
      <w:r w:rsidRPr="00BE0C02">
        <w:t xml:space="preserve">This Basis for Conclusions accompanies, but is not part of, </w:t>
      </w:r>
      <w:r w:rsidR="002A07B4">
        <w:t>AASB 2020-2</w:t>
      </w:r>
      <w:r w:rsidRPr="00BE0C02">
        <w:t>.</w:t>
      </w:r>
    </w:p>
    <w:p w14:paraId="5892947B" w14:textId="77777777" w:rsidR="00CD22B9" w:rsidRPr="00BE0C02" w:rsidRDefault="00CD22B9" w:rsidP="00CD22B9">
      <w:pPr>
        <w:pStyle w:val="Heading2"/>
      </w:pPr>
      <w:r w:rsidRPr="00BE0C02">
        <w:t>Introduction</w:t>
      </w:r>
    </w:p>
    <w:p w14:paraId="0A570F60" w14:textId="0AE18D5F" w:rsidR="00CD22B9" w:rsidRPr="00BE0C02" w:rsidRDefault="00CD22B9" w:rsidP="007E6349">
      <w:pPr>
        <w:pStyle w:val="NumBC1"/>
        <w:numPr>
          <w:ilvl w:val="0"/>
          <w:numId w:val="27"/>
        </w:numPr>
        <w:ind w:left="782" w:hanging="782"/>
        <w:rPr>
          <w:szCs w:val="19"/>
        </w:rPr>
      </w:pPr>
      <w:r w:rsidRPr="00BE0C02">
        <w:t xml:space="preserve">This Basis for Conclusions summarises the Australian Accounting Standards Board’s considerations in reaching the conclusions in </w:t>
      </w:r>
      <w:r w:rsidR="002A07B4">
        <w:t>AASB 2020-2</w:t>
      </w:r>
      <w:r w:rsidRPr="00BE0C02">
        <w:rPr>
          <w:szCs w:val="19"/>
        </w:rPr>
        <w:t xml:space="preserve">. It sets out the reasons why the Board developed the </w:t>
      </w:r>
      <w:r w:rsidR="00993762" w:rsidRPr="00BE0C02">
        <w:rPr>
          <w:szCs w:val="19"/>
        </w:rPr>
        <w:t>Standard</w:t>
      </w:r>
      <w:r w:rsidRPr="00BE0C02">
        <w:rPr>
          <w:szCs w:val="19"/>
        </w:rPr>
        <w:t xml:space="preserve">, the approach taken to developing the </w:t>
      </w:r>
      <w:r w:rsidR="00993762" w:rsidRPr="00BE0C02">
        <w:rPr>
          <w:szCs w:val="19"/>
        </w:rPr>
        <w:t>Standard</w:t>
      </w:r>
      <w:r w:rsidRPr="00BE0C02">
        <w:rPr>
          <w:szCs w:val="19"/>
        </w:rPr>
        <w:t xml:space="preserve">, and the bases for key decisions made. In making decisions, individual Board members gave greater weight to some factors than to others. </w:t>
      </w:r>
    </w:p>
    <w:p w14:paraId="48F57D70" w14:textId="26833D31" w:rsidR="00CD22B9" w:rsidRPr="00BE0C02" w:rsidRDefault="00CD22B9" w:rsidP="007E6349">
      <w:pPr>
        <w:pStyle w:val="NumBC1"/>
        <w:numPr>
          <w:ilvl w:val="0"/>
          <w:numId w:val="27"/>
        </w:numPr>
        <w:ind w:left="782" w:hanging="782"/>
      </w:pPr>
      <w:bookmarkStart w:id="6" w:name="_Ref10170598"/>
      <w:r w:rsidRPr="00BE0C02">
        <w:t xml:space="preserve">For more than a decade the Board has been undertaking work aimed at addressing the problems that arise from entities being allowed to self-assess whether to prepare special purpose financial statements (SPFS) or general purpose financial statements (GPFS) when they are required to comply with Australian Accounting Standards (AAS) (see paragraphs </w:t>
      </w:r>
      <w:r w:rsidR="00C63280" w:rsidRPr="00BE0C02">
        <w:fldChar w:fldCharType="begin"/>
      </w:r>
      <w:r w:rsidR="00C63280" w:rsidRPr="00BE0C02">
        <w:instrText xml:space="preserve"> REF _Ref15930539 \r \h </w:instrText>
      </w:r>
      <w:r w:rsidR="00BE0C02">
        <w:instrText xml:space="preserve"> \* MERGEFORMAT </w:instrText>
      </w:r>
      <w:r w:rsidR="00C63280" w:rsidRPr="00BE0C02">
        <w:fldChar w:fldCharType="separate"/>
      </w:r>
      <w:r w:rsidR="00E354C4">
        <w:t>BC10</w:t>
      </w:r>
      <w:r w:rsidR="00C63280" w:rsidRPr="00BE0C02">
        <w:fldChar w:fldCharType="end"/>
      </w:r>
      <w:r w:rsidR="00C63280" w:rsidRPr="00BE0C02">
        <w:t>-</w:t>
      </w:r>
      <w:r w:rsidR="00C63280" w:rsidRPr="00BE0C02">
        <w:fldChar w:fldCharType="begin"/>
      </w:r>
      <w:r w:rsidR="00C63280" w:rsidRPr="00BE0C02">
        <w:instrText xml:space="preserve"> REF _Ref15930693 \r \h </w:instrText>
      </w:r>
      <w:r w:rsidR="00BE0C02">
        <w:instrText xml:space="preserve"> \* MERGEFORMAT </w:instrText>
      </w:r>
      <w:r w:rsidR="00C63280" w:rsidRPr="00BE0C02">
        <w:fldChar w:fldCharType="separate"/>
      </w:r>
      <w:r w:rsidR="00E354C4">
        <w:t>BC13</w:t>
      </w:r>
      <w:r w:rsidR="00C63280" w:rsidRPr="00BE0C02">
        <w:fldChar w:fldCharType="end"/>
      </w:r>
      <w:r w:rsidRPr="00BE0C02">
        <w:t xml:space="preserve"> for details). As is evident from empirical research and feedback from stakeholders (see paragraphs </w:t>
      </w:r>
      <w:r w:rsidR="00E1227E" w:rsidRPr="00BE0C02">
        <w:fldChar w:fldCharType="begin"/>
      </w:r>
      <w:r w:rsidR="00E1227E" w:rsidRPr="00BE0C02">
        <w:instrText xml:space="preserve"> REF _Ref9589465 \r \h </w:instrText>
      </w:r>
      <w:r w:rsidR="00BE0C02">
        <w:instrText xml:space="preserve"> \* MERGEFORMAT </w:instrText>
      </w:r>
      <w:r w:rsidR="00E1227E" w:rsidRPr="00BE0C02">
        <w:fldChar w:fldCharType="separate"/>
      </w:r>
      <w:r w:rsidR="00E354C4">
        <w:t>BC18</w:t>
      </w:r>
      <w:r w:rsidR="00E1227E" w:rsidRPr="00BE0C02">
        <w:fldChar w:fldCharType="end"/>
      </w:r>
      <w:r w:rsidR="00F213D7" w:rsidRPr="00BE0C02">
        <w:t>-</w:t>
      </w:r>
      <w:r w:rsidRPr="00BE0C02">
        <w:fldChar w:fldCharType="begin"/>
      </w:r>
      <w:r w:rsidRPr="00BE0C02">
        <w:instrText xml:space="preserve"> REF _Ref9851744 \r \h </w:instrText>
      </w:r>
      <w:r w:rsidR="00BE0C02">
        <w:instrText xml:space="preserve"> \* MERGEFORMAT </w:instrText>
      </w:r>
      <w:r w:rsidRPr="00BE0C02">
        <w:fldChar w:fldCharType="separate"/>
      </w:r>
      <w:r w:rsidR="00E354C4">
        <w:t>BC41</w:t>
      </w:r>
      <w:r w:rsidRPr="00BE0C02">
        <w:fldChar w:fldCharType="end"/>
      </w:r>
      <w:r w:rsidRPr="00BE0C02">
        <w:t xml:space="preserve">), there is concern that SPFS lack consistency, comparability transparency and enforceability. The Board’s research has identified that there are users </w:t>
      </w:r>
      <w:r w:rsidR="00D12B47" w:rsidRPr="00BE0C02">
        <w:t>of</w:t>
      </w:r>
      <w:r w:rsidRPr="00BE0C02">
        <w:t xml:space="preserve"> financial statements that are publicly lodged with the Australian Securities and Investments Commission (ASIC), and the Board has been informed by those users that comparability, transparency, comprehensibility and consistency are what is most important to them when reading financial statements. For example comparability of recognition and measurement (R&amp;M) requirements in AAS was rated 88% in importance to primary users</w:t>
      </w:r>
      <w:r w:rsidRPr="00BE0C02">
        <w:rPr>
          <w:rStyle w:val="FootnoteReference"/>
        </w:rPr>
        <w:footnoteReference w:id="2"/>
      </w:r>
      <w:r w:rsidRPr="00BE0C02">
        <w:t xml:space="preserve"> and 100% in importance to other users. They also expressed concern that key information is omitted from SPFSs (see paragraphs </w:t>
      </w:r>
      <w:r w:rsidRPr="00BE0C02">
        <w:fldChar w:fldCharType="begin"/>
      </w:r>
      <w:r w:rsidRPr="00BE0C02">
        <w:instrText xml:space="preserve"> REF _Ref11849911 \r \h </w:instrText>
      </w:r>
      <w:r w:rsidR="00BE0C02">
        <w:instrText xml:space="preserve"> \* MERGEFORMAT </w:instrText>
      </w:r>
      <w:r w:rsidRPr="00BE0C02">
        <w:fldChar w:fldCharType="separate"/>
      </w:r>
      <w:r w:rsidR="00E354C4">
        <w:t>BC37</w:t>
      </w:r>
      <w:r w:rsidRPr="00BE0C02">
        <w:fldChar w:fldCharType="end"/>
      </w:r>
      <w:r w:rsidR="00F213D7" w:rsidRPr="00BE0C02">
        <w:t>-</w:t>
      </w:r>
      <w:r w:rsidRPr="00BE0C02">
        <w:fldChar w:fldCharType="begin"/>
      </w:r>
      <w:r w:rsidRPr="00BE0C02">
        <w:instrText xml:space="preserve"> REF _Ref9851744 \r \h </w:instrText>
      </w:r>
      <w:r w:rsidR="00BE0C02">
        <w:instrText xml:space="preserve"> \* MERGEFORMAT </w:instrText>
      </w:r>
      <w:r w:rsidRPr="00BE0C02">
        <w:fldChar w:fldCharType="separate"/>
      </w:r>
      <w:r w:rsidR="00E354C4">
        <w:t>BC41</w:t>
      </w:r>
      <w:r w:rsidRPr="00BE0C02">
        <w:fldChar w:fldCharType="end"/>
      </w:r>
      <w:r w:rsidRPr="00BE0C02">
        <w:t xml:space="preserve">). </w:t>
      </w:r>
    </w:p>
    <w:p w14:paraId="0CDA07EF" w14:textId="0E4F70EF" w:rsidR="00CD22B9" w:rsidRPr="00BE0C02" w:rsidRDefault="00CD22B9" w:rsidP="007E6349">
      <w:pPr>
        <w:pStyle w:val="NumBC1"/>
        <w:numPr>
          <w:ilvl w:val="0"/>
          <w:numId w:val="27"/>
        </w:numPr>
        <w:ind w:left="782" w:hanging="782"/>
      </w:pPr>
      <w:r w:rsidRPr="00BE0C02">
        <w:t xml:space="preserve">Regulatory scrutiny of SPFS has also increased, for example in the </w:t>
      </w:r>
      <w:r w:rsidR="006A7F5A" w:rsidRPr="00BE0C02">
        <w:t xml:space="preserve">Parliamentary Joint Committee </w:t>
      </w:r>
      <w:r w:rsidR="00DB6CEA" w:rsidRPr="00BE0C02">
        <w:t xml:space="preserve">on Corporations and </w:t>
      </w:r>
      <w:r w:rsidR="00402429" w:rsidRPr="00BE0C02">
        <w:t>F</w:t>
      </w:r>
      <w:r w:rsidR="00DB6CEA" w:rsidRPr="00BE0C02">
        <w:t xml:space="preserve">inancial Services inquiry </w:t>
      </w:r>
      <w:r w:rsidR="006A7F5A" w:rsidRPr="00BE0C02">
        <w:t xml:space="preserve">into the </w:t>
      </w:r>
      <w:r w:rsidR="00DB6CEA" w:rsidRPr="00BE0C02">
        <w:t>regulation of auditing</w:t>
      </w:r>
      <w:r w:rsidR="006A7F5A" w:rsidRPr="00BE0C02">
        <w:t xml:space="preserve">, the </w:t>
      </w:r>
      <w:r w:rsidRPr="00BE0C02">
        <w:t xml:space="preserve">Senate Economics References Committee </w:t>
      </w:r>
      <w:r w:rsidR="00E1227E" w:rsidRPr="00BE0C02">
        <w:t xml:space="preserve">Report </w:t>
      </w:r>
      <w:r w:rsidRPr="00BE0C02">
        <w:t xml:space="preserve">on Tax Avoidance, and the requirement for all Significant Global Entities (SGEs) to lodge GPFS with the Australian Taxation Office (ATO) (see paragraph </w:t>
      </w:r>
      <w:r w:rsidRPr="00BE0C02">
        <w:fldChar w:fldCharType="begin"/>
      </w:r>
      <w:r w:rsidRPr="00BE0C02">
        <w:instrText xml:space="preserve"> REF _Ref13570339 \r \h </w:instrText>
      </w:r>
      <w:r w:rsidR="00BE0C02">
        <w:instrText xml:space="preserve"> \* MERGEFORMAT </w:instrText>
      </w:r>
      <w:r w:rsidRPr="00BE0C02">
        <w:fldChar w:fldCharType="separate"/>
      </w:r>
      <w:r w:rsidR="00E354C4">
        <w:t>BC32</w:t>
      </w:r>
      <w:r w:rsidRPr="00BE0C02">
        <w:fldChar w:fldCharType="end"/>
      </w:r>
      <w:r w:rsidRPr="00BE0C02">
        <w:fldChar w:fldCharType="begin"/>
      </w:r>
      <w:r w:rsidRPr="00BE0C02">
        <w:instrText xml:space="preserve"> REF _Ref13570340 \r \h </w:instrText>
      </w:r>
      <w:r w:rsidR="00BE0C02">
        <w:instrText xml:space="preserve"> \* MERGEFORMAT </w:instrText>
      </w:r>
      <w:r w:rsidRPr="00BE0C02">
        <w:fldChar w:fldCharType="separate"/>
      </w:r>
      <w:r w:rsidR="00E354C4">
        <w:t>(a)</w:t>
      </w:r>
      <w:r w:rsidRPr="00BE0C02">
        <w:fldChar w:fldCharType="end"/>
      </w:r>
      <w:r w:rsidRPr="00BE0C02">
        <w:t>).</w:t>
      </w:r>
    </w:p>
    <w:p w14:paraId="236F11ED" w14:textId="4E05E661" w:rsidR="00CD22B9" w:rsidRPr="00BE0C02" w:rsidRDefault="00CD22B9" w:rsidP="007E6349">
      <w:pPr>
        <w:pStyle w:val="NumBC1"/>
        <w:numPr>
          <w:ilvl w:val="0"/>
          <w:numId w:val="27"/>
        </w:numPr>
        <w:ind w:left="782" w:hanging="782"/>
      </w:pPr>
      <w:bookmarkStart w:id="7" w:name="_Ref13570429"/>
      <w:r w:rsidRPr="00BE0C02">
        <w:t xml:space="preserve">Within the context of the AASB’s International Financial Reporting Standards (IFRS Standards) adoption policy, the issue of a revised </w:t>
      </w:r>
      <w:r w:rsidRPr="00BE0C02">
        <w:rPr>
          <w:i/>
        </w:rPr>
        <w:t>Conceptual Framework for Financial Reporting</w:t>
      </w:r>
      <w:r w:rsidRPr="00BE0C02">
        <w:t xml:space="preserve"> </w:t>
      </w:r>
      <w:r w:rsidR="00656FDC" w:rsidRPr="00BE0C02">
        <w:t xml:space="preserve">(March 2018) </w:t>
      </w:r>
      <w:r w:rsidRPr="00BE0C02">
        <w:t xml:space="preserve">(referred to throughout this Basis for Conclusions as ‘the RCF’) by the International Accounting Standards Board (IASB) provides a timely opportunity to once again consider how best to improve the quality of financial reporting in Australia by solving the so-called ‘SPFS problem’ via a broader project aimed at removing the ability </w:t>
      </w:r>
      <w:r w:rsidR="008511F5" w:rsidRPr="00BE0C02">
        <w:t>of</w:t>
      </w:r>
      <w:r w:rsidRPr="00BE0C02">
        <w:t xml:space="preserve"> certain </w:t>
      </w:r>
      <w:r w:rsidR="00196DBB" w:rsidRPr="00BE0C02">
        <w:t xml:space="preserve">for-profit private sector </w:t>
      </w:r>
      <w:r w:rsidRPr="00BE0C02">
        <w:t>entities to prepare SPFS when they are required to prepare financial statements that comply with AAS.</w:t>
      </w:r>
      <w:r w:rsidR="00530C69" w:rsidRPr="00BE0C02">
        <w:rPr>
          <w:rStyle w:val="FootnoteReference"/>
        </w:rPr>
        <w:footnoteReference w:id="3"/>
      </w:r>
      <w:r w:rsidRPr="00BE0C02">
        <w:t xml:space="preserve"> The Board is progressing with this project by considering each sector separately, in the first instance for-profit private sector entities required to comply with AAS (being the subject of this </w:t>
      </w:r>
      <w:r w:rsidR="00752887" w:rsidRPr="00BE0C02">
        <w:t xml:space="preserve">Standard </w:t>
      </w:r>
      <w:r w:rsidRPr="00BE0C02">
        <w:t xml:space="preserve">– as explained in paragraphs </w:t>
      </w:r>
      <w:r w:rsidRPr="00BE0C02">
        <w:fldChar w:fldCharType="begin"/>
      </w:r>
      <w:r w:rsidRPr="00BE0C02">
        <w:instrText xml:space="preserve"> REF _Ref9609992 \r \h </w:instrText>
      </w:r>
      <w:r w:rsidR="00CF5DD2" w:rsidRPr="00BE0C02">
        <w:instrText xml:space="preserve"> \* MERGEFORMAT </w:instrText>
      </w:r>
      <w:r w:rsidRPr="00BE0C02">
        <w:fldChar w:fldCharType="separate"/>
      </w:r>
      <w:r w:rsidR="00E354C4">
        <w:t>BC68</w:t>
      </w:r>
      <w:r w:rsidRPr="00BE0C02">
        <w:fldChar w:fldCharType="end"/>
      </w:r>
      <w:r w:rsidR="00F213D7" w:rsidRPr="00BE0C02">
        <w:t>-</w:t>
      </w:r>
      <w:r w:rsidR="00432093" w:rsidRPr="00BE0C02">
        <w:fldChar w:fldCharType="begin"/>
      </w:r>
      <w:r w:rsidR="00432093" w:rsidRPr="00BE0C02">
        <w:instrText xml:space="preserve"> REF _Ref16629258 \r \h </w:instrText>
      </w:r>
      <w:r w:rsidR="00BE0C02">
        <w:instrText xml:space="preserve"> \* MERGEFORMAT </w:instrText>
      </w:r>
      <w:r w:rsidR="00432093" w:rsidRPr="00BE0C02">
        <w:fldChar w:fldCharType="separate"/>
      </w:r>
      <w:r w:rsidR="00E354C4">
        <w:t>BC93</w:t>
      </w:r>
      <w:r w:rsidR="00432093" w:rsidRPr="00BE0C02">
        <w:fldChar w:fldCharType="end"/>
      </w:r>
      <w:r w:rsidRPr="00BE0C02">
        <w:t>).</w:t>
      </w:r>
      <w:bookmarkEnd w:id="6"/>
      <w:bookmarkEnd w:id="7"/>
      <w:r w:rsidRPr="00BE0C02">
        <w:t xml:space="preserve"> </w:t>
      </w:r>
    </w:p>
    <w:p w14:paraId="198AD852" w14:textId="4EED0891" w:rsidR="00590620" w:rsidRPr="00BE0C02" w:rsidRDefault="00590620" w:rsidP="007E6349">
      <w:pPr>
        <w:pStyle w:val="NumBC1"/>
        <w:numPr>
          <w:ilvl w:val="0"/>
          <w:numId w:val="27"/>
        </w:numPr>
        <w:ind w:left="782" w:hanging="782"/>
      </w:pPr>
      <w:bookmarkStart w:id="8" w:name="_Ref13474197"/>
      <w:bookmarkStart w:id="9" w:name="_Ref9866803"/>
      <w:r w:rsidRPr="00BE0C02">
        <w:t>The Board noted the Australian Government Treasury change in thresholds for large proprietary companies</w:t>
      </w:r>
      <w:r w:rsidR="004956D3" w:rsidRPr="00BE0C02">
        <w:t xml:space="preserve"> </w:t>
      </w:r>
      <w:r w:rsidR="002E259F" w:rsidRPr="00BE0C02">
        <w:t xml:space="preserve">which </w:t>
      </w:r>
      <w:r w:rsidR="00413BF1" w:rsidRPr="00BE0C02">
        <w:t xml:space="preserve">defined the entities that </w:t>
      </w:r>
      <w:r w:rsidR="002E259F" w:rsidRPr="00BE0C02">
        <w:t>are</w:t>
      </w:r>
      <w:r w:rsidRPr="00BE0C02">
        <w:t xml:space="preserve"> required to lodge their financial statements with ASIC</w:t>
      </w:r>
      <w:r w:rsidR="00413BF1" w:rsidRPr="00BE0C02">
        <w:t xml:space="preserve"> (unless exempted by ASIC)</w:t>
      </w:r>
      <w:r w:rsidR="003714A4" w:rsidRPr="00BE0C02">
        <w:t xml:space="preserve"> in April 2019</w:t>
      </w:r>
      <w:r w:rsidRPr="00BE0C02">
        <w:t xml:space="preserve">. Treasury doubled the thresholds </w:t>
      </w:r>
      <w:r w:rsidR="00432093" w:rsidRPr="00BE0C02">
        <w:t xml:space="preserve">used </w:t>
      </w:r>
      <w:r w:rsidRPr="00BE0C02">
        <w:t>for determining what constitutes a large proprietary company</w:t>
      </w:r>
      <w:r w:rsidR="00885BE2" w:rsidRPr="00BE0C02">
        <w:t xml:space="preserve">. </w:t>
      </w:r>
      <w:r w:rsidR="006A6FC2" w:rsidRPr="00BE0C02">
        <w:rPr>
          <w:szCs w:val="19"/>
        </w:rPr>
        <w:t>As set out in the Explanatory Memorandum accompany</w:t>
      </w:r>
      <w:r w:rsidR="00432093" w:rsidRPr="00BE0C02">
        <w:rPr>
          <w:szCs w:val="19"/>
        </w:rPr>
        <w:t>ing</w:t>
      </w:r>
      <w:r w:rsidR="006A6FC2" w:rsidRPr="00BE0C02">
        <w:rPr>
          <w:szCs w:val="19"/>
        </w:rPr>
        <w:t xml:space="preserve"> the increase, the revised thresholds were set with the expectation of capturing entities with economic significance and noted the larger the entity, the more likely it is that there are GPFS users. These are key criteria in the AASB’s Statement of Accounting Concepts SAC 1 </w:t>
      </w:r>
      <w:r w:rsidR="006A6FC2" w:rsidRPr="00BE0C02">
        <w:rPr>
          <w:i/>
          <w:szCs w:val="19"/>
        </w:rPr>
        <w:t>Definition of the Reporting Entity</w:t>
      </w:r>
      <w:r w:rsidR="006A6FC2" w:rsidRPr="00BE0C02">
        <w:rPr>
          <w:szCs w:val="19"/>
        </w:rPr>
        <w:t xml:space="preserve"> for determining whether or not an entity is a reporting entity</w:t>
      </w:r>
      <w:r w:rsidR="00885BE2" w:rsidRPr="00BE0C02">
        <w:rPr>
          <w:szCs w:val="19"/>
        </w:rPr>
        <w:t>.</w:t>
      </w:r>
    </w:p>
    <w:p w14:paraId="7328671D" w14:textId="3A89506F" w:rsidR="00AC377D" w:rsidRPr="00BE0C02" w:rsidRDefault="00CD22B9" w:rsidP="007E6349">
      <w:pPr>
        <w:pStyle w:val="NumBC1"/>
        <w:numPr>
          <w:ilvl w:val="0"/>
          <w:numId w:val="27"/>
        </w:numPr>
        <w:ind w:left="782" w:hanging="782"/>
      </w:pPr>
      <w:bookmarkStart w:id="10" w:name="_Ref16630115"/>
      <w:r w:rsidRPr="00BE0C02">
        <w:t xml:space="preserve">As noted in paragraph </w:t>
      </w:r>
      <w:r w:rsidRPr="00BE0C02">
        <w:fldChar w:fldCharType="begin"/>
      </w:r>
      <w:r w:rsidRPr="00BE0C02">
        <w:instrText xml:space="preserve"> REF _Ref13570429 \r \h </w:instrText>
      </w:r>
      <w:r w:rsidR="00AC377D" w:rsidRPr="00BE0C02">
        <w:instrText xml:space="preserve"> \* MERGEFORMAT </w:instrText>
      </w:r>
      <w:r w:rsidRPr="00BE0C02">
        <w:fldChar w:fldCharType="separate"/>
      </w:r>
      <w:r w:rsidR="00E354C4">
        <w:t>BC4</w:t>
      </w:r>
      <w:r w:rsidRPr="00BE0C02">
        <w:fldChar w:fldCharType="end"/>
      </w:r>
      <w:r w:rsidRPr="00BE0C02">
        <w:t xml:space="preserve">, the solution to the SPFS problem </w:t>
      </w:r>
      <w:r w:rsidR="003714A4" w:rsidRPr="00BE0C02">
        <w:t>provided by</w:t>
      </w:r>
      <w:r w:rsidRPr="00BE0C02">
        <w:t xml:space="preserve"> this </w:t>
      </w:r>
      <w:r w:rsidR="00A1569B" w:rsidRPr="00BE0C02">
        <w:t>Standard</w:t>
      </w:r>
      <w:r w:rsidR="00FE4CE1" w:rsidRPr="00BE0C02">
        <w:t xml:space="preserve"> </w:t>
      </w:r>
      <w:r w:rsidRPr="00BE0C02">
        <w:t xml:space="preserve">is to remove the ability </w:t>
      </w:r>
      <w:r w:rsidR="002E259F" w:rsidRPr="00BE0C02">
        <w:t xml:space="preserve">of </w:t>
      </w:r>
      <w:r w:rsidR="00A26073" w:rsidRPr="00BE0C02">
        <w:t xml:space="preserve">certain </w:t>
      </w:r>
      <w:r w:rsidR="00530C69" w:rsidRPr="00BE0C02">
        <w:t xml:space="preserve">for-profit private sector </w:t>
      </w:r>
      <w:r w:rsidRPr="00BE0C02">
        <w:t xml:space="preserve">entities to </w:t>
      </w:r>
      <w:r w:rsidR="00E347D4" w:rsidRPr="00BE0C02">
        <w:t xml:space="preserve">self-assess their financial reporting requirements and </w:t>
      </w:r>
      <w:r w:rsidRPr="00BE0C02">
        <w:t>prepare SPFS when they are required to prepare financial statements that comply with AAS.</w:t>
      </w:r>
      <w:r w:rsidRPr="00BE0C02">
        <w:rPr>
          <w:vertAlign w:val="superscript"/>
        </w:rPr>
        <w:footnoteReference w:id="4"/>
      </w:r>
      <w:r w:rsidRPr="00BE0C02">
        <w:t xml:space="preserve"> </w:t>
      </w:r>
      <w:r w:rsidR="00AC377D" w:rsidRPr="00BE0C02">
        <w:t>This will improve the consistency, comparability, transparency and enforceability of financial statements</w:t>
      </w:r>
      <w:r w:rsidR="002E259F" w:rsidRPr="00BE0C02">
        <w:t>,</w:t>
      </w:r>
      <w:r w:rsidR="00AC377D" w:rsidRPr="00BE0C02">
        <w:t xml:space="preserve"> thus meeting the needs of users who are accessing these financial statements </w:t>
      </w:r>
      <w:r w:rsidR="00634F25" w:rsidRPr="00BE0C02">
        <w:t>on a public register</w:t>
      </w:r>
      <w:r w:rsidR="00AC377D" w:rsidRPr="00BE0C02">
        <w:t xml:space="preserve"> </w:t>
      </w:r>
      <w:r w:rsidR="00634F25" w:rsidRPr="00BE0C02">
        <w:t>or otherwise</w:t>
      </w:r>
      <w:r w:rsidR="00AC377D" w:rsidRPr="00BE0C02">
        <w:t xml:space="preserve">. </w:t>
      </w:r>
      <w:r w:rsidRPr="00BE0C02">
        <w:t>The Board acknowledge</w:t>
      </w:r>
      <w:r w:rsidR="00B22FBE" w:rsidRPr="00BE0C02">
        <w:t>d</w:t>
      </w:r>
      <w:r w:rsidRPr="00BE0C02">
        <w:t xml:space="preserve"> that these</w:t>
      </w:r>
      <w:r w:rsidR="009D54BE" w:rsidRPr="00BE0C02">
        <w:t xml:space="preserve"> changes</w:t>
      </w:r>
      <w:r w:rsidRPr="00BE0C02">
        <w:t xml:space="preserve"> </w:t>
      </w:r>
      <w:r w:rsidR="00B22FBE" w:rsidRPr="00BE0C02">
        <w:t xml:space="preserve">could not </w:t>
      </w:r>
      <w:r w:rsidRPr="00BE0C02">
        <w:t xml:space="preserve">be implemented in isolation, as merely removing the </w:t>
      </w:r>
      <w:r w:rsidR="008511F5" w:rsidRPr="00BE0C02">
        <w:t>ability of</w:t>
      </w:r>
      <w:r w:rsidR="009A41CA" w:rsidRPr="00BE0C02">
        <w:t xml:space="preserve"> certain </w:t>
      </w:r>
      <w:r w:rsidR="00432093" w:rsidRPr="00BE0C02">
        <w:t xml:space="preserve">for-profit private sector </w:t>
      </w:r>
      <w:r w:rsidR="009A41CA" w:rsidRPr="00BE0C02">
        <w:t xml:space="preserve">entities </w:t>
      </w:r>
      <w:r w:rsidRPr="00BE0C02">
        <w:t xml:space="preserve">to prepare SPFS with no other mitigating action would result in </w:t>
      </w:r>
      <w:r w:rsidRPr="00BE0C02">
        <w:lastRenderedPageBreak/>
        <w:t xml:space="preserve">increased reporting </w:t>
      </w:r>
      <w:r w:rsidR="001045E7" w:rsidRPr="00BE0C02">
        <w:t>requirements</w:t>
      </w:r>
      <w:r w:rsidRPr="00BE0C02">
        <w:t xml:space="preserve"> for some entities if they were required to transition from SPFS to some form of Tier 2</w:t>
      </w:r>
      <w:r w:rsidRPr="00BE0C02">
        <w:rPr>
          <w:vertAlign w:val="superscript"/>
        </w:rPr>
        <w:footnoteReference w:id="5"/>
      </w:r>
      <w:r w:rsidRPr="00BE0C02">
        <w:t xml:space="preserve"> GPFS framework</w:t>
      </w:r>
      <w:bookmarkEnd w:id="8"/>
      <w:r w:rsidR="00317B13" w:rsidRPr="00BE0C02">
        <w:t>. Therefore, th</w:t>
      </w:r>
      <w:r w:rsidR="003D415F" w:rsidRPr="00BE0C02">
        <w:t xml:space="preserve">is Standard is made </w:t>
      </w:r>
      <w:r w:rsidR="00317B13" w:rsidRPr="00BE0C02">
        <w:t xml:space="preserve">in conjunction with </w:t>
      </w:r>
      <w:r w:rsidR="00360E31">
        <w:t>AASB 1060</w:t>
      </w:r>
      <w:r w:rsidR="00E449DA" w:rsidRPr="00BE0C02">
        <w:t xml:space="preserve"> </w:t>
      </w:r>
      <w:r w:rsidR="00E449DA" w:rsidRPr="00BE0C02">
        <w:rPr>
          <w:i/>
        </w:rPr>
        <w:t>General Purpose Financial Statements – Simplified Disclosures for For-Profit and Not-for-Profit Tier 2 Entities</w:t>
      </w:r>
      <w:r w:rsidR="00E449DA" w:rsidRPr="00BE0C02">
        <w:t xml:space="preserve"> (</w:t>
      </w:r>
      <w:r w:rsidR="00B843A1">
        <w:t>March</w:t>
      </w:r>
      <w:r w:rsidR="009457BA" w:rsidRPr="00BE0C02">
        <w:t xml:space="preserve"> 2020</w:t>
      </w:r>
      <w:r w:rsidR="00E449DA" w:rsidRPr="00BE0C02">
        <w:t>)</w:t>
      </w:r>
      <w:r w:rsidR="00317B13" w:rsidRPr="00BE0C02">
        <w:t xml:space="preserve">, which </w:t>
      </w:r>
      <w:r w:rsidR="00317B13" w:rsidRPr="00BE0C02">
        <w:rPr>
          <w:szCs w:val="19"/>
        </w:rPr>
        <w:t>provide</w:t>
      </w:r>
      <w:r w:rsidR="009457BA" w:rsidRPr="00BE0C02">
        <w:rPr>
          <w:szCs w:val="19"/>
        </w:rPr>
        <w:t>s</w:t>
      </w:r>
      <w:r w:rsidR="00317B13" w:rsidRPr="00BE0C02">
        <w:rPr>
          <w:szCs w:val="19"/>
        </w:rPr>
        <w:t xml:space="preserve"> </w:t>
      </w:r>
      <w:r w:rsidR="00F54FE3" w:rsidRPr="00BE0C02">
        <w:rPr>
          <w:szCs w:val="19"/>
        </w:rPr>
        <w:t xml:space="preserve">simplified </w:t>
      </w:r>
      <w:r w:rsidR="00317B13" w:rsidRPr="00BE0C02">
        <w:rPr>
          <w:szCs w:val="19"/>
        </w:rPr>
        <w:t xml:space="preserve">Tier 2 GPFS reporting requirements for those for-profit entities that </w:t>
      </w:r>
      <w:r w:rsidR="001E5558" w:rsidRPr="00BE0C02">
        <w:rPr>
          <w:szCs w:val="19"/>
        </w:rPr>
        <w:t>are</w:t>
      </w:r>
      <w:r w:rsidR="00317B13" w:rsidRPr="00BE0C02">
        <w:rPr>
          <w:szCs w:val="19"/>
        </w:rPr>
        <w:t xml:space="preserve"> prohibited from preparing SPFS </w:t>
      </w:r>
      <w:r w:rsidR="00F54FE3" w:rsidRPr="00BE0C02">
        <w:rPr>
          <w:szCs w:val="19"/>
        </w:rPr>
        <w:t>as a result of</w:t>
      </w:r>
      <w:r w:rsidR="00317B13" w:rsidRPr="00BE0C02">
        <w:rPr>
          <w:szCs w:val="19"/>
        </w:rPr>
        <w:t xml:space="preserve"> </w:t>
      </w:r>
      <w:r w:rsidR="00AF7ED9" w:rsidRPr="00BE0C02">
        <w:rPr>
          <w:szCs w:val="19"/>
        </w:rPr>
        <w:t>this Standard</w:t>
      </w:r>
      <w:r w:rsidRPr="00BE0C02">
        <w:t>.</w:t>
      </w:r>
      <w:bookmarkEnd w:id="10"/>
      <w:r w:rsidRPr="00BE0C02">
        <w:t xml:space="preserve"> </w:t>
      </w:r>
    </w:p>
    <w:bookmarkEnd w:id="9"/>
    <w:p w14:paraId="7732A733" w14:textId="698ACD48" w:rsidR="00CD22B9" w:rsidRPr="00BE0C02" w:rsidRDefault="00F064E3" w:rsidP="007E6349">
      <w:pPr>
        <w:pStyle w:val="NumBC1"/>
        <w:numPr>
          <w:ilvl w:val="0"/>
          <w:numId w:val="27"/>
        </w:numPr>
        <w:ind w:left="782" w:hanging="782"/>
      </w:pPr>
      <w:r w:rsidRPr="00BE0C02">
        <w:t xml:space="preserve">The Board also </w:t>
      </w:r>
      <w:r w:rsidR="0079688C" w:rsidRPr="00BE0C02">
        <w:t>decided to provide</w:t>
      </w:r>
      <w:r w:rsidR="00AF7ED9" w:rsidRPr="00BE0C02">
        <w:t xml:space="preserve"> </w:t>
      </w:r>
      <w:r w:rsidRPr="00BE0C02">
        <w:t xml:space="preserve"> transitional relief in addition to that which is currently available via AASB</w:t>
      </w:r>
      <w:r w:rsidR="00715816">
        <w:t> </w:t>
      </w:r>
      <w:r w:rsidRPr="00BE0C02">
        <w:t xml:space="preserve">1 </w:t>
      </w:r>
      <w:r w:rsidRPr="00BE0C02">
        <w:rPr>
          <w:i/>
        </w:rPr>
        <w:t>First-time Adoption of Australian Accounting Standards</w:t>
      </w:r>
      <w:r w:rsidRPr="00BE0C02">
        <w:t xml:space="preserve"> and AASB 1053 (see paragraphs </w:t>
      </w:r>
      <w:r w:rsidRPr="00BE0C02">
        <w:fldChar w:fldCharType="begin"/>
      </w:r>
      <w:r w:rsidRPr="00BE0C02">
        <w:instrText xml:space="preserve"> REF _Ref9851846 \r \h  \* MERGEFORMAT </w:instrText>
      </w:r>
      <w:r w:rsidRPr="00BE0C02">
        <w:fldChar w:fldCharType="separate"/>
      </w:r>
      <w:r w:rsidR="00E354C4">
        <w:t>BC122</w:t>
      </w:r>
      <w:r w:rsidRPr="00BE0C02">
        <w:fldChar w:fldCharType="end"/>
      </w:r>
      <w:r w:rsidRPr="00BE0C02">
        <w:t>-</w:t>
      </w:r>
      <w:r w:rsidRPr="00BE0C02">
        <w:fldChar w:fldCharType="begin"/>
      </w:r>
      <w:r w:rsidRPr="00BE0C02">
        <w:instrText xml:space="preserve"> REF _Ref8826822 \r \h  \* MERGEFORMAT </w:instrText>
      </w:r>
      <w:r w:rsidRPr="00BE0C02">
        <w:fldChar w:fldCharType="separate"/>
      </w:r>
      <w:r w:rsidR="00E354C4">
        <w:t>BC135</w:t>
      </w:r>
      <w:r w:rsidRPr="00BE0C02">
        <w:fldChar w:fldCharType="end"/>
      </w:r>
      <w:r w:rsidRPr="00BE0C02">
        <w:t>)</w:t>
      </w:r>
      <w:r w:rsidR="0079688C" w:rsidRPr="00BE0C02">
        <w:t>, for entities that choose to early adopt the requirements in this Standard</w:t>
      </w:r>
      <w:r w:rsidRPr="00BE0C02">
        <w:t>.</w:t>
      </w:r>
    </w:p>
    <w:p w14:paraId="22F989AF" w14:textId="24C77050" w:rsidR="00CD22B9" w:rsidRPr="00BE0C02" w:rsidRDefault="00CD22B9" w:rsidP="007E6349">
      <w:pPr>
        <w:pStyle w:val="NumBC1"/>
        <w:numPr>
          <w:ilvl w:val="0"/>
          <w:numId w:val="27"/>
        </w:numPr>
        <w:ind w:left="782" w:hanging="782"/>
      </w:pPr>
      <w:r w:rsidRPr="00BE0C02">
        <w:t xml:space="preserve">The remainder of this Basis for Conclusions provides further background and explanation about the reasons for developing this </w:t>
      </w:r>
      <w:r w:rsidR="00AF7ED9" w:rsidRPr="00BE0C02">
        <w:t>Standard</w:t>
      </w:r>
      <w:r w:rsidRPr="00BE0C02">
        <w:t>, including:</w:t>
      </w:r>
    </w:p>
    <w:p w14:paraId="5A23D112" w14:textId="7FDA6296" w:rsidR="00CD22B9" w:rsidRPr="00BE0C02" w:rsidRDefault="00CD22B9" w:rsidP="007E6349">
      <w:pPr>
        <w:pStyle w:val="ListParagraph"/>
        <w:numPr>
          <w:ilvl w:val="0"/>
          <w:numId w:val="69"/>
        </w:numPr>
        <w:pBdr>
          <w:left w:val="none" w:sz="0" w:space="0" w:color="auto"/>
          <w:right w:val="none" w:sz="0" w:space="0" w:color="auto"/>
        </w:pBdr>
        <w:spacing w:before="100"/>
        <w:ind w:left="1568" w:hanging="784"/>
        <w:contextualSpacing w:val="0"/>
        <w:jc w:val="both"/>
      </w:pPr>
      <w:r w:rsidRPr="00BE0C02">
        <w:t xml:space="preserve">previous Board decisions in relation to earlier stages of the process (to provide a historical perspective, see for example paragraphs </w:t>
      </w:r>
      <w:r w:rsidR="00DB63B4" w:rsidRPr="00BE0C02">
        <w:fldChar w:fldCharType="begin"/>
      </w:r>
      <w:r w:rsidR="00DB63B4" w:rsidRPr="00BE0C02">
        <w:instrText xml:space="preserve"> REF _Ref15930539 \r \h </w:instrText>
      </w:r>
      <w:r w:rsidR="00BE0C02">
        <w:instrText xml:space="preserve"> \* MERGEFORMAT </w:instrText>
      </w:r>
      <w:r w:rsidR="00DB63B4" w:rsidRPr="00BE0C02">
        <w:fldChar w:fldCharType="separate"/>
      </w:r>
      <w:r w:rsidR="00E354C4">
        <w:t>BC10</w:t>
      </w:r>
      <w:r w:rsidR="00DB63B4" w:rsidRPr="00BE0C02">
        <w:fldChar w:fldCharType="end"/>
      </w:r>
      <w:r w:rsidR="00DB63B4" w:rsidRPr="00BE0C02">
        <w:t>-</w:t>
      </w:r>
      <w:r w:rsidR="00DB63B4" w:rsidRPr="00BE0C02">
        <w:fldChar w:fldCharType="begin"/>
      </w:r>
      <w:r w:rsidR="00DB63B4" w:rsidRPr="00BE0C02">
        <w:instrText xml:space="preserve"> REF _Ref15930693 \r \h </w:instrText>
      </w:r>
      <w:r w:rsidR="00BE0C02">
        <w:instrText xml:space="preserve"> \* MERGEFORMAT </w:instrText>
      </w:r>
      <w:r w:rsidR="00DB63B4" w:rsidRPr="00BE0C02">
        <w:fldChar w:fldCharType="separate"/>
      </w:r>
      <w:r w:rsidR="00E354C4">
        <w:t>BC13</w:t>
      </w:r>
      <w:r w:rsidR="00DB63B4" w:rsidRPr="00BE0C02">
        <w:fldChar w:fldCharType="end"/>
      </w:r>
      <w:r w:rsidRPr="00BE0C02">
        <w:t xml:space="preserve">); </w:t>
      </w:r>
    </w:p>
    <w:p w14:paraId="2B18845B" w14:textId="77777777" w:rsidR="00CD22B9" w:rsidRPr="00BE0C02" w:rsidRDefault="00CD22B9" w:rsidP="007E6349">
      <w:pPr>
        <w:pStyle w:val="ListParagraph"/>
        <w:numPr>
          <w:ilvl w:val="0"/>
          <w:numId w:val="69"/>
        </w:numPr>
        <w:pBdr>
          <w:left w:val="none" w:sz="0" w:space="0" w:color="auto"/>
          <w:right w:val="none" w:sz="0" w:space="0" w:color="auto"/>
        </w:pBdr>
        <w:spacing w:before="100"/>
        <w:ind w:left="1568" w:hanging="784"/>
        <w:contextualSpacing w:val="0"/>
        <w:jc w:val="both"/>
      </w:pPr>
      <w:r w:rsidRPr="00BE0C02">
        <w:t>the basis for the key decisions made, including:</w:t>
      </w:r>
    </w:p>
    <w:p w14:paraId="669A6CED" w14:textId="40FD4C11" w:rsidR="00CD22B9" w:rsidRPr="00BE0C02" w:rsidRDefault="00CD22B9" w:rsidP="007E6349">
      <w:pPr>
        <w:pStyle w:val="ListParagraph"/>
        <w:numPr>
          <w:ilvl w:val="0"/>
          <w:numId w:val="70"/>
        </w:numPr>
        <w:pBdr>
          <w:left w:val="none" w:sz="0" w:space="0" w:color="auto"/>
          <w:right w:val="none" w:sz="0" w:space="0" w:color="auto"/>
        </w:pBdr>
        <w:spacing w:before="100"/>
        <w:contextualSpacing w:val="0"/>
        <w:jc w:val="both"/>
      </w:pPr>
      <w:r w:rsidRPr="00BE0C02">
        <w:t xml:space="preserve">the types of entities affected by the </w:t>
      </w:r>
      <w:r w:rsidR="00586038" w:rsidRPr="00BE0C02">
        <w:t xml:space="preserve">Standard </w:t>
      </w:r>
      <w:r w:rsidRPr="00BE0C02">
        <w:t xml:space="preserve">and the technical requirements (including, for context, a summary of the basis for the revised Tier 2 GPFS framework (see paragraphs </w:t>
      </w:r>
      <w:r w:rsidRPr="00BE0C02">
        <w:fldChar w:fldCharType="begin"/>
      </w:r>
      <w:r w:rsidRPr="00BE0C02">
        <w:instrText xml:space="preserve"> REF _Ref9866904 \r \h  \* MERGEFORMAT </w:instrText>
      </w:r>
      <w:r w:rsidRPr="00BE0C02">
        <w:fldChar w:fldCharType="separate"/>
      </w:r>
      <w:r w:rsidR="00E354C4">
        <w:t>BC95</w:t>
      </w:r>
      <w:r w:rsidRPr="00BE0C02">
        <w:fldChar w:fldCharType="end"/>
      </w:r>
      <w:r w:rsidR="00F213D7" w:rsidRPr="00BE0C02">
        <w:t>-</w:t>
      </w:r>
      <w:r w:rsidRPr="00BE0C02">
        <w:fldChar w:fldCharType="begin"/>
      </w:r>
      <w:r w:rsidRPr="00BE0C02">
        <w:instrText xml:space="preserve"> REF _Ref9866911 \r \h  \* MERGEFORMAT </w:instrText>
      </w:r>
      <w:r w:rsidRPr="00BE0C02">
        <w:fldChar w:fldCharType="separate"/>
      </w:r>
      <w:r w:rsidR="00E354C4">
        <w:t>BC121</w:t>
      </w:r>
      <w:r w:rsidRPr="00BE0C02">
        <w:fldChar w:fldCharType="end"/>
      </w:r>
      <w:r w:rsidRPr="00BE0C02">
        <w:t xml:space="preserve">), which is detailed in </w:t>
      </w:r>
      <w:r w:rsidR="00360E31">
        <w:t>AASB 1060</w:t>
      </w:r>
      <w:r w:rsidRPr="00BE0C02">
        <w:t xml:space="preserve">); </w:t>
      </w:r>
    </w:p>
    <w:p w14:paraId="4D51A015" w14:textId="6705C2EF" w:rsidR="00CD22B9" w:rsidRPr="00BE0C02" w:rsidRDefault="00CD22B9" w:rsidP="007E6349">
      <w:pPr>
        <w:pStyle w:val="ListParagraph"/>
        <w:numPr>
          <w:ilvl w:val="0"/>
          <w:numId w:val="70"/>
        </w:numPr>
        <w:pBdr>
          <w:left w:val="none" w:sz="0" w:space="0" w:color="auto"/>
          <w:right w:val="none" w:sz="0" w:space="0" w:color="auto"/>
        </w:pBdr>
        <w:spacing w:before="100"/>
        <w:contextualSpacing w:val="0"/>
        <w:jc w:val="both"/>
      </w:pPr>
      <w:r w:rsidRPr="00BE0C02">
        <w:t xml:space="preserve">transitional provisions (see paragraphs </w:t>
      </w:r>
      <w:r w:rsidRPr="00BE0C02">
        <w:fldChar w:fldCharType="begin"/>
      </w:r>
      <w:r w:rsidRPr="00BE0C02">
        <w:instrText xml:space="preserve"> REF _Ref9851846 \r \h </w:instrText>
      </w:r>
      <w:r w:rsidR="00BE0C02">
        <w:instrText xml:space="preserve"> \* MERGEFORMAT </w:instrText>
      </w:r>
      <w:r w:rsidRPr="00BE0C02">
        <w:fldChar w:fldCharType="separate"/>
      </w:r>
      <w:r w:rsidR="00E354C4">
        <w:t>BC122</w:t>
      </w:r>
      <w:r w:rsidRPr="00BE0C02">
        <w:fldChar w:fldCharType="end"/>
      </w:r>
      <w:r w:rsidR="00F213D7" w:rsidRPr="00BE0C02">
        <w:t>-</w:t>
      </w:r>
      <w:r w:rsidRPr="00BE0C02">
        <w:fldChar w:fldCharType="begin"/>
      </w:r>
      <w:r w:rsidRPr="00BE0C02">
        <w:instrText xml:space="preserve"> REF _Ref8826822 \r \h </w:instrText>
      </w:r>
      <w:r w:rsidR="00BE0C02">
        <w:instrText xml:space="preserve"> \* MERGEFORMAT </w:instrText>
      </w:r>
      <w:r w:rsidRPr="00BE0C02">
        <w:fldChar w:fldCharType="separate"/>
      </w:r>
      <w:r w:rsidR="00E354C4">
        <w:t>BC135</w:t>
      </w:r>
      <w:r w:rsidRPr="00BE0C02">
        <w:fldChar w:fldCharType="end"/>
      </w:r>
      <w:r w:rsidR="002A18ED" w:rsidRPr="00BE0C02">
        <w:t>)</w:t>
      </w:r>
      <w:r w:rsidRPr="00BE0C02">
        <w:t>;</w:t>
      </w:r>
      <w:r w:rsidR="00B20FF9" w:rsidRPr="00BE0C02">
        <w:t xml:space="preserve"> and</w:t>
      </w:r>
    </w:p>
    <w:p w14:paraId="4F771341" w14:textId="70FEB6C5" w:rsidR="00CD22B9" w:rsidRPr="00BE0C02" w:rsidRDefault="00CD22B9" w:rsidP="007E6349">
      <w:pPr>
        <w:pStyle w:val="ListParagraph"/>
        <w:numPr>
          <w:ilvl w:val="0"/>
          <w:numId w:val="70"/>
        </w:numPr>
        <w:pBdr>
          <w:left w:val="none" w:sz="0" w:space="0" w:color="auto"/>
          <w:right w:val="none" w:sz="0" w:space="0" w:color="auto"/>
        </w:pBdr>
        <w:spacing w:before="100"/>
        <w:contextualSpacing w:val="0"/>
        <w:jc w:val="both"/>
      </w:pPr>
      <w:r w:rsidRPr="00BE0C02">
        <w:t xml:space="preserve">the effective date (see paragraphs </w:t>
      </w:r>
      <w:r w:rsidRPr="00BE0C02">
        <w:fldChar w:fldCharType="begin"/>
      </w:r>
      <w:r w:rsidRPr="00BE0C02">
        <w:instrText xml:space="preserve"> REF _Ref10168241 \r \h  \* MERGEFORMAT </w:instrText>
      </w:r>
      <w:r w:rsidRPr="00BE0C02">
        <w:fldChar w:fldCharType="separate"/>
      </w:r>
      <w:r w:rsidR="00E354C4">
        <w:t>BC145</w:t>
      </w:r>
      <w:r w:rsidRPr="00BE0C02">
        <w:fldChar w:fldCharType="end"/>
      </w:r>
      <w:r w:rsidR="00F213D7" w:rsidRPr="00BE0C02">
        <w:t>-</w:t>
      </w:r>
      <w:r w:rsidR="005757FC" w:rsidRPr="00BE0C02">
        <w:fldChar w:fldCharType="begin"/>
      </w:r>
      <w:r w:rsidR="005757FC" w:rsidRPr="00BE0C02">
        <w:instrText xml:space="preserve"> REF _Ref32504890 \r \h </w:instrText>
      </w:r>
      <w:r w:rsidR="00BE0C02">
        <w:instrText xml:space="preserve"> \* MERGEFORMAT </w:instrText>
      </w:r>
      <w:r w:rsidR="005757FC" w:rsidRPr="00BE0C02">
        <w:fldChar w:fldCharType="separate"/>
      </w:r>
      <w:r w:rsidR="00E354C4">
        <w:t>BC150</w:t>
      </w:r>
      <w:r w:rsidR="005757FC" w:rsidRPr="00BE0C02">
        <w:fldChar w:fldCharType="end"/>
      </w:r>
      <w:r w:rsidRPr="00BE0C02">
        <w:t>);</w:t>
      </w:r>
    </w:p>
    <w:p w14:paraId="262A8559" w14:textId="2FA12E8B" w:rsidR="00CD22B9" w:rsidRPr="00BE0C02" w:rsidRDefault="00CD22B9" w:rsidP="007E6349">
      <w:pPr>
        <w:pStyle w:val="ListParagraph"/>
        <w:numPr>
          <w:ilvl w:val="0"/>
          <w:numId w:val="69"/>
        </w:numPr>
        <w:pBdr>
          <w:left w:val="none" w:sz="0" w:space="0" w:color="auto"/>
          <w:right w:val="none" w:sz="0" w:space="0" w:color="auto"/>
        </w:pBdr>
        <w:spacing w:before="100"/>
        <w:ind w:left="1568" w:hanging="784"/>
        <w:contextualSpacing w:val="0"/>
        <w:jc w:val="both"/>
      </w:pPr>
      <w:r w:rsidRPr="00BE0C02">
        <w:t xml:space="preserve">how the Board applied </w:t>
      </w:r>
      <w:r w:rsidRPr="00BE0C02">
        <w:rPr>
          <w:i/>
        </w:rPr>
        <w:t>The AASB’s For-Profit Entity Standard-Setting Framework</w:t>
      </w:r>
      <w:r w:rsidRPr="00BE0C02">
        <w:t xml:space="preserve"> when developing this </w:t>
      </w:r>
      <w:r w:rsidR="009A4904" w:rsidRPr="00BE0C02">
        <w:t xml:space="preserve">Standard </w:t>
      </w:r>
      <w:r w:rsidRPr="00BE0C02">
        <w:t xml:space="preserve">(see paragraphs </w:t>
      </w:r>
      <w:r w:rsidRPr="00BE0C02">
        <w:fldChar w:fldCharType="begin"/>
      </w:r>
      <w:r w:rsidRPr="00BE0C02">
        <w:instrText xml:space="preserve"> REF _Ref10168550 \r \h  \* MERGEFORMAT </w:instrText>
      </w:r>
      <w:r w:rsidRPr="00BE0C02">
        <w:fldChar w:fldCharType="separate"/>
      </w:r>
      <w:r w:rsidR="00E354C4">
        <w:t>BC154</w:t>
      </w:r>
      <w:r w:rsidRPr="00BE0C02">
        <w:fldChar w:fldCharType="end"/>
      </w:r>
      <w:r w:rsidR="00F213D7" w:rsidRPr="00BE0C02">
        <w:t>-</w:t>
      </w:r>
      <w:r w:rsidRPr="00BE0C02">
        <w:fldChar w:fldCharType="begin"/>
      </w:r>
      <w:r w:rsidRPr="00BE0C02">
        <w:instrText xml:space="preserve"> REF _Ref10168634 \r \h  \* MERGEFORMAT </w:instrText>
      </w:r>
      <w:r w:rsidRPr="00BE0C02">
        <w:fldChar w:fldCharType="separate"/>
      </w:r>
      <w:r w:rsidR="00E354C4">
        <w:t>BC156</w:t>
      </w:r>
      <w:r w:rsidRPr="00BE0C02">
        <w:fldChar w:fldCharType="end"/>
      </w:r>
      <w:r w:rsidRPr="00BE0C02">
        <w:t xml:space="preserve">); and </w:t>
      </w:r>
    </w:p>
    <w:p w14:paraId="484A6DEA" w14:textId="17E4703B" w:rsidR="00CD22B9" w:rsidRPr="00BE0C02" w:rsidRDefault="00CD22B9" w:rsidP="007E6349">
      <w:pPr>
        <w:pStyle w:val="ListParagraph"/>
        <w:numPr>
          <w:ilvl w:val="0"/>
          <w:numId w:val="69"/>
        </w:numPr>
        <w:pBdr>
          <w:left w:val="none" w:sz="0" w:space="0" w:color="auto"/>
          <w:right w:val="none" w:sz="0" w:space="0" w:color="auto"/>
        </w:pBdr>
        <w:spacing w:before="100"/>
        <w:ind w:left="1568" w:hanging="784"/>
        <w:contextualSpacing w:val="0"/>
        <w:jc w:val="both"/>
      </w:pPr>
      <w:r w:rsidRPr="00BE0C02">
        <w:t xml:space="preserve">the amendments </w:t>
      </w:r>
      <w:r w:rsidR="00994F49" w:rsidRPr="00BE0C02">
        <w:t>necessary</w:t>
      </w:r>
      <w:r w:rsidRPr="00BE0C02">
        <w:t xml:space="preserve"> to implement the </w:t>
      </w:r>
      <w:r w:rsidR="00B12A17" w:rsidRPr="00BE0C02">
        <w:t xml:space="preserve">requirements </w:t>
      </w:r>
      <w:r w:rsidRPr="00BE0C02">
        <w:t xml:space="preserve">outlined in this </w:t>
      </w:r>
      <w:r w:rsidR="009303AE" w:rsidRPr="00BE0C02">
        <w:t xml:space="preserve">Standard </w:t>
      </w:r>
      <w:r w:rsidRPr="00BE0C02">
        <w:t xml:space="preserve">(see paragraphs </w:t>
      </w:r>
      <w:r w:rsidRPr="00BE0C02">
        <w:fldChar w:fldCharType="begin"/>
      </w:r>
      <w:r w:rsidRPr="00BE0C02">
        <w:instrText xml:space="preserve"> REF _Ref10168673 \r \h  \* MERGEFORMAT </w:instrText>
      </w:r>
      <w:r w:rsidRPr="00BE0C02">
        <w:fldChar w:fldCharType="separate"/>
      </w:r>
      <w:r w:rsidR="00E354C4">
        <w:t>BC157</w:t>
      </w:r>
      <w:r w:rsidRPr="00BE0C02">
        <w:fldChar w:fldCharType="end"/>
      </w:r>
      <w:r w:rsidR="0079688C" w:rsidRPr="00BE0C02">
        <w:t>-</w:t>
      </w:r>
      <w:r w:rsidR="00DF7032" w:rsidRPr="00BE0C02">
        <w:fldChar w:fldCharType="begin"/>
      </w:r>
      <w:r w:rsidR="00DF7032" w:rsidRPr="00BE0C02">
        <w:instrText xml:space="preserve"> REF _Ref13472230 \r \h </w:instrText>
      </w:r>
      <w:r w:rsidR="00BE0C02">
        <w:instrText xml:space="preserve"> \* MERGEFORMAT </w:instrText>
      </w:r>
      <w:r w:rsidR="00DF7032" w:rsidRPr="00BE0C02">
        <w:fldChar w:fldCharType="separate"/>
      </w:r>
      <w:r w:rsidR="00E354C4">
        <w:t>BC162</w:t>
      </w:r>
      <w:r w:rsidR="00DF7032" w:rsidRPr="00BE0C02">
        <w:fldChar w:fldCharType="end"/>
      </w:r>
      <w:r w:rsidRPr="00BE0C02">
        <w:t>.</w:t>
      </w:r>
    </w:p>
    <w:p w14:paraId="6A6787E4" w14:textId="12E33F69" w:rsidR="00CD22B9" w:rsidRPr="00BE0C02" w:rsidRDefault="00CD22B9" w:rsidP="00CD22B9">
      <w:pPr>
        <w:pStyle w:val="Heading2"/>
      </w:pPr>
      <w:r w:rsidRPr="00BE0C02">
        <w:t xml:space="preserve">Reasons for developing this </w:t>
      </w:r>
      <w:r w:rsidR="00FB009E" w:rsidRPr="00BE0C02">
        <w:t>Standard</w:t>
      </w:r>
    </w:p>
    <w:p w14:paraId="1B744956" w14:textId="499B006B" w:rsidR="00EF6637" w:rsidRPr="00BE0C02" w:rsidRDefault="00EF6637" w:rsidP="007E6349">
      <w:pPr>
        <w:pStyle w:val="NumBC1"/>
        <w:numPr>
          <w:ilvl w:val="0"/>
          <w:numId w:val="27"/>
        </w:numPr>
        <w:ind w:left="782" w:hanging="782"/>
      </w:pPr>
      <w:bookmarkStart w:id="11" w:name="_Ref15930919"/>
      <w:r w:rsidRPr="00BE0C02">
        <w:rPr>
          <w:szCs w:val="19"/>
        </w:rPr>
        <w:t xml:space="preserve">This </w:t>
      </w:r>
      <w:r w:rsidR="00FB009E" w:rsidRPr="00BE0C02">
        <w:rPr>
          <w:szCs w:val="19"/>
        </w:rPr>
        <w:t xml:space="preserve">Standard </w:t>
      </w:r>
      <w:r w:rsidR="00E90AA3" w:rsidRPr="00BE0C02">
        <w:rPr>
          <w:szCs w:val="19"/>
        </w:rPr>
        <w:t>includes</w:t>
      </w:r>
      <w:r w:rsidRPr="00BE0C02">
        <w:rPr>
          <w:szCs w:val="19"/>
        </w:rPr>
        <w:t>:</w:t>
      </w:r>
      <w:bookmarkEnd w:id="11"/>
      <w:r w:rsidRPr="00BE0C02">
        <w:rPr>
          <w:szCs w:val="19"/>
        </w:rPr>
        <w:t xml:space="preserve"> </w:t>
      </w:r>
    </w:p>
    <w:p w14:paraId="572E1B91" w14:textId="0CF5AB1B" w:rsidR="00EF6637" w:rsidRPr="00BE0C02" w:rsidRDefault="00EF6637" w:rsidP="007E6349">
      <w:pPr>
        <w:pStyle w:val="ListParagraph"/>
        <w:numPr>
          <w:ilvl w:val="0"/>
          <w:numId w:val="74"/>
        </w:numPr>
        <w:pBdr>
          <w:left w:val="none" w:sz="0" w:space="0" w:color="auto"/>
          <w:right w:val="none" w:sz="0" w:space="0" w:color="auto"/>
        </w:pBdr>
        <w:spacing w:before="100"/>
        <w:ind w:left="1564" w:hanging="782"/>
        <w:contextualSpacing w:val="0"/>
        <w:jc w:val="both"/>
      </w:pPr>
      <w:r w:rsidRPr="00BE0C02">
        <w:t xml:space="preserve">amendments to AAS to remove the ability </w:t>
      </w:r>
      <w:r w:rsidR="00757F23" w:rsidRPr="00BE0C02">
        <w:t xml:space="preserve">of </w:t>
      </w:r>
      <w:r w:rsidRPr="00BE0C02">
        <w:t xml:space="preserve">certain for-profit private sector entities to prepare SPFS by removing the </w:t>
      </w:r>
      <w:r w:rsidR="00482E4E" w:rsidRPr="00BE0C02">
        <w:t>‘</w:t>
      </w:r>
      <w:r w:rsidRPr="00BE0C02">
        <w:t>reporting entity</w:t>
      </w:r>
      <w:r w:rsidR="00482E4E" w:rsidRPr="00BE0C02">
        <w:t>’</w:t>
      </w:r>
      <w:r w:rsidRPr="00BE0C02">
        <w:t xml:space="preserve"> concept for those entities required by:</w:t>
      </w:r>
    </w:p>
    <w:p w14:paraId="1EE473C7" w14:textId="47B1F12B" w:rsidR="00EF6637" w:rsidRPr="00BE0C02" w:rsidRDefault="00EF6637" w:rsidP="007E6349">
      <w:pPr>
        <w:pStyle w:val="Default"/>
        <w:numPr>
          <w:ilvl w:val="0"/>
          <w:numId w:val="75"/>
        </w:numPr>
        <w:spacing w:before="120"/>
        <w:ind w:left="2347" w:hanging="782"/>
        <w:jc w:val="both"/>
        <w:rPr>
          <w:color w:val="auto"/>
          <w:sz w:val="19"/>
          <w:szCs w:val="20"/>
          <w:lang w:eastAsia="en-US"/>
        </w:rPr>
      </w:pPr>
      <w:r w:rsidRPr="00BE0C02">
        <w:rPr>
          <w:color w:val="auto"/>
          <w:sz w:val="19"/>
          <w:szCs w:val="20"/>
          <w:lang w:eastAsia="en-US"/>
        </w:rPr>
        <w:t xml:space="preserve">legislation to prepare financial statements </w:t>
      </w:r>
      <w:r w:rsidR="00432093" w:rsidRPr="00BE0C02">
        <w:rPr>
          <w:color w:val="auto"/>
          <w:sz w:val="19"/>
          <w:szCs w:val="20"/>
          <w:lang w:eastAsia="en-US"/>
        </w:rPr>
        <w:t xml:space="preserve">that comply </w:t>
      </w:r>
      <w:r w:rsidRPr="00BE0C02">
        <w:rPr>
          <w:color w:val="auto"/>
          <w:sz w:val="19"/>
          <w:szCs w:val="20"/>
          <w:lang w:eastAsia="en-US"/>
        </w:rPr>
        <w:t>with either AAS or accounting standards; or</w:t>
      </w:r>
    </w:p>
    <w:p w14:paraId="3D3A5490" w14:textId="33045BEA" w:rsidR="00EF6637" w:rsidRPr="00BE0C02" w:rsidRDefault="00EF6637" w:rsidP="00F011E2">
      <w:pPr>
        <w:pStyle w:val="Default"/>
        <w:numPr>
          <w:ilvl w:val="0"/>
          <w:numId w:val="75"/>
        </w:numPr>
        <w:spacing w:before="120"/>
        <w:ind w:left="2347" w:hanging="782"/>
        <w:jc w:val="both"/>
        <w:rPr>
          <w:color w:val="auto"/>
          <w:sz w:val="19"/>
          <w:szCs w:val="20"/>
          <w:lang w:eastAsia="en-US"/>
        </w:rPr>
      </w:pPr>
      <w:r w:rsidRPr="00BE0C02">
        <w:rPr>
          <w:color w:val="auto"/>
          <w:sz w:val="19"/>
          <w:szCs w:val="20"/>
          <w:lang w:eastAsia="en-US"/>
        </w:rPr>
        <w:t>their constituting document (or another document) to prepare financial statements that comply with AAS</w:t>
      </w:r>
      <w:r w:rsidR="00A40866" w:rsidRPr="00BE0C02">
        <w:rPr>
          <w:color w:val="auto"/>
          <w:sz w:val="19"/>
          <w:szCs w:val="20"/>
          <w:lang w:eastAsia="en-US"/>
        </w:rPr>
        <w:t>,</w:t>
      </w:r>
      <w:r w:rsidRPr="00BE0C02">
        <w:rPr>
          <w:color w:val="auto"/>
          <w:sz w:val="19"/>
          <w:szCs w:val="20"/>
          <w:lang w:eastAsia="en-US"/>
        </w:rPr>
        <w:t xml:space="preserve"> provided the relevant document was created or amended on or after 1 July </w:t>
      </w:r>
      <w:r w:rsidR="00F011E2" w:rsidRPr="00BE0C02">
        <w:rPr>
          <w:color w:val="auto"/>
          <w:sz w:val="19"/>
          <w:szCs w:val="20"/>
          <w:lang w:eastAsia="en-US"/>
        </w:rPr>
        <w:t>2021</w:t>
      </w:r>
      <w:r w:rsidRPr="00BE0C02">
        <w:rPr>
          <w:color w:val="auto"/>
          <w:sz w:val="19"/>
          <w:szCs w:val="20"/>
          <w:lang w:eastAsia="en-US"/>
        </w:rPr>
        <w:t xml:space="preserve">; </w:t>
      </w:r>
      <w:r w:rsidR="00A40866" w:rsidRPr="00BE0C02">
        <w:rPr>
          <w:color w:val="auto"/>
          <w:sz w:val="19"/>
          <w:szCs w:val="20"/>
          <w:lang w:eastAsia="en-US"/>
        </w:rPr>
        <w:t>and</w:t>
      </w:r>
    </w:p>
    <w:p w14:paraId="01CAE5CB" w14:textId="2D81BC04" w:rsidR="00EF6637" w:rsidRPr="00BE0C02" w:rsidRDefault="00EF6637" w:rsidP="007E6349">
      <w:pPr>
        <w:pStyle w:val="ListParagraph"/>
        <w:numPr>
          <w:ilvl w:val="0"/>
          <w:numId w:val="74"/>
        </w:numPr>
        <w:pBdr>
          <w:left w:val="none" w:sz="0" w:space="0" w:color="auto"/>
          <w:right w:val="none" w:sz="0" w:space="0" w:color="auto"/>
        </w:pBdr>
        <w:spacing w:before="100"/>
        <w:ind w:left="1564" w:hanging="782"/>
        <w:contextualSpacing w:val="0"/>
        <w:jc w:val="both"/>
      </w:pPr>
      <w:r w:rsidRPr="00BE0C02">
        <w:t>to provide relief from restating comparative information for entities transitioning to full R&amp;M requirements</w:t>
      </w:r>
      <w:r w:rsidR="00E90AA3" w:rsidRPr="00BE0C02">
        <w:t xml:space="preserve">, if the entity </w:t>
      </w:r>
      <w:r w:rsidR="00842F05" w:rsidRPr="00BE0C02">
        <w:t xml:space="preserve">chooses to </w:t>
      </w:r>
      <w:r w:rsidR="00811F0D" w:rsidRPr="00BE0C02">
        <w:t xml:space="preserve">early </w:t>
      </w:r>
      <w:r w:rsidR="00842F05" w:rsidRPr="00BE0C02">
        <w:t xml:space="preserve">adopt the requirements </w:t>
      </w:r>
      <w:r w:rsidRPr="00BE0C02">
        <w:t>(</w:t>
      </w:r>
      <w:r w:rsidR="00A40866" w:rsidRPr="00BE0C02">
        <w:t xml:space="preserve">see paragraphs </w:t>
      </w:r>
      <w:r w:rsidR="00A40866" w:rsidRPr="00BE0C02">
        <w:fldChar w:fldCharType="begin"/>
      </w:r>
      <w:r w:rsidR="00A40866" w:rsidRPr="00BE0C02">
        <w:instrText xml:space="preserve"> REF _Ref9851846 \r \h </w:instrText>
      </w:r>
      <w:r w:rsidR="00BE0C02">
        <w:instrText xml:space="preserve"> \* MERGEFORMAT </w:instrText>
      </w:r>
      <w:r w:rsidR="00A40866" w:rsidRPr="00BE0C02">
        <w:fldChar w:fldCharType="separate"/>
      </w:r>
      <w:r w:rsidR="00E354C4">
        <w:t>BC122</w:t>
      </w:r>
      <w:r w:rsidR="00A40866" w:rsidRPr="00BE0C02">
        <w:fldChar w:fldCharType="end"/>
      </w:r>
      <w:r w:rsidR="00A40866" w:rsidRPr="00BE0C02">
        <w:t>-</w:t>
      </w:r>
      <w:r w:rsidR="00A40866" w:rsidRPr="00BE0C02">
        <w:fldChar w:fldCharType="begin"/>
      </w:r>
      <w:r w:rsidR="00A40866" w:rsidRPr="00BE0C02">
        <w:instrText xml:space="preserve"> REF _Ref8826822 \r \h </w:instrText>
      </w:r>
      <w:r w:rsidR="00BE0C02">
        <w:instrText xml:space="preserve"> \* MERGEFORMAT </w:instrText>
      </w:r>
      <w:r w:rsidR="00A40866" w:rsidRPr="00BE0C02">
        <w:fldChar w:fldCharType="separate"/>
      </w:r>
      <w:r w:rsidR="00E354C4">
        <w:t>BC135</w:t>
      </w:r>
      <w:r w:rsidR="00A40866" w:rsidRPr="00BE0C02">
        <w:fldChar w:fldCharType="end"/>
      </w:r>
      <w:r w:rsidRPr="00BE0C02">
        <w:t>).</w:t>
      </w:r>
    </w:p>
    <w:p w14:paraId="6911F41E" w14:textId="3F8C3703" w:rsidR="007B0663" w:rsidRPr="00BE0C02" w:rsidRDefault="007B0663" w:rsidP="007B0663">
      <w:pPr>
        <w:pStyle w:val="Heading4"/>
        <w:spacing w:before="200"/>
      </w:pPr>
      <w:r w:rsidRPr="00BE0C02">
        <w:t xml:space="preserve">Board deliberations prior to </w:t>
      </w:r>
      <w:r w:rsidR="00432093" w:rsidRPr="00BE0C02">
        <w:t xml:space="preserve">the AASB’s Invitation to Comment </w:t>
      </w:r>
      <w:r w:rsidR="00432093" w:rsidRPr="00BE0C02">
        <w:rPr>
          <w:szCs w:val="19"/>
        </w:rPr>
        <w:t>ITC 39</w:t>
      </w:r>
      <w:r w:rsidR="00432093" w:rsidRPr="00BE0C02">
        <w:t xml:space="preserve"> </w:t>
      </w:r>
      <w:r w:rsidR="00432093" w:rsidRPr="00BE0C02">
        <w:rPr>
          <w:i/>
        </w:rPr>
        <w:t>Consultation Paper –</w:t>
      </w:r>
      <w:r w:rsidR="00432093" w:rsidRPr="00BE0C02">
        <w:t xml:space="preserve"> </w:t>
      </w:r>
      <w:r w:rsidR="00432093" w:rsidRPr="00BE0C02">
        <w:rPr>
          <w:i/>
        </w:rPr>
        <w:t>Applying the IASB’s Revised Conceptual Framework and Solving the Reporting Entity and Special Purpose Financial Statement Problems</w:t>
      </w:r>
      <w:r w:rsidRPr="00BE0C02">
        <w:rPr>
          <w:bCs/>
          <w:i/>
        </w:rPr>
        <w:t xml:space="preserve"> </w:t>
      </w:r>
    </w:p>
    <w:p w14:paraId="70CF1191" w14:textId="4DEAF789" w:rsidR="007B0663" w:rsidRPr="00BE0C02" w:rsidRDefault="007B0663" w:rsidP="007E6349">
      <w:pPr>
        <w:pStyle w:val="NumBC1"/>
        <w:numPr>
          <w:ilvl w:val="0"/>
          <w:numId w:val="27"/>
        </w:numPr>
        <w:ind w:left="782" w:hanging="782"/>
      </w:pPr>
      <w:bookmarkStart w:id="12" w:name="_Ref15930539"/>
      <w:bookmarkStart w:id="13" w:name="_Ref9429644"/>
      <w:r w:rsidRPr="00BE0C02">
        <w:t xml:space="preserve">As noted in paragraph </w:t>
      </w:r>
      <w:r w:rsidRPr="00BE0C02">
        <w:fldChar w:fldCharType="begin"/>
      </w:r>
      <w:r w:rsidRPr="00BE0C02">
        <w:instrText xml:space="preserve"> REF _Ref10170598 \r \h </w:instrText>
      </w:r>
      <w:r w:rsidR="00BE0C02">
        <w:instrText xml:space="preserve"> \* MERGEFORMAT </w:instrText>
      </w:r>
      <w:r w:rsidRPr="00BE0C02">
        <w:fldChar w:fldCharType="separate"/>
      </w:r>
      <w:r w:rsidR="00E354C4">
        <w:t>BC2</w:t>
      </w:r>
      <w:r w:rsidRPr="00BE0C02">
        <w:fldChar w:fldCharType="end"/>
      </w:r>
      <w:r w:rsidRPr="00BE0C02">
        <w:t xml:space="preserve">, the Board had been aware of </w:t>
      </w:r>
      <w:r w:rsidR="00A40866" w:rsidRPr="00BE0C02">
        <w:t xml:space="preserve">the </w:t>
      </w:r>
      <w:r w:rsidRPr="00BE0C02">
        <w:t>problems with the application of the reporting entity concept and the consequential</w:t>
      </w:r>
      <w:r w:rsidR="0035770A" w:rsidRPr="00BE0C02">
        <w:t xml:space="preserve"> preparation and</w:t>
      </w:r>
      <w:r w:rsidRPr="00BE0C02">
        <w:t xml:space="preserve"> public lodgement of SPFS for some time. Indeed, the Board has previously publicly contemplated the removal of the ability </w:t>
      </w:r>
      <w:r w:rsidR="0070617B" w:rsidRPr="00BE0C02">
        <w:t>of</w:t>
      </w:r>
      <w:r w:rsidRPr="00BE0C02">
        <w:t xml:space="preserve"> certain entities to self-assess and prepare SPFS when required to comply with AAS. For example:</w:t>
      </w:r>
      <w:bookmarkEnd w:id="12"/>
      <w:bookmarkEnd w:id="13"/>
    </w:p>
    <w:p w14:paraId="52E1CC61" w14:textId="77777777" w:rsidR="007B0663" w:rsidRPr="00BE0C02" w:rsidRDefault="007B0663" w:rsidP="007E6349">
      <w:pPr>
        <w:pStyle w:val="NumBC2"/>
        <w:numPr>
          <w:ilvl w:val="0"/>
          <w:numId w:val="28"/>
        </w:numPr>
        <w:ind w:left="1564" w:hanging="782"/>
      </w:pPr>
      <w:r w:rsidRPr="00BE0C02">
        <w:t xml:space="preserve">AASB Invitation to Comment ITC 12 </w:t>
      </w:r>
      <w:r w:rsidRPr="00BE0C02">
        <w:rPr>
          <w:i/>
        </w:rPr>
        <w:t>Request for Comment on a Proposed Revised Differential Reporting Regime for Australia and IASB Exposure Draft of A Proposed IFRS for Small and Medium-sized Entities</w:t>
      </w:r>
      <w:r w:rsidRPr="00BE0C02">
        <w:t xml:space="preserve"> (May 2007) noted the concept of SPFS might have been misunderstood in some cases. To remove the ambiguity concerning the reporting entity concept, ITC 12 sought comment on whether all financial statements available on a public register should be required to be GPFS; and</w:t>
      </w:r>
    </w:p>
    <w:p w14:paraId="3B6A83E0" w14:textId="4CFD6E6F" w:rsidR="007B0663" w:rsidRPr="00BE0C02" w:rsidRDefault="007B0663" w:rsidP="007E6349">
      <w:pPr>
        <w:pStyle w:val="NumBC2"/>
        <w:numPr>
          <w:ilvl w:val="0"/>
          <w:numId w:val="28"/>
        </w:numPr>
        <w:ind w:left="1564" w:hanging="782"/>
      </w:pPr>
      <w:bookmarkStart w:id="14" w:name="_Ref9429995"/>
      <w:r w:rsidRPr="00BE0C02">
        <w:lastRenderedPageBreak/>
        <w:t xml:space="preserve">AASB Consultation Paper (CP) </w:t>
      </w:r>
      <w:r w:rsidRPr="00BE0C02">
        <w:rPr>
          <w:i/>
        </w:rPr>
        <w:t xml:space="preserve">Differential Financial Reporting – Reducing Disclosure Requirements </w:t>
      </w:r>
      <w:r w:rsidRPr="00BE0C02">
        <w:t xml:space="preserve">(February 2010) and ED 192 </w:t>
      </w:r>
      <w:r w:rsidRPr="00BE0C02">
        <w:rPr>
          <w:i/>
        </w:rPr>
        <w:t>Revised Differential Reporting Framework</w:t>
      </w:r>
      <w:r w:rsidRPr="00BE0C02">
        <w:t xml:space="preserve"> (February 2010), issued in tandem, followed ITC 12 and reaffirmed the Board’s view that the reporting entity concept which allows the public lodgement of SPFS should be removed. The Board elaborated on the issues surrounding SPFS in the CP, including noting that:</w:t>
      </w:r>
      <w:bookmarkEnd w:id="14"/>
    </w:p>
    <w:p w14:paraId="75582767" w14:textId="1936FECB" w:rsidR="00C265A1" w:rsidRPr="00BE0C02" w:rsidRDefault="006E2023" w:rsidP="00E03A8E">
      <w:pPr>
        <w:pStyle w:val="NumPlainA2"/>
        <w:numPr>
          <w:ilvl w:val="0"/>
          <w:numId w:val="0"/>
        </w:numPr>
        <w:ind w:left="2268" w:hanging="703"/>
      </w:pPr>
      <w:r w:rsidRPr="00BE0C02">
        <w:t>(i)</w:t>
      </w:r>
      <w:r w:rsidRPr="00BE0C02">
        <w:tab/>
      </w:r>
      <w:r w:rsidR="007B0663" w:rsidRPr="00BE0C02">
        <w:t>entities are asserted to be ‘abusing’ the reporting entity concept by claiming to be non-reporting entities and preparing SPFS when they should be preparing GPFS. An impetus for this is the desire to avoid the cost and exposure that would come from applying full IFRS Standards as adopted in Australia;</w:t>
      </w:r>
    </w:p>
    <w:p w14:paraId="61CA9094" w14:textId="1B8F1B5A" w:rsidR="007B0663" w:rsidRPr="00BE0C02" w:rsidRDefault="00C265A1" w:rsidP="00E03A8E">
      <w:pPr>
        <w:pStyle w:val="NumPlainA2"/>
        <w:numPr>
          <w:ilvl w:val="0"/>
          <w:numId w:val="0"/>
        </w:numPr>
        <w:ind w:left="2268" w:hanging="703"/>
      </w:pPr>
      <w:r w:rsidRPr="00BE0C02">
        <w:t>(ii)</w:t>
      </w:r>
      <w:r w:rsidRPr="00BE0C02">
        <w:tab/>
      </w:r>
      <w:r w:rsidR="007B0663" w:rsidRPr="00BE0C02">
        <w:t>many of the regulators requiring the preparation and lodgement of financial statements may not have given sufficient consideration to the nature of the information they require and the needs of any external users of that information; and</w:t>
      </w:r>
    </w:p>
    <w:p w14:paraId="331963F8" w14:textId="77777777" w:rsidR="007B0663" w:rsidRPr="00BE0C02" w:rsidRDefault="007B0663" w:rsidP="00F011E2">
      <w:pPr>
        <w:pStyle w:val="NumDPlain3"/>
        <w:numPr>
          <w:ilvl w:val="0"/>
          <w:numId w:val="75"/>
        </w:numPr>
        <w:spacing w:before="100" w:after="100"/>
        <w:jc w:val="both"/>
      </w:pPr>
      <w:r w:rsidRPr="00BE0C02">
        <w:t>preparation of SPFS by entities that are required by law to prepare financial statements in accordance with accounting standards and be lodged on a public register contradicts the legislation’s objective of providing information to a wide range of users who are not in a position to command specific information to satisfy their needs.</w:t>
      </w:r>
    </w:p>
    <w:p w14:paraId="701D0006" w14:textId="7BDC8CDF" w:rsidR="007B0663" w:rsidRPr="00BE0C02" w:rsidRDefault="007B0663" w:rsidP="007E6349">
      <w:pPr>
        <w:pStyle w:val="NumBC1"/>
        <w:numPr>
          <w:ilvl w:val="0"/>
          <w:numId w:val="27"/>
        </w:numPr>
        <w:ind w:left="782" w:hanging="782"/>
      </w:pPr>
      <w:bookmarkStart w:id="15" w:name="_Ref15930544"/>
      <w:bookmarkStart w:id="16" w:name="_Ref9430013"/>
      <w:r w:rsidRPr="00BE0C02">
        <w:t>However, the Board noted mixed feedback from constituents in response to these due process documents in regard to removing the ability of certain entities to self-assess and prepare SPFS when required to comply with AAS, which suggested that (as noted in paragraphs BC10-BC17 of the Basis for Conclusions to AASB 1053):</w:t>
      </w:r>
      <w:bookmarkEnd w:id="15"/>
      <w:bookmarkEnd w:id="16"/>
    </w:p>
    <w:p w14:paraId="2396EBB4" w14:textId="77777777" w:rsidR="007B0663" w:rsidRPr="00BE0C02" w:rsidRDefault="007B0663" w:rsidP="007E6349">
      <w:pPr>
        <w:pStyle w:val="NumBC2"/>
        <w:numPr>
          <w:ilvl w:val="0"/>
          <w:numId w:val="56"/>
        </w:numPr>
        <w:ind w:left="1564" w:hanging="782"/>
      </w:pPr>
      <w:r w:rsidRPr="00BE0C02">
        <w:t>on the one hand, the reporting entity concept involves a high degree of subjectivity, is not universally understood and hence does not provide the intended result, nor does it provide a robust criterion for differential reporting purposes; and</w:t>
      </w:r>
    </w:p>
    <w:p w14:paraId="6FDD263D" w14:textId="77777777" w:rsidR="007B0663" w:rsidRPr="00BE0C02" w:rsidRDefault="007B0663" w:rsidP="007E6349">
      <w:pPr>
        <w:pStyle w:val="NumBC2"/>
        <w:numPr>
          <w:ilvl w:val="0"/>
          <w:numId w:val="28"/>
        </w:numPr>
        <w:ind w:left="1564" w:hanging="782"/>
      </w:pPr>
      <w:bookmarkStart w:id="17" w:name="_Ref9430006"/>
      <w:r w:rsidRPr="00BE0C02">
        <w:t>on the other hand, the reporting entity concept works well, and there appeared to be no evidence to the contrary, particularly from users.</w:t>
      </w:r>
      <w:bookmarkEnd w:id="17"/>
      <w:r w:rsidRPr="00BE0C02">
        <w:t xml:space="preserve"> </w:t>
      </w:r>
    </w:p>
    <w:p w14:paraId="1210E7CD" w14:textId="6D478435" w:rsidR="007B0663" w:rsidRPr="00BE0C02" w:rsidRDefault="007B0663" w:rsidP="007E6349">
      <w:pPr>
        <w:pStyle w:val="NumBC1"/>
        <w:numPr>
          <w:ilvl w:val="0"/>
          <w:numId w:val="27"/>
        </w:numPr>
        <w:ind w:left="782" w:hanging="782"/>
      </w:pPr>
      <w:bookmarkStart w:id="18" w:name="_Ref9002623"/>
      <w:bookmarkStart w:id="19" w:name="_Ref10166628"/>
      <w:r w:rsidRPr="00BE0C02">
        <w:t>Consequently, in 2010, the Board decided to issue AASB 1053 and introduce a second tier of GPFS reporting, being Tier 2: Australian Accounting Standards – Reduced Disclosure Requirements (RDR), but delay the phase of the project addressing the reporting entity concept and the removal of SPFS until further research had been undertaken</w:t>
      </w:r>
      <w:r w:rsidR="0035770A" w:rsidRPr="00BE0C02">
        <w:t>.</w:t>
      </w:r>
      <w:r w:rsidRPr="00BE0C02">
        <w:t xml:space="preserve"> </w:t>
      </w:r>
      <w:r w:rsidR="0035770A" w:rsidRPr="00BE0C02">
        <w:t>That research would consider</w:t>
      </w:r>
      <w:r w:rsidRPr="00BE0C02">
        <w:t xml:space="preserve"> in more detail the impact of removing the ability of certain entities to self-assess and prepare SPFS</w:t>
      </w:r>
      <w:bookmarkEnd w:id="18"/>
      <w:r w:rsidRPr="00BE0C02">
        <w:t xml:space="preserve"> when required to comply with AAS.</w:t>
      </w:r>
      <w:bookmarkEnd w:id="19"/>
      <w:r w:rsidRPr="00BE0C02">
        <w:t xml:space="preserve"> The RDR requirements were designed to substantially reduce the disclosure burden when compared to the full disclosure requirements of AAS.</w:t>
      </w:r>
    </w:p>
    <w:p w14:paraId="2D995DD8" w14:textId="4FEC7CDF" w:rsidR="007B0663" w:rsidRPr="00BE0C02" w:rsidRDefault="007B0663" w:rsidP="007E6349">
      <w:pPr>
        <w:pStyle w:val="NumBC1"/>
        <w:numPr>
          <w:ilvl w:val="0"/>
          <w:numId w:val="27"/>
        </w:numPr>
        <w:ind w:left="782" w:hanging="782"/>
      </w:pPr>
      <w:bookmarkStart w:id="20" w:name="_Ref15930693"/>
      <w:bookmarkStart w:id="21" w:name="_Ref9951927"/>
      <w:r w:rsidRPr="00BE0C02">
        <w:t>Prompted by the views noted in paragraphs</w:t>
      </w:r>
      <w:r w:rsidR="00C63280" w:rsidRPr="00BE0C02">
        <w:t xml:space="preserve"> </w:t>
      </w:r>
      <w:r w:rsidR="00C63280" w:rsidRPr="00BE0C02">
        <w:fldChar w:fldCharType="begin"/>
      </w:r>
      <w:r w:rsidR="00C63280" w:rsidRPr="00BE0C02">
        <w:instrText xml:space="preserve"> REF _Ref15930539 \r \h </w:instrText>
      </w:r>
      <w:r w:rsidR="00BE0C02">
        <w:instrText xml:space="preserve"> \* MERGEFORMAT </w:instrText>
      </w:r>
      <w:r w:rsidR="00C63280" w:rsidRPr="00BE0C02">
        <w:fldChar w:fldCharType="separate"/>
      </w:r>
      <w:r w:rsidR="00E354C4">
        <w:t>BC10</w:t>
      </w:r>
      <w:r w:rsidR="00C63280" w:rsidRPr="00BE0C02">
        <w:fldChar w:fldCharType="end"/>
      </w:r>
      <w:r w:rsidR="00C63280" w:rsidRPr="00BE0C02">
        <w:t>-</w:t>
      </w:r>
      <w:r w:rsidR="00C63280" w:rsidRPr="00BE0C02">
        <w:fldChar w:fldCharType="begin"/>
      </w:r>
      <w:r w:rsidR="00C63280" w:rsidRPr="00BE0C02">
        <w:instrText xml:space="preserve"> REF _Ref15930544 \r \h </w:instrText>
      </w:r>
      <w:r w:rsidR="00BE0C02">
        <w:instrText xml:space="preserve"> \* MERGEFORMAT </w:instrText>
      </w:r>
      <w:r w:rsidR="00C63280" w:rsidRPr="00BE0C02">
        <w:fldChar w:fldCharType="separate"/>
      </w:r>
      <w:r w:rsidR="00E354C4">
        <w:t>BC11</w:t>
      </w:r>
      <w:r w:rsidR="00C63280" w:rsidRPr="00BE0C02">
        <w:fldChar w:fldCharType="end"/>
      </w:r>
      <w:r w:rsidRPr="00BE0C02">
        <w:t xml:space="preserve">, the Board initiated research projects, the findings of which are discussed in paragraphs </w:t>
      </w:r>
      <w:r w:rsidRPr="00BE0C02">
        <w:fldChar w:fldCharType="begin"/>
      </w:r>
      <w:r w:rsidRPr="00BE0C02">
        <w:instrText xml:space="preserve"> REF _Ref9589465 \r \h </w:instrText>
      </w:r>
      <w:r w:rsidR="00BE0C02">
        <w:instrText xml:space="preserve"> \* MERGEFORMAT </w:instrText>
      </w:r>
      <w:r w:rsidRPr="00BE0C02">
        <w:fldChar w:fldCharType="separate"/>
      </w:r>
      <w:r w:rsidR="00E354C4">
        <w:t>BC18</w:t>
      </w:r>
      <w:r w:rsidRPr="00BE0C02">
        <w:fldChar w:fldCharType="end"/>
      </w:r>
      <w:r w:rsidRPr="00BE0C02">
        <w:t>-</w:t>
      </w:r>
      <w:r w:rsidRPr="00BE0C02">
        <w:fldChar w:fldCharType="begin"/>
      </w:r>
      <w:r w:rsidRPr="00BE0C02">
        <w:instrText xml:space="preserve"> REF _Ref9589472 \r \h </w:instrText>
      </w:r>
      <w:r w:rsidR="00BE0C02">
        <w:instrText xml:space="preserve"> \* MERGEFORMAT </w:instrText>
      </w:r>
      <w:r w:rsidRPr="00BE0C02">
        <w:fldChar w:fldCharType="separate"/>
      </w:r>
      <w:r w:rsidR="00E354C4">
        <w:t>BC25</w:t>
      </w:r>
      <w:r w:rsidRPr="00BE0C02">
        <w:fldChar w:fldCharType="end"/>
      </w:r>
      <w:r w:rsidRPr="00BE0C02">
        <w:t>.</w:t>
      </w:r>
      <w:bookmarkEnd w:id="20"/>
      <w:bookmarkEnd w:id="21"/>
    </w:p>
    <w:p w14:paraId="3E77268F" w14:textId="4D66E0F3" w:rsidR="00CD22B9" w:rsidRPr="00BE0C02" w:rsidRDefault="00CD22B9" w:rsidP="00E32E0F">
      <w:pPr>
        <w:pStyle w:val="Heading4"/>
        <w:spacing w:before="200"/>
      </w:pPr>
      <w:r w:rsidRPr="00BE0C02">
        <w:t>The issue</w:t>
      </w:r>
      <w:r w:rsidR="00E32E0F" w:rsidRPr="00BE0C02">
        <w:t>s</w:t>
      </w:r>
      <w:r w:rsidR="00C63280" w:rsidRPr="00BE0C02">
        <w:t xml:space="preserve"> with</w:t>
      </w:r>
      <w:r w:rsidRPr="00BE0C02">
        <w:t xml:space="preserve"> SPFS</w:t>
      </w:r>
    </w:p>
    <w:p w14:paraId="7C0EFFE8" w14:textId="2A3CE496" w:rsidR="00CD22B9" w:rsidRPr="00BE0C02" w:rsidRDefault="00CD22B9" w:rsidP="007E6349">
      <w:pPr>
        <w:pStyle w:val="NumBC1"/>
        <w:numPr>
          <w:ilvl w:val="0"/>
          <w:numId w:val="27"/>
        </w:numPr>
        <w:ind w:left="782" w:hanging="782"/>
      </w:pPr>
      <w:bookmarkStart w:id="22" w:name="_Ref4272835"/>
      <w:bookmarkStart w:id="23" w:name="_Ref13473682"/>
      <w:bookmarkStart w:id="24" w:name="_Ref4586001"/>
      <w:r w:rsidRPr="00BE0C02">
        <w:t xml:space="preserve">Australia is the only jurisdiction with a reporting </w:t>
      </w:r>
      <w:r w:rsidR="00A418D6" w:rsidRPr="00BE0C02">
        <w:t>entity</w:t>
      </w:r>
      <w:r w:rsidRPr="00BE0C02">
        <w:t xml:space="preserve"> concept that effectively permits entities to self-assess what type of financial reporting they do, when they are required by legislation or otherwise (such as by a constituti</w:t>
      </w:r>
      <w:r w:rsidR="005728EC" w:rsidRPr="00BE0C02">
        <w:t>ng</w:t>
      </w:r>
      <w:r w:rsidRPr="00BE0C02">
        <w:t xml:space="preserve"> document) to prepare financial statements in accordance with A</w:t>
      </w:r>
      <w:r w:rsidR="00432093" w:rsidRPr="00BE0C02">
        <w:t>AS</w:t>
      </w:r>
      <w:r w:rsidR="00F85EC2" w:rsidRPr="00BE0C02">
        <w:t>.</w:t>
      </w:r>
      <w:r w:rsidRPr="00BE0C02">
        <w:rPr>
          <w:rStyle w:val="FootnoteReference"/>
        </w:rPr>
        <w:footnoteReference w:id="6"/>
      </w:r>
      <w:r w:rsidRPr="00BE0C02">
        <w:t xml:space="preserve"> Therefore, unlike other jurisdictions, in Australia two similar entities might prepare very different sets of financial statements, one preparing GPFS using a robust and consistent framework, and the other preparing SPFS with self-selected requirements</w:t>
      </w:r>
      <w:bookmarkEnd w:id="22"/>
      <w:r w:rsidRPr="00BE0C02">
        <w:t>. This reduces comparability for entities of similar economic circumstances and undermines the fundamental principles of trust and transparency.</w:t>
      </w:r>
      <w:bookmarkEnd w:id="23"/>
    </w:p>
    <w:p w14:paraId="667C5DD1" w14:textId="6DC31E93" w:rsidR="00CD22B9" w:rsidRPr="00BE0C02" w:rsidRDefault="00CD22B9" w:rsidP="007E6349">
      <w:pPr>
        <w:pStyle w:val="NumBC1"/>
        <w:numPr>
          <w:ilvl w:val="0"/>
          <w:numId w:val="27"/>
        </w:numPr>
        <w:ind w:left="782" w:hanging="782"/>
      </w:pPr>
      <w:bookmarkStart w:id="25" w:name="_Ref13571262"/>
      <w:r w:rsidRPr="00BE0C02">
        <w:t xml:space="preserve">An analysis of the reporting practices of </w:t>
      </w:r>
      <w:r w:rsidR="001453E2" w:rsidRPr="00BE0C02">
        <w:t xml:space="preserve">specified </w:t>
      </w:r>
      <w:r w:rsidRPr="00BE0C02">
        <w:t>for-profit entities</w:t>
      </w:r>
      <w:r w:rsidR="000B00A4" w:rsidRPr="00BE0C02">
        <w:t xml:space="preserve"> </w:t>
      </w:r>
      <w:r w:rsidRPr="00BE0C02">
        <w:t>lodging financial statements with ASIC estimated that 7</w:t>
      </w:r>
      <w:r w:rsidR="00EF70E7" w:rsidRPr="00BE0C02">
        <w:t>1</w:t>
      </w:r>
      <w:r w:rsidRPr="00BE0C02">
        <w:t xml:space="preserve">% of those entities prepared and publicly lodged </w:t>
      </w:r>
      <w:r w:rsidR="00A40866" w:rsidRPr="00BE0C02">
        <w:t>SPFS</w:t>
      </w:r>
      <w:r w:rsidRPr="00BE0C02">
        <w:t xml:space="preserve"> in 2018</w:t>
      </w:r>
      <w:r w:rsidR="00F85EC2" w:rsidRPr="00BE0C02">
        <w:t>.</w:t>
      </w:r>
      <w:r w:rsidR="000D214A" w:rsidRPr="00BE0C02">
        <w:rPr>
          <w:rStyle w:val="FootnoteReference"/>
        </w:rPr>
        <w:t xml:space="preserve"> </w:t>
      </w:r>
      <w:r w:rsidR="000D214A" w:rsidRPr="00BE0C02">
        <w:rPr>
          <w:rStyle w:val="FootnoteReference"/>
        </w:rPr>
        <w:footnoteReference w:id="7"/>
      </w:r>
      <w:r w:rsidRPr="00BE0C02">
        <w:t xml:space="preserve"> This same research estimated that </w:t>
      </w:r>
      <w:r w:rsidR="00F85EC2" w:rsidRPr="00BE0C02">
        <w:t>2</w:t>
      </w:r>
      <w:r w:rsidRPr="00BE0C02">
        <w:t>4% of these entities</w:t>
      </w:r>
      <w:r w:rsidR="00D8519E" w:rsidRPr="00BE0C02">
        <w:t xml:space="preserve"> lodging SPFS</w:t>
      </w:r>
      <w:r w:rsidRPr="00BE0C02">
        <w:t xml:space="preserve"> either did not comply with the R&amp;M requirements in AAS or </w:t>
      </w:r>
      <w:r w:rsidR="00B237AB" w:rsidRPr="00BE0C02">
        <w:t xml:space="preserve">did not make </w:t>
      </w:r>
      <w:r w:rsidRPr="00BE0C02">
        <w:t xml:space="preserve">clear whether they did (refer to paragraphs </w:t>
      </w:r>
      <w:r w:rsidRPr="00BE0C02">
        <w:fldChar w:fldCharType="begin"/>
      </w:r>
      <w:r w:rsidRPr="00BE0C02">
        <w:instrText xml:space="preserve"> REF _Ref9857719 \r \h </w:instrText>
      </w:r>
      <w:r w:rsidR="00BE0C02">
        <w:instrText xml:space="preserve"> \* MERGEFORMAT </w:instrText>
      </w:r>
      <w:r w:rsidRPr="00BE0C02">
        <w:fldChar w:fldCharType="separate"/>
      </w:r>
      <w:r w:rsidR="00E354C4">
        <w:t>BC20</w:t>
      </w:r>
      <w:r w:rsidRPr="00BE0C02">
        <w:fldChar w:fldCharType="end"/>
      </w:r>
      <w:r w:rsidR="00F213D7" w:rsidRPr="00BE0C02">
        <w:t>-</w:t>
      </w:r>
      <w:r w:rsidR="009E1975" w:rsidRPr="00BE0C02">
        <w:fldChar w:fldCharType="begin"/>
      </w:r>
      <w:r w:rsidR="009E1975" w:rsidRPr="00BE0C02">
        <w:instrText xml:space="preserve"> REF _Ref16540743 \r \h </w:instrText>
      </w:r>
      <w:r w:rsidR="00BE0C02">
        <w:instrText xml:space="preserve"> \* MERGEFORMAT </w:instrText>
      </w:r>
      <w:r w:rsidR="009E1975" w:rsidRPr="00BE0C02">
        <w:fldChar w:fldCharType="separate"/>
      </w:r>
      <w:r w:rsidR="00E354C4">
        <w:t>BC22</w:t>
      </w:r>
      <w:r w:rsidR="009E1975" w:rsidRPr="00BE0C02">
        <w:fldChar w:fldCharType="end"/>
      </w:r>
      <w:r w:rsidRPr="00BE0C02">
        <w:t xml:space="preserve">). </w:t>
      </w:r>
      <w:r w:rsidR="00A40866" w:rsidRPr="00BE0C02">
        <w:t>Therefore, o</w:t>
      </w:r>
      <w:r w:rsidR="00475546" w:rsidRPr="00BE0C02">
        <w:t xml:space="preserve">nly 76% </w:t>
      </w:r>
      <w:r w:rsidR="00D8519E" w:rsidRPr="00BE0C02">
        <w:t>of the S</w:t>
      </w:r>
      <w:r w:rsidR="00A40866" w:rsidRPr="00BE0C02">
        <w:t>P</w:t>
      </w:r>
      <w:r w:rsidR="00D8519E" w:rsidRPr="00BE0C02">
        <w:t>FS voluntarily complied with ASI</w:t>
      </w:r>
      <w:r w:rsidR="00A40866" w:rsidRPr="00BE0C02">
        <w:t>C</w:t>
      </w:r>
      <w:r w:rsidR="00D8519E" w:rsidRPr="00BE0C02">
        <w:t xml:space="preserve"> </w:t>
      </w:r>
      <w:r w:rsidR="00A40866" w:rsidRPr="00BE0C02">
        <w:t xml:space="preserve">Regulatory Guide 85 </w:t>
      </w:r>
      <w:r w:rsidR="00A40866" w:rsidRPr="00BE0C02">
        <w:rPr>
          <w:i/>
        </w:rPr>
        <w:t xml:space="preserve">Reporting requirements for non-reporting entities </w:t>
      </w:r>
      <w:r w:rsidR="00A40866" w:rsidRPr="00BE0C02">
        <w:t xml:space="preserve">(RG 85) </w:t>
      </w:r>
      <w:r w:rsidR="00D8519E" w:rsidRPr="00BE0C02">
        <w:t xml:space="preserve">recommended guidance to </w:t>
      </w:r>
      <w:r w:rsidR="008B30A8" w:rsidRPr="00BE0C02">
        <w:t>apply</w:t>
      </w:r>
      <w:r w:rsidR="00D8519E" w:rsidRPr="00BE0C02">
        <w:t xml:space="preserve"> all </w:t>
      </w:r>
      <w:r w:rsidR="00A40866" w:rsidRPr="00BE0C02">
        <w:t xml:space="preserve">the R&amp;M requirements in AAS (refer </w:t>
      </w:r>
      <w:r w:rsidR="00A40866" w:rsidRPr="00BE0C02">
        <w:fldChar w:fldCharType="begin"/>
      </w:r>
      <w:r w:rsidR="00A40866" w:rsidRPr="00BE0C02">
        <w:instrText xml:space="preserve"> REF _Ref13571520 \r \h </w:instrText>
      </w:r>
      <w:r w:rsidR="00BE0C02">
        <w:instrText xml:space="preserve"> \* MERGEFORMAT </w:instrText>
      </w:r>
      <w:r w:rsidR="00A40866" w:rsidRPr="00BE0C02">
        <w:fldChar w:fldCharType="separate"/>
      </w:r>
      <w:r w:rsidR="00E354C4">
        <w:t>BC28</w:t>
      </w:r>
      <w:r w:rsidR="00A40866" w:rsidRPr="00BE0C02">
        <w:fldChar w:fldCharType="end"/>
      </w:r>
      <w:r w:rsidR="00A40866" w:rsidRPr="00BE0C02">
        <w:t>-</w:t>
      </w:r>
      <w:r w:rsidR="00A40866" w:rsidRPr="00BE0C02">
        <w:fldChar w:fldCharType="begin"/>
      </w:r>
      <w:r w:rsidR="00A40866" w:rsidRPr="00BE0C02">
        <w:instrText xml:space="preserve"> REF _Ref15993070 \r \h </w:instrText>
      </w:r>
      <w:r w:rsidR="00BE0C02">
        <w:instrText xml:space="preserve"> \* MERGEFORMAT </w:instrText>
      </w:r>
      <w:r w:rsidR="00A40866" w:rsidRPr="00BE0C02">
        <w:fldChar w:fldCharType="separate"/>
      </w:r>
      <w:r w:rsidR="00E354C4">
        <w:t>BC29</w:t>
      </w:r>
      <w:r w:rsidR="00A40866" w:rsidRPr="00BE0C02">
        <w:fldChar w:fldCharType="end"/>
      </w:r>
      <w:r w:rsidR="00A40866" w:rsidRPr="00BE0C02">
        <w:t>).</w:t>
      </w:r>
      <w:r w:rsidR="0079144C" w:rsidRPr="00BE0C02">
        <w:t xml:space="preserve"> </w:t>
      </w:r>
      <w:r w:rsidRPr="00BE0C02">
        <w:t xml:space="preserve">This </w:t>
      </w:r>
      <w:r w:rsidR="008B30A8" w:rsidRPr="00BE0C02">
        <w:t>suggested</w:t>
      </w:r>
      <w:r w:rsidRPr="00BE0C02">
        <w:t xml:space="preserve"> a strong need to improve the consistency, comparability, transparency and enforceability of financial reporting, which </w:t>
      </w:r>
      <w:r w:rsidR="00FB46D2" w:rsidRPr="00BE0C02">
        <w:t>would</w:t>
      </w:r>
      <w:r w:rsidRPr="00BE0C02">
        <w:t xml:space="preserve"> also increase the usefulness and credibility of financial reporting in Australia.</w:t>
      </w:r>
      <w:bookmarkEnd w:id="25"/>
    </w:p>
    <w:p w14:paraId="4C28028D" w14:textId="550D92E7" w:rsidR="00CD22B9" w:rsidRPr="00BE0C02" w:rsidRDefault="00CD22B9" w:rsidP="007E6349">
      <w:pPr>
        <w:pStyle w:val="NumBC1"/>
        <w:numPr>
          <w:ilvl w:val="0"/>
          <w:numId w:val="27"/>
        </w:numPr>
        <w:ind w:left="782" w:hanging="782"/>
      </w:pPr>
      <w:bookmarkStart w:id="26" w:name="_Ref14076434"/>
      <w:r w:rsidRPr="00BE0C02">
        <w:lastRenderedPageBreak/>
        <w:t>It is incumbent on the AASB to resolve th</w:t>
      </w:r>
      <w:r w:rsidR="00432093" w:rsidRPr="00BE0C02">
        <w:t>e</w:t>
      </w:r>
      <w:r w:rsidRPr="00BE0C02">
        <w:t xml:space="preserve"> SPFS problem as, legislatively, the AASB must ensure there are appropriate accounting standards for each type of entity that must comply with accounting standards (</w:t>
      </w:r>
      <w:r w:rsidRPr="00BE0C02">
        <w:rPr>
          <w:i/>
          <w:iCs/>
        </w:rPr>
        <w:t>Australian Securities and Investments Commission Act</w:t>
      </w:r>
      <w:r w:rsidRPr="00BE0C02">
        <w:t xml:space="preserve"> </w:t>
      </w:r>
      <w:r w:rsidR="00B237AB" w:rsidRPr="00BE0C02">
        <w:rPr>
          <w:i/>
        </w:rPr>
        <w:t>2001</w:t>
      </w:r>
      <w:r w:rsidR="00B237AB" w:rsidRPr="00BE0C02">
        <w:t xml:space="preserve"> s</w:t>
      </w:r>
      <w:r w:rsidRPr="00BE0C02">
        <w:t>229(2)(c)) and facilitate comparability (</w:t>
      </w:r>
      <w:r w:rsidR="00B237AB" w:rsidRPr="00BE0C02">
        <w:t>s</w:t>
      </w:r>
      <w:r w:rsidRPr="00BE0C02">
        <w:t xml:space="preserve">224). The ability to make the self-assessment that gives rise to the SPFS problem sits within AAS. </w:t>
      </w:r>
      <w:r w:rsidR="00FB46D2" w:rsidRPr="00BE0C02">
        <w:t>Prior to issuing this Standard,</w:t>
      </w:r>
      <w:r w:rsidRPr="00BE0C02">
        <w:t xml:space="preserve"> the only AAS that explicitly apply to SPFS </w:t>
      </w:r>
      <w:r w:rsidR="00FB46D2" w:rsidRPr="00BE0C02">
        <w:t>of for-profit private sector entities focussed</w:t>
      </w:r>
      <w:r w:rsidRPr="00BE0C02">
        <w:t xml:space="preserve"> on presentation and disclosure (and not R&amp;M). </w:t>
      </w:r>
      <w:r w:rsidR="006320AC" w:rsidRPr="00BE0C02">
        <w:t>As such, it</w:t>
      </w:r>
      <w:r w:rsidR="00B237AB" w:rsidRPr="00BE0C02">
        <w:t xml:space="preserve"> </w:t>
      </w:r>
      <w:r w:rsidR="006320AC" w:rsidRPr="00BE0C02">
        <w:t>was</w:t>
      </w:r>
      <w:r w:rsidR="00B237AB" w:rsidRPr="00BE0C02">
        <w:t xml:space="preserve"> </w:t>
      </w:r>
      <w:r w:rsidR="005D54B8" w:rsidRPr="00BE0C02">
        <w:t>the directors</w:t>
      </w:r>
      <w:r w:rsidR="00B237AB" w:rsidRPr="00BE0C02">
        <w:t>’</w:t>
      </w:r>
      <w:r w:rsidR="005D54B8" w:rsidRPr="00BE0C02">
        <w:t xml:space="preserve"> choice of accounting policies that provides the</w:t>
      </w:r>
      <w:r w:rsidR="00A40866" w:rsidRPr="00BE0C02">
        <w:t xml:space="preserve"> financial</w:t>
      </w:r>
      <w:r w:rsidR="005D54B8" w:rsidRPr="00BE0C02">
        <w:t xml:space="preserve"> reporting framework.</w:t>
      </w:r>
      <w:r w:rsidRPr="00BE0C02">
        <w:t xml:space="preserve"> As a consequence, other regulators have attempted to fill the gap by providing additional guidance in relation to R&amp;M. Despite th</w:t>
      </w:r>
      <w:r w:rsidR="001F197B">
        <w:t>i</w:t>
      </w:r>
      <w:r w:rsidR="000B4271">
        <w:t>s</w:t>
      </w:r>
      <w:r w:rsidRPr="00BE0C02">
        <w:t>, discussions with users, including lenders and insolvency practitioners, indicate</w:t>
      </w:r>
      <w:r w:rsidR="006320AC" w:rsidRPr="00BE0C02">
        <w:t>d</w:t>
      </w:r>
      <w:r w:rsidRPr="00BE0C02">
        <w:t xml:space="preserve"> their needs for information about liquidity, solvency, cash flows, commitments and contingencies </w:t>
      </w:r>
      <w:r w:rsidR="00FB240B" w:rsidRPr="00BE0C02">
        <w:t xml:space="preserve">and related party disclosures </w:t>
      </w:r>
      <w:r w:rsidR="00A00047" w:rsidRPr="00BE0C02">
        <w:t>were</w:t>
      </w:r>
      <w:r w:rsidRPr="00BE0C02">
        <w:t xml:space="preserve"> not being met in</w:t>
      </w:r>
      <w:r w:rsidR="00530F6B" w:rsidRPr="00BE0C02">
        <w:t xml:space="preserve"> </w:t>
      </w:r>
      <w:r w:rsidRPr="00BE0C02">
        <w:t>most SPFS</w:t>
      </w:r>
      <w:r w:rsidR="00121A7A" w:rsidRPr="00BE0C02">
        <w:t xml:space="preserve"> and they </w:t>
      </w:r>
      <w:r w:rsidR="00A00047" w:rsidRPr="00BE0C02">
        <w:t>were</w:t>
      </w:r>
      <w:r w:rsidR="007E58EB" w:rsidRPr="00BE0C02">
        <w:t xml:space="preserve"> not all aware of the</w:t>
      </w:r>
      <w:r w:rsidR="00ED6848" w:rsidRPr="00BE0C02">
        <w:t xml:space="preserve"> extent of the</w:t>
      </w:r>
      <w:r w:rsidR="007E58EB" w:rsidRPr="00BE0C02">
        <w:t xml:space="preserve"> </w:t>
      </w:r>
      <w:r w:rsidR="00EA7F63">
        <w:t>R&amp;M</w:t>
      </w:r>
      <w:r w:rsidR="007E58EB" w:rsidRPr="00BE0C02">
        <w:t xml:space="preserve"> </w:t>
      </w:r>
      <w:r w:rsidR="00ED6848" w:rsidRPr="00BE0C02">
        <w:t>issues</w:t>
      </w:r>
      <w:r w:rsidRPr="00BE0C02">
        <w:t>. This indicate</w:t>
      </w:r>
      <w:r w:rsidR="00A00047" w:rsidRPr="00BE0C02">
        <w:t>d</w:t>
      </w:r>
      <w:r w:rsidRPr="00BE0C02">
        <w:t xml:space="preserve"> </w:t>
      </w:r>
      <w:r w:rsidR="00912FB3" w:rsidRPr="00BE0C02">
        <w:t xml:space="preserve">a need </w:t>
      </w:r>
      <w:r w:rsidRPr="00BE0C02">
        <w:t>for minimum R&amp;M requirements to be specified in AAS.</w:t>
      </w:r>
      <w:bookmarkEnd w:id="26"/>
    </w:p>
    <w:p w14:paraId="35F6BD14" w14:textId="432CB3ED" w:rsidR="00CD22B9" w:rsidRPr="00BE0C02" w:rsidRDefault="00CD22B9" w:rsidP="007E6349">
      <w:pPr>
        <w:pStyle w:val="NumBC1"/>
        <w:numPr>
          <w:ilvl w:val="0"/>
          <w:numId w:val="27"/>
        </w:numPr>
        <w:ind w:left="782" w:hanging="782"/>
      </w:pPr>
      <w:r w:rsidRPr="00BE0C02">
        <w:t>Therefore, as noted in paragraph</w:t>
      </w:r>
      <w:r w:rsidR="00970ED8" w:rsidRPr="00BE0C02">
        <w:t xml:space="preserve"> </w:t>
      </w:r>
      <w:r w:rsidR="00970ED8" w:rsidRPr="00BE0C02">
        <w:fldChar w:fldCharType="begin"/>
      </w:r>
      <w:r w:rsidR="00970ED8" w:rsidRPr="00BE0C02">
        <w:instrText xml:space="preserve"> REF _Ref16630115 \r \h </w:instrText>
      </w:r>
      <w:r w:rsidR="00BE0C02">
        <w:instrText xml:space="preserve"> \* MERGEFORMAT </w:instrText>
      </w:r>
      <w:r w:rsidR="00970ED8" w:rsidRPr="00BE0C02">
        <w:fldChar w:fldCharType="separate"/>
      </w:r>
      <w:r w:rsidR="00E354C4">
        <w:t>BC6</w:t>
      </w:r>
      <w:r w:rsidR="00970ED8" w:rsidRPr="00BE0C02">
        <w:fldChar w:fldCharType="end"/>
      </w:r>
      <w:r w:rsidRPr="00BE0C02">
        <w:t xml:space="preserve">, </w:t>
      </w:r>
      <w:r w:rsidR="00912FB3" w:rsidRPr="00BE0C02">
        <w:t>the Board decided</w:t>
      </w:r>
      <w:r w:rsidRPr="00BE0C02">
        <w:t xml:space="preserve"> to </w:t>
      </w:r>
      <w:r w:rsidR="00F85EC2" w:rsidRPr="00BE0C02">
        <w:t xml:space="preserve">play </w:t>
      </w:r>
      <w:r w:rsidRPr="00BE0C02">
        <w:t xml:space="preserve">its role in improving the consistency, comparability, transparency and enforceability of financial statements to meet user needs, whilst mitigating, where appropriate, the increased reporting burden for entities that would no longer be able to prepare SPFS and would instead be required to prepare GPFS in accordance with AAS. </w:t>
      </w:r>
    </w:p>
    <w:bookmarkEnd w:id="24"/>
    <w:p w14:paraId="4AB7DA1F" w14:textId="062F0A76" w:rsidR="00CD22B9" w:rsidRPr="00BE0C02" w:rsidRDefault="00CD22B9" w:rsidP="00267FDF">
      <w:pPr>
        <w:pStyle w:val="Heading4"/>
        <w:spacing w:before="200"/>
        <w:rPr>
          <w:b w:val="0"/>
          <w:bCs/>
          <w:szCs w:val="18"/>
        </w:rPr>
      </w:pPr>
      <w:r w:rsidRPr="00BE0C02">
        <w:t xml:space="preserve">Results of research into the reporting practices of </w:t>
      </w:r>
      <w:r w:rsidR="001453E2" w:rsidRPr="00BE0C02">
        <w:t xml:space="preserve">specified </w:t>
      </w:r>
      <w:r w:rsidRPr="00BE0C02">
        <w:t>for-profit entities</w:t>
      </w:r>
      <w:r w:rsidRPr="00BE0C02">
        <w:rPr>
          <w:i/>
          <w:iCs w:val="0"/>
          <w:szCs w:val="18"/>
        </w:rPr>
        <w:t xml:space="preserve"> </w:t>
      </w:r>
      <w:r w:rsidRPr="00BE0C02">
        <w:rPr>
          <w:iCs w:val="0"/>
          <w:szCs w:val="18"/>
        </w:rPr>
        <w:t>lodging financial statements with ASIC</w:t>
      </w:r>
    </w:p>
    <w:p w14:paraId="0A37B4ED" w14:textId="3F27DF5A" w:rsidR="00CD22B9" w:rsidRPr="00BE0C02" w:rsidRDefault="00CD22B9" w:rsidP="007E6349">
      <w:pPr>
        <w:pStyle w:val="NumBC1"/>
        <w:numPr>
          <w:ilvl w:val="0"/>
          <w:numId w:val="27"/>
        </w:numPr>
        <w:ind w:left="782" w:hanging="782"/>
      </w:pPr>
      <w:bookmarkStart w:id="27" w:name="_Ref9589465"/>
      <w:bookmarkStart w:id="28" w:name="_Ref9260006"/>
      <w:r w:rsidRPr="00BE0C02">
        <w:t xml:space="preserve">The Board initiated academic research that resulted in the publication of AASB Research Report No. 1 </w:t>
      </w:r>
      <w:r w:rsidRPr="00BE0C02">
        <w:rPr>
          <w:i/>
        </w:rPr>
        <w:t>Application of the Reporting Entity Concept and Lodgement of Special Purpose Financial Statements</w:t>
      </w:r>
      <w:r w:rsidRPr="00BE0C02">
        <w:t xml:space="preserve"> (June 2014). Research Report No. 1 analysed the application of the reporting entity concept and the adoption of special purpose financial reporting, particularly by entities lodging financial statements with ASIC and with state-based regulators </w:t>
      </w:r>
      <w:r w:rsidR="00912FB3" w:rsidRPr="00BE0C02">
        <w:t>of</w:t>
      </w:r>
      <w:r w:rsidRPr="00BE0C02">
        <w:t xml:space="preserve"> Australia’s three most populous states, namely, Consumer Affairs Victoria, NSW Fair Trading and Queensland Office of Fair Trading. Research Report No. 1 showed that, based on lodgements as at 30 July 2011, approximately 66% of </w:t>
      </w:r>
      <w:r w:rsidR="001453E2" w:rsidRPr="00BE0C02">
        <w:t xml:space="preserve">specified </w:t>
      </w:r>
      <w:r w:rsidRPr="00BE0C02">
        <w:t>for-profit entities</w:t>
      </w:r>
      <w:r w:rsidRPr="00BE0C02">
        <w:rPr>
          <w:rStyle w:val="FootnoteReference"/>
        </w:rPr>
        <w:footnoteReference w:id="8"/>
      </w:r>
      <w:r w:rsidRPr="00BE0C02">
        <w:t xml:space="preserve"> lodged SPFS with ASIC. The findings of Research Report No. 1 indicated to the Board that:</w:t>
      </w:r>
      <w:bookmarkEnd w:id="27"/>
    </w:p>
    <w:p w14:paraId="16249D86" w14:textId="39F5E365" w:rsidR="00CD22B9" w:rsidRPr="00BE0C02" w:rsidRDefault="00CD22B9" w:rsidP="007E6349">
      <w:pPr>
        <w:pStyle w:val="NumBC2"/>
        <w:numPr>
          <w:ilvl w:val="0"/>
          <w:numId w:val="29"/>
        </w:numPr>
        <w:ind w:left="1564" w:hanging="782"/>
      </w:pPr>
      <w:r w:rsidRPr="00BE0C02">
        <w:t xml:space="preserve">in light of the high incidence of SPFS being lodged with ASIC, there is doubt as to whether the reporting entity concept is being applied as intended by </w:t>
      </w:r>
      <w:r w:rsidR="00530F6B" w:rsidRPr="00BE0C02">
        <w:rPr>
          <w:szCs w:val="19"/>
        </w:rPr>
        <w:t>SAC 1</w:t>
      </w:r>
      <w:r w:rsidRPr="00BE0C02">
        <w:t>;</w:t>
      </w:r>
    </w:p>
    <w:p w14:paraId="15BBE4B7" w14:textId="77777777" w:rsidR="00CD22B9" w:rsidRPr="00BE0C02" w:rsidRDefault="00CD22B9" w:rsidP="007E6349">
      <w:pPr>
        <w:pStyle w:val="NumBC2"/>
        <w:numPr>
          <w:ilvl w:val="0"/>
          <w:numId w:val="29"/>
        </w:numPr>
        <w:ind w:left="1564" w:hanging="782"/>
      </w:pPr>
      <w:r w:rsidRPr="00BE0C02">
        <w:t xml:space="preserve">the reporting entity concept appears too subjective for regulators to enforce effectively and accordingly does not create a level playing field; and </w:t>
      </w:r>
    </w:p>
    <w:p w14:paraId="6441FB72" w14:textId="6D7332BD" w:rsidR="00CD22B9" w:rsidRPr="00BE0C02" w:rsidRDefault="00CD22B9" w:rsidP="007E6349">
      <w:pPr>
        <w:pStyle w:val="NumBC2"/>
        <w:numPr>
          <w:ilvl w:val="0"/>
          <w:numId w:val="29"/>
        </w:numPr>
        <w:ind w:left="1564" w:hanging="782"/>
      </w:pPr>
      <w:bookmarkStart w:id="29" w:name="_Ref9595844"/>
      <w:r w:rsidRPr="00BE0C02">
        <w:t xml:space="preserve">63% of SPFS lodged with ASIC stated compliance with the R&amp;M requirements of applicable AAS, suggesting that R&amp;M was not always complied with despite regulatory guidance suggesting this should be the case (see paragraphs </w:t>
      </w:r>
      <w:r w:rsidRPr="00BE0C02">
        <w:fldChar w:fldCharType="begin"/>
      </w:r>
      <w:r w:rsidRPr="00BE0C02">
        <w:instrText xml:space="preserve"> REF _Ref9852977 \r \h </w:instrText>
      </w:r>
      <w:r w:rsidR="00BE0C02">
        <w:instrText xml:space="preserve"> \* MERGEFORMAT </w:instrText>
      </w:r>
      <w:r w:rsidRPr="00BE0C02">
        <w:fldChar w:fldCharType="separate"/>
      </w:r>
      <w:r w:rsidR="00E354C4">
        <w:t>BC28</w:t>
      </w:r>
      <w:r w:rsidRPr="00BE0C02">
        <w:fldChar w:fldCharType="end"/>
      </w:r>
      <w:r w:rsidR="00F213D7" w:rsidRPr="00BE0C02">
        <w:t>-</w:t>
      </w:r>
      <w:r w:rsidR="00F85EC2" w:rsidRPr="00BE0C02">
        <w:fldChar w:fldCharType="begin"/>
      </w:r>
      <w:r w:rsidR="00F85EC2" w:rsidRPr="00BE0C02">
        <w:instrText xml:space="preserve"> REF _Ref13572537 \r \h </w:instrText>
      </w:r>
      <w:r w:rsidR="00BE0C02">
        <w:instrText xml:space="preserve"> \* MERGEFORMAT </w:instrText>
      </w:r>
      <w:r w:rsidR="00F85EC2" w:rsidRPr="00BE0C02">
        <w:fldChar w:fldCharType="separate"/>
      </w:r>
      <w:r w:rsidR="00E354C4">
        <w:t>BC29</w:t>
      </w:r>
      <w:r w:rsidR="00F85EC2" w:rsidRPr="00BE0C02">
        <w:fldChar w:fldCharType="end"/>
      </w:r>
      <w:r w:rsidRPr="00BE0C02">
        <w:t>).</w:t>
      </w:r>
      <w:bookmarkEnd w:id="29"/>
      <w:r w:rsidRPr="00BE0C02">
        <w:t xml:space="preserve"> </w:t>
      </w:r>
    </w:p>
    <w:p w14:paraId="525842BE" w14:textId="5C923692" w:rsidR="00CD22B9" w:rsidRPr="00BE0C02" w:rsidRDefault="00CD22B9" w:rsidP="007E6349">
      <w:pPr>
        <w:pStyle w:val="NumBC1"/>
        <w:numPr>
          <w:ilvl w:val="0"/>
          <w:numId w:val="27"/>
        </w:numPr>
        <w:ind w:left="782" w:hanging="782"/>
      </w:pPr>
      <w:bookmarkStart w:id="30" w:name="_Ref9431880"/>
      <w:bookmarkEnd w:id="28"/>
      <w:r w:rsidRPr="00BE0C02">
        <w:t>The Board also initiated subsequent research</w:t>
      </w:r>
      <w:r w:rsidR="005364AF">
        <w:rPr>
          <w:rStyle w:val="FootnoteReference"/>
        </w:rPr>
        <w:footnoteReference w:id="9"/>
      </w:r>
      <w:r w:rsidRPr="00BE0C02">
        <w:t xml:space="preserve"> to understand how the reporting practices of for-profit entities lodging</w:t>
      </w:r>
      <w:r w:rsidR="00530F6B" w:rsidRPr="00BE0C02">
        <w:t xml:space="preserve"> SPFS </w:t>
      </w:r>
      <w:r w:rsidRPr="00BE0C02">
        <w:t>with ASIC may have changed since the introduction</w:t>
      </w:r>
      <w:r w:rsidR="004540B1" w:rsidRPr="00BE0C02">
        <w:t xml:space="preserve"> of</w:t>
      </w:r>
      <w:r w:rsidRPr="00BE0C02">
        <w:t xml:space="preserve"> the RDR reporting framework in 2010. </w:t>
      </w:r>
      <w:r w:rsidR="00F02FF2" w:rsidRPr="00BE0C02">
        <w:t>An</w:t>
      </w:r>
      <w:r w:rsidRPr="00BE0C02">
        <w:t xml:space="preserve"> analysis of financial reports of </w:t>
      </w:r>
      <w:r w:rsidR="00432093" w:rsidRPr="00BE0C02">
        <w:t xml:space="preserve">the </w:t>
      </w:r>
      <w:r w:rsidR="001453E2" w:rsidRPr="00BE0C02">
        <w:t xml:space="preserve">specified </w:t>
      </w:r>
      <w:r w:rsidRPr="00BE0C02">
        <w:t>for-profit entities lodging financial statements with ASIC in 2018 confirmed that 71% of the</w:t>
      </w:r>
      <w:r w:rsidR="00F85EC2" w:rsidRPr="00BE0C02">
        <w:t>se</w:t>
      </w:r>
      <w:r w:rsidRPr="00BE0C02">
        <w:t xml:space="preserve"> entities were still lodging SPFS with ASIC, 13% lodged Tier 2 GPFS</w:t>
      </w:r>
      <w:r w:rsidR="00F85EC2" w:rsidRPr="00BE0C02">
        <w:t xml:space="preserve"> and 16% lodged Tier 1 GPFS</w:t>
      </w:r>
      <w:r w:rsidRPr="00BE0C02">
        <w:t>.</w:t>
      </w:r>
      <w:r w:rsidR="00530F6B" w:rsidRPr="00BE0C02">
        <w:t xml:space="preserve"> T</w:t>
      </w:r>
      <w:bookmarkEnd w:id="30"/>
      <w:r w:rsidR="00B05E1D" w:rsidRPr="00BE0C02">
        <w:t>he Board also noted that th</w:t>
      </w:r>
      <w:r w:rsidR="00F039DC" w:rsidRPr="00BE0C02">
        <w:t xml:space="preserve">ose </w:t>
      </w:r>
      <w:r w:rsidR="00530F6B" w:rsidRPr="00BE0C02">
        <w:t>entities preparing Tier 2 GPFS (</w:t>
      </w:r>
      <w:r w:rsidR="00F039DC" w:rsidRPr="00BE0C02">
        <w:t>RDR</w:t>
      </w:r>
      <w:r w:rsidR="00530F6B" w:rsidRPr="00BE0C02">
        <w:t>)</w:t>
      </w:r>
      <w:r w:rsidR="00F039DC" w:rsidRPr="00BE0C02">
        <w:t xml:space="preserve"> appear to have </w:t>
      </w:r>
      <w:r w:rsidR="00B237AB" w:rsidRPr="00BE0C02">
        <w:t xml:space="preserve">moved </w:t>
      </w:r>
      <w:r w:rsidR="00F039DC" w:rsidRPr="00BE0C02">
        <w:t>from</w:t>
      </w:r>
      <w:r w:rsidR="00530F6B" w:rsidRPr="00BE0C02">
        <w:t xml:space="preserve"> </w:t>
      </w:r>
      <w:r w:rsidR="00E1649D" w:rsidRPr="00BE0C02">
        <w:t xml:space="preserve">Tier 1 </w:t>
      </w:r>
      <w:r w:rsidR="00530F6B" w:rsidRPr="00BE0C02">
        <w:t xml:space="preserve">GPFS </w:t>
      </w:r>
      <w:r w:rsidR="00E1649D" w:rsidRPr="00BE0C02">
        <w:t xml:space="preserve">to </w:t>
      </w:r>
      <w:r w:rsidR="00530F6B" w:rsidRPr="00BE0C02">
        <w:t>R</w:t>
      </w:r>
      <w:r w:rsidR="00E1649D" w:rsidRPr="00BE0C02">
        <w:t>DR and not from S</w:t>
      </w:r>
      <w:r w:rsidR="00530F6B" w:rsidRPr="00BE0C02">
        <w:t>P</w:t>
      </w:r>
      <w:r w:rsidR="00E1649D" w:rsidRPr="00BE0C02">
        <w:t>FS to RDR.</w:t>
      </w:r>
    </w:p>
    <w:p w14:paraId="1F05564E" w14:textId="00C00A46" w:rsidR="00CD22B9" w:rsidRPr="00BE0C02" w:rsidRDefault="00CD22B9" w:rsidP="007E6349">
      <w:pPr>
        <w:pStyle w:val="NumBC1"/>
        <w:numPr>
          <w:ilvl w:val="0"/>
          <w:numId w:val="27"/>
        </w:numPr>
        <w:ind w:left="782" w:hanging="782"/>
      </w:pPr>
      <w:bookmarkStart w:id="31" w:name="_Ref9857719"/>
      <w:r w:rsidRPr="00BE0C02">
        <w:t xml:space="preserve">In respect of compliance with the R&amp;M requirements in AAS, the Board noted the more detailed findings of Research Report </w:t>
      </w:r>
      <w:r w:rsidR="006D56C2" w:rsidRPr="00BE0C02">
        <w:t>12</w:t>
      </w:r>
      <w:r w:rsidRPr="00BE0C02">
        <w:t xml:space="preserve">, which estimates that 76% of </w:t>
      </w:r>
      <w:r w:rsidR="001453E2" w:rsidRPr="00BE0C02">
        <w:t xml:space="preserve">specified </w:t>
      </w:r>
      <w:r w:rsidRPr="00BE0C02">
        <w:t>for-profit entities preparing and lodging SPFS with ASIC complied with the R&amp;M requirements in AAS</w:t>
      </w:r>
      <w:r w:rsidR="00B237AB" w:rsidRPr="00BE0C02">
        <w:t>.</w:t>
      </w:r>
      <w:r w:rsidRPr="00BE0C02">
        <w:t xml:space="preserve"> In particular:</w:t>
      </w:r>
      <w:bookmarkEnd w:id="31"/>
    </w:p>
    <w:p w14:paraId="2ACCBBAA" w14:textId="3AC28F0B" w:rsidR="00CD22B9" w:rsidRPr="00BE0C02" w:rsidRDefault="00CD22B9" w:rsidP="007E6349">
      <w:pPr>
        <w:pStyle w:val="NumBC2"/>
        <w:numPr>
          <w:ilvl w:val="0"/>
          <w:numId w:val="57"/>
        </w:numPr>
        <w:ind w:left="1564" w:hanging="782"/>
      </w:pPr>
      <w:r w:rsidRPr="00BE0C02">
        <w:t xml:space="preserve">66% explicitly stated that they followed the R&amp;M requirements in AAS (compared with the 63% found in Research Report No.1 – see paragraph </w:t>
      </w:r>
      <w:r w:rsidRPr="00BE0C02">
        <w:fldChar w:fldCharType="begin"/>
      </w:r>
      <w:r w:rsidRPr="00BE0C02">
        <w:instrText xml:space="preserve"> REF _Ref9589465 \r \h  \* MERGEFORMAT </w:instrText>
      </w:r>
      <w:r w:rsidRPr="00BE0C02">
        <w:fldChar w:fldCharType="separate"/>
      </w:r>
      <w:r w:rsidR="00E354C4">
        <w:t>BC18</w:t>
      </w:r>
      <w:r w:rsidRPr="00BE0C02">
        <w:fldChar w:fldCharType="end"/>
      </w:r>
      <w:r w:rsidRPr="00BE0C02">
        <w:fldChar w:fldCharType="begin"/>
      </w:r>
      <w:r w:rsidRPr="00BE0C02">
        <w:instrText xml:space="preserve"> REF _Ref9595844 \r \h  \* MERGEFORMAT </w:instrText>
      </w:r>
      <w:r w:rsidRPr="00BE0C02">
        <w:fldChar w:fldCharType="separate"/>
      </w:r>
      <w:r w:rsidR="00E354C4">
        <w:t>(c)</w:t>
      </w:r>
      <w:r w:rsidRPr="00BE0C02">
        <w:fldChar w:fldCharType="end"/>
      </w:r>
      <w:r w:rsidRPr="00BE0C02">
        <w:t>); and</w:t>
      </w:r>
    </w:p>
    <w:p w14:paraId="0B482D9F" w14:textId="2C0D67A9" w:rsidR="00CD22B9" w:rsidRPr="00BE0C02" w:rsidRDefault="00CD22B9" w:rsidP="007E6349">
      <w:pPr>
        <w:pStyle w:val="NumBC2"/>
        <w:numPr>
          <w:ilvl w:val="0"/>
          <w:numId w:val="29"/>
        </w:numPr>
        <w:ind w:left="1564" w:hanging="782"/>
      </w:pPr>
      <w:r w:rsidRPr="00BE0C02">
        <w:t>10% were assessed to have complied with the R&amp;M requirements in AAS based on a qualitative review of the accounting policies, despite the absence of an explicit statement to that effect.</w:t>
      </w:r>
    </w:p>
    <w:p w14:paraId="4566921D" w14:textId="3BAE5E90" w:rsidR="008C740B" w:rsidRPr="00BE0C02" w:rsidRDefault="00982B85" w:rsidP="007E6349">
      <w:pPr>
        <w:pStyle w:val="NumBC1"/>
        <w:numPr>
          <w:ilvl w:val="0"/>
          <w:numId w:val="27"/>
        </w:numPr>
        <w:ind w:left="782" w:hanging="782"/>
      </w:pPr>
      <w:bookmarkStart w:id="32" w:name="_Ref13571314"/>
      <w:r w:rsidRPr="00BE0C02">
        <w:t>For</w:t>
      </w:r>
      <w:r w:rsidR="00CD22B9" w:rsidRPr="00BE0C02">
        <w:t xml:space="preserve"> the remaining 24%</w:t>
      </w:r>
      <w:r w:rsidR="008C740B" w:rsidRPr="00BE0C02">
        <w:t>:</w:t>
      </w:r>
      <w:r w:rsidR="00CD22B9" w:rsidRPr="00BE0C02">
        <w:t xml:space="preserve"> </w:t>
      </w:r>
    </w:p>
    <w:bookmarkEnd w:id="32"/>
    <w:p w14:paraId="774157E3" w14:textId="65777A13" w:rsidR="00CD22B9" w:rsidRPr="00BE0C02" w:rsidRDefault="00CD22B9" w:rsidP="007E6349">
      <w:pPr>
        <w:pStyle w:val="NumBC2"/>
        <w:numPr>
          <w:ilvl w:val="0"/>
          <w:numId w:val="60"/>
        </w:numPr>
        <w:ind w:left="1564" w:hanging="782"/>
      </w:pPr>
      <w:r w:rsidRPr="00BE0C02">
        <w:t>10% did not comply with the R&amp;M requirements in AAS (of which only 0.5% clearly stated so); and</w:t>
      </w:r>
    </w:p>
    <w:p w14:paraId="20D58D29" w14:textId="77777777" w:rsidR="00CD22B9" w:rsidRPr="00BE0C02" w:rsidRDefault="00CD22B9" w:rsidP="007E6349">
      <w:pPr>
        <w:pStyle w:val="NumBC2"/>
        <w:numPr>
          <w:ilvl w:val="0"/>
          <w:numId w:val="60"/>
        </w:numPr>
        <w:ind w:left="1564" w:hanging="782"/>
      </w:pPr>
      <w:r w:rsidRPr="00BE0C02">
        <w:t xml:space="preserve">the extent of compliance (or otherwise) with the R&amp;M requirements in AAS of the remaining 14% was unclear. </w:t>
      </w:r>
    </w:p>
    <w:p w14:paraId="3B9534BD" w14:textId="0B9AE4B2" w:rsidR="00CD22B9" w:rsidRPr="00BE0C02" w:rsidRDefault="00CD22B9" w:rsidP="007E6349">
      <w:pPr>
        <w:pStyle w:val="NumBC1"/>
        <w:numPr>
          <w:ilvl w:val="0"/>
          <w:numId w:val="27"/>
        </w:numPr>
        <w:ind w:left="782" w:hanging="782"/>
      </w:pPr>
      <w:bookmarkStart w:id="33" w:name="_Ref13571695"/>
      <w:bookmarkStart w:id="34" w:name="_Ref16540743"/>
      <w:bookmarkStart w:id="35" w:name="_Ref10166937"/>
      <w:r w:rsidRPr="00BE0C02">
        <w:t xml:space="preserve">In addition to it being difficult for the researchers to understand the extent of alignment between an entity’s accounting policies and the R&amp;M requirements in AAS, the Board noted the same difficulties faced by financial statement users. This leads to fundamental issues with the transparency of information available to </w:t>
      </w:r>
      <w:r w:rsidRPr="00BE0C02">
        <w:lastRenderedPageBreak/>
        <w:t>users of publicly lodged SPFS</w:t>
      </w:r>
      <w:r w:rsidR="002C1F3E" w:rsidRPr="00BE0C02">
        <w:t>, consistency</w:t>
      </w:r>
      <w:r w:rsidRPr="00BE0C02">
        <w:t xml:space="preserve"> and the comparability of SPFS with other SPFS and GPFS.</w:t>
      </w:r>
      <w:bookmarkEnd w:id="33"/>
      <w:r w:rsidR="00F4609D" w:rsidRPr="00BE0C02">
        <w:t xml:space="preserve"> </w:t>
      </w:r>
      <w:r w:rsidR="006D5AF2" w:rsidRPr="00BE0C02">
        <w:t xml:space="preserve">As noted in </w:t>
      </w:r>
      <w:r w:rsidR="00EC343A" w:rsidRPr="00BE0C02">
        <w:t>paragraph</w:t>
      </w:r>
      <w:r w:rsidR="006D5AF2" w:rsidRPr="00BE0C02">
        <w:t xml:space="preserve"> </w:t>
      </w:r>
      <w:r w:rsidR="006D5AF2" w:rsidRPr="00BE0C02">
        <w:fldChar w:fldCharType="begin"/>
      </w:r>
      <w:r w:rsidR="006D5AF2" w:rsidRPr="00BE0C02">
        <w:instrText xml:space="preserve"> REF _Ref13571262 \r \h </w:instrText>
      </w:r>
      <w:r w:rsidR="00BE0C02">
        <w:instrText xml:space="preserve"> \* MERGEFORMAT </w:instrText>
      </w:r>
      <w:r w:rsidR="006D5AF2" w:rsidRPr="00BE0C02">
        <w:fldChar w:fldCharType="separate"/>
      </w:r>
      <w:r w:rsidR="00E354C4">
        <w:t>BC15</w:t>
      </w:r>
      <w:r w:rsidR="006D5AF2" w:rsidRPr="00BE0C02">
        <w:fldChar w:fldCharType="end"/>
      </w:r>
      <w:r w:rsidR="006D5AF2" w:rsidRPr="00BE0C02">
        <w:t xml:space="preserve">, </w:t>
      </w:r>
      <w:r w:rsidR="009B5FF1" w:rsidRPr="00BE0C02">
        <w:t xml:space="preserve">only 76% </w:t>
      </w:r>
      <w:r w:rsidR="006D5AF2" w:rsidRPr="00BE0C02">
        <w:t xml:space="preserve">of entities preparing SPFS </w:t>
      </w:r>
      <w:r w:rsidR="009B5FF1" w:rsidRPr="00BE0C02">
        <w:t xml:space="preserve">are voluntarily complying with RG 85 </w:t>
      </w:r>
      <w:r w:rsidR="008A7BC7" w:rsidRPr="00BE0C02">
        <w:t xml:space="preserve">recommendations, suggesting that mandatory requirements </w:t>
      </w:r>
      <w:r w:rsidR="00912FB3" w:rsidRPr="00BE0C02">
        <w:t>were</w:t>
      </w:r>
      <w:r w:rsidR="008A7BC7" w:rsidRPr="00BE0C02">
        <w:t xml:space="preserve"> need</w:t>
      </w:r>
      <w:r w:rsidR="00E702E7" w:rsidRPr="00BE0C02">
        <w:t>ed</w:t>
      </w:r>
      <w:r w:rsidR="008A7BC7" w:rsidRPr="00BE0C02">
        <w:t xml:space="preserve"> to improve the quality of financial reporting.</w:t>
      </w:r>
      <w:bookmarkEnd w:id="34"/>
    </w:p>
    <w:p w14:paraId="659C5497" w14:textId="6F15870F" w:rsidR="00A43B27" w:rsidRPr="00BE0C02" w:rsidRDefault="00167FBA" w:rsidP="00A43B27">
      <w:pPr>
        <w:pStyle w:val="NumBC1"/>
        <w:numPr>
          <w:ilvl w:val="0"/>
          <w:numId w:val="27"/>
        </w:numPr>
        <w:ind w:left="782" w:hanging="782"/>
      </w:pPr>
      <w:r w:rsidRPr="00BE0C02">
        <w:t>In response, i</w:t>
      </w:r>
      <w:r w:rsidR="00F16F45" w:rsidRPr="00BE0C02">
        <w:t xml:space="preserve">n </w:t>
      </w:r>
      <w:r w:rsidR="00EF2FE1" w:rsidRPr="00BE0C02">
        <w:t xml:space="preserve">July </w:t>
      </w:r>
      <w:r w:rsidR="00136805" w:rsidRPr="00BE0C02">
        <w:t>2019</w:t>
      </w:r>
      <w:r w:rsidRPr="00BE0C02">
        <w:t>,</w:t>
      </w:r>
      <w:r w:rsidR="00136805" w:rsidRPr="00BE0C02">
        <w:t xml:space="preserve"> the Board issued ED 293</w:t>
      </w:r>
      <w:r w:rsidR="00EF2FE1" w:rsidRPr="00BE0C02">
        <w:t xml:space="preserve"> </w:t>
      </w:r>
      <w:r w:rsidR="00EF2FE1" w:rsidRPr="00BE0C02">
        <w:rPr>
          <w:i/>
          <w:iCs/>
        </w:rPr>
        <w:t>Amendments to Australian Accounting Standards – Disclosure in Special Purpose Financial Statements of Compliance with Recognition and Measurement Requirements</w:t>
      </w:r>
      <w:r w:rsidR="0044316B" w:rsidRPr="00BE0C02">
        <w:rPr>
          <w:i/>
          <w:iCs/>
        </w:rPr>
        <w:t xml:space="preserve"> </w:t>
      </w:r>
      <w:r w:rsidRPr="00BE0C02">
        <w:t xml:space="preserve">which </w:t>
      </w:r>
      <w:r w:rsidR="00887B01" w:rsidRPr="00BE0C02">
        <w:t>propose</w:t>
      </w:r>
      <w:r w:rsidR="00ED1C98" w:rsidRPr="00BE0C02">
        <w:t>d</w:t>
      </w:r>
      <w:r w:rsidR="00887B01" w:rsidRPr="00BE0C02">
        <w:t xml:space="preserve">, as an interim measure, amendments to AAS to require entities preparing SPFS to make an explicit statement as to whether or not the accounting policies applied in the SPFS comply with all the R&amp;M requirements in AAS. The Board acknowledged that disclosure of this information </w:t>
      </w:r>
      <w:r w:rsidR="00B4694C" w:rsidRPr="00BE0C02">
        <w:t>wa</w:t>
      </w:r>
      <w:r w:rsidR="00887B01" w:rsidRPr="00BE0C02">
        <w:t>s not sufficient to address the problems with publicly lodged SPFS, however th</w:t>
      </w:r>
      <w:r w:rsidR="00B4694C" w:rsidRPr="00BE0C02">
        <w:t>e</w:t>
      </w:r>
      <w:r w:rsidR="00887B01" w:rsidRPr="00BE0C02">
        <w:t xml:space="preserve"> interim measure </w:t>
      </w:r>
      <w:r w:rsidR="00B4694C" w:rsidRPr="00BE0C02">
        <w:t>wa</w:t>
      </w:r>
      <w:r w:rsidR="00887B01" w:rsidRPr="00BE0C02">
        <w:t xml:space="preserve">s aimed at providing some measure of transparency to users until the </w:t>
      </w:r>
      <w:r w:rsidR="001B3C92" w:rsidRPr="00BE0C02">
        <w:t xml:space="preserve">resolution of the </w:t>
      </w:r>
      <w:r w:rsidR="00887B01" w:rsidRPr="00BE0C02">
        <w:t>SPFS problem, in the short to medium term for for-profit private sector entities and in the longer term for not-for-profit entities.</w:t>
      </w:r>
      <w:r w:rsidR="006536B7" w:rsidRPr="00BE0C02">
        <w:t xml:space="preserve"> </w:t>
      </w:r>
      <w:r w:rsidR="00A7543C" w:rsidRPr="00BE0C02">
        <w:t xml:space="preserve">After </w:t>
      </w:r>
      <w:r w:rsidR="00C9505E" w:rsidRPr="00BE0C02">
        <w:t>considering feedback from respondents</w:t>
      </w:r>
      <w:r w:rsidR="001D4CF5" w:rsidRPr="00BE0C02">
        <w:t xml:space="preserve"> on ED 293</w:t>
      </w:r>
      <w:r w:rsidR="00941FDB" w:rsidRPr="00BE0C02">
        <w:t xml:space="preserve">, the Board decided to limit the scope of the proposals to only </w:t>
      </w:r>
      <w:r w:rsidR="0026616C">
        <w:t>not-for-profit (</w:t>
      </w:r>
      <w:r w:rsidR="00941FDB" w:rsidRPr="00BE0C02">
        <w:t>NFP</w:t>
      </w:r>
      <w:r w:rsidR="0026616C">
        <w:t>)</w:t>
      </w:r>
      <w:r w:rsidR="00941FDB" w:rsidRPr="00BE0C02">
        <w:t xml:space="preserve"> entities as </w:t>
      </w:r>
      <w:r w:rsidR="00C9505E" w:rsidRPr="00BE0C02">
        <w:t>respondents “were particularly concerned about the costs of the ED 293 proposals exceeding any benefits for for-profit private sector entities given the ED 293 proposals were intended to be only a short-term measure for these entities. This is because the broader project proposing to remove the ability for certain for-profit private sector entities to prepare special purpose financial statements when they are required to comply with Australian Accounting Standards is expected to be completed by 30 June 2020.”</w:t>
      </w:r>
      <w:r w:rsidR="00C9505E" w:rsidRPr="00BE0C02">
        <w:rPr>
          <w:vertAlign w:val="superscript"/>
        </w:rPr>
        <w:footnoteReference w:id="10"/>
      </w:r>
      <w:r w:rsidR="00C9505E" w:rsidRPr="00BE0C02">
        <w:rPr>
          <w:vertAlign w:val="superscript"/>
        </w:rPr>
        <w:t xml:space="preserve"> </w:t>
      </w:r>
      <w:r w:rsidR="00C9505E" w:rsidRPr="00BE0C02">
        <w:t xml:space="preserve"> </w:t>
      </w:r>
    </w:p>
    <w:p w14:paraId="5D182E32" w14:textId="49920CE0" w:rsidR="00A7543C" w:rsidRPr="00BE0C02" w:rsidRDefault="008E78A6" w:rsidP="001359D7">
      <w:pPr>
        <w:pStyle w:val="NumBC1"/>
        <w:numPr>
          <w:ilvl w:val="0"/>
          <w:numId w:val="27"/>
        </w:numPr>
        <w:ind w:left="782" w:hanging="782"/>
      </w:pPr>
      <w:r w:rsidRPr="00BE0C02">
        <w:t>In light of the effective date of this Standar</w:t>
      </w:r>
      <w:r w:rsidR="00936FF0" w:rsidRPr="00BE0C02">
        <w:t xml:space="preserve">d being one year later than that proposed in ED 297, </w:t>
      </w:r>
      <w:r w:rsidR="008A1BB6">
        <w:t xml:space="preserve">and </w:t>
      </w:r>
      <w:r w:rsidR="00181F40">
        <w:t>also</w:t>
      </w:r>
      <w:r w:rsidR="008A1BB6">
        <w:t xml:space="preserve"> noting that</w:t>
      </w:r>
      <w:r w:rsidR="00936FF0" w:rsidRPr="00BE0C02">
        <w:t xml:space="preserve"> </w:t>
      </w:r>
      <w:r w:rsidR="00F3507E">
        <w:t xml:space="preserve">there </w:t>
      </w:r>
      <w:r w:rsidR="00E277DD">
        <w:t>is</w:t>
      </w:r>
      <w:r w:rsidR="00F3507E">
        <w:t xml:space="preserve"> likely to be a number of entities that </w:t>
      </w:r>
      <w:r w:rsidR="00153FC6">
        <w:t>will</w:t>
      </w:r>
      <w:r w:rsidR="00F3507E">
        <w:t xml:space="preserve"> continue to be able to prepare SPFS </w:t>
      </w:r>
      <w:r w:rsidR="00414128">
        <w:t>(e.g.</w:t>
      </w:r>
      <w:r w:rsidR="00E878EE">
        <w:t xml:space="preserve"> </w:t>
      </w:r>
      <w:r w:rsidR="00F3507E">
        <w:t xml:space="preserve">due to the exemption provided to entities with a non-legislative requirement to prepare financial statements that comply with AAS (refer paragraphs </w:t>
      </w:r>
      <w:r w:rsidR="00F3507E">
        <w:fldChar w:fldCharType="begin"/>
      </w:r>
      <w:r w:rsidR="00F3507E">
        <w:instrText xml:space="preserve"> REF _Ref34319095 \r \h </w:instrText>
      </w:r>
      <w:r w:rsidR="00F3507E">
        <w:fldChar w:fldCharType="separate"/>
      </w:r>
      <w:r w:rsidR="00E354C4">
        <w:t>BC90</w:t>
      </w:r>
      <w:r w:rsidR="00F3507E">
        <w:fldChar w:fldCharType="end"/>
      </w:r>
      <w:r w:rsidR="00F3507E">
        <w:t>-</w:t>
      </w:r>
      <w:r w:rsidR="00F3507E">
        <w:fldChar w:fldCharType="begin"/>
      </w:r>
      <w:r w:rsidR="00F3507E">
        <w:instrText xml:space="preserve"> REF _Ref34319099 \r \h </w:instrText>
      </w:r>
      <w:r w:rsidR="00F3507E">
        <w:fldChar w:fldCharType="separate"/>
      </w:r>
      <w:r w:rsidR="00E354C4">
        <w:t>BC92</w:t>
      </w:r>
      <w:r w:rsidR="00F3507E">
        <w:fldChar w:fldCharType="end"/>
      </w:r>
      <w:r w:rsidR="00F3507E">
        <w:t>)</w:t>
      </w:r>
      <w:r w:rsidR="00414128">
        <w:t>)</w:t>
      </w:r>
      <w:r w:rsidR="002527A7">
        <w:t>,</w:t>
      </w:r>
      <w:r w:rsidR="00153FC6">
        <w:t xml:space="preserve"> </w:t>
      </w:r>
      <w:r w:rsidRPr="00BE0C02">
        <w:t xml:space="preserve">the Board reconsidered </w:t>
      </w:r>
      <w:r w:rsidR="00C87066" w:rsidRPr="00BE0C02">
        <w:t>this decision</w:t>
      </w:r>
      <w:r w:rsidR="00E726E2">
        <w:t xml:space="preserve">. </w:t>
      </w:r>
      <w:r w:rsidR="000B4153">
        <w:t xml:space="preserve">The Board was concerned </w:t>
      </w:r>
      <w:r w:rsidR="003D18A3">
        <w:t xml:space="preserve">about the lack of transparency </w:t>
      </w:r>
      <w:r w:rsidR="00CC45D0">
        <w:t xml:space="preserve">in the SPFS </w:t>
      </w:r>
      <w:r w:rsidR="00424C17">
        <w:t xml:space="preserve">that continues to refer to AAS </w:t>
      </w:r>
      <w:r w:rsidR="006B4F33">
        <w:t xml:space="preserve">and </w:t>
      </w:r>
      <w:r w:rsidR="00CD41B1">
        <w:t xml:space="preserve">therefore </w:t>
      </w:r>
      <w:r w:rsidR="006B4F33">
        <w:t xml:space="preserve">decided </w:t>
      </w:r>
      <w:r w:rsidR="008C7B38">
        <w:t>that these entities should</w:t>
      </w:r>
      <w:r w:rsidR="00525394">
        <w:t xml:space="preserve"> also</w:t>
      </w:r>
      <w:r w:rsidR="006B4F33">
        <w:t xml:space="preserve"> </w:t>
      </w:r>
      <w:r w:rsidR="00C465CA">
        <w:t xml:space="preserve">be </w:t>
      </w:r>
      <w:r w:rsidR="0047673E">
        <w:t>require</w:t>
      </w:r>
      <w:r w:rsidR="008C7B38">
        <w:t>d</w:t>
      </w:r>
      <w:r w:rsidR="006B4F33">
        <w:t xml:space="preserve"> to </w:t>
      </w:r>
      <w:r w:rsidR="008508A7">
        <w:t>disclos</w:t>
      </w:r>
      <w:r w:rsidR="008C7B38">
        <w:t>e</w:t>
      </w:r>
      <w:r w:rsidR="00F4148B">
        <w:t xml:space="preserve"> a statement o</w:t>
      </w:r>
      <w:r w:rsidR="00EF386F">
        <w:t>f the</w:t>
      </w:r>
      <w:r w:rsidR="008508A7">
        <w:t xml:space="preserve"> entity’s compliance, or otherwise, with </w:t>
      </w:r>
      <w:r w:rsidR="00802E6D">
        <w:t>the R&amp;M requirements in AAS</w:t>
      </w:r>
      <w:r w:rsidR="00911F2F">
        <w:t xml:space="preserve"> (including </w:t>
      </w:r>
      <w:r w:rsidR="007F1C61" w:rsidRPr="007F1C61">
        <w:t xml:space="preserve">requirements set out in AASB 10 </w:t>
      </w:r>
      <w:r w:rsidR="007F1C61" w:rsidRPr="007F1C61">
        <w:rPr>
          <w:i/>
          <w:iCs/>
        </w:rPr>
        <w:t>Consolidated Financial Statements</w:t>
      </w:r>
      <w:r w:rsidR="007F1C61" w:rsidRPr="007F1C61">
        <w:t xml:space="preserve"> or AASB 128 </w:t>
      </w:r>
      <w:r w:rsidR="007F1C61" w:rsidRPr="007F1C61">
        <w:rPr>
          <w:i/>
          <w:iCs/>
        </w:rPr>
        <w:t>Investments in Associates and Joint Ventures</w:t>
      </w:r>
      <w:r w:rsidR="007F1C61" w:rsidRPr="007F1C61">
        <w:t>)</w:t>
      </w:r>
      <w:r w:rsidR="00802E6D">
        <w:t xml:space="preserve">. </w:t>
      </w:r>
      <w:r w:rsidR="00AD5EAF">
        <w:t xml:space="preserve">The Board thought this was particularly important for </w:t>
      </w:r>
      <w:r w:rsidR="00D679DF">
        <w:t xml:space="preserve">securitisation </w:t>
      </w:r>
      <w:r w:rsidR="005B48C7">
        <w:t>trust</w:t>
      </w:r>
      <w:r w:rsidR="00D679DF">
        <w:t>s</w:t>
      </w:r>
      <w:r w:rsidR="005B48C7">
        <w:t xml:space="preserve"> </w:t>
      </w:r>
      <w:r w:rsidR="00262A75">
        <w:t>given</w:t>
      </w:r>
      <w:r w:rsidR="00192615">
        <w:t xml:space="preserve"> they are </w:t>
      </w:r>
      <w:r w:rsidR="00D679DF">
        <w:t xml:space="preserve">listed </w:t>
      </w:r>
      <w:r w:rsidR="008765FC">
        <w:t xml:space="preserve">on </w:t>
      </w:r>
      <w:r w:rsidR="00262A75">
        <w:t xml:space="preserve">the ASX and other </w:t>
      </w:r>
      <w:r w:rsidR="00D217A5">
        <w:t>securities exchanges</w:t>
      </w:r>
      <w:r w:rsidR="004540DD">
        <w:t xml:space="preserve">.  The Board intends to </w:t>
      </w:r>
      <w:r w:rsidR="00831D0C">
        <w:t xml:space="preserve">communicate with </w:t>
      </w:r>
      <w:r w:rsidR="00B36A78">
        <w:t xml:space="preserve">the ASX and </w:t>
      </w:r>
      <w:r w:rsidR="004D1CAD">
        <w:t xml:space="preserve">industry bodies </w:t>
      </w:r>
      <w:r w:rsidR="004D1794">
        <w:t>to ensure they understand the implications of having SPFS on their</w:t>
      </w:r>
      <w:r w:rsidR="006822BC">
        <w:t xml:space="preserve"> public</w:t>
      </w:r>
      <w:r w:rsidR="004D1794">
        <w:t xml:space="preserve"> register</w:t>
      </w:r>
      <w:r w:rsidR="006822BC">
        <w:t>s</w:t>
      </w:r>
      <w:r w:rsidR="00DF7922">
        <w:t>.</w:t>
      </w:r>
    </w:p>
    <w:p w14:paraId="4E668FDB" w14:textId="4054F946" w:rsidR="00CD22B9" w:rsidRPr="00BE0C02" w:rsidRDefault="00CD22B9" w:rsidP="007E6349">
      <w:pPr>
        <w:pStyle w:val="NumBC1"/>
        <w:numPr>
          <w:ilvl w:val="0"/>
          <w:numId w:val="27"/>
        </w:numPr>
        <w:ind w:left="782" w:hanging="782"/>
      </w:pPr>
      <w:bookmarkStart w:id="36" w:name="_Ref9589472"/>
      <w:bookmarkEnd w:id="35"/>
      <w:r w:rsidRPr="00BE0C02">
        <w:t xml:space="preserve">In addition to the research described above, the Board also conducted </w:t>
      </w:r>
      <w:r w:rsidR="00F2513E" w:rsidRPr="00BE0C02">
        <w:t>significant</w:t>
      </w:r>
      <w:r w:rsidRPr="00BE0C02">
        <w:t xml:space="preserve"> targeted outreach prior </w:t>
      </w:r>
      <w:r w:rsidR="00D33560" w:rsidRPr="00BE0C02">
        <w:t xml:space="preserve"> to issuing the standard</w:t>
      </w:r>
      <w:r w:rsidRPr="00BE0C02">
        <w:t xml:space="preserve">, where over </w:t>
      </w:r>
      <w:r w:rsidR="00F843F7" w:rsidRPr="00BE0C02">
        <w:t>250</w:t>
      </w:r>
      <w:r w:rsidRPr="00BE0C02">
        <w:t xml:space="preserve"> formal meetings were held with key stakeholders, including State, Territory and Commonwealth regulators, audit offices, large and small accounting firms, the Australian Securities Exchange (ASX), ASIC, the Australian Charities </w:t>
      </w:r>
      <w:r w:rsidR="00EC343A" w:rsidRPr="00BE0C02">
        <w:t>a</w:t>
      </w:r>
      <w:r w:rsidRPr="00BE0C02">
        <w:t>nd Not-</w:t>
      </w:r>
      <w:r w:rsidR="00432093" w:rsidRPr="00BE0C02">
        <w:t>f</w:t>
      </w:r>
      <w:r w:rsidRPr="00BE0C02">
        <w:t>or-</w:t>
      </w:r>
      <w:r w:rsidR="00123014" w:rsidRPr="00BE0C02">
        <w:t>p</w:t>
      </w:r>
      <w:r w:rsidRPr="00BE0C02">
        <w:t xml:space="preserve">rofits Commission (ACNC), credit rating agencies, professional bodies and users </w:t>
      </w:r>
      <w:r w:rsidR="00EC343A" w:rsidRPr="00BE0C02">
        <w:t xml:space="preserve">of financial statements </w:t>
      </w:r>
      <w:r w:rsidRPr="00BE0C02">
        <w:t xml:space="preserve">(including analysts, investors and creditors) to help identify how implementing the RCF and removing the </w:t>
      </w:r>
      <w:r w:rsidR="008511F5" w:rsidRPr="00BE0C02">
        <w:t>ability of</w:t>
      </w:r>
      <w:r w:rsidRPr="00BE0C02">
        <w:t xml:space="preserve"> certain </w:t>
      </w:r>
      <w:r w:rsidR="008F6EFC" w:rsidRPr="00BE0C02">
        <w:t xml:space="preserve">for-profit private sector </w:t>
      </w:r>
      <w:r w:rsidRPr="00BE0C02">
        <w:t>entities to prepare SPFS when</w:t>
      </w:r>
      <w:r w:rsidR="008F6EFC" w:rsidRPr="00BE0C02">
        <w:t xml:space="preserve"> they are</w:t>
      </w:r>
      <w:r w:rsidRPr="00BE0C02">
        <w:t xml:space="preserve"> required to prepare financial statements that comply with AAS</w:t>
      </w:r>
      <w:r w:rsidR="000D4875" w:rsidRPr="00BE0C02">
        <w:t>,</w:t>
      </w:r>
      <w:r w:rsidRPr="00BE0C02">
        <w:t xml:space="preserve"> would impact Australian entities. The Board considered the feedback received, when </w:t>
      </w:r>
      <w:r w:rsidR="00F2513E" w:rsidRPr="00BE0C02">
        <w:t>developing the Standard</w:t>
      </w:r>
      <w:r w:rsidRPr="00BE0C02">
        <w:t>.</w:t>
      </w:r>
      <w:bookmarkEnd w:id="36"/>
    </w:p>
    <w:p w14:paraId="4FA9AA29" w14:textId="77777777" w:rsidR="00CD22B9" w:rsidRPr="00BE0C02" w:rsidRDefault="00CD22B9" w:rsidP="00267FDF">
      <w:pPr>
        <w:pStyle w:val="Heading4"/>
        <w:spacing w:before="200"/>
        <w:rPr>
          <w:b w:val="0"/>
          <w:bCs/>
        </w:rPr>
      </w:pPr>
      <w:r w:rsidRPr="00BE0C02">
        <w:t>Regulatory views and developments on SPFS</w:t>
      </w:r>
    </w:p>
    <w:p w14:paraId="3AF1CC6C" w14:textId="08932C2A" w:rsidR="00CD22B9" w:rsidRPr="00BE0C02" w:rsidRDefault="00CD22B9" w:rsidP="007E6349">
      <w:pPr>
        <w:pStyle w:val="NumBC1"/>
        <w:numPr>
          <w:ilvl w:val="0"/>
          <w:numId w:val="27"/>
        </w:numPr>
        <w:ind w:left="782" w:hanging="782"/>
      </w:pPr>
      <w:bookmarkStart w:id="37" w:name="_Ref9864459"/>
      <w:r w:rsidRPr="00BE0C02">
        <w:t xml:space="preserve">The Board noted feedback from some </w:t>
      </w:r>
      <w:r w:rsidR="00EC343A" w:rsidRPr="00BE0C02">
        <w:t xml:space="preserve">stakeholders </w:t>
      </w:r>
      <w:r w:rsidRPr="00BE0C02">
        <w:t xml:space="preserve">suggesting that it was the role of other regulators (rather than the AASB) to address any potential issues with SPFS. In particular, some </w:t>
      </w:r>
      <w:r w:rsidR="00EC343A" w:rsidRPr="00BE0C02">
        <w:t xml:space="preserve">stakeholders </w:t>
      </w:r>
      <w:r w:rsidRPr="00BE0C02">
        <w:t>argued:</w:t>
      </w:r>
      <w:bookmarkEnd w:id="37"/>
    </w:p>
    <w:p w14:paraId="693C29CB" w14:textId="1A4CDF62" w:rsidR="00CD22B9" w:rsidRPr="00BE0C02" w:rsidRDefault="00CD22B9" w:rsidP="007E6349">
      <w:pPr>
        <w:pStyle w:val="NumBC2"/>
        <w:numPr>
          <w:ilvl w:val="0"/>
          <w:numId w:val="58"/>
        </w:numPr>
        <w:ind w:left="1564" w:hanging="782"/>
      </w:pPr>
      <w:r w:rsidRPr="00BE0C02">
        <w:t>other regulators should specify or determine whether an entity is required to lodge GPFS</w:t>
      </w:r>
      <w:r w:rsidR="000940FD" w:rsidRPr="00BE0C02">
        <w:t>;</w:t>
      </w:r>
      <w:r w:rsidRPr="00BE0C02">
        <w:rPr>
          <w:vertAlign w:val="superscript"/>
        </w:rPr>
        <w:footnoteReference w:id="11"/>
      </w:r>
      <w:r w:rsidRPr="00BE0C02">
        <w:t xml:space="preserve"> and</w:t>
      </w:r>
    </w:p>
    <w:p w14:paraId="441C336D" w14:textId="4E9C7283" w:rsidR="00CD22B9" w:rsidRPr="00BE0C02" w:rsidRDefault="00CD22B9" w:rsidP="007E6349">
      <w:pPr>
        <w:pStyle w:val="NumBC2"/>
        <w:numPr>
          <w:ilvl w:val="0"/>
          <w:numId w:val="58"/>
        </w:numPr>
        <w:ind w:left="1564" w:hanging="782"/>
      </w:pPr>
      <w:r w:rsidRPr="00BE0C02">
        <w:t>if the reporting entity concept is not being applied correctly, this is a matter of enforcement for the appropriate regulator rather than a matter of standard-setting.</w:t>
      </w:r>
    </w:p>
    <w:p w14:paraId="08EDBEE8" w14:textId="323F1FD6" w:rsidR="00CD22B9" w:rsidRPr="00BE0C02" w:rsidRDefault="00CD22B9" w:rsidP="007E6349">
      <w:pPr>
        <w:pStyle w:val="NumBC1"/>
        <w:numPr>
          <w:ilvl w:val="0"/>
          <w:numId w:val="27"/>
        </w:numPr>
        <w:ind w:left="782" w:hanging="782"/>
      </w:pPr>
      <w:r w:rsidRPr="00BE0C02">
        <w:t xml:space="preserve">Thus, the Board has paid particular regard to the views of other regulators, and noted the increasing regulatory interest in and concern about the </w:t>
      </w:r>
      <w:r w:rsidR="00A05DFE" w:rsidRPr="00BE0C02">
        <w:t xml:space="preserve">use </w:t>
      </w:r>
      <w:r w:rsidRPr="00BE0C02">
        <w:t>of SPFS to assess what role the Board should play in addressing the issues.</w:t>
      </w:r>
    </w:p>
    <w:p w14:paraId="23C189BF" w14:textId="0D938B28" w:rsidR="00CD22B9" w:rsidRPr="00BE0C02" w:rsidRDefault="00A05DFE" w:rsidP="007E6349">
      <w:pPr>
        <w:pStyle w:val="NumBC1"/>
        <w:numPr>
          <w:ilvl w:val="0"/>
          <w:numId w:val="27"/>
        </w:numPr>
        <w:ind w:left="782" w:hanging="782"/>
      </w:pPr>
      <w:bookmarkStart w:id="38" w:name="_Ref13571520"/>
      <w:bookmarkStart w:id="39" w:name="_Ref9852977"/>
      <w:r w:rsidRPr="00BE0C02">
        <w:t xml:space="preserve">The Board noted </w:t>
      </w:r>
      <w:r w:rsidR="00CD22B9" w:rsidRPr="00BE0C02">
        <w:t xml:space="preserve">ASIC issued RG 85 in July 2005, which states “ASIC believes that non-reporting entities, which are required to prepare financial reports in accordance with Chapter 2M of the </w:t>
      </w:r>
      <w:r w:rsidR="00CD22B9" w:rsidRPr="00BE0C02">
        <w:rPr>
          <w:i/>
        </w:rPr>
        <w:t>Corporations Act 2001</w:t>
      </w:r>
      <w:r w:rsidR="00CD22B9" w:rsidRPr="00BE0C02">
        <w:t xml:space="preserve"> (Act), should comply with the recognition and measurement requirements of accounting standards”</w:t>
      </w:r>
      <w:r w:rsidR="00CD22B9" w:rsidRPr="00BE0C02">
        <w:rPr>
          <w:rStyle w:val="FootnoteReference"/>
        </w:rPr>
        <w:footnoteReference w:id="12"/>
      </w:r>
      <w:r w:rsidR="00CD22B9" w:rsidRPr="00BE0C02">
        <w:t xml:space="preserve"> “hence, the recognition and measurement requirements of accounting standards must also be applied in order to </w:t>
      </w:r>
      <w:r w:rsidR="00CD22B9" w:rsidRPr="00BE0C02">
        <w:lastRenderedPageBreak/>
        <w:t>determine the financial position and profit or loss of any entity preparing financial reports in accordance with the Act”.</w:t>
      </w:r>
      <w:r w:rsidR="00CD22B9" w:rsidRPr="00BE0C02">
        <w:rPr>
          <w:rStyle w:val="FootnoteReference"/>
        </w:rPr>
        <w:footnoteReference w:id="13"/>
      </w:r>
      <w:bookmarkEnd w:id="38"/>
      <w:r w:rsidR="00CD22B9" w:rsidRPr="00BE0C02">
        <w:t xml:space="preserve"> </w:t>
      </w:r>
    </w:p>
    <w:p w14:paraId="52CE3875" w14:textId="2579DE03" w:rsidR="00CD22B9" w:rsidRPr="00BE0C02" w:rsidRDefault="00CD22B9" w:rsidP="007E6349">
      <w:pPr>
        <w:pStyle w:val="NumBC1"/>
        <w:numPr>
          <w:ilvl w:val="0"/>
          <w:numId w:val="27"/>
        </w:numPr>
        <w:ind w:left="782" w:hanging="782"/>
      </w:pPr>
      <w:bookmarkStart w:id="40" w:name="_Ref13572537"/>
      <w:bookmarkStart w:id="41" w:name="_Ref15993070"/>
      <w:r w:rsidRPr="00BE0C02">
        <w:t>RG</w:t>
      </w:r>
      <w:r w:rsidR="008F6EFC" w:rsidRPr="00BE0C02">
        <w:t xml:space="preserve"> </w:t>
      </w:r>
      <w:r w:rsidRPr="00BE0C02">
        <w:t xml:space="preserve">85 further states that </w:t>
      </w:r>
      <w:r w:rsidR="00F050A5" w:rsidRPr="00BE0C02">
        <w:t>“</w:t>
      </w:r>
      <w:r w:rsidRPr="00BE0C02">
        <w:t>Directors of non-reporting entities must also consider carefully the need to make disclosures which are not directly prescribed by accounting standards, but which may be necessary in order for the financial statements to give a true and fair view”,</w:t>
      </w:r>
      <w:r w:rsidRPr="00BE0C02">
        <w:rPr>
          <w:rStyle w:val="FootnoteReference"/>
        </w:rPr>
        <w:footnoteReference w:id="14"/>
      </w:r>
      <w:r w:rsidRPr="00BE0C02">
        <w:t xml:space="preserve"> and that those standards that must be applied by entities reporting under the </w:t>
      </w:r>
      <w:r w:rsidRPr="00BE0C02">
        <w:rPr>
          <w:i/>
        </w:rPr>
        <w:t>Corporations Act 2001</w:t>
      </w:r>
      <w:r w:rsidRPr="00BE0C02">
        <w:t xml:space="preserve"> are AASB 101</w:t>
      </w:r>
      <w:r w:rsidR="008F6EFC" w:rsidRPr="00BE0C02">
        <w:t xml:space="preserve"> </w:t>
      </w:r>
      <w:r w:rsidR="008F6EFC" w:rsidRPr="00BE0C02">
        <w:rPr>
          <w:i/>
        </w:rPr>
        <w:t>Presentation of Financial Statements</w:t>
      </w:r>
      <w:r w:rsidRPr="00BE0C02">
        <w:t xml:space="preserve">, AASB 107 </w:t>
      </w:r>
      <w:r w:rsidRPr="00BE0C02">
        <w:rPr>
          <w:i/>
        </w:rPr>
        <w:t>Statement of Cash Flows</w:t>
      </w:r>
      <w:r w:rsidRPr="00BE0C02">
        <w:t>, AASB 108</w:t>
      </w:r>
      <w:r w:rsidRPr="00BE0C02">
        <w:rPr>
          <w:i/>
        </w:rPr>
        <w:t xml:space="preserve"> Accounting Policies, Changes in Accounting Estimates and Errors</w:t>
      </w:r>
      <w:r w:rsidRPr="00BE0C02">
        <w:t xml:space="preserve">, AASB 1048 </w:t>
      </w:r>
      <w:r w:rsidRPr="00BE0C02">
        <w:rPr>
          <w:i/>
        </w:rPr>
        <w:t>Interpretation of Standards</w:t>
      </w:r>
      <w:r w:rsidRPr="00BE0C02">
        <w:t xml:space="preserve"> and AASB 1054 </w:t>
      </w:r>
      <w:r w:rsidRPr="00BE0C02">
        <w:rPr>
          <w:i/>
        </w:rPr>
        <w:t>Australian Additional Disclosures</w:t>
      </w:r>
      <w:r w:rsidRPr="00BE0C02">
        <w:t xml:space="preserve">. However, as noted in paragraph </w:t>
      </w:r>
      <w:r w:rsidRPr="00BE0C02">
        <w:fldChar w:fldCharType="begin"/>
      </w:r>
      <w:r w:rsidRPr="00BE0C02">
        <w:instrText xml:space="preserve"> REF _Ref13571314 \r \h </w:instrText>
      </w:r>
      <w:r w:rsidR="00BE0C02">
        <w:instrText xml:space="preserve"> \* MERGEFORMAT </w:instrText>
      </w:r>
      <w:r w:rsidRPr="00BE0C02">
        <w:fldChar w:fldCharType="separate"/>
      </w:r>
      <w:r w:rsidR="00E354C4">
        <w:t>BC21</w:t>
      </w:r>
      <w:r w:rsidRPr="00BE0C02">
        <w:fldChar w:fldCharType="end"/>
      </w:r>
      <w:r w:rsidRPr="00BE0C02">
        <w:t xml:space="preserve">, research into the extent of compliance with the R&amp;M requirements in AAS by </w:t>
      </w:r>
      <w:r w:rsidR="001453E2" w:rsidRPr="00BE0C02">
        <w:t xml:space="preserve">specified </w:t>
      </w:r>
      <w:r w:rsidRPr="00BE0C02">
        <w:t>for-profit entities lodging SPFS with ASIC shows that at least 10% and potentially up to 24% of them do not appear to have followed the guidance outlined in RG 85.</w:t>
      </w:r>
      <w:bookmarkEnd w:id="39"/>
      <w:bookmarkEnd w:id="40"/>
      <w:r w:rsidRPr="00BE0C02">
        <w:t xml:space="preserve"> </w:t>
      </w:r>
      <w:r w:rsidR="001A0CE7" w:rsidRPr="00BE0C02">
        <w:t>ASIC has also indicated it finds the judgements required regarding the application of the reporting entity concept</w:t>
      </w:r>
      <w:r w:rsidR="008F6EFC" w:rsidRPr="00BE0C02">
        <w:t xml:space="preserve"> in SAC 1</w:t>
      </w:r>
      <w:r w:rsidR="001A0CE7" w:rsidRPr="00BE0C02">
        <w:t xml:space="preserve"> to be unenforceable.</w:t>
      </w:r>
      <w:bookmarkEnd w:id="41"/>
    </w:p>
    <w:p w14:paraId="4C58B2B3" w14:textId="58BC44C4" w:rsidR="00CD22B9" w:rsidRPr="00BE0C02" w:rsidRDefault="00CD22B9" w:rsidP="007E6349">
      <w:pPr>
        <w:pStyle w:val="NumBC1"/>
        <w:numPr>
          <w:ilvl w:val="0"/>
          <w:numId w:val="27"/>
        </w:numPr>
        <w:ind w:left="782" w:hanging="782"/>
      </w:pPr>
      <w:r w:rsidRPr="00BE0C02">
        <w:t xml:space="preserve">The appropriateness of SPFS have also been called into question in a number of other regulatory matters. For example, as part of the Senate Economics References Committee </w:t>
      </w:r>
      <w:r w:rsidR="00732019" w:rsidRPr="00BE0C02">
        <w:t xml:space="preserve">Report </w:t>
      </w:r>
      <w:r w:rsidRPr="00BE0C02">
        <w:t xml:space="preserve">on Tax Avoidance, the Board’s Chair was asked to explain to the Committee the reporting entity concept and its role in facilitating the preparation of SPFS. The Board noted the subsequent Report, </w:t>
      </w:r>
      <w:r w:rsidRPr="00BE0C02">
        <w:rPr>
          <w:i/>
        </w:rPr>
        <w:t xml:space="preserve">Corporate tax avoidance Part III, Much heat, little light so far </w:t>
      </w:r>
      <w:r w:rsidRPr="00BE0C02">
        <w:t xml:space="preserve">(May 2018), outlined strong concern that multinationals operating within Australia are avoiding public scrutiny through the preparation of SPFS, which are not required to disclose corporate tax and related party transactions, and also noted the Board’s role in facilitating the public lodgement of SPFS through its reporting entity concept. The Report recommended the Government require all companies, trusts and other financial entities with income above a certain amount to lodge GPFS with ASIC. These comments, albeit with a focus on tax, reinforce the view that a problem exists in relation to the way in which the reporting entity concept is applied, as well as the information provided through the public lodgement of SPFS. </w:t>
      </w:r>
    </w:p>
    <w:p w14:paraId="01CC60D6" w14:textId="23BBBCAF" w:rsidR="00CD22B9" w:rsidRPr="00BE0C02" w:rsidRDefault="00CD22B9" w:rsidP="007E6349">
      <w:pPr>
        <w:pStyle w:val="NumBC1"/>
        <w:numPr>
          <w:ilvl w:val="0"/>
          <w:numId w:val="27"/>
        </w:numPr>
        <w:ind w:left="782" w:hanging="782"/>
      </w:pPr>
      <w:r w:rsidRPr="00BE0C02">
        <w:t xml:space="preserve">The Board also reflected on the recommendations in the </w:t>
      </w:r>
      <w:r w:rsidRPr="00BE0C02">
        <w:rPr>
          <w:i/>
        </w:rPr>
        <w:t>Final Report of the Royal Commission into Misconduct in the Banking, Superannuation and Financial Services Industry</w:t>
      </w:r>
      <w:r w:rsidRPr="00BE0C02">
        <w:t xml:space="preserve"> (February 2019), particularly the recommendation to remove special rules and exceptions that can create regulatory complexities. The Final Report indicated that exceptions departing from underlying principles have consequences often resulting in exploitation and that exceptions act as barriers to the simplification of regulation. The Board further considered the theme of enforceability within the Final Report, noting in particular that the subjectivity inherent in the current Australian reporting entity concept may not provide regulators </w:t>
      </w:r>
      <w:r w:rsidR="00432093" w:rsidRPr="00BE0C02">
        <w:t xml:space="preserve">with </w:t>
      </w:r>
      <w:r w:rsidRPr="00BE0C02">
        <w:t>an objective basis on which to enforce financial reporting obligations.</w:t>
      </w:r>
    </w:p>
    <w:p w14:paraId="18ABA31F" w14:textId="4D453C1A" w:rsidR="00CD22B9" w:rsidRPr="00BE0C02" w:rsidRDefault="00CD22B9" w:rsidP="007E6349">
      <w:pPr>
        <w:pStyle w:val="NumBC1"/>
        <w:numPr>
          <w:ilvl w:val="0"/>
          <w:numId w:val="27"/>
        </w:numPr>
        <w:ind w:left="782" w:hanging="782"/>
      </w:pPr>
      <w:bookmarkStart w:id="42" w:name="_Ref13570339"/>
      <w:r w:rsidRPr="00BE0C02">
        <w:t xml:space="preserve">In addition, other regulatory developments indicated an increased need for entities to prepare GPFS instead of SPFS where they are required to prepare financial statements </w:t>
      </w:r>
      <w:r w:rsidR="00732019" w:rsidRPr="00BE0C02">
        <w:t xml:space="preserve">that comply </w:t>
      </w:r>
      <w:r w:rsidRPr="00BE0C02">
        <w:t>with AAS, for example:</w:t>
      </w:r>
      <w:bookmarkEnd w:id="42"/>
    </w:p>
    <w:p w14:paraId="0B9DAAA5" w14:textId="20269BF8" w:rsidR="00CD22B9" w:rsidRPr="00BE0C02" w:rsidRDefault="00CD22B9" w:rsidP="007E6349">
      <w:pPr>
        <w:pStyle w:val="NumBC2"/>
        <w:numPr>
          <w:ilvl w:val="0"/>
          <w:numId w:val="30"/>
        </w:numPr>
        <w:ind w:left="1564" w:hanging="782"/>
      </w:pPr>
      <w:bookmarkStart w:id="43" w:name="_Ref13570340"/>
      <w:r w:rsidRPr="00BE0C02">
        <w:t>the requirement for SGEs</w:t>
      </w:r>
      <w:r w:rsidRPr="00BE0C02">
        <w:rPr>
          <w:rStyle w:val="FootnoteReference"/>
        </w:rPr>
        <w:footnoteReference w:id="15"/>
      </w:r>
      <w:r w:rsidRPr="00BE0C02">
        <w:t xml:space="preserve"> to lodge GPFS with the ATO, which would subsequently be provided to ASIC</w:t>
      </w:r>
      <w:r w:rsidRPr="00BE0C02">
        <w:rPr>
          <w:rStyle w:val="FootnoteReference"/>
        </w:rPr>
        <w:footnoteReference w:id="16"/>
      </w:r>
      <w:r w:rsidRPr="00BE0C02">
        <w:t xml:space="preserve"> (December 2015);</w:t>
      </w:r>
      <w:bookmarkEnd w:id="43"/>
      <w:r w:rsidRPr="00BE0C02">
        <w:t xml:space="preserve"> </w:t>
      </w:r>
    </w:p>
    <w:p w14:paraId="3AA81FE8" w14:textId="4A5C0DEE" w:rsidR="00CD22B9" w:rsidRPr="00BE0C02" w:rsidRDefault="00CD22B9" w:rsidP="007E6349">
      <w:pPr>
        <w:pStyle w:val="NumBC2"/>
        <w:numPr>
          <w:ilvl w:val="0"/>
          <w:numId w:val="28"/>
        </w:numPr>
        <w:ind w:left="1564" w:hanging="782"/>
      </w:pPr>
      <w:r w:rsidRPr="00BE0C02">
        <w:t xml:space="preserve">questions to the Board’s Chair and </w:t>
      </w:r>
      <w:r w:rsidR="00EC343A" w:rsidRPr="00BE0C02">
        <w:t xml:space="preserve">the </w:t>
      </w:r>
      <w:r w:rsidR="00432093" w:rsidRPr="00BE0C02">
        <w:t>Financial Reporting Council</w:t>
      </w:r>
      <w:r w:rsidR="00A056E7" w:rsidRPr="00BE0C02">
        <w:t>’s</w:t>
      </w:r>
      <w:r w:rsidR="00432093" w:rsidRPr="00BE0C02">
        <w:t xml:space="preserve"> (</w:t>
      </w:r>
      <w:r w:rsidRPr="00BE0C02">
        <w:t>FRC</w:t>
      </w:r>
      <w:r w:rsidR="00432093" w:rsidRPr="00BE0C02">
        <w:t>)</w:t>
      </w:r>
      <w:r w:rsidRPr="00BE0C02">
        <w:t xml:space="preserve"> Chair on the AASB</w:t>
      </w:r>
      <w:r w:rsidR="002C1F3E" w:rsidRPr="00BE0C02">
        <w:t>’s</w:t>
      </w:r>
      <w:r w:rsidRPr="00BE0C02">
        <w:t xml:space="preserve"> and FRC’s approach</w:t>
      </w:r>
      <w:r w:rsidR="00A056E7" w:rsidRPr="00BE0C02">
        <w:t>es</w:t>
      </w:r>
      <w:r w:rsidRPr="00BE0C02">
        <w:t xml:space="preserve"> to resolving the shortcomings of SPFS by the Parliamentary Joint Committee on Corporations and Financial Services as part of its inquiry into the oversight of ASIC and the Takeovers Panel (February 2018); </w:t>
      </w:r>
    </w:p>
    <w:p w14:paraId="5EDCE850" w14:textId="3B788DAF" w:rsidR="00CD22B9" w:rsidRPr="00BE0C02" w:rsidRDefault="00CD22B9" w:rsidP="007E6349">
      <w:pPr>
        <w:pStyle w:val="NumBC2"/>
        <w:numPr>
          <w:ilvl w:val="0"/>
          <w:numId w:val="30"/>
        </w:numPr>
        <w:ind w:left="1564" w:hanging="782"/>
      </w:pPr>
      <w:r w:rsidRPr="00BE0C02">
        <w:t>the</w:t>
      </w:r>
      <w:r w:rsidRPr="00BE0C02">
        <w:rPr>
          <w:i/>
        </w:rPr>
        <w:t xml:space="preserve"> </w:t>
      </w:r>
      <w:r w:rsidRPr="00BE0C02">
        <w:t xml:space="preserve">Senate Economics References Committee report </w:t>
      </w:r>
      <w:r w:rsidRPr="00BE0C02">
        <w:rPr>
          <w:i/>
        </w:rPr>
        <w:t>Financial and tax practices of for-profit aged care providers</w:t>
      </w:r>
      <w:r w:rsidRPr="00BE0C02">
        <w:t xml:space="preserve"> (November 2018), which supported the Board’s intent to remove the </w:t>
      </w:r>
      <w:r w:rsidR="008511F5" w:rsidRPr="00BE0C02">
        <w:t>ability of</w:t>
      </w:r>
      <w:r w:rsidRPr="00BE0C02">
        <w:t xml:space="preserve"> </w:t>
      </w:r>
      <w:r w:rsidR="00A26073" w:rsidRPr="00BE0C02">
        <w:t xml:space="preserve">certain </w:t>
      </w:r>
      <w:r w:rsidRPr="00BE0C02">
        <w:t>entities to prepare SPFS where they are required to prepare financial statements that comply with AAS</w:t>
      </w:r>
      <w:r w:rsidR="00131A5E" w:rsidRPr="00BE0C02">
        <w:t>;</w:t>
      </w:r>
      <w:r w:rsidR="008056CB" w:rsidRPr="00BE0C02">
        <w:t xml:space="preserve"> and</w:t>
      </w:r>
    </w:p>
    <w:p w14:paraId="326957BC" w14:textId="12807518" w:rsidR="00131A5E" w:rsidRPr="00BE0C02" w:rsidRDefault="00131A5E" w:rsidP="007E6349">
      <w:pPr>
        <w:pStyle w:val="NumBC2"/>
        <w:numPr>
          <w:ilvl w:val="0"/>
          <w:numId w:val="28"/>
        </w:numPr>
        <w:ind w:left="1564" w:hanging="782"/>
      </w:pPr>
      <w:r w:rsidRPr="00BE0C02">
        <w:t>further questions to the Board’s Chair on the status of the AASB’s work to remove SPFS</w:t>
      </w:r>
      <w:r w:rsidR="00074D66" w:rsidRPr="00BE0C02">
        <w:t xml:space="preserve"> </w:t>
      </w:r>
      <w:r w:rsidR="00A056E7" w:rsidRPr="00BE0C02">
        <w:t>from</w:t>
      </w:r>
      <w:r w:rsidR="00074D66" w:rsidRPr="00BE0C02">
        <w:t xml:space="preserve"> the Parliamentary Joint Committee on Corporations and Financial </w:t>
      </w:r>
      <w:r w:rsidR="00342470" w:rsidRPr="00BE0C02">
        <w:t xml:space="preserve">Services as part of its inquiry into the regulation of auditing in Australia (November 2019). </w:t>
      </w:r>
      <w:r w:rsidR="005652BA" w:rsidRPr="00BE0C02">
        <w:t xml:space="preserve">SPFS were criticised both by members of that committee as well as in several </w:t>
      </w:r>
      <w:r w:rsidR="00A83570" w:rsidRPr="00BE0C02">
        <w:t>submissions</w:t>
      </w:r>
      <w:r w:rsidR="008056CB" w:rsidRPr="00BE0C02">
        <w:t xml:space="preserve"> from the public in relation to that inquiry.</w:t>
      </w:r>
    </w:p>
    <w:p w14:paraId="5BC92784" w14:textId="4A5AE214" w:rsidR="00CD22B9" w:rsidRPr="00BE0C02" w:rsidRDefault="00CD22B9" w:rsidP="007E6349">
      <w:pPr>
        <w:pStyle w:val="NumBC1"/>
        <w:numPr>
          <w:ilvl w:val="0"/>
          <w:numId w:val="27"/>
        </w:numPr>
        <w:ind w:left="782" w:hanging="782"/>
      </w:pPr>
      <w:r w:rsidRPr="00BE0C02">
        <w:t xml:space="preserve">In light of the regulatory developments and public enquiries noted above, the Board also observed the increasing public interest and media scrutiny of the transparency and accountability of publicly available financial statements, both generally and specifically in relation to the reporting entity concept and its facilitation of publicly lodged SPFS. </w:t>
      </w:r>
    </w:p>
    <w:p w14:paraId="4EFDE6B7" w14:textId="3CDECB00" w:rsidR="00CD22B9" w:rsidRPr="00BE0C02" w:rsidRDefault="00CD22B9" w:rsidP="007E6349">
      <w:pPr>
        <w:pStyle w:val="NumBC1"/>
        <w:numPr>
          <w:ilvl w:val="0"/>
          <w:numId w:val="27"/>
        </w:numPr>
        <w:ind w:left="782" w:hanging="782"/>
      </w:pPr>
      <w:r w:rsidRPr="00BE0C02">
        <w:lastRenderedPageBreak/>
        <w:t xml:space="preserve">In proposing to remove the </w:t>
      </w:r>
      <w:r w:rsidR="008511F5" w:rsidRPr="00BE0C02">
        <w:t>ability of</w:t>
      </w:r>
      <w:r w:rsidRPr="00BE0C02">
        <w:t xml:space="preserve"> </w:t>
      </w:r>
      <w:r w:rsidR="00A26073" w:rsidRPr="00BE0C02">
        <w:t xml:space="preserve">certain </w:t>
      </w:r>
      <w:r w:rsidR="008F6EFC" w:rsidRPr="00BE0C02">
        <w:t xml:space="preserve">for-profit private sector </w:t>
      </w:r>
      <w:r w:rsidRPr="00BE0C02">
        <w:t xml:space="preserve">entities to prepare SPFS when they are required to </w:t>
      </w:r>
      <w:r w:rsidR="00EC343A" w:rsidRPr="00BE0C02">
        <w:t xml:space="preserve">prepare financial statements that </w:t>
      </w:r>
      <w:r w:rsidRPr="00BE0C02">
        <w:t xml:space="preserve">comply with AAS, the Board received support from other regulators, particularly ASIC and the ATO, </w:t>
      </w:r>
      <w:r w:rsidR="00EC343A" w:rsidRPr="00BE0C02">
        <w:t xml:space="preserve">which </w:t>
      </w:r>
      <w:r w:rsidRPr="00BE0C02">
        <w:t>conveyed the following views to the Board:</w:t>
      </w:r>
    </w:p>
    <w:p w14:paraId="7D88ECAB" w14:textId="77777777" w:rsidR="00CD22B9" w:rsidRPr="00BE0C02" w:rsidRDefault="00CD22B9" w:rsidP="007E6349">
      <w:pPr>
        <w:pStyle w:val="NumBC2"/>
        <w:numPr>
          <w:ilvl w:val="0"/>
          <w:numId w:val="31"/>
        </w:numPr>
        <w:ind w:left="1564" w:hanging="782"/>
      </w:pPr>
      <w:r w:rsidRPr="00BE0C02">
        <w:t>ASIC fully supports the consultation to remove SPFS for entities regulated by ASIC and remove the subjective ‘reporting entity’ test under SAC 1, facilitating a comparable, consistent and transparent framework for the preparation of financial statements in Australia; and</w:t>
      </w:r>
    </w:p>
    <w:p w14:paraId="08EC556F" w14:textId="49AA9204" w:rsidR="00CD22B9" w:rsidRPr="00BE0C02" w:rsidRDefault="00CD22B9" w:rsidP="007E6349">
      <w:pPr>
        <w:pStyle w:val="NumBC2"/>
        <w:numPr>
          <w:ilvl w:val="0"/>
          <w:numId w:val="31"/>
        </w:numPr>
        <w:ind w:left="1564" w:hanging="782"/>
      </w:pPr>
      <w:r w:rsidRPr="00BE0C02">
        <w:t xml:space="preserve">the ATO is supportive of the AASB’s proposed approach to consulting on a series of principles or concepts for enhancing the transparency of entities currently preparing SPFS as part of adopting the RCF issued by the IASB and for inclusion in AAS by 2021. </w:t>
      </w:r>
      <w:r w:rsidR="00C80872" w:rsidRPr="00BE0C02">
        <w:t xml:space="preserve">The ATO also </w:t>
      </w:r>
      <w:r w:rsidR="006449AC" w:rsidRPr="00BE0C02">
        <w:t>noted its further support of the AASB’s recommendations surrounding the timing and application of the new Tier 2 disclosures requirements during the Board’s Exposure Draft process.</w:t>
      </w:r>
      <w:r w:rsidRPr="00BE0C02">
        <w:t xml:space="preserve"> </w:t>
      </w:r>
    </w:p>
    <w:p w14:paraId="6D9639CB" w14:textId="0FC45FF6" w:rsidR="00CD22B9" w:rsidRPr="00BE0C02" w:rsidRDefault="00CD22B9" w:rsidP="007E6349">
      <w:pPr>
        <w:pStyle w:val="NumBC1"/>
        <w:numPr>
          <w:ilvl w:val="0"/>
          <w:numId w:val="27"/>
        </w:numPr>
        <w:ind w:left="782" w:hanging="782"/>
      </w:pPr>
      <w:bookmarkStart w:id="44" w:name="_Ref9349255"/>
      <w:r w:rsidRPr="00BE0C02">
        <w:t xml:space="preserve">The Board </w:t>
      </w:r>
      <w:r w:rsidR="00E40112" w:rsidRPr="00BE0C02">
        <w:t>provided input to</w:t>
      </w:r>
      <w:r w:rsidRPr="00BE0C02">
        <w:t xml:space="preserve"> Treasury in considering legislative requirements that specify which types of for-profit entities should be required to </w:t>
      </w:r>
      <w:r w:rsidR="00E60246" w:rsidRPr="00BE0C02">
        <w:t xml:space="preserve">prepare </w:t>
      </w:r>
      <w:r w:rsidR="00BA1A4D" w:rsidRPr="00BE0C02">
        <w:t>and, in most cases,</w:t>
      </w:r>
      <w:r w:rsidR="009443F4" w:rsidRPr="00BE0C02">
        <w:t xml:space="preserve"> </w:t>
      </w:r>
      <w:r w:rsidRPr="00BE0C02">
        <w:t>publicly lodge financial statements with ASIC.</w:t>
      </w:r>
      <w:r w:rsidR="00EC343A" w:rsidRPr="00BE0C02">
        <w:t xml:space="preserve"> </w:t>
      </w:r>
      <w:r w:rsidR="008C677F" w:rsidRPr="00BE0C02">
        <w:t>In</w:t>
      </w:r>
      <w:r w:rsidRPr="00BE0C02" w:rsidDel="008C677F">
        <w:t xml:space="preserve"> </w:t>
      </w:r>
      <w:r w:rsidRPr="00BE0C02">
        <w:t xml:space="preserve">April 2019, Treasury announced changes to the </w:t>
      </w:r>
      <w:r w:rsidRPr="00BE0C02">
        <w:rPr>
          <w:i/>
        </w:rPr>
        <w:t>Corporations Regulations</w:t>
      </w:r>
      <w:r w:rsidRPr="00BE0C02">
        <w:t xml:space="preserve"> </w:t>
      </w:r>
      <w:r w:rsidRPr="00BE0C02">
        <w:rPr>
          <w:i/>
        </w:rPr>
        <w:t>2001</w:t>
      </w:r>
      <w:r w:rsidRPr="00BE0C02">
        <w:rPr>
          <w:rStyle w:val="FootnoteReference"/>
        </w:rPr>
        <w:footnoteReference w:id="17"/>
      </w:r>
      <w:r w:rsidRPr="00BE0C02">
        <w:t xml:space="preserve"> to increase (double) the thresholds used </w:t>
      </w:r>
      <w:r w:rsidR="000E63ED" w:rsidRPr="00BE0C02">
        <w:t xml:space="preserve">for </w:t>
      </w:r>
      <w:r w:rsidRPr="00BE0C02">
        <w:t>determining whether an entity is a large proprietary company, with companies falling below the threshold</w:t>
      </w:r>
      <w:r w:rsidR="00150A02" w:rsidRPr="00BE0C02">
        <w:t>s</w:t>
      </w:r>
      <w:r w:rsidRPr="00BE0C02">
        <w:t xml:space="preserve"> not being required to </w:t>
      </w:r>
      <w:r w:rsidR="00BF353E" w:rsidRPr="00BE0C02">
        <w:t xml:space="preserve">prepare </w:t>
      </w:r>
      <w:r w:rsidR="002C0257" w:rsidRPr="00BE0C02">
        <w:t xml:space="preserve">or </w:t>
      </w:r>
      <w:r w:rsidRPr="00BE0C02">
        <w:t xml:space="preserve">publicly lodge financial reports with ASIC. As part of the changes, the Board </w:t>
      </w:r>
      <w:r w:rsidR="008216F9">
        <w:t>suggested</w:t>
      </w:r>
      <w:r w:rsidRPr="00BE0C02">
        <w:t xml:space="preserve"> Treasury provid</w:t>
      </w:r>
      <w:r w:rsidR="008216F9">
        <w:t>e</w:t>
      </w:r>
      <w:r w:rsidRPr="00BE0C02">
        <w:t xml:space="preserve"> objective criteria based on economic significance for determining the thresholds and noted the commentary in Treasury’s Explanatory Statement, which is consistent with the Board’s </w:t>
      </w:r>
      <w:r w:rsidR="006E6F52" w:rsidRPr="00BE0C02">
        <w:t xml:space="preserve">decision </w:t>
      </w:r>
      <w:r w:rsidRPr="00BE0C02">
        <w:t xml:space="preserve">to remove the </w:t>
      </w:r>
      <w:r w:rsidR="008511F5" w:rsidRPr="00BE0C02">
        <w:t>ability of</w:t>
      </w:r>
      <w:r w:rsidRPr="00BE0C02">
        <w:t xml:space="preserve"> certain entities to prepare SPFS when they are required to prepare financial statements that comply with AAS</w:t>
      </w:r>
      <w:r w:rsidR="00BA1A4D" w:rsidRPr="00BE0C02">
        <w:t>.</w:t>
      </w:r>
      <w:r w:rsidRPr="00BE0C02">
        <w:t xml:space="preserve"> </w:t>
      </w:r>
      <w:r w:rsidR="00BA1A4D" w:rsidRPr="00BE0C02">
        <w:t>I</w:t>
      </w:r>
      <w:r w:rsidRPr="00BE0C02">
        <w:t>n particular</w:t>
      </w:r>
      <w:r w:rsidR="00BA1A4D" w:rsidRPr="00BE0C02">
        <w:t>, the Board noted</w:t>
      </w:r>
      <w:r w:rsidRPr="00BE0C02">
        <w:t>:</w:t>
      </w:r>
      <w:bookmarkEnd w:id="44"/>
    </w:p>
    <w:p w14:paraId="373422F9" w14:textId="636B5EA2" w:rsidR="00CD22B9" w:rsidRPr="00BE0C02" w:rsidRDefault="00CD22B9" w:rsidP="007E6349">
      <w:pPr>
        <w:pStyle w:val="NumBC2"/>
        <w:numPr>
          <w:ilvl w:val="0"/>
          <w:numId w:val="32"/>
        </w:numPr>
        <w:ind w:left="1564" w:hanging="782"/>
      </w:pPr>
      <w:r w:rsidRPr="00BE0C02">
        <w:t xml:space="preserve">the requirement for large proprietary companies to </w:t>
      </w:r>
      <w:r w:rsidR="00490E99" w:rsidRPr="00BE0C02">
        <w:t xml:space="preserve">prepare and in some cases </w:t>
      </w:r>
      <w:r w:rsidRPr="00BE0C02">
        <w:t>lodge financial reports was first introduced to focus regulation of reporting on the financial affairs of proprietary companies that have a significant economic influence; and</w:t>
      </w:r>
    </w:p>
    <w:p w14:paraId="662E789B" w14:textId="77777777" w:rsidR="00CD22B9" w:rsidRPr="00BE0C02" w:rsidRDefault="00CD22B9" w:rsidP="007E6349">
      <w:pPr>
        <w:pStyle w:val="NumBC2"/>
        <w:numPr>
          <w:ilvl w:val="0"/>
          <w:numId w:val="32"/>
        </w:numPr>
        <w:ind w:left="1564" w:hanging="782"/>
      </w:pPr>
      <w:r w:rsidRPr="00BE0C02">
        <w:t>the financial reports of companies that have economic significance should be publicly available because of their size and potential to affect the community and the economy. The larger the size, the more likely it is that there will exist users dependent on GPFS as a basis for making economic decisions.</w:t>
      </w:r>
    </w:p>
    <w:p w14:paraId="41C5CAD6" w14:textId="5772C5FD" w:rsidR="00A6756B" w:rsidRPr="00BE0C02" w:rsidRDefault="008F6EFC" w:rsidP="007E6349">
      <w:pPr>
        <w:pStyle w:val="NumBC1"/>
        <w:numPr>
          <w:ilvl w:val="0"/>
          <w:numId w:val="27"/>
        </w:numPr>
        <w:ind w:left="782" w:hanging="782"/>
      </w:pPr>
      <w:bookmarkStart w:id="45" w:name="_Ref9864479"/>
      <w:r w:rsidRPr="00BE0C02">
        <w:t xml:space="preserve">This </w:t>
      </w:r>
      <w:bookmarkEnd w:id="45"/>
      <w:r w:rsidR="00A6756B" w:rsidRPr="00BE0C02">
        <w:t xml:space="preserve">clearly indicates the new thresholds </w:t>
      </w:r>
      <w:r w:rsidR="00A97C5E" w:rsidRPr="00BE0C02">
        <w:t>which apply from 1 July 2019</w:t>
      </w:r>
      <w:r w:rsidR="00A6756B" w:rsidRPr="00BE0C02">
        <w:t xml:space="preserve"> were set to reflect the </w:t>
      </w:r>
      <w:r w:rsidR="00091B88" w:rsidRPr="00BE0C02">
        <w:t>‘</w:t>
      </w:r>
      <w:r w:rsidR="00A6756B" w:rsidRPr="00BE0C02">
        <w:t>economic significance</w:t>
      </w:r>
      <w:r w:rsidR="00091B88" w:rsidRPr="00BE0C02">
        <w:t>’</w:t>
      </w:r>
      <w:r w:rsidR="00A6756B" w:rsidRPr="00BE0C02">
        <w:t xml:space="preserve"> of the entities captured</w:t>
      </w:r>
      <w:r w:rsidRPr="00BE0C02">
        <w:t xml:space="preserve">, which </w:t>
      </w:r>
      <w:r w:rsidR="00A6756B" w:rsidRPr="00BE0C02">
        <w:t xml:space="preserve">is another key </w:t>
      </w:r>
      <w:r w:rsidR="00EE7304" w:rsidRPr="00BE0C02">
        <w:t xml:space="preserve">criterion </w:t>
      </w:r>
      <w:r w:rsidR="00A6756B" w:rsidRPr="00BE0C02">
        <w:t>in SAC 1 for deciding whether or not an entity is a reporting entity</w:t>
      </w:r>
      <w:r w:rsidR="00A97C5E" w:rsidRPr="00BE0C02">
        <w:t xml:space="preserve">. </w:t>
      </w:r>
    </w:p>
    <w:p w14:paraId="65D2019A" w14:textId="69224F94" w:rsidR="00CD22B9" w:rsidRPr="00BE0C02" w:rsidRDefault="00CD22B9" w:rsidP="00267FDF">
      <w:pPr>
        <w:pStyle w:val="Heading4"/>
        <w:spacing w:before="200"/>
        <w:rPr>
          <w:b w:val="0"/>
          <w:bCs/>
        </w:rPr>
      </w:pPr>
      <w:r w:rsidRPr="00BE0C02">
        <w:t xml:space="preserve">Evidence from </w:t>
      </w:r>
      <w:r w:rsidR="00EE7304" w:rsidRPr="00BE0C02">
        <w:t>stakeholders</w:t>
      </w:r>
      <w:r w:rsidRPr="00BE0C02">
        <w:t xml:space="preserve">, including financial report users </w:t>
      </w:r>
    </w:p>
    <w:p w14:paraId="44945174" w14:textId="395B6C70" w:rsidR="00CD22B9" w:rsidRPr="00BE0C02" w:rsidRDefault="00CD22B9" w:rsidP="007E6349">
      <w:pPr>
        <w:pStyle w:val="NumBC1"/>
        <w:numPr>
          <w:ilvl w:val="0"/>
          <w:numId w:val="27"/>
        </w:numPr>
        <w:ind w:left="782" w:hanging="782"/>
      </w:pPr>
      <w:bookmarkStart w:id="46" w:name="_Ref11849911"/>
      <w:r w:rsidRPr="00BE0C02">
        <w:t>In addition to the above, the Board noted the general agreement amongst stakeholders that there is an SPFS problem in its outreach both prior and subsequent to the issue of ITC 39. In considering submissions received on ITC 39 the Board noted that of the 33 formal respondents (relevant to this phase of the project), 85% agreed there is a problem with SPFS that needs to be solved, with similar feedback received anecdotally through other outreach activities.</w:t>
      </w:r>
      <w:bookmarkEnd w:id="46"/>
      <w:r w:rsidRPr="00BE0C02">
        <w:t xml:space="preserve"> </w:t>
      </w:r>
    </w:p>
    <w:p w14:paraId="0905A72F" w14:textId="70AFA105" w:rsidR="00CD22B9" w:rsidRPr="00BE0C02" w:rsidRDefault="00CD22B9" w:rsidP="007E6349">
      <w:pPr>
        <w:pStyle w:val="NumBC1"/>
        <w:numPr>
          <w:ilvl w:val="0"/>
          <w:numId w:val="27"/>
        </w:numPr>
        <w:ind w:left="782" w:hanging="782"/>
      </w:pPr>
      <w:bookmarkStart w:id="47" w:name="_Ref9353822"/>
      <w:bookmarkStart w:id="48" w:name="_Ref9596873"/>
      <w:r w:rsidRPr="00BE0C02">
        <w:t xml:space="preserve">As part of the due process, a significant amount of feedback was provided by users of financial statements. Of particular importance </w:t>
      </w:r>
      <w:r w:rsidR="00EE7304" w:rsidRPr="00BE0C02">
        <w:t>is</w:t>
      </w:r>
      <w:r w:rsidRPr="00BE0C02">
        <w:t xml:space="preserve"> the </w:t>
      </w:r>
      <w:r w:rsidR="002877D4" w:rsidRPr="00BE0C02">
        <w:t>AASB Staff Paper</w:t>
      </w:r>
      <w:r w:rsidRPr="00BE0C02">
        <w:t xml:space="preserve"> </w:t>
      </w:r>
      <w:r w:rsidRPr="00BE0C02">
        <w:rPr>
          <w:i/>
        </w:rPr>
        <w:t xml:space="preserve">Enhancing the revised </w:t>
      </w:r>
      <w:r w:rsidRPr="00BE0C02">
        <w:t>Conceptual Framework</w:t>
      </w:r>
      <w:r w:rsidRPr="00BE0C02">
        <w:rPr>
          <w:i/>
          <w:iCs/>
        </w:rPr>
        <w:t xml:space="preserve"> a</w:t>
      </w:r>
      <w:r w:rsidRPr="00BE0C02">
        <w:rPr>
          <w:i/>
        </w:rPr>
        <w:t>nd replacing Special Purpose Financial Statements</w:t>
      </w:r>
      <w:r w:rsidR="002877D4" w:rsidRPr="00BE0C02">
        <w:rPr>
          <w:i/>
        </w:rPr>
        <w:t xml:space="preserve"> –</w:t>
      </w:r>
      <w:r w:rsidRPr="00BE0C02">
        <w:rPr>
          <w:i/>
        </w:rPr>
        <w:t xml:space="preserve"> For-profit User and Preparer Survey Results </w:t>
      </w:r>
      <w:r w:rsidRPr="00BE0C02">
        <w:t>(December 2018), which indicated that, from the perspective of the 37 users (analysts, investors and creditors) that responded:</w:t>
      </w:r>
      <w:bookmarkEnd w:id="47"/>
      <w:bookmarkEnd w:id="48"/>
    </w:p>
    <w:p w14:paraId="38EB79F6" w14:textId="77777777" w:rsidR="00CD22B9" w:rsidRPr="00BE0C02" w:rsidRDefault="00CD22B9" w:rsidP="007E6349">
      <w:pPr>
        <w:pStyle w:val="NumBC2"/>
        <w:numPr>
          <w:ilvl w:val="0"/>
          <w:numId w:val="33"/>
        </w:numPr>
        <w:ind w:left="1564" w:hanging="782"/>
      </w:pPr>
      <w:r w:rsidRPr="00BE0C02">
        <w:t xml:space="preserve">there is a problem with SPFS that needs to be addressed – 78% of primary users expressed concern that SPFS do not consistently apply R&amp;M requirements in AAS; </w:t>
      </w:r>
    </w:p>
    <w:p w14:paraId="3CB29B93" w14:textId="0436AF58" w:rsidR="00CD22B9" w:rsidRPr="00BE0C02" w:rsidRDefault="00CD22B9" w:rsidP="007E6349">
      <w:pPr>
        <w:pStyle w:val="NumBC2"/>
        <w:numPr>
          <w:ilvl w:val="0"/>
          <w:numId w:val="33"/>
        </w:numPr>
        <w:ind w:left="1564" w:hanging="782"/>
      </w:pPr>
      <w:r w:rsidRPr="00BE0C02">
        <w:t>93% of primary users and over 95% of other users said that comparability, transparency, comprehensibility and consistency are all paramount; and</w:t>
      </w:r>
    </w:p>
    <w:p w14:paraId="2B071BA3" w14:textId="77777777" w:rsidR="00CD22B9" w:rsidRPr="00BE0C02" w:rsidRDefault="00CD22B9" w:rsidP="007E6349">
      <w:pPr>
        <w:pStyle w:val="NumBC2"/>
        <w:numPr>
          <w:ilvl w:val="0"/>
          <w:numId w:val="33"/>
        </w:numPr>
        <w:ind w:left="1564" w:hanging="782"/>
      </w:pPr>
      <w:r w:rsidRPr="00BE0C02">
        <w:t>there is dissatisfaction with SPFS that needs to be addressed, particularly around the lack of related party disclosures, lack of comparability and that the extent to which entities comply with the R&amp;M requirements in AAS is unclear to users.</w:t>
      </w:r>
    </w:p>
    <w:p w14:paraId="4ABC0FC2" w14:textId="7DF7BF7B" w:rsidR="00CD22B9" w:rsidRPr="00BE0C02" w:rsidRDefault="00CD22B9" w:rsidP="007E6349">
      <w:pPr>
        <w:pStyle w:val="NumBC1"/>
        <w:numPr>
          <w:ilvl w:val="0"/>
          <w:numId w:val="27"/>
        </w:numPr>
        <w:ind w:left="782" w:hanging="782"/>
      </w:pPr>
      <w:r w:rsidRPr="00BE0C02">
        <w:t>The Board also conducted a range of meetings with users to understand their needs and received six formal submissions on ITC 39 from users of financial statements (out of the 33 responses relevant to this phase of the project). In those formal submissions, the Board noted that all of those respondents:</w:t>
      </w:r>
    </w:p>
    <w:p w14:paraId="2BB5739F" w14:textId="77777777" w:rsidR="00CD22B9" w:rsidRPr="00BE0C02" w:rsidRDefault="00CD22B9" w:rsidP="007E6349">
      <w:pPr>
        <w:pStyle w:val="NumBC2"/>
        <w:numPr>
          <w:ilvl w:val="0"/>
          <w:numId w:val="67"/>
        </w:numPr>
        <w:ind w:left="1564" w:hanging="782"/>
      </w:pPr>
      <w:r w:rsidRPr="00BE0C02">
        <w:t>noted, or referred to, the lack of comparability, consistency and transparency currently caused by SPFS that needs to be resolved; and</w:t>
      </w:r>
    </w:p>
    <w:p w14:paraId="6B21750C" w14:textId="2479DB1B" w:rsidR="00CD22B9" w:rsidRPr="00BE0C02" w:rsidRDefault="00CD22B9" w:rsidP="007E6349">
      <w:pPr>
        <w:pStyle w:val="NumBC2"/>
        <w:numPr>
          <w:ilvl w:val="0"/>
          <w:numId w:val="67"/>
        </w:numPr>
        <w:ind w:left="1564" w:hanging="782"/>
      </w:pPr>
      <w:r w:rsidRPr="00BE0C02">
        <w:t>supported public lodgement of financial statements that comply with all of the R&amp;M requirements in AAS. Consistency</w:t>
      </w:r>
      <w:r w:rsidR="00C5184B" w:rsidRPr="00BE0C02">
        <w:t>, transparency</w:t>
      </w:r>
      <w:r w:rsidRPr="00BE0C02">
        <w:t xml:space="preserve"> and comparability were noted as important to users in their </w:t>
      </w:r>
      <w:r w:rsidRPr="00BE0C02">
        <w:lastRenderedPageBreak/>
        <w:t>responses, with one user also noting the importance of consistent financial reporting to facilitate computer-based analysis and use of financial information.</w:t>
      </w:r>
    </w:p>
    <w:p w14:paraId="7D9448D6" w14:textId="63B94BC4" w:rsidR="00CD22B9" w:rsidRPr="00BE0C02" w:rsidRDefault="00CD22B9" w:rsidP="007E6349">
      <w:pPr>
        <w:pStyle w:val="NumBC1"/>
        <w:numPr>
          <w:ilvl w:val="0"/>
          <w:numId w:val="27"/>
        </w:numPr>
        <w:ind w:left="782" w:hanging="782"/>
      </w:pPr>
      <w:bookmarkStart w:id="49" w:name="_Ref9857928"/>
      <w:r w:rsidRPr="00BE0C02">
        <w:t xml:space="preserve">In addition to the information in paragraph </w:t>
      </w:r>
      <w:r w:rsidRPr="00BE0C02">
        <w:fldChar w:fldCharType="begin"/>
      </w:r>
      <w:r w:rsidRPr="00BE0C02">
        <w:instrText xml:space="preserve"> REF _Ref9596873 \r \h </w:instrText>
      </w:r>
      <w:r w:rsidR="00BE0C02">
        <w:instrText xml:space="preserve"> \* MERGEFORMAT </w:instrText>
      </w:r>
      <w:r w:rsidRPr="00BE0C02">
        <w:fldChar w:fldCharType="separate"/>
      </w:r>
      <w:r w:rsidR="00E354C4">
        <w:t>BC38</w:t>
      </w:r>
      <w:r w:rsidRPr="00BE0C02">
        <w:fldChar w:fldCharType="end"/>
      </w:r>
      <w:r w:rsidR="00EE7304" w:rsidRPr="00BE0C02">
        <w:t>,</w:t>
      </w:r>
      <w:r w:rsidRPr="00BE0C02">
        <w:t xml:space="preserve"> the Board also noted other evidence that clearly indicates the existence of users who would benefit from having access to GPFS rather than SPFS. For example:</w:t>
      </w:r>
      <w:bookmarkEnd w:id="49"/>
    </w:p>
    <w:p w14:paraId="3CBB4722" w14:textId="3F584301" w:rsidR="00CD22B9" w:rsidRPr="00BE0C02" w:rsidRDefault="00CD22B9" w:rsidP="007E6349">
      <w:pPr>
        <w:pStyle w:val="NumBC2"/>
        <w:numPr>
          <w:ilvl w:val="0"/>
          <w:numId w:val="34"/>
        </w:numPr>
        <w:ind w:left="1564" w:hanging="782"/>
      </w:pPr>
      <w:bookmarkStart w:id="50" w:name="_Ref9857946"/>
      <w:r w:rsidRPr="00BE0C02">
        <w:t xml:space="preserve">over 98,000 copies of financial statements </w:t>
      </w:r>
      <w:r w:rsidR="002E4805">
        <w:t>we</w:t>
      </w:r>
      <w:r w:rsidRPr="00BE0C02">
        <w:t xml:space="preserve">re purchased </w:t>
      </w:r>
      <w:r w:rsidR="00754000">
        <w:t>during</w:t>
      </w:r>
      <w:r w:rsidR="001B5526">
        <w:t xml:space="preserve"> the year ending 30 June 2018</w:t>
      </w:r>
      <w:r w:rsidRPr="00BE0C02">
        <w:t xml:space="preserve"> from ASIC. Of those financial statements purchased, 80% were of proprietary companies, 16% were of unlisted public companies and 4% were of small </w:t>
      </w:r>
      <w:r w:rsidR="000E63ED" w:rsidRPr="00BE0C02">
        <w:t>foreign-</w:t>
      </w:r>
      <w:r w:rsidRPr="00BE0C02">
        <w:t>controlled companies;</w:t>
      </w:r>
      <w:bookmarkEnd w:id="50"/>
      <w:r w:rsidR="00DA0E8F" w:rsidRPr="00BE0C02">
        <w:rPr>
          <w:rStyle w:val="FootnoteReference"/>
        </w:rPr>
        <w:footnoteReference w:id="18"/>
      </w:r>
    </w:p>
    <w:p w14:paraId="77A4B3E5" w14:textId="5F55E1B3" w:rsidR="00CD22B9" w:rsidRPr="00BE0C02" w:rsidRDefault="00CD22B9" w:rsidP="007E6349">
      <w:pPr>
        <w:pStyle w:val="NumBC2"/>
        <w:numPr>
          <w:ilvl w:val="0"/>
          <w:numId w:val="28"/>
        </w:numPr>
        <w:ind w:left="1564" w:hanging="782"/>
      </w:pPr>
      <w:bookmarkStart w:id="51" w:name="_Ref9857911"/>
      <w:r w:rsidRPr="00BE0C02">
        <w:t>anecdotally, data aggregators</w:t>
      </w:r>
      <w:r w:rsidRPr="00BE0C02">
        <w:rPr>
          <w:vertAlign w:val="superscript"/>
        </w:rPr>
        <w:footnoteReference w:id="19"/>
      </w:r>
      <w:r w:rsidRPr="00BE0C02">
        <w:t xml:space="preserve"> rely on publicly available information to assist their clients with determining the viability, capacity and credit risk associated with a company; and</w:t>
      </w:r>
      <w:bookmarkEnd w:id="51"/>
    </w:p>
    <w:p w14:paraId="04966283" w14:textId="6C101B7B" w:rsidR="00CD22B9" w:rsidRPr="00BE0C02" w:rsidRDefault="00CD22B9" w:rsidP="007E6349">
      <w:pPr>
        <w:pStyle w:val="NumBC2"/>
        <w:numPr>
          <w:ilvl w:val="0"/>
          <w:numId w:val="28"/>
        </w:numPr>
        <w:ind w:left="1564" w:hanging="782"/>
      </w:pPr>
      <w:bookmarkStart w:id="52" w:name="_Ref13574409"/>
      <w:r w:rsidRPr="00BE0C02">
        <w:t xml:space="preserve">as noted in paragraph </w:t>
      </w:r>
      <w:r w:rsidRPr="00BE0C02">
        <w:fldChar w:fldCharType="begin"/>
      </w:r>
      <w:r w:rsidRPr="00BE0C02">
        <w:instrText xml:space="preserve"> REF _Ref9349255 \r \h  \* MERGEFORMAT </w:instrText>
      </w:r>
      <w:r w:rsidRPr="00BE0C02">
        <w:fldChar w:fldCharType="separate"/>
      </w:r>
      <w:r w:rsidR="00E354C4">
        <w:t>BC35</w:t>
      </w:r>
      <w:r w:rsidRPr="00BE0C02">
        <w:fldChar w:fldCharType="end"/>
      </w:r>
      <w:r w:rsidRPr="00BE0C02">
        <w:t xml:space="preserve">, Treasury indicated in </w:t>
      </w:r>
      <w:r w:rsidR="00EE7304" w:rsidRPr="00BE0C02">
        <w:t xml:space="preserve">the </w:t>
      </w:r>
      <w:r w:rsidRPr="00BE0C02">
        <w:t xml:space="preserve">Explanatory Statement accompanying the revision of the large proprietary company thresholds </w:t>
      </w:r>
      <w:r w:rsidR="00EE7304" w:rsidRPr="00BE0C02">
        <w:t xml:space="preserve">its </w:t>
      </w:r>
      <w:r w:rsidRPr="00BE0C02">
        <w:t>expectation that there are users dependent on the GPFS of large proprietary companies, given their economic significance. Further, that Explanatory Statement noted that average access rates through ASIC of the revised (smaller) population of large proprietary companies was significantly higher (on average 3.6 times</w:t>
      </w:r>
      <w:r w:rsidR="008B2BB4" w:rsidRPr="00BE0C02">
        <w:t xml:space="preserve"> per company</w:t>
      </w:r>
      <w:r w:rsidRPr="00BE0C02">
        <w:t xml:space="preserve">) than the proprietary companies that would no longer have an obligation to </w:t>
      </w:r>
      <w:r w:rsidR="00E41FB7" w:rsidRPr="00BE0C02">
        <w:t xml:space="preserve">prepare and </w:t>
      </w:r>
      <w:r w:rsidRPr="00BE0C02">
        <w:t>lodge financial statements with ASIC (on average 1.8 times</w:t>
      </w:r>
      <w:r w:rsidR="008B2BB4" w:rsidRPr="00BE0C02">
        <w:t xml:space="preserve"> per company</w:t>
      </w:r>
      <w:r w:rsidRPr="00BE0C02">
        <w:t>).</w:t>
      </w:r>
      <w:bookmarkEnd w:id="52"/>
      <w:r w:rsidRPr="00BE0C02">
        <w:t xml:space="preserve"> </w:t>
      </w:r>
    </w:p>
    <w:p w14:paraId="184DFB0F" w14:textId="6B62A631" w:rsidR="00CD22B9" w:rsidRPr="00BE0C02" w:rsidRDefault="00CD22B9" w:rsidP="007E6349">
      <w:pPr>
        <w:pStyle w:val="NumBC1"/>
        <w:numPr>
          <w:ilvl w:val="0"/>
          <w:numId w:val="27"/>
        </w:numPr>
        <w:ind w:left="782" w:hanging="782"/>
      </w:pPr>
      <w:bookmarkStart w:id="53" w:name="_Ref9851744"/>
      <w:r w:rsidRPr="00BE0C02">
        <w:t xml:space="preserve">Despite the relatively lower access rates </w:t>
      </w:r>
      <w:r w:rsidR="00EE7304" w:rsidRPr="00BE0C02">
        <w:t xml:space="preserve">for </w:t>
      </w:r>
      <w:r w:rsidRPr="00BE0C02">
        <w:t xml:space="preserve">small </w:t>
      </w:r>
      <w:r w:rsidR="000E63ED" w:rsidRPr="00BE0C02">
        <w:t>foreign-</w:t>
      </w:r>
      <w:r w:rsidRPr="00BE0C02">
        <w:t xml:space="preserve">controlled companies and unlisted public companies noted in paragraph </w:t>
      </w:r>
      <w:r w:rsidRPr="00BE0C02">
        <w:fldChar w:fldCharType="begin"/>
      </w:r>
      <w:r w:rsidRPr="00BE0C02">
        <w:instrText xml:space="preserve"> REF _Ref9857928 \r \h </w:instrText>
      </w:r>
      <w:r w:rsidR="00BE0C02">
        <w:instrText xml:space="preserve"> \* MERGEFORMAT </w:instrText>
      </w:r>
      <w:r w:rsidRPr="00BE0C02">
        <w:fldChar w:fldCharType="separate"/>
      </w:r>
      <w:r w:rsidR="00E354C4">
        <w:t>BC40</w:t>
      </w:r>
      <w:r w:rsidRPr="00BE0C02">
        <w:fldChar w:fldCharType="end"/>
      </w:r>
      <w:r w:rsidRPr="00BE0C02">
        <w:fldChar w:fldCharType="begin"/>
      </w:r>
      <w:r w:rsidRPr="00BE0C02">
        <w:instrText xml:space="preserve"> REF _Ref9857946 \r \h </w:instrText>
      </w:r>
      <w:r w:rsidR="00BE0C02">
        <w:instrText xml:space="preserve"> \* MERGEFORMAT </w:instrText>
      </w:r>
      <w:r w:rsidRPr="00BE0C02">
        <w:fldChar w:fldCharType="separate"/>
      </w:r>
      <w:r w:rsidR="00E354C4">
        <w:t>(a)</w:t>
      </w:r>
      <w:r w:rsidRPr="00BE0C02">
        <w:fldChar w:fldCharType="end"/>
      </w:r>
      <w:r w:rsidRPr="00BE0C02">
        <w:t>, the Board noted its expectation that users of those financial statements would also benefit from having access to GPFS rather than SPFS given that:</w:t>
      </w:r>
      <w:bookmarkEnd w:id="53"/>
    </w:p>
    <w:p w14:paraId="02A51C29" w14:textId="270A1783" w:rsidR="00CD22B9" w:rsidRPr="00BE0C02" w:rsidRDefault="00CD22B9" w:rsidP="007E6349">
      <w:pPr>
        <w:pStyle w:val="NumBC2"/>
        <w:numPr>
          <w:ilvl w:val="0"/>
          <w:numId w:val="43"/>
        </w:numPr>
        <w:ind w:left="1564" w:hanging="782"/>
      </w:pPr>
      <w:r w:rsidRPr="00BE0C02">
        <w:t xml:space="preserve">small </w:t>
      </w:r>
      <w:r w:rsidR="00196A26" w:rsidRPr="00BE0C02">
        <w:t>foreign-</w:t>
      </w:r>
      <w:r w:rsidRPr="00BE0C02">
        <w:t>controlled companies have been specifically required to lodge financial statements with ASIC</w:t>
      </w:r>
      <w:r w:rsidR="005B5AF4" w:rsidRPr="00BE0C02">
        <w:rPr>
          <w:rStyle w:val="FootnoteReference"/>
        </w:rPr>
        <w:footnoteReference w:id="20"/>
      </w:r>
      <w:r w:rsidRPr="00BE0C02">
        <w:t xml:space="preserve">, and are already provided with significant relief from financial reporting obligations if the company is included in the consolidated financial statements of a registered foreign company </w:t>
      </w:r>
      <w:r w:rsidR="00EE7304" w:rsidRPr="00BE0C02">
        <w:t xml:space="preserve">that </w:t>
      </w:r>
      <w:r w:rsidRPr="00BE0C02">
        <w:t xml:space="preserve">is lodged with ASIC. Additionally, </w:t>
      </w:r>
      <w:r w:rsidRPr="00BE0C02">
        <w:rPr>
          <w:i/>
        </w:rPr>
        <w:t>ASIC Corporations (Foreign-Controlled Company Reports) Instrument 2017/204</w:t>
      </w:r>
      <w:r w:rsidRPr="00BE0C02">
        <w:t xml:space="preserve"> provides further relief to small </w:t>
      </w:r>
      <w:r w:rsidR="00196A26" w:rsidRPr="00BE0C02">
        <w:t>foreign-</w:t>
      </w:r>
      <w:r w:rsidRPr="00BE0C02">
        <w:t xml:space="preserve">controlled entities – even if they are not consolidated by a registered foreign company lodging financial statements with ASIC – by requiring them to lodge financial statements with ASIC only if directed to do so by shareholders or ASIC, or if they are part of a large group in Australia. The requirement for small </w:t>
      </w:r>
      <w:r w:rsidR="00196A26" w:rsidRPr="00BE0C02">
        <w:t>foreign-</w:t>
      </w:r>
      <w:r w:rsidRPr="00BE0C02">
        <w:t>controlled companies to lodge financial statements where they are part of a large group is designed to prevent foreign-controlled companies disaggregating their Australian activities into smaller companies to avoid financial reporting obligations.</w:t>
      </w:r>
      <w:r w:rsidRPr="00BE0C02">
        <w:rPr>
          <w:vertAlign w:val="superscript"/>
        </w:rPr>
        <w:footnoteReference w:id="21"/>
      </w:r>
      <w:r w:rsidRPr="00BE0C02">
        <w:t xml:space="preserve"> In light of this Australian public interest context, demonstrated also through the requirements for SGEs to lodge GPFS with </w:t>
      </w:r>
      <w:r w:rsidR="00C60B4C" w:rsidRPr="00BE0C02">
        <w:t xml:space="preserve">the </w:t>
      </w:r>
      <w:r w:rsidRPr="00BE0C02">
        <w:t>ATO</w:t>
      </w:r>
      <w:r w:rsidR="00BB15A2" w:rsidRPr="00BE0C02">
        <w:t xml:space="preserve"> and the strong public interest </w:t>
      </w:r>
      <w:r w:rsidR="001B11EE" w:rsidRPr="00BE0C02">
        <w:t>in seeing no avoidance of tax</w:t>
      </w:r>
      <w:r w:rsidRPr="00BE0C02">
        <w:t xml:space="preserve">, there appears to be no justification for small </w:t>
      </w:r>
      <w:r w:rsidR="00196A26" w:rsidRPr="00BE0C02">
        <w:t>foreign-</w:t>
      </w:r>
      <w:r w:rsidRPr="00BE0C02">
        <w:t>controlled companies to be relieved from the requirement to prepare GPFS; and</w:t>
      </w:r>
    </w:p>
    <w:p w14:paraId="1335FCBB" w14:textId="44913E35" w:rsidR="00CD22B9" w:rsidRPr="00BE0C02" w:rsidRDefault="00CD22B9" w:rsidP="007E6349">
      <w:pPr>
        <w:pStyle w:val="NumBC2"/>
        <w:numPr>
          <w:ilvl w:val="0"/>
          <w:numId w:val="43"/>
        </w:numPr>
        <w:ind w:left="1564" w:hanging="782"/>
      </w:pPr>
      <w:r w:rsidRPr="00BE0C02">
        <w:t xml:space="preserve">unlisted public companies by definition would have at least 50 non-employee shareholders (ie external users) and have the ability to offer shares to the public. As such, the Board noted it would be difficult to justify there being no external users of such entities’ financial statements – and therefore GPFS are warranted. In addition, </w:t>
      </w:r>
      <w:r w:rsidR="00446763" w:rsidRPr="00BE0C02">
        <w:t xml:space="preserve">it is possible </w:t>
      </w:r>
      <w:r w:rsidRPr="00BE0C02">
        <w:t xml:space="preserve">that </w:t>
      </w:r>
      <w:r w:rsidR="00446763" w:rsidRPr="00BE0C02">
        <w:t xml:space="preserve">some </w:t>
      </w:r>
      <w:r w:rsidRPr="00BE0C02">
        <w:t>of the 3,102 unlisted public companies</w:t>
      </w:r>
      <w:r w:rsidR="00DA0E8F" w:rsidRPr="00BE0C02">
        <w:rPr>
          <w:rStyle w:val="FootnoteReference"/>
        </w:rPr>
        <w:footnoteReference w:id="22"/>
      </w:r>
      <w:r w:rsidRPr="00BE0C02">
        <w:t xml:space="preserve"> currently lodging financial statements with ASIC </w:t>
      </w:r>
      <w:r w:rsidR="00D04A15" w:rsidRPr="00BE0C02">
        <w:t xml:space="preserve">may </w:t>
      </w:r>
      <w:r w:rsidRPr="00BE0C02">
        <w:t xml:space="preserve">be not-for-profit entities, and as such would not be affected by this </w:t>
      </w:r>
      <w:r w:rsidR="00F80070" w:rsidRPr="00BE0C02">
        <w:t>Standard</w:t>
      </w:r>
      <w:r w:rsidRPr="00BE0C02">
        <w:t xml:space="preserve">. </w:t>
      </w:r>
    </w:p>
    <w:p w14:paraId="5DF7BC3B" w14:textId="77777777" w:rsidR="00F16086" w:rsidRPr="00BE0C02" w:rsidRDefault="00F16086" w:rsidP="00F16086">
      <w:pPr>
        <w:pStyle w:val="Heading4"/>
        <w:spacing w:before="200"/>
      </w:pPr>
      <w:r w:rsidRPr="00BE0C02">
        <w:t>The RCF</w:t>
      </w:r>
    </w:p>
    <w:p w14:paraId="03FD0D63" w14:textId="5789EA2D" w:rsidR="00F16086" w:rsidRPr="00BE0C02" w:rsidRDefault="00F16086" w:rsidP="007E6349">
      <w:pPr>
        <w:pStyle w:val="NumBC1"/>
        <w:numPr>
          <w:ilvl w:val="0"/>
          <w:numId w:val="27"/>
        </w:numPr>
        <w:ind w:left="782" w:hanging="782"/>
      </w:pPr>
      <w:bookmarkStart w:id="54" w:name="_Ref15929496"/>
      <w:r w:rsidRPr="00BE0C02">
        <w:t>The IASB issued the RCF in March 2018. The RCF describes the objective and concepts for general purpose financial reporting under IFRS Standards. Its purpose is to assist standard-setters to develop Standards that are based on consistent concepts, and to help preparers develop consistent accounting policies when no Standard applies to a particular transaction or event, or when a Standard allows a choice of accounting policy.</w:t>
      </w:r>
      <w:r w:rsidRPr="00BE0C02">
        <w:rPr>
          <w:rStyle w:val="FootnoteReference"/>
        </w:rPr>
        <w:footnoteReference w:id="23"/>
      </w:r>
      <w:r w:rsidRPr="00BE0C02">
        <w:t xml:space="preserve"> </w:t>
      </w:r>
      <w:r w:rsidRPr="00BE0C02">
        <w:lastRenderedPageBreak/>
        <w:t xml:space="preserve">It also assists anyone looking to understand and interpret the Standards. However, </w:t>
      </w:r>
      <w:r w:rsidRPr="00BE0C02">
        <w:rPr>
          <w:szCs w:val="19"/>
        </w:rPr>
        <w:t>the RCF’s concept of ‘reporting entity’ is different from the reporting entity concept in SAC 1 and some AAS.</w:t>
      </w:r>
      <w:r w:rsidRPr="00BE0C02">
        <w:rPr>
          <w:rStyle w:val="FootnoteReference"/>
          <w:szCs w:val="19"/>
        </w:rPr>
        <w:footnoteReference w:id="24"/>
      </w:r>
      <w:bookmarkEnd w:id="54"/>
      <w:r w:rsidR="009E5FC7" w:rsidRPr="00BE0C02">
        <w:rPr>
          <w:szCs w:val="19"/>
        </w:rPr>
        <w:t xml:space="preserve"> </w:t>
      </w:r>
    </w:p>
    <w:p w14:paraId="1DF73C4D" w14:textId="5CA0DF36" w:rsidR="00F16086" w:rsidRPr="00BE0C02" w:rsidRDefault="00F16086" w:rsidP="007E6349">
      <w:pPr>
        <w:pStyle w:val="NumBC1"/>
        <w:numPr>
          <w:ilvl w:val="0"/>
          <w:numId w:val="27"/>
        </w:numPr>
        <w:ind w:left="782" w:hanging="782"/>
      </w:pPr>
      <w:r w:rsidRPr="00BE0C02">
        <w:t xml:space="preserve">Making the IASB’s RCF applicable in Australia, modified where necessary for public sector and </w:t>
      </w:r>
      <w:r w:rsidR="0026616C" w:rsidRPr="00BE0C02" w:rsidDel="0026616C">
        <w:t xml:space="preserve"> </w:t>
      </w:r>
      <w:r w:rsidRPr="00BE0C02">
        <w:t xml:space="preserve">NFP specific issues, </w:t>
      </w:r>
      <w:r w:rsidR="004A5797" w:rsidRPr="00BE0C02">
        <w:t>is</w:t>
      </w:r>
      <w:r w:rsidRPr="00BE0C02">
        <w:t xml:space="preserve"> consistent with the FRC</w:t>
      </w:r>
      <w:r w:rsidR="00432093" w:rsidRPr="00BE0C02">
        <w:t>’s</w:t>
      </w:r>
      <w:r w:rsidRPr="00BE0C02">
        <w:t xml:space="preserve"> strategic direction to the Board and the Board’s strategic objectives. In accordance with those strategies, the Board should:</w:t>
      </w:r>
    </w:p>
    <w:p w14:paraId="30D10554" w14:textId="77777777" w:rsidR="00F16086" w:rsidRPr="00BE0C02" w:rsidRDefault="00F16086" w:rsidP="007E6349">
      <w:pPr>
        <w:pStyle w:val="NumBC2"/>
        <w:numPr>
          <w:ilvl w:val="0"/>
          <w:numId w:val="42"/>
        </w:numPr>
        <w:ind w:left="1564" w:hanging="782"/>
      </w:pPr>
      <w:r w:rsidRPr="00BE0C02">
        <w:t>maintain compliance with IFRS Standards for publicly accountable entities; and</w:t>
      </w:r>
    </w:p>
    <w:p w14:paraId="5DC63990" w14:textId="77777777" w:rsidR="00F16086" w:rsidRPr="00BE0C02" w:rsidRDefault="00F16086" w:rsidP="007E6349">
      <w:pPr>
        <w:pStyle w:val="NumBC2"/>
        <w:numPr>
          <w:ilvl w:val="0"/>
          <w:numId w:val="42"/>
        </w:numPr>
        <w:ind w:left="1564" w:hanging="782"/>
      </w:pPr>
      <w:r w:rsidRPr="00BE0C02">
        <w:t xml:space="preserve">use IFRS Standards as a base for determining the reporting requirements for all other entities, modified as appropriate, in accordance with </w:t>
      </w:r>
      <w:r w:rsidRPr="00BE0C02">
        <w:rPr>
          <w:i/>
        </w:rPr>
        <w:t>The AASB’s For-Profit Entity Standard-Setting Framework</w:t>
      </w:r>
      <w:r w:rsidRPr="00BE0C02">
        <w:t xml:space="preserve"> and </w:t>
      </w:r>
      <w:r w:rsidRPr="00BE0C02">
        <w:rPr>
          <w:i/>
        </w:rPr>
        <w:t>The AASB’s Not-for-Profit Entity Standard-Setting Framework</w:t>
      </w:r>
      <w:r w:rsidRPr="00BE0C02">
        <w:t>.</w:t>
      </w:r>
    </w:p>
    <w:p w14:paraId="189B1F2F" w14:textId="1DBC08DD" w:rsidR="00F16086" w:rsidRPr="00BE0C02" w:rsidRDefault="00F16086" w:rsidP="007E6349">
      <w:pPr>
        <w:pStyle w:val="NumBC1"/>
        <w:numPr>
          <w:ilvl w:val="0"/>
          <w:numId w:val="27"/>
        </w:numPr>
        <w:ind w:left="782" w:hanging="782"/>
      </w:pPr>
      <w:r w:rsidRPr="00BE0C02">
        <w:t xml:space="preserve">However, if the AASB’s current reporting entity concept </w:t>
      </w:r>
      <w:r w:rsidR="00950F37" w:rsidRPr="00BE0C02">
        <w:t>were</w:t>
      </w:r>
      <w:r w:rsidRPr="00BE0C02">
        <w:t xml:space="preserve"> maintained at the same time the RCF is applied, the inconsistency of the Australian reporting entity concept with the RCF could result in confusion, misinterpretation and the incorrect application of AAS and non-compliance with IFRS Standards. The likelihood of inconsistencies </w:t>
      </w:r>
      <w:r w:rsidR="00950F37" w:rsidRPr="00BE0C02">
        <w:t>would</w:t>
      </w:r>
      <w:r w:rsidRPr="00BE0C02">
        <w:t xml:space="preserve"> also increase as and when IFRS Standards are amended or revised and more references to the term ‘reporting entity’ as defined in the RCF </w:t>
      </w:r>
      <w:r w:rsidR="00310A27" w:rsidRPr="00BE0C02">
        <w:t xml:space="preserve">are </w:t>
      </w:r>
      <w:r w:rsidRPr="00BE0C02">
        <w:t xml:space="preserve">included </w:t>
      </w:r>
      <w:r w:rsidR="00310A27" w:rsidRPr="00BE0C02">
        <w:t>in</w:t>
      </w:r>
      <w:r w:rsidRPr="00BE0C02">
        <w:t xml:space="preserve"> IFRS Standards. </w:t>
      </w:r>
    </w:p>
    <w:p w14:paraId="120807B2" w14:textId="13CC8288" w:rsidR="00F16086" w:rsidRPr="00BE0C02" w:rsidRDefault="00F16086" w:rsidP="007E6349">
      <w:pPr>
        <w:pStyle w:val="NumBC1"/>
        <w:numPr>
          <w:ilvl w:val="0"/>
          <w:numId w:val="27"/>
        </w:numPr>
        <w:ind w:left="782" w:hanging="782"/>
      </w:pPr>
      <w:bookmarkStart w:id="55" w:name="_Ref15931202"/>
      <w:r w:rsidRPr="00BE0C02">
        <w:t>Implementation of the RCF in Australia is challenging due to the reporting entity concept clash, that is, the reporting entity concept in the RCF determines the boundary of what needs to be reported when an entity is required to report, eg consolidation</w:t>
      </w:r>
      <w:r w:rsidR="00310A27" w:rsidRPr="00BE0C02">
        <w:t>,</w:t>
      </w:r>
      <w:r w:rsidR="00E7553E" w:rsidRPr="00BE0C02">
        <w:t xml:space="preserve"> and it </w:t>
      </w:r>
      <w:r w:rsidR="00E7553E" w:rsidRPr="00BE0C02">
        <w:rPr>
          <w:szCs w:val="19"/>
        </w:rPr>
        <w:t>does not determine who should prepare GPFS, as it is assumed that legislation requiring the preparation of financial statements in accordance with accounting standards is requiring GPFS</w:t>
      </w:r>
      <w:r w:rsidRPr="00BE0C02">
        <w:t>. In contrast, the current Australian reporting entity concept allows entities to self-assess whether they should prepare:</w:t>
      </w:r>
      <w:bookmarkEnd w:id="55"/>
    </w:p>
    <w:p w14:paraId="591C054A" w14:textId="7E99196A" w:rsidR="00F16086" w:rsidRPr="00BE0C02" w:rsidRDefault="00F16086" w:rsidP="007E6349">
      <w:pPr>
        <w:pStyle w:val="NumBC2"/>
        <w:numPr>
          <w:ilvl w:val="0"/>
          <w:numId w:val="78"/>
        </w:numPr>
        <w:ind w:left="1564" w:hanging="782"/>
      </w:pPr>
      <w:r w:rsidRPr="00BE0C02">
        <w:t xml:space="preserve">GPFS, which requires compliance with all AAS, including recognition, measurement, presentation and disclosure requirements; or </w:t>
      </w:r>
    </w:p>
    <w:p w14:paraId="2303C89E" w14:textId="01FB9166" w:rsidR="00F16086" w:rsidRPr="00BE0C02" w:rsidRDefault="00F16086" w:rsidP="007E6349">
      <w:pPr>
        <w:pStyle w:val="NumBC2"/>
        <w:numPr>
          <w:ilvl w:val="0"/>
          <w:numId w:val="78"/>
        </w:numPr>
        <w:ind w:left="1564" w:hanging="782"/>
      </w:pPr>
      <w:bookmarkStart w:id="56" w:name="_Ref15931205"/>
      <w:r w:rsidRPr="00BE0C02">
        <w:t xml:space="preserve">SPFS, which </w:t>
      </w:r>
      <w:r w:rsidRPr="00BE0C02">
        <w:rPr>
          <w:szCs w:val="19"/>
        </w:rPr>
        <w:t xml:space="preserve">only requires compliance with a </w:t>
      </w:r>
      <w:r w:rsidR="00706EA9" w:rsidRPr="00BE0C02">
        <w:rPr>
          <w:szCs w:val="19"/>
        </w:rPr>
        <w:t xml:space="preserve">small number </w:t>
      </w:r>
      <w:r w:rsidRPr="00BE0C02">
        <w:rPr>
          <w:szCs w:val="19"/>
        </w:rPr>
        <w:t xml:space="preserve">of AAS </w:t>
      </w:r>
      <w:r w:rsidR="00706EA9" w:rsidRPr="00BE0C02">
        <w:rPr>
          <w:szCs w:val="19"/>
        </w:rPr>
        <w:t xml:space="preserve">that </w:t>
      </w:r>
      <w:r w:rsidRPr="00BE0C02">
        <w:rPr>
          <w:szCs w:val="19"/>
        </w:rPr>
        <w:t xml:space="preserve">are more focussed on the presentation of and disclosure in financial statements and </w:t>
      </w:r>
      <w:r w:rsidR="00710466" w:rsidRPr="00BE0C02">
        <w:rPr>
          <w:szCs w:val="19"/>
        </w:rPr>
        <w:t>don’t specify</w:t>
      </w:r>
      <w:r w:rsidRPr="00BE0C02">
        <w:rPr>
          <w:szCs w:val="19"/>
        </w:rPr>
        <w:t xml:space="preserve"> </w:t>
      </w:r>
      <w:r w:rsidR="00710466" w:rsidRPr="00BE0C02">
        <w:rPr>
          <w:szCs w:val="19"/>
        </w:rPr>
        <w:t xml:space="preserve">R&amp;M </w:t>
      </w:r>
      <w:r w:rsidR="00083259" w:rsidRPr="00BE0C02">
        <w:rPr>
          <w:szCs w:val="19"/>
        </w:rPr>
        <w:t>requirements</w:t>
      </w:r>
      <w:r w:rsidRPr="00BE0C02">
        <w:rPr>
          <w:szCs w:val="19"/>
        </w:rPr>
        <w:t>.</w:t>
      </w:r>
      <w:bookmarkEnd w:id="56"/>
    </w:p>
    <w:p w14:paraId="63341BFB" w14:textId="77777777" w:rsidR="00F16086" w:rsidRPr="00BE0C02" w:rsidRDefault="00F16086" w:rsidP="00166478">
      <w:pPr>
        <w:pStyle w:val="NumBC1"/>
        <w:ind w:firstLine="0"/>
      </w:pPr>
      <w:r w:rsidRPr="00BE0C02">
        <w:t>The ability of entities to self-assess their reporting requirements under the Australian reporting entity concept has led to the more fundamental ‘SPFS problem’.</w:t>
      </w:r>
    </w:p>
    <w:p w14:paraId="0C92E2A4" w14:textId="36BC98FD" w:rsidR="008F6EFC" w:rsidRPr="00BE0C02" w:rsidRDefault="008F6EFC" w:rsidP="007E6349">
      <w:pPr>
        <w:pStyle w:val="NumBC1"/>
        <w:numPr>
          <w:ilvl w:val="0"/>
          <w:numId w:val="27"/>
        </w:numPr>
        <w:ind w:left="782" w:hanging="782"/>
      </w:pPr>
      <w:bookmarkStart w:id="57" w:name="_Ref15930988"/>
      <w:r w:rsidRPr="00BE0C02">
        <w:t xml:space="preserve">Further, the SAC 1 reporting entity concept has </w:t>
      </w:r>
      <w:r w:rsidR="009E1975" w:rsidRPr="00BE0C02">
        <w:t xml:space="preserve">led to confusion and </w:t>
      </w:r>
      <w:r w:rsidRPr="00BE0C02">
        <w:t>diversity in practice</w:t>
      </w:r>
      <w:r w:rsidR="009E1975" w:rsidRPr="00BE0C02">
        <w:t xml:space="preserve"> regarding whether consolidation and equity accounting should be applied in SPFS publicly lodged with ASIC. </w:t>
      </w:r>
      <w:r w:rsidRPr="00BE0C02">
        <w:rPr>
          <w:szCs w:val="19"/>
        </w:rPr>
        <w:t>RG 85 notes that some “companies have failed to prepare consolidated financial statements on the grounds that the parent entity was not a reporting entity”</w:t>
      </w:r>
      <w:r w:rsidRPr="00BE0C02">
        <w:rPr>
          <w:rStyle w:val="FootnoteReference"/>
          <w:szCs w:val="19"/>
        </w:rPr>
        <w:footnoteReference w:id="25"/>
      </w:r>
      <w:r w:rsidRPr="00BE0C02">
        <w:rPr>
          <w:szCs w:val="19"/>
        </w:rPr>
        <w:t xml:space="preserve"> </w:t>
      </w:r>
      <w:r w:rsidR="009E1975" w:rsidRPr="00BE0C02">
        <w:rPr>
          <w:szCs w:val="19"/>
        </w:rPr>
        <w:t xml:space="preserve">and </w:t>
      </w:r>
      <w:r w:rsidRPr="00BE0C02">
        <w:rPr>
          <w:szCs w:val="19"/>
        </w:rPr>
        <w:t xml:space="preserve">that the “sole determining factor as to whether consolidated financial statements are required is whether the </w:t>
      </w:r>
      <w:r w:rsidRPr="00BE0C02">
        <w:rPr>
          <w:b/>
          <w:bCs/>
          <w:szCs w:val="19"/>
        </w:rPr>
        <w:t xml:space="preserve">group </w:t>
      </w:r>
      <w:r w:rsidRPr="00BE0C02">
        <w:rPr>
          <w:szCs w:val="19"/>
        </w:rPr>
        <w:t>is a reporting entity” (emphasis added).</w:t>
      </w:r>
      <w:r w:rsidRPr="00BE0C02">
        <w:rPr>
          <w:rStyle w:val="FootnoteReference"/>
          <w:szCs w:val="19"/>
        </w:rPr>
        <w:footnoteReference w:id="26"/>
      </w:r>
      <w:r w:rsidRPr="00BE0C02">
        <w:rPr>
          <w:szCs w:val="19"/>
        </w:rPr>
        <w:t xml:space="preserve"> </w:t>
      </w:r>
      <w:r w:rsidR="009E1975" w:rsidRPr="00BE0C02">
        <w:rPr>
          <w:szCs w:val="19"/>
        </w:rPr>
        <w:t>The RCF and AASB</w:t>
      </w:r>
      <w:r w:rsidR="0072796D" w:rsidRPr="00BE0C02">
        <w:rPr>
          <w:szCs w:val="19"/>
        </w:rPr>
        <w:t> </w:t>
      </w:r>
      <w:r w:rsidR="009E1975" w:rsidRPr="00BE0C02">
        <w:rPr>
          <w:szCs w:val="19"/>
        </w:rPr>
        <w:t>10 however, require consolidation if an entity is a parent</w:t>
      </w:r>
      <w:r w:rsidR="00310A27" w:rsidRPr="00BE0C02">
        <w:rPr>
          <w:szCs w:val="19"/>
        </w:rPr>
        <w:t>,</w:t>
      </w:r>
      <w:r w:rsidR="009E1975" w:rsidRPr="00BE0C02">
        <w:rPr>
          <w:szCs w:val="19"/>
        </w:rPr>
        <w:t xml:space="preserve"> with limited exceptions.</w:t>
      </w:r>
      <w:r w:rsidR="009E1975" w:rsidRPr="00BE0C02">
        <w:rPr>
          <w:rStyle w:val="FootnoteReference"/>
          <w:szCs w:val="19"/>
        </w:rPr>
        <w:footnoteReference w:id="27"/>
      </w:r>
    </w:p>
    <w:p w14:paraId="61224A11" w14:textId="68A57570" w:rsidR="00F16086" w:rsidRPr="00BE0C02" w:rsidRDefault="00F16086" w:rsidP="007E6349">
      <w:pPr>
        <w:pStyle w:val="NumBC1"/>
        <w:numPr>
          <w:ilvl w:val="0"/>
          <w:numId w:val="27"/>
        </w:numPr>
        <w:ind w:left="782" w:hanging="782"/>
      </w:pPr>
      <w:bookmarkStart w:id="58" w:name="_Ref16629823"/>
      <w:r w:rsidRPr="00BE0C02">
        <w:t xml:space="preserve">This reporting entity clash was addressed in ITC 39, </w:t>
      </w:r>
      <w:r w:rsidR="008F6EFC" w:rsidRPr="00BE0C02">
        <w:t xml:space="preserve">and ITC 39 </w:t>
      </w:r>
      <w:r w:rsidRPr="00BE0C02">
        <w:t>sought comment on the clash between the reporting entity concepts in the RCF and SAC</w:t>
      </w:r>
      <w:r w:rsidR="00310A27" w:rsidRPr="00BE0C02">
        <w:t xml:space="preserve"> </w:t>
      </w:r>
      <w:r w:rsidRPr="00BE0C02">
        <w:t xml:space="preserve">1 and the related SPFS problem. The </w:t>
      </w:r>
      <w:r w:rsidR="00657FBD" w:rsidRPr="00BE0C02">
        <w:t>requirements of</w:t>
      </w:r>
      <w:r w:rsidRPr="00BE0C02">
        <w:t xml:space="preserve"> this </w:t>
      </w:r>
      <w:r w:rsidR="0090275F" w:rsidRPr="00BE0C02">
        <w:t xml:space="preserve">Standard </w:t>
      </w:r>
      <w:r w:rsidRPr="00BE0C02">
        <w:t>have been informed by the Board’s research and consultation undertaken prior to and since ITC 39 was issued. The results of that research and consultation, and how it influenced the Board’s decisions, are outlined throughout this Basis for Conclusions.</w:t>
      </w:r>
      <w:bookmarkEnd w:id="57"/>
      <w:bookmarkEnd w:id="58"/>
    </w:p>
    <w:p w14:paraId="7B805EDD" w14:textId="2405DE56" w:rsidR="00F16086" w:rsidRPr="00BE0C02" w:rsidRDefault="00F16086" w:rsidP="007E6349">
      <w:pPr>
        <w:pStyle w:val="NumBC1"/>
        <w:numPr>
          <w:ilvl w:val="0"/>
          <w:numId w:val="27"/>
        </w:numPr>
        <w:ind w:left="782" w:hanging="782"/>
      </w:pPr>
      <w:r w:rsidRPr="00BE0C02">
        <w:t>To address the reporting entity clash, ITC</w:t>
      </w:r>
      <w:r w:rsidR="00432093" w:rsidRPr="00BE0C02">
        <w:t xml:space="preserve"> </w:t>
      </w:r>
      <w:r w:rsidRPr="00BE0C02">
        <w:t xml:space="preserve">39 considered a number of options to apply the RCF (refer to paragraphs </w:t>
      </w:r>
      <w:r w:rsidRPr="00BE0C02">
        <w:fldChar w:fldCharType="begin"/>
      </w:r>
      <w:r w:rsidRPr="00BE0C02">
        <w:instrText xml:space="preserve"> REF _Ref9865368 \r \h </w:instrText>
      </w:r>
      <w:r w:rsidR="00BE0C02">
        <w:instrText xml:space="preserve"> \* MERGEFORMAT </w:instrText>
      </w:r>
      <w:r w:rsidRPr="00BE0C02">
        <w:fldChar w:fldCharType="separate"/>
      </w:r>
      <w:r w:rsidR="00E354C4">
        <w:t>BC52</w:t>
      </w:r>
      <w:r w:rsidRPr="00BE0C02">
        <w:fldChar w:fldCharType="end"/>
      </w:r>
      <w:r w:rsidRPr="00BE0C02">
        <w:t>-</w:t>
      </w:r>
      <w:r w:rsidRPr="00BE0C02">
        <w:fldChar w:fldCharType="begin"/>
      </w:r>
      <w:r w:rsidRPr="00BE0C02">
        <w:instrText xml:space="preserve"> REF _Ref13473319 \r \h </w:instrText>
      </w:r>
      <w:r w:rsidR="00BE0C02">
        <w:instrText xml:space="preserve"> \* MERGEFORMAT </w:instrText>
      </w:r>
      <w:r w:rsidRPr="00BE0C02">
        <w:fldChar w:fldCharType="separate"/>
      </w:r>
      <w:r w:rsidR="00E354C4">
        <w:t>BC57</w:t>
      </w:r>
      <w:r w:rsidRPr="00BE0C02">
        <w:fldChar w:fldCharType="end"/>
      </w:r>
      <w:r w:rsidRPr="00BE0C02">
        <w:t>), including considering whether it would be feasible to operate with two conceptual frameworks</w:t>
      </w:r>
      <w:r w:rsidRPr="00BE0C02">
        <w:rPr>
          <w:rStyle w:val="FootnoteReference"/>
        </w:rPr>
        <w:footnoteReference w:id="28"/>
      </w:r>
      <w:r w:rsidRPr="00BE0C02">
        <w:t xml:space="preserve"> – the RCF for publicly accountable entities and entities that wish to claim IFRS compliance, and the current </w:t>
      </w:r>
      <w:r w:rsidRPr="00BE0C02">
        <w:rPr>
          <w:i/>
        </w:rPr>
        <w:t xml:space="preserve">Framework for the Preparation and Presentation of Financial Statements </w:t>
      </w:r>
      <w:r w:rsidRPr="00BE0C02">
        <w:t xml:space="preserve">(existing Conceptual Framework) for other entities (which would include maintaining SAC 1, the Australian reporting entity concept and SPFS for all entities not applying the RCF). However, the Board decided that this option was not feasible, as new and revised AAS will be based on the RCF, which includes revised definitions and recognition criteria for assets and liabilities, a new chapter on the reporting entity and a new chapter on measurement. Therefore, if entities </w:t>
      </w:r>
      <w:r w:rsidR="00950F37" w:rsidRPr="00BE0C02">
        <w:t>continued</w:t>
      </w:r>
      <w:r w:rsidRPr="00BE0C02">
        <w:t xml:space="preserve"> to apply the existing Conceptual Framework when developing accounting policies or interpreting AAS, they are likely to develop inappropriate accounting policies or incorrectly interpret AAS. This could result in inaccurate and inconsistent financial reporting which would reduce the transparency and comparability for users of financial statements. </w:t>
      </w:r>
    </w:p>
    <w:p w14:paraId="06C44BAF" w14:textId="00C035EF" w:rsidR="00F16086" w:rsidRPr="00BE0C02" w:rsidRDefault="00F16086" w:rsidP="007E6349">
      <w:pPr>
        <w:pStyle w:val="NumBC1"/>
        <w:numPr>
          <w:ilvl w:val="0"/>
          <w:numId w:val="27"/>
        </w:numPr>
        <w:ind w:left="782" w:hanging="782"/>
      </w:pPr>
      <w:bookmarkStart w:id="59" w:name="_Ref15929502"/>
      <w:r w:rsidRPr="00BE0C02">
        <w:t xml:space="preserve">Updating the existing Conceptual Framework for the changes made via the RCF other than the reporting entity concept </w:t>
      </w:r>
      <w:r w:rsidR="00950F37" w:rsidRPr="00BE0C02">
        <w:t>was</w:t>
      </w:r>
      <w:r w:rsidRPr="00BE0C02">
        <w:t xml:space="preserve"> also not feasible given the pervasive use of ‘reporting entity’ throughout the RCF. The Board </w:t>
      </w:r>
      <w:r w:rsidRPr="00BE0C02">
        <w:lastRenderedPageBreak/>
        <w:t>also considered an option to simply rename the reporting entity concept in SAC 1 to resolve the reporting entity clash.</w:t>
      </w:r>
      <w:r w:rsidRPr="00BE0C02">
        <w:rPr>
          <w:rStyle w:val="FootnoteReference"/>
        </w:rPr>
        <w:footnoteReference w:id="29"/>
      </w:r>
      <w:r w:rsidRPr="00BE0C02">
        <w:t xml:space="preserve"> The Board however decided that this approach would not meet any of the justifiable circumstances set out in </w:t>
      </w:r>
      <w:r w:rsidRPr="00BE0C02">
        <w:rPr>
          <w:i/>
        </w:rPr>
        <w:t xml:space="preserve">The AASB’s For-Profit Entity Standard-Setting Framework </w:t>
      </w:r>
      <w:r w:rsidRPr="00BE0C02">
        <w:t xml:space="preserve">for the AASB to have different requirements to IFRS Standards. Further, this would be inconsistent with the AASB’s legislative requirements to ensure there are appropriate accounting standards for each type of entity that must comply with accounting standards and to facilitate consistency, comparability, transparency and enforceability (refer paragraph </w:t>
      </w:r>
      <w:r w:rsidRPr="00BE0C02">
        <w:fldChar w:fldCharType="begin"/>
      </w:r>
      <w:r w:rsidRPr="00BE0C02">
        <w:instrText xml:space="preserve"> REF _Ref14076434 \r \h </w:instrText>
      </w:r>
      <w:r w:rsidR="00BE0C02">
        <w:instrText xml:space="preserve"> \* MERGEFORMAT </w:instrText>
      </w:r>
      <w:r w:rsidRPr="00BE0C02">
        <w:fldChar w:fldCharType="separate"/>
      </w:r>
      <w:r w:rsidR="00E354C4">
        <w:t>BC16</w:t>
      </w:r>
      <w:r w:rsidRPr="00BE0C02">
        <w:fldChar w:fldCharType="end"/>
      </w:r>
      <w:r w:rsidRPr="00BE0C02">
        <w:t>). This is because such an approach would not resolve the fundamental issues with the public lodgement of SPFS, which is addressed in the next section</w:t>
      </w:r>
      <w:r w:rsidR="00310A27" w:rsidRPr="00BE0C02">
        <w:t>,</w:t>
      </w:r>
      <w:r w:rsidRPr="00BE0C02">
        <w:t xml:space="preserve"> or the </w:t>
      </w:r>
      <w:r w:rsidR="006D3CA4" w:rsidRPr="00BE0C02">
        <w:t xml:space="preserve">evident </w:t>
      </w:r>
      <w:r w:rsidRPr="00BE0C02">
        <w:t>inconsistency in practice and lack of transparency.</w:t>
      </w:r>
      <w:bookmarkEnd w:id="59"/>
    </w:p>
    <w:p w14:paraId="192D4F61" w14:textId="77777777" w:rsidR="00CD22B9" w:rsidRPr="00BE0C02" w:rsidRDefault="00CD22B9" w:rsidP="00267FDF">
      <w:pPr>
        <w:pStyle w:val="Heading4"/>
        <w:spacing w:before="200"/>
      </w:pPr>
      <w:r w:rsidRPr="00BE0C02">
        <w:t>Resolving the issues</w:t>
      </w:r>
    </w:p>
    <w:p w14:paraId="7A4B049E" w14:textId="71ABE91E" w:rsidR="00CD22B9" w:rsidRPr="00BE0C02" w:rsidRDefault="00CD22B9" w:rsidP="007E6349">
      <w:pPr>
        <w:pStyle w:val="NumBC1"/>
        <w:numPr>
          <w:ilvl w:val="0"/>
          <w:numId w:val="27"/>
        </w:numPr>
        <w:ind w:left="782" w:hanging="782"/>
      </w:pPr>
      <w:r w:rsidRPr="00BE0C02">
        <w:t xml:space="preserve">In light of the </w:t>
      </w:r>
      <w:r w:rsidR="00A94847" w:rsidRPr="00BE0C02">
        <w:t>evidence</w:t>
      </w:r>
      <w:r w:rsidR="000E6807" w:rsidRPr="00BE0C02">
        <w:t xml:space="preserve"> pro</w:t>
      </w:r>
      <w:r w:rsidR="00A94847" w:rsidRPr="00BE0C02">
        <w:t>vided to the Boa</w:t>
      </w:r>
      <w:r w:rsidR="000E6807" w:rsidRPr="00BE0C02">
        <w:t>rd</w:t>
      </w:r>
      <w:r w:rsidRPr="00BE0C02">
        <w:t xml:space="preserve"> in paragraphs </w:t>
      </w:r>
      <w:r w:rsidR="00DB63B4" w:rsidRPr="00BE0C02">
        <w:fldChar w:fldCharType="begin"/>
      </w:r>
      <w:r w:rsidR="00DB63B4" w:rsidRPr="00BE0C02">
        <w:instrText xml:space="preserve"> REF _Ref15930919 \r \h </w:instrText>
      </w:r>
      <w:r w:rsidR="00BE0C02">
        <w:instrText xml:space="preserve"> \* MERGEFORMAT </w:instrText>
      </w:r>
      <w:r w:rsidR="00DB63B4" w:rsidRPr="00BE0C02">
        <w:fldChar w:fldCharType="separate"/>
      </w:r>
      <w:r w:rsidR="00E354C4">
        <w:t>BC9</w:t>
      </w:r>
      <w:r w:rsidR="00DB63B4" w:rsidRPr="00BE0C02">
        <w:fldChar w:fldCharType="end"/>
      </w:r>
      <w:r w:rsidR="00DB63B4" w:rsidRPr="00BE0C02">
        <w:t>-</w:t>
      </w:r>
      <w:r w:rsidR="008F6EFC" w:rsidRPr="00BE0C02">
        <w:fldChar w:fldCharType="begin"/>
      </w:r>
      <w:r w:rsidR="008F6EFC" w:rsidRPr="00BE0C02">
        <w:instrText xml:space="preserve"> REF _Ref15929502 \r \h </w:instrText>
      </w:r>
      <w:r w:rsidR="00BE0C02">
        <w:instrText xml:space="preserve"> \* MERGEFORMAT </w:instrText>
      </w:r>
      <w:r w:rsidR="008F6EFC" w:rsidRPr="00BE0C02">
        <w:fldChar w:fldCharType="separate"/>
      </w:r>
      <w:r w:rsidR="00E354C4">
        <w:t>BC49</w:t>
      </w:r>
      <w:r w:rsidR="008F6EFC" w:rsidRPr="00BE0C02">
        <w:fldChar w:fldCharType="end"/>
      </w:r>
      <w:r w:rsidRPr="00BE0C02">
        <w:t xml:space="preserve">, the Board decided </w:t>
      </w:r>
      <w:r w:rsidR="00D02F1E">
        <w:t>to</w:t>
      </w:r>
      <w:r w:rsidR="00D02F1E" w:rsidRPr="00BE0C02">
        <w:t xml:space="preserve"> </w:t>
      </w:r>
      <w:r w:rsidRPr="00BE0C02">
        <w:t>resolv</w:t>
      </w:r>
      <w:r w:rsidR="00D02F1E">
        <w:t>e</w:t>
      </w:r>
      <w:r w:rsidRPr="00BE0C02">
        <w:t xml:space="preserve"> the clash between the reporting entity concepts, as well as to improve the consistency, comparability, transparency and enforceability of the for-profit private sector financial reporting framework, it is necessary to remove the Australian reporting entity concept (by making the consequential amendments to AAS set out in this </w:t>
      </w:r>
      <w:r w:rsidR="00600D56" w:rsidRPr="00BE0C02">
        <w:t>Standard</w:t>
      </w:r>
      <w:r w:rsidRPr="00BE0C02">
        <w:t xml:space="preserve">). This would remove the </w:t>
      </w:r>
      <w:r w:rsidR="008511F5" w:rsidRPr="00BE0C02">
        <w:t>ability of</w:t>
      </w:r>
      <w:r w:rsidRPr="00BE0C02">
        <w:t xml:space="preserve"> an entity to self-assess that it is not a </w:t>
      </w:r>
      <w:r w:rsidR="00091B88" w:rsidRPr="00BE0C02">
        <w:t>‘</w:t>
      </w:r>
      <w:r w:rsidRPr="00BE0C02">
        <w:t>reporting entity</w:t>
      </w:r>
      <w:r w:rsidR="00091B88" w:rsidRPr="00BE0C02">
        <w:t>’</w:t>
      </w:r>
      <w:r w:rsidRPr="00BE0C02">
        <w:t xml:space="preserve"> as currently defined in SAC 1, and so prevent it from preparing SPFS if it is required to prepare financial statements that comply with AAS.</w:t>
      </w:r>
    </w:p>
    <w:p w14:paraId="48EB4621" w14:textId="024C6378" w:rsidR="00CD22B9" w:rsidRPr="00BE0C02" w:rsidRDefault="00CD22B9" w:rsidP="007E6349">
      <w:pPr>
        <w:pStyle w:val="NumBC1"/>
        <w:numPr>
          <w:ilvl w:val="0"/>
          <w:numId w:val="27"/>
        </w:numPr>
        <w:ind w:left="782" w:hanging="782"/>
      </w:pPr>
      <w:bookmarkStart w:id="60" w:name="_Ref9260020"/>
      <w:r w:rsidRPr="00BE0C02">
        <w:t xml:space="preserve">The Board concluded the removal of the self-assessment of the reporting entity concept and disallowance of the preparation of SPFS </w:t>
      </w:r>
      <w:r w:rsidR="008A5E2F" w:rsidRPr="00BE0C02">
        <w:t xml:space="preserve">for </w:t>
      </w:r>
      <w:r w:rsidR="00FF2E60" w:rsidRPr="00BE0C02">
        <w:t xml:space="preserve">certain </w:t>
      </w:r>
      <w:r w:rsidR="008A5E2F" w:rsidRPr="00BE0C02">
        <w:t>for</w:t>
      </w:r>
      <w:r w:rsidR="00361005" w:rsidRPr="00BE0C02">
        <w:t>-</w:t>
      </w:r>
      <w:r w:rsidR="008A5E2F" w:rsidRPr="00BE0C02">
        <w:t xml:space="preserve">profit private sector entities </w:t>
      </w:r>
      <w:r w:rsidRPr="00BE0C02">
        <w:t>would simplify the reporting framework by providing a single set of minimum requirements, facilitating the objective of a consistent, comparable, transparent and enforceable Australian financial reporting framework.</w:t>
      </w:r>
      <w:bookmarkEnd w:id="60"/>
      <w:r w:rsidRPr="00BE0C02">
        <w:t xml:space="preserve"> </w:t>
      </w:r>
      <w:bookmarkStart w:id="61" w:name="_Ref9429656"/>
      <w:r w:rsidRPr="00BE0C02">
        <w:t>In arriving at this solution the Board considered a range of alternatives through ITC 39, as noted in the next section.</w:t>
      </w:r>
      <w:bookmarkEnd w:id="61"/>
    </w:p>
    <w:p w14:paraId="04EE2A9F" w14:textId="77777777" w:rsidR="00CD22B9" w:rsidRPr="00BE0C02" w:rsidRDefault="00CD22B9" w:rsidP="00CD22B9">
      <w:pPr>
        <w:pStyle w:val="Heading2"/>
        <w:rPr>
          <w:i/>
        </w:rPr>
      </w:pPr>
      <w:r w:rsidRPr="00BE0C02">
        <w:t>ITC 39</w:t>
      </w:r>
    </w:p>
    <w:p w14:paraId="3FE5C5F1" w14:textId="77777777" w:rsidR="00CD22B9" w:rsidRPr="00BE0C02" w:rsidRDefault="00CD22B9" w:rsidP="00267FDF">
      <w:pPr>
        <w:pStyle w:val="Heading4"/>
        <w:spacing w:before="200"/>
      </w:pPr>
      <w:r w:rsidRPr="00BE0C02">
        <w:t>Preferred option in ITC 39</w:t>
      </w:r>
    </w:p>
    <w:p w14:paraId="6CE78085" w14:textId="0214AFA0" w:rsidR="00CD22B9" w:rsidRPr="00BE0C02" w:rsidRDefault="00CD22B9" w:rsidP="007E6349">
      <w:pPr>
        <w:pStyle w:val="NumBC1"/>
        <w:numPr>
          <w:ilvl w:val="0"/>
          <w:numId w:val="27"/>
        </w:numPr>
        <w:ind w:left="782" w:hanging="782"/>
      </w:pPr>
      <w:bookmarkStart w:id="62" w:name="_Ref9865368"/>
      <w:r w:rsidRPr="00BE0C02">
        <w:t>As noted in paragraph</w:t>
      </w:r>
      <w:r w:rsidR="00DA0E8F" w:rsidRPr="00BE0C02">
        <w:t xml:space="preserve"> </w:t>
      </w:r>
      <w:r w:rsidR="00DA0E8F" w:rsidRPr="00BE0C02">
        <w:fldChar w:fldCharType="begin"/>
      </w:r>
      <w:r w:rsidR="00DA0E8F" w:rsidRPr="00BE0C02">
        <w:instrText xml:space="preserve"> REF _Ref16629823 \r \h </w:instrText>
      </w:r>
      <w:r w:rsidR="00BE0C02">
        <w:instrText xml:space="preserve"> \* MERGEFORMAT </w:instrText>
      </w:r>
      <w:r w:rsidR="00DA0E8F" w:rsidRPr="00BE0C02">
        <w:fldChar w:fldCharType="separate"/>
      </w:r>
      <w:r w:rsidR="00E354C4">
        <w:t>BC47</w:t>
      </w:r>
      <w:r w:rsidR="00DA0E8F" w:rsidRPr="00BE0C02">
        <w:fldChar w:fldCharType="end"/>
      </w:r>
      <w:r w:rsidRPr="00BE0C02">
        <w:t xml:space="preserve">, ITC 39 was a precursor due process document to this </w:t>
      </w:r>
      <w:r w:rsidR="008E6D1C" w:rsidRPr="00BE0C02">
        <w:t>Standard</w:t>
      </w:r>
      <w:r w:rsidRPr="00BE0C02">
        <w:t>. In ITC 39 the Board considered five different options for implementing the RCF in Australia and the benefits and barriers of each option. After considering the comments from respondents on ITC 39, the Board decided to adopt Option 1 in ITC 39, a two-phased approach to applying the RCF:</w:t>
      </w:r>
      <w:bookmarkEnd w:id="62"/>
    </w:p>
    <w:p w14:paraId="083A6395" w14:textId="262A2B40" w:rsidR="00CD22B9" w:rsidRPr="00BE0C02" w:rsidRDefault="00CD22B9" w:rsidP="007E6349">
      <w:pPr>
        <w:pStyle w:val="NumBC2"/>
        <w:numPr>
          <w:ilvl w:val="0"/>
          <w:numId w:val="35"/>
        </w:numPr>
        <w:ind w:left="1564" w:hanging="782"/>
      </w:pPr>
      <w:r w:rsidRPr="00BE0C02">
        <w:t xml:space="preserve">in the short term maintaining compliance with IFRS Standards for publicly accountable for-profit private sector entities required by legislation to comply with AAS and other for-profit entities voluntarily claiming compliance with IFRS Standards (Phase 1); and </w:t>
      </w:r>
    </w:p>
    <w:p w14:paraId="430B08F2" w14:textId="1F9D5348" w:rsidR="00CD22B9" w:rsidRPr="00BE0C02" w:rsidRDefault="00CD22B9" w:rsidP="007E6349">
      <w:pPr>
        <w:pStyle w:val="NumBC2"/>
        <w:numPr>
          <w:ilvl w:val="0"/>
          <w:numId w:val="35"/>
        </w:numPr>
        <w:ind w:left="1564" w:hanging="782"/>
      </w:pPr>
      <w:r w:rsidRPr="00BE0C02">
        <w:t>in the medium term maintaining IFRS Standards as a base by removing the Australian reporting entity concept from AAS and providing a revised Tier 2 GPFS framework (Phase 2). This would remove the ability</w:t>
      </w:r>
      <w:r w:rsidR="00A95C24" w:rsidRPr="00BE0C02">
        <w:t xml:space="preserve"> of </w:t>
      </w:r>
      <w:r w:rsidRPr="00BE0C02">
        <w:t>an entity to prepare SPFS where they are required to prepare financial statements that comply with AAS.</w:t>
      </w:r>
    </w:p>
    <w:p w14:paraId="19630023" w14:textId="33635692" w:rsidR="00CD22B9" w:rsidRPr="00BE0C02" w:rsidRDefault="00CD22B9" w:rsidP="007E6349">
      <w:pPr>
        <w:pStyle w:val="NumBC1"/>
        <w:numPr>
          <w:ilvl w:val="0"/>
          <w:numId w:val="27"/>
        </w:numPr>
        <w:ind w:left="782" w:hanging="782"/>
      </w:pPr>
      <w:bookmarkStart w:id="63" w:name="_Ref13480699"/>
      <w:r w:rsidRPr="00BE0C02">
        <w:t>The Board decided in favour of this two-phased approach because it:</w:t>
      </w:r>
      <w:bookmarkEnd w:id="63"/>
    </w:p>
    <w:p w14:paraId="0608F87D" w14:textId="331B493E" w:rsidR="00CD22B9" w:rsidRPr="00BE0C02" w:rsidRDefault="00CD22B9" w:rsidP="007E6349">
      <w:pPr>
        <w:pStyle w:val="NumBC2"/>
        <w:numPr>
          <w:ilvl w:val="0"/>
          <w:numId w:val="59"/>
        </w:numPr>
        <w:ind w:left="1564" w:hanging="782"/>
      </w:pPr>
      <w:r w:rsidRPr="00BE0C02">
        <w:t>allow</w:t>
      </w:r>
      <w:r w:rsidR="008F6EFC" w:rsidRPr="00BE0C02">
        <w:t>ed</w:t>
      </w:r>
      <w:r w:rsidRPr="00BE0C02">
        <w:t xml:space="preserve"> for-profit private sector entities with public accountability and entities that voluntarily report compliance with IFRS Standards to continue to do so;</w:t>
      </w:r>
    </w:p>
    <w:p w14:paraId="2131889D" w14:textId="0FD29BF7" w:rsidR="00CD22B9" w:rsidRPr="00BE0C02" w:rsidRDefault="00CD22B9" w:rsidP="007E6349">
      <w:pPr>
        <w:pStyle w:val="NumBC2"/>
        <w:numPr>
          <w:ilvl w:val="0"/>
          <w:numId w:val="59"/>
        </w:numPr>
        <w:ind w:left="1564" w:hanging="782"/>
      </w:pPr>
      <w:r w:rsidRPr="00BE0C02">
        <w:t>allow</w:t>
      </w:r>
      <w:r w:rsidR="008F6EFC" w:rsidRPr="00BE0C02">
        <w:t>ed</w:t>
      </w:r>
      <w:r w:rsidRPr="00BE0C02">
        <w:t xml:space="preserve"> all other entities to continue preparing SPFS in the short term while the Board undertook consultation and outreach activities and determine</w:t>
      </w:r>
      <w:r w:rsidR="007F3D0E" w:rsidRPr="00BE0C02">
        <w:t>d</w:t>
      </w:r>
      <w:r w:rsidRPr="00BE0C02">
        <w:t xml:space="preserve"> the appropriate Tier 2 GPFS framework to replace SPFS;</w:t>
      </w:r>
    </w:p>
    <w:p w14:paraId="0452A12B" w14:textId="7653B786" w:rsidR="00CD22B9" w:rsidRPr="00BE0C02" w:rsidRDefault="00CD22B9" w:rsidP="007E6349">
      <w:pPr>
        <w:pStyle w:val="NumBC2"/>
        <w:numPr>
          <w:ilvl w:val="0"/>
          <w:numId w:val="59"/>
        </w:numPr>
        <w:ind w:left="1564" w:hanging="782"/>
      </w:pPr>
      <w:r w:rsidRPr="00BE0C02">
        <w:t>maintain</w:t>
      </w:r>
      <w:r w:rsidR="008F6EFC" w:rsidRPr="00BE0C02">
        <w:t>ed</w:t>
      </w:r>
      <w:r w:rsidRPr="00BE0C02">
        <w:t xml:space="preserve"> IFRS Standards as a base for all entities in the medium term;</w:t>
      </w:r>
    </w:p>
    <w:p w14:paraId="70FD8F96" w14:textId="04B49654" w:rsidR="00CD22B9" w:rsidRPr="00BE0C02" w:rsidRDefault="00CD22B9" w:rsidP="007E6349">
      <w:pPr>
        <w:pStyle w:val="NumBC2"/>
        <w:numPr>
          <w:ilvl w:val="0"/>
          <w:numId w:val="59"/>
        </w:numPr>
        <w:ind w:left="1564" w:hanging="782"/>
      </w:pPr>
      <w:r w:rsidRPr="00BE0C02">
        <w:t>solve</w:t>
      </w:r>
      <w:r w:rsidR="008F6EFC" w:rsidRPr="00BE0C02">
        <w:t>d</w:t>
      </w:r>
      <w:r w:rsidRPr="00BE0C02">
        <w:t xml:space="preserve"> the reporting entity problem in the medium term;</w:t>
      </w:r>
    </w:p>
    <w:p w14:paraId="4A7A6AB2" w14:textId="1EF7D7BB" w:rsidR="00CD22B9" w:rsidRPr="00BE0C02" w:rsidRDefault="00CD22B9" w:rsidP="007E6349">
      <w:pPr>
        <w:pStyle w:val="NumBC2"/>
        <w:numPr>
          <w:ilvl w:val="0"/>
          <w:numId w:val="59"/>
        </w:numPr>
        <w:ind w:left="1564" w:hanging="782"/>
      </w:pPr>
      <w:r w:rsidRPr="00BE0C02">
        <w:t>solve</w:t>
      </w:r>
      <w:r w:rsidR="008F6EFC" w:rsidRPr="00BE0C02">
        <w:t>d</w:t>
      </w:r>
      <w:r w:rsidRPr="00BE0C02">
        <w:t xml:space="preserve"> the SPFS problem in the medium term;</w:t>
      </w:r>
    </w:p>
    <w:p w14:paraId="555C1C95" w14:textId="251BD1CA" w:rsidR="00CD22B9" w:rsidRPr="00BE0C02" w:rsidRDefault="00CD22B9" w:rsidP="007E6349">
      <w:pPr>
        <w:pStyle w:val="NumBC2"/>
        <w:numPr>
          <w:ilvl w:val="0"/>
          <w:numId w:val="59"/>
        </w:numPr>
        <w:ind w:left="1564" w:hanging="782"/>
      </w:pPr>
      <w:r w:rsidRPr="00BE0C02">
        <w:t>allow</w:t>
      </w:r>
      <w:r w:rsidR="008F6EFC" w:rsidRPr="00BE0C02">
        <w:t>ed</w:t>
      </w:r>
      <w:r w:rsidRPr="00BE0C02">
        <w:t xml:space="preserve"> time for the Board to consult and determine any NFP modifications that may be necessary to the RCF in accordance with </w:t>
      </w:r>
      <w:r w:rsidRPr="00BE0C02">
        <w:rPr>
          <w:i/>
          <w:iCs/>
        </w:rPr>
        <w:t>The AASB’s Not-for-Profit Entity Standard-Setting Framework</w:t>
      </w:r>
      <w:r w:rsidRPr="00BE0C02">
        <w:t>; and</w:t>
      </w:r>
    </w:p>
    <w:p w14:paraId="49C16BE0" w14:textId="31574342" w:rsidR="00CD22B9" w:rsidRPr="00BE0C02" w:rsidRDefault="00CD22B9" w:rsidP="007E6349">
      <w:pPr>
        <w:pStyle w:val="NumBC2"/>
        <w:numPr>
          <w:ilvl w:val="0"/>
          <w:numId w:val="59"/>
        </w:numPr>
        <w:ind w:left="1564" w:hanging="782"/>
      </w:pPr>
      <w:r w:rsidRPr="00BE0C02">
        <w:t>facilitate</w:t>
      </w:r>
      <w:r w:rsidR="00A02EB1" w:rsidRPr="00BE0C02">
        <w:t>d</w:t>
      </w:r>
      <w:r w:rsidRPr="00BE0C02">
        <w:t xml:space="preserve"> comparability and ensure</w:t>
      </w:r>
      <w:r w:rsidR="00A02EB1" w:rsidRPr="00BE0C02">
        <w:t>d</w:t>
      </w:r>
      <w:r w:rsidRPr="00BE0C02">
        <w:t xml:space="preserve"> there </w:t>
      </w:r>
      <w:r w:rsidR="00CD5BD3" w:rsidRPr="00BE0C02">
        <w:t>we</w:t>
      </w:r>
      <w:r w:rsidRPr="00BE0C02">
        <w:t xml:space="preserve">re appropriate accounting standards for each type of entity required to </w:t>
      </w:r>
      <w:r w:rsidR="000D7316" w:rsidRPr="00BE0C02">
        <w:t xml:space="preserve">prepare financial statements that </w:t>
      </w:r>
      <w:r w:rsidRPr="00BE0C02">
        <w:t>comply with AAS.</w:t>
      </w:r>
    </w:p>
    <w:p w14:paraId="1C5451DC" w14:textId="7292FE90" w:rsidR="00CD22B9" w:rsidRPr="00BE0C02" w:rsidRDefault="00CD22B9" w:rsidP="007E6349">
      <w:pPr>
        <w:pStyle w:val="NumBC1"/>
        <w:numPr>
          <w:ilvl w:val="0"/>
          <w:numId w:val="27"/>
        </w:numPr>
        <w:ind w:left="782" w:hanging="782"/>
      </w:pPr>
      <w:bookmarkStart w:id="64" w:name="_Ref14937603"/>
      <w:bookmarkStart w:id="65" w:name="_Ref13480757"/>
      <w:bookmarkStart w:id="66" w:name="_Ref9865077"/>
      <w:r w:rsidRPr="00BE0C02">
        <w:rPr>
          <w:szCs w:val="19"/>
        </w:rPr>
        <w:t>Phase 1 implement</w:t>
      </w:r>
      <w:r w:rsidR="003619BC" w:rsidRPr="00BE0C02">
        <w:rPr>
          <w:szCs w:val="19"/>
        </w:rPr>
        <w:t>ed</w:t>
      </w:r>
      <w:r w:rsidRPr="00BE0C02">
        <w:rPr>
          <w:szCs w:val="19"/>
        </w:rPr>
        <w:t xml:space="preserve"> the RCF for publicly accountable for-profit private sector entities and other entities voluntarily reporting compliance with IFRS Standards so that they continue to maintain IFRS compliance </w:t>
      </w:r>
      <w:r w:rsidRPr="00BE0C02">
        <w:rPr>
          <w:szCs w:val="19"/>
        </w:rPr>
        <w:lastRenderedPageBreak/>
        <w:t xml:space="preserve">when the RCF </w:t>
      </w:r>
      <w:r w:rsidR="00AA2698" w:rsidRPr="00BE0C02">
        <w:rPr>
          <w:szCs w:val="19"/>
        </w:rPr>
        <w:t xml:space="preserve">took </w:t>
      </w:r>
      <w:r w:rsidRPr="00BE0C02">
        <w:rPr>
          <w:szCs w:val="19"/>
        </w:rPr>
        <w:t xml:space="preserve">effect internationally on 1 January 2020. Entities in Australia with public accountability must apply the full IFRS Standards as AAS incorporate IFRS Standards and therefore, the Board reconfirmed its view that for-profit private sector entities in Australia with public accountability should be required to prepare Tier 1 GPFS. The Board completed Phase 1 in </w:t>
      </w:r>
      <w:r w:rsidR="000D6CB2" w:rsidRPr="00BE0C02">
        <w:rPr>
          <w:szCs w:val="19"/>
        </w:rPr>
        <w:t xml:space="preserve">May </w:t>
      </w:r>
      <w:r w:rsidRPr="00BE0C02">
        <w:rPr>
          <w:szCs w:val="19"/>
        </w:rPr>
        <w:t>2019 (see AASB 2019-1</w:t>
      </w:r>
      <w:r w:rsidR="00211FD0" w:rsidRPr="00BE0C02">
        <w:rPr>
          <w:szCs w:val="19"/>
        </w:rPr>
        <w:t xml:space="preserve"> </w:t>
      </w:r>
      <w:r w:rsidR="00862D5E" w:rsidRPr="00BE0C02">
        <w:rPr>
          <w:i/>
          <w:iCs/>
          <w:szCs w:val="19"/>
        </w:rPr>
        <w:t>Amendments to Australian Accounting Standards – References to the Conceptual Framework</w:t>
      </w:r>
      <w:r w:rsidRPr="00BE0C02">
        <w:rPr>
          <w:szCs w:val="19"/>
        </w:rPr>
        <w:t>).</w:t>
      </w:r>
      <w:bookmarkEnd w:id="64"/>
      <w:r w:rsidRPr="00BE0C02">
        <w:rPr>
          <w:szCs w:val="19"/>
        </w:rPr>
        <w:t xml:space="preserve"> </w:t>
      </w:r>
    </w:p>
    <w:p w14:paraId="69D52475" w14:textId="2A8932C9" w:rsidR="00CD22B9" w:rsidRPr="00BE0C02" w:rsidRDefault="00CD22B9" w:rsidP="007E6349">
      <w:pPr>
        <w:pStyle w:val="NumBC1"/>
        <w:numPr>
          <w:ilvl w:val="0"/>
          <w:numId w:val="27"/>
        </w:numPr>
        <w:ind w:left="782" w:hanging="782"/>
      </w:pPr>
      <w:bookmarkStart w:id="67" w:name="_Ref14937265"/>
      <w:r w:rsidRPr="00BE0C02">
        <w:t>ITC 39 proposed that Phase 2 would then implement the RCF for all other entities</w:t>
      </w:r>
      <w:r w:rsidR="00FA7DE8" w:rsidRPr="00BE0C02">
        <w:t>.</w:t>
      </w:r>
      <w:r w:rsidRPr="00BE0C02">
        <w:t xml:space="preserve"> </w:t>
      </w:r>
      <w:r w:rsidR="00FA7DE8" w:rsidRPr="00BE0C02">
        <w:t>H</w:t>
      </w:r>
      <w:r w:rsidRPr="00BE0C02">
        <w:t xml:space="preserve">owever </w:t>
      </w:r>
      <w:r w:rsidR="00FA7DE8" w:rsidRPr="00BE0C02">
        <w:t xml:space="preserve">after considering initial feedback on </w:t>
      </w:r>
      <w:r w:rsidRPr="00BE0C02">
        <w:t xml:space="preserve">ITC 39, the </w:t>
      </w:r>
      <w:r w:rsidR="00FA7DE8" w:rsidRPr="00BE0C02">
        <w:t xml:space="preserve">results of </w:t>
      </w:r>
      <w:r w:rsidRPr="00BE0C02">
        <w:t xml:space="preserve">discussions with ACNC and other State and Territory regulators regarding </w:t>
      </w:r>
      <w:r w:rsidR="00FA7DE8" w:rsidRPr="00BE0C02">
        <w:t xml:space="preserve">the </w:t>
      </w:r>
      <w:r w:rsidRPr="00BE0C02">
        <w:t xml:space="preserve">recommendations in the ACNC’s Legislative Review 2018: </w:t>
      </w:r>
      <w:r w:rsidRPr="00BE0C02">
        <w:rPr>
          <w:i/>
        </w:rPr>
        <w:t>Strengthening for Purpose: Australian Charities And Not-</w:t>
      </w:r>
      <w:r w:rsidR="00DA0E8F" w:rsidRPr="00BE0C02">
        <w:rPr>
          <w:i/>
        </w:rPr>
        <w:t>f</w:t>
      </w:r>
      <w:r w:rsidRPr="00BE0C02">
        <w:rPr>
          <w:i/>
        </w:rPr>
        <w:t>or-</w:t>
      </w:r>
      <w:r w:rsidR="00123014" w:rsidRPr="00BE0C02">
        <w:rPr>
          <w:i/>
        </w:rPr>
        <w:t>p</w:t>
      </w:r>
      <w:r w:rsidRPr="00BE0C02">
        <w:rPr>
          <w:i/>
        </w:rPr>
        <w:t>rofits Commission</w:t>
      </w:r>
      <w:r w:rsidRPr="00BE0C02">
        <w:t xml:space="preserve"> (ACNC legislative review), </w:t>
      </w:r>
      <w:r w:rsidR="00FA7DE8" w:rsidRPr="00BE0C02">
        <w:t xml:space="preserve">research initiated by the Board and </w:t>
      </w:r>
      <w:r w:rsidR="00FA7DE8" w:rsidRPr="00BE0C02">
        <w:rPr>
          <w:i/>
        </w:rPr>
        <w:t>The AASB’s Not-for-Profit Entity Standard-Setting Framework</w:t>
      </w:r>
      <w:r w:rsidR="00FA7DE8" w:rsidRPr="00BE0C02">
        <w:t xml:space="preserve">, </w:t>
      </w:r>
      <w:r w:rsidRPr="00BE0C02">
        <w:t xml:space="preserve">the Board decided that the proposals in ITC 39 should only apply to for-profit private sector entities, and that it would be more appropriate to </w:t>
      </w:r>
      <w:r w:rsidR="00FA7DE8" w:rsidRPr="00BE0C02">
        <w:t xml:space="preserve">progress reform of the NFP public and private sector financial reporting framework </w:t>
      </w:r>
      <w:r w:rsidRPr="00BE0C02">
        <w:t xml:space="preserve">via separate targeted consultations undertaken as part of the broader financial reporting framework project (refer to paragraphs </w:t>
      </w:r>
      <w:r w:rsidR="00DA0E8F" w:rsidRPr="00BE0C02">
        <w:fldChar w:fldCharType="begin"/>
      </w:r>
      <w:r w:rsidR="00DA0E8F" w:rsidRPr="00BE0C02">
        <w:instrText xml:space="preserve"> REF _Ref15392909 \r \h </w:instrText>
      </w:r>
      <w:r w:rsidR="00BE0C02">
        <w:instrText xml:space="preserve"> \* MERGEFORMAT </w:instrText>
      </w:r>
      <w:r w:rsidR="00DA0E8F" w:rsidRPr="00BE0C02">
        <w:fldChar w:fldCharType="separate"/>
      </w:r>
      <w:r w:rsidR="00E354C4">
        <w:t>BC73</w:t>
      </w:r>
      <w:r w:rsidR="00DA0E8F" w:rsidRPr="00BE0C02">
        <w:fldChar w:fldCharType="end"/>
      </w:r>
      <w:r w:rsidR="00DA0E8F" w:rsidRPr="00BE0C02">
        <w:t>-</w:t>
      </w:r>
      <w:r w:rsidR="00DA0E8F" w:rsidRPr="00BE0C02">
        <w:fldChar w:fldCharType="begin"/>
      </w:r>
      <w:r w:rsidR="00DA0E8F" w:rsidRPr="00BE0C02">
        <w:instrText xml:space="preserve"> REF _Ref15392917 \r \h </w:instrText>
      </w:r>
      <w:r w:rsidR="00BE0C02">
        <w:instrText xml:space="preserve"> \* MERGEFORMAT </w:instrText>
      </w:r>
      <w:r w:rsidR="00DA0E8F" w:rsidRPr="00BE0C02">
        <w:fldChar w:fldCharType="separate"/>
      </w:r>
      <w:r w:rsidR="00E354C4">
        <w:t>BC75</w:t>
      </w:r>
      <w:r w:rsidR="00DA0E8F" w:rsidRPr="00BE0C02">
        <w:fldChar w:fldCharType="end"/>
      </w:r>
      <w:r w:rsidRPr="00BE0C02">
        <w:t xml:space="preserve"> for further discussion). The Board also decided to consider the public sector financial reporting framework separately (refer to paragraph </w:t>
      </w:r>
      <w:r w:rsidRPr="00BE0C02">
        <w:fldChar w:fldCharType="begin"/>
      </w:r>
      <w:r w:rsidRPr="00BE0C02">
        <w:instrText xml:space="preserve"> REF _Ref13478416 \r \h </w:instrText>
      </w:r>
      <w:r w:rsidR="00BE0C02">
        <w:instrText xml:space="preserve"> \* MERGEFORMAT </w:instrText>
      </w:r>
      <w:r w:rsidRPr="00BE0C02">
        <w:fldChar w:fldCharType="separate"/>
      </w:r>
      <w:r w:rsidR="00E354C4">
        <w:t>BC80</w:t>
      </w:r>
      <w:r w:rsidRPr="00BE0C02">
        <w:fldChar w:fldCharType="end"/>
      </w:r>
      <w:r w:rsidRPr="00BE0C02">
        <w:t>).</w:t>
      </w:r>
      <w:bookmarkEnd w:id="65"/>
      <w:bookmarkEnd w:id="67"/>
    </w:p>
    <w:p w14:paraId="30E49DE8" w14:textId="0D9D49BE" w:rsidR="00CD22B9" w:rsidRPr="00BE0C02" w:rsidRDefault="00CD22B9" w:rsidP="007E6349">
      <w:pPr>
        <w:pStyle w:val="NumBC1"/>
        <w:numPr>
          <w:ilvl w:val="0"/>
          <w:numId w:val="27"/>
        </w:numPr>
        <w:ind w:left="782" w:hanging="782"/>
      </w:pPr>
      <w:bookmarkStart w:id="68" w:name="_Ref13573550"/>
      <w:r w:rsidRPr="00BE0C02">
        <w:t>Option 1 in ITC 39 contemplated that during Phase 2, the Tier 2 GPFS framework in AASB 1053 would be revised to be one of the following alternatives:</w:t>
      </w:r>
      <w:bookmarkEnd w:id="66"/>
      <w:bookmarkEnd w:id="68"/>
    </w:p>
    <w:p w14:paraId="4D8A9B5B" w14:textId="646642EB" w:rsidR="00CD22B9" w:rsidRPr="00BE0C02" w:rsidRDefault="00CD22B9" w:rsidP="007E6349">
      <w:pPr>
        <w:pStyle w:val="NumBC2"/>
        <w:numPr>
          <w:ilvl w:val="0"/>
          <w:numId w:val="61"/>
        </w:numPr>
        <w:ind w:left="1566" w:hanging="784"/>
      </w:pPr>
      <w:r w:rsidRPr="00BE0C02">
        <w:t>RDR – The existing Tier 2 GPFS framework as currently exists in AASB 1053, consisting of full R&amp;M, including consolidation and equity accounting (where applicable) with reduced disclosures from each applicable AAS; or</w:t>
      </w:r>
    </w:p>
    <w:p w14:paraId="5976D63D" w14:textId="75FCDF1F" w:rsidR="00CD22B9" w:rsidRPr="00BE0C02" w:rsidRDefault="00CD22B9" w:rsidP="007E6349">
      <w:pPr>
        <w:pStyle w:val="NumBC2"/>
        <w:numPr>
          <w:ilvl w:val="0"/>
          <w:numId w:val="61"/>
        </w:numPr>
        <w:ind w:left="1564" w:hanging="782"/>
      </w:pPr>
      <w:r w:rsidRPr="00BE0C02">
        <w:t>Specified Disclosure Requirements (SDR) – A new Tier 2 GPFS framework that would consist of full R&amp;M including consolidation and equity accounting (where applicable), however with specified disclosures from only some AAS.</w:t>
      </w:r>
    </w:p>
    <w:p w14:paraId="3F05B661" w14:textId="57FCE670" w:rsidR="00CD22B9" w:rsidRPr="00BE0C02" w:rsidRDefault="00CD22B9" w:rsidP="00F34601">
      <w:pPr>
        <w:pStyle w:val="NumBC2"/>
        <w:ind w:left="782" w:firstLine="0"/>
      </w:pPr>
      <w:r w:rsidRPr="00BE0C02">
        <w:t xml:space="preserve">The Board subsequently decided that neither RDR </w:t>
      </w:r>
      <w:r w:rsidR="00F02FF2" w:rsidRPr="00BE0C02">
        <w:t>n</w:t>
      </w:r>
      <w:r w:rsidRPr="00BE0C02">
        <w:t>or SDR were appropriate Tier 2 disclosure frameworks</w:t>
      </w:r>
      <w:r w:rsidR="00267FDF" w:rsidRPr="00BE0C02">
        <w:t>. T</w:t>
      </w:r>
      <w:r w:rsidRPr="00BE0C02">
        <w:t xml:space="preserve">he Board </w:t>
      </w:r>
      <w:r w:rsidR="00267FDF" w:rsidRPr="00BE0C02">
        <w:t xml:space="preserve">instead </w:t>
      </w:r>
      <w:r w:rsidRPr="00BE0C02">
        <w:t xml:space="preserve">decided to develop another alternative, the </w:t>
      </w:r>
      <w:r w:rsidRPr="00BE0C02">
        <w:rPr>
          <w:i/>
        </w:rPr>
        <w:t>Simplified Disclosures Framework</w:t>
      </w:r>
      <w:r w:rsidRPr="00BE0C02">
        <w:t xml:space="preserve">, as </w:t>
      </w:r>
      <w:r w:rsidR="000A57CA" w:rsidRPr="00BE0C02">
        <w:t>enacted by</w:t>
      </w:r>
      <w:r w:rsidR="00196B3C" w:rsidRPr="00BE0C02">
        <w:t xml:space="preserve"> </w:t>
      </w:r>
      <w:r w:rsidR="00360E31">
        <w:t>AASB 1060</w:t>
      </w:r>
      <w:r w:rsidR="00196B3C" w:rsidRPr="00BE0C02">
        <w:t xml:space="preserve"> </w:t>
      </w:r>
      <w:r w:rsidRPr="00BE0C02">
        <w:t xml:space="preserve">and explained further in paragraph </w:t>
      </w:r>
      <w:r w:rsidRPr="00BE0C02">
        <w:fldChar w:fldCharType="begin"/>
      </w:r>
      <w:r w:rsidRPr="00BE0C02">
        <w:instrText xml:space="preserve"> REF _Ref13485098 \r \h </w:instrText>
      </w:r>
      <w:r w:rsidR="00BE0C02">
        <w:instrText xml:space="preserve"> \* MERGEFORMAT </w:instrText>
      </w:r>
      <w:r w:rsidRPr="00BE0C02">
        <w:fldChar w:fldCharType="separate"/>
      </w:r>
      <w:r w:rsidR="00E354C4">
        <w:t>BC98</w:t>
      </w:r>
      <w:r w:rsidRPr="00BE0C02">
        <w:fldChar w:fldCharType="end"/>
      </w:r>
      <w:r w:rsidRPr="00BE0C02">
        <w:t>.</w:t>
      </w:r>
    </w:p>
    <w:p w14:paraId="08CE6865" w14:textId="77777777" w:rsidR="00CD22B9" w:rsidRPr="00BE0C02" w:rsidRDefault="00CD22B9" w:rsidP="00267FDF">
      <w:pPr>
        <w:pStyle w:val="Heading4"/>
        <w:spacing w:before="200"/>
      </w:pPr>
      <w:r w:rsidRPr="00BE0C02">
        <w:t>Other options considered in ITC 39</w:t>
      </w:r>
    </w:p>
    <w:p w14:paraId="7187B206" w14:textId="250F7264" w:rsidR="00CD22B9" w:rsidRPr="00BE0C02" w:rsidRDefault="00CD22B9" w:rsidP="007E6349">
      <w:pPr>
        <w:pStyle w:val="NumBC1"/>
        <w:numPr>
          <w:ilvl w:val="0"/>
          <w:numId w:val="27"/>
        </w:numPr>
        <w:ind w:left="782" w:hanging="782"/>
      </w:pPr>
      <w:bookmarkStart w:id="69" w:name="_Ref13473319"/>
      <w:r w:rsidRPr="00BE0C02">
        <w:t>ITC 39 considered four other options for implementing the RCF in Australia. However, after considering constituent comments, the Board decided not to pursue them, as explained below:</w:t>
      </w:r>
      <w:bookmarkEnd w:id="69"/>
    </w:p>
    <w:p w14:paraId="7DC57E03" w14:textId="03DC6457" w:rsidR="00CD22B9" w:rsidRPr="00BE0C02" w:rsidRDefault="00CD22B9" w:rsidP="007E6349">
      <w:pPr>
        <w:pStyle w:val="NumBC2"/>
        <w:numPr>
          <w:ilvl w:val="0"/>
          <w:numId w:val="71"/>
        </w:numPr>
        <w:ind w:left="1564" w:hanging="782"/>
      </w:pPr>
      <w:bookmarkStart w:id="70" w:name="_Ref13571229"/>
      <w:r w:rsidRPr="00BE0C02">
        <w:t>Option 2 – Operate with two conceptual frameworks. This option would implement the RCF for publicly accountable for-profit entities and other entities voluntarily reporting compliance with IFRS Standards. It would also retain the existing Conceptual Framework for all other entities. The Board decided not to pursue this option as it requires two conceptual frameworks indefinitely, which would likely lead to the development of inconsistent accounting policies between entities preparing financial statements under the existing Conceptual Framework and entities preparing financial statements under the RCF. Also this option does not solve either the clash of the reporting entity concepts or the SPFS problem.</w:t>
      </w:r>
      <w:bookmarkEnd w:id="70"/>
    </w:p>
    <w:p w14:paraId="1C803519" w14:textId="09E09BC3" w:rsidR="00CD22B9" w:rsidRPr="00BE0C02" w:rsidRDefault="00CD22B9" w:rsidP="007E6349">
      <w:pPr>
        <w:pStyle w:val="NumBC2"/>
        <w:numPr>
          <w:ilvl w:val="0"/>
          <w:numId w:val="71"/>
        </w:numPr>
        <w:ind w:left="1564" w:hanging="782"/>
      </w:pPr>
      <w:r w:rsidRPr="00BE0C02">
        <w:t>Option 3 – Implement the RCF for all entities when it first becomes applicable to maintain compliance with IFRS Standards and IFRS Standards as a base for Australian Accounting Standards. This option would result in a single conceptual framework for all entities in the short term, remove the Australian reporting entity concept and the ability of an entity to prepare SPFS as a non-reporting entity when they are required to comply with AAS from 1 January 2020. Option 3 would see an increase in regulatory burden, particularly for NFP entities, as there would be a considerable step up for many entities transitioning to Tier 2 GPFS framework given the number of entities preparing SPFS and the short timeframe for transition to GPFS. The Board was concerned that this option would not provide entities with enough time for transition.</w:t>
      </w:r>
    </w:p>
    <w:p w14:paraId="7D81CB3B" w14:textId="54523A0E" w:rsidR="00CD22B9" w:rsidRPr="00BE0C02" w:rsidRDefault="00CD22B9" w:rsidP="007E6349">
      <w:pPr>
        <w:pStyle w:val="NumBC2"/>
        <w:numPr>
          <w:ilvl w:val="0"/>
          <w:numId w:val="71"/>
        </w:numPr>
        <w:ind w:left="1564" w:hanging="782"/>
      </w:pPr>
      <w:r w:rsidRPr="00BE0C02">
        <w:t>Option 4 – Retain the existing Conceptual Framework, the Australian reporting entity concept and the ability of an entity to prepare SPFS as a non-reporting entity where they are required to comply with AAS. Under this option compliance with AAS might not result in compliance with IFRS Standards after 1 January 2020.</w:t>
      </w:r>
    </w:p>
    <w:p w14:paraId="775E9DC0" w14:textId="2FB81F6E" w:rsidR="00CD22B9" w:rsidRPr="00BE0C02" w:rsidRDefault="00CD22B9" w:rsidP="007E6349">
      <w:pPr>
        <w:pStyle w:val="NumBC2"/>
        <w:numPr>
          <w:ilvl w:val="0"/>
          <w:numId w:val="71"/>
        </w:numPr>
        <w:ind w:left="1564" w:hanging="782"/>
      </w:pPr>
      <w:bookmarkStart w:id="71" w:name="_Ref13579460"/>
      <w:r w:rsidRPr="00BE0C02">
        <w:t xml:space="preserve">Option 5 – Implement the RCF from 1 January 2020 when it first becomes applicable to maintain compliance with IFRS Standards and keep IFRS Standards as a base for AAS. Under Option 5, the Australian reporting entity concept would be retained but the name amended </w:t>
      </w:r>
      <w:r w:rsidRPr="00BE0C02">
        <w:rPr>
          <w:szCs w:val="19"/>
        </w:rPr>
        <w:t xml:space="preserve">and minimum requirements for SPFS would be prescribed by the Board. </w:t>
      </w:r>
      <w:r w:rsidRPr="00BE0C02">
        <w:t>The Board decided not to proceed with Option 5 as it did not consider this option to be significantly different from Option 1 (except for the phased approach) or Option 3, as the AASB would still need to prescribe minimum reporting requirements for SPFS preparers to resolve the SPFS problem.</w:t>
      </w:r>
      <w:bookmarkEnd w:id="71"/>
    </w:p>
    <w:p w14:paraId="03D6D0C1" w14:textId="77777777" w:rsidR="00CD22B9" w:rsidRPr="00BE0C02" w:rsidRDefault="00CD22B9" w:rsidP="00267FDF">
      <w:pPr>
        <w:pStyle w:val="Heading4"/>
        <w:spacing w:before="200"/>
        <w:rPr>
          <w:b w:val="0"/>
          <w:bCs/>
        </w:rPr>
      </w:pPr>
      <w:r w:rsidRPr="00BE0C02">
        <w:lastRenderedPageBreak/>
        <w:t>AASB’s deliberations on proceeding with Phase 2</w:t>
      </w:r>
    </w:p>
    <w:p w14:paraId="32A4584F" w14:textId="3B517516" w:rsidR="00E820FA" w:rsidRPr="00BE0C02" w:rsidRDefault="00CD22B9" w:rsidP="007E6349">
      <w:pPr>
        <w:pStyle w:val="NumBC1"/>
        <w:numPr>
          <w:ilvl w:val="0"/>
          <w:numId w:val="27"/>
        </w:numPr>
        <w:ind w:left="782" w:hanging="782"/>
      </w:pPr>
      <w:bookmarkStart w:id="72" w:name="_Ref16191420"/>
      <w:r w:rsidRPr="00BE0C02">
        <w:t xml:space="preserve">The Board received 33 formal comment letters (relevant to this phase of the project) in response to ITC 39, from professional service firms, regulators, professional bodies, academics, preparers, users of financial statements and other respondents on specific and general matters for comment regarding Phase 2. The Board considered the comments received from each respondent and engaged directly with respondents to discuss any comments which required clarification. </w:t>
      </w:r>
      <w:r w:rsidR="00E820FA" w:rsidRPr="00BE0C02">
        <w:t xml:space="preserve">The Board also received feedback </w:t>
      </w:r>
      <w:bookmarkStart w:id="73" w:name="_Ref9864223"/>
      <w:r w:rsidR="00E820FA" w:rsidRPr="00BE0C02">
        <w:t xml:space="preserve">on the </w:t>
      </w:r>
      <w:r w:rsidR="00C93553" w:rsidRPr="00BE0C02">
        <w:t>ph</w:t>
      </w:r>
      <w:r w:rsidR="00E820FA" w:rsidRPr="00BE0C02">
        <w:t>ase 2 proposals (targeted only to for-profit private sector entities) when they were presented at various forums, workshops and discussion groups to obtain feedback. This included roundtable sessions held in September 2018, where 106 stakeholders including regulators, professional bodies, users, preparers, auditors and academics attended. Furthermore, feedback was sought via targeted user and preparer surveys in quarter 3 of 2018, which received a total of 37 user and 49 preparer responses. The surveys were focussed on the specific matters for comment in ITC 39, and were used to get a better understanding of which of the Tier 2 GPFS frameworks proposed in ITC 39 users preferred (and why), as well as what transitional relief would be helpful to preparers. The feedback received from the formal comment letters, roundtables and surveys was consistent, indicating that</w:t>
      </w:r>
      <w:bookmarkEnd w:id="72"/>
      <w:bookmarkEnd w:id="73"/>
    </w:p>
    <w:p w14:paraId="15B7F6E7" w14:textId="78E807CD" w:rsidR="00E820FA" w:rsidRPr="00BE0C02" w:rsidRDefault="00E820FA" w:rsidP="007E6349">
      <w:pPr>
        <w:pStyle w:val="NumBC2"/>
        <w:numPr>
          <w:ilvl w:val="0"/>
          <w:numId w:val="44"/>
        </w:numPr>
        <w:ind w:left="1564" w:hanging="782"/>
      </w:pPr>
      <w:r w:rsidRPr="00BE0C02">
        <w:t>there is a SPFS problem that needs to be solved;</w:t>
      </w:r>
    </w:p>
    <w:p w14:paraId="4D87BADC" w14:textId="7880337D" w:rsidR="00E820FA" w:rsidRPr="00BE0C02" w:rsidRDefault="00E820FA" w:rsidP="007E6349">
      <w:pPr>
        <w:pStyle w:val="NumBC2"/>
        <w:numPr>
          <w:ilvl w:val="0"/>
          <w:numId w:val="44"/>
        </w:numPr>
        <w:ind w:left="1564" w:hanging="782"/>
      </w:pPr>
      <w:r w:rsidRPr="00BE0C02">
        <w:t>the Tier 2 GPFS framework should require compliance with all the R&amp;M requirements in AAS including consolidation and equity accounting (where applicable);</w:t>
      </w:r>
    </w:p>
    <w:p w14:paraId="4C5D6D73" w14:textId="77777777" w:rsidR="00CD22B9" w:rsidRPr="00BE0C02" w:rsidRDefault="00CD22B9" w:rsidP="007E6349">
      <w:pPr>
        <w:pStyle w:val="NumBC2"/>
        <w:numPr>
          <w:ilvl w:val="0"/>
          <w:numId w:val="44"/>
        </w:numPr>
        <w:ind w:left="1564" w:hanging="782"/>
      </w:pPr>
      <w:r w:rsidRPr="00BE0C02">
        <w:t>comparability, transparency, comprehensibility and consistency are what users need most in financial statements;</w:t>
      </w:r>
    </w:p>
    <w:p w14:paraId="373CB057" w14:textId="0C7CC439" w:rsidR="00CD22B9" w:rsidRPr="00BE0C02" w:rsidRDefault="00CD22B9" w:rsidP="007E6349">
      <w:pPr>
        <w:pStyle w:val="NumBC2"/>
        <w:numPr>
          <w:ilvl w:val="0"/>
          <w:numId w:val="44"/>
        </w:numPr>
        <w:ind w:left="1564" w:hanging="782"/>
      </w:pPr>
      <w:r w:rsidRPr="00BE0C02">
        <w:t xml:space="preserve">a revised Tier 2 GPFS disclosure framework was preferred as SDR seemed to be missing some key disclosures, while RDR had too many. </w:t>
      </w:r>
      <w:r w:rsidR="004A51E4" w:rsidRPr="00BE0C02">
        <w:t xml:space="preserve">The Board noted the low </w:t>
      </w:r>
      <w:r w:rsidR="00DA0E8F" w:rsidRPr="00BE0C02">
        <w:t>number</w:t>
      </w:r>
      <w:r w:rsidR="004A51E4" w:rsidRPr="00BE0C02">
        <w:t xml:space="preserve"> of entities moving from SPFS indicated t</w:t>
      </w:r>
      <w:r w:rsidR="00DA226A" w:rsidRPr="00BE0C02">
        <w:t>hat the costs of RDR were see</w:t>
      </w:r>
      <w:r w:rsidR="008F6EFC" w:rsidRPr="00BE0C02">
        <w:t>n</w:t>
      </w:r>
      <w:r w:rsidR="00DA226A" w:rsidRPr="00BE0C02">
        <w:t xml:space="preserve"> to outweigh the benefits for these entities. However, in comparison to Tier 1 GPFS there was some benefit as </w:t>
      </w:r>
      <w:r w:rsidR="00D32C95" w:rsidRPr="00BE0C02">
        <w:t>13</w:t>
      </w:r>
      <w:r w:rsidR="00DA226A" w:rsidRPr="00BE0C02">
        <w:t xml:space="preserve">% had voluntarily moved to RDR. </w:t>
      </w:r>
      <w:r w:rsidRPr="00BE0C02">
        <w:t xml:space="preserve">Respondents </w:t>
      </w:r>
      <w:r w:rsidR="00DE7FB5" w:rsidRPr="00BE0C02">
        <w:rPr>
          <w:szCs w:val="19"/>
        </w:rPr>
        <w:t>felt that something in between the RDR and SDR framework would better satisfy user needs</w:t>
      </w:r>
      <w:r w:rsidR="00DE7FB5" w:rsidRPr="00BE0C02">
        <w:t xml:space="preserve"> and </w:t>
      </w:r>
      <w:r w:rsidRPr="00BE0C02">
        <w:t>suggested a more balanced approach to disclosures was needed;</w:t>
      </w:r>
    </w:p>
    <w:p w14:paraId="146BF0D8" w14:textId="782CF044" w:rsidR="00DE7FB5" w:rsidRPr="00BE0C02" w:rsidRDefault="00CD22B9" w:rsidP="007E6349">
      <w:pPr>
        <w:pStyle w:val="NumBC2"/>
        <w:numPr>
          <w:ilvl w:val="0"/>
          <w:numId w:val="44"/>
        </w:numPr>
        <w:ind w:left="1564" w:hanging="782"/>
      </w:pPr>
      <w:r w:rsidRPr="00BE0C02">
        <w:t>there is widespread uncertainty on whether AASB 1 provides enough transitional relief to facilitate the transition from SPFS to Tier 2 GPFS (in whatever form that may take)</w:t>
      </w:r>
      <w:r w:rsidR="00DE7FB5" w:rsidRPr="00BE0C02">
        <w:t>;</w:t>
      </w:r>
    </w:p>
    <w:p w14:paraId="6487A96C" w14:textId="6485E2E9" w:rsidR="00DE7FB5" w:rsidRPr="00BE0C02" w:rsidRDefault="00E820FA" w:rsidP="007E6349">
      <w:pPr>
        <w:pStyle w:val="NumBC2"/>
        <w:numPr>
          <w:ilvl w:val="0"/>
          <w:numId w:val="44"/>
        </w:numPr>
        <w:ind w:left="1564" w:hanging="782"/>
      </w:pPr>
      <w:r w:rsidRPr="00BE0C02">
        <w:t>only one Tier 2 GPFS framework is necessary for for-profit private sector entities, given the entities required to</w:t>
      </w:r>
      <w:r w:rsidR="00FC7066" w:rsidRPr="00BE0C02">
        <w:t xml:space="preserve"> prepare and in some cases</w:t>
      </w:r>
      <w:r w:rsidRPr="00BE0C02">
        <w:t xml:space="preserve"> publicly lodge financial statements is such a small proportion of actively trading entities, however </w:t>
      </w:r>
      <w:r w:rsidR="00DE7FB5" w:rsidRPr="00BE0C02">
        <w:t xml:space="preserve">some respondents were concerned that the proposals were not also considering who should be publicly lodging financial statements, noting in particular that the thresholds used from determining what constitutes a large proprietary company </w:t>
      </w:r>
      <w:r w:rsidR="00125D55" w:rsidRPr="00BE0C02">
        <w:t>had</w:t>
      </w:r>
      <w:r w:rsidR="00DE7FB5" w:rsidRPr="00BE0C02">
        <w:t xml:space="preserve"> not been reviewed for a number of years;</w:t>
      </w:r>
    </w:p>
    <w:p w14:paraId="437B8261" w14:textId="0FC23764" w:rsidR="00DE7FB5" w:rsidRPr="00BE0C02" w:rsidRDefault="00DE7FB5" w:rsidP="007E6349">
      <w:pPr>
        <w:pStyle w:val="NumBC2"/>
        <w:numPr>
          <w:ilvl w:val="0"/>
          <w:numId w:val="44"/>
        </w:numPr>
        <w:ind w:left="1564" w:hanging="782"/>
      </w:pPr>
      <w:r w:rsidRPr="00BE0C02">
        <w:t>there were no clear views on what additional transitional relief, is needed;</w:t>
      </w:r>
    </w:p>
    <w:p w14:paraId="74459D86" w14:textId="77777777" w:rsidR="00DE7FB5" w:rsidRPr="00BE0C02" w:rsidRDefault="00DE7FB5" w:rsidP="007E6349">
      <w:pPr>
        <w:pStyle w:val="NumBC2"/>
        <w:numPr>
          <w:ilvl w:val="0"/>
          <w:numId w:val="44"/>
        </w:numPr>
        <w:ind w:left="1564" w:hanging="782"/>
      </w:pPr>
      <w:r w:rsidRPr="00BE0C02">
        <w:t>respondents were concerned about the effect of the proposals on entities with a non-legislative requirement to prepare financial statements that comply with AAS (ie entities with trust deeds and other constituting documents inadvertently requiring compliance with AAS). Respondents were also concerned about the complexities and the potential costs involved in changing such documents;</w:t>
      </w:r>
    </w:p>
    <w:p w14:paraId="2DB9192A" w14:textId="410DB6B6" w:rsidR="00DE7FB5" w:rsidRPr="00BE0C02" w:rsidRDefault="00DE7FB5" w:rsidP="007E6349">
      <w:pPr>
        <w:pStyle w:val="NumBC2"/>
        <w:numPr>
          <w:ilvl w:val="0"/>
          <w:numId w:val="44"/>
        </w:numPr>
        <w:ind w:left="1564" w:hanging="782"/>
      </w:pPr>
      <w:r w:rsidRPr="00BE0C02">
        <w:t xml:space="preserve">a </w:t>
      </w:r>
      <w:r w:rsidR="009762BF" w:rsidRPr="00BE0C02">
        <w:t>small number</w:t>
      </w:r>
      <w:r w:rsidRPr="00BE0C02">
        <w:t xml:space="preserve"> of respondents wanted the AASB to further consider the </w:t>
      </w:r>
      <w:r w:rsidR="00DA0E8F" w:rsidRPr="00BE0C02">
        <w:rPr>
          <w:i/>
          <w:szCs w:val="19"/>
        </w:rPr>
        <w:t xml:space="preserve">International Financial Reporting Standard for Small and Medium-sized Entities </w:t>
      </w:r>
      <w:r w:rsidR="00DA0E8F" w:rsidRPr="00BE0C02">
        <w:rPr>
          <w:iCs/>
        </w:rPr>
        <w:t>(</w:t>
      </w:r>
      <w:r w:rsidRPr="00BE0C02">
        <w:t>IFRS for SMEs Standard</w:t>
      </w:r>
      <w:r w:rsidR="00DA0E8F" w:rsidRPr="00BE0C02">
        <w:t>)</w:t>
      </w:r>
      <w:r w:rsidRPr="00BE0C02">
        <w:t xml:space="preserve"> as an optional Tier 2 GPFS framework alternative or as the Tier 2 GPFS framework;</w:t>
      </w:r>
    </w:p>
    <w:p w14:paraId="310720EC" w14:textId="46273138" w:rsidR="00DE7FB5" w:rsidRPr="00BE0C02" w:rsidRDefault="00DE7FB5" w:rsidP="007E6349">
      <w:pPr>
        <w:pStyle w:val="NumBC2"/>
        <w:numPr>
          <w:ilvl w:val="0"/>
          <w:numId w:val="44"/>
        </w:numPr>
        <w:ind w:left="1564" w:hanging="782"/>
      </w:pPr>
      <w:r w:rsidRPr="00BE0C02">
        <w:t xml:space="preserve">a </w:t>
      </w:r>
      <w:r w:rsidR="009762BF" w:rsidRPr="00BE0C02">
        <w:t>small number</w:t>
      </w:r>
      <w:r w:rsidRPr="00BE0C02">
        <w:t xml:space="preserve"> of respondents asked for a financial reporting framework for those entities not required by legislation to prepare or lodge financial statements; and</w:t>
      </w:r>
    </w:p>
    <w:p w14:paraId="2E45D219" w14:textId="689807A9" w:rsidR="00CD22B9" w:rsidRPr="00BE0C02" w:rsidRDefault="00DE7FB5" w:rsidP="007E6349">
      <w:pPr>
        <w:pStyle w:val="NumBC2"/>
        <w:numPr>
          <w:ilvl w:val="0"/>
          <w:numId w:val="44"/>
        </w:numPr>
        <w:ind w:left="1564" w:hanging="782"/>
      </w:pPr>
      <w:r w:rsidRPr="00BE0C02">
        <w:t>some respondents thought more evidence of user needs was required</w:t>
      </w:r>
      <w:r w:rsidR="00CD22B9" w:rsidRPr="00BE0C02">
        <w:t xml:space="preserve">. </w:t>
      </w:r>
    </w:p>
    <w:p w14:paraId="4799D06A" w14:textId="7507C511" w:rsidR="00CD22B9" w:rsidRPr="00BE0C02" w:rsidRDefault="00CD22B9" w:rsidP="007E6349">
      <w:pPr>
        <w:pStyle w:val="NumBC1"/>
        <w:numPr>
          <w:ilvl w:val="0"/>
          <w:numId w:val="27"/>
        </w:numPr>
        <w:ind w:left="782" w:hanging="782"/>
      </w:pPr>
      <w:r w:rsidRPr="00BE0C02">
        <w:t>Subsequent to receiving comments on ITC 39, all formal comment letters were made available to the public via the AASB website.</w:t>
      </w:r>
      <w:r w:rsidRPr="00BE0C02">
        <w:rPr>
          <w:rStyle w:val="FootnoteReference"/>
        </w:rPr>
        <w:footnoteReference w:id="30"/>
      </w:r>
      <w:r w:rsidRPr="00BE0C02">
        <w:t xml:space="preserve"> Summaries of feedback obtained from various outreach events, results from user and preparer surveys, and agenda papers for AASB Board meetings were also made available via the AASB website. </w:t>
      </w:r>
    </w:p>
    <w:p w14:paraId="72DD4959" w14:textId="77777777" w:rsidR="00CD22B9" w:rsidRPr="00BE0C02" w:rsidRDefault="00CD22B9" w:rsidP="007E6349">
      <w:pPr>
        <w:pStyle w:val="NumBC1"/>
        <w:numPr>
          <w:ilvl w:val="0"/>
          <w:numId w:val="27"/>
        </w:numPr>
        <w:ind w:left="782" w:hanging="782"/>
      </w:pPr>
      <w:r w:rsidRPr="00BE0C02">
        <w:t>The Board decided to proceed with Phase 2 and resolve the issue</w:t>
      </w:r>
      <w:r w:rsidR="00AD2C2E" w:rsidRPr="00BE0C02">
        <w:t>s</w:t>
      </w:r>
      <w:r w:rsidRPr="00BE0C02">
        <w:t xml:space="preserve"> with SPFS after considering:</w:t>
      </w:r>
    </w:p>
    <w:p w14:paraId="2E53C92E" w14:textId="77777777" w:rsidR="00CD22B9" w:rsidRPr="00BE0C02" w:rsidRDefault="00CD22B9" w:rsidP="007E6349">
      <w:pPr>
        <w:pStyle w:val="NumBC2"/>
        <w:numPr>
          <w:ilvl w:val="0"/>
          <w:numId w:val="68"/>
        </w:numPr>
        <w:ind w:left="1564" w:hanging="782"/>
      </w:pPr>
      <w:r w:rsidRPr="00BE0C02">
        <w:t>the responses from financial statement users, preparers and other stakeholders during the public consultation period, including over 200 targeted discussions;</w:t>
      </w:r>
    </w:p>
    <w:p w14:paraId="50498891" w14:textId="4FE3150A" w:rsidR="00836E36" w:rsidRPr="00BE0C02" w:rsidRDefault="00CD22B9" w:rsidP="007E6349">
      <w:pPr>
        <w:pStyle w:val="NumBC2"/>
        <w:numPr>
          <w:ilvl w:val="0"/>
          <w:numId w:val="68"/>
        </w:numPr>
        <w:ind w:left="1564" w:hanging="782"/>
      </w:pPr>
      <w:r w:rsidRPr="00BE0C02">
        <w:t>the findings in AASB Research Reports and commissioned academic research</w:t>
      </w:r>
      <w:r w:rsidR="00EE5A74" w:rsidRPr="00BE0C02">
        <w:t>;</w:t>
      </w:r>
      <w:r w:rsidR="005A373A" w:rsidRPr="00BE0C02">
        <w:t xml:space="preserve"> </w:t>
      </w:r>
    </w:p>
    <w:p w14:paraId="5F59A846" w14:textId="5F16511D" w:rsidR="00CD22B9" w:rsidRPr="00BE0C02" w:rsidRDefault="00D4156D" w:rsidP="007E6349">
      <w:pPr>
        <w:pStyle w:val="NumBC2"/>
        <w:numPr>
          <w:ilvl w:val="0"/>
          <w:numId w:val="68"/>
        </w:numPr>
        <w:ind w:left="1564" w:hanging="782"/>
      </w:pPr>
      <w:r w:rsidRPr="00BE0C02">
        <w:t>t</w:t>
      </w:r>
      <w:r w:rsidR="00836E36" w:rsidRPr="00BE0C02">
        <w:t xml:space="preserve">he level of </w:t>
      </w:r>
      <w:r w:rsidR="005A373A" w:rsidRPr="00BE0C02">
        <w:t xml:space="preserve">voluntary compliance with </w:t>
      </w:r>
      <w:r w:rsidR="00836E36" w:rsidRPr="00BE0C02">
        <w:t>A</w:t>
      </w:r>
      <w:r w:rsidRPr="00BE0C02">
        <w:t>S</w:t>
      </w:r>
      <w:r w:rsidR="00836E36" w:rsidRPr="00BE0C02">
        <w:t>IC RG 85</w:t>
      </w:r>
      <w:r w:rsidR="00CD22B9" w:rsidRPr="00BE0C02">
        <w:t>;</w:t>
      </w:r>
    </w:p>
    <w:p w14:paraId="3069C5D4" w14:textId="2B6AC1D3" w:rsidR="00836E36" w:rsidRPr="00BE0C02" w:rsidRDefault="00D4156D" w:rsidP="007E6349">
      <w:pPr>
        <w:pStyle w:val="NumBC2"/>
        <w:numPr>
          <w:ilvl w:val="0"/>
          <w:numId w:val="68"/>
        </w:numPr>
        <w:ind w:left="1564" w:hanging="782"/>
      </w:pPr>
      <w:r w:rsidRPr="00BE0C02">
        <w:lastRenderedPageBreak/>
        <w:t>t</w:t>
      </w:r>
      <w:r w:rsidR="00836E36" w:rsidRPr="00BE0C02">
        <w:t xml:space="preserve">he low </w:t>
      </w:r>
      <w:r w:rsidR="00DA0E8F" w:rsidRPr="00BE0C02">
        <w:t xml:space="preserve">number </w:t>
      </w:r>
      <w:r w:rsidR="00836E36" w:rsidRPr="00BE0C02">
        <w:t>of entities moving from SPFS to RDR</w:t>
      </w:r>
      <w:r w:rsidR="00AB22DB" w:rsidRPr="00BE0C02">
        <w:t>;</w:t>
      </w:r>
    </w:p>
    <w:p w14:paraId="0D9978F9" w14:textId="77777777" w:rsidR="00CD22B9" w:rsidRPr="00BE0C02" w:rsidRDefault="00CD22B9" w:rsidP="007E6349">
      <w:pPr>
        <w:pStyle w:val="NumBC2"/>
        <w:numPr>
          <w:ilvl w:val="0"/>
          <w:numId w:val="68"/>
        </w:numPr>
        <w:ind w:left="1564" w:hanging="782"/>
      </w:pPr>
      <w:r w:rsidRPr="00BE0C02">
        <w:t>the results of user and preparer surveys;</w:t>
      </w:r>
    </w:p>
    <w:p w14:paraId="53C29F61" w14:textId="4254E570" w:rsidR="00CD22B9" w:rsidRPr="00BE0C02" w:rsidRDefault="00CD22B9" w:rsidP="007E6349">
      <w:pPr>
        <w:pStyle w:val="NumBC2"/>
        <w:numPr>
          <w:ilvl w:val="0"/>
          <w:numId w:val="68"/>
        </w:numPr>
        <w:ind w:left="1564" w:hanging="782"/>
      </w:pPr>
      <w:r w:rsidRPr="00BE0C02">
        <w:t>the decision by Treasury to revise the large proprietary threshold</w:t>
      </w:r>
      <w:r w:rsidR="00150A02" w:rsidRPr="00BE0C02">
        <w:t>s</w:t>
      </w:r>
      <w:r w:rsidRPr="00BE0C02">
        <w:t xml:space="preserve"> (and therefore answering the ‘who’ should report question) (see paragraph </w:t>
      </w:r>
      <w:r w:rsidRPr="00BE0C02">
        <w:fldChar w:fldCharType="begin"/>
      </w:r>
      <w:r w:rsidRPr="00BE0C02">
        <w:instrText xml:space="preserve"> REF _Ref9349255 \r \h  \* MERGEFORMAT </w:instrText>
      </w:r>
      <w:r w:rsidRPr="00BE0C02">
        <w:fldChar w:fldCharType="separate"/>
      </w:r>
      <w:r w:rsidR="00E354C4">
        <w:t>BC35</w:t>
      </w:r>
      <w:r w:rsidRPr="00BE0C02">
        <w:fldChar w:fldCharType="end"/>
      </w:r>
      <w:r w:rsidRPr="00BE0C02">
        <w:t>); and</w:t>
      </w:r>
    </w:p>
    <w:p w14:paraId="6C692B8B" w14:textId="72621137" w:rsidR="00CD22B9" w:rsidRPr="00BE0C02" w:rsidRDefault="00CD22B9" w:rsidP="007E6349">
      <w:pPr>
        <w:pStyle w:val="NumBC2"/>
        <w:numPr>
          <w:ilvl w:val="0"/>
          <w:numId w:val="68"/>
        </w:numPr>
        <w:ind w:left="1564" w:hanging="782"/>
      </w:pPr>
      <w:r w:rsidRPr="00BE0C02">
        <w:t xml:space="preserve">the views of other regulators noted above, in particular the views expressed by ASIC in RG85 that, to provide a true and fair view of a company’s financial position and performance, all of the R&amp;M requirements in AAS should be complied with (see paragraphs </w:t>
      </w:r>
      <w:r w:rsidRPr="00BE0C02">
        <w:fldChar w:fldCharType="begin"/>
      </w:r>
      <w:r w:rsidRPr="00BE0C02">
        <w:instrText xml:space="preserve"> REF _Ref13571520 \r \h </w:instrText>
      </w:r>
      <w:r w:rsidR="00BE0C02">
        <w:instrText xml:space="preserve"> \* MERGEFORMAT </w:instrText>
      </w:r>
      <w:r w:rsidRPr="00BE0C02">
        <w:fldChar w:fldCharType="separate"/>
      </w:r>
      <w:r w:rsidR="00E354C4">
        <w:t>BC28</w:t>
      </w:r>
      <w:r w:rsidRPr="00BE0C02">
        <w:fldChar w:fldCharType="end"/>
      </w:r>
      <w:r w:rsidR="00F213D7" w:rsidRPr="00BE0C02">
        <w:t>-</w:t>
      </w:r>
      <w:r w:rsidRPr="00BE0C02">
        <w:fldChar w:fldCharType="begin"/>
      </w:r>
      <w:r w:rsidRPr="00BE0C02">
        <w:instrText xml:space="preserve"> REF _Ref13572537 \r \h </w:instrText>
      </w:r>
      <w:r w:rsidR="00BE0C02">
        <w:instrText xml:space="preserve"> \* MERGEFORMAT </w:instrText>
      </w:r>
      <w:r w:rsidRPr="00BE0C02">
        <w:fldChar w:fldCharType="separate"/>
      </w:r>
      <w:r w:rsidR="00E354C4">
        <w:t>BC29</w:t>
      </w:r>
      <w:r w:rsidRPr="00BE0C02">
        <w:fldChar w:fldCharType="end"/>
      </w:r>
      <w:r w:rsidRPr="00BE0C02">
        <w:t>).</w:t>
      </w:r>
    </w:p>
    <w:p w14:paraId="19B87580" w14:textId="63525D94" w:rsidR="00CD22B9" w:rsidRPr="00BE0C02" w:rsidRDefault="00CD22B9" w:rsidP="00F34601">
      <w:pPr>
        <w:pStyle w:val="NumBC2"/>
        <w:ind w:left="782" w:firstLine="0"/>
      </w:pPr>
      <w:r w:rsidRPr="00BE0C02">
        <w:t>The accumulated body of evidence indicates there are users of publicly lodged SPFS and there is widespread acknowledgement, particularly from users, that the current financial reporting framework does not provide consistent, comparable,</w:t>
      </w:r>
      <w:r w:rsidR="007F363A" w:rsidRPr="00BE0C02">
        <w:t xml:space="preserve"> comprehensi</w:t>
      </w:r>
      <w:r w:rsidR="00DA0E8F" w:rsidRPr="00BE0C02">
        <w:t>ble</w:t>
      </w:r>
      <w:r w:rsidR="007F363A" w:rsidRPr="00BE0C02">
        <w:t>,</w:t>
      </w:r>
      <w:r w:rsidRPr="00BE0C02">
        <w:t xml:space="preserve"> transparent and enforceable financial statements.</w:t>
      </w:r>
    </w:p>
    <w:p w14:paraId="69DCEA01" w14:textId="608CCC7D" w:rsidR="00F541D7" w:rsidRPr="00BE0C02" w:rsidRDefault="00E662E2" w:rsidP="007E6349">
      <w:pPr>
        <w:pStyle w:val="NumBC1"/>
        <w:numPr>
          <w:ilvl w:val="0"/>
          <w:numId w:val="27"/>
        </w:numPr>
        <w:ind w:left="782" w:hanging="782"/>
      </w:pPr>
      <w:r w:rsidRPr="00BE0C02">
        <w:t xml:space="preserve">As such, the Board </w:t>
      </w:r>
      <w:r w:rsidR="00053F89" w:rsidRPr="00BE0C02">
        <w:t>developed</w:t>
      </w:r>
      <w:r w:rsidR="003D5D93" w:rsidRPr="00BE0C02">
        <w:t xml:space="preserve"> an Exposure Draft of</w:t>
      </w:r>
      <w:r w:rsidR="00053F89" w:rsidRPr="00BE0C02">
        <w:t xml:space="preserve"> proposals</w:t>
      </w:r>
      <w:r w:rsidR="003D5D93" w:rsidRPr="00BE0C02">
        <w:t xml:space="preserve"> to address the issues, as set out in the next section. </w:t>
      </w:r>
      <w:r w:rsidR="00CB698E" w:rsidRPr="00BE0C02">
        <w:t xml:space="preserve"> </w:t>
      </w:r>
      <w:r w:rsidR="00667FF3" w:rsidRPr="00BE0C02">
        <w:t xml:space="preserve"> </w:t>
      </w:r>
    </w:p>
    <w:p w14:paraId="36D968C1" w14:textId="0D0E4966" w:rsidR="00FC51E0" w:rsidRPr="00BE0C02" w:rsidRDefault="00FC51E0" w:rsidP="00FC51E0">
      <w:pPr>
        <w:pStyle w:val="Heading2"/>
      </w:pPr>
      <w:r w:rsidRPr="00BE0C02">
        <w:t>Issue of ED 297</w:t>
      </w:r>
    </w:p>
    <w:p w14:paraId="53957A38" w14:textId="589DE065" w:rsidR="00342723" w:rsidRPr="00BE0C02" w:rsidRDefault="006502EC" w:rsidP="007E6349">
      <w:pPr>
        <w:pStyle w:val="NumBC1"/>
        <w:numPr>
          <w:ilvl w:val="0"/>
          <w:numId w:val="27"/>
        </w:numPr>
        <w:ind w:left="782" w:hanging="782"/>
      </w:pPr>
      <w:bookmarkStart w:id="74" w:name="_Ref15929444"/>
      <w:r w:rsidRPr="00BE0C02">
        <w:t xml:space="preserve">The Board’s proposals to implement its chosen option were exposed for public comment </w:t>
      </w:r>
      <w:r w:rsidR="00722458" w:rsidRPr="00BE0C02">
        <w:t>between</w:t>
      </w:r>
      <w:r w:rsidRPr="00BE0C02">
        <w:t xml:space="preserve"> </w:t>
      </w:r>
      <w:r w:rsidR="003B0860" w:rsidRPr="00BE0C02">
        <w:t xml:space="preserve">August </w:t>
      </w:r>
      <w:r w:rsidR="00722458" w:rsidRPr="00BE0C02">
        <w:t xml:space="preserve">and November </w:t>
      </w:r>
      <w:r w:rsidR="00F76675" w:rsidRPr="00BE0C02">
        <w:t>2019</w:t>
      </w:r>
      <w:r w:rsidR="003B0860" w:rsidRPr="00BE0C02">
        <w:t xml:space="preserve"> in two Exposure Drafts:</w:t>
      </w:r>
    </w:p>
    <w:p w14:paraId="482B1F75" w14:textId="503DACA2" w:rsidR="003B0860" w:rsidRPr="00BE0C02" w:rsidRDefault="003B0860" w:rsidP="007E6349">
      <w:pPr>
        <w:pStyle w:val="NumBC1"/>
        <w:numPr>
          <w:ilvl w:val="0"/>
          <w:numId w:val="73"/>
        </w:numPr>
        <w:ind w:left="1564" w:hanging="782"/>
      </w:pPr>
      <w:r w:rsidRPr="00BE0C02">
        <w:t xml:space="preserve">ED 297 </w:t>
      </w:r>
      <w:r w:rsidR="00634AE6" w:rsidRPr="00BE0C02">
        <w:rPr>
          <w:i/>
          <w:iCs/>
        </w:rPr>
        <w:t>Removal of Special Purpose Financial Statements for Certain For-Profit Private Sector Entities</w:t>
      </w:r>
      <w:r w:rsidR="002D000A" w:rsidRPr="00BE0C02">
        <w:t>,</w:t>
      </w:r>
      <w:r w:rsidR="00C4387D" w:rsidRPr="00BE0C02">
        <w:t xml:space="preserve"> </w:t>
      </w:r>
      <w:r w:rsidR="00E1679D" w:rsidRPr="00BE0C02">
        <w:t>which proposed the matters set out in this Standard</w:t>
      </w:r>
      <w:r w:rsidR="00577016" w:rsidRPr="00BE0C02">
        <w:t>, including the scope of the removal of SPFS</w:t>
      </w:r>
      <w:r w:rsidR="000E0BD9" w:rsidRPr="00BE0C02">
        <w:t xml:space="preserve"> and applicable transitional relief; and</w:t>
      </w:r>
    </w:p>
    <w:p w14:paraId="5CE0C974" w14:textId="7D33C660" w:rsidR="00577016" w:rsidRPr="00BE0C02" w:rsidRDefault="00577016" w:rsidP="007E6349">
      <w:pPr>
        <w:pStyle w:val="NumBC1"/>
        <w:numPr>
          <w:ilvl w:val="0"/>
          <w:numId w:val="73"/>
        </w:numPr>
        <w:ind w:left="1564" w:hanging="782"/>
      </w:pPr>
      <w:r w:rsidRPr="00BE0C02">
        <w:t>ED 295</w:t>
      </w:r>
      <w:r w:rsidR="000E0BD9" w:rsidRPr="00BE0C02">
        <w:t xml:space="preserve"> </w:t>
      </w:r>
      <w:r w:rsidR="00EB4FBF" w:rsidRPr="00BE0C02">
        <w:rPr>
          <w:i/>
          <w:iCs/>
        </w:rPr>
        <w:t xml:space="preserve">General Purpose Financial Statements – Simplified Disclosures for </w:t>
      </w:r>
      <w:r w:rsidR="00606474" w:rsidRPr="00BE0C02">
        <w:rPr>
          <w:i/>
          <w:iCs/>
        </w:rPr>
        <w:t>For-Profit and Not-for-Profit Tier 2 Entities</w:t>
      </w:r>
      <w:r w:rsidR="002D000A" w:rsidRPr="00BE0C02">
        <w:t>, which proposed the revised Tier 2 GPFS framework.</w:t>
      </w:r>
      <w:r w:rsidR="00722458" w:rsidRPr="00BE0C02">
        <w:t xml:space="preserve"> The proposals of ED 295 are addressed in detail in </w:t>
      </w:r>
      <w:r w:rsidR="00360E31">
        <w:t>AASB 1060</w:t>
      </w:r>
      <w:r w:rsidR="00722458" w:rsidRPr="00BE0C02">
        <w:t xml:space="preserve"> and its Basis for Conclusions. </w:t>
      </w:r>
    </w:p>
    <w:p w14:paraId="12FD9007" w14:textId="037F95C2" w:rsidR="00722458" w:rsidRPr="00BE0C02" w:rsidRDefault="00BC547A" w:rsidP="007E6349">
      <w:pPr>
        <w:pStyle w:val="NumBC1"/>
        <w:numPr>
          <w:ilvl w:val="0"/>
          <w:numId w:val="27"/>
        </w:numPr>
        <w:ind w:left="782" w:hanging="782"/>
      </w:pPr>
      <w:r w:rsidRPr="00BE0C02">
        <w:t>Extensive outreach was conducted on the proposals, including</w:t>
      </w:r>
      <w:r w:rsidR="00FD2F99" w:rsidRPr="00BE0C02">
        <w:t xml:space="preserve"> </w:t>
      </w:r>
      <w:r w:rsidRPr="00BE0C02">
        <w:t xml:space="preserve">roundtables in </w:t>
      </w:r>
      <w:r w:rsidR="008F67FE" w:rsidRPr="00BE0C02">
        <w:t>Melbourne, Sydney, Brisbane, Perth and Adelaide</w:t>
      </w:r>
      <w:r w:rsidR="008229A0" w:rsidRPr="00BE0C02">
        <w:t xml:space="preserve">, attended by </w:t>
      </w:r>
      <w:r w:rsidR="00436D18" w:rsidRPr="00BE0C02">
        <w:t>73 stakeholders</w:t>
      </w:r>
      <w:r w:rsidR="00250C17" w:rsidRPr="00BE0C02">
        <w:t>.</w:t>
      </w:r>
      <w:r w:rsidR="00ED4EEC" w:rsidRPr="00BE0C02">
        <w:t xml:space="preserve"> </w:t>
      </w:r>
    </w:p>
    <w:p w14:paraId="2255C42B" w14:textId="5D6C73B5" w:rsidR="00D13CC7" w:rsidRPr="00BE0C02" w:rsidRDefault="00D13CC7" w:rsidP="007E6349">
      <w:pPr>
        <w:pStyle w:val="NumBC1"/>
        <w:numPr>
          <w:ilvl w:val="0"/>
          <w:numId w:val="27"/>
        </w:numPr>
        <w:ind w:left="782" w:hanging="782"/>
      </w:pPr>
      <w:r w:rsidRPr="00BE0C02">
        <w:t xml:space="preserve">The Board </w:t>
      </w:r>
      <w:r w:rsidR="00DB2980" w:rsidRPr="00BE0C02">
        <w:t xml:space="preserve">received </w:t>
      </w:r>
      <w:r w:rsidR="00C54FEE" w:rsidRPr="00BE0C02">
        <w:t>19 formal submissions on ED 297 from stakeholders re</w:t>
      </w:r>
      <w:r w:rsidR="006318FB" w:rsidRPr="00BE0C02">
        <w:t xml:space="preserve">presenting </w:t>
      </w:r>
      <w:r w:rsidR="006D5950" w:rsidRPr="00BE0C02">
        <w:t xml:space="preserve">professional service firms, regulators, professional bodies, academics, preparers, software providers and others. </w:t>
      </w:r>
    </w:p>
    <w:p w14:paraId="279C2B0B" w14:textId="12999508" w:rsidR="00CB24F8" w:rsidRPr="00BE0C02" w:rsidRDefault="00CB24F8" w:rsidP="007E6349">
      <w:pPr>
        <w:pStyle w:val="NumBC1"/>
        <w:numPr>
          <w:ilvl w:val="0"/>
          <w:numId w:val="27"/>
        </w:numPr>
        <w:ind w:left="782" w:hanging="782"/>
      </w:pPr>
      <w:r w:rsidRPr="00BE0C02">
        <w:t xml:space="preserve">All submissions to the Board, summaries of outreach and </w:t>
      </w:r>
      <w:r w:rsidR="006D6160" w:rsidRPr="00BE0C02">
        <w:t xml:space="preserve">deliberations by the Board were made available to the public on the AASB website. </w:t>
      </w:r>
    </w:p>
    <w:p w14:paraId="249FDA85" w14:textId="02672005" w:rsidR="000D42FB" w:rsidRPr="00BE0C02" w:rsidRDefault="000D42FB" w:rsidP="007E6349">
      <w:pPr>
        <w:pStyle w:val="NumBC1"/>
        <w:numPr>
          <w:ilvl w:val="0"/>
          <w:numId w:val="27"/>
        </w:numPr>
        <w:ind w:left="782" w:hanging="782"/>
      </w:pPr>
      <w:r w:rsidRPr="00BE0C02">
        <w:t xml:space="preserve">The Board did not undertake </w:t>
      </w:r>
      <w:r w:rsidR="00520D75" w:rsidRPr="00BE0C02">
        <w:t xml:space="preserve">field testing of the proposals, for reasons including the time-sensitive nature of the project and that </w:t>
      </w:r>
      <w:r w:rsidR="00547371" w:rsidRPr="00BE0C02">
        <w:t xml:space="preserve">transition from SPFS to GPFS is </w:t>
      </w:r>
      <w:r w:rsidR="00BB79AE" w:rsidRPr="00BE0C02">
        <w:t xml:space="preserve">not a new requirement. The Board noted that </w:t>
      </w:r>
      <w:r w:rsidR="00B06F7C" w:rsidRPr="00BE0C02">
        <w:t>many SGE entities would have transitioned shortly prior to the development of the proposals, and those entities had not shared any issues in that process with the Board.</w:t>
      </w:r>
      <w:r w:rsidR="00520D75" w:rsidRPr="00BE0C02">
        <w:t xml:space="preserve"> </w:t>
      </w:r>
    </w:p>
    <w:p w14:paraId="685A67CD" w14:textId="12EA6CDC" w:rsidR="00F541D7" w:rsidRPr="00BE0C02" w:rsidRDefault="00F541D7" w:rsidP="007E6349">
      <w:pPr>
        <w:pStyle w:val="NumBC1"/>
        <w:numPr>
          <w:ilvl w:val="0"/>
          <w:numId w:val="27"/>
        </w:numPr>
        <w:ind w:left="782" w:hanging="782"/>
      </w:pPr>
      <w:r w:rsidRPr="00BE0C02">
        <w:t xml:space="preserve">The next section details the matters considered by the Board </w:t>
      </w:r>
      <w:r w:rsidR="00D8287F" w:rsidRPr="00BE0C02">
        <w:t>in developing those proposals</w:t>
      </w:r>
      <w:r w:rsidR="003C2C13" w:rsidRPr="00BE0C02">
        <w:t xml:space="preserve"> and this Standard</w:t>
      </w:r>
      <w:r w:rsidR="00D8287F" w:rsidRPr="00BE0C02">
        <w:t xml:space="preserve">, including where relevant the Board’s decisions </w:t>
      </w:r>
      <w:r w:rsidR="003C2C13" w:rsidRPr="00BE0C02">
        <w:t xml:space="preserve">on how to </w:t>
      </w:r>
      <w:r w:rsidR="009515BB" w:rsidRPr="00BE0C02">
        <w:t>address stakeholder feedback as part of the exposure process</w:t>
      </w:r>
      <w:r w:rsidRPr="00BE0C02">
        <w:t>.</w:t>
      </w:r>
      <w:bookmarkEnd w:id="74"/>
    </w:p>
    <w:p w14:paraId="5D3C58A9" w14:textId="68B1E5D5" w:rsidR="00CD22B9" w:rsidRPr="00BE0C02" w:rsidRDefault="00CD22B9" w:rsidP="00CD22B9">
      <w:pPr>
        <w:pStyle w:val="Heading2"/>
      </w:pPr>
      <w:r w:rsidRPr="00BE0C02">
        <w:t>Scope</w:t>
      </w:r>
    </w:p>
    <w:p w14:paraId="6F2244DA" w14:textId="3EE5621A" w:rsidR="00CD22B9" w:rsidRPr="00BE0C02" w:rsidRDefault="00CD22B9" w:rsidP="007E6349">
      <w:pPr>
        <w:pStyle w:val="NumBC1"/>
        <w:numPr>
          <w:ilvl w:val="0"/>
          <w:numId w:val="27"/>
        </w:numPr>
        <w:ind w:left="782" w:hanging="782"/>
      </w:pPr>
      <w:bookmarkStart w:id="75" w:name="_Ref14980764"/>
      <w:bookmarkStart w:id="76" w:name="_Ref9609992"/>
      <w:bookmarkStart w:id="77" w:name="_Ref13483998"/>
      <w:r w:rsidRPr="00BE0C02">
        <w:t xml:space="preserve">For-profit private sector entities </w:t>
      </w:r>
      <w:r w:rsidR="00160327" w:rsidRPr="00BE0C02">
        <w:t xml:space="preserve">preparing </w:t>
      </w:r>
      <w:r w:rsidR="003F3CB2" w:rsidRPr="00BE0C02">
        <w:t>financial statements</w:t>
      </w:r>
      <w:r w:rsidR="00961735" w:rsidRPr="00BE0C02">
        <w:t xml:space="preserve"> under the </w:t>
      </w:r>
      <w:r w:rsidR="00961735" w:rsidRPr="00BE0C02">
        <w:rPr>
          <w:i/>
        </w:rPr>
        <w:t>Corporations Act 2001</w:t>
      </w:r>
      <w:r w:rsidR="00961735" w:rsidRPr="00BE0C02">
        <w:t xml:space="preserve"> that are </w:t>
      </w:r>
      <w:r w:rsidRPr="00BE0C02">
        <w:t xml:space="preserve">affected by </w:t>
      </w:r>
      <w:r w:rsidR="00BB44A3" w:rsidRPr="00BE0C02">
        <w:t xml:space="preserve">this Standard </w:t>
      </w:r>
      <w:r w:rsidRPr="00BE0C02">
        <w:t>are</w:t>
      </w:r>
      <w:r w:rsidR="00961735" w:rsidRPr="00BE0C02">
        <w:t xml:space="preserve"> principally</w:t>
      </w:r>
      <w:r w:rsidRPr="00BE0C02">
        <w:t>:</w:t>
      </w:r>
      <w:bookmarkEnd w:id="75"/>
    </w:p>
    <w:p w14:paraId="10B849E5" w14:textId="072710AE" w:rsidR="00CD22B9" w:rsidRPr="00BE0C02" w:rsidRDefault="00CD22B9" w:rsidP="007E6349">
      <w:pPr>
        <w:pStyle w:val="NumBC1"/>
        <w:numPr>
          <w:ilvl w:val="0"/>
          <w:numId w:val="79"/>
        </w:numPr>
        <w:ind w:left="1564" w:hanging="782"/>
      </w:pPr>
      <w:r w:rsidRPr="00BE0C02">
        <w:t>large proprietary companies</w:t>
      </w:r>
      <w:r w:rsidR="0060656A" w:rsidRPr="00BE0C02">
        <w:t>;</w:t>
      </w:r>
      <w:r w:rsidR="003B2347" w:rsidRPr="00BE0C02">
        <w:rPr>
          <w:rStyle w:val="FootnoteReference"/>
        </w:rPr>
        <w:footnoteReference w:id="31"/>
      </w:r>
    </w:p>
    <w:p w14:paraId="08F7A2D9" w14:textId="54395CB1" w:rsidR="00CD22B9" w:rsidRPr="00BE0C02" w:rsidRDefault="00CD22B9" w:rsidP="007E6349">
      <w:pPr>
        <w:pStyle w:val="NumBC1"/>
        <w:numPr>
          <w:ilvl w:val="0"/>
          <w:numId w:val="79"/>
        </w:numPr>
        <w:ind w:left="1564" w:hanging="782"/>
      </w:pPr>
      <w:r w:rsidRPr="00BE0C02">
        <w:t xml:space="preserve">unlisted public companies (other than </w:t>
      </w:r>
      <w:r w:rsidR="00A576C6" w:rsidRPr="00BE0C02">
        <w:t xml:space="preserve">companies </w:t>
      </w:r>
      <w:r w:rsidRPr="00BE0C02">
        <w:t xml:space="preserve">limited by guarantee); </w:t>
      </w:r>
    </w:p>
    <w:p w14:paraId="0214AE0B" w14:textId="77777777" w:rsidR="003F185C" w:rsidRPr="00BE0C02" w:rsidRDefault="00CD22B9" w:rsidP="007E6349">
      <w:pPr>
        <w:pStyle w:val="NumBC1"/>
        <w:numPr>
          <w:ilvl w:val="0"/>
          <w:numId w:val="79"/>
        </w:numPr>
        <w:ind w:left="1564" w:hanging="782"/>
      </w:pPr>
      <w:r w:rsidRPr="00BE0C02">
        <w:t>small proprietary companies controlled by a foreign company</w:t>
      </w:r>
      <w:r w:rsidR="003F185C" w:rsidRPr="00BE0C02">
        <w:t>;</w:t>
      </w:r>
    </w:p>
    <w:p w14:paraId="7AB704FB" w14:textId="31304964" w:rsidR="00F43322" w:rsidRPr="00BE0C02" w:rsidRDefault="003F185C" w:rsidP="007E6349">
      <w:pPr>
        <w:pStyle w:val="NumBC1"/>
        <w:numPr>
          <w:ilvl w:val="0"/>
          <w:numId w:val="79"/>
        </w:numPr>
        <w:ind w:left="1564" w:hanging="782"/>
      </w:pPr>
      <w:r w:rsidRPr="00BE0C02">
        <w:t>financial services licensees</w:t>
      </w:r>
      <w:r w:rsidR="00F43322" w:rsidRPr="00BE0C02">
        <w:t>;</w:t>
      </w:r>
      <w:r w:rsidR="0071631B" w:rsidRPr="00BE0C02">
        <w:t xml:space="preserve"> and</w:t>
      </w:r>
    </w:p>
    <w:p w14:paraId="1F2F0B57" w14:textId="247C3E9F" w:rsidR="00CD22B9" w:rsidRPr="00BE0C02" w:rsidRDefault="00F43322" w:rsidP="007E6349">
      <w:pPr>
        <w:pStyle w:val="NumBC1"/>
        <w:numPr>
          <w:ilvl w:val="0"/>
          <w:numId w:val="79"/>
        </w:numPr>
        <w:ind w:left="1564" w:hanging="782"/>
      </w:pPr>
      <w:r w:rsidRPr="00BE0C02">
        <w:t>small proprietary companies with crowd-sourced funding</w:t>
      </w:r>
      <w:r w:rsidR="00CD22B9" w:rsidRPr="00BE0C02">
        <w:t>.</w:t>
      </w:r>
    </w:p>
    <w:p w14:paraId="6AD2DE65" w14:textId="447ACED5" w:rsidR="00CD22B9" w:rsidRPr="00BE0C02" w:rsidRDefault="00CD22B9" w:rsidP="00166478">
      <w:pPr>
        <w:pStyle w:val="NumBC1"/>
        <w:ind w:firstLine="0"/>
      </w:pPr>
      <w:r w:rsidRPr="00BE0C02">
        <w:t xml:space="preserve">These have all been identified by the Board as being likely to have users dependent on their GPFS (see paragraph </w:t>
      </w:r>
      <w:r w:rsidRPr="00BE0C02">
        <w:fldChar w:fldCharType="begin"/>
      </w:r>
      <w:r w:rsidRPr="00BE0C02">
        <w:instrText xml:space="preserve"> REF _Ref9857928 \r \h </w:instrText>
      </w:r>
      <w:r w:rsidR="00BE0C02">
        <w:instrText xml:space="preserve"> \* MERGEFORMAT </w:instrText>
      </w:r>
      <w:r w:rsidRPr="00BE0C02">
        <w:fldChar w:fldCharType="separate"/>
      </w:r>
      <w:r w:rsidR="00E354C4">
        <w:t>BC40</w:t>
      </w:r>
      <w:r w:rsidRPr="00BE0C02">
        <w:fldChar w:fldCharType="end"/>
      </w:r>
      <w:r w:rsidR="0060656A" w:rsidRPr="00BE0C02">
        <w:t>-</w:t>
      </w:r>
      <w:r w:rsidR="0060656A" w:rsidRPr="00BE0C02">
        <w:fldChar w:fldCharType="begin"/>
      </w:r>
      <w:r w:rsidR="0060656A" w:rsidRPr="00BE0C02">
        <w:instrText xml:space="preserve"> REF _Ref15929496 \r \h </w:instrText>
      </w:r>
      <w:r w:rsidR="00BE0C02">
        <w:instrText xml:space="preserve"> \* MERGEFORMAT </w:instrText>
      </w:r>
      <w:r w:rsidR="0060656A" w:rsidRPr="00BE0C02">
        <w:fldChar w:fldCharType="separate"/>
      </w:r>
      <w:r w:rsidR="00E354C4">
        <w:t>BC42</w:t>
      </w:r>
      <w:r w:rsidR="0060656A" w:rsidRPr="00BE0C02">
        <w:fldChar w:fldCharType="end"/>
      </w:r>
      <w:r w:rsidR="00DB1CB7" w:rsidRPr="00BE0C02">
        <w:t xml:space="preserve"> and </w:t>
      </w:r>
      <w:r w:rsidR="00C448A5" w:rsidRPr="00BE0C02">
        <w:t xml:space="preserve">category </w:t>
      </w:r>
      <w:r w:rsidR="00C45EF0" w:rsidRPr="00BE0C02">
        <w:t xml:space="preserve">4 in the Summary of scope table </w:t>
      </w:r>
      <w:r w:rsidR="00DA0E8F" w:rsidRPr="00BE0C02">
        <w:t xml:space="preserve">in paragraph </w:t>
      </w:r>
      <w:r w:rsidR="00DA0E8F" w:rsidRPr="00BE0C02">
        <w:fldChar w:fldCharType="begin"/>
      </w:r>
      <w:r w:rsidR="00DA0E8F" w:rsidRPr="00BE0C02">
        <w:instrText xml:space="preserve"> REF _Ref16629258 \r \h </w:instrText>
      </w:r>
      <w:r w:rsidR="00BE0C02">
        <w:instrText xml:space="preserve"> \* MERGEFORMAT </w:instrText>
      </w:r>
      <w:r w:rsidR="00DA0E8F" w:rsidRPr="00BE0C02">
        <w:fldChar w:fldCharType="separate"/>
      </w:r>
      <w:r w:rsidR="00E354C4">
        <w:t>BC93</w:t>
      </w:r>
      <w:r w:rsidR="00DA0E8F" w:rsidRPr="00BE0C02">
        <w:fldChar w:fldCharType="end"/>
      </w:r>
      <w:r w:rsidR="00DA0E8F" w:rsidRPr="00BE0C02">
        <w:t xml:space="preserve"> </w:t>
      </w:r>
      <w:r w:rsidR="00C45EF0" w:rsidRPr="00BE0C02">
        <w:t>below</w:t>
      </w:r>
      <w:r w:rsidRPr="00BE0C02">
        <w:t xml:space="preserve">). </w:t>
      </w:r>
    </w:p>
    <w:p w14:paraId="2EF25486" w14:textId="3D94A1FC" w:rsidR="00961735" w:rsidRPr="00BE0C02" w:rsidRDefault="00961735" w:rsidP="007E6349">
      <w:pPr>
        <w:pStyle w:val="NumBC1"/>
        <w:numPr>
          <w:ilvl w:val="0"/>
          <w:numId w:val="27"/>
        </w:numPr>
        <w:ind w:left="782" w:hanging="782"/>
      </w:pPr>
      <w:bookmarkStart w:id="78" w:name="_Ref14937375"/>
      <w:r w:rsidRPr="00BE0C02">
        <w:t xml:space="preserve">In addition to </w:t>
      </w:r>
      <w:r w:rsidR="00FF4826" w:rsidRPr="00BE0C02">
        <w:rPr>
          <w:i/>
        </w:rPr>
        <w:t>Corporations Act</w:t>
      </w:r>
      <w:r w:rsidRPr="00BE0C02">
        <w:rPr>
          <w:i/>
        </w:rPr>
        <w:t xml:space="preserve"> </w:t>
      </w:r>
      <w:r w:rsidR="00DA0E8F" w:rsidRPr="00BE0C02">
        <w:rPr>
          <w:i/>
        </w:rPr>
        <w:t>2001</w:t>
      </w:r>
      <w:r w:rsidR="00DA0E8F" w:rsidRPr="00BE0C02">
        <w:t xml:space="preserve"> </w:t>
      </w:r>
      <w:r w:rsidRPr="00BE0C02">
        <w:t xml:space="preserve">entities </w:t>
      </w:r>
      <w:r w:rsidR="00FF4826" w:rsidRPr="00BE0C02">
        <w:t>covered by</w:t>
      </w:r>
      <w:r w:rsidRPr="00BE0C02">
        <w:t xml:space="preserve"> paragraph </w:t>
      </w:r>
      <w:r w:rsidRPr="00BE0C02">
        <w:fldChar w:fldCharType="begin"/>
      </w:r>
      <w:r w:rsidRPr="00BE0C02">
        <w:instrText xml:space="preserve"> REF _Ref14980764 \r \h </w:instrText>
      </w:r>
      <w:r w:rsidR="00BE0C02">
        <w:instrText xml:space="preserve"> \* MERGEFORMAT </w:instrText>
      </w:r>
      <w:r w:rsidRPr="00BE0C02">
        <w:fldChar w:fldCharType="separate"/>
      </w:r>
      <w:r w:rsidR="00E354C4">
        <w:t>BC68</w:t>
      </w:r>
      <w:r w:rsidRPr="00BE0C02">
        <w:fldChar w:fldCharType="end"/>
      </w:r>
      <w:r w:rsidR="00FF4826" w:rsidRPr="00BE0C02">
        <w:t>,</w:t>
      </w:r>
      <w:r w:rsidRPr="00BE0C02">
        <w:t xml:space="preserve"> </w:t>
      </w:r>
      <w:r w:rsidR="00FF4826" w:rsidRPr="00BE0C02">
        <w:t>some</w:t>
      </w:r>
      <w:r w:rsidRPr="00BE0C02">
        <w:t xml:space="preserve"> other types of entities </w:t>
      </w:r>
      <w:r w:rsidR="00FF4826" w:rsidRPr="00BE0C02">
        <w:t xml:space="preserve">are also </w:t>
      </w:r>
      <w:r w:rsidRPr="00BE0C02">
        <w:t xml:space="preserve">affected by </w:t>
      </w:r>
      <w:r w:rsidR="00BB44A3" w:rsidRPr="00BE0C02">
        <w:t>this Standard</w:t>
      </w:r>
      <w:r w:rsidRPr="00BE0C02">
        <w:t xml:space="preserve">. For example, for-profit </w:t>
      </w:r>
      <w:r w:rsidR="00FF4826" w:rsidRPr="00BE0C02">
        <w:t>c</w:t>
      </w:r>
      <w:r w:rsidRPr="00BE0C02">
        <w:t>o-</w:t>
      </w:r>
      <w:r w:rsidR="00FF4826" w:rsidRPr="00BE0C02">
        <w:t>o</w:t>
      </w:r>
      <w:r w:rsidRPr="00BE0C02">
        <w:t xml:space="preserve">peratives and </w:t>
      </w:r>
      <w:r w:rsidR="00FF4826" w:rsidRPr="00BE0C02">
        <w:t xml:space="preserve">incorporated associations </w:t>
      </w:r>
      <w:r w:rsidRPr="00BE0C02">
        <w:t xml:space="preserve">required </w:t>
      </w:r>
      <w:r w:rsidRPr="00BE0C02">
        <w:lastRenderedPageBreak/>
        <w:t>by state or territory legislation to prepare financial statements in accordance with AAS</w:t>
      </w:r>
      <w:r w:rsidR="00FF4826" w:rsidRPr="00BE0C02">
        <w:t xml:space="preserve"> or accounting standards are also subject to </w:t>
      </w:r>
      <w:r w:rsidR="00BB44A3" w:rsidRPr="00BE0C02">
        <w:t>this Standard</w:t>
      </w:r>
      <w:r w:rsidRPr="00BE0C02">
        <w:t>.</w:t>
      </w:r>
    </w:p>
    <w:p w14:paraId="7648221E" w14:textId="4C6696FD" w:rsidR="00EE12E4" w:rsidRPr="00BE0C02" w:rsidRDefault="00F8626F" w:rsidP="007E6349">
      <w:pPr>
        <w:pStyle w:val="NumBC1"/>
        <w:numPr>
          <w:ilvl w:val="0"/>
          <w:numId w:val="27"/>
        </w:numPr>
        <w:ind w:left="782" w:hanging="782"/>
      </w:pPr>
      <w:r w:rsidRPr="00BE0C02">
        <w:t>Some respondents to ED 297 questioned whether it was appropriate to include entities that are not required to publicly lodge financial statements within the scope of the Standard</w:t>
      </w:r>
      <w:r w:rsidR="00FF7491" w:rsidRPr="00BE0C02">
        <w:t xml:space="preserve">, such as large proprietary companies that are not required to lodge financial reports with ASIC if they meet certain conditions </w:t>
      </w:r>
      <w:r w:rsidR="0035111A">
        <w:t xml:space="preserve">outlined in </w:t>
      </w:r>
      <w:r w:rsidR="009C6E96">
        <w:t xml:space="preserve">section </w:t>
      </w:r>
      <w:r w:rsidR="00D5099B">
        <w:t xml:space="preserve">1408 of the </w:t>
      </w:r>
      <w:r w:rsidR="00D5099B">
        <w:rPr>
          <w:i/>
          <w:iCs/>
        </w:rPr>
        <w:t>Corporations Act 2001</w:t>
      </w:r>
      <w:r w:rsidR="00FF7491" w:rsidRPr="00BE0C02">
        <w:t xml:space="preserve"> (exempt proprietary companies). </w:t>
      </w:r>
      <w:r w:rsidR="005903C9" w:rsidRPr="00BE0C02">
        <w:t xml:space="preserve">However, the Board decided </w:t>
      </w:r>
      <w:r w:rsidR="00B310E7" w:rsidRPr="00BE0C02">
        <w:t xml:space="preserve">against such an exemption on the basis that the relevant </w:t>
      </w:r>
      <w:r w:rsidR="00546BC1" w:rsidRPr="00BE0C02">
        <w:t xml:space="preserve">legislation </w:t>
      </w:r>
      <w:r w:rsidR="00151CE8" w:rsidRPr="00BE0C02">
        <w:t>requires compliance with accounting standards</w:t>
      </w:r>
      <w:r w:rsidR="008066EC" w:rsidRPr="00BE0C02">
        <w:t xml:space="preserve"> for a reason, </w:t>
      </w:r>
      <w:r w:rsidR="009239FE" w:rsidRPr="00BE0C02">
        <w:t xml:space="preserve">whether or not articulated by the other regulator, </w:t>
      </w:r>
      <w:r w:rsidR="008066EC" w:rsidRPr="00BE0C02">
        <w:t xml:space="preserve">regardless of whether the financial statements are publicly lodged. </w:t>
      </w:r>
      <w:r w:rsidR="00A61AE4" w:rsidRPr="00BE0C02">
        <w:t xml:space="preserve">The Board also noted a number of these entities would have been required to comply with the SGE legislation and would have benefited from the increase in the large proprietary thresholds, so the impacted number of entities is considerably reduced. </w:t>
      </w:r>
      <w:r w:rsidR="008066EC" w:rsidRPr="00BE0C02">
        <w:t xml:space="preserve">Further, the Board preferred to limit any special rules or exceptions in the proposals, consistent with recommendations in the </w:t>
      </w:r>
      <w:r w:rsidR="008066EC" w:rsidRPr="00BE0C02">
        <w:rPr>
          <w:i/>
          <w:iCs/>
        </w:rPr>
        <w:t>Final Report of the Royal Commission into Misconduct in the Banking, Superannuation and Financial Services Industry</w:t>
      </w:r>
      <w:r w:rsidR="008066EC" w:rsidRPr="00BE0C02">
        <w:t xml:space="preserve">. </w:t>
      </w:r>
    </w:p>
    <w:p w14:paraId="06C94960" w14:textId="321B5BF7" w:rsidR="00BA46F6" w:rsidRPr="00BE0C02" w:rsidRDefault="00BA46F6" w:rsidP="007E6349">
      <w:pPr>
        <w:pStyle w:val="NumBC1"/>
        <w:numPr>
          <w:ilvl w:val="0"/>
          <w:numId w:val="27"/>
        </w:numPr>
        <w:ind w:left="782" w:hanging="782"/>
        <w:rPr>
          <w:szCs w:val="19"/>
        </w:rPr>
      </w:pPr>
      <w:bookmarkStart w:id="79" w:name="_Ref14981566"/>
      <w:r w:rsidRPr="00BE0C02">
        <w:t xml:space="preserve">Entities not subject to </w:t>
      </w:r>
      <w:r w:rsidR="00BB44A3" w:rsidRPr="00BE0C02">
        <w:t>this Standard</w:t>
      </w:r>
      <w:r w:rsidRPr="00BE0C02">
        <w:t xml:space="preserve"> (or the requirements in AASB 2019-1) continue to be able to prepare SPFS if they classify themselves as non-reporting entities</w:t>
      </w:r>
      <w:r w:rsidR="008C5739" w:rsidRPr="00BE0C02">
        <w:t xml:space="preserve">, and where the SPFS are </w:t>
      </w:r>
      <w:r w:rsidRPr="00BE0C02">
        <w:t>prepared other than in accordance with AAS</w:t>
      </w:r>
      <w:r w:rsidR="00E53DAC" w:rsidRPr="00BE0C02">
        <w:t xml:space="preserve">. For these entities, the financial reporting framework applied in the SPFS would continue to be determined by the accounting policies selected by the directors </w:t>
      </w:r>
      <w:r w:rsidR="00DA0E8F" w:rsidRPr="00BE0C02">
        <w:t>or</w:t>
      </w:r>
      <w:r w:rsidR="00E53DAC" w:rsidRPr="00BE0C02">
        <w:t xml:space="preserve"> those charged with governance. For example, the directors or those charged with governance </w:t>
      </w:r>
      <w:r w:rsidR="008C5739" w:rsidRPr="00BE0C02">
        <w:t xml:space="preserve">could adopt </w:t>
      </w:r>
      <w:r w:rsidR="00DF2DDF" w:rsidRPr="00BE0C02">
        <w:t>a</w:t>
      </w:r>
      <w:r w:rsidR="008C5739" w:rsidRPr="00BE0C02">
        <w:t xml:space="preserve"> </w:t>
      </w:r>
      <w:r w:rsidRPr="00BE0C02">
        <w:t>basis of preparation</w:t>
      </w:r>
      <w:r w:rsidR="008C5739" w:rsidRPr="00BE0C02">
        <w:t xml:space="preserve"> </w:t>
      </w:r>
      <w:r w:rsidR="00E53DAC" w:rsidRPr="00BE0C02">
        <w:t xml:space="preserve">based on </w:t>
      </w:r>
      <w:r w:rsidR="00F62FDF" w:rsidRPr="00BE0C02">
        <w:t xml:space="preserve">AAS, the Tier 2 GPFS framework, RG 85, </w:t>
      </w:r>
      <w:r w:rsidR="00DF2DDF" w:rsidRPr="00BE0C02">
        <w:t>the</w:t>
      </w:r>
      <w:r w:rsidR="008C5739" w:rsidRPr="00BE0C02">
        <w:t xml:space="preserve"> </w:t>
      </w:r>
      <w:r w:rsidRPr="00BE0C02">
        <w:rPr>
          <w:iCs/>
        </w:rPr>
        <w:t>IFRS for SMEs Standard</w:t>
      </w:r>
      <w:r w:rsidRPr="00BE0C02">
        <w:t xml:space="preserve">, </w:t>
      </w:r>
      <w:r w:rsidR="00F62FDF" w:rsidRPr="00BE0C02">
        <w:rPr>
          <w:iCs/>
          <w:szCs w:val="19"/>
        </w:rPr>
        <w:t xml:space="preserve">the </w:t>
      </w:r>
      <w:r w:rsidR="00DF2DDF" w:rsidRPr="00BE0C02">
        <w:rPr>
          <w:iCs/>
          <w:szCs w:val="19"/>
        </w:rPr>
        <w:t>NZ</w:t>
      </w:r>
      <w:r w:rsidR="00DF2DDF" w:rsidRPr="00BE0C02">
        <w:rPr>
          <w:i/>
          <w:iCs/>
          <w:szCs w:val="19"/>
        </w:rPr>
        <w:t xml:space="preserve"> </w:t>
      </w:r>
      <w:r w:rsidRPr="00BE0C02">
        <w:rPr>
          <w:rStyle w:val="sub-title2"/>
          <w:color w:val="000000"/>
          <w:kern w:val="36"/>
          <w:sz w:val="19"/>
          <w:szCs w:val="19"/>
          <w:lang w:val="en-GB"/>
          <w:specVanish w:val="0"/>
        </w:rPr>
        <w:t>Public Benefit Entity Simple Format Reporting – Accrual (Not-for-profit)</w:t>
      </w:r>
      <w:r w:rsidR="00F62FDF" w:rsidRPr="00BE0C02">
        <w:rPr>
          <w:rStyle w:val="sub-title2"/>
          <w:color w:val="000000"/>
          <w:kern w:val="36"/>
          <w:sz w:val="19"/>
          <w:szCs w:val="19"/>
          <w:lang w:val="en-GB"/>
          <w:specVanish w:val="0"/>
        </w:rPr>
        <w:t xml:space="preserve">, the </w:t>
      </w:r>
      <w:r w:rsidR="00F62FDF" w:rsidRPr="00BE0C02">
        <w:rPr>
          <w:iCs/>
          <w:szCs w:val="19"/>
        </w:rPr>
        <w:t>NZ</w:t>
      </w:r>
      <w:r w:rsidR="00F62FDF" w:rsidRPr="00BE0C02">
        <w:rPr>
          <w:i/>
          <w:iCs/>
          <w:szCs w:val="19"/>
        </w:rPr>
        <w:t xml:space="preserve"> </w:t>
      </w:r>
      <w:r w:rsidR="00F62FDF" w:rsidRPr="00BE0C02">
        <w:rPr>
          <w:rStyle w:val="sub-title2"/>
          <w:color w:val="000000"/>
          <w:kern w:val="36"/>
          <w:sz w:val="19"/>
          <w:szCs w:val="19"/>
          <w:lang w:val="en-GB"/>
          <w:specVanish w:val="0"/>
        </w:rPr>
        <w:t>Public Benefit Entity Simple Format Reporting – Cash (Not-for-profit)</w:t>
      </w:r>
      <w:r w:rsidR="008F548F" w:rsidRPr="00BE0C02">
        <w:rPr>
          <w:rStyle w:val="sub-title2"/>
          <w:color w:val="000000"/>
          <w:kern w:val="36"/>
          <w:sz w:val="19"/>
          <w:szCs w:val="19"/>
          <w:lang w:val="en-GB"/>
          <w:specVanish w:val="0"/>
        </w:rPr>
        <w:t>,</w:t>
      </w:r>
      <w:r w:rsidR="00F62FDF" w:rsidRPr="00BE0C02">
        <w:rPr>
          <w:rStyle w:val="sub-title2"/>
          <w:color w:val="000000"/>
          <w:kern w:val="36"/>
          <w:sz w:val="19"/>
          <w:szCs w:val="19"/>
          <w:lang w:val="en-GB"/>
          <w:specVanish w:val="0"/>
        </w:rPr>
        <w:t xml:space="preserve"> </w:t>
      </w:r>
      <w:r w:rsidR="00F62FDF" w:rsidRPr="00BE0C02">
        <w:t>UK F</w:t>
      </w:r>
      <w:r w:rsidR="00F62FDF" w:rsidRPr="00BE0C02">
        <w:rPr>
          <w:szCs w:val="19"/>
        </w:rPr>
        <w:t xml:space="preserve">RS 102 </w:t>
      </w:r>
      <w:r w:rsidR="00F62FDF" w:rsidRPr="00BE0C02">
        <w:rPr>
          <w:i/>
          <w:iCs/>
          <w:szCs w:val="19"/>
        </w:rPr>
        <w:t>The Financial Reporting Standard applicable in the UK and Republic of Ireland</w:t>
      </w:r>
      <w:bookmarkEnd w:id="79"/>
      <w:r w:rsidR="008F548F" w:rsidRPr="00BE0C02">
        <w:rPr>
          <w:iCs/>
          <w:szCs w:val="19"/>
        </w:rPr>
        <w:t xml:space="preserve"> and other sources</w:t>
      </w:r>
      <w:r w:rsidRPr="00BE0C02">
        <w:rPr>
          <w:rStyle w:val="sub-title2"/>
          <w:color w:val="000000"/>
          <w:kern w:val="36"/>
          <w:sz w:val="19"/>
          <w:szCs w:val="19"/>
          <w:lang w:val="en-GB"/>
          <w:specVanish w:val="0"/>
        </w:rPr>
        <w:t>.</w:t>
      </w:r>
      <w:r w:rsidR="00E20B08" w:rsidRPr="00BE0C02">
        <w:rPr>
          <w:rStyle w:val="sub-title2"/>
          <w:color w:val="000000"/>
          <w:kern w:val="36"/>
          <w:sz w:val="19"/>
          <w:lang w:val="en-GB"/>
          <w:specVanish w:val="0"/>
        </w:rPr>
        <w:t xml:space="preserve"> Refer</w:t>
      </w:r>
      <w:r w:rsidR="007D06DD" w:rsidRPr="00BE0C02">
        <w:rPr>
          <w:rStyle w:val="sub-title2"/>
          <w:color w:val="000000"/>
          <w:kern w:val="36"/>
          <w:sz w:val="19"/>
          <w:lang w:val="en-GB"/>
          <w:specVanish w:val="0"/>
        </w:rPr>
        <w:t xml:space="preserve"> to</w:t>
      </w:r>
      <w:r w:rsidR="00E20B08" w:rsidRPr="00BE0C02">
        <w:rPr>
          <w:rStyle w:val="sub-title2"/>
          <w:color w:val="000000"/>
          <w:kern w:val="36"/>
          <w:sz w:val="19"/>
          <w:lang w:val="en-GB"/>
          <w:specVanish w:val="0"/>
        </w:rPr>
        <w:t xml:space="preserve"> paragraphs </w:t>
      </w:r>
      <w:r w:rsidR="00E20B08" w:rsidRPr="00BE0C02">
        <w:rPr>
          <w:rStyle w:val="sub-title2"/>
          <w:color w:val="000000"/>
          <w:kern w:val="36"/>
          <w:sz w:val="19"/>
          <w:szCs w:val="19"/>
          <w:lang w:val="en-GB"/>
          <w:specVanish w:val="0"/>
        </w:rPr>
        <w:fldChar w:fldCharType="begin"/>
      </w:r>
      <w:r w:rsidR="00E20B08" w:rsidRPr="00BE0C02">
        <w:rPr>
          <w:rStyle w:val="sub-title2"/>
          <w:color w:val="000000"/>
          <w:kern w:val="36"/>
          <w:sz w:val="19"/>
          <w:szCs w:val="19"/>
          <w:lang w:val="en-GB"/>
          <w:specVanish w:val="0"/>
        </w:rPr>
        <w:instrText xml:space="preserve"> REF _Ref14982289 \r \h </w:instrText>
      </w:r>
      <w:r w:rsidR="00BE0C02">
        <w:rPr>
          <w:rStyle w:val="sub-title2"/>
          <w:color w:val="000000"/>
          <w:kern w:val="36"/>
          <w:sz w:val="19"/>
          <w:szCs w:val="19"/>
          <w:lang w:val="en-GB"/>
          <w:specVanish w:val="0"/>
        </w:rPr>
        <w:instrText xml:space="preserve"> \* MERGEFORMAT </w:instrText>
      </w:r>
      <w:r w:rsidR="00E20B08" w:rsidRPr="00BE0C02">
        <w:rPr>
          <w:rStyle w:val="sub-title2"/>
          <w:color w:val="000000"/>
          <w:kern w:val="36"/>
          <w:sz w:val="19"/>
          <w:szCs w:val="19"/>
          <w:lang w:val="en-GB"/>
        </w:rPr>
      </w:r>
      <w:r w:rsidR="00E20B08" w:rsidRPr="00BE0C02">
        <w:rPr>
          <w:rStyle w:val="sub-title2"/>
          <w:color w:val="000000"/>
          <w:kern w:val="36"/>
          <w:sz w:val="19"/>
          <w:szCs w:val="19"/>
          <w:lang w:val="en-GB"/>
          <w:specVanish w:val="0"/>
        </w:rPr>
        <w:fldChar w:fldCharType="separate"/>
      </w:r>
      <w:r w:rsidR="00E354C4">
        <w:rPr>
          <w:rStyle w:val="sub-title2"/>
          <w:color w:val="000000"/>
          <w:kern w:val="36"/>
          <w:sz w:val="19"/>
          <w:szCs w:val="19"/>
          <w:lang w:val="en-GB"/>
          <w:specVanish w:val="0"/>
        </w:rPr>
        <w:t>BC78</w:t>
      </w:r>
      <w:r w:rsidR="00E20B08" w:rsidRPr="00BE0C02">
        <w:rPr>
          <w:rStyle w:val="sub-title2"/>
          <w:color w:val="000000"/>
          <w:kern w:val="36"/>
          <w:sz w:val="19"/>
          <w:szCs w:val="19"/>
          <w:lang w:val="en-GB"/>
        </w:rPr>
        <w:fldChar w:fldCharType="end"/>
      </w:r>
      <w:r w:rsidR="00E20B08" w:rsidRPr="00BE0C02">
        <w:rPr>
          <w:rStyle w:val="sub-title2"/>
          <w:color w:val="000000"/>
          <w:kern w:val="36"/>
          <w:sz w:val="19"/>
          <w:lang w:val="en-GB"/>
          <w:specVanish w:val="0"/>
        </w:rPr>
        <w:t xml:space="preserve">, </w:t>
      </w:r>
      <w:r w:rsidR="00DA0E8F" w:rsidRPr="00BE0C02">
        <w:rPr>
          <w:rStyle w:val="sub-title2"/>
          <w:color w:val="000000"/>
          <w:kern w:val="36"/>
          <w:sz w:val="19"/>
          <w:lang w:val="en-GB"/>
          <w:specVanish w:val="0"/>
        </w:rPr>
        <w:fldChar w:fldCharType="begin"/>
      </w:r>
      <w:r w:rsidR="00DA0E8F" w:rsidRPr="00BE0C02">
        <w:rPr>
          <w:rStyle w:val="sub-title2"/>
          <w:color w:val="000000"/>
          <w:kern w:val="36"/>
          <w:sz w:val="19"/>
          <w:lang w:val="en-GB"/>
          <w:specVanish w:val="0"/>
        </w:rPr>
        <w:instrText xml:space="preserve"> REF _Ref16630030 \r \h </w:instrText>
      </w:r>
      <w:r w:rsidR="00BE0C02">
        <w:rPr>
          <w:rStyle w:val="sub-title2"/>
          <w:color w:val="000000"/>
          <w:kern w:val="36"/>
          <w:sz w:val="19"/>
          <w:lang w:val="en-GB"/>
          <w:specVanish w:val="0"/>
        </w:rPr>
        <w:instrText xml:space="preserve"> \* MERGEFORMAT </w:instrText>
      </w:r>
      <w:r w:rsidR="00DA0E8F" w:rsidRPr="00BE0C02">
        <w:rPr>
          <w:rStyle w:val="sub-title2"/>
          <w:color w:val="000000"/>
          <w:kern w:val="36"/>
          <w:sz w:val="19"/>
          <w:lang w:val="en-GB"/>
        </w:rPr>
      </w:r>
      <w:r w:rsidR="00DA0E8F" w:rsidRPr="00BE0C02">
        <w:rPr>
          <w:rStyle w:val="sub-title2"/>
          <w:color w:val="000000"/>
          <w:kern w:val="36"/>
          <w:sz w:val="19"/>
          <w:lang w:val="en-GB"/>
          <w:specVanish w:val="0"/>
        </w:rPr>
        <w:fldChar w:fldCharType="separate"/>
      </w:r>
      <w:r w:rsidR="00E354C4">
        <w:rPr>
          <w:rStyle w:val="sub-title2"/>
          <w:color w:val="000000"/>
          <w:kern w:val="36"/>
          <w:sz w:val="19"/>
          <w:lang w:val="en-GB"/>
          <w:specVanish w:val="0"/>
        </w:rPr>
        <w:t>BC84</w:t>
      </w:r>
      <w:r w:rsidR="00DA0E8F" w:rsidRPr="00BE0C02">
        <w:rPr>
          <w:rStyle w:val="sub-title2"/>
          <w:color w:val="000000"/>
          <w:kern w:val="36"/>
          <w:sz w:val="19"/>
          <w:lang w:val="en-GB"/>
        </w:rPr>
        <w:fldChar w:fldCharType="end"/>
      </w:r>
      <w:r w:rsidR="00E20B08" w:rsidRPr="00BE0C02">
        <w:rPr>
          <w:rStyle w:val="sub-title2"/>
          <w:color w:val="000000"/>
          <w:kern w:val="36"/>
          <w:sz w:val="19"/>
          <w:lang w:val="en-GB"/>
          <w:specVanish w:val="0"/>
        </w:rPr>
        <w:t xml:space="preserve">, </w:t>
      </w:r>
      <w:r w:rsidR="00E20B08" w:rsidRPr="00BE0C02">
        <w:rPr>
          <w:rStyle w:val="sub-title2"/>
          <w:color w:val="000000"/>
          <w:kern w:val="36"/>
          <w:sz w:val="19"/>
          <w:szCs w:val="19"/>
          <w:lang w:val="en-GB"/>
          <w:specVanish w:val="0"/>
        </w:rPr>
        <w:fldChar w:fldCharType="begin"/>
      </w:r>
      <w:r w:rsidR="00E20B08" w:rsidRPr="00BE0C02">
        <w:rPr>
          <w:rStyle w:val="sub-title2"/>
          <w:color w:val="000000"/>
          <w:kern w:val="36"/>
          <w:sz w:val="19"/>
          <w:szCs w:val="19"/>
          <w:lang w:val="en-GB"/>
          <w:specVanish w:val="0"/>
        </w:rPr>
        <w:instrText xml:space="preserve"> REF _Ref14982183 \r \h </w:instrText>
      </w:r>
      <w:r w:rsidR="00BE0C02">
        <w:rPr>
          <w:rStyle w:val="sub-title2"/>
          <w:color w:val="000000"/>
          <w:kern w:val="36"/>
          <w:sz w:val="19"/>
          <w:szCs w:val="19"/>
          <w:lang w:val="en-GB"/>
          <w:specVanish w:val="0"/>
        </w:rPr>
        <w:instrText xml:space="preserve"> \* MERGEFORMAT </w:instrText>
      </w:r>
      <w:r w:rsidR="00E20B08" w:rsidRPr="00BE0C02">
        <w:rPr>
          <w:rStyle w:val="sub-title2"/>
          <w:color w:val="000000"/>
          <w:kern w:val="36"/>
          <w:sz w:val="19"/>
          <w:szCs w:val="19"/>
          <w:lang w:val="en-GB"/>
        </w:rPr>
      </w:r>
      <w:r w:rsidR="00E20B08" w:rsidRPr="00BE0C02">
        <w:rPr>
          <w:rStyle w:val="sub-title2"/>
          <w:color w:val="000000"/>
          <w:kern w:val="36"/>
          <w:sz w:val="19"/>
          <w:szCs w:val="19"/>
          <w:lang w:val="en-GB"/>
          <w:specVanish w:val="0"/>
        </w:rPr>
        <w:fldChar w:fldCharType="separate"/>
      </w:r>
      <w:r w:rsidR="00E354C4">
        <w:rPr>
          <w:rStyle w:val="sub-title2"/>
          <w:color w:val="000000"/>
          <w:kern w:val="36"/>
          <w:sz w:val="19"/>
          <w:szCs w:val="19"/>
          <w:lang w:val="en-GB"/>
          <w:specVanish w:val="0"/>
        </w:rPr>
        <w:t>BC103</w:t>
      </w:r>
      <w:r w:rsidR="00E20B08" w:rsidRPr="00BE0C02">
        <w:rPr>
          <w:rStyle w:val="sub-title2"/>
          <w:color w:val="000000"/>
          <w:kern w:val="36"/>
          <w:sz w:val="19"/>
          <w:szCs w:val="19"/>
          <w:lang w:val="en-GB"/>
        </w:rPr>
        <w:fldChar w:fldCharType="end"/>
      </w:r>
      <w:r w:rsidR="00E20B08" w:rsidRPr="00BE0C02">
        <w:rPr>
          <w:rStyle w:val="sub-title2"/>
          <w:color w:val="000000"/>
          <w:kern w:val="36"/>
          <w:sz w:val="19"/>
          <w:lang w:val="en-GB"/>
          <w:specVanish w:val="0"/>
        </w:rPr>
        <w:t xml:space="preserve"> and </w:t>
      </w:r>
      <w:r w:rsidR="00E20B08" w:rsidRPr="00BE0C02">
        <w:rPr>
          <w:rStyle w:val="sub-title2"/>
          <w:color w:val="000000"/>
          <w:kern w:val="36"/>
          <w:sz w:val="19"/>
          <w:szCs w:val="19"/>
          <w:lang w:val="en-GB"/>
          <w:specVanish w:val="0"/>
        </w:rPr>
        <w:fldChar w:fldCharType="begin"/>
      </w:r>
      <w:r w:rsidR="00E20B08" w:rsidRPr="00BE0C02">
        <w:rPr>
          <w:rStyle w:val="sub-title2"/>
          <w:color w:val="000000"/>
          <w:kern w:val="36"/>
          <w:sz w:val="19"/>
          <w:lang w:val="en-GB"/>
          <w:specVanish w:val="0"/>
        </w:rPr>
        <w:instrText xml:space="preserve"> REF _Ref14982187 \r \h </w:instrText>
      </w:r>
      <w:r w:rsidR="00BE0C02">
        <w:rPr>
          <w:rStyle w:val="sub-title2"/>
          <w:color w:val="000000"/>
          <w:kern w:val="36"/>
          <w:sz w:val="19"/>
          <w:szCs w:val="19"/>
          <w:lang w:val="en-GB"/>
          <w:specVanish w:val="0"/>
        </w:rPr>
        <w:instrText xml:space="preserve"> \* MERGEFORMAT </w:instrText>
      </w:r>
      <w:r w:rsidR="00E20B08" w:rsidRPr="00BE0C02">
        <w:rPr>
          <w:rStyle w:val="sub-title2"/>
          <w:color w:val="000000"/>
          <w:kern w:val="36"/>
          <w:sz w:val="19"/>
          <w:szCs w:val="19"/>
          <w:lang w:val="en-GB"/>
        </w:rPr>
      </w:r>
      <w:r w:rsidR="00E20B08" w:rsidRPr="00BE0C02">
        <w:rPr>
          <w:rStyle w:val="sub-title2"/>
          <w:color w:val="000000"/>
          <w:kern w:val="36"/>
          <w:sz w:val="19"/>
          <w:szCs w:val="19"/>
          <w:lang w:val="en-GB"/>
          <w:specVanish w:val="0"/>
        </w:rPr>
        <w:fldChar w:fldCharType="separate"/>
      </w:r>
      <w:r w:rsidR="00E354C4">
        <w:rPr>
          <w:rStyle w:val="sub-title2"/>
          <w:color w:val="000000"/>
          <w:kern w:val="36"/>
          <w:sz w:val="19"/>
          <w:lang w:val="en-GB"/>
          <w:specVanish w:val="0"/>
        </w:rPr>
        <w:t>BC106</w:t>
      </w:r>
      <w:r w:rsidR="00E20B08" w:rsidRPr="00BE0C02">
        <w:rPr>
          <w:rStyle w:val="sub-title2"/>
          <w:color w:val="000000"/>
          <w:kern w:val="36"/>
          <w:sz w:val="19"/>
          <w:szCs w:val="19"/>
          <w:lang w:val="en-GB"/>
        </w:rPr>
        <w:fldChar w:fldCharType="end"/>
      </w:r>
      <w:r w:rsidR="00E20B08" w:rsidRPr="00BE0C02">
        <w:rPr>
          <w:rStyle w:val="sub-title2"/>
          <w:color w:val="000000"/>
          <w:kern w:val="36"/>
          <w:sz w:val="19"/>
          <w:lang w:val="en-GB"/>
          <w:specVanish w:val="0"/>
        </w:rPr>
        <w:t xml:space="preserve"> for additional discussion.</w:t>
      </w:r>
    </w:p>
    <w:p w14:paraId="36AAC812" w14:textId="6AE55CFE" w:rsidR="00CD22B9" w:rsidRPr="00BE0C02" w:rsidRDefault="00CD22B9" w:rsidP="007E6349">
      <w:pPr>
        <w:pStyle w:val="NumBC1"/>
        <w:numPr>
          <w:ilvl w:val="0"/>
          <w:numId w:val="27"/>
        </w:numPr>
        <w:ind w:left="782" w:hanging="782"/>
      </w:pPr>
      <w:bookmarkStart w:id="80" w:name="_Ref14983747"/>
      <w:r w:rsidRPr="00BE0C02">
        <w:t>The Board conducted research</w:t>
      </w:r>
      <w:r w:rsidR="00E62BEA" w:rsidRPr="00BE0C02">
        <w:rPr>
          <w:rStyle w:val="FootnoteReference"/>
        </w:rPr>
        <w:footnoteReference w:id="32"/>
      </w:r>
      <w:r w:rsidRPr="00BE0C02">
        <w:t xml:space="preserve"> into the number and types of </w:t>
      </w:r>
      <w:r w:rsidR="001453E2" w:rsidRPr="00BE0C02">
        <w:t xml:space="preserve">specified </w:t>
      </w:r>
      <w:r w:rsidRPr="00BE0C02">
        <w:t xml:space="preserve">for-profit entities lodging financial statements with ASIC and concluded there were approximately 12,797 </w:t>
      </w:r>
      <w:r w:rsidR="001453E2" w:rsidRPr="00BE0C02">
        <w:t xml:space="preserve">specified </w:t>
      </w:r>
      <w:r w:rsidRPr="00BE0C02">
        <w:t>for-profit entities lodging financial reports. This is based on the latest lodgements by all filing entities as at 30 July 2018, which was before the thresholds for large proprietary companies were doubled. Of these 12</w:t>
      </w:r>
      <w:r w:rsidR="00F02FF2" w:rsidRPr="00BE0C02">
        <w:t>,</w:t>
      </w:r>
      <w:r w:rsidR="00566C7A" w:rsidRPr="00BE0C02">
        <w:t>797</w:t>
      </w:r>
      <w:r w:rsidRPr="00BE0C02">
        <w:t xml:space="preserve"> entities, 6,7</w:t>
      </w:r>
      <w:r w:rsidR="00566C7A" w:rsidRPr="00BE0C02">
        <w:t>63</w:t>
      </w:r>
      <w:r w:rsidRPr="00BE0C02">
        <w:t xml:space="preserve"> were large proprietary companies,</w:t>
      </w:r>
      <w:r w:rsidRPr="00BE0C02">
        <w:rPr>
          <w:rStyle w:val="FootnoteReference"/>
        </w:rPr>
        <w:footnoteReference w:id="33"/>
      </w:r>
      <w:r w:rsidRPr="00BE0C02">
        <w:t xml:space="preserve"> 3,102 were unlisted public companies and 2,932 were small proprietary companies controlled by a foreign company.</w:t>
      </w:r>
      <w:bookmarkEnd w:id="76"/>
      <w:r w:rsidRPr="00BE0C02">
        <w:t xml:space="preserve"> Subsequent to the revision of the large proprietary thresholds, the Board expects there are approximately </w:t>
      </w:r>
      <w:r w:rsidR="00837169" w:rsidRPr="00BE0C02">
        <w:t>10</w:t>
      </w:r>
      <w:r w:rsidR="00E04CC8" w:rsidRPr="00BE0C02">
        <w:t>,</w:t>
      </w:r>
      <w:r w:rsidR="000F6A38" w:rsidRPr="00BE0C02">
        <w:t>5</w:t>
      </w:r>
      <w:r w:rsidR="00837169" w:rsidRPr="00BE0C02">
        <w:t xml:space="preserve">00 </w:t>
      </w:r>
      <w:r w:rsidR="001453E2" w:rsidRPr="00BE0C02">
        <w:t xml:space="preserve">specified </w:t>
      </w:r>
      <w:r w:rsidRPr="00BE0C02">
        <w:t>for-profit entities that would be required to publicly lodge financial statements with ASIC.</w:t>
      </w:r>
      <w:r w:rsidR="00DF3A98" w:rsidRPr="00BE0C02">
        <w:t xml:space="preserve"> </w:t>
      </w:r>
      <w:bookmarkEnd w:id="77"/>
      <w:bookmarkEnd w:id="78"/>
      <w:bookmarkEnd w:id="80"/>
      <w:r w:rsidR="007B6022" w:rsidRPr="00BE0C02">
        <w:t xml:space="preserve">However, the Board was not able to obtain data on the number of other for-profit private sector entities that would be required to prepare financial statement in accordance with other types of legislation. </w:t>
      </w:r>
    </w:p>
    <w:p w14:paraId="36CD33AC" w14:textId="6298D367" w:rsidR="00CD22B9" w:rsidRPr="00BE0C02" w:rsidRDefault="002F108A" w:rsidP="00267FDF">
      <w:pPr>
        <w:pStyle w:val="Heading4"/>
        <w:spacing w:before="200"/>
      </w:pPr>
      <w:r w:rsidRPr="00BE0C02">
        <w:rPr>
          <w:iCs w:val="0"/>
        </w:rPr>
        <w:t xml:space="preserve">Not-for-profit </w:t>
      </w:r>
      <w:r w:rsidR="004A3A61" w:rsidRPr="00BE0C02">
        <w:rPr>
          <w:iCs w:val="0"/>
        </w:rPr>
        <w:t xml:space="preserve">private sector </w:t>
      </w:r>
      <w:r w:rsidRPr="00BE0C02">
        <w:rPr>
          <w:iCs w:val="0"/>
        </w:rPr>
        <w:t>entities</w:t>
      </w:r>
    </w:p>
    <w:p w14:paraId="79441CE8" w14:textId="7E6ED1AD" w:rsidR="00CD22B9" w:rsidRPr="00BE0C02" w:rsidRDefault="00CD22B9" w:rsidP="007E6349">
      <w:pPr>
        <w:pStyle w:val="NumBC1"/>
        <w:numPr>
          <w:ilvl w:val="0"/>
          <w:numId w:val="27"/>
        </w:numPr>
        <w:ind w:left="782" w:hanging="782"/>
      </w:pPr>
      <w:bookmarkStart w:id="81" w:name="_Ref15392909"/>
      <w:r w:rsidRPr="00BE0C02">
        <w:t xml:space="preserve">As noted in paragraph </w:t>
      </w:r>
      <w:r w:rsidR="009010D3" w:rsidRPr="00BE0C02">
        <w:fldChar w:fldCharType="begin"/>
      </w:r>
      <w:r w:rsidR="009010D3" w:rsidRPr="00BE0C02">
        <w:instrText xml:space="preserve"> REF _Ref14937265 \r \h </w:instrText>
      </w:r>
      <w:r w:rsidR="00BE0C02">
        <w:instrText xml:space="preserve"> \* MERGEFORMAT </w:instrText>
      </w:r>
      <w:r w:rsidR="009010D3" w:rsidRPr="00BE0C02">
        <w:fldChar w:fldCharType="separate"/>
      </w:r>
      <w:r w:rsidR="00E354C4">
        <w:t>BC55</w:t>
      </w:r>
      <w:r w:rsidR="009010D3" w:rsidRPr="00BE0C02">
        <w:fldChar w:fldCharType="end"/>
      </w:r>
      <w:r w:rsidRPr="00BE0C02">
        <w:t xml:space="preserve">, the Board decided this </w:t>
      </w:r>
      <w:r w:rsidR="00BF631D" w:rsidRPr="00BE0C02">
        <w:t xml:space="preserve">Standard </w:t>
      </w:r>
      <w:r w:rsidRPr="00BE0C02">
        <w:t>should apply only to for-profit private sector entities and that separate later consideration of the NFP private sector was needed for the following reasons:</w:t>
      </w:r>
      <w:bookmarkEnd w:id="81"/>
    </w:p>
    <w:p w14:paraId="4515EA44" w14:textId="42E99F78" w:rsidR="00CD22B9" w:rsidRPr="00BE0C02" w:rsidRDefault="00CD22B9" w:rsidP="007E6349">
      <w:pPr>
        <w:pStyle w:val="NumBC2"/>
        <w:numPr>
          <w:ilvl w:val="1"/>
          <w:numId w:val="41"/>
        </w:numPr>
        <w:ind w:left="1564" w:hanging="782"/>
      </w:pPr>
      <w:r w:rsidRPr="00BE0C02">
        <w:t xml:space="preserve">the removal of SPFS would have a significantly greater impact on the NFP private sector compared with the for-profit private sector. Of those NFP private sector entities that are required to prepare financial statements and lodge them with the ACNC, </w:t>
      </w:r>
      <w:r w:rsidR="00F94621" w:rsidRPr="00BE0C02">
        <w:t>res</w:t>
      </w:r>
      <w:r w:rsidR="00305897" w:rsidRPr="00BE0C02">
        <w:t>e</w:t>
      </w:r>
      <w:r w:rsidR="00F94621" w:rsidRPr="00BE0C02">
        <w:t>arch</w:t>
      </w:r>
      <w:r w:rsidRPr="00BE0C02">
        <w:rPr>
          <w:i/>
        </w:rPr>
        <w:t xml:space="preserve"> </w:t>
      </w:r>
      <w:r w:rsidRPr="00BE0C02">
        <w:t xml:space="preserve">estimates that </w:t>
      </w:r>
      <w:r w:rsidR="0071631B" w:rsidRPr="00BE0C02">
        <w:t xml:space="preserve">of the 36% of large and medium charities preparing and lodging SPFS with the ACNC, </w:t>
      </w:r>
      <w:r w:rsidRPr="00BE0C02">
        <w:t>only a small portion (</w:t>
      </w:r>
      <w:r w:rsidR="009010D3" w:rsidRPr="00BE0C02">
        <w:t>2</w:t>
      </w:r>
      <w:r w:rsidRPr="00BE0C02">
        <w:t>6%)</w:t>
      </w:r>
      <w:r w:rsidR="00B84521" w:rsidRPr="00BE0C02">
        <w:rPr>
          <w:rStyle w:val="FootnoteReference"/>
        </w:rPr>
        <w:footnoteReference w:id="34"/>
      </w:r>
      <w:r w:rsidRPr="00BE0C02">
        <w:t xml:space="preserve"> are complying with the R&amp;M requirements in AAS as compared to approximately 76% of </w:t>
      </w:r>
      <w:r w:rsidR="001453E2" w:rsidRPr="00BE0C02">
        <w:t xml:space="preserve">specified </w:t>
      </w:r>
      <w:r w:rsidRPr="00BE0C02">
        <w:t xml:space="preserve">for-profit private sector entities lodging financial statements with ASIC (see paragraph </w:t>
      </w:r>
      <w:r w:rsidRPr="00BE0C02">
        <w:fldChar w:fldCharType="begin"/>
      </w:r>
      <w:r w:rsidRPr="00BE0C02">
        <w:instrText xml:space="preserve"> REF _Ref9857719 \r \h </w:instrText>
      </w:r>
      <w:r w:rsidR="00BE0C02">
        <w:instrText xml:space="preserve"> \* MERGEFORMAT </w:instrText>
      </w:r>
      <w:r w:rsidRPr="00BE0C02">
        <w:fldChar w:fldCharType="separate"/>
      </w:r>
      <w:r w:rsidR="00E354C4">
        <w:t>BC20</w:t>
      </w:r>
      <w:r w:rsidRPr="00BE0C02">
        <w:fldChar w:fldCharType="end"/>
      </w:r>
      <w:r w:rsidRPr="00BE0C02">
        <w:t xml:space="preserve">). The substantially lower level of compliance in the NFP private sector would result in a much larger proportion of the NFP private sector reporting population being impacted by the proposals compared with the for-profit private sector; </w:t>
      </w:r>
    </w:p>
    <w:p w14:paraId="74C90173" w14:textId="06F15571" w:rsidR="00CD22B9" w:rsidRPr="00BE0C02" w:rsidRDefault="001453E2" w:rsidP="007E6349">
      <w:pPr>
        <w:pStyle w:val="NumBC2"/>
        <w:numPr>
          <w:ilvl w:val="1"/>
          <w:numId w:val="41"/>
        </w:numPr>
        <w:ind w:left="1564" w:hanging="782"/>
      </w:pPr>
      <w:r w:rsidRPr="00BE0C02">
        <w:t xml:space="preserve">specified </w:t>
      </w:r>
      <w:r w:rsidR="00CD22B9" w:rsidRPr="00BE0C02">
        <w:t xml:space="preserve">for-profit private sector entities that are required to prepare financial statements that comply with AAS have greater levels of economic significance, size and resources compared to NFP private sector entities. Proportionately, </w:t>
      </w:r>
      <w:r w:rsidRPr="00BE0C02">
        <w:t>specified</w:t>
      </w:r>
      <w:r w:rsidR="00CD22B9" w:rsidRPr="00BE0C02">
        <w:t xml:space="preserve"> for-profit private sector entities are a significantly smaller number (less than 1.</w:t>
      </w:r>
      <w:r w:rsidR="00566C7A" w:rsidRPr="00BE0C02">
        <w:t>5</w:t>
      </w:r>
      <w:r w:rsidR="00CD22B9" w:rsidRPr="00BE0C02">
        <w:t xml:space="preserve">% of the population of trading entities are required to prepare financial statements in accordance with AAS – see paragraph </w:t>
      </w:r>
      <w:r w:rsidR="00CD22B9" w:rsidRPr="00BE0C02">
        <w:fldChar w:fldCharType="begin"/>
      </w:r>
      <w:r w:rsidR="00CD22B9" w:rsidRPr="00BE0C02">
        <w:instrText xml:space="preserve"> REF _Ref9865892 \r \h </w:instrText>
      </w:r>
      <w:r w:rsidR="00BE0C02">
        <w:instrText xml:space="preserve"> \* MERGEFORMAT </w:instrText>
      </w:r>
      <w:r w:rsidR="00CD22B9" w:rsidRPr="00BE0C02">
        <w:fldChar w:fldCharType="separate"/>
      </w:r>
      <w:r w:rsidR="00E354C4">
        <w:t>BC101</w:t>
      </w:r>
      <w:r w:rsidR="00CD22B9" w:rsidRPr="00BE0C02">
        <w:fldChar w:fldCharType="end"/>
      </w:r>
      <w:r w:rsidR="00CD22B9" w:rsidRPr="00BE0C02">
        <w:t xml:space="preserve"> for more details), whereas approximately 33% of charities (15,</w:t>
      </w:r>
      <w:r w:rsidR="00730C80" w:rsidRPr="00BE0C02">
        <w:t>828</w:t>
      </w:r>
      <w:r w:rsidR="00CD22B9" w:rsidRPr="00BE0C02">
        <w:t xml:space="preserve"> large and medium charities out of a total of 4</w:t>
      </w:r>
      <w:r w:rsidR="00730C80" w:rsidRPr="00BE0C02">
        <w:t>7,125</w:t>
      </w:r>
      <w:r w:rsidR="00CD22B9" w:rsidRPr="00BE0C02">
        <w:t xml:space="preserve"> charities registered with ACNC)</w:t>
      </w:r>
      <w:r w:rsidR="00CD22B9" w:rsidRPr="00BE0C02">
        <w:rPr>
          <w:rStyle w:val="FootnoteReference"/>
        </w:rPr>
        <w:footnoteReference w:id="35"/>
      </w:r>
      <w:r w:rsidR="00CD22B9" w:rsidRPr="00BE0C02">
        <w:t xml:space="preserve"> are required to prepare financial statements in accordance with AAS. Due to the differences in characteristics, the Board consider it more appropriate to consider </w:t>
      </w:r>
      <w:r w:rsidR="00CD22B9" w:rsidRPr="00BE0C02">
        <w:lastRenderedPageBreak/>
        <w:t>the merits of a third tier of general purpose financial reporting for the NFP sector, as part of a separate project; and</w:t>
      </w:r>
    </w:p>
    <w:p w14:paraId="5E49954F" w14:textId="26D1E418" w:rsidR="00CD22B9" w:rsidRPr="00BE0C02" w:rsidRDefault="00CD22B9" w:rsidP="007E6349">
      <w:pPr>
        <w:pStyle w:val="NumBC2"/>
        <w:numPr>
          <w:ilvl w:val="1"/>
          <w:numId w:val="41"/>
        </w:numPr>
        <w:ind w:left="1564" w:hanging="782"/>
      </w:pPr>
      <w:r w:rsidRPr="00BE0C02">
        <w:t xml:space="preserve">the </w:t>
      </w:r>
      <w:r w:rsidR="007B6022" w:rsidRPr="00BE0C02">
        <w:t xml:space="preserve">unpublished </w:t>
      </w:r>
      <w:r w:rsidRPr="00BE0C02">
        <w:t xml:space="preserve">Government </w:t>
      </w:r>
      <w:r w:rsidR="007B6022" w:rsidRPr="00BE0C02">
        <w:t xml:space="preserve">(at the time of issuing this Standard) </w:t>
      </w:r>
      <w:r w:rsidRPr="00BE0C02">
        <w:t xml:space="preserve">response to the ACNC legislative review which outlined the potential for change in reporting thresholds and obligations for affected entities. To proceed with NFP private sector financial reporting reform could be burdensome for certain NFP entities if the AASB </w:t>
      </w:r>
      <w:r w:rsidR="00915E7E" w:rsidRPr="00BE0C02">
        <w:t>would</w:t>
      </w:r>
      <w:r w:rsidRPr="00BE0C02">
        <w:t xml:space="preserve"> require them to comply with the R&amp;M requirements in AAS, but the ACNC subsequently relieved them of any financial reporting obligations once the ACNC legislative review is finalised.</w:t>
      </w:r>
    </w:p>
    <w:p w14:paraId="47F1CD58" w14:textId="009F2260" w:rsidR="00CD22B9" w:rsidRPr="00BE0C02" w:rsidRDefault="00CD22B9" w:rsidP="007E6349">
      <w:pPr>
        <w:pStyle w:val="NumBC1"/>
        <w:numPr>
          <w:ilvl w:val="0"/>
          <w:numId w:val="27"/>
        </w:numPr>
        <w:ind w:left="782" w:hanging="782"/>
      </w:pPr>
      <w:bookmarkStart w:id="82" w:name="_Ref16629856"/>
      <w:r w:rsidRPr="00BE0C02">
        <w:t>Some respondents to ITC 39 were concerned about the NFP private sector being delayed and felt that the AASB should either prioritise the NFP private sector financial reporting framework reform, or should continue to work on it concurrently with the for-profit private sector financial reporting framework reform. The basis of those respondents’ concerns were mixed. Some were concerned that considering the for-profit and NFP financial reporting frameworks separately was not consistent with the objective of transaction neutrality and that the Board would develop different reporting requirements for the NFP sector compared with the for-profit private sector, which would decrease comparability and consistency of financial reports. Others were concerned the NFP private sector has specific needs that should be considered in advance or else a framework may be imposed on the NFP private sector that is fit for purpose in the for-profit private sector but not in the NFP private sector.</w:t>
      </w:r>
      <w:bookmarkEnd w:id="82"/>
    </w:p>
    <w:p w14:paraId="225F740D" w14:textId="14F5A97B" w:rsidR="00CD22B9" w:rsidRPr="00BE0C02" w:rsidRDefault="00CD22B9" w:rsidP="007E6349">
      <w:pPr>
        <w:pStyle w:val="NumBC1"/>
        <w:numPr>
          <w:ilvl w:val="0"/>
          <w:numId w:val="27"/>
        </w:numPr>
        <w:ind w:left="782" w:hanging="782"/>
      </w:pPr>
      <w:bookmarkStart w:id="83" w:name="_Ref15392917"/>
      <w:r w:rsidRPr="00BE0C02">
        <w:t xml:space="preserve">The Board considered this feedback and noted that </w:t>
      </w:r>
      <w:r w:rsidRPr="00BE0C02">
        <w:rPr>
          <w:i/>
        </w:rPr>
        <w:t>The AASB’s Not-for-Profit Entity Standard-Setting Framework</w:t>
      </w:r>
      <w:r w:rsidRPr="00BE0C02">
        <w:t xml:space="preserve"> provides for NFP sector specific modifications where justifiable. For this reason, notwithstanding the outcomes in the for-profit private sector, a thorough consideration of their appropriateness in accordance with </w:t>
      </w:r>
      <w:r w:rsidRPr="00BE0C02">
        <w:rPr>
          <w:i/>
        </w:rPr>
        <w:t>The AASB’s Not-for-Profit Entity Standard-Setting Framework</w:t>
      </w:r>
      <w:r w:rsidRPr="00BE0C02">
        <w:t xml:space="preserve"> would be required, and if the for-profit financial reporting framework was determined not to be suitable for NFP entities, the for-profit proposals would be modified as needed. This assessment would be required, even if the for-profit and NFP reforms were undertaken concurrently.</w:t>
      </w:r>
      <w:bookmarkEnd w:id="83"/>
    </w:p>
    <w:p w14:paraId="42F3CA59" w14:textId="77777777" w:rsidR="00CD22B9" w:rsidRPr="00BE0C02" w:rsidRDefault="00CD22B9" w:rsidP="00267FDF">
      <w:pPr>
        <w:pStyle w:val="Heading4"/>
        <w:spacing w:before="200"/>
      </w:pPr>
      <w:r w:rsidRPr="00BE0C02">
        <w:t xml:space="preserve">Legislative references to AAS and the meaning of True and Fair </w:t>
      </w:r>
    </w:p>
    <w:p w14:paraId="1DA697F1" w14:textId="4EDEE77C" w:rsidR="00CD22B9" w:rsidRPr="00BE0C02" w:rsidRDefault="00CD22B9" w:rsidP="007E6349">
      <w:pPr>
        <w:pStyle w:val="NumBC1"/>
        <w:numPr>
          <w:ilvl w:val="0"/>
          <w:numId w:val="27"/>
        </w:numPr>
        <w:ind w:left="782" w:hanging="782"/>
      </w:pPr>
      <w:bookmarkStart w:id="84" w:name="_Ref14936441"/>
      <w:r w:rsidRPr="00BE0C02">
        <w:t xml:space="preserve">The Board also conducted research (AASB Research Report No. 10 </w:t>
      </w:r>
      <w:r w:rsidRPr="00BE0C02">
        <w:rPr>
          <w:i/>
        </w:rPr>
        <w:t xml:space="preserve">Legislative and Regulatory Financial Reporting Requirements </w:t>
      </w:r>
      <w:r w:rsidRPr="00BE0C02">
        <w:t>(</w:t>
      </w:r>
      <w:r w:rsidR="00A63DBE" w:rsidRPr="00BE0C02">
        <w:t xml:space="preserve">September </w:t>
      </w:r>
      <w:r w:rsidRPr="00BE0C02">
        <w:t xml:space="preserve">2019)) to identify those entities with financial reporting obligations under Federal and State/Territory legislation. The research grouped the identified financial reporting obligations into different categories, based on the nature of the financial reporting requirement (for example a requirement to prepare financial statements according to AASB accounting standards was categorised separately from a requirement to prepare financial information in accordance with AASB accounting standards, which would not require preparation of a complete set of financial statements as defined in paragraph 10 of AASB 101. This research was then used to determine which categories of for-profit private sector entities should be within the scope of this </w:t>
      </w:r>
      <w:r w:rsidR="009843C4" w:rsidRPr="00BE0C02">
        <w:t>Standard</w:t>
      </w:r>
      <w:r w:rsidRPr="00BE0C02">
        <w:t>.</w:t>
      </w:r>
      <w:bookmarkEnd w:id="84"/>
      <w:r w:rsidRPr="00BE0C02">
        <w:t xml:space="preserve"> </w:t>
      </w:r>
    </w:p>
    <w:p w14:paraId="1B1FC9B3" w14:textId="63283AFE" w:rsidR="00CD22B9" w:rsidRPr="00BE0C02" w:rsidRDefault="00CD22B9" w:rsidP="007E6349">
      <w:pPr>
        <w:pStyle w:val="NumBC1"/>
        <w:numPr>
          <w:ilvl w:val="0"/>
          <w:numId w:val="27"/>
        </w:numPr>
        <w:ind w:left="782" w:hanging="782"/>
      </w:pPr>
      <w:bookmarkStart w:id="85" w:name="_Ref16598830"/>
      <w:bookmarkStart w:id="86" w:name="_Ref14936445"/>
      <w:r w:rsidRPr="00BE0C02">
        <w:t xml:space="preserve">In particular, the Board considered whether entities that are required by legislation to prepare financial statements that give a true and fair view without reference to compliance with AAS at the same time (for example small co-operatives and entities reporting under state and territory gaming legislation) should be affected by </w:t>
      </w:r>
      <w:r w:rsidR="00057694" w:rsidRPr="00BE0C02">
        <w:t>this Standard</w:t>
      </w:r>
      <w:r w:rsidRPr="00BE0C02">
        <w:t xml:space="preserve">. The Board noted the </w:t>
      </w:r>
      <w:r w:rsidRPr="00BE0C02">
        <w:rPr>
          <w:i/>
        </w:rPr>
        <w:t>Corporations Act 2001</w:t>
      </w:r>
      <w:r w:rsidRPr="00BE0C02">
        <w:t xml:space="preserve"> envisages compliance with the accounting standards might not necessarily result in financial statements that provide a true and fair view. In addition, the UK Financial Reporting Council paper </w:t>
      </w:r>
      <w:r w:rsidRPr="00BE0C02">
        <w:rPr>
          <w:i/>
          <w:iCs/>
        </w:rPr>
        <w:t>True and Fair</w:t>
      </w:r>
      <w:r w:rsidRPr="00BE0C02">
        <w:t xml:space="preserve"> from June 2014 confirmed the primacy of the true and fair requirement above compliance with accounting standards. Following consultation with other regulators responsible for the legislation referring to true and fair, </w:t>
      </w:r>
      <w:r w:rsidRPr="00BE0C02">
        <w:rPr>
          <w:szCs w:val="19"/>
        </w:rPr>
        <w:t>the Board considered that</w:t>
      </w:r>
      <w:r w:rsidR="00CB43B5" w:rsidRPr="00BE0C02">
        <w:rPr>
          <w:szCs w:val="19"/>
        </w:rPr>
        <w:t>, at this time,</w:t>
      </w:r>
      <w:r w:rsidRPr="00BE0C02">
        <w:rPr>
          <w:szCs w:val="19"/>
        </w:rPr>
        <w:t xml:space="preserve"> it </w:t>
      </w:r>
      <w:r w:rsidRPr="00BE0C02">
        <w:t xml:space="preserve">should be a matter for each regulator to decide as to how to interpret the relevant legislation in relation to ‘true and fair view’ and noted that to require compliance with AAS whenever legislation required entities to give a true and fair view could possibly have significant unforeseen consequences. Accordingly, the Board decided the application paragraphs of AAS </w:t>
      </w:r>
      <w:r w:rsidR="0027212B" w:rsidRPr="00BE0C02">
        <w:t>in this Standard</w:t>
      </w:r>
      <w:r w:rsidRPr="00BE0C02">
        <w:t xml:space="preserve"> should not explicitly refer to true and fair</w:t>
      </w:r>
      <w:r w:rsidR="00127F0A" w:rsidRPr="00BE0C02">
        <w:t xml:space="preserve"> at this time</w:t>
      </w:r>
      <w:bookmarkEnd w:id="85"/>
      <w:r w:rsidR="00C45EF0" w:rsidRPr="00BE0C02">
        <w:t xml:space="preserve"> (see </w:t>
      </w:r>
      <w:r w:rsidR="00707FBD" w:rsidRPr="00BE0C02">
        <w:t xml:space="preserve">category </w:t>
      </w:r>
      <w:r w:rsidR="00C45EF0" w:rsidRPr="00BE0C02">
        <w:t xml:space="preserve">5) in the Summary of scope table </w:t>
      </w:r>
      <w:bookmarkEnd w:id="86"/>
      <w:r w:rsidR="00DA0E8F" w:rsidRPr="00BE0C02">
        <w:t xml:space="preserve">in paragraph </w:t>
      </w:r>
      <w:r w:rsidR="00DA0E8F" w:rsidRPr="00BE0C02">
        <w:fldChar w:fldCharType="begin"/>
      </w:r>
      <w:r w:rsidR="00DA0E8F" w:rsidRPr="00BE0C02">
        <w:instrText xml:space="preserve"> REF _Ref16629258 \r \h </w:instrText>
      </w:r>
      <w:r w:rsidR="00BE0C02">
        <w:instrText xml:space="preserve"> \* MERGEFORMAT </w:instrText>
      </w:r>
      <w:r w:rsidR="00DA0E8F" w:rsidRPr="00BE0C02">
        <w:fldChar w:fldCharType="separate"/>
      </w:r>
      <w:r w:rsidR="00E354C4">
        <w:t>BC93</w:t>
      </w:r>
      <w:r w:rsidR="00DA0E8F" w:rsidRPr="00BE0C02">
        <w:fldChar w:fldCharType="end"/>
      </w:r>
      <w:r w:rsidR="00DA0E8F" w:rsidRPr="00BE0C02">
        <w:t xml:space="preserve"> </w:t>
      </w:r>
      <w:r w:rsidR="00C45EF0" w:rsidRPr="00BE0C02">
        <w:t>below)</w:t>
      </w:r>
      <w:r w:rsidRPr="00BE0C02">
        <w:t>.</w:t>
      </w:r>
    </w:p>
    <w:p w14:paraId="2D89A701" w14:textId="6096A07B" w:rsidR="00CD22B9" w:rsidRPr="00BE0C02" w:rsidRDefault="00CD22B9" w:rsidP="007E6349">
      <w:pPr>
        <w:pStyle w:val="NumBC1"/>
        <w:numPr>
          <w:ilvl w:val="0"/>
          <w:numId w:val="27"/>
        </w:numPr>
        <w:ind w:left="782" w:hanging="782"/>
      </w:pPr>
      <w:bookmarkStart w:id="87" w:name="_Ref14982289"/>
      <w:r w:rsidRPr="00BE0C02">
        <w:t xml:space="preserve">The Board also decided that </w:t>
      </w:r>
      <w:r w:rsidR="0071631B" w:rsidRPr="00BE0C02">
        <w:t xml:space="preserve">for-profit </w:t>
      </w:r>
      <w:r w:rsidRPr="00BE0C02">
        <w:t xml:space="preserve">private sector entities that are required under legislation to prepare financial information in accordance with AASB accounting standards (ie of which a complete set of financial statements under paragraph 10 of AASB 101 is not required) would not be within the scope of </w:t>
      </w:r>
      <w:r w:rsidR="00057694" w:rsidRPr="00BE0C02">
        <w:t xml:space="preserve">this Standard </w:t>
      </w:r>
      <w:r w:rsidR="000F5904" w:rsidRPr="00BE0C02">
        <w:t>(see</w:t>
      </w:r>
      <w:r w:rsidR="00707FBD" w:rsidRPr="00BE0C02">
        <w:t xml:space="preserve"> category</w:t>
      </w:r>
      <w:r w:rsidR="000F5904" w:rsidRPr="00BE0C02">
        <w:t xml:space="preserve"> 5 in the Summary of scope table </w:t>
      </w:r>
      <w:bookmarkEnd w:id="87"/>
      <w:r w:rsidR="00DA0E8F" w:rsidRPr="00BE0C02">
        <w:t xml:space="preserve">in paragraph </w:t>
      </w:r>
      <w:r w:rsidR="00DA0E8F" w:rsidRPr="00BE0C02">
        <w:fldChar w:fldCharType="begin"/>
      </w:r>
      <w:r w:rsidR="00DA0E8F" w:rsidRPr="00BE0C02">
        <w:instrText xml:space="preserve"> REF _Ref16629258 \r \h </w:instrText>
      </w:r>
      <w:r w:rsidR="00BE0C02">
        <w:instrText xml:space="preserve"> \* MERGEFORMAT </w:instrText>
      </w:r>
      <w:r w:rsidR="00DA0E8F" w:rsidRPr="00BE0C02">
        <w:fldChar w:fldCharType="separate"/>
      </w:r>
      <w:r w:rsidR="00E354C4">
        <w:t>BC93</w:t>
      </w:r>
      <w:r w:rsidR="00DA0E8F" w:rsidRPr="00BE0C02">
        <w:fldChar w:fldCharType="end"/>
      </w:r>
      <w:r w:rsidR="000F5904" w:rsidRPr="00BE0C02">
        <w:t xml:space="preserve"> below)</w:t>
      </w:r>
      <w:r w:rsidRPr="00BE0C02">
        <w:t>.</w:t>
      </w:r>
    </w:p>
    <w:p w14:paraId="14D89613" w14:textId="043B723C" w:rsidR="00CD22B9" w:rsidRPr="00BE0C02" w:rsidRDefault="00CD22B9" w:rsidP="007E6349">
      <w:pPr>
        <w:pStyle w:val="NumBC1"/>
        <w:numPr>
          <w:ilvl w:val="0"/>
          <w:numId w:val="27"/>
        </w:numPr>
        <w:ind w:left="782" w:hanging="782"/>
      </w:pPr>
      <w:r w:rsidRPr="00BE0C02">
        <w:t>In reviewing the legislative references, the Board noted that in some instances legislation referred to ‘accounting standards’, rather than ‘Australian Accounting Standards’. The Board decided that the application paragraphs of AAS should include entities that are required by legislation to comply with ‘accounting standards’ as well as ‘Australian Accounting standards’. In making this decision, the Board noted that it is reasonable to expect that legislators intended compliance with accounting standards as issued by the AASB when that term is used under Australian legislation</w:t>
      </w:r>
      <w:r w:rsidR="000F5904" w:rsidRPr="00BE0C02">
        <w:t xml:space="preserve"> (see </w:t>
      </w:r>
      <w:r w:rsidR="00707FBD" w:rsidRPr="00BE0C02">
        <w:t xml:space="preserve">category </w:t>
      </w:r>
      <w:r w:rsidR="000F5904" w:rsidRPr="00BE0C02">
        <w:t>5) in the Summary of scope table below)</w:t>
      </w:r>
      <w:r w:rsidRPr="00BE0C02">
        <w:t xml:space="preserve">. </w:t>
      </w:r>
      <w:r w:rsidR="0085738C" w:rsidRPr="00BE0C02">
        <w:t xml:space="preserve">For these same reasons, </w:t>
      </w:r>
      <w:r w:rsidR="002E2B60" w:rsidRPr="00BE0C02">
        <w:t>legislative references to other similar terms such as ‘</w:t>
      </w:r>
      <w:r w:rsidR="00286646" w:rsidRPr="00BE0C02">
        <w:t xml:space="preserve">accounting principles’ or </w:t>
      </w:r>
      <w:r w:rsidR="00286646" w:rsidRPr="00BE0C02">
        <w:lastRenderedPageBreak/>
        <w:t xml:space="preserve">‘generally accepted accounting practice’ </w:t>
      </w:r>
      <w:r w:rsidR="00F11ABA" w:rsidRPr="00BE0C02">
        <w:t xml:space="preserve">are </w:t>
      </w:r>
      <w:r w:rsidR="00165445" w:rsidRPr="00BE0C02">
        <w:t xml:space="preserve">more broad, </w:t>
      </w:r>
      <w:r w:rsidR="0057430A" w:rsidRPr="00BE0C02">
        <w:t xml:space="preserve">and therefore </w:t>
      </w:r>
      <w:r w:rsidR="00165445" w:rsidRPr="00BE0C02">
        <w:t xml:space="preserve">the Board did not think it was reasonable to infer they were intended to require compliance with </w:t>
      </w:r>
      <w:r w:rsidR="0057430A" w:rsidRPr="00BE0C02">
        <w:t>accounting standards issued by the AASB</w:t>
      </w:r>
      <w:r w:rsidR="00AA402B" w:rsidRPr="00BE0C02">
        <w:t xml:space="preserve"> and accordingly such references are not within the scope of this Standard. </w:t>
      </w:r>
      <w:r w:rsidR="00854F16" w:rsidRPr="00BE0C02">
        <w:t>Further</w:t>
      </w:r>
      <w:r w:rsidRPr="00BE0C02">
        <w:t>, the Board decided that the application paragraphs would only capture references to AAS for entities with a non-legislative requirement, as in those cases it is less clear as to whether the constituting document would have intended to refer to accounting standards as issued by the AASB, when the term ‘accounting standards’ is used</w:t>
      </w:r>
      <w:r w:rsidR="000F5904" w:rsidRPr="00BE0C02">
        <w:t xml:space="preserve"> (see</w:t>
      </w:r>
      <w:r w:rsidR="00707FBD" w:rsidRPr="00BE0C02">
        <w:t xml:space="preserve"> category</w:t>
      </w:r>
      <w:r w:rsidR="000F5904" w:rsidRPr="00BE0C02">
        <w:t xml:space="preserve"> 7) in the Summary of scope table </w:t>
      </w:r>
      <w:r w:rsidR="00DA0E8F" w:rsidRPr="00BE0C02">
        <w:t xml:space="preserve">in paragraph </w:t>
      </w:r>
      <w:r w:rsidR="00DA0E8F" w:rsidRPr="00BE0C02">
        <w:fldChar w:fldCharType="begin"/>
      </w:r>
      <w:r w:rsidR="00DA0E8F" w:rsidRPr="00BE0C02">
        <w:instrText xml:space="preserve"> REF _Ref16629258 \r \h </w:instrText>
      </w:r>
      <w:r w:rsidR="00BE0C02">
        <w:instrText xml:space="preserve"> \* MERGEFORMAT </w:instrText>
      </w:r>
      <w:r w:rsidR="00DA0E8F" w:rsidRPr="00BE0C02">
        <w:fldChar w:fldCharType="separate"/>
      </w:r>
      <w:r w:rsidR="00E354C4">
        <w:t>BC93</w:t>
      </w:r>
      <w:r w:rsidR="00DA0E8F" w:rsidRPr="00BE0C02">
        <w:fldChar w:fldCharType="end"/>
      </w:r>
      <w:r w:rsidR="000F5904" w:rsidRPr="00BE0C02">
        <w:t xml:space="preserve"> below)</w:t>
      </w:r>
      <w:r w:rsidRPr="00BE0C02">
        <w:t>.</w:t>
      </w:r>
    </w:p>
    <w:p w14:paraId="7093B788" w14:textId="77777777" w:rsidR="00CD22B9" w:rsidRPr="00BE0C02" w:rsidRDefault="00CD22B9" w:rsidP="00267FDF">
      <w:pPr>
        <w:pStyle w:val="Heading4"/>
        <w:spacing w:before="200"/>
      </w:pPr>
      <w:r w:rsidRPr="00BE0C02">
        <w:t>P</w:t>
      </w:r>
      <w:r w:rsidRPr="00BE0C02">
        <w:rPr>
          <w:bCs/>
          <w:szCs w:val="18"/>
        </w:rPr>
        <w:t>ublic sector entities</w:t>
      </w:r>
    </w:p>
    <w:p w14:paraId="6DF4DA6F" w14:textId="6F4B9022" w:rsidR="00CD22B9" w:rsidRPr="00BE0C02" w:rsidRDefault="00CD22B9" w:rsidP="007E6349">
      <w:pPr>
        <w:pStyle w:val="NumBC1"/>
        <w:numPr>
          <w:ilvl w:val="0"/>
          <w:numId w:val="27"/>
        </w:numPr>
        <w:ind w:left="782" w:hanging="782"/>
      </w:pPr>
      <w:bookmarkStart w:id="88" w:name="_Ref13478416"/>
      <w:r w:rsidRPr="00BE0C02">
        <w:t xml:space="preserve">The Board decided that separate consideration of the public sector was needed because, unlike in the for-profit private sector and NFP private sector, public sector financial reporting is arguably too extensive and not targeted enough to enable public sector entities to be held sufficiently to account. For example, government departments are effectively administrative constructs, and requiring Tier 1 GPFS for all such departments when they are also included in Whole of Government (WoG) GPFS means users might not be directed to the key budget versus actual and service performance reporting information that would enable genuine accountability. Therefore, the Board decided it would pursue financial reporting reform in the public sector via consultation based on the AASB Discussion Paper </w:t>
      </w:r>
      <w:r w:rsidRPr="00BE0C02">
        <w:rPr>
          <w:i/>
        </w:rPr>
        <w:t>Improving Financial Reporting for Australian Public Sector</w:t>
      </w:r>
      <w:r w:rsidRPr="00BE0C02">
        <w:t>, which was issued in June 2018, rather than as part of Phase 2 of ITC 39</w:t>
      </w:r>
      <w:r w:rsidR="000F5904" w:rsidRPr="00BE0C02">
        <w:t xml:space="preserve"> (see</w:t>
      </w:r>
      <w:r w:rsidR="00707FBD" w:rsidRPr="00BE0C02">
        <w:t xml:space="preserve"> categories </w:t>
      </w:r>
      <w:r w:rsidR="000F5904" w:rsidRPr="00BE0C02">
        <w:t>2,</w:t>
      </w:r>
      <w:r w:rsidR="001C7539" w:rsidRPr="00BE0C02">
        <w:t xml:space="preserve"> </w:t>
      </w:r>
      <w:r w:rsidR="000F5904" w:rsidRPr="00BE0C02">
        <w:t>3</w:t>
      </w:r>
      <w:r w:rsidR="00707FBD" w:rsidRPr="00BE0C02">
        <w:t xml:space="preserve"> </w:t>
      </w:r>
      <w:r w:rsidR="000F5904" w:rsidRPr="00BE0C02">
        <w:t>and</w:t>
      </w:r>
      <w:r w:rsidR="001C7539" w:rsidRPr="00BE0C02">
        <w:t> </w:t>
      </w:r>
      <w:r w:rsidR="009A7612" w:rsidRPr="00BE0C02">
        <w:t>8</w:t>
      </w:r>
      <w:r w:rsidR="000F5904" w:rsidRPr="00BE0C02">
        <w:t xml:space="preserve">) in the </w:t>
      </w:r>
      <w:r w:rsidR="001C7539" w:rsidRPr="00BE0C02">
        <w:t>s</w:t>
      </w:r>
      <w:r w:rsidR="000F5904" w:rsidRPr="00BE0C02">
        <w:t xml:space="preserve">ummary of scope table </w:t>
      </w:r>
      <w:bookmarkEnd w:id="88"/>
      <w:r w:rsidR="00DA0E8F" w:rsidRPr="00BE0C02">
        <w:t xml:space="preserve">in paragraph </w:t>
      </w:r>
      <w:r w:rsidR="00DA0E8F" w:rsidRPr="00BE0C02">
        <w:fldChar w:fldCharType="begin"/>
      </w:r>
      <w:r w:rsidR="00DA0E8F" w:rsidRPr="00BE0C02">
        <w:instrText xml:space="preserve"> REF _Ref16629258 \r \h </w:instrText>
      </w:r>
      <w:r w:rsidR="00BE0C02">
        <w:instrText xml:space="preserve"> \* MERGEFORMAT </w:instrText>
      </w:r>
      <w:r w:rsidR="00DA0E8F" w:rsidRPr="00BE0C02">
        <w:fldChar w:fldCharType="separate"/>
      </w:r>
      <w:r w:rsidR="00E354C4">
        <w:t>BC93</w:t>
      </w:r>
      <w:r w:rsidR="00DA0E8F" w:rsidRPr="00BE0C02">
        <w:fldChar w:fldCharType="end"/>
      </w:r>
      <w:r w:rsidR="000F5904" w:rsidRPr="00BE0C02">
        <w:t xml:space="preserve"> below)</w:t>
      </w:r>
      <w:r w:rsidRPr="00BE0C02">
        <w:t>.</w:t>
      </w:r>
    </w:p>
    <w:p w14:paraId="656CC23E" w14:textId="1A177C6A" w:rsidR="00CD22B9" w:rsidRPr="00BE0C02" w:rsidRDefault="00CD22B9" w:rsidP="00267FDF">
      <w:pPr>
        <w:pStyle w:val="Heading4"/>
        <w:spacing w:before="200"/>
        <w:rPr>
          <w:bCs/>
          <w:szCs w:val="18"/>
        </w:rPr>
      </w:pPr>
      <w:r w:rsidRPr="00BE0C02">
        <w:t>Trusts</w:t>
      </w:r>
      <w:r w:rsidRPr="00BE0C02">
        <w:rPr>
          <w:bCs/>
          <w:szCs w:val="18"/>
        </w:rPr>
        <w:t xml:space="preserve"> and other entities with a non-legislative requirement to comply with AAS </w:t>
      </w:r>
    </w:p>
    <w:p w14:paraId="1864B059" w14:textId="0F315554" w:rsidR="00CD22B9" w:rsidRPr="00BE0C02" w:rsidRDefault="00CD22B9" w:rsidP="007E6349">
      <w:pPr>
        <w:pStyle w:val="NumBC1"/>
        <w:numPr>
          <w:ilvl w:val="0"/>
          <w:numId w:val="27"/>
        </w:numPr>
        <w:ind w:left="782" w:hanging="782"/>
        <w:rPr>
          <w:szCs w:val="19"/>
        </w:rPr>
      </w:pPr>
      <w:bookmarkStart w:id="89" w:name="_Ref10095142"/>
      <w:r w:rsidRPr="00BE0C02">
        <w:rPr>
          <w:szCs w:val="19"/>
        </w:rPr>
        <w:t>When deciding on the scope of Phase 1 of ITC 39 the Board’s intention was to allow entities to maintain compliance with IFRS Standards, not to extend the requirement for entities to prepare GPFS if they were not currently required by legislation to do so. Respondents to ITC 39 identified some entities that may be affected by the amendments proposed in Phase 1, such as trusts required by their constitutional document (rather than legislation) to prepare financial statements that comply with AAS. They do not have any legislative requirement to prepare such financial statements and may be currently preparing SPFS. Therefore, transitioning to GPFS could be burdensome for those trusts.</w:t>
      </w:r>
      <w:bookmarkEnd w:id="89"/>
    </w:p>
    <w:p w14:paraId="69CE086B" w14:textId="4D9AA4D3" w:rsidR="00CD22B9" w:rsidRPr="00BE0C02" w:rsidRDefault="00CD22B9" w:rsidP="007E6349">
      <w:pPr>
        <w:pStyle w:val="NumBC1"/>
        <w:numPr>
          <w:ilvl w:val="0"/>
          <w:numId w:val="27"/>
        </w:numPr>
        <w:ind w:left="782" w:hanging="782"/>
        <w:rPr>
          <w:szCs w:val="19"/>
        </w:rPr>
      </w:pPr>
      <w:r w:rsidRPr="00BE0C02">
        <w:rPr>
          <w:szCs w:val="19"/>
        </w:rPr>
        <w:t>Consequently, the Board decided to limit Phase 1 to for-profit private sector entities that have public accountability and are required by legislation to comply with AAS, however it noted that the appropriateness of this limitation would be reconsidered as part of Phase 2 after additional research and outreach was performed.</w:t>
      </w:r>
    </w:p>
    <w:p w14:paraId="2025D2A8" w14:textId="77777777" w:rsidR="00CD22B9" w:rsidRPr="00BE0C02" w:rsidRDefault="00CD22B9" w:rsidP="007E6349">
      <w:pPr>
        <w:pStyle w:val="NumBC1"/>
        <w:numPr>
          <w:ilvl w:val="0"/>
          <w:numId w:val="27"/>
        </w:numPr>
        <w:ind w:left="782" w:hanging="782"/>
        <w:rPr>
          <w:szCs w:val="19"/>
        </w:rPr>
      </w:pPr>
      <w:r w:rsidRPr="00BE0C02">
        <w:rPr>
          <w:szCs w:val="19"/>
        </w:rPr>
        <w:t>When reconsidering the appropriateness of this limitation the Board considered entities with a non-legislative requirement to prepare financial statements that comply with AAS more broadly than just those affected by Phase 1, noting there were likely to be a significant number of additional trusts possibly affected by Phase 2.</w:t>
      </w:r>
    </w:p>
    <w:p w14:paraId="660F2C14" w14:textId="0A7F07EA" w:rsidR="00CD22B9" w:rsidRPr="00BE0C02" w:rsidRDefault="00CD22B9" w:rsidP="007E6349">
      <w:pPr>
        <w:pStyle w:val="NumBC1"/>
        <w:numPr>
          <w:ilvl w:val="0"/>
          <w:numId w:val="27"/>
        </w:numPr>
        <w:ind w:left="782" w:hanging="782"/>
        <w:rPr>
          <w:szCs w:val="19"/>
        </w:rPr>
      </w:pPr>
      <w:bookmarkStart w:id="90" w:name="_Ref16630030"/>
      <w:r w:rsidRPr="00BE0C02">
        <w:rPr>
          <w:szCs w:val="19"/>
        </w:rPr>
        <w:t>Based on discussions with legal advisors and additional targeted outreach, it is expected that the constituting documents of most trusts contain a requirement for them to prepare financial statements in compliance with AAS (albeit they might refer to ‘accounting standards’). These financial statements are prepared for a specific purpose and a specific user (eg the beneficiaries of a trust). It is also understood that many such entities, particularly ‘non-corporate’ trusts, prepare SPFS.</w:t>
      </w:r>
      <w:bookmarkEnd w:id="90"/>
    </w:p>
    <w:p w14:paraId="6F1AEC2E" w14:textId="5EF24562" w:rsidR="00CD22B9" w:rsidRPr="00BE0C02" w:rsidRDefault="00CD22B9" w:rsidP="007E6349">
      <w:pPr>
        <w:pStyle w:val="NumBC1"/>
        <w:numPr>
          <w:ilvl w:val="0"/>
          <w:numId w:val="27"/>
        </w:numPr>
        <w:ind w:left="782" w:hanging="782"/>
        <w:rPr>
          <w:szCs w:val="19"/>
        </w:rPr>
      </w:pPr>
      <w:bookmarkStart w:id="91" w:name="_Ref14982296"/>
      <w:r w:rsidRPr="00BE0C02">
        <w:rPr>
          <w:szCs w:val="19"/>
        </w:rPr>
        <w:t>The Board noted that:</w:t>
      </w:r>
      <w:bookmarkEnd w:id="91"/>
    </w:p>
    <w:p w14:paraId="76E396A5" w14:textId="77777777" w:rsidR="00CD22B9" w:rsidRPr="00BE0C02" w:rsidRDefault="00CD22B9" w:rsidP="007E6349">
      <w:pPr>
        <w:pStyle w:val="NumBC2"/>
        <w:numPr>
          <w:ilvl w:val="0"/>
          <w:numId w:val="36"/>
        </w:numPr>
        <w:ind w:left="1564" w:hanging="782"/>
      </w:pPr>
      <w:r w:rsidRPr="00BE0C02">
        <w:t>as the financial statements are prepared for specific users, those users have the ability to command whatever information they require from the entity;</w:t>
      </w:r>
    </w:p>
    <w:p w14:paraId="1417348D" w14:textId="77777777" w:rsidR="00CD22B9" w:rsidRPr="00BE0C02" w:rsidRDefault="00CD22B9" w:rsidP="007E6349">
      <w:pPr>
        <w:pStyle w:val="NumBC2"/>
        <w:numPr>
          <w:ilvl w:val="0"/>
          <w:numId w:val="36"/>
        </w:numPr>
        <w:ind w:left="1564" w:hanging="782"/>
      </w:pPr>
      <w:r w:rsidRPr="00BE0C02">
        <w:t xml:space="preserve">there is no external regulator of financial reporting for trusts; and </w:t>
      </w:r>
    </w:p>
    <w:p w14:paraId="5947BB65" w14:textId="77777777" w:rsidR="00CD22B9" w:rsidRPr="00BE0C02" w:rsidRDefault="00CD22B9" w:rsidP="007E6349">
      <w:pPr>
        <w:pStyle w:val="NumBC2"/>
        <w:numPr>
          <w:ilvl w:val="0"/>
          <w:numId w:val="36"/>
        </w:numPr>
        <w:ind w:left="1564" w:hanging="782"/>
      </w:pPr>
      <w:r w:rsidRPr="00BE0C02">
        <w:t>the financial statements of trusts are not lodged on public record.</w:t>
      </w:r>
    </w:p>
    <w:p w14:paraId="2FECF80B" w14:textId="4247B4A6" w:rsidR="00CD22B9" w:rsidRPr="00BE0C02" w:rsidRDefault="00CD22B9" w:rsidP="007E6349">
      <w:pPr>
        <w:pStyle w:val="NumBC1"/>
        <w:numPr>
          <w:ilvl w:val="0"/>
          <w:numId w:val="27"/>
        </w:numPr>
        <w:ind w:left="782" w:hanging="782"/>
        <w:rPr>
          <w:szCs w:val="19"/>
        </w:rPr>
      </w:pPr>
      <w:bookmarkStart w:id="92" w:name="_Ref32407970"/>
      <w:r w:rsidRPr="00BE0C02">
        <w:rPr>
          <w:szCs w:val="19"/>
        </w:rPr>
        <w:t>For these reasons, the Board considered whether it was appropriate to provide some form of relief to them, as the Board noted that while changing constitutional documents to remove the requirement to comply with AAS is possible, it can be onerous and if not done correctly can have tax consequences.</w:t>
      </w:r>
      <w:bookmarkEnd w:id="92"/>
    </w:p>
    <w:p w14:paraId="30F49C7B" w14:textId="4F9CCDD4" w:rsidR="00CD22B9" w:rsidRPr="00BE0C02" w:rsidRDefault="00CD22B9" w:rsidP="007E6349">
      <w:pPr>
        <w:pStyle w:val="NumBC1"/>
        <w:numPr>
          <w:ilvl w:val="0"/>
          <w:numId w:val="27"/>
        </w:numPr>
        <w:ind w:left="782" w:hanging="782"/>
        <w:rPr>
          <w:szCs w:val="19"/>
        </w:rPr>
      </w:pPr>
      <w:bookmarkStart w:id="93" w:name="_Ref14982301"/>
      <w:r w:rsidRPr="00BE0C02">
        <w:rPr>
          <w:szCs w:val="19"/>
        </w:rPr>
        <w:t xml:space="preserve">Targeted outreach was undertaken to understand the number of trusts that may be affected by this </w:t>
      </w:r>
      <w:r w:rsidR="00C65A54" w:rsidRPr="00BE0C02">
        <w:rPr>
          <w:szCs w:val="19"/>
        </w:rPr>
        <w:t>Standard</w:t>
      </w:r>
      <w:r w:rsidRPr="00BE0C02">
        <w:rPr>
          <w:szCs w:val="19"/>
        </w:rPr>
        <w:t xml:space="preserve">, including their size (with reference to income and assets). This was to determine whether it was possible to develop objective criteria related to economic significance for distinguishing between those trusts that should be required to comply with this </w:t>
      </w:r>
      <w:r w:rsidR="00B50BAD" w:rsidRPr="00BE0C02">
        <w:rPr>
          <w:szCs w:val="19"/>
        </w:rPr>
        <w:t xml:space="preserve">Standard </w:t>
      </w:r>
      <w:r w:rsidRPr="00BE0C02">
        <w:rPr>
          <w:szCs w:val="19"/>
        </w:rPr>
        <w:t>and those that should be exempted. The Board considered whether the thresholds used for determining what constitutes a large proprietary company could be an appropriate benchmark for this purpose.</w:t>
      </w:r>
      <w:bookmarkEnd w:id="93"/>
    </w:p>
    <w:p w14:paraId="3323F666" w14:textId="2FE86E21" w:rsidR="00CD22B9" w:rsidRPr="00BE0C02" w:rsidRDefault="00CD22B9" w:rsidP="007E6349">
      <w:pPr>
        <w:pStyle w:val="NumBC1"/>
        <w:numPr>
          <w:ilvl w:val="0"/>
          <w:numId w:val="27"/>
        </w:numPr>
        <w:ind w:left="782" w:hanging="782"/>
        <w:rPr>
          <w:szCs w:val="19"/>
        </w:rPr>
      </w:pPr>
      <w:r w:rsidRPr="00BE0C02">
        <w:rPr>
          <w:szCs w:val="19"/>
        </w:rPr>
        <w:t xml:space="preserve">While there are a large number of trusts undertaking business activities and therefore lodging tax returns with the ATO, data </w:t>
      </w:r>
      <w:r w:rsidR="0036272B" w:rsidRPr="00BE0C02">
        <w:rPr>
          <w:szCs w:val="19"/>
        </w:rPr>
        <w:t>provided by</w:t>
      </w:r>
      <w:r w:rsidRPr="00BE0C02">
        <w:rPr>
          <w:szCs w:val="19"/>
        </w:rPr>
        <w:t xml:space="preserve"> the ATO indicates that a small minority of them would meet the increased income and assets thresholds used for determin</w:t>
      </w:r>
      <w:r w:rsidR="00D178E2" w:rsidRPr="00BE0C02">
        <w:rPr>
          <w:szCs w:val="19"/>
        </w:rPr>
        <w:t>ing</w:t>
      </w:r>
      <w:r w:rsidRPr="00BE0C02">
        <w:rPr>
          <w:szCs w:val="19"/>
        </w:rPr>
        <w:t xml:space="preserve"> what constitutes a large proprietary company.</w:t>
      </w:r>
    </w:p>
    <w:p w14:paraId="05B0671F" w14:textId="5F7E48AF" w:rsidR="00CD22B9" w:rsidRPr="00BE0C02" w:rsidRDefault="00CD22B9" w:rsidP="007E6349">
      <w:pPr>
        <w:pStyle w:val="NumBC1"/>
        <w:numPr>
          <w:ilvl w:val="0"/>
          <w:numId w:val="27"/>
        </w:numPr>
        <w:ind w:left="782" w:hanging="782"/>
        <w:rPr>
          <w:szCs w:val="19"/>
        </w:rPr>
      </w:pPr>
      <w:bookmarkStart w:id="94" w:name="_Ref14982317"/>
      <w:r w:rsidRPr="00BE0C02">
        <w:rPr>
          <w:szCs w:val="19"/>
        </w:rPr>
        <w:lastRenderedPageBreak/>
        <w:t>The Board also noted there are entities other than trusts that may currently have a requirement to prepare financial statements in accordance with AAS in their compliance documents but are not required to do so by legislation, such as partnerships, joint arrangements</w:t>
      </w:r>
      <w:r w:rsidR="008D2422" w:rsidRPr="00BE0C02">
        <w:rPr>
          <w:szCs w:val="19"/>
        </w:rPr>
        <w:t xml:space="preserve"> and</w:t>
      </w:r>
      <w:r w:rsidRPr="00BE0C02">
        <w:rPr>
          <w:szCs w:val="19"/>
        </w:rPr>
        <w:t xml:space="preserve"> self-managed superannuation funds</w:t>
      </w:r>
      <w:r w:rsidR="008D2422" w:rsidRPr="00BE0C02">
        <w:rPr>
          <w:szCs w:val="19"/>
        </w:rPr>
        <w:t>,</w:t>
      </w:r>
      <w:r w:rsidRPr="00BE0C02">
        <w:rPr>
          <w:szCs w:val="19"/>
        </w:rPr>
        <w:t xml:space="preserve"> </w:t>
      </w:r>
      <w:r w:rsidR="008D2422" w:rsidRPr="00BE0C02">
        <w:rPr>
          <w:szCs w:val="19"/>
        </w:rPr>
        <w:t>as well as entities subject to other</w:t>
      </w:r>
      <w:r w:rsidRPr="00BE0C02">
        <w:rPr>
          <w:szCs w:val="19"/>
        </w:rPr>
        <w:t xml:space="preserve"> requirements such as lending agreements. As these entities also have specific users, the Board decided that the issues identified above would be equally relevant to such entities.</w:t>
      </w:r>
      <w:bookmarkEnd w:id="94"/>
      <w:r w:rsidRPr="00BE0C02">
        <w:rPr>
          <w:szCs w:val="19"/>
        </w:rPr>
        <w:t xml:space="preserve"> </w:t>
      </w:r>
    </w:p>
    <w:p w14:paraId="11CF874A" w14:textId="01A41F76" w:rsidR="00CD22B9" w:rsidRPr="00BE0C02" w:rsidRDefault="00CD22B9" w:rsidP="00017C35">
      <w:pPr>
        <w:pStyle w:val="NumBC1"/>
        <w:numPr>
          <w:ilvl w:val="0"/>
          <w:numId w:val="27"/>
        </w:numPr>
        <w:ind w:left="782" w:hanging="782"/>
        <w:rPr>
          <w:szCs w:val="19"/>
        </w:rPr>
      </w:pPr>
      <w:bookmarkStart w:id="95" w:name="_Ref8770411"/>
      <w:bookmarkStart w:id="96" w:name="_Ref34319095"/>
      <w:r w:rsidRPr="00BE0C02">
        <w:t xml:space="preserve">The Board therefore decided that existing for-profit private sector entities should be provided with an exemption from the requirement to prepare GPFS where they do not have a legislative requirement to prepare financial statements that comply with AAS. However, the Board decided this exemption should only apply where </w:t>
      </w:r>
      <w:r w:rsidRPr="00BE0C02">
        <w:rPr>
          <w:szCs w:val="19"/>
        </w:rPr>
        <w:t xml:space="preserve">their constituting document (or another document) requiring them to comply with AAS was created or amended before 1 July </w:t>
      </w:r>
      <w:r w:rsidR="00BA719A" w:rsidRPr="00BE0C02">
        <w:rPr>
          <w:szCs w:val="19"/>
        </w:rPr>
        <w:t xml:space="preserve">2021 </w:t>
      </w:r>
      <w:r w:rsidRPr="00BE0C02">
        <w:rPr>
          <w:szCs w:val="19"/>
        </w:rPr>
        <w:t>(the effective date</w:t>
      </w:r>
      <w:r w:rsidR="0071631B" w:rsidRPr="00BE0C02">
        <w:rPr>
          <w:szCs w:val="19"/>
        </w:rPr>
        <w:t xml:space="preserve"> of the </w:t>
      </w:r>
      <w:r w:rsidR="00452607" w:rsidRPr="00BE0C02">
        <w:rPr>
          <w:szCs w:val="19"/>
        </w:rPr>
        <w:t>Standard</w:t>
      </w:r>
      <w:r w:rsidR="0071631B" w:rsidRPr="00BE0C02">
        <w:rPr>
          <w:szCs w:val="19"/>
        </w:rPr>
        <w:t>)</w:t>
      </w:r>
      <w:r w:rsidRPr="00BE0C02">
        <w:rPr>
          <w:szCs w:val="19"/>
        </w:rPr>
        <w:t xml:space="preserve"> – ie any amendments to or creation of such documents </w:t>
      </w:r>
      <w:r w:rsidR="000F5DEC" w:rsidRPr="00BE0C02">
        <w:rPr>
          <w:szCs w:val="19"/>
        </w:rPr>
        <w:t xml:space="preserve">on or </w:t>
      </w:r>
      <w:r w:rsidRPr="00BE0C02">
        <w:rPr>
          <w:szCs w:val="19"/>
        </w:rPr>
        <w:t xml:space="preserve">after 1 July </w:t>
      </w:r>
      <w:r w:rsidR="00BA719A" w:rsidRPr="00BE0C02">
        <w:rPr>
          <w:szCs w:val="19"/>
        </w:rPr>
        <w:t xml:space="preserve">2021 </w:t>
      </w:r>
      <w:r w:rsidRPr="00BE0C02">
        <w:rPr>
          <w:szCs w:val="19"/>
        </w:rPr>
        <w:t xml:space="preserve">would require the entity to prepare GPFS where it referred to </w:t>
      </w:r>
      <w:r w:rsidR="009010D3" w:rsidRPr="00BE0C02">
        <w:rPr>
          <w:szCs w:val="19"/>
        </w:rPr>
        <w:t xml:space="preserve">the preparation of financial statements that </w:t>
      </w:r>
      <w:r w:rsidRPr="00BE0C02">
        <w:rPr>
          <w:szCs w:val="19"/>
        </w:rPr>
        <w:t>compl</w:t>
      </w:r>
      <w:r w:rsidR="0020710D" w:rsidRPr="00BE0C02">
        <w:rPr>
          <w:szCs w:val="19"/>
        </w:rPr>
        <w:t>y</w:t>
      </w:r>
      <w:r w:rsidRPr="00BE0C02">
        <w:rPr>
          <w:szCs w:val="19"/>
        </w:rPr>
        <w:t xml:space="preserve"> with AAS</w:t>
      </w:r>
      <w:r w:rsidR="00667063" w:rsidRPr="00BE0C02">
        <w:rPr>
          <w:szCs w:val="19"/>
        </w:rPr>
        <w:t xml:space="preserve"> </w:t>
      </w:r>
      <w:r w:rsidR="00667063" w:rsidRPr="00BE0C02">
        <w:t xml:space="preserve">(see </w:t>
      </w:r>
      <w:r w:rsidR="00A4318B" w:rsidRPr="00BE0C02">
        <w:t xml:space="preserve">category </w:t>
      </w:r>
      <w:r w:rsidR="00667063" w:rsidRPr="00BE0C02">
        <w:t>6) in the Summary of scope table below)</w:t>
      </w:r>
      <w:r w:rsidRPr="00BE0C02">
        <w:rPr>
          <w:szCs w:val="19"/>
        </w:rPr>
        <w:t>.</w:t>
      </w:r>
      <w:bookmarkStart w:id="97" w:name="_Ref9864698"/>
      <w:bookmarkEnd w:id="95"/>
      <w:r w:rsidR="00017C35" w:rsidRPr="00BE0C02">
        <w:rPr>
          <w:szCs w:val="19"/>
        </w:rPr>
        <w:t xml:space="preserve"> </w:t>
      </w:r>
      <w:r w:rsidR="0020710D" w:rsidRPr="00BE0C02">
        <w:rPr>
          <w:szCs w:val="19"/>
        </w:rPr>
        <w:t>I</w:t>
      </w:r>
      <w:r w:rsidRPr="00BE0C02">
        <w:rPr>
          <w:szCs w:val="19"/>
        </w:rPr>
        <w:t>f an entity were required to make an</w:t>
      </w:r>
      <w:r w:rsidR="0044559A" w:rsidRPr="00BE0C02">
        <w:rPr>
          <w:szCs w:val="19"/>
        </w:rPr>
        <w:t>y</w:t>
      </w:r>
      <w:r w:rsidRPr="00BE0C02">
        <w:rPr>
          <w:szCs w:val="19"/>
        </w:rPr>
        <w:t xml:space="preserve"> amendment to the constituting document for any reason after the effective date of </w:t>
      </w:r>
      <w:r w:rsidR="00CD3743" w:rsidRPr="00BE0C02">
        <w:rPr>
          <w:szCs w:val="19"/>
        </w:rPr>
        <w:t>this Standard</w:t>
      </w:r>
      <w:r w:rsidRPr="00BE0C02">
        <w:rPr>
          <w:szCs w:val="19"/>
        </w:rPr>
        <w:t>, then the trustee for example could at the same time amend the financial reporting requirements, subject to the agreement of the beneficiaries. Further, the relief should not be available to an entity whose constituting document was created after the effective date of the amendments, as when drafting the constituting document, the beneficiaries should have determined their information needs including whether or not they required GPFS.</w:t>
      </w:r>
      <w:bookmarkEnd w:id="96"/>
      <w:bookmarkEnd w:id="97"/>
    </w:p>
    <w:p w14:paraId="069382ED" w14:textId="10E5C3D1" w:rsidR="002F229F" w:rsidRPr="00BE0C02" w:rsidRDefault="002F229F" w:rsidP="007E6349">
      <w:pPr>
        <w:pStyle w:val="NumBC1"/>
        <w:numPr>
          <w:ilvl w:val="0"/>
          <w:numId w:val="27"/>
        </w:numPr>
        <w:ind w:left="782" w:hanging="782"/>
      </w:pPr>
      <w:r w:rsidRPr="00BE0C02">
        <w:t>Respondents to ED 297 expressed mixed views on such an exception. Whilst a minority considered no exemption was necessary, others supported providing relief in other ways. For example:</w:t>
      </w:r>
    </w:p>
    <w:p w14:paraId="6412820E" w14:textId="46A1A74D" w:rsidR="002F229F" w:rsidRPr="00BE0C02" w:rsidRDefault="002F229F" w:rsidP="007E6349">
      <w:pPr>
        <w:pStyle w:val="NumDPlain2"/>
        <w:numPr>
          <w:ilvl w:val="1"/>
          <w:numId w:val="62"/>
        </w:numPr>
        <w:ind w:left="1564" w:hanging="782"/>
      </w:pPr>
      <w:r w:rsidRPr="00BE0C02">
        <w:t xml:space="preserve">specifying a ‘sunset’ date on the exemption, or in other words, providing an extended transition period for such entities compared to entities required by legislation to prepare financial statements in accordance with AAS; </w:t>
      </w:r>
      <w:r w:rsidR="00723D70" w:rsidRPr="00BE0C02">
        <w:t>or</w:t>
      </w:r>
    </w:p>
    <w:p w14:paraId="351449A0" w14:textId="77777777" w:rsidR="002F229F" w:rsidRPr="00BE0C02" w:rsidRDefault="002F229F" w:rsidP="007E6349">
      <w:pPr>
        <w:pStyle w:val="NumDPlain2"/>
        <w:numPr>
          <w:ilvl w:val="1"/>
          <w:numId w:val="62"/>
        </w:numPr>
        <w:ind w:left="1564" w:hanging="782"/>
      </w:pPr>
      <w:r w:rsidRPr="00BE0C02">
        <w:t xml:space="preserve">providing a permanent exemption for such entities. </w:t>
      </w:r>
    </w:p>
    <w:p w14:paraId="660FE9A8" w14:textId="7D6661F6" w:rsidR="00981C10" w:rsidRPr="00BE0C02" w:rsidRDefault="00B50BAD" w:rsidP="00981C10">
      <w:pPr>
        <w:pStyle w:val="NumBC1"/>
        <w:numPr>
          <w:ilvl w:val="0"/>
          <w:numId w:val="27"/>
        </w:numPr>
        <w:ind w:left="782" w:hanging="782"/>
      </w:pPr>
      <w:bookmarkStart w:id="98" w:name="_Ref34319099"/>
      <w:r w:rsidRPr="00BE0C02">
        <w:t xml:space="preserve">The Board </w:t>
      </w:r>
      <w:r w:rsidR="00723D70" w:rsidRPr="00BE0C02">
        <w:t xml:space="preserve">considered this feedback and </w:t>
      </w:r>
      <w:r w:rsidRPr="00BE0C02">
        <w:t xml:space="preserve">decided </w:t>
      </w:r>
      <w:r w:rsidR="0031143D" w:rsidRPr="00BE0C02">
        <w:t xml:space="preserve">that </w:t>
      </w:r>
      <w:r w:rsidR="00FF68F8" w:rsidRPr="00BE0C02">
        <w:t xml:space="preserve">providing a ‘sunset’ date on the </w:t>
      </w:r>
      <w:r w:rsidR="005A698B" w:rsidRPr="00BE0C02">
        <w:t>exemption</w:t>
      </w:r>
      <w:r w:rsidR="00FF68F8" w:rsidRPr="00BE0C02">
        <w:t xml:space="preserve"> would not meet the objective of providing the exception, because </w:t>
      </w:r>
      <w:r w:rsidR="00755670" w:rsidRPr="00BE0C02">
        <w:t xml:space="preserve">instead of alleviating </w:t>
      </w:r>
      <w:r w:rsidR="00C8205C" w:rsidRPr="00BE0C02">
        <w:t xml:space="preserve">entities of the </w:t>
      </w:r>
      <w:r w:rsidR="00C73DBA" w:rsidRPr="00BE0C02">
        <w:t xml:space="preserve">potential consequences of changing a trust deed noted </w:t>
      </w:r>
      <w:r w:rsidR="00C8205C" w:rsidRPr="00BE0C02">
        <w:t xml:space="preserve">in paragraphs </w:t>
      </w:r>
      <w:r w:rsidR="006C7D03" w:rsidRPr="00BE0C02">
        <w:fldChar w:fldCharType="begin"/>
      </w:r>
      <w:r w:rsidR="006C7D03" w:rsidRPr="00BE0C02">
        <w:instrText xml:space="preserve"> REF _Ref32407970 \w \h </w:instrText>
      </w:r>
      <w:r w:rsidR="00981C10" w:rsidRPr="00BE0C02">
        <w:instrText xml:space="preserve"> \* MERGEFORMAT </w:instrText>
      </w:r>
      <w:r w:rsidR="006C7D03" w:rsidRPr="00BE0C02">
        <w:fldChar w:fldCharType="separate"/>
      </w:r>
      <w:r w:rsidR="00E354C4">
        <w:t>BC86</w:t>
      </w:r>
      <w:r w:rsidR="006C7D03" w:rsidRPr="00BE0C02">
        <w:fldChar w:fldCharType="end"/>
      </w:r>
      <w:r w:rsidR="005F3C23" w:rsidRPr="00BE0C02">
        <w:t xml:space="preserve"> for example</w:t>
      </w:r>
      <w:r w:rsidR="003421E2" w:rsidRPr="00BE0C02">
        <w:t xml:space="preserve">, it would only defer </w:t>
      </w:r>
      <w:r w:rsidR="00FC7915" w:rsidRPr="00BE0C02">
        <w:t xml:space="preserve">such consequences until a later date. </w:t>
      </w:r>
      <w:r w:rsidR="007E413D" w:rsidRPr="00BE0C02">
        <w:t xml:space="preserve">Further, the Board reconsidered </w:t>
      </w:r>
      <w:r w:rsidR="00E775FF" w:rsidRPr="00BE0C02">
        <w:t>providing a permanent exemption</w:t>
      </w:r>
      <w:r w:rsidR="00EA05C4" w:rsidRPr="00BE0C02">
        <w:t xml:space="preserve">, and confirmed it </w:t>
      </w:r>
      <w:r w:rsidR="00E775FF" w:rsidRPr="00BE0C02">
        <w:t xml:space="preserve">would not be appropriate, as </w:t>
      </w:r>
      <w:r w:rsidR="00D27816" w:rsidRPr="00BE0C02">
        <w:t xml:space="preserve">providing a permanent exemption </w:t>
      </w:r>
      <w:r w:rsidR="005734E3" w:rsidRPr="00BE0C02">
        <w:t>would perpetuate the SPFS issue,</w:t>
      </w:r>
      <w:r w:rsidR="00E9406A">
        <w:t xml:space="preserve"> </w:t>
      </w:r>
      <w:r w:rsidR="005734E3" w:rsidRPr="00BE0C02">
        <w:t xml:space="preserve">and </w:t>
      </w:r>
      <w:r w:rsidR="005A698B" w:rsidRPr="00BE0C02">
        <w:t xml:space="preserve">cause further interpretative confusion as to whether such a reference is or is not intended to require GPFS. The Board therefore decided to retain </w:t>
      </w:r>
      <w:r w:rsidR="00553AFF" w:rsidRPr="00BE0C02">
        <w:t>exemption for only limited circumstances, consistent with the proposals in ED 297.</w:t>
      </w:r>
      <w:bookmarkEnd w:id="98"/>
    </w:p>
    <w:p w14:paraId="7324BD26" w14:textId="3E8EE4F6" w:rsidR="00A15F15" w:rsidRPr="00BE0C02" w:rsidRDefault="00A15F15" w:rsidP="00A15F15">
      <w:pPr>
        <w:pStyle w:val="Heading4"/>
        <w:spacing w:before="200"/>
      </w:pPr>
      <w:r w:rsidRPr="00BE0C02">
        <w:t>Summary of scope</w:t>
      </w:r>
    </w:p>
    <w:p w14:paraId="0A15FA12" w14:textId="77777777" w:rsidR="004C3ABA" w:rsidRPr="00BE0C02" w:rsidRDefault="004C3ABA" w:rsidP="007E6349">
      <w:pPr>
        <w:pStyle w:val="NumBC1"/>
        <w:numPr>
          <w:ilvl w:val="0"/>
          <w:numId w:val="27"/>
        </w:numPr>
        <w:ind w:left="782" w:hanging="782"/>
        <w:rPr>
          <w:szCs w:val="19"/>
        </w:rPr>
      </w:pPr>
      <w:bookmarkStart w:id="99" w:name="_Ref16629258"/>
      <w:bookmarkStart w:id="100" w:name="_Ref16599766"/>
      <w:r w:rsidRPr="00BE0C02">
        <w:rPr>
          <w:szCs w:val="19"/>
        </w:rPr>
        <w:t>The</w:t>
      </w:r>
      <w:r w:rsidRPr="00BE0C02">
        <w:t xml:space="preserve"> examples in the table below illustrate the types of entities that would be generally covered in the category but some entities may have different specific requirements:</w:t>
      </w:r>
      <w:bookmarkEnd w:id="99"/>
    </w:p>
    <w:tbl>
      <w:tblPr>
        <w:tblStyle w:val="GridTable1Light-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Summary of scope"/>
        <w:tblDescription w:val="Summary of scope"/>
      </w:tblPr>
      <w:tblGrid>
        <w:gridCol w:w="562"/>
        <w:gridCol w:w="6304"/>
        <w:gridCol w:w="2195"/>
      </w:tblGrid>
      <w:tr w:rsidR="00CE6664" w:rsidRPr="00BE0C02" w14:paraId="3BE264DB" w14:textId="77777777" w:rsidTr="00143C08">
        <w:trPr>
          <w:cnfStyle w:val="100000000000" w:firstRow="1" w:lastRow="0" w:firstColumn="0" w:lastColumn="0" w:oddVBand="0" w:evenVBand="0" w:oddHBand="0" w:evenHBand="0" w:firstRowFirstColumn="0" w:firstRowLastColumn="0" w:lastRowFirstColumn="0" w:lastRowLastColumn="0"/>
          <w:trHeight w:val="441"/>
          <w:tblHeader/>
        </w:trPr>
        <w:tc>
          <w:tcPr>
            <w:tcW w:w="562" w:type="dxa"/>
            <w:tcBorders>
              <w:bottom w:val="single" w:sz="4" w:space="0" w:color="auto"/>
            </w:tcBorders>
            <w:shd w:val="clear" w:color="auto" w:fill="F2F2F2" w:themeFill="background1" w:themeFillShade="F2"/>
          </w:tcPr>
          <w:p w14:paraId="56FCE094" w14:textId="77777777" w:rsidR="00CE6664" w:rsidRPr="00BE0C02" w:rsidRDefault="00CE6664" w:rsidP="00994FDC">
            <w:pPr>
              <w:pStyle w:val="Default"/>
              <w:spacing w:after="60"/>
              <w:rPr>
                <w:b w:val="0"/>
                <w:sz w:val="19"/>
                <w:szCs w:val="19"/>
              </w:rPr>
            </w:pPr>
          </w:p>
        </w:tc>
        <w:tc>
          <w:tcPr>
            <w:tcW w:w="6304" w:type="dxa"/>
            <w:tcBorders>
              <w:bottom w:val="single" w:sz="4" w:space="0" w:color="auto"/>
            </w:tcBorders>
            <w:shd w:val="clear" w:color="auto" w:fill="F2F2F2" w:themeFill="background1" w:themeFillShade="F2"/>
          </w:tcPr>
          <w:p w14:paraId="3E406A27" w14:textId="6053AFEF" w:rsidR="00CE6664" w:rsidRPr="00BE0C02" w:rsidRDefault="00CE6664" w:rsidP="00994FDC">
            <w:pPr>
              <w:pStyle w:val="Default"/>
              <w:spacing w:after="60"/>
              <w:rPr>
                <w:b w:val="0"/>
                <w:sz w:val="19"/>
                <w:szCs w:val="19"/>
              </w:rPr>
            </w:pPr>
            <w:r w:rsidRPr="00BE0C02">
              <w:rPr>
                <w:sz w:val="19"/>
                <w:szCs w:val="19"/>
              </w:rPr>
              <w:t>Entity</w:t>
            </w:r>
          </w:p>
        </w:tc>
        <w:tc>
          <w:tcPr>
            <w:tcW w:w="2195" w:type="dxa"/>
            <w:tcBorders>
              <w:bottom w:val="single" w:sz="4" w:space="0" w:color="auto"/>
            </w:tcBorders>
            <w:shd w:val="clear" w:color="auto" w:fill="F2F2F2" w:themeFill="background1" w:themeFillShade="F2"/>
          </w:tcPr>
          <w:p w14:paraId="48353295" w14:textId="0A43B2D2" w:rsidR="00CE6664" w:rsidRPr="00BE0C02" w:rsidRDefault="00CE6664" w:rsidP="00994FDC">
            <w:pPr>
              <w:pStyle w:val="Default"/>
              <w:spacing w:after="60"/>
              <w:rPr>
                <w:b w:val="0"/>
                <w:sz w:val="19"/>
                <w:szCs w:val="19"/>
              </w:rPr>
            </w:pPr>
            <w:r w:rsidRPr="00BE0C02">
              <w:rPr>
                <w:sz w:val="19"/>
                <w:szCs w:val="19"/>
              </w:rPr>
              <w:t>In scope/ out of scope of the project</w:t>
            </w:r>
          </w:p>
        </w:tc>
      </w:tr>
      <w:tr w:rsidR="00CE6664" w:rsidRPr="00BE0C02" w14:paraId="44967B81" w14:textId="77777777" w:rsidTr="00732C71">
        <w:tc>
          <w:tcPr>
            <w:tcW w:w="562" w:type="dxa"/>
            <w:tcBorders>
              <w:top w:val="single" w:sz="4" w:space="0" w:color="auto"/>
            </w:tcBorders>
            <w:shd w:val="clear" w:color="auto" w:fill="auto"/>
          </w:tcPr>
          <w:p w14:paraId="77440085" w14:textId="70FCB23B" w:rsidR="00CE6664" w:rsidRPr="00BE0C02" w:rsidRDefault="00CE6664" w:rsidP="00994FDC">
            <w:pPr>
              <w:pStyle w:val="Default"/>
              <w:spacing w:after="60"/>
              <w:rPr>
                <w:bCs/>
                <w:sz w:val="19"/>
                <w:szCs w:val="19"/>
              </w:rPr>
            </w:pPr>
            <w:r w:rsidRPr="00BE0C02">
              <w:rPr>
                <w:bCs/>
                <w:sz w:val="19"/>
                <w:szCs w:val="19"/>
              </w:rPr>
              <w:t>1</w:t>
            </w:r>
          </w:p>
        </w:tc>
        <w:tc>
          <w:tcPr>
            <w:tcW w:w="6304" w:type="dxa"/>
            <w:tcBorders>
              <w:top w:val="single" w:sz="4" w:space="0" w:color="auto"/>
            </w:tcBorders>
            <w:shd w:val="clear" w:color="auto" w:fill="auto"/>
          </w:tcPr>
          <w:p w14:paraId="06D4DBCA" w14:textId="294E665D" w:rsidR="00CE6664" w:rsidRPr="00BE0C02" w:rsidRDefault="00CE6664" w:rsidP="00994FDC">
            <w:pPr>
              <w:pStyle w:val="Default"/>
              <w:spacing w:after="60"/>
              <w:rPr>
                <w:sz w:val="19"/>
                <w:szCs w:val="19"/>
              </w:rPr>
            </w:pPr>
            <w:r w:rsidRPr="00BE0C02">
              <w:rPr>
                <w:b/>
                <w:bCs/>
                <w:sz w:val="19"/>
                <w:szCs w:val="19"/>
              </w:rPr>
              <w:t xml:space="preserve">Not-for-profit private sector entities including NFP entities that are companies limited by guarantee and lodging financial statements with ASIC under the </w:t>
            </w:r>
            <w:r w:rsidRPr="00BE0C02">
              <w:rPr>
                <w:b/>
                <w:i/>
                <w:sz w:val="19"/>
                <w:szCs w:val="19"/>
              </w:rPr>
              <w:t>Corporations Act 2001</w:t>
            </w:r>
          </w:p>
        </w:tc>
        <w:tc>
          <w:tcPr>
            <w:tcW w:w="2195" w:type="dxa"/>
            <w:tcBorders>
              <w:top w:val="single" w:sz="4" w:space="0" w:color="auto"/>
            </w:tcBorders>
            <w:shd w:val="clear" w:color="auto" w:fill="auto"/>
          </w:tcPr>
          <w:p w14:paraId="2F009665" w14:textId="49FDA7BE" w:rsidR="00CE6664" w:rsidRPr="00BE0C02" w:rsidRDefault="00CE6664" w:rsidP="00994FDC">
            <w:pPr>
              <w:pStyle w:val="Default"/>
              <w:spacing w:after="60"/>
              <w:rPr>
                <w:sz w:val="19"/>
                <w:szCs w:val="19"/>
              </w:rPr>
            </w:pPr>
            <w:r w:rsidRPr="00BE0C02">
              <w:rPr>
                <w:sz w:val="19"/>
                <w:szCs w:val="19"/>
              </w:rPr>
              <w:t>Not in scope</w:t>
            </w:r>
          </w:p>
        </w:tc>
      </w:tr>
      <w:tr w:rsidR="00CE6664" w:rsidRPr="00BE0C02" w14:paraId="55A5FF9A" w14:textId="77777777" w:rsidTr="00732C71">
        <w:tc>
          <w:tcPr>
            <w:tcW w:w="562" w:type="dxa"/>
            <w:shd w:val="clear" w:color="auto" w:fill="auto"/>
          </w:tcPr>
          <w:p w14:paraId="5C0CE365" w14:textId="3FB9CB09" w:rsidR="00CE6664" w:rsidRPr="00BE0C02" w:rsidRDefault="00CE6664" w:rsidP="00994FDC">
            <w:pPr>
              <w:pStyle w:val="Default"/>
              <w:spacing w:after="60"/>
              <w:rPr>
                <w:bCs/>
                <w:sz w:val="19"/>
                <w:szCs w:val="19"/>
              </w:rPr>
            </w:pPr>
            <w:r w:rsidRPr="00BE0C02">
              <w:rPr>
                <w:bCs/>
                <w:sz w:val="19"/>
                <w:szCs w:val="19"/>
              </w:rPr>
              <w:t>2</w:t>
            </w:r>
          </w:p>
        </w:tc>
        <w:tc>
          <w:tcPr>
            <w:tcW w:w="6304" w:type="dxa"/>
            <w:shd w:val="clear" w:color="auto" w:fill="auto"/>
          </w:tcPr>
          <w:p w14:paraId="757C8A3B" w14:textId="708EEDC9" w:rsidR="00CE6664" w:rsidRPr="00BE0C02" w:rsidRDefault="00CE6664" w:rsidP="00994FDC">
            <w:pPr>
              <w:pStyle w:val="Default"/>
              <w:spacing w:after="60"/>
              <w:rPr>
                <w:b/>
                <w:bCs/>
                <w:sz w:val="19"/>
                <w:szCs w:val="19"/>
              </w:rPr>
            </w:pPr>
            <w:r w:rsidRPr="00BE0C02">
              <w:rPr>
                <w:b/>
                <w:bCs/>
                <w:sz w:val="19"/>
                <w:szCs w:val="19"/>
              </w:rPr>
              <w:t>Not-for-profit public sector entities</w:t>
            </w:r>
          </w:p>
        </w:tc>
        <w:tc>
          <w:tcPr>
            <w:tcW w:w="2195" w:type="dxa"/>
            <w:shd w:val="clear" w:color="auto" w:fill="auto"/>
          </w:tcPr>
          <w:p w14:paraId="45CFF2E4" w14:textId="783E152D" w:rsidR="00CE6664" w:rsidRPr="00BE0C02" w:rsidRDefault="00CE6664" w:rsidP="00994FDC">
            <w:pPr>
              <w:pStyle w:val="Default"/>
              <w:spacing w:after="60"/>
              <w:rPr>
                <w:sz w:val="19"/>
                <w:szCs w:val="19"/>
              </w:rPr>
            </w:pPr>
            <w:r w:rsidRPr="00BE0C02">
              <w:rPr>
                <w:sz w:val="19"/>
                <w:szCs w:val="19"/>
              </w:rPr>
              <w:t>Not in scope</w:t>
            </w:r>
          </w:p>
        </w:tc>
      </w:tr>
      <w:tr w:rsidR="00CE6664" w:rsidRPr="00BE0C02" w14:paraId="5CB116B2" w14:textId="77777777" w:rsidTr="00732C71">
        <w:tc>
          <w:tcPr>
            <w:tcW w:w="562" w:type="dxa"/>
            <w:shd w:val="clear" w:color="auto" w:fill="auto"/>
          </w:tcPr>
          <w:p w14:paraId="5C4B8A90" w14:textId="55AEFC86" w:rsidR="00CE6664" w:rsidRPr="00BE0C02" w:rsidRDefault="00CE6664" w:rsidP="00994FDC">
            <w:pPr>
              <w:pStyle w:val="Default"/>
              <w:spacing w:after="60"/>
              <w:rPr>
                <w:bCs/>
                <w:sz w:val="19"/>
                <w:szCs w:val="19"/>
              </w:rPr>
            </w:pPr>
            <w:r w:rsidRPr="00BE0C02">
              <w:rPr>
                <w:bCs/>
                <w:sz w:val="19"/>
                <w:szCs w:val="19"/>
              </w:rPr>
              <w:t>3</w:t>
            </w:r>
          </w:p>
        </w:tc>
        <w:tc>
          <w:tcPr>
            <w:tcW w:w="6304" w:type="dxa"/>
            <w:shd w:val="clear" w:color="auto" w:fill="auto"/>
          </w:tcPr>
          <w:p w14:paraId="590FAB6D" w14:textId="4EA04B39" w:rsidR="00CE6664" w:rsidRPr="00BE0C02" w:rsidRDefault="00CE6664" w:rsidP="00994FDC">
            <w:pPr>
              <w:pStyle w:val="Default"/>
              <w:spacing w:after="60"/>
              <w:rPr>
                <w:sz w:val="19"/>
                <w:szCs w:val="19"/>
              </w:rPr>
            </w:pPr>
            <w:r w:rsidRPr="00BE0C02">
              <w:rPr>
                <w:b/>
                <w:bCs/>
                <w:sz w:val="19"/>
                <w:szCs w:val="19"/>
              </w:rPr>
              <w:t>For-profit public sector entities</w:t>
            </w:r>
            <w:r w:rsidRPr="00BE0C02">
              <w:rPr>
                <w:rStyle w:val="FootnoteReference"/>
                <w:bCs/>
                <w:sz w:val="19"/>
                <w:szCs w:val="19"/>
              </w:rPr>
              <w:footnoteReference w:id="36"/>
            </w:r>
          </w:p>
        </w:tc>
        <w:tc>
          <w:tcPr>
            <w:tcW w:w="2195" w:type="dxa"/>
            <w:shd w:val="clear" w:color="auto" w:fill="auto"/>
          </w:tcPr>
          <w:p w14:paraId="49304AC4" w14:textId="4682C442" w:rsidR="00CE6664" w:rsidRPr="00BE0C02" w:rsidRDefault="00CE6664" w:rsidP="00994FDC">
            <w:pPr>
              <w:pStyle w:val="Default"/>
              <w:spacing w:after="60"/>
              <w:rPr>
                <w:sz w:val="19"/>
                <w:szCs w:val="19"/>
              </w:rPr>
            </w:pPr>
            <w:r w:rsidRPr="00BE0C02">
              <w:rPr>
                <w:sz w:val="19"/>
                <w:szCs w:val="19"/>
              </w:rPr>
              <w:t>Not in scope</w:t>
            </w:r>
          </w:p>
        </w:tc>
      </w:tr>
      <w:tr w:rsidR="00CE6664" w:rsidRPr="00BE0C02" w14:paraId="7D3C0446" w14:textId="77777777" w:rsidTr="00732C71">
        <w:tc>
          <w:tcPr>
            <w:tcW w:w="562" w:type="dxa"/>
            <w:shd w:val="clear" w:color="auto" w:fill="auto"/>
          </w:tcPr>
          <w:p w14:paraId="10C08E2C" w14:textId="77777777" w:rsidR="00CE6664" w:rsidRPr="00BE0C02" w:rsidRDefault="00CE6664" w:rsidP="00994FDC">
            <w:pPr>
              <w:pStyle w:val="Default"/>
              <w:spacing w:after="60"/>
              <w:rPr>
                <w:b/>
                <w:bCs/>
                <w:sz w:val="19"/>
                <w:szCs w:val="19"/>
              </w:rPr>
            </w:pPr>
          </w:p>
        </w:tc>
        <w:tc>
          <w:tcPr>
            <w:tcW w:w="6304" w:type="dxa"/>
            <w:shd w:val="clear" w:color="auto" w:fill="auto"/>
          </w:tcPr>
          <w:p w14:paraId="461AE9DA" w14:textId="33D9D30F" w:rsidR="00CE6664" w:rsidRPr="00BE0C02" w:rsidRDefault="00CE6664" w:rsidP="00994FDC">
            <w:pPr>
              <w:pStyle w:val="Default"/>
              <w:spacing w:after="60"/>
              <w:rPr>
                <w:sz w:val="19"/>
                <w:szCs w:val="19"/>
              </w:rPr>
            </w:pPr>
            <w:r w:rsidRPr="00BE0C02">
              <w:rPr>
                <w:b/>
                <w:bCs/>
                <w:sz w:val="19"/>
                <w:szCs w:val="19"/>
              </w:rPr>
              <w:t>For-profit private sector entities</w:t>
            </w:r>
          </w:p>
        </w:tc>
        <w:tc>
          <w:tcPr>
            <w:tcW w:w="2195" w:type="dxa"/>
            <w:shd w:val="clear" w:color="auto" w:fill="auto"/>
          </w:tcPr>
          <w:p w14:paraId="118A2F0F" w14:textId="77777777" w:rsidR="00CE6664" w:rsidRPr="00BE0C02" w:rsidRDefault="00CE6664" w:rsidP="00994FDC">
            <w:pPr>
              <w:pStyle w:val="Default"/>
              <w:spacing w:after="60"/>
              <w:rPr>
                <w:sz w:val="19"/>
                <w:szCs w:val="19"/>
              </w:rPr>
            </w:pPr>
          </w:p>
        </w:tc>
      </w:tr>
      <w:tr w:rsidR="00CE6664" w:rsidRPr="00BE0C02" w14:paraId="62168217" w14:textId="77777777" w:rsidTr="00732C71">
        <w:trPr>
          <w:trHeight w:val="2128"/>
        </w:trPr>
        <w:tc>
          <w:tcPr>
            <w:tcW w:w="562" w:type="dxa"/>
            <w:shd w:val="clear" w:color="auto" w:fill="auto"/>
          </w:tcPr>
          <w:p w14:paraId="07A5ABC2" w14:textId="351A7BDE" w:rsidR="00CE6664" w:rsidRPr="00BE0C02" w:rsidRDefault="00CE6664" w:rsidP="00994FDC">
            <w:pPr>
              <w:pStyle w:val="NumBC1"/>
              <w:widowControl w:val="0"/>
              <w:spacing w:before="0" w:after="60"/>
              <w:ind w:left="0" w:firstLine="0"/>
              <w:jc w:val="left"/>
              <w:rPr>
                <w:bCs/>
                <w:szCs w:val="19"/>
              </w:rPr>
            </w:pPr>
            <w:r w:rsidRPr="00BE0C02">
              <w:rPr>
                <w:szCs w:val="19"/>
              </w:rPr>
              <w:t>4</w:t>
            </w:r>
          </w:p>
          <w:p w14:paraId="027CE99E" w14:textId="3278C33B" w:rsidR="00CE6664" w:rsidRPr="00BE0C02" w:rsidRDefault="00CE6664" w:rsidP="00994FDC">
            <w:pPr>
              <w:pStyle w:val="Default"/>
              <w:spacing w:after="60"/>
              <w:rPr>
                <w:sz w:val="19"/>
                <w:szCs w:val="19"/>
              </w:rPr>
            </w:pPr>
          </w:p>
        </w:tc>
        <w:tc>
          <w:tcPr>
            <w:tcW w:w="6304" w:type="dxa"/>
            <w:shd w:val="clear" w:color="auto" w:fill="auto"/>
          </w:tcPr>
          <w:p w14:paraId="79BAEF4A" w14:textId="48F1C3AC" w:rsidR="00CE6664" w:rsidRPr="00BE0C02" w:rsidRDefault="00CE6664" w:rsidP="00994FDC">
            <w:pPr>
              <w:pStyle w:val="Default"/>
              <w:widowControl w:val="0"/>
              <w:spacing w:after="60"/>
              <w:rPr>
                <w:sz w:val="19"/>
                <w:szCs w:val="19"/>
              </w:rPr>
            </w:pPr>
            <w:r w:rsidRPr="00BE0C02">
              <w:rPr>
                <w:sz w:val="19"/>
                <w:szCs w:val="19"/>
              </w:rPr>
              <w:t xml:space="preserve">Companies </w:t>
            </w:r>
            <w:r w:rsidR="00140C52" w:rsidRPr="00BE0C02">
              <w:rPr>
                <w:sz w:val="19"/>
                <w:szCs w:val="19"/>
              </w:rPr>
              <w:t xml:space="preserve">required to prepare </w:t>
            </w:r>
            <w:r w:rsidRPr="00BE0C02">
              <w:rPr>
                <w:sz w:val="19"/>
                <w:szCs w:val="19"/>
              </w:rPr>
              <w:t xml:space="preserve">financial statements under the </w:t>
            </w:r>
            <w:r w:rsidRPr="00BE0C02">
              <w:rPr>
                <w:i/>
                <w:sz w:val="19"/>
                <w:szCs w:val="19"/>
              </w:rPr>
              <w:t>Corporations Act 2001</w:t>
            </w:r>
            <w:r w:rsidRPr="00BE0C02">
              <w:rPr>
                <w:sz w:val="19"/>
                <w:szCs w:val="19"/>
              </w:rPr>
              <w:t xml:space="preserve"> principally:</w:t>
            </w:r>
          </w:p>
          <w:p w14:paraId="137AE478" w14:textId="1B2AEE4E" w:rsidR="00CE6664" w:rsidRPr="00BE0C02" w:rsidRDefault="00CE6664" w:rsidP="007E6349">
            <w:pPr>
              <w:pStyle w:val="Default"/>
              <w:widowControl w:val="0"/>
              <w:numPr>
                <w:ilvl w:val="0"/>
                <w:numId w:val="76"/>
              </w:numPr>
              <w:spacing w:after="60"/>
              <w:rPr>
                <w:sz w:val="19"/>
                <w:szCs w:val="19"/>
              </w:rPr>
            </w:pPr>
            <w:r w:rsidRPr="00BE0C02">
              <w:rPr>
                <w:sz w:val="19"/>
                <w:szCs w:val="19"/>
              </w:rPr>
              <w:t>large proprietary companies</w:t>
            </w:r>
            <w:r w:rsidR="00140C52" w:rsidRPr="00BE0C02">
              <w:rPr>
                <w:sz w:val="19"/>
                <w:szCs w:val="19"/>
              </w:rPr>
              <w:t xml:space="preserve"> (including those </w:t>
            </w:r>
            <w:r w:rsidR="00160327" w:rsidRPr="00BE0C02">
              <w:rPr>
                <w:sz w:val="19"/>
                <w:szCs w:val="19"/>
              </w:rPr>
              <w:t>with relief from lodging with ASIC)</w:t>
            </w:r>
            <w:r w:rsidRPr="00BE0C02">
              <w:rPr>
                <w:sz w:val="19"/>
                <w:szCs w:val="19"/>
              </w:rPr>
              <w:t>;</w:t>
            </w:r>
          </w:p>
          <w:p w14:paraId="6C9B895C" w14:textId="77777777" w:rsidR="00CE6664" w:rsidRPr="00BE0C02" w:rsidRDefault="00CE6664" w:rsidP="007E6349">
            <w:pPr>
              <w:pStyle w:val="Default"/>
              <w:widowControl w:val="0"/>
              <w:numPr>
                <w:ilvl w:val="0"/>
                <w:numId w:val="76"/>
              </w:numPr>
              <w:spacing w:after="60"/>
              <w:rPr>
                <w:sz w:val="19"/>
                <w:szCs w:val="19"/>
              </w:rPr>
            </w:pPr>
            <w:r w:rsidRPr="00BE0C02">
              <w:rPr>
                <w:sz w:val="19"/>
                <w:szCs w:val="19"/>
              </w:rPr>
              <w:t>unlisted public companies other than small companies limited by guarantee;</w:t>
            </w:r>
          </w:p>
          <w:p w14:paraId="25F19059" w14:textId="77777777" w:rsidR="00CE6664" w:rsidRPr="00BE0C02" w:rsidRDefault="00CE6664" w:rsidP="007E6349">
            <w:pPr>
              <w:pStyle w:val="Default"/>
              <w:widowControl w:val="0"/>
              <w:numPr>
                <w:ilvl w:val="0"/>
                <w:numId w:val="76"/>
              </w:numPr>
              <w:spacing w:after="60"/>
              <w:rPr>
                <w:sz w:val="19"/>
                <w:szCs w:val="19"/>
              </w:rPr>
            </w:pPr>
            <w:r w:rsidRPr="00BE0C02">
              <w:rPr>
                <w:sz w:val="19"/>
                <w:szCs w:val="19"/>
              </w:rPr>
              <w:t>small proprietary companies controlled by a foreign company;</w:t>
            </w:r>
          </w:p>
          <w:p w14:paraId="3F3B7EF9" w14:textId="77777777" w:rsidR="00CE6664" w:rsidRPr="00BE0C02" w:rsidRDefault="00CE6664" w:rsidP="007E6349">
            <w:pPr>
              <w:pStyle w:val="Default"/>
              <w:widowControl w:val="0"/>
              <w:numPr>
                <w:ilvl w:val="0"/>
                <w:numId w:val="76"/>
              </w:numPr>
              <w:spacing w:after="60"/>
              <w:rPr>
                <w:sz w:val="19"/>
                <w:szCs w:val="19"/>
              </w:rPr>
            </w:pPr>
            <w:r w:rsidRPr="00BE0C02">
              <w:rPr>
                <w:sz w:val="19"/>
                <w:szCs w:val="19"/>
              </w:rPr>
              <w:t>financial services licensees; and</w:t>
            </w:r>
          </w:p>
          <w:p w14:paraId="18982D0F" w14:textId="6882EBB9" w:rsidR="00CE6664" w:rsidRPr="00BE0C02" w:rsidRDefault="00CE6664" w:rsidP="007E6349">
            <w:pPr>
              <w:pStyle w:val="Default"/>
              <w:numPr>
                <w:ilvl w:val="0"/>
                <w:numId w:val="76"/>
              </w:numPr>
              <w:spacing w:after="60"/>
              <w:rPr>
                <w:sz w:val="19"/>
                <w:szCs w:val="19"/>
              </w:rPr>
            </w:pPr>
            <w:r w:rsidRPr="00BE0C02">
              <w:rPr>
                <w:sz w:val="19"/>
                <w:szCs w:val="19"/>
              </w:rPr>
              <w:t>small proprietary companies with crowd-sourced funding.</w:t>
            </w:r>
          </w:p>
        </w:tc>
        <w:tc>
          <w:tcPr>
            <w:tcW w:w="2195" w:type="dxa"/>
            <w:shd w:val="clear" w:color="auto" w:fill="auto"/>
          </w:tcPr>
          <w:p w14:paraId="21054436" w14:textId="350CD1D4" w:rsidR="00CE6664" w:rsidRPr="00BE0C02" w:rsidRDefault="00CE6664" w:rsidP="00994FDC">
            <w:pPr>
              <w:pStyle w:val="Default"/>
              <w:spacing w:after="60"/>
              <w:rPr>
                <w:sz w:val="19"/>
                <w:szCs w:val="19"/>
              </w:rPr>
            </w:pPr>
            <w:r w:rsidRPr="00BE0C02">
              <w:rPr>
                <w:sz w:val="19"/>
                <w:szCs w:val="19"/>
              </w:rPr>
              <w:t>In scope</w:t>
            </w:r>
          </w:p>
        </w:tc>
      </w:tr>
      <w:tr w:rsidR="00CE6664" w:rsidRPr="00BE0C02" w14:paraId="79F6600C" w14:textId="77777777" w:rsidTr="00732C71">
        <w:tc>
          <w:tcPr>
            <w:tcW w:w="562" w:type="dxa"/>
            <w:shd w:val="clear" w:color="auto" w:fill="auto"/>
          </w:tcPr>
          <w:p w14:paraId="14898838" w14:textId="7DA81A7B" w:rsidR="00CE6664" w:rsidRPr="00BE0C02" w:rsidRDefault="00CE6664" w:rsidP="00994FDC">
            <w:pPr>
              <w:pStyle w:val="Default"/>
              <w:spacing w:after="60"/>
              <w:rPr>
                <w:sz w:val="19"/>
                <w:szCs w:val="19"/>
              </w:rPr>
            </w:pPr>
          </w:p>
        </w:tc>
        <w:tc>
          <w:tcPr>
            <w:tcW w:w="6304" w:type="dxa"/>
            <w:shd w:val="clear" w:color="auto" w:fill="auto"/>
          </w:tcPr>
          <w:p w14:paraId="7B3B9A57" w14:textId="540ECFA9" w:rsidR="00CE6664" w:rsidRPr="00BE0C02" w:rsidRDefault="00CE6664" w:rsidP="00994FDC">
            <w:pPr>
              <w:pStyle w:val="Default"/>
              <w:spacing w:after="60"/>
              <w:rPr>
                <w:sz w:val="19"/>
                <w:szCs w:val="19"/>
              </w:rPr>
            </w:pPr>
            <w:r w:rsidRPr="00BE0C02">
              <w:rPr>
                <w:sz w:val="19"/>
                <w:szCs w:val="19"/>
              </w:rPr>
              <w:t xml:space="preserve">Companies </w:t>
            </w:r>
            <w:r w:rsidR="00655AEF" w:rsidRPr="00BE0C02">
              <w:rPr>
                <w:sz w:val="19"/>
                <w:szCs w:val="19"/>
              </w:rPr>
              <w:t>preparing</w:t>
            </w:r>
            <w:r w:rsidRPr="00BE0C02">
              <w:rPr>
                <w:sz w:val="19"/>
                <w:szCs w:val="19"/>
              </w:rPr>
              <w:t xml:space="preserve"> financial statements under the </w:t>
            </w:r>
            <w:r w:rsidRPr="00BE0C02">
              <w:rPr>
                <w:i/>
                <w:sz w:val="19"/>
                <w:szCs w:val="19"/>
              </w:rPr>
              <w:t>Corporations Act 2001</w:t>
            </w:r>
            <w:r w:rsidRPr="00BE0C02">
              <w:rPr>
                <w:sz w:val="19"/>
                <w:szCs w:val="19"/>
              </w:rPr>
              <w:t xml:space="preserve"> because they are directed by ASIC or shareholders to prepare financial reports.</w:t>
            </w:r>
          </w:p>
        </w:tc>
        <w:tc>
          <w:tcPr>
            <w:tcW w:w="2195" w:type="dxa"/>
            <w:shd w:val="clear" w:color="auto" w:fill="auto"/>
          </w:tcPr>
          <w:p w14:paraId="389CFF2E" w14:textId="57416255" w:rsidR="00CE6664" w:rsidRPr="00BE0C02" w:rsidRDefault="001456DF" w:rsidP="00994FDC">
            <w:pPr>
              <w:pStyle w:val="Default"/>
              <w:spacing w:after="60"/>
              <w:rPr>
                <w:sz w:val="19"/>
                <w:szCs w:val="19"/>
              </w:rPr>
            </w:pPr>
            <w:r w:rsidRPr="00BE0C02">
              <w:rPr>
                <w:sz w:val="19"/>
                <w:szCs w:val="19"/>
              </w:rPr>
              <w:t>This will depend on what the direction requires</w:t>
            </w:r>
            <w:r w:rsidR="00EB6B78" w:rsidRPr="00BE0C02">
              <w:rPr>
                <w:rStyle w:val="FootnoteReference"/>
                <w:sz w:val="19"/>
                <w:szCs w:val="19"/>
              </w:rPr>
              <w:footnoteReference w:id="37"/>
            </w:r>
          </w:p>
        </w:tc>
      </w:tr>
      <w:tr w:rsidR="00CE6664" w:rsidRPr="00BE0C02" w14:paraId="5BD88E15" w14:textId="77777777" w:rsidTr="00732C71">
        <w:trPr>
          <w:trHeight w:val="563"/>
        </w:trPr>
        <w:tc>
          <w:tcPr>
            <w:tcW w:w="562" w:type="dxa"/>
            <w:shd w:val="clear" w:color="auto" w:fill="auto"/>
          </w:tcPr>
          <w:p w14:paraId="7BCFB27A" w14:textId="02662BDA" w:rsidR="00CE6664" w:rsidRPr="00BE0C02" w:rsidRDefault="00CE6664" w:rsidP="00994FDC">
            <w:pPr>
              <w:pStyle w:val="NumBC1"/>
              <w:widowControl w:val="0"/>
              <w:spacing w:before="0" w:after="60"/>
              <w:ind w:left="0" w:firstLine="0"/>
              <w:jc w:val="left"/>
              <w:rPr>
                <w:szCs w:val="19"/>
              </w:rPr>
            </w:pPr>
            <w:r w:rsidRPr="00BE0C02">
              <w:rPr>
                <w:szCs w:val="19"/>
              </w:rPr>
              <w:t>5</w:t>
            </w:r>
          </w:p>
        </w:tc>
        <w:tc>
          <w:tcPr>
            <w:tcW w:w="6304" w:type="dxa"/>
            <w:shd w:val="clear" w:color="auto" w:fill="auto"/>
          </w:tcPr>
          <w:p w14:paraId="69FEF7EA" w14:textId="44D77FEF" w:rsidR="00CE6664" w:rsidRPr="00BE0C02" w:rsidRDefault="00CE6664" w:rsidP="00406814">
            <w:pPr>
              <w:pStyle w:val="Default"/>
              <w:spacing w:after="60"/>
              <w:rPr>
                <w:sz w:val="19"/>
                <w:szCs w:val="19"/>
              </w:rPr>
            </w:pPr>
            <w:r w:rsidRPr="00BE0C02">
              <w:rPr>
                <w:sz w:val="19"/>
                <w:szCs w:val="19"/>
              </w:rPr>
              <w:t>Entities with financial reporting obligations under Federal or State/Territory legislation (ie required by legislation) to:</w:t>
            </w:r>
          </w:p>
        </w:tc>
        <w:tc>
          <w:tcPr>
            <w:tcW w:w="2195" w:type="dxa"/>
            <w:shd w:val="clear" w:color="auto" w:fill="auto"/>
          </w:tcPr>
          <w:p w14:paraId="7579C71D" w14:textId="4834C02E" w:rsidR="00CE6664" w:rsidRPr="00BE0C02" w:rsidRDefault="00CE6664" w:rsidP="00994FDC">
            <w:pPr>
              <w:pStyle w:val="Default"/>
              <w:spacing w:after="60"/>
              <w:rPr>
                <w:sz w:val="19"/>
                <w:szCs w:val="19"/>
              </w:rPr>
            </w:pPr>
          </w:p>
        </w:tc>
      </w:tr>
      <w:tr w:rsidR="00CE6664" w:rsidRPr="00BE0C02" w14:paraId="5F3885C3" w14:textId="77777777" w:rsidTr="00732C71">
        <w:trPr>
          <w:trHeight w:val="563"/>
        </w:trPr>
        <w:tc>
          <w:tcPr>
            <w:tcW w:w="562" w:type="dxa"/>
            <w:shd w:val="clear" w:color="auto" w:fill="auto"/>
          </w:tcPr>
          <w:p w14:paraId="1DCFA0DC" w14:textId="77777777" w:rsidR="00CE6664" w:rsidRPr="00BE0C02" w:rsidRDefault="00CE6664" w:rsidP="00994FDC">
            <w:pPr>
              <w:pStyle w:val="Default"/>
              <w:spacing w:after="60"/>
              <w:rPr>
                <w:sz w:val="19"/>
                <w:szCs w:val="19"/>
              </w:rPr>
            </w:pPr>
          </w:p>
        </w:tc>
        <w:tc>
          <w:tcPr>
            <w:tcW w:w="6304" w:type="dxa"/>
            <w:shd w:val="clear" w:color="auto" w:fill="auto"/>
          </w:tcPr>
          <w:p w14:paraId="415ADA9C" w14:textId="3E047498" w:rsidR="00CE6664" w:rsidRPr="00BE0C02" w:rsidRDefault="00CE6664" w:rsidP="007E6349">
            <w:pPr>
              <w:pStyle w:val="Default"/>
              <w:numPr>
                <w:ilvl w:val="0"/>
                <w:numId w:val="76"/>
              </w:numPr>
              <w:spacing w:after="60"/>
              <w:rPr>
                <w:sz w:val="19"/>
                <w:szCs w:val="19"/>
              </w:rPr>
            </w:pPr>
            <w:r w:rsidRPr="00BE0C02">
              <w:rPr>
                <w:sz w:val="19"/>
                <w:szCs w:val="19"/>
              </w:rPr>
              <w:t xml:space="preserve">prepare financial statements in accordance with AAS or accounting standards (eg co-operatives, incorporated associations and higher education providers) </w:t>
            </w:r>
          </w:p>
        </w:tc>
        <w:tc>
          <w:tcPr>
            <w:tcW w:w="2195" w:type="dxa"/>
            <w:shd w:val="clear" w:color="auto" w:fill="auto"/>
          </w:tcPr>
          <w:p w14:paraId="55815F79" w14:textId="2B0E167C" w:rsidR="00CE6664" w:rsidRPr="00BE0C02" w:rsidRDefault="00CE6664" w:rsidP="00994FDC">
            <w:pPr>
              <w:pStyle w:val="Default"/>
              <w:spacing w:after="60"/>
              <w:rPr>
                <w:sz w:val="19"/>
                <w:szCs w:val="19"/>
              </w:rPr>
            </w:pPr>
            <w:r w:rsidRPr="00BE0C02">
              <w:rPr>
                <w:sz w:val="19"/>
                <w:szCs w:val="19"/>
              </w:rPr>
              <w:t>In scope</w:t>
            </w:r>
          </w:p>
        </w:tc>
      </w:tr>
      <w:tr w:rsidR="00CE6664" w:rsidRPr="00BE0C02" w14:paraId="606624A2" w14:textId="77777777" w:rsidTr="00732C71">
        <w:trPr>
          <w:trHeight w:val="563"/>
        </w:trPr>
        <w:tc>
          <w:tcPr>
            <w:tcW w:w="562" w:type="dxa"/>
            <w:shd w:val="clear" w:color="auto" w:fill="auto"/>
          </w:tcPr>
          <w:p w14:paraId="16707DC2" w14:textId="77777777" w:rsidR="00CE6664" w:rsidRPr="00BE0C02" w:rsidRDefault="00CE6664" w:rsidP="00994FDC">
            <w:pPr>
              <w:pStyle w:val="Default"/>
              <w:spacing w:after="60"/>
              <w:rPr>
                <w:sz w:val="19"/>
                <w:szCs w:val="19"/>
              </w:rPr>
            </w:pPr>
          </w:p>
        </w:tc>
        <w:tc>
          <w:tcPr>
            <w:tcW w:w="6304" w:type="dxa"/>
            <w:shd w:val="clear" w:color="auto" w:fill="auto"/>
          </w:tcPr>
          <w:p w14:paraId="74952EE0" w14:textId="05C9018D" w:rsidR="00CE6664" w:rsidRPr="00BE0C02" w:rsidRDefault="00CE6664" w:rsidP="007E6349">
            <w:pPr>
              <w:pStyle w:val="Default"/>
              <w:numPr>
                <w:ilvl w:val="0"/>
                <w:numId w:val="76"/>
              </w:numPr>
              <w:spacing w:after="60"/>
              <w:rPr>
                <w:sz w:val="19"/>
                <w:szCs w:val="19"/>
              </w:rPr>
            </w:pPr>
            <w:r w:rsidRPr="00BE0C02">
              <w:rPr>
                <w:sz w:val="19"/>
                <w:szCs w:val="19"/>
              </w:rPr>
              <w:t>prepare financial statements that give a true and fair view without reference to compliance with AAS or accounting standards (eg gaming venue operators, internet gaming licensees)</w:t>
            </w:r>
          </w:p>
        </w:tc>
        <w:tc>
          <w:tcPr>
            <w:tcW w:w="2195" w:type="dxa"/>
            <w:shd w:val="clear" w:color="auto" w:fill="auto"/>
          </w:tcPr>
          <w:p w14:paraId="1A343872" w14:textId="5174E9CB" w:rsidR="00CE6664" w:rsidRPr="00BE0C02" w:rsidRDefault="00CE6664" w:rsidP="00994FDC">
            <w:pPr>
              <w:pStyle w:val="Default"/>
              <w:spacing w:after="60"/>
              <w:rPr>
                <w:sz w:val="19"/>
                <w:szCs w:val="19"/>
              </w:rPr>
            </w:pPr>
            <w:r w:rsidRPr="00BE0C02">
              <w:rPr>
                <w:sz w:val="19"/>
                <w:szCs w:val="19"/>
              </w:rPr>
              <w:t>Not in scope – each regulator to interpret the reference to ‘true and fair view’</w:t>
            </w:r>
          </w:p>
        </w:tc>
      </w:tr>
      <w:tr w:rsidR="00CE6664" w:rsidRPr="00BE0C02" w14:paraId="24DAF571" w14:textId="77777777" w:rsidTr="00732C71">
        <w:trPr>
          <w:trHeight w:val="789"/>
        </w:trPr>
        <w:tc>
          <w:tcPr>
            <w:tcW w:w="562" w:type="dxa"/>
            <w:shd w:val="clear" w:color="auto" w:fill="auto"/>
          </w:tcPr>
          <w:p w14:paraId="49985609" w14:textId="77777777" w:rsidR="00CE6664" w:rsidRPr="00BE0C02" w:rsidRDefault="00CE6664" w:rsidP="00994FDC">
            <w:pPr>
              <w:pStyle w:val="Default"/>
              <w:spacing w:after="60"/>
              <w:rPr>
                <w:sz w:val="19"/>
                <w:szCs w:val="19"/>
              </w:rPr>
            </w:pPr>
          </w:p>
        </w:tc>
        <w:tc>
          <w:tcPr>
            <w:tcW w:w="6304" w:type="dxa"/>
            <w:shd w:val="clear" w:color="auto" w:fill="auto"/>
          </w:tcPr>
          <w:p w14:paraId="7429626B" w14:textId="03C2DA02" w:rsidR="00CE6664" w:rsidRPr="00BE0C02" w:rsidRDefault="00CE6664" w:rsidP="007E6349">
            <w:pPr>
              <w:pStyle w:val="Default"/>
              <w:numPr>
                <w:ilvl w:val="0"/>
                <w:numId w:val="76"/>
              </w:numPr>
              <w:spacing w:after="60"/>
              <w:rPr>
                <w:sz w:val="19"/>
                <w:szCs w:val="19"/>
              </w:rPr>
            </w:pPr>
            <w:r w:rsidRPr="00BE0C02">
              <w:rPr>
                <w:sz w:val="19"/>
                <w:szCs w:val="19"/>
              </w:rPr>
              <w:t>prepare financial information in accordance with AAS or accounting standards but are not required to prepare financial statements as defined in paragraph 10 of AASB 101 (eg friendly societies, superannuation funds, retirement villages)</w:t>
            </w:r>
          </w:p>
        </w:tc>
        <w:tc>
          <w:tcPr>
            <w:tcW w:w="2195" w:type="dxa"/>
            <w:shd w:val="clear" w:color="auto" w:fill="auto"/>
          </w:tcPr>
          <w:p w14:paraId="72B1AA30" w14:textId="7D50D4C5" w:rsidR="00CE6664" w:rsidRPr="00BE0C02" w:rsidRDefault="00CE6664" w:rsidP="00994FDC">
            <w:pPr>
              <w:pStyle w:val="Default"/>
              <w:spacing w:after="60"/>
              <w:rPr>
                <w:sz w:val="19"/>
                <w:szCs w:val="19"/>
              </w:rPr>
            </w:pPr>
            <w:r w:rsidRPr="00BE0C02">
              <w:rPr>
                <w:sz w:val="19"/>
                <w:szCs w:val="19"/>
              </w:rPr>
              <w:t>Not in scope</w:t>
            </w:r>
          </w:p>
        </w:tc>
      </w:tr>
      <w:tr w:rsidR="00CE6664" w:rsidRPr="00BE0C02" w14:paraId="18027464" w14:textId="77777777" w:rsidTr="00732C71">
        <w:tc>
          <w:tcPr>
            <w:tcW w:w="562" w:type="dxa"/>
            <w:shd w:val="clear" w:color="auto" w:fill="auto"/>
          </w:tcPr>
          <w:p w14:paraId="7F06A938" w14:textId="77777777" w:rsidR="00CE6664" w:rsidRPr="00BE0C02" w:rsidRDefault="00CE6664" w:rsidP="00994FDC">
            <w:pPr>
              <w:pStyle w:val="Default"/>
              <w:spacing w:after="60"/>
              <w:rPr>
                <w:sz w:val="19"/>
                <w:szCs w:val="19"/>
              </w:rPr>
            </w:pPr>
          </w:p>
        </w:tc>
        <w:tc>
          <w:tcPr>
            <w:tcW w:w="6304" w:type="dxa"/>
            <w:shd w:val="clear" w:color="auto" w:fill="auto"/>
          </w:tcPr>
          <w:p w14:paraId="3D96B9E3" w14:textId="469B1F88" w:rsidR="00CE6664" w:rsidRPr="00BE0C02" w:rsidRDefault="00CE6664" w:rsidP="007E6349">
            <w:pPr>
              <w:pStyle w:val="Default"/>
              <w:numPr>
                <w:ilvl w:val="0"/>
                <w:numId w:val="76"/>
              </w:numPr>
              <w:spacing w:after="60"/>
              <w:rPr>
                <w:sz w:val="19"/>
                <w:szCs w:val="19"/>
              </w:rPr>
            </w:pPr>
            <w:r w:rsidRPr="00BE0C02">
              <w:rPr>
                <w:sz w:val="19"/>
                <w:szCs w:val="19"/>
              </w:rPr>
              <w:t>prepare financial information that gives a true and fair view but not to prepare financial statements as defined in paragraph 10 of AASB 101 (eg incorporated associations or housing societies)</w:t>
            </w:r>
          </w:p>
        </w:tc>
        <w:tc>
          <w:tcPr>
            <w:tcW w:w="2195" w:type="dxa"/>
            <w:shd w:val="clear" w:color="auto" w:fill="auto"/>
          </w:tcPr>
          <w:p w14:paraId="5A660CB5" w14:textId="31E463A9" w:rsidR="00CE6664" w:rsidRPr="00BE0C02" w:rsidRDefault="00CE6664" w:rsidP="00994FDC">
            <w:pPr>
              <w:pStyle w:val="Default"/>
              <w:spacing w:after="60"/>
              <w:rPr>
                <w:sz w:val="19"/>
                <w:szCs w:val="19"/>
              </w:rPr>
            </w:pPr>
            <w:r w:rsidRPr="00BE0C02">
              <w:rPr>
                <w:sz w:val="19"/>
                <w:szCs w:val="19"/>
              </w:rPr>
              <w:t>Not in scope</w:t>
            </w:r>
          </w:p>
        </w:tc>
      </w:tr>
      <w:tr w:rsidR="00CE6664" w:rsidRPr="00BE0C02" w14:paraId="0DE61C74" w14:textId="77777777" w:rsidTr="00732C71">
        <w:tc>
          <w:tcPr>
            <w:tcW w:w="562" w:type="dxa"/>
            <w:shd w:val="clear" w:color="auto" w:fill="auto"/>
          </w:tcPr>
          <w:p w14:paraId="3137E4BD" w14:textId="77777777" w:rsidR="00CE6664" w:rsidRPr="00BE0C02" w:rsidRDefault="00CE6664" w:rsidP="00994FDC">
            <w:pPr>
              <w:pStyle w:val="Default"/>
              <w:spacing w:after="60"/>
              <w:rPr>
                <w:sz w:val="19"/>
                <w:szCs w:val="19"/>
              </w:rPr>
            </w:pPr>
          </w:p>
        </w:tc>
        <w:tc>
          <w:tcPr>
            <w:tcW w:w="6304" w:type="dxa"/>
            <w:shd w:val="clear" w:color="auto" w:fill="auto"/>
          </w:tcPr>
          <w:p w14:paraId="484EFA48" w14:textId="7E77AC7F" w:rsidR="00CE6664" w:rsidRPr="00BE0C02" w:rsidRDefault="00CE6664" w:rsidP="007E6349">
            <w:pPr>
              <w:pStyle w:val="Default"/>
              <w:numPr>
                <w:ilvl w:val="0"/>
                <w:numId w:val="76"/>
              </w:numPr>
              <w:spacing w:after="60"/>
              <w:rPr>
                <w:sz w:val="19"/>
                <w:szCs w:val="19"/>
              </w:rPr>
            </w:pPr>
            <w:r w:rsidRPr="00BE0C02">
              <w:rPr>
                <w:sz w:val="19"/>
                <w:szCs w:val="19"/>
              </w:rPr>
              <w:t>prepare financial information without reference to AAS or accounting standards (eg for provision to a regulator)</w:t>
            </w:r>
          </w:p>
        </w:tc>
        <w:tc>
          <w:tcPr>
            <w:tcW w:w="2195" w:type="dxa"/>
            <w:shd w:val="clear" w:color="auto" w:fill="auto"/>
          </w:tcPr>
          <w:p w14:paraId="18E46AE9" w14:textId="7901714E" w:rsidR="00CE6664" w:rsidRPr="00BE0C02" w:rsidRDefault="00CE6664" w:rsidP="00994FDC">
            <w:pPr>
              <w:pStyle w:val="Default"/>
              <w:spacing w:after="60"/>
              <w:rPr>
                <w:sz w:val="19"/>
                <w:szCs w:val="19"/>
              </w:rPr>
            </w:pPr>
            <w:r w:rsidRPr="00BE0C02">
              <w:rPr>
                <w:sz w:val="19"/>
                <w:szCs w:val="19"/>
              </w:rPr>
              <w:t>Not in scope</w:t>
            </w:r>
          </w:p>
        </w:tc>
      </w:tr>
      <w:tr w:rsidR="00CE6664" w:rsidRPr="00BE0C02" w14:paraId="46B7C7ED" w14:textId="77777777" w:rsidTr="00732C71">
        <w:tc>
          <w:tcPr>
            <w:tcW w:w="562" w:type="dxa"/>
            <w:shd w:val="clear" w:color="auto" w:fill="auto"/>
          </w:tcPr>
          <w:p w14:paraId="4FDE3D45" w14:textId="67B05F32" w:rsidR="00CE6664" w:rsidRPr="00BE0C02" w:rsidRDefault="00CE6664" w:rsidP="00994FDC">
            <w:pPr>
              <w:pStyle w:val="Default"/>
              <w:spacing w:after="60"/>
              <w:rPr>
                <w:sz w:val="19"/>
                <w:szCs w:val="19"/>
              </w:rPr>
            </w:pPr>
          </w:p>
        </w:tc>
        <w:tc>
          <w:tcPr>
            <w:tcW w:w="6304" w:type="dxa"/>
            <w:shd w:val="clear" w:color="auto" w:fill="auto"/>
          </w:tcPr>
          <w:p w14:paraId="1BE16393" w14:textId="45F26204" w:rsidR="00CE6664" w:rsidRPr="00BE0C02" w:rsidRDefault="00CE6664" w:rsidP="00406814">
            <w:pPr>
              <w:pStyle w:val="Default"/>
              <w:numPr>
                <w:ilvl w:val="0"/>
                <w:numId w:val="76"/>
              </w:numPr>
              <w:spacing w:after="60"/>
              <w:rPr>
                <w:sz w:val="19"/>
                <w:szCs w:val="19"/>
              </w:rPr>
            </w:pPr>
            <w:r w:rsidRPr="00BE0C02">
              <w:rPr>
                <w:sz w:val="19"/>
                <w:szCs w:val="19"/>
              </w:rPr>
              <w:t xml:space="preserve">keep financial records (but not prepare financial statements) (eg small proprietary companies not required by the </w:t>
            </w:r>
            <w:r w:rsidRPr="00BE0C02">
              <w:rPr>
                <w:i/>
                <w:sz w:val="19"/>
                <w:szCs w:val="19"/>
              </w:rPr>
              <w:t xml:space="preserve">Corporations Act 2001 </w:t>
            </w:r>
            <w:r w:rsidRPr="00BE0C02">
              <w:rPr>
                <w:sz w:val="19"/>
                <w:szCs w:val="19"/>
              </w:rPr>
              <w:t>to prepare financial statements)</w:t>
            </w:r>
          </w:p>
        </w:tc>
        <w:tc>
          <w:tcPr>
            <w:tcW w:w="2195" w:type="dxa"/>
            <w:shd w:val="clear" w:color="auto" w:fill="auto"/>
          </w:tcPr>
          <w:p w14:paraId="30B5BA45" w14:textId="59CDF32F" w:rsidR="00CE6664" w:rsidRPr="00BE0C02" w:rsidRDefault="00CE6664" w:rsidP="00994FDC">
            <w:pPr>
              <w:pStyle w:val="Default"/>
              <w:spacing w:after="60"/>
              <w:rPr>
                <w:sz w:val="19"/>
                <w:szCs w:val="19"/>
              </w:rPr>
            </w:pPr>
            <w:r w:rsidRPr="00BE0C02">
              <w:rPr>
                <w:sz w:val="19"/>
                <w:szCs w:val="19"/>
              </w:rPr>
              <w:t>Not in scope</w:t>
            </w:r>
          </w:p>
        </w:tc>
      </w:tr>
      <w:tr w:rsidR="00CE6664" w:rsidRPr="00BE0C02" w14:paraId="18DE23D4" w14:textId="77777777" w:rsidTr="00732C71">
        <w:tc>
          <w:tcPr>
            <w:tcW w:w="562" w:type="dxa"/>
            <w:shd w:val="clear" w:color="auto" w:fill="auto"/>
          </w:tcPr>
          <w:p w14:paraId="137DA74B" w14:textId="24ACFCEC" w:rsidR="00CE6664" w:rsidRPr="00BE0C02" w:rsidRDefault="00CE6664" w:rsidP="00994FDC">
            <w:pPr>
              <w:pStyle w:val="Default"/>
              <w:spacing w:after="60"/>
              <w:rPr>
                <w:sz w:val="19"/>
                <w:szCs w:val="19"/>
              </w:rPr>
            </w:pPr>
            <w:r w:rsidRPr="00BE0C02">
              <w:rPr>
                <w:sz w:val="19"/>
                <w:szCs w:val="19"/>
              </w:rPr>
              <w:t>6</w:t>
            </w:r>
          </w:p>
        </w:tc>
        <w:tc>
          <w:tcPr>
            <w:tcW w:w="6304" w:type="dxa"/>
            <w:shd w:val="clear" w:color="auto" w:fill="auto"/>
          </w:tcPr>
          <w:p w14:paraId="568793B4" w14:textId="0DBF028C" w:rsidR="00CE6664" w:rsidRPr="00BE0C02" w:rsidRDefault="00CE6664" w:rsidP="00A96838">
            <w:pPr>
              <w:pStyle w:val="Default"/>
              <w:spacing w:after="60"/>
              <w:rPr>
                <w:sz w:val="19"/>
                <w:szCs w:val="19"/>
              </w:rPr>
            </w:pPr>
            <w:r w:rsidRPr="00BE0C02">
              <w:rPr>
                <w:sz w:val="19"/>
                <w:szCs w:val="19"/>
              </w:rPr>
              <w:t>Entities required only by their constituting or another document (not by legislation) to prepare financial statements that comply with AAS (</w:t>
            </w:r>
            <w:r w:rsidRPr="00BE0C02">
              <w:rPr>
                <w:color w:val="auto"/>
                <w:sz w:val="19"/>
                <w:szCs w:val="19"/>
                <w:lang w:eastAsia="en-US"/>
              </w:rPr>
              <w:t xml:space="preserve">eg trusts, partnerships, </w:t>
            </w:r>
            <w:r w:rsidRPr="00BE0C02">
              <w:rPr>
                <w:sz w:val="19"/>
                <w:szCs w:val="19"/>
              </w:rPr>
              <w:t>joint arrangements and self-managed superannuation funds):</w:t>
            </w:r>
          </w:p>
        </w:tc>
        <w:tc>
          <w:tcPr>
            <w:tcW w:w="2195" w:type="dxa"/>
            <w:shd w:val="clear" w:color="auto" w:fill="auto"/>
          </w:tcPr>
          <w:p w14:paraId="2A3A47B8" w14:textId="570BBD8E" w:rsidR="00CE6664" w:rsidRPr="00BE0C02" w:rsidRDefault="00CE6664" w:rsidP="00994FDC">
            <w:pPr>
              <w:pStyle w:val="Default"/>
              <w:spacing w:after="60"/>
              <w:rPr>
                <w:sz w:val="19"/>
                <w:szCs w:val="19"/>
              </w:rPr>
            </w:pPr>
          </w:p>
        </w:tc>
      </w:tr>
      <w:tr w:rsidR="00CE6664" w:rsidRPr="00BE0C02" w14:paraId="2F083CC9" w14:textId="77777777" w:rsidTr="00732C71">
        <w:tc>
          <w:tcPr>
            <w:tcW w:w="562" w:type="dxa"/>
            <w:shd w:val="clear" w:color="auto" w:fill="auto"/>
          </w:tcPr>
          <w:p w14:paraId="1D114885" w14:textId="77777777" w:rsidR="00CE6664" w:rsidRPr="00BE0C02" w:rsidRDefault="00CE6664" w:rsidP="00994FDC">
            <w:pPr>
              <w:pStyle w:val="Default"/>
              <w:spacing w:after="60"/>
              <w:rPr>
                <w:sz w:val="19"/>
                <w:szCs w:val="19"/>
              </w:rPr>
            </w:pPr>
          </w:p>
        </w:tc>
        <w:tc>
          <w:tcPr>
            <w:tcW w:w="6304" w:type="dxa"/>
            <w:shd w:val="clear" w:color="auto" w:fill="auto"/>
          </w:tcPr>
          <w:p w14:paraId="3B17DB40" w14:textId="7DEC6EEE" w:rsidR="00CE6664" w:rsidRPr="00BE0C02" w:rsidRDefault="00CE6664" w:rsidP="007E6349">
            <w:pPr>
              <w:pStyle w:val="Default"/>
              <w:numPr>
                <w:ilvl w:val="0"/>
                <w:numId w:val="76"/>
              </w:numPr>
              <w:spacing w:after="60"/>
              <w:rPr>
                <w:sz w:val="19"/>
                <w:szCs w:val="19"/>
              </w:rPr>
            </w:pPr>
            <w:r w:rsidRPr="00BE0C02">
              <w:rPr>
                <w:sz w:val="19"/>
                <w:szCs w:val="19"/>
              </w:rPr>
              <w:t xml:space="preserve">existing entities – constituting or other document not created or amended on or after 1 July </w:t>
            </w:r>
            <w:r w:rsidR="00BA719A" w:rsidRPr="00BE0C02">
              <w:rPr>
                <w:sz w:val="19"/>
                <w:szCs w:val="19"/>
              </w:rPr>
              <w:t>2021</w:t>
            </w:r>
          </w:p>
        </w:tc>
        <w:tc>
          <w:tcPr>
            <w:tcW w:w="2195" w:type="dxa"/>
            <w:shd w:val="clear" w:color="auto" w:fill="auto"/>
          </w:tcPr>
          <w:p w14:paraId="1D43044A" w14:textId="1DB88C01" w:rsidR="00CE6664" w:rsidRPr="00BE0C02" w:rsidRDefault="00CE6664" w:rsidP="00994FDC">
            <w:pPr>
              <w:pStyle w:val="Default"/>
              <w:spacing w:after="60"/>
              <w:rPr>
                <w:sz w:val="19"/>
                <w:szCs w:val="19"/>
              </w:rPr>
            </w:pPr>
            <w:r w:rsidRPr="00BE0C02">
              <w:rPr>
                <w:sz w:val="19"/>
                <w:szCs w:val="19"/>
              </w:rPr>
              <w:t>Not in scope</w:t>
            </w:r>
          </w:p>
        </w:tc>
      </w:tr>
      <w:tr w:rsidR="00CE6664" w:rsidRPr="00BE0C02" w14:paraId="6574910E" w14:textId="77777777" w:rsidTr="00732C71">
        <w:tc>
          <w:tcPr>
            <w:tcW w:w="562" w:type="dxa"/>
            <w:shd w:val="clear" w:color="auto" w:fill="auto"/>
          </w:tcPr>
          <w:p w14:paraId="6A10C3CF" w14:textId="77777777" w:rsidR="00CE6664" w:rsidRPr="00BE0C02" w:rsidRDefault="00CE6664" w:rsidP="00994FDC">
            <w:pPr>
              <w:pStyle w:val="Default"/>
              <w:spacing w:after="60"/>
              <w:rPr>
                <w:sz w:val="19"/>
                <w:szCs w:val="19"/>
              </w:rPr>
            </w:pPr>
          </w:p>
        </w:tc>
        <w:tc>
          <w:tcPr>
            <w:tcW w:w="6304" w:type="dxa"/>
            <w:shd w:val="clear" w:color="auto" w:fill="auto"/>
          </w:tcPr>
          <w:p w14:paraId="2034BF68" w14:textId="72688B4E" w:rsidR="00CE6664" w:rsidRPr="00BE0C02" w:rsidRDefault="00CE6664" w:rsidP="007E6349">
            <w:pPr>
              <w:pStyle w:val="Default"/>
              <w:numPr>
                <w:ilvl w:val="0"/>
                <w:numId w:val="76"/>
              </w:numPr>
              <w:spacing w:after="60"/>
              <w:rPr>
                <w:sz w:val="19"/>
                <w:szCs w:val="19"/>
              </w:rPr>
            </w:pPr>
            <w:r w:rsidRPr="00BE0C02">
              <w:rPr>
                <w:sz w:val="19"/>
                <w:szCs w:val="19"/>
              </w:rPr>
              <w:t xml:space="preserve">existing entities – constituting or other document amended on or after 1 July </w:t>
            </w:r>
            <w:r w:rsidR="00BA719A" w:rsidRPr="00BE0C02">
              <w:rPr>
                <w:sz w:val="19"/>
                <w:szCs w:val="19"/>
              </w:rPr>
              <w:t>2021</w:t>
            </w:r>
          </w:p>
        </w:tc>
        <w:tc>
          <w:tcPr>
            <w:tcW w:w="2195" w:type="dxa"/>
            <w:shd w:val="clear" w:color="auto" w:fill="auto"/>
          </w:tcPr>
          <w:p w14:paraId="229FBF24" w14:textId="5D51B109" w:rsidR="00CE6664" w:rsidRPr="00BE0C02" w:rsidRDefault="00CE6664" w:rsidP="00994FDC">
            <w:pPr>
              <w:pStyle w:val="Default"/>
              <w:spacing w:after="60"/>
              <w:rPr>
                <w:sz w:val="19"/>
                <w:szCs w:val="19"/>
              </w:rPr>
            </w:pPr>
            <w:r w:rsidRPr="00BE0C02">
              <w:rPr>
                <w:sz w:val="19"/>
                <w:szCs w:val="19"/>
              </w:rPr>
              <w:t>In scope</w:t>
            </w:r>
          </w:p>
        </w:tc>
      </w:tr>
      <w:tr w:rsidR="00CE6664" w:rsidRPr="00BE0C02" w14:paraId="4934C287" w14:textId="77777777" w:rsidTr="00732C71">
        <w:tc>
          <w:tcPr>
            <w:tcW w:w="562" w:type="dxa"/>
            <w:shd w:val="clear" w:color="auto" w:fill="auto"/>
          </w:tcPr>
          <w:p w14:paraId="43EDC324" w14:textId="77257491" w:rsidR="00CE6664" w:rsidRPr="00BE0C02" w:rsidRDefault="00CE6664" w:rsidP="00994FDC">
            <w:pPr>
              <w:pStyle w:val="Default"/>
              <w:spacing w:after="60"/>
              <w:rPr>
                <w:sz w:val="19"/>
                <w:szCs w:val="19"/>
              </w:rPr>
            </w:pPr>
          </w:p>
        </w:tc>
        <w:tc>
          <w:tcPr>
            <w:tcW w:w="6304" w:type="dxa"/>
            <w:shd w:val="clear" w:color="auto" w:fill="auto"/>
          </w:tcPr>
          <w:p w14:paraId="13641BFD" w14:textId="2FB53070" w:rsidR="00CE6664" w:rsidRPr="00BE0C02" w:rsidRDefault="00CE6664" w:rsidP="007E6349">
            <w:pPr>
              <w:pStyle w:val="Default"/>
              <w:numPr>
                <w:ilvl w:val="0"/>
                <w:numId w:val="76"/>
              </w:numPr>
              <w:spacing w:after="60"/>
              <w:rPr>
                <w:sz w:val="19"/>
                <w:szCs w:val="19"/>
              </w:rPr>
            </w:pPr>
            <w:r w:rsidRPr="00BE0C02">
              <w:rPr>
                <w:sz w:val="19"/>
                <w:szCs w:val="19"/>
              </w:rPr>
              <w:t>new entities – constituting or other document created on or after 1 July 202</w:t>
            </w:r>
            <w:r w:rsidR="004F4F78" w:rsidRPr="00BE0C02">
              <w:rPr>
                <w:sz w:val="19"/>
                <w:szCs w:val="19"/>
              </w:rPr>
              <w:t>1</w:t>
            </w:r>
          </w:p>
        </w:tc>
        <w:tc>
          <w:tcPr>
            <w:tcW w:w="2195" w:type="dxa"/>
            <w:shd w:val="clear" w:color="auto" w:fill="auto"/>
          </w:tcPr>
          <w:p w14:paraId="02927F92" w14:textId="5614E027" w:rsidR="00CE6664" w:rsidRPr="00BE0C02" w:rsidRDefault="00CE6664" w:rsidP="00994FDC">
            <w:pPr>
              <w:pStyle w:val="Default"/>
              <w:spacing w:after="60"/>
              <w:rPr>
                <w:sz w:val="19"/>
                <w:szCs w:val="19"/>
              </w:rPr>
            </w:pPr>
            <w:r w:rsidRPr="00BE0C02">
              <w:rPr>
                <w:sz w:val="19"/>
                <w:szCs w:val="19"/>
              </w:rPr>
              <w:t>In scope</w:t>
            </w:r>
          </w:p>
        </w:tc>
      </w:tr>
      <w:tr w:rsidR="00CE6664" w:rsidRPr="00BE0C02" w14:paraId="3681DF67" w14:textId="77777777" w:rsidTr="00732C71">
        <w:trPr>
          <w:trHeight w:val="502"/>
        </w:trPr>
        <w:tc>
          <w:tcPr>
            <w:tcW w:w="562" w:type="dxa"/>
            <w:shd w:val="clear" w:color="auto" w:fill="auto"/>
          </w:tcPr>
          <w:p w14:paraId="43624B4E" w14:textId="1B6FC274" w:rsidR="00CE6664" w:rsidRPr="00BE0C02" w:rsidRDefault="00CE6664" w:rsidP="00994FDC">
            <w:pPr>
              <w:pStyle w:val="Default"/>
              <w:spacing w:after="60"/>
              <w:rPr>
                <w:sz w:val="19"/>
                <w:szCs w:val="19"/>
              </w:rPr>
            </w:pPr>
            <w:r w:rsidRPr="00BE0C02">
              <w:rPr>
                <w:sz w:val="19"/>
                <w:szCs w:val="19"/>
              </w:rPr>
              <w:t>7</w:t>
            </w:r>
          </w:p>
        </w:tc>
        <w:tc>
          <w:tcPr>
            <w:tcW w:w="6304" w:type="dxa"/>
            <w:shd w:val="clear" w:color="auto" w:fill="auto"/>
          </w:tcPr>
          <w:p w14:paraId="2CEFD610" w14:textId="0456936A" w:rsidR="00CE6664" w:rsidRPr="00BE0C02" w:rsidRDefault="00CE6664" w:rsidP="00994FDC">
            <w:pPr>
              <w:pStyle w:val="Default"/>
              <w:spacing w:after="60"/>
              <w:rPr>
                <w:sz w:val="19"/>
                <w:szCs w:val="19"/>
              </w:rPr>
            </w:pPr>
            <w:r w:rsidRPr="00BE0C02">
              <w:rPr>
                <w:sz w:val="19"/>
                <w:szCs w:val="19"/>
              </w:rPr>
              <w:t xml:space="preserve">Entities required only by their constituting or other document (not by legislation) to prepare financial statements that comply with “accounting standards” (rather than AAS) (eg </w:t>
            </w:r>
            <w:r w:rsidRPr="00BE0C02">
              <w:rPr>
                <w:color w:val="auto"/>
                <w:sz w:val="19"/>
                <w:szCs w:val="19"/>
                <w:lang w:eastAsia="en-US"/>
              </w:rPr>
              <w:t xml:space="preserve">trusts, partnerships, </w:t>
            </w:r>
            <w:r w:rsidRPr="00BE0C02">
              <w:rPr>
                <w:sz w:val="19"/>
                <w:szCs w:val="19"/>
              </w:rPr>
              <w:t>joint arrangements and self-managed superannuation funds).</w:t>
            </w:r>
          </w:p>
        </w:tc>
        <w:tc>
          <w:tcPr>
            <w:tcW w:w="2195" w:type="dxa"/>
            <w:shd w:val="clear" w:color="auto" w:fill="auto"/>
          </w:tcPr>
          <w:p w14:paraId="07F3FEC7" w14:textId="3171D237" w:rsidR="00CE6664" w:rsidRPr="00BE0C02" w:rsidRDefault="00CE6664" w:rsidP="00994FDC">
            <w:pPr>
              <w:pStyle w:val="Default"/>
              <w:spacing w:after="60"/>
              <w:rPr>
                <w:sz w:val="19"/>
                <w:szCs w:val="19"/>
              </w:rPr>
            </w:pPr>
            <w:r w:rsidRPr="00BE0C02">
              <w:rPr>
                <w:sz w:val="19"/>
                <w:szCs w:val="19"/>
              </w:rPr>
              <w:t>Not in scope</w:t>
            </w:r>
          </w:p>
        </w:tc>
      </w:tr>
      <w:tr w:rsidR="00CE6664" w:rsidRPr="00BE0C02" w14:paraId="3980E524" w14:textId="77777777" w:rsidTr="00732C71">
        <w:tc>
          <w:tcPr>
            <w:tcW w:w="562" w:type="dxa"/>
            <w:shd w:val="clear" w:color="auto" w:fill="auto"/>
          </w:tcPr>
          <w:p w14:paraId="0817A19F" w14:textId="2983A905" w:rsidR="00CE6664" w:rsidRPr="00BE0C02" w:rsidRDefault="00CE6664" w:rsidP="00994FDC">
            <w:pPr>
              <w:pStyle w:val="Default"/>
              <w:spacing w:after="60"/>
              <w:rPr>
                <w:sz w:val="19"/>
                <w:szCs w:val="19"/>
              </w:rPr>
            </w:pPr>
            <w:r w:rsidRPr="00BE0C02">
              <w:rPr>
                <w:sz w:val="19"/>
                <w:szCs w:val="19"/>
              </w:rPr>
              <w:t>8</w:t>
            </w:r>
          </w:p>
        </w:tc>
        <w:tc>
          <w:tcPr>
            <w:tcW w:w="6304" w:type="dxa"/>
            <w:shd w:val="clear" w:color="auto" w:fill="auto"/>
          </w:tcPr>
          <w:p w14:paraId="0D9FFC73" w14:textId="647598C8" w:rsidR="00CE6664" w:rsidRPr="00BE0C02" w:rsidRDefault="00CE6664" w:rsidP="00994FDC">
            <w:pPr>
              <w:pStyle w:val="Default"/>
              <w:spacing w:after="60"/>
              <w:rPr>
                <w:b/>
                <w:sz w:val="19"/>
                <w:szCs w:val="19"/>
              </w:rPr>
            </w:pPr>
            <w:r w:rsidRPr="00BE0C02">
              <w:rPr>
                <w:sz w:val="19"/>
                <w:szCs w:val="19"/>
              </w:rPr>
              <w:t>Entities that elect (ie voluntarily) to prepare GPFS (eg for-profit public sector entities or other for-profit private sector entities)</w:t>
            </w:r>
          </w:p>
        </w:tc>
        <w:tc>
          <w:tcPr>
            <w:tcW w:w="2195" w:type="dxa"/>
            <w:shd w:val="clear" w:color="auto" w:fill="auto"/>
          </w:tcPr>
          <w:p w14:paraId="4DA47748" w14:textId="24D66213" w:rsidR="00CE6664" w:rsidRPr="00BE0C02" w:rsidRDefault="00732C71" w:rsidP="00994FDC">
            <w:pPr>
              <w:pStyle w:val="Default"/>
              <w:spacing w:after="60"/>
              <w:rPr>
                <w:sz w:val="19"/>
                <w:szCs w:val="19"/>
              </w:rPr>
            </w:pPr>
            <w:r w:rsidRPr="00BE0C02">
              <w:rPr>
                <w:sz w:val="19"/>
                <w:szCs w:val="19"/>
              </w:rPr>
              <w:t>In scope</w:t>
            </w:r>
          </w:p>
        </w:tc>
      </w:tr>
    </w:tbl>
    <w:p w14:paraId="0C6B0ABE" w14:textId="7C2D6A1D" w:rsidR="00AB22DB" w:rsidRPr="00BE0C02" w:rsidRDefault="00AB22DB" w:rsidP="007E6349">
      <w:pPr>
        <w:pStyle w:val="NumBC1"/>
        <w:numPr>
          <w:ilvl w:val="0"/>
          <w:numId w:val="27"/>
        </w:numPr>
        <w:ind w:left="782" w:hanging="782"/>
        <w:rPr>
          <w:szCs w:val="19"/>
        </w:rPr>
      </w:pPr>
      <w:bookmarkStart w:id="101" w:name="_Ref16598685"/>
      <w:bookmarkEnd w:id="100"/>
      <w:r w:rsidRPr="00BE0C02">
        <w:rPr>
          <w:szCs w:val="19"/>
        </w:rPr>
        <w:t xml:space="preserve">Having determined the entities to be caught within the scope of this </w:t>
      </w:r>
      <w:r w:rsidR="000B69DF" w:rsidRPr="00BE0C02">
        <w:rPr>
          <w:szCs w:val="19"/>
        </w:rPr>
        <w:t>Standard</w:t>
      </w:r>
      <w:r w:rsidRPr="00BE0C02">
        <w:rPr>
          <w:szCs w:val="19"/>
        </w:rPr>
        <w:t xml:space="preserve">, the Board considered how best to revise the Tier 2 GPFS framework to appropriately balance the costs and benefits of </w:t>
      </w:r>
      <w:r w:rsidR="00066BAB" w:rsidRPr="00BE0C02">
        <w:rPr>
          <w:szCs w:val="19"/>
        </w:rPr>
        <w:t>th</w:t>
      </w:r>
      <w:r w:rsidR="007F106A" w:rsidRPr="00BE0C02">
        <w:rPr>
          <w:szCs w:val="19"/>
        </w:rPr>
        <w:t>is Standard</w:t>
      </w:r>
      <w:r w:rsidRPr="00BE0C02">
        <w:rPr>
          <w:szCs w:val="19"/>
        </w:rPr>
        <w:t xml:space="preserve">. The following section summarises the Board’s deliberations on revising the Tier 2 GPFS disclosure framework (that is detailed in the separate, but related </w:t>
      </w:r>
      <w:r w:rsidR="000B69DF" w:rsidRPr="00BE0C02">
        <w:rPr>
          <w:szCs w:val="19"/>
        </w:rPr>
        <w:t xml:space="preserve">Standard, </w:t>
      </w:r>
      <w:r w:rsidR="00360E31">
        <w:rPr>
          <w:szCs w:val="19"/>
        </w:rPr>
        <w:t>AASB 1060</w:t>
      </w:r>
      <w:r w:rsidRPr="00BE0C02">
        <w:rPr>
          <w:szCs w:val="19"/>
        </w:rPr>
        <w:t>).</w:t>
      </w:r>
      <w:bookmarkEnd w:id="101"/>
    </w:p>
    <w:p w14:paraId="684845B8" w14:textId="77777777" w:rsidR="00CD22B9" w:rsidRPr="00BE0C02" w:rsidRDefault="00CD22B9" w:rsidP="00CD22B9">
      <w:pPr>
        <w:pStyle w:val="Heading2"/>
        <w:rPr>
          <w:szCs w:val="26"/>
        </w:rPr>
      </w:pPr>
      <w:r w:rsidRPr="00BE0C02">
        <w:t xml:space="preserve">Tier 2 GPFS Framework </w:t>
      </w:r>
    </w:p>
    <w:p w14:paraId="37A78D32" w14:textId="4A9881C7" w:rsidR="00CD22B9" w:rsidRPr="00BE0C02" w:rsidRDefault="00CD22B9" w:rsidP="007E6349">
      <w:pPr>
        <w:pStyle w:val="NumBC1"/>
        <w:numPr>
          <w:ilvl w:val="0"/>
          <w:numId w:val="27"/>
        </w:numPr>
        <w:ind w:left="782" w:hanging="782"/>
      </w:pPr>
      <w:bookmarkStart w:id="102" w:name="_Ref9866904"/>
      <w:r w:rsidRPr="00BE0C02">
        <w:t>As noted in paragraph</w:t>
      </w:r>
      <w:r w:rsidR="00DA0E8F" w:rsidRPr="00BE0C02">
        <w:t xml:space="preserve"> </w:t>
      </w:r>
      <w:r w:rsidR="00DA0E8F" w:rsidRPr="00BE0C02">
        <w:fldChar w:fldCharType="begin"/>
      </w:r>
      <w:r w:rsidR="00DA0E8F" w:rsidRPr="00BE0C02">
        <w:instrText xml:space="preserve"> REF _Ref16630115 \r \h </w:instrText>
      </w:r>
      <w:r w:rsidR="00BE0C02">
        <w:instrText xml:space="preserve"> \* MERGEFORMAT </w:instrText>
      </w:r>
      <w:r w:rsidR="00DA0E8F" w:rsidRPr="00BE0C02">
        <w:fldChar w:fldCharType="separate"/>
      </w:r>
      <w:r w:rsidR="00E354C4">
        <w:t>BC6</w:t>
      </w:r>
      <w:r w:rsidR="00DA0E8F" w:rsidRPr="00BE0C02">
        <w:fldChar w:fldCharType="end"/>
      </w:r>
      <w:r w:rsidRPr="00BE0C02">
        <w:t xml:space="preserve">, the Board acknowledges that it would be inappropriate to remove the </w:t>
      </w:r>
      <w:r w:rsidR="008511F5" w:rsidRPr="00BE0C02">
        <w:t>ability of</w:t>
      </w:r>
      <w:r w:rsidRPr="00BE0C02">
        <w:t xml:space="preserve"> certain</w:t>
      </w:r>
      <w:r w:rsidR="0071631B" w:rsidRPr="00BE0C02">
        <w:t xml:space="preserve"> for-profit private sector</w:t>
      </w:r>
      <w:r w:rsidRPr="00BE0C02">
        <w:t xml:space="preserve"> entities to prepare SPFS where they are required to prepare financial statements that comply with AAS, and replace them with GPFS, without reconsidering the Tier 2 GPFS framework, because the current Tier 2 GPFS framework is considered too onerous. The Phase 2 approach in ITC 39 contemplated revising the Tier 2 GPFS framework in AASB 1053 to include one of two alternatives as noted in paragraph </w:t>
      </w:r>
      <w:r w:rsidRPr="00BE0C02">
        <w:fldChar w:fldCharType="begin"/>
      </w:r>
      <w:r w:rsidRPr="00BE0C02">
        <w:instrText xml:space="preserve"> REF _Ref13573550 \r \h </w:instrText>
      </w:r>
      <w:r w:rsidR="00BE0C02">
        <w:instrText xml:space="preserve"> \* MERGEFORMAT </w:instrText>
      </w:r>
      <w:r w:rsidRPr="00BE0C02">
        <w:fldChar w:fldCharType="separate"/>
      </w:r>
      <w:r w:rsidR="00E354C4">
        <w:t>BC56</w:t>
      </w:r>
      <w:r w:rsidRPr="00BE0C02">
        <w:fldChar w:fldCharType="end"/>
      </w:r>
      <w:r w:rsidRPr="00BE0C02">
        <w:t>:</w:t>
      </w:r>
      <w:bookmarkEnd w:id="102"/>
    </w:p>
    <w:p w14:paraId="31E0797A" w14:textId="6A26B297" w:rsidR="00CD22B9" w:rsidRPr="00BE0C02" w:rsidRDefault="00CD22B9" w:rsidP="007E6349">
      <w:pPr>
        <w:pStyle w:val="NumDPlain2"/>
        <w:numPr>
          <w:ilvl w:val="1"/>
          <w:numId w:val="80"/>
        </w:numPr>
        <w:ind w:left="1564" w:hanging="782"/>
      </w:pPr>
      <w:bookmarkStart w:id="103" w:name="_Ref9919713"/>
      <w:r w:rsidRPr="00BE0C02">
        <w:lastRenderedPageBreak/>
        <w:t>RDR – The existing Tier 2 GPFS framework as currently exists in AASB 1053, consisting of full R&amp;M, including consolidation and equity accounting (where applicable) with reduced disclosures from each applicable AAS; and</w:t>
      </w:r>
      <w:bookmarkEnd w:id="103"/>
    </w:p>
    <w:p w14:paraId="0BA10DA6" w14:textId="371B37AD" w:rsidR="00CD22B9" w:rsidRPr="00BE0C02" w:rsidRDefault="00CD22B9" w:rsidP="007E6349">
      <w:pPr>
        <w:pStyle w:val="NumDPlain2"/>
        <w:numPr>
          <w:ilvl w:val="1"/>
          <w:numId w:val="80"/>
        </w:numPr>
        <w:ind w:left="1564" w:hanging="782"/>
      </w:pPr>
      <w:bookmarkStart w:id="104" w:name="_Ref8999639"/>
      <w:r w:rsidRPr="00BE0C02">
        <w:t>SDR – A new Tier 2 GPFS framework that would consist of full R&amp;M including consolidation and equity accounting (where applicable), however with specified disclosures from some AAS.</w:t>
      </w:r>
      <w:r w:rsidR="008511F5" w:rsidRPr="00BE0C02">
        <w:t xml:space="preserve"> </w:t>
      </w:r>
      <w:r w:rsidRPr="00BE0C02">
        <w:t xml:space="preserve">Those standards are those </w:t>
      </w:r>
      <w:r w:rsidRPr="00BE0C02">
        <w:rPr>
          <w:szCs w:val="19"/>
        </w:rPr>
        <w:t xml:space="preserve">that are currently </w:t>
      </w:r>
      <w:r w:rsidRPr="00BE0C02">
        <w:t>mandatory</w:t>
      </w:r>
      <w:r w:rsidRPr="00BE0C02">
        <w:rPr>
          <w:szCs w:val="19"/>
        </w:rPr>
        <w:t xml:space="preserve"> for entities required to prepare financial statements in accordance with Chapter 2M of the </w:t>
      </w:r>
      <w:r w:rsidRPr="00BE0C02">
        <w:rPr>
          <w:i/>
        </w:rPr>
        <w:t>Corporations Act 2001</w:t>
      </w:r>
      <w:r w:rsidRPr="00BE0C02">
        <w:rPr>
          <w:szCs w:val="19"/>
        </w:rPr>
        <w:t>, being AASB 101, AASB 107, AASB 108, AASB 1048 and AASB 1054</w:t>
      </w:r>
      <w:r w:rsidRPr="00BE0C02">
        <w:t>,</w:t>
      </w:r>
      <w:r w:rsidRPr="00BE0C02">
        <w:rPr>
          <w:szCs w:val="19"/>
        </w:rPr>
        <w:t xml:space="preserve"> plus the disclosures required by AASB 124 </w:t>
      </w:r>
      <w:r w:rsidRPr="00BE0C02">
        <w:rPr>
          <w:i/>
        </w:rPr>
        <w:t>Related Party Disclosures</w:t>
      </w:r>
      <w:r w:rsidRPr="00BE0C02">
        <w:rPr>
          <w:szCs w:val="19"/>
        </w:rPr>
        <w:t xml:space="preserve">, AASB 136 </w:t>
      </w:r>
      <w:r w:rsidRPr="00BE0C02">
        <w:rPr>
          <w:i/>
        </w:rPr>
        <w:t>Impairment of Assets</w:t>
      </w:r>
      <w:r w:rsidRPr="00BE0C02">
        <w:rPr>
          <w:szCs w:val="19"/>
        </w:rPr>
        <w:t xml:space="preserve">, AASB 15 </w:t>
      </w:r>
      <w:r w:rsidRPr="00BE0C02">
        <w:rPr>
          <w:i/>
        </w:rPr>
        <w:t>Revenue from Contracts with Customers</w:t>
      </w:r>
      <w:r w:rsidRPr="00BE0C02">
        <w:rPr>
          <w:szCs w:val="19"/>
        </w:rPr>
        <w:t xml:space="preserve"> and AASB 112 </w:t>
      </w:r>
      <w:r w:rsidRPr="00BE0C02">
        <w:rPr>
          <w:i/>
        </w:rPr>
        <w:t>Income Taxes</w:t>
      </w:r>
      <w:r w:rsidRPr="00BE0C02">
        <w:rPr>
          <w:szCs w:val="19"/>
        </w:rPr>
        <w:t>.</w:t>
      </w:r>
      <w:bookmarkEnd w:id="104"/>
      <w:r w:rsidRPr="00BE0C02">
        <w:rPr>
          <w:szCs w:val="19"/>
        </w:rPr>
        <w:t xml:space="preserve"> </w:t>
      </w:r>
    </w:p>
    <w:p w14:paraId="3C9541FE" w14:textId="386809AF" w:rsidR="00CD22B9" w:rsidRPr="00BE0C02" w:rsidRDefault="00CD22B9" w:rsidP="007E6349">
      <w:pPr>
        <w:pStyle w:val="NumBC1"/>
        <w:numPr>
          <w:ilvl w:val="0"/>
          <w:numId w:val="27"/>
        </w:numPr>
        <w:spacing w:after="80"/>
        <w:ind w:left="782" w:hanging="782"/>
      </w:pPr>
      <w:bookmarkStart w:id="105" w:name="_Ref10046392"/>
      <w:r w:rsidRPr="00BE0C02">
        <w:rPr>
          <w:szCs w:val="19"/>
        </w:rPr>
        <w:t>As noted in paragraph</w:t>
      </w:r>
      <w:r w:rsidR="0093139D" w:rsidRPr="00BE0C02">
        <w:rPr>
          <w:szCs w:val="19"/>
        </w:rPr>
        <w:t xml:space="preserve"> </w:t>
      </w:r>
      <w:r w:rsidR="0093139D" w:rsidRPr="00BE0C02">
        <w:rPr>
          <w:szCs w:val="19"/>
        </w:rPr>
        <w:fldChar w:fldCharType="begin"/>
      </w:r>
      <w:r w:rsidR="0093139D" w:rsidRPr="00BE0C02">
        <w:rPr>
          <w:szCs w:val="19"/>
        </w:rPr>
        <w:instrText xml:space="preserve"> REF _Ref16191420 \r \h </w:instrText>
      </w:r>
      <w:r w:rsidR="00BE0C02">
        <w:rPr>
          <w:szCs w:val="19"/>
        </w:rPr>
        <w:instrText xml:space="preserve"> \* MERGEFORMAT </w:instrText>
      </w:r>
      <w:r w:rsidR="0093139D" w:rsidRPr="00BE0C02">
        <w:rPr>
          <w:szCs w:val="19"/>
        </w:rPr>
      </w:r>
      <w:r w:rsidR="0093139D" w:rsidRPr="00BE0C02">
        <w:rPr>
          <w:szCs w:val="19"/>
        </w:rPr>
        <w:fldChar w:fldCharType="separate"/>
      </w:r>
      <w:r w:rsidR="00E354C4">
        <w:rPr>
          <w:szCs w:val="19"/>
        </w:rPr>
        <w:t>BC58</w:t>
      </w:r>
      <w:r w:rsidR="0093139D" w:rsidRPr="00BE0C02">
        <w:rPr>
          <w:szCs w:val="19"/>
        </w:rPr>
        <w:fldChar w:fldCharType="end"/>
      </w:r>
      <w:r w:rsidRPr="00BE0C02">
        <w:rPr>
          <w:szCs w:val="19"/>
        </w:rPr>
        <w:t>, t</w:t>
      </w:r>
      <w:r w:rsidRPr="00BE0C02">
        <w:t>he feedback from the roundtables, user and preparer surveys and submissions on Phase 2 of ITC 39 indicated that:</w:t>
      </w:r>
    </w:p>
    <w:p w14:paraId="451178F3" w14:textId="3BC016C1" w:rsidR="00CD22B9" w:rsidRPr="00BE0C02" w:rsidRDefault="00CD22B9" w:rsidP="007E6349">
      <w:pPr>
        <w:pStyle w:val="NumBC1"/>
        <w:numPr>
          <w:ilvl w:val="0"/>
          <w:numId w:val="72"/>
        </w:numPr>
        <w:spacing w:after="80"/>
        <w:ind w:left="1564" w:hanging="782"/>
      </w:pPr>
      <w:r w:rsidRPr="00BE0C02">
        <w:t>RDR has too many disclosure requirements</w:t>
      </w:r>
      <w:r w:rsidRPr="00BE0C02">
        <w:rPr>
          <w:szCs w:val="19"/>
        </w:rPr>
        <w:t>; and</w:t>
      </w:r>
    </w:p>
    <w:p w14:paraId="4A59EDA6" w14:textId="3A9113BA" w:rsidR="00CD22B9" w:rsidRPr="00BE0C02" w:rsidRDefault="00CD22B9" w:rsidP="007E6349">
      <w:pPr>
        <w:pStyle w:val="NumBC1"/>
        <w:numPr>
          <w:ilvl w:val="0"/>
          <w:numId w:val="72"/>
        </w:numPr>
        <w:spacing w:after="80"/>
        <w:ind w:left="1564" w:hanging="782"/>
      </w:pPr>
      <w:r w:rsidRPr="00BE0C02">
        <w:rPr>
          <w:szCs w:val="19"/>
        </w:rPr>
        <w:t xml:space="preserve">SDR </w:t>
      </w:r>
      <w:r w:rsidR="00C20457" w:rsidRPr="00BE0C02">
        <w:rPr>
          <w:szCs w:val="19"/>
        </w:rPr>
        <w:t>wa</w:t>
      </w:r>
      <w:r w:rsidRPr="00BE0C02">
        <w:rPr>
          <w:szCs w:val="19"/>
        </w:rPr>
        <w:t>s too much in some ways but f</w:t>
      </w:r>
      <w:r w:rsidR="00C20457" w:rsidRPr="00BE0C02">
        <w:rPr>
          <w:szCs w:val="19"/>
        </w:rPr>
        <w:t>e</w:t>
      </w:r>
      <w:r w:rsidRPr="00BE0C02">
        <w:rPr>
          <w:szCs w:val="19"/>
        </w:rPr>
        <w:t xml:space="preserve">ll short in many other ways. For example, the feedback received from roundtables, user and preparer surveys and submissions on Phase 2 of ITC 39 was that whilst the disclosures in SDR are important, requiring all disclosures from those nine Standards was too much. Most participants further suggested that SDR might not be appropriate for all industry sectors and is missing some critical disclosures to help predict the viability of an entity such as liquidity, contingent liabilities, subsequent events and commitments. </w:t>
      </w:r>
    </w:p>
    <w:p w14:paraId="566147B5" w14:textId="344B209F" w:rsidR="00CD22B9" w:rsidRPr="00BE0C02" w:rsidRDefault="00CD22B9" w:rsidP="007E6349">
      <w:pPr>
        <w:pStyle w:val="NumBC1"/>
        <w:numPr>
          <w:ilvl w:val="0"/>
          <w:numId w:val="27"/>
        </w:numPr>
        <w:ind w:left="782" w:hanging="782"/>
      </w:pPr>
      <w:bookmarkStart w:id="106" w:name="_Ref15929315"/>
      <w:r w:rsidRPr="00BE0C02">
        <w:t xml:space="preserve">As a consequence, the Board decided to propose a third alternative to replace the current disclosure aspects of Tier 2 GPFS disclosure framework, being a new and separate disclosure </w:t>
      </w:r>
      <w:r w:rsidR="00D635BF" w:rsidRPr="00BE0C02">
        <w:t>s</w:t>
      </w:r>
      <w:r w:rsidRPr="00BE0C02">
        <w:t>tandard for entities reporting under the Tier 2 GPFS framework, termed ‘Simplified Disclosures</w:t>
      </w:r>
      <w:r w:rsidR="00732C71" w:rsidRPr="00BE0C02">
        <w:t>’</w:t>
      </w:r>
      <w:r w:rsidRPr="00BE0C02">
        <w:t>. It would be based on the disclosure requirements of</w:t>
      </w:r>
      <w:r w:rsidR="0071631B" w:rsidRPr="00BE0C02">
        <w:t xml:space="preserve"> the</w:t>
      </w:r>
      <w:r w:rsidRPr="00BE0C02">
        <w:t xml:space="preserve"> </w:t>
      </w:r>
      <w:r w:rsidRPr="00BE0C02">
        <w:rPr>
          <w:iCs/>
        </w:rPr>
        <w:t>IFRS for SMEs Standard</w:t>
      </w:r>
      <w:r w:rsidR="009F66A9" w:rsidRPr="00BE0C02">
        <w:rPr>
          <w:iCs/>
        </w:rPr>
        <w:t xml:space="preserve">, but retain the </w:t>
      </w:r>
      <w:r w:rsidR="008C0446">
        <w:rPr>
          <w:iCs/>
        </w:rPr>
        <w:t>R&amp;M</w:t>
      </w:r>
      <w:r w:rsidR="009F66A9" w:rsidRPr="00BE0C02">
        <w:rPr>
          <w:iCs/>
        </w:rPr>
        <w:t xml:space="preserve"> requirements in AAS</w:t>
      </w:r>
      <w:r w:rsidRPr="00BE0C02">
        <w:t>.</w:t>
      </w:r>
      <w:bookmarkEnd w:id="105"/>
      <w:bookmarkEnd w:id="106"/>
    </w:p>
    <w:p w14:paraId="6D08D167" w14:textId="24A02A4B" w:rsidR="00CD22B9" w:rsidRPr="00BE0C02" w:rsidRDefault="00CD22B9" w:rsidP="007E6349">
      <w:pPr>
        <w:pStyle w:val="NumBC1"/>
        <w:numPr>
          <w:ilvl w:val="0"/>
          <w:numId w:val="27"/>
        </w:numPr>
        <w:ind w:left="782" w:hanging="782"/>
      </w:pPr>
      <w:bookmarkStart w:id="107" w:name="_Ref13485098"/>
      <w:r w:rsidRPr="00BE0C02">
        <w:t>The disclosures required by the Simplified Disclosure</w:t>
      </w:r>
      <w:r w:rsidR="00EA742D" w:rsidRPr="00BE0C02">
        <w:t xml:space="preserve">s Standard </w:t>
      </w:r>
      <w:r w:rsidRPr="00BE0C02">
        <w:t xml:space="preserve">are </w:t>
      </w:r>
      <w:r w:rsidR="00775D44" w:rsidRPr="00BE0C02">
        <w:t xml:space="preserve">set out </w:t>
      </w:r>
      <w:r w:rsidRPr="00BE0C02">
        <w:t xml:space="preserve">in a separate </w:t>
      </w:r>
      <w:r w:rsidR="00D53752" w:rsidRPr="00BE0C02">
        <w:t xml:space="preserve">but related </w:t>
      </w:r>
      <w:r w:rsidR="00775D44" w:rsidRPr="00BE0C02">
        <w:t xml:space="preserve">Standard, </w:t>
      </w:r>
      <w:r w:rsidR="00360E31">
        <w:t>AASB 1060</w:t>
      </w:r>
      <w:r w:rsidRPr="00BE0C02">
        <w:t xml:space="preserve">, and have been developed via a ‘bottom-up’ approach based on the disclosures in the </w:t>
      </w:r>
      <w:r w:rsidRPr="00BE0C02">
        <w:rPr>
          <w:iCs/>
        </w:rPr>
        <w:t>IFRS for SMEs</w:t>
      </w:r>
      <w:r w:rsidRPr="00BE0C02">
        <w:t xml:space="preserve"> Standard, without reference to the full IFRS disclosures (ie no shading).</w:t>
      </w:r>
      <w:bookmarkEnd w:id="107"/>
      <w:r w:rsidR="000E11E1">
        <w:t xml:space="preserve">  The Board’s decisions on the content of </w:t>
      </w:r>
      <w:r w:rsidR="001920A8">
        <w:t>the Simplified Disclos</w:t>
      </w:r>
      <w:r w:rsidR="002570CE">
        <w:t>u</w:t>
      </w:r>
      <w:r w:rsidR="001920A8">
        <w:t>res Standard</w:t>
      </w:r>
      <w:r w:rsidR="002570CE">
        <w:t xml:space="preserve"> are set out in </w:t>
      </w:r>
      <w:r w:rsidR="0024220A">
        <w:t xml:space="preserve">the </w:t>
      </w:r>
      <w:r w:rsidR="002570CE">
        <w:t>Basis for Conclusions</w:t>
      </w:r>
      <w:r w:rsidR="0024220A">
        <w:t xml:space="preserve"> to AASB 1060</w:t>
      </w:r>
      <w:r w:rsidR="002570CE">
        <w:t>.</w:t>
      </w:r>
    </w:p>
    <w:p w14:paraId="065656C8" w14:textId="77777777" w:rsidR="00CD22B9" w:rsidRPr="00BE0C02" w:rsidRDefault="00CD22B9" w:rsidP="00267FDF">
      <w:pPr>
        <w:pStyle w:val="Heading4"/>
        <w:spacing w:before="200"/>
      </w:pPr>
      <w:r w:rsidRPr="00BE0C02">
        <w:t>One Tier 2 GPFS Framework</w:t>
      </w:r>
    </w:p>
    <w:p w14:paraId="394BDB99" w14:textId="77777777" w:rsidR="00CD22B9" w:rsidRPr="00BE0C02" w:rsidRDefault="00CD22B9" w:rsidP="007E6349">
      <w:pPr>
        <w:pStyle w:val="NumBC1"/>
        <w:numPr>
          <w:ilvl w:val="0"/>
          <w:numId w:val="27"/>
        </w:numPr>
        <w:ind w:left="782" w:hanging="782"/>
      </w:pPr>
      <w:r w:rsidRPr="00BE0C02">
        <w:t>Some respondents to Phase 2 of ITC 39 suggested that more than one Tier 2 GPFS framework was necessary, as having only one Tier 2 GPFS framework is too limited.</w:t>
      </w:r>
    </w:p>
    <w:p w14:paraId="66B0CEC3" w14:textId="5AA14D24" w:rsidR="003A3054" w:rsidRPr="00BE0C02" w:rsidRDefault="003A3054" w:rsidP="003A3054">
      <w:pPr>
        <w:pStyle w:val="NumBC1"/>
        <w:numPr>
          <w:ilvl w:val="0"/>
          <w:numId w:val="27"/>
        </w:numPr>
        <w:ind w:left="782" w:hanging="782"/>
      </w:pPr>
      <w:bookmarkStart w:id="108" w:name="_Ref16630191"/>
      <w:r w:rsidRPr="00BE0C02">
        <w:t>The Board noted transition costs, and the ongoing costs of training and maintenance of either two Tier 2 GPFS frameworks or even three tiers of GPFS reporting for users, preparers, auditors and regulators for only 1.3%</w:t>
      </w:r>
      <w:r w:rsidRPr="00BE0C02">
        <w:rPr>
          <w:rStyle w:val="FootnoteReference"/>
        </w:rPr>
        <w:footnoteReference w:id="38"/>
      </w:r>
      <w:r w:rsidRPr="00BE0C02">
        <w:t xml:space="preserve"> of actively trading entities outweighed any potential benefits.</w:t>
      </w:r>
      <w:bookmarkEnd w:id="108"/>
    </w:p>
    <w:p w14:paraId="2E34451D" w14:textId="2C66BB84" w:rsidR="00CD22B9" w:rsidRPr="00BE0C02" w:rsidRDefault="00CD22B9" w:rsidP="007E6349">
      <w:pPr>
        <w:pStyle w:val="NumBC1"/>
        <w:numPr>
          <w:ilvl w:val="0"/>
          <w:numId w:val="27"/>
        </w:numPr>
        <w:ind w:left="782" w:hanging="782"/>
      </w:pPr>
      <w:bookmarkStart w:id="109" w:name="_Ref9865892"/>
      <w:r w:rsidRPr="00BE0C02">
        <w:t>As note</w:t>
      </w:r>
      <w:r w:rsidR="009D134F" w:rsidRPr="00BE0C02">
        <w:t>d</w:t>
      </w:r>
      <w:r w:rsidRPr="00BE0C02">
        <w:t xml:space="preserve"> in paragraph</w:t>
      </w:r>
      <w:r w:rsidR="00DA0E8F" w:rsidRPr="00BE0C02">
        <w:t xml:space="preserve"> </w:t>
      </w:r>
      <w:r w:rsidR="00DA0E8F" w:rsidRPr="00BE0C02">
        <w:fldChar w:fldCharType="begin"/>
      </w:r>
      <w:r w:rsidR="00DA0E8F" w:rsidRPr="00BE0C02">
        <w:instrText xml:space="preserve"> REF _Ref15392909 \r \h </w:instrText>
      </w:r>
      <w:r w:rsidR="00BE0C02">
        <w:instrText xml:space="preserve"> \* MERGEFORMAT </w:instrText>
      </w:r>
      <w:r w:rsidR="00DA0E8F" w:rsidRPr="00BE0C02">
        <w:fldChar w:fldCharType="separate"/>
      </w:r>
      <w:r w:rsidR="00E354C4">
        <w:t>BC73</w:t>
      </w:r>
      <w:r w:rsidR="00DA0E8F" w:rsidRPr="00BE0C02">
        <w:fldChar w:fldCharType="end"/>
      </w:r>
      <w:r w:rsidRPr="00BE0C02">
        <w:t xml:space="preserve">, the Board </w:t>
      </w:r>
      <w:r w:rsidR="00186F85" w:rsidRPr="00BE0C02">
        <w:t>observed</w:t>
      </w:r>
      <w:r w:rsidRPr="00BE0C02">
        <w:t xml:space="preserve"> that of the 2.5 million companies registered with ASIC in 2016-2017, only approximately 840,000 were actively trading, and of those there were only approximately 12,</w:t>
      </w:r>
      <w:r w:rsidR="00E04CC8" w:rsidRPr="00BE0C02">
        <w:t>797</w:t>
      </w:r>
      <w:r w:rsidRPr="00BE0C02">
        <w:t xml:space="preserve"> </w:t>
      </w:r>
      <w:r w:rsidR="001453E2" w:rsidRPr="00BE0C02">
        <w:t xml:space="preserve">specified </w:t>
      </w:r>
      <w:r w:rsidRPr="00BE0C02">
        <w:t xml:space="preserve">for-profit private sector entities that were required to prepare </w:t>
      </w:r>
      <w:r w:rsidR="00FA3A59" w:rsidRPr="00BE0C02">
        <w:t xml:space="preserve">and lodge </w:t>
      </w:r>
      <w:r w:rsidRPr="00BE0C02">
        <w:t>financial statements (at July 2018). This represents approximately only 1.</w:t>
      </w:r>
      <w:r w:rsidR="00E04CC8" w:rsidRPr="00BE0C02">
        <w:t>5</w:t>
      </w:r>
      <w:r w:rsidRPr="00BE0C02">
        <w:t xml:space="preserve">% of the total population of trading entities. The Board further noted that Treasury’s increase of the large proprietary company thresholds </w:t>
      </w:r>
      <w:r w:rsidRPr="00BE0C02" w:rsidDel="000D0D65">
        <w:t xml:space="preserve">would </w:t>
      </w:r>
      <w:r w:rsidRPr="00BE0C02">
        <w:t>further reduce this number to 1.</w:t>
      </w:r>
      <w:r w:rsidR="00843BDA" w:rsidRPr="00BE0C02">
        <w:t>3</w:t>
      </w:r>
      <w:r w:rsidRPr="00BE0C02">
        <w:t>% of the population of trading entities. The Board noted that this is a very small proportion of the total number of trading entities and having one Tier 2 GPFS framework for this population was sufficient.</w:t>
      </w:r>
      <w:bookmarkEnd w:id="109"/>
    </w:p>
    <w:p w14:paraId="264C3CC8" w14:textId="1D8945E8" w:rsidR="00CD22B9" w:rsidRPr="00BE0C02" w:rsidRDefault="00CD22B9" w:rsidP="007E6349">
      <w:pPr>
        <w:pStyle w:val="NumBC1"/>
        <w:numPr>
          <w:ilvl w:val="0"/>
          <w:numId w:val="27"/>
        </w:numPr>
        <w:ind w:left="782" w:hanging="782"/>
      </w:pPr>
      <w:r w:rsidRPr="00BE0C02">
        <w:t>The Board also noted the results of a survey conducted by an accounting firm in Australia that asked respondents to answer a polling question regarding whether additional tier(s) of GPFS reporting should be considered. In response, 52% (118 of the 228 respondents) stated no, 18% (41 of the 228 respondents) stated yes and 30% (69 of the 228 respondents) weren’t sure. The Board however noted that of those respondents who answered ‘yes’ to this question, a number of them provided suggestions specific to the NFP sector.</w:t>
      </w:r>
    </w:p>
    <w:p w14:paraId="190B742C" w14:textId="352D46DF" w:rsidR="004C3ABA" w:rsidRPr="00BE0C02" w:rsidRDefault="00CD22B9" w:rsidP="007E6349">
      <w:pPr>
        <w:pStyle w:val="NumBC1"/>
        <w:numPr>
          <w:ilvl w:val="0"/>
          <w:numId w:val="27"/>
        </w:numPr>
        <w:ind w:left="782" w:hanging="782"/>
      </w:pPr>
      <w:bookmarkStart w:id="110" w:name="_Ref14982183"/>
      <w:r w:rsidRPr="00BE0C02">
        <w:t>Some respondents felt that additional tiers of GPFS reporting with varying degrees of disclosure may be useful</w:t>
      </w:r>
      <w:r w:rsidR="00274A17" w:rsidRPr="00BE0C02">
        <w:t>,</w:t>
      </w:r>
      <w:r w:rsidRPr="00BE0C02">
        <w:t xml:space="preserve"> as entities preparing financial statements range in size and complexity. The Board emphasised that entities without a statutory requirement to comply with AAS, such as those below the now</w:t>
      </w:r>
      <w:r w:rsidR="00DC391E" w:rsidRPr="00BE0C02">
        <w:t xml:space="preserve"> </w:t>
      </w:r>
      <w:r w:rsidRPr="00BE0C02">
        <w:t xml:space="preserve">doubled large proprietary company thresholds in the </w:t>
      </w:r>
      <w:r w:rsidRPr="00BE0C02">
        <w:rPr>
          <w:i/>
        </w:rPr>
        <w:t>Corporations Act 2001</w:t>
      </w:r>
      <w:r w:rsidRPr="00BE0C02">
        <w:rPr>
          <w:iCs/>
        </w:rPr>
        <w:t>,</w:t>
      </w:r>
      <w:r w:rsidRPr="00BE0C02">
        <w:t xml:space="preserve"> would be able to continue to tailor their financial statements to the needs of their specific users and therefore additional </w:t>
      </w:r>
      <w:r w:rsidR="00111253" w:rsidRPr="00BE0C02">
        <w:t>t</w:t>
      </w:r>
      <w:r w:rsidRPr="00BE0C02">
        <w:t xml:space="preserve">iers </w:t>
      </w:r>
      <w:r w:rsidR="00111253" w:rsidRPr="00BE0C02">
        <w:t xml:space="preserve">of GPFS reporting </w:t>
      </w:r>
      <w:r w:rsidRPr="00BE0C02">
        <w:t>were not required.</w:t>
      </w:r>
      <w:r w:rsidR="00535643" w:rsidRPr="00BE0C02">
        <w:t xml:space="preserve"> </w:t>
      </w:r>
      <w:r w:rsidR="00FC6D21" w:rsidRPr="00BE0C02">
        <w:t>Further, there are only a</w:t>
      </w:r>
      <w:r w:rsidR="00CB34E4" w:rsidRPr="00BE0C02">
        <w:t>n</w:t>
      </w:r>
      <w:r w:rsidR="00FC6D21" w:rsidRPr="00BE0C02">
        <w:t xml:space="preserve"> </w:t>
      </w:r>
      <w:r w:rsidR="00CB34E4" w:rsidRPr="00BE0C02">
        <w:t>estimated</w:t>
      </w:r>
      <w:r w:rsidR="00FC6D21" w:rsidRPr="00BE0C02">
        <w:t xml:space="preserve"> maximum of </w:t>
      </w:r>
      <w:r w:rsidR="0071631B" w:rsidRPr="00BE0C02">
        <w:t xml:space="preserve">approximately </w:t>
      </w:r>
      <w:r w:rsidR="001A2669" w:rsidRPr="00BE0C02">
        <w:t>4,</w:t>
      </w:r>
      <w:r w:rsidR="003503EA" w:rsidRPr="00BE0C02">
        <w:t>5</w:t>
      </w:r>
      <w:r w:rsidR="001A2669" w:rsidRPr="00BE0C02">
        <w:t>00</w:t>
      </w:r>
      <w:r w:rsidR="0071631B" w:rsidRPr="00BE0C02">
        <w:t xml:space="preserve"> </w:t>
      </w:r>
      <w:r w:rsidR="00FC6D21" w:rsidRPr="00BE0C02">
        <w:t>entities</w:t>
      </w:r>
      <w:r w:rsidR="009947E0" w:rsidRPr="00BE0C02">
        <w:t xml:space="preserve"> (subsequent to Treasury increasing the thresholds used for determining what constitutes a large proprietary company) that may be </w:t>
      </w:r>
      <w:r w:rsidR="00B02CED" w:rsidRPr="00BE0C02">
        <w:t xml:space="preserve">required to prepare financial statements under Part 2M.3 of the </w:t>
      </w:r>
      <w:r w:rsidR="00B02CED" w:rsidRPr="00BE0C02">
        <w:rPr>
          <w:i/>
        </w:rPr>
        <w:t>Corporations Act 2001</w:t>
      </w:r>
      <w:r w:rsidR="00B02CED" w:rsidRPr="00BE0C02">
        <w:t xml:space="preserve"> </w:t>
      </w:r>
      <w:r w:rsidR="00FC6D21" w:rsidRPr="00BE0C02">
        <w:t xml:space="preserve">who would be </w:t>
      </w:r>
      <w:r w:rsidR="005B4E6A" w:rsidRPr="00BE0C02">
        <w:t xml:space="preserve">able </w:t>
      </w:r>
      <w:r w:rsidR="009947E0" w:rsidRPr="00BE0C02">
        <w:t>to use</w:t>
      </w:r>
      <w:r w:rsidR="005B4E6A" w:rsidRPr="00BE0C02">
        <w:t xml:space="preserve"> a T</w:t>
      </w:r>
      <w:r w:rsidR="00FC6D21" w:rsidRPr="00BE0C02">
        <w:t xml:space="preserve">ier 2 </w:t>
      </w:r>
      <w:r w:rsidR="005B4E6A" w:rsidRPr="00BE0C02">
        <w:t>GPFS framework</w:t>
      </w:r>
      <w:r w:rsidR="001A2669" w:rsidRPr="00BE0C02">
        <w:t xml:space="preserve"> (including those currently preparing Tier 1 and Tier 2 GPFS)</w:t>
      </w:r>
      <w:r w:rsidR="009947E0" w:rsidRPr="00BE0C02">
        <w:t xml:space="preserve">. </w:t>
      </w:r>
    </w:p>
    <w:p w14:paraId="63527D71" w14:textId="191DB713" w:rsidR="00B02CED" w:rsidRPr="00BE0C02" w:rsidRDefault="00FC6D21" w:rsidP="007E6349">
      <w:pPr>
        <w:pStyle w:val="NumBC1"/>
        <w:numPr>
          <w:ilvl w:val="0"/>
          <w:numId w:val="27"/>
        </w:numPr>
        <w:ind w:left="782" w:hanging="782"/>
      </w:pPr>
      <w:bookmarkStart w:id="111" w:name="_Ref32506093"/>
      <w:r w:rsidRPr="00BE0C02">
        <w:lastRenderedPageBreak/>
        <w:t xml:space="preserve">Further, separating this </w:t>
      </w:r>
      <w:r w:rsidR="00F62E2E" w:rsidRPr="00BE0C02">
        <w:t xml:space="preserve">already small proportion of the total </w:t>
      </w:r>
      <w:r w:rsidRPr="00BE0C02">
        <w:t xml:space="preserve">population </w:t>
      </w:r>
      <w:r w:rsidR="00F62E2E" w:rsidRPr="00BE0C02">
        <w:t>(i</w:t>
      </w:r>
      <w:r w:rsidR="00DB63B4" w:rsidRPr="00BE0C02">
        <w:t xml:space="preserve">e 1.3% or </w:t>
      </w:r>
      <w:r w:rsidR="0071631B" w:rsidRPr="00BE0C02">
        <w:t xml:space="preserve">approximately </w:t>
      </w:r>
      <w:r w:rsidR="00DB63B4" w:rsidRPr="00BE0C02">
        <w:t>10,</w:t>
      </w:r>
      <w:r w:rsidR="000F6A38" w:rsidRPr="00BE0C02">
        <w:t>5</w:t>
      </w:r>
      <w:r w:rsidR="00DB63B4" w:rsidRPr="00BE0C02">
        <w:t>00</w:t>
      </w:r>
      <w:r w:rsidR="0071631B" w:rsidRPr="00BE0C02">
        <w:t xml:space="preserve"> entities</w:t>
      </w:r>
      <w:r w:rsidR="00F62E2E" w:rsidRPr="00BE0C02">
        <w:t xml:space="preserve">) </w:t>
      </w:r>
      <w:r w:rsidRPr="00BE0C02">
        <w:t xml:space="preserve">into </w:t>
      </w:r>
      <w:r w:rsidR="00F62E2E" w:rsidRPr="00BE0C02">
        <w:t xml:space="preserve">more than one </w:t>
      </w:r>
      <w:r w:rsidRPr="00BE0C02">
        <w:t>tier would require objective criteria on which to make this separation. Treasury</w:t>
      </w:r>
      <w:r w:rsidR="00F62E2E" w:rsidRPr="00BE0C02">
        <w:t xml:space="preserve">’s consultation on </w:t>
      </w:r>
      <w:r w:rsidR="00186F85" w:rsidRPr="00BE0C02">
        <w:t>its</w:t>
      </w:r>
      <w:r w:rsidR="00F62E2E" w:rsidRPr="00BE0C02">
        <w:t xml:space="preserve"> proposals to increase the </w:t>
      </w:r>
      <w:r w:rsidRPr="00BE0C02">
        <w:t xml:space="preserve">thresholds used for determining what constitutes a large proprietary company </w:t>
      </w:r>
      <w:r w:rsidR="00F62E2E" w:rsidRPr="00BE0C02">
        <w:t xml:space="preserve">considered this, and </w:t>
      </w:r>
      <w:r w:rsidRPr="00BE0C02">
        <w:t>determined there should only be a large, small distinction</w:t>
      </w:r>
      <w:r w:rsidR="00B02CED" w:rsidRPr="00BE0C02">
        <w:t>.</w:t>
      </w:r>
      <w:bookmarkEnd w:id="111"/>
    </w:p>
    <w:p w14:paraId="55C496ED" w14:textId="1A8078C1" w:rsidR="00CD22B9" w:rsidRPr="00BE0C02" w:rsidRDefault="00535643" w:rsidP="007E6349">
      <w:pPr>
        <w:pStyle w:val="NumBC1"/>
        <w:numPr>
          <w:ilvl w:val="0"/>
          <w:numId w:val="27"/>
        </w:numPr>
        <w:ind w:left="782" w:hanging="782"/>
      </w:pPr>
      <w:r w:rsidRPr="00BE0C02">
        <w:t xml:space="preserve">As noted in paragraph </w:t>
      </w:r>
      <w:r w:rsidRPr="00BE0C02">
        <w:fldChar w:fldCharType="begin"/>
      </w:r>
      <w:r w:rsidRPr="00BE0C02">
        <w:instrText xml:space="preserve"> REF _Ref14981566 \r \h </w:instrText>
      </w:r>
      <w:r w:rsidR="00BE0C02">
        <w:instrText xml:space="preserve"> \* MERGEFORMAT </w:instrText>
      </w:r>
      <w:r w:rsidRPr="00BE0C02">
        <w:fldChar w:fldCharType="separate"/>
      </w:r>
      <w:r w:rsidR="00E354C4">
        <w:t>BC71</w:t>
      </w:r>
      <w:r w:rsidRPr="00BE0C02">
        <w:fldChar w:fldCharType="end"/>
      </w:r>
      <w:r w:rsidRPr="00BE0C02">
        <w:t xml:space="preserve">, entities not subject to this </w:t>
      </w:r>
      <w:r w:rsidR="008D1A87" w:rsidRPr="00BE0C02">
        <w:t xml:space="preserve">Standard </w:t>
      </w:r>
      <w:r w:rsidRPr="00BE0C02">
        <w:t xml:space="preserve">(or the requirements in AASB 2019-1) </w:t>
      </w:r>
      <w:r w:rsidR="00687A71" w:rsidRPr="00BE0C02">
        <w:t xml:space="preserve">would </w:t>
      </w:r>
      <w:r w:rsidRPr="00BE0C02">
        <w:t>continue to be able to prepare SPFS if they classify themselves as non-reporting entities.</w:t>
      </w:r>
      <w:bookmarkEnd w:id="110"/>
    </w:p>
    <w:p w14:paraId="54984106" w14:textId="237E07BD" w:rsidR="00535643" w:rsidRPr="00BE0C02" w:rsidRDefault="00687A71" w:rsidP="007E6349">
      <w:pPr>
        <w:pStyle w:val="NumBC1"/>
        <w:numPr>
          <w:ilvl w:val="0"/>
          <w:numId w:val="27"/>
        </w:numPr>
        <w:ind w:left="782" w:hanging="782"/>
      </w:pPr>
      <w:bookmarkStart w:id="112" w:name="_Ref14982187"/>
      <w:r w:rsidRPr="00BE0C02">
        <w:t>Further, a</w:t>
      </w:r>
      <w:r w:rsidR="00C05C02" w:rsidRPr="00BE0C02">
        <w:t xml:space="preserve">s noted in paragraph </w:t>
      </w:r>
      <w:r w:rsidR="00DB63B4" w:rsidRPr="00BE0C02">
        <w:fldChar w:fldCharType="begin"/>
      </w:r>
      <w:r w:rsidR="00DB63B4" w:rsidRPr="00BE0C02">
        <w:instrText xml:space="preserve"> REF _Ref15931202 \r \h </w:instrText>
      </w:r>
      <w:r w:rsidR="00BE0C02">
        <w:instrText xml:space="preserve"> \* MERGEFORMAT </w:instrText>
      </w:r>
      <w:r w:rsidR="00DB63B4" w:rsidRPr="00BE0C02">
        <w:fldChar w:fldCharType="separate"/>
      </w:r>
      <w:r w:rsidR="00E354C4">
        <w:t>BC45</w:t>
      </w:r>
      <w:r w:rsidR="00DB63B4" w:rsidRPr="00BE0C02">
        <w:fldChar w:fldCharType="end"/>
      </w:r>
      <w:r w:rsidR="00DB63B4" w:rsidRPr="00BE0C02">
        <w:fldChar w:fldCharType="begin"/>
      </w:r>
      <w:r w:rsidR="00DB63B4" w:rsidRPr="00BE0C02">
        <w:instrText xml:space="preserve"> REF _Ref15931205 \r \h </w:instrText>
      </w:r>
      <w:r w:rsidR="00BE0C02">
        <w:instrText xml:space="preserve"> \* MERGEFORMAT </w:instrText>
      </w:r>
      <w:r w:rsidR="00DB63B4" w:rsidRPr="00BE0C02">
        <w:fldChar w:fldCharType="separate"/>
      </w:r>
      <w:r w:rsidR="00E354C4">
        <w:t>(b)</w:t>
      </w:r>
      <w:r w:rsidR="00DB63B4" w:rsidRPr="00BE0C02">
        <w:fldChar w:fldCharType="end"/>
      </w:r>
      <w:r w:rsidR="00C05C02" w:rsidRPr="00BE0C02">
        <w:t xml:space="preserve">, the </w:t>
      </w:r>
      <w:r w:rsidR="00274A17" w:rsidRPr="00BE0C02">
        <w:t>few</w:t>
      </w:r>
      <w:r w:rsidR="00C05C02" w:rsidRPr="00BE0C02">
        <w:t xml:space="preserve"> AAS that </w:t>
      </w:r>
      <w:r w:rsidRPr="00BE0C02">
        <w:t xml:space="preserve">are mandatory for </w:t>
      </w:r>
      <w:r w:rsidR="00C05C02" w:rsidRPr="00BE0C02">
        <w:t xml:space="preserve">SPFS </w:t>
      </w:r>
      <w:r w:rsidR="00C05C02" w:rsidRPr="00BE0C02">
        <w:rPr>
          <w:szCs w:val="19"/>
        </w:rPr>
        <w:t>are focussed on the presentation of and disclosure in financial statements</w:t>
      </w:r>
      <w:r w:rsidRPr="00BE0C02">
        <w:rPr>
          <w:szCs w:val="19"/>
        </w:rPr>
        <w:t xml:space="preserve">, rather than </w:t>
      </w:r>
      <w:r w:rsidR="00C05C02" w:rsidRPr="00BE0C02">
        <w:t>R&amp;M requirements</w:t>
      </w:r>
      <w:r w:rsidRPr="00BE0C02">
        <w:t>,</w:t>
      </w:r>
      <w:r w:rsidR="00C05C02" w:rsidRPr="00BE0C02">
        <w:t xml:space="preserve"> </w:t>
      </w:r>
      <w:r w:rsidR="00274A17" w:rsidRPr="00BE0C02">
        <w:t>and</w:t>
      </w:r>
      <w:r w:rsidR="00C05C02" w:rsidRPr="00BE0C02">
        <w:t xml:space="preserve"> cannot be considered a</w:t>
      </w:r>
      <w:r w:rsidR="00BB236C" w:rsidRPr="00BE0C02">
        <w:t>n appropriate f</w:t>
      </w:r>
      <w:r w:rsidR="00C05C02" w:rsidRPr="00BE0C02">
        <w:t xml:space="preserve">inancial reporting </w:t>
      </w:r>
      <w:r w:rsidR="00535643" w:rsidRPr="00BE0C02">
        <w:t xml:space="preserve">framework. </w:t>
      </w:r>
      <w:r w:rsidR="00C05C02" w:rsidRPr="00BE0C02">
        <w:t xml:space="preserve">For this reason, when preparing SPFS, </w:t>
      </w:r>
      <w:r w:rsidR="00535643" w:rsidRPr="00BE0C02">
        <w:t xml:space="preserve">directors </w:t>
      </w:r>
      <w:r w:rsidR="00C05C02" w:rsidRPr="00BE0C02">
        <w:t xml:space="preserve">and those charged with governance </w:t>
      </w:r>
      <w:r w:rsidR="00535643" w:rsidRPr="00BE0C02">
        <w:t xml:space="preserve">are </w:t>
      </w:r>
      <w:r w:rsidR="00C05C02" w:rsidRPr="00BE0C02">
        <w:t xml:space="preserve">responsible for </w:t>
      </w:r>
      <w:r w:rsidR="00535643" w:rsidRPr="00BE0C02">
        <w:t xml:space="preserve">determining the </w:t>
      </w:r>
      <w:r w:rsidR="00C05C02" w:rsidRPr="00BE0C02">
        <w:t xml:space="preserve">financial reporting </w:t>
      </w:r>
      <w:r w:rsidR="00535643" w:rsidRPr="00BE0C02">
        <w:t xml:space="preserve">framework </w:t>
      </w:r>
      <w:r w:rsidR="00C05C02" w:rsidRPr="00BE0C02">
        <w:t>of the entity</w:t>
      </w:r>
      <w:r w:rsidR="00EA0190" w:rsidRPr="00BE0C02">
        <w:t xml:space="preserve"> </w:t>
      </w:r>
      <w:r w:rsidR="00535643" w:rsidRPr="00BE0C02">
        <w:t xml:space="preserve">by specifying </w:t>
      </w:r>
      <w:r w:rsidR="00C05C02" w:rsidRPr="00BE0C02">
        <w:t>the accounting policies (ie R&amp;M requirements). The</w:t>
      </w:r>
      <w:r w:rsidRPr="00BE0C02">
        <w:t xml:space="preserve"> directors and those charged with governance </w:t>
      </w:r>
      <w:r w:rsidR="00C05C02" w:rsidRPr="00BE0C02">
        <w:t>are also responsible for ensuring the financial reporting framework is appropriate to meet the needs of the users of their SPFS.</w:t>
      </w:r>
      <w:bookmarkEnd w:id="112"/>
    </w:p>
    <w:p w14:paraId="3261D309" w14:textId="6761ACD3" w:rsidR="00B52B95" w:rsidRPr="00BE0C02" w:rsidRDefault="00CD22B9" w:rsidP="007E6349">
      <w:pPr>
        <w:pStyle w:val="NumBC1"/>
        <w:numPr>
          <w:ilvl w:val="0"/>
          <w:numId w:val="27"/>
        </w:numPr>
        <w:ind w:left="782" w:hanging="782"/>
      </w:pPr>
      <w:r w:rsidRPr="00BE0C02">
        <w:t xml:space="preserve">A key theme noted through submissions and outreach on Phase 2 of ITC 39 was the need for comparability </w:t>
      </w:r>
      <w:r w:rsidR="00274A17" w:rsidRPr="00BE0C02">
        <w:t>across</w:t>
      </w:r>
      <w:r w:rsidRPr="00BE0C02">
        <w:t xml:space="preserve"> publicly lodged financial statements, particularly in relation to R&amp;M requirements (see paragraphs </w:t>
      </w:r>
      <w:r w:rsidRPr="00BE0C02">
        <w:fldChar w:fldCharType="begin"/>
      </w:r>
      <w:r w:rsidRPr="00BE0C02">
        <w:instrText xml:space="preserve"> REF _Ref13573863 \r \h </w:instrText>
      </w:r>
      <w:r w:rsidR="00BE0C02">
        <w:instrText xml:space="preserve"> \* MERGEFORMAT </w:instrText>
      </w:r>
      <w:r w:rsidRPr="00BE0C02">
        <w:fldChar w:fldCharType="separate"/>
      </w:r>
      <w:r w:rsidR="00E354C4">
        <w:t>BC108</w:t>
      </w:r>
      <w:r w:rsidRPr="00BE0C02">
        <w:fldChar w:fldCharType="end"/>
      </w:r>
      <w:r w:rsidR="00F213D7" w:rsidRPr="00BE0C02">
        <w:t>-</w:t>
      </w:r>
      <w:r w:rsidRPr="00BE0C02">
        <w:fldChar w:fldCharType="begin"/>
      </w:r>
      <w:r w:rsidRPr="00BE0C02">
        <w:instrText xml:space="preserve"> REF _Ref13573870 \r \h </w:instrText>
      </w:r>
      <w:r w:rsidR="00BE0C02">
        <w:instrText xml:space="preserve"> \* MERGEFORMAT </w:instrText>
      </w:r>
      <w:r w:rsidRPr="00BE0C02">
        <w:fldChar w:fldCharType="separate"/>
      </w:r>
      <w:r w:rsidR="00E354C4">
        <w:t>BC113</w:t>
      </w:r>
      <w:r w:rsidRPr="00BE0C02">
        <w:fldChar w:fldCharType="end"/>
      </w:r>
      <w:r w:rsidRPr="00BE0C02">
        <w:t xml:space="preserve">). As such, the Board decided that creating additional tiers of GPFS reporting for such a small proportion of the total population of trading entities would not adequately meet the objective of creating a consistent and comparable financial reporting framework, and could lead to unnecessary complexity for financial statement users of such a small </w:t>
      </w:r>
      <w:r w:rsidR="00081238" w:rsidRPr="00BE0C02">
        <w:t xml:space="preserve">proportion of the </w:t>
      </w:r>
      <w:r w:rsidRPr="00BE0C02">
        <w:t xml:space="preserve">population when trying to determine which tier of GPFS reporting requirements have been applied to the financial statements. </w:t>
      </w:r>
      <w:r w:rsidR="00144F7F" w:rsidRPr="00BE0C02">
        <w:t xml:space="preserve">Further, separating this population into two separate tiers would require objective criteria on which to make this separation. </w:t>
      </w:r>
      <w:r w:rsidR="00106418" w:rsidRPr="00BE0C02">
        <w:t xml:space="preserve">As noted in paragraph </w:t>
      </w:r>
      <w:r w:rsidR="00B60303" w:rsidRPr="00BE0C02">
        <w:fldChar w:fldCharType="begin"/>
      </w:r>
      <w:r w:rsidR="00B60303" w:rsidRPr="00BE0C02">
        <w:instrText xml:space="preserve"> REF _Ref32506093 \r \h </w:instrText>
      </w:r>
      <w:r w:rsidR="00BE0C02">
        <w:instrText xml:space="preserve"> \* MERGEFORMAT </w:instrText>
      </w:r>
      <w:r w:rsidR="00B60303" w:rsidRPr="00BE0C02">
        <w:fldChar w:fldCharType="separate"/>
      </w:r>
      <w:r w:rsidR="00E354C4">
        <w:t>BC104</w:t>
      </w:r>
      <w:r w:rsidR="00B60303" w:rsidRPr="00BE0C02">
        <w:fldChar w:fldCharType="end"/>
      </w:r>
      <w:r w:rsidR="00B60303" w:rsidRPr="00BE0C02">
        <w:t xml:space="preserve"> above </w:t>
      </w:r>
      <w:r w:rsidR="00144F7F" w:rsidRPr="00BE0C02">
        <w:t>Treasury ha</w:t>
      </w:r>
      <w:r w:rsidR="00B60303" w:rsidRPr="00BE0C02">
        <w:t>d</w:t>
      </w:r>
      <w:r w:rsidR="00144F7F" w:rsidRPr="00BE0C02">
        <w:t xml:space="preserve"> consulted on the thresholds used for determining what constitutes a large proprietary company and determined there should only be a large, small distinction.</w:t>
      </w:r>
      <w:r w:rsidR="00B52B95" w:rsidRPr="00BE0C02">
        <w:t xml:space="preserve"> Also, small</w:t>
      </w:r>
      <w:r w:rsidR="00D54103" w:rsidRPr="00BE0C02">
        <w:t xml:space="preserve"> </w:t>
      </w:r>
      <w:r w:rsidR="00B52B95" w:rsidRPr="00BE0C02">
        <w:t>foreign</w:t>
      </w:r>
      <w:r w:rsidR="00D54103" w:rsidRPr="00BE0C02">
        <w:t>-</w:t>
      </w:r>
      <w:r w:rsidR="00B52B95" w:rsidRPr="00BE0C02">
        <w:t>controlled entities would likely be required to use the R&amp;M requiremen</w:t>
      </w:r>
      <w:r w:rsidR="001A73F8" w:rsidRPr="00BE0C02">
        <w:t>ts of their parent entities</w:t>
      </w:r>
      <w:r w:rsidR="00041F24" w:rsidRPr="00BE0C02">
        <w:t xml:space="preserve"> that</w:t>
      </w:r>
      <w:r w:rsidR="00B52B95" w:rsidRPr="00BE0C02">
        <w:t xml:space="preserve"> are unlikely to be using the IFRS for SMEs Standard, and finally, approximately 90%</w:t>
      </w:r>
      <w:r w:rsidR="00B52B95" w:rsidRPr="00BE0C02">
        <w:rPr>
          <w:szCs w:val="19"/>
          <w:vertAlign w:val="superscript"/>
        </w:rPr>
        <w:footnoteReference w:id="39"/>
      </w:r>
      <w:r w:rsidR="00B52B95" w:rsidRPr="00BE0C02">
        <w:t xml:space="preserve"> of unlisted public companies preparing and lodging financial statements with ASIC already comply with the R&amp;M requirements in AAS.</w:t>
      </w:r>
    </w:p>
    <w:p w14:paraId="1031FAA3" w14:textId="77777777" w:rsidR="00CD22B9" w:rsidRPr="00BE0C02" w:rsidRDefault="00CD22B9" w:rsidP="00267FDF">
      <w:pPr>
        <w:pStyle w:val="Heading4"/>
        <w:spacing w:before="200"/>
      </w:pPr>
      <w:r w:rsidRPr="00BE0C02">
        <w:t>R&amp;M requirements of Tier 2</w:t>
      </w:r>
    </w:p>
    <w:p w14:paraId="6868E799" w14:textId="7C7D6369" w:rsidR="00CD22B9" w:rsidRPr="00BE0C02" w:rsidRDefault="00CD22B9" w:rsidP="007E6349">
      <w:pPr>
        <w:pStyle w:val="NumBC1"/>
        <w:numPr>
          <w:ilvl w:val="0"/>
          <w:numId w:val="27"/>
        </w:numPr>
        <w:ind w:left="782" w:hanging="782"/>
      </w:pPr>
      <w:bookmarkStart w:id="113" w:name="_Ref13573863"/>
      <w:r w:rsidRPr="00BE0C02">
        <w:t>The Board noted the strong preference expressed by respondents to Phase 2 of ITC 39 for a framework that includes the full R&amp;M requirements in AAS as it would enhance the comparability, consistency and transparency of the financial statements. Feedback from targeted outreach emphasised that users agreed that the usefulness of information within financial statements for decision making is adversely affected where entities have not consistently applied the R&amp;M requirements in AAS.</w:t>
      </w:r>
      <w:bookmarkEnd w:id="113"/>
    </w:p>
    <w:p w14:paraId="1B89D51E" w14:textId="352CD91C" w:rsidR="00CD22B9" w:rsidRPr="00BE0C02" w:rsidRDefault="00CD22B9" w:rsidP="007E6349">
      <w:pPr>
        <w:pStyle w:val="NumBC1"/>
        <w:numPr>
          <w:ilvl w:val="0"/>
          <w:numId w:val="27"/>
        </w:numPr>
        <w:ind w:left="782" w:hanging="782"/>
      </w:pPr>
      <w:bookmarkStart w:id="114" w:name="_Ref9865952"/>
      <w:r w:rsidRPr="00BE0C02">
        <w:t xml:space="preserve">The findings noted in Research Report </w:t>
      </w:r>
      <w:r w:rsidR="006D56C2" w:rsidRPr="00BE0C02">
        <w:t xml:space="preserve">12 </w:t>
      </w:r>
      <w:r w:rsidRPr="00BE0C02">
        <w:t xml:space="preserve">estimates that 76% of </w:t>
      </w:r>
      <w:r w:rsidR="001453E2" w:rsidRPr="00BE0C02">
        <w:t xml:space="preserve">specified </w:t>
      </w:r>
      <w:r w:rsidRPr="00BE0C02">
        <w:t>for-profit entities that are lodging SPFS with ASIC are complying with the R&amp;M requirements in AAS (see paragraph </w:t>
      </w:r>
      <w:r w:rsidRPr="00BE0C02">
        <w:fldChar w:fldCharType="begin"/>
      </w:r>
      <w:r w:rsidRPr="00BE0C02">
        <w:instrText xml:space="preserve"> REF _Ref9857719 \r \h </w:instrText>
      </w:r>
      <w:r w:rsidR="00BE0C02">
        <w:instrText xml:space="preserve"> \* MERGEFORMAT </w:instrText>
      </w:r>
      <w:r w:rsidRPr="00BE0C02">
        <w:fldChar w:fldCharType="separate"/>
      </w:r>
      <w:r w:rsidR="00E354C4">
        <w:t>BC20</w:t>
      </w:r>
      <w:r w:rsidRPr="00BE0C02">
        <w:fldChar w:fldCharType="end"/>
      </w:r>
      <w:r w:rsidRPr="00BE0C02">
        <w:t>). Therefore, the Board considered that moving to a Tier 2 GPFS framework that is not based on the full R&amp;M requirements in AAS is counter-intuitive when trying to improve the consistency, comparability, usefulness and credibility of financial reporting in Australia.</w:t>
      </w:r>
      <w:bookmarkEnd w:id="114"/>
      <w:r w:rsidRPr="00BE0C02">
        <w:t xml:space="preserve"> </w:t>
      </w:r>
    </w:p>
    <w:p w14:paraId="4998E30C" w14:textId="546C0115" w:rsidR="00CD22B9" w:rsidRPr="00BE0C02" w:rsidRDefault="00CD22B9" w:rsidP="007E6349">
      <w:pPr>
        <w:pStyle w:val="NumBC1"/>
        <w:numPr>
          <w:ilvl w:val="0"/>
          <w:numId w:val="27"/>
        </w:numPr>
        <w:ind w:left="782" w:hanging="782"/>
      </w:pPr>
      <w:bookmarkStart w:id="115" w:name="_Ref15928229"/>
      <w:r w:rsidRPr="00BE0C02">
        <w:t xml:space="preserve">The Board did however re-evaluate the suitability of the IFRS for SMEs Standard as the Tier 2 GPFS framework in Australia and reconfirmed that the </w:t>
      </w:r>
      <w:r w:rsidR="000E2089" w:rsidRPr="00BE0C02">
        <w:t xml:space="preserve">full </w:t>
      </w:r>
      <w:r w:rsidRPr="00BE0C02">
        <w:t xml:space="preserve">IFRS for SMEs Standard </w:t>
      </w:r>
      <w:r w:rsidR="007953B2" w:rsidRPr="00BE0C02">
        <w:t xml:space="preserve">continues </w:t>
      </w:r>
      <w:r w:rsidRPr="00BE0C02">
        <w:t xml:space="preserve">not </w:t>
      </w:r>
      <w:r w:rsidR="007953B2" w:rsidRPr="00BE0C02">
        <w:t>to be a preferred option for the for-profit private sector</w:t>
      </w:r>
      <w:r w:rsidRPr="00BE0C02">
        <w:t xml:space="preserve"> </w:t>
      </w:r>
      <w:r w:rsidR="0071631B" w:rsidRPr="00BE0C02">
        <w:t xml:space="preserve">in Australia </w:t>
      </w:r>
      <w:r w:rsidRPr="00BE0C02">
        <w:t>for the following reasons:</w:t>
      </w:r>
      <w:bookmarkEnd w:id="115"/>
    </w:p>
    <w:p w14:paraId="3C58D60E" w14:textId="438D7ECC" w:rsidR="004E28D6" w:rsidRPr="00BE0C02" w:rsidRDefault="007953B2" w:rsidP="007E6349">
      <w:pPr>
        <w:pStyle w:val="NumBC2"/>
        <w:numPr>
          <w:ilvl w:val="0"/>
          <w:numId w:val="37"/>
        </w:numPr>
        <w:ind w:left="1564" w:hanging="782"/>
      </w:pPr>
      <w:r w:rsidRPr="00BE0C02">
        <w:rPr>
          <w:iCs/>
        </w:rPr>
        <w:t>users specifically identified the comparability of the R&amp;M requirements in AAS as a key concern. T</w:t>
      </w:r>
      <w:r w:rsidR="00CD22B9" w:rsidRPr="00BE0C02">
        <w:rPr>
          <w:iCs/>
        </w:rPr>
        <w:t>he IFRS for SMEs</w:t>
      </w:r>
      <w:r w:rsidR="00CD22B9" w:rsidRPr="00BE0C02">
        <w:t xml:space="preserve"> Standard has different R&amp;M requirements compared </w:t>
      </w:r>
      <w:r w:rsidRPr="00BE0C02">
        <w:t>to AAS</w:t>
      </w:r>
      <w:r w:rsidR="00CD22B9" w:rsidRPr="00BE0C02">
        <w:t xml:space="preserve">, </w:t>
      </w:r>
      <w:r w:rsidRPr="00BE0C02">
        <w:t xml:space="preserve">and to </w:t>
      </w:r>
      <w:r w:rsidR="001E78C7" w:rsidRPr="00BE0C02">
        <w:t xml:space="preserve">meet user needs for </w:t>
      </w:r>
      <w:r w:rsidRPr="00BE0C02">
        <w:t>comparability</w:t>
      </w:r>
      <w:r w:rsidR="001E78C7" w:rsidRPr="00BE0C02">
        <w:t>,</w:t>
      </w:r>
      <w:r w:rsidRPr="00BE0C02">
        <w:t xml:space="preserve"> all for-profit private sector entities </w:t>
      </w:r>
      <w:r w:rsidR="001E78C7" w:rsidRPr="00BE0C02">
        <w:t xml:space="preserve">within the scope of this </w:t>
      </w:r>
      <w:r w:rsidR="00FD3732" w:rsidRPr="00BE0C02">
        <w:t xml:space="preserve">Standard </w:t>
      </w:r>
      <w:r w:rsidR="001E78C7" w:rsidRPr="00BE0C02">
        <w:t xml:space="preserve">would need to apply </w:t>
      </w:r>
      <w:r w:rsidR="005E1851" w:rsidRPr="00BE0C02">
        <w:t>the I</w:t>
      </w:r>
      <w:r w:rsidR="001E78C7" w:rsidRPr="00BE0C02">
        <w:t>F</w:t>
      </w:r>
      <w:r w:rsidR="005E1851" w:rsidRPr="00BE0C02">
        <w:t>RS for SME</w:t>
      </w:r>
      <w:r w:rsidR="001E78C7" w:rsidRPr="00BE0C02">
        <w:t>s</w:t>
      </w:r>
      <w:r w:rsidR="005E1851" w:rsidRPr="00BE0C02">
        <w:t xml:space="preserve"> Standard </w:t>
      </w:r>
      <w:r w:rsidR="001E78C7" w:rsidRPr="00BE0C02">
        <w:t>(with it being the only Tier 2 GPFS framework), or a third tier of GPFS reporting would need to be created</w:t>
      </w:r>
      <w:r w:rsidR="004E28D6" w:rsidRPr="00BE0C02">
        <w:t>;</w:t>
      </w:r>
    </w:p>
    <w:p w14:paraId="22BE39F8" w14:textId="3CA873CC" w:rsidR="001E78C7" w:rsidRPr="00BE0C02" w:rsidRDefault="001E78C7" w:rsidP="007E6349">
      <w:pPr>
        <w:pStyle w:val="NumBC2"/>
        <w:numPr>
          <w:ilvl w:val="0"/>
          <w:numId w:val="28"/>
        </w:numPr>
        <w:ind w:left="1564" w:hanging="782"/>
      </w:pPr>
      <w:r w:rsidRPr="00BE0C02">
        <w:rPr>
          <w:iCs/>
        </w:rPr>
        <w:t>to</w:t>
      </w:r>
      <w:r w:rsidRPr="00BE0C02">
        <w:t xml:space="preserve"> achieve a consistent Tier 2 GPFS framework, additional transitional costs would be expected to arise because based on the data in paragraph </w:t>
      </w:r>
      <w:r w:rsidRPr="00BE0C02">
        <w:fldChar w:fldCharType="begin"/>
      </w:r>
      <w:r w:rsidRPr="00BE0C02">
        <w:instrText xml:space="preserve"> REF _Ref9857719 \r \h </w:instrText>
      </w:r>
      <w:r w:rsidR="00BE0C02">
        <w:instrText xml:space="preserve"> \* MERGEFORMAT </w:instrText>
      </w:r>
      <w:r w:rsidRPr="00BE0C02">
        <w:fldChar w:fldCharType="separate"/>
      </w:r>
      <w:r w:rsidR="00E354C4">
        <w:t>BC20</w:t>
      </w:r>
      <w:r w:rsidRPr="00BE0C02">
        <w:fldChar w:fldCharType="end"/>
      </w:r>
      <w:r w:rsidRPr="00BE0C02">
        <w:t>, it is estimated that a majority of ASIC regulated entities currently lodging SPFS are already complying with the R&amp;M requirements in AAS. To achieve a consistent Tier 2 GPFS framework and implement the IFRS for SMEs Standard, all of these entities, approximately 8,800 of the 10,500 specified for-profit entities lodging financial statements with ASIC (subsequent to Treasury increasing the thresholds used from determining what constitutes a large proprietary company) would need to change their accounting policies to adjust for the different R&amp;M requirements contained in the IFRS for SMEs Standard. That is, all of the specified for-profit entities preparing Tier 1 GPFS, Tier 2 GPFS or SPFS which comply with the R&amp;M requirements in AAS.</w:t>
      </w:r>
    </w:p>
    <w:p w14:paraId="14748871" w14:textId="32E6F429" w:rsidR="001E78C7" w:rsidRPr="00BE0C02" w:rsidRDefault="00041F24" w:rsidP="001E78C7">
      <w:pPr>
        <w:pStyle w:val="NumBC2"/>
        <w:ind w:left="1564" w:firstLine="0"/>
      </w:pPr>
      <w:r w:rsidRPr="00BE0C02">
        <w:lastRenderedPageBreak/>
        <w:t>In comparison only the 10% that</w:t>
      </w:r>
      <w:r w:rsidR="001E78C7" w:rsidRPr="00BE0C02">
        <w:t xml:space="preserve"> currently don’t comply with the R&amp;M requirements in AAS and potentially the 14% where it’s unclear whether or not they have complied with the R&amp;M requirements in AAS (approximately</w:t>
      </w:r>
      <w:r w:rsidR="00EB6CDE" w:rsidRPr="00BE0C02">
        <w:t xml:space="preserve"> up to</w:t>
      </w:r>
      <w:r w:rsidR="001E78C7" w:rsidRPr="00BE0C02">
        <w:t xml:space="preserve"> 1,700 entities</w:t>
      </w:r>
      <w:r w:rsidR="002242C4" w:rsidRPr="00BE0C02">
        <w:t xml:space="preserve"> in total</w:t>
      </w:r>
      <w:r w:rsidR="001E78C7" w:rsidRPr="00BE0C02">
        <w:t xml:space="preserve">) would be required to change their accounting policies to align with the R&amp;M requirements in AAS. Therefore, a larger population of preparers would see an increase in the costs associated with the transition from SPFS to GPFS if the Tier 2 GPFS framework were based on different R&amp;M requirements; and </w:t>
      </w:r>
    </w:p>
    <w:p w14:paraId="075A71C4" w14:textId="0721BB37" w:rsidR="009C7977" w:rsidRPr="00BE0C02" w:rsidRDefault="005E1851" w:rsidP="007E6349">
      <w:pPr>
        <w:pStyle w:val="NumBC2"/>
        <w:numPr>
          <w:ilvl w:val="0"/>
          <w:numId w:val="28"/>
        </w:numPr>
        <w:ind w:left="1564" w:hanging="782"/>
      </w:pPr>
      <w:r w:rsidRPr="00BE0C02">
        <w:t xml:space="preserve">having different R&amp;M requirements </w:t>
      </w:r>
      <w:r w:rsidR="00CD22B9" w:rsidRPr="00BE0C02">
        <w:t>is not consistent with ASIC and other regulators’ views that the full R&amp;M requirements of accounting standards should be applied in order to give a ‘true and fair view’ of the financial position and performance of an entity</w:t>
      </w:r>
      <w:r w:rsidR="004E28D6" w:rsidRPr="00BE0C02">
        <w:t>.</w:t>
      </w:r>
      <w:r w:rsidR="00CD22B9" w:rsidRPr="00BE0C02">
        <w:rPr>
          <w:rStyle w:val="FootnoteReference"/>
        </w:rPr>
        <w:footnoteReference w:id="40"/>
      </w:r>
      <w:r w:rsidR="004E28D6" w:rsidRPr="00BE0C02">
        <w:t xml:space="preserve"> </w:t>
      </w:r>
    </w:p>
    <w:p w14:paraId="2DEAF463" w14:textId="13AEF7EF" w:rsidR="004E28D6" w:rsidRPr="00BE0C02" w:rsidRDefault="009C7977" w:rsidP="007E6349">
      <w:pPr>
        <w:pStyle w:val="NumBC2"/>
        <w:numPr>
          <w:ilvl w:val="0"/>
          <w:numId w:val="37"/>
        </w:numPr>
        <w:ind w:left="1564" w:hanging="782"/>
      </w:pPr>
      <w:r w:rsidRPr="00BE0C02">
        <w:t>there is no need for a third tier of GPFS reporting as approximately 98.7% of the 840,000 trading entities only have an obligation to prepare and lodge a tax return with the ATO. Further, creating a third tier would require objective criteria on which to make this separation, and Treasury has just consulted on the thresholds used for determining what constitutes a large proprietary company and determined there should only be a large, small distinction. Also, small</w:t>
      </w:r>
      <w:r w:rsidR="00D54103" w:rsidRPr="00BE0C02">
        <w:t xml:space="preserve"> </w:t>
      </w:r>
      <w:r w:rsidRPr="00BE0C02">
        <w:t>foreign</w:t>
      </w:r>
      <w:r w:rsidR="00D54103" w:rsidRPr="00BE0C02">
        <w:t>-</w:t>
      </w:r>
      <w:r w:rsidRPr="00BE0C02">
        <w:t>controlled entities would likely be required to use the R&amp;M requirements o</w:t>
      </w:r>
      <w:r w:rsidR="00041F24" w:rsidRPr="00BE0C02">
        <w:t>f th</w:t>
      </w:r>
      <w:r w:rsidR="001A73F8" w:rsidRPr="00BE0C02">
        <w:t>eir parent entities</w:t>
      </w:r>
      <w:r w:rsidR="00041F24" w:rsidRPr="00BE0C02">
        <w:t xml:space="preserve"> that</w:t>
      </w:r>
      <w:r w:rsidRPr="00BE0C02">
        <w:t xml:space="preserve"> are unlikely to be using the IFRS for SMEs Standard, and finally, approximately 90%</w:t>
      </w:r>
      <w:r w:rsidRPr="00BE0C02">
        <w:rPr>
          <w:szCs w:val="19"/>
          <w:vertAlign w:val="superscript"/>
        </w:rPr>
        <w:footnoteReference w:id="41"/>
      </w:r>
      <w:r w:rsidRPr="00BE0C02">
        <w:t xml:space="preserve"> of unlisted public companies preparing and lodging financial statements with ASIC already comply with the R&amp;M requirements in AAS</w:t>
      </w:r>
      <w:r w:rsidR="00DA0E8F" w:rsidRPr="00BE0C02">
        <w:t xml:space="preserve">. </w:t>
      </w:r>
      <w:r w:rsidR="00DA0E8F" w:rsidRPr="00BE0C02">
        <w:rPr>
          <w:iCs/>
        </w:rPr>
        <w:t>Subsidiaries would also need to provide additional information to be compliant with IFRS Standards for the purpose of consolidating into their parent’s consolidated financial statements where the parent applies Tier 1 AAS or IFRS Standards;</w:t>
      </w:r>
    </w:p>
    <w:p w14:paraId="22EDF0B7" w14:textId="4A0F632D" w:rsidR="00CD22B9" w:rsidRPr="00BE0C02" w:rsidRDefault="00CD22B9" w:rsidP="007E6349">
      <w:pPr>
        <w:pStyle w:val="NumBC2"/>
        <w:numPr>
          <w:ilvl w:val="0"/>
          <w:numId w:val="37"/>
        </w:numPr>
        <w:ind w:left="1564" w:hanging="782"/>
      </w:pPr>
      <w:r w:rsidRPr="00BE0C02">
        <w:rPr>
          <w:iCs/>
        </w:rPr>
        <w:t>the IFRS for SMEs</w:t>
      </w:r>
      <w:r w:rsidRPr="00BE0C02">
        <w:t xml:space="preserve"> Standard would result in reduced comparability between entities preparing full IFRS Standards compliant financial statements because of different accounting policy alternatives due to different R&amp;M requirements;</w:t>
      </w:r>
    </w:p>
    <w:p w14:paraId="1D3874AC" w14:textId="3932C8A2" w:rsidR="00CD22B9" w:rsidRPr="00BE0C02" w:rsidRDefault="00CD22B9" w:rsidP="007E6349">
      <w:pPr>
        <w:pStyle w:val="NumBC2"/>
        <w:numPr>
          <w:ilvl w:val="0"/>
          <w:numId w:val="37"/>
        </w:numPr>
        <w:ind w:left="1564" w:hanging="782"/>
      </w:pPr>
      <w:r w:rsidRPr="00BE0C02">
        <w:t>in the event an entity moves to, or from, preparing financial statements applying full IFRS Standards, there would be costs involved in transitioning from the R&amp;M requirements of one tier of reporting to another</w:t>
      </w:r>
      <w:r w:rsidR="009C7977" w:rsidRPr="00BE0C02">
        <w:t>. Transition costs, and the ongoing costs of training and maintaining either two Tier 2 GPFS frameworks or even three tiers of GPFS reporting for users, preparers, auditors and regulators for only 1.3%</w:t>
      </w:r>
      <w:r w:rsidR="009C7977" w:rsidRPr="00BE0C02">
        <w:rPr>
          <w:rStyle w:val="FootnoteReference"/>
        </w:rPr>
        <w:footnoteReference w:id="42"/>
      </w:r>
      <w:r w:rsidR="009C7977" w:rsidRPr="00BE0C02">
        <w:t xml:space="preserve"> of actively trading entities would also outweigh any potential benefits</w:t>
      </w:r>
      <w:r w:rsidRPr="00BE0C02">
        <w:t>;</w:t>
      </w:r>
    </w:p>
    <w:p w14:paraId="19E0BC4F" w14:textId="6644306B" w:rsidR="00CD22B9" w:rsidRPr="00BE0C02" w:rsidRDefault="00CD22B9" w:rsidP="007E6349">
      <w:pPr>
        <w:pStyle w:val="NumBC2"/>
        <w:numPr>
          <w:ilvl w:val="0"/>
          <w:numId w:val="37"/>
        </w:numPr>
        <w:ind w:left="1564" w:hanging="782"/>
      </w:pPr>
      <w:r w:rsidRPr="00BE0C02">
        <w:t xml:space="preserve">the feedback received on Phase 2 of ITC 39 suggested that applying the consolidation and equity accounting requirements for the first time would be the most difficult aspect of transitioning from SPFS to GPFS, however consolidation and equity accounting are both required under the </w:t>
      </w:r>
      <w:r w:rsidRPr="00BE0C02">
        <w:rPr>
          <w:iCs/>
        </w:rPr>
        <w:t>IFRS for SMEs</w:t>
      </w:r>
      <w:r w:rsidRPr="00BE0C02">
        <w:t xml:space="preserve"> Standard. As such, it does not appear that adopting the IFRS for SMEs Standard</w:t>
      </w:r>
      <w:r w:rsidRPr="00BE0C02">
        <w:rPr>
          <w:i/>
        </w:rPr>
        <w:t xml:space="preserve"> </w:t>
      </w:r>
      <w:r w:rsidRPr="00BE0C02">
        <w:t xml:space="preserve">would mitigate these concerns; </w:t>
      </w:r>
    </w:p>
    <w:p w14:paraId="08876AE1" w14:textId="77777777" w:rsidR="009C7977" w:rsidRPr="00BE0C02" w:rsidRDefault="00CD22B9" w:rsidP="007E6349">
      <w:pPr>
        <w:pStyle w:val="NumBC2"/>
        <w:numPr>
          <w:ilvl w:val="0"/>
          <w:numId w:val="28"/>
        </w:numPr>
        <w:ind w:left="1564" w:hanging="782"/>
      </w:pPr>
      <w:r w:rsidRPr="00BE0C02">
        <w:t xml:space="preserve">using a single basis for the R&amp;M requirements in AAS would support efficiency in the education of accountants and financial statement users; </w:t>
      </w:r>
    </w:p>
    <w:p w14:paraId="6677F6FA" w14:textId="6EAF00AB" w:rsidR="00CD22B9" w:rsidRPr="00BE0C02" w:rsidRDefault="009864BD" w:rsidP="007E6349">
      <w:pPr>
        <w:pStyle w:val="NumBC2"/>
        <w:numPr>
          <w:ilvl w:val="0"/>
          <w:numId w:val="37"/>
        </w:numPr>
        <w:ind w:left="1564" w:hanging="782"/>
      </w:pPr>
      <w:r w:rsidRPr="00BE0C02">
        <w:t>the u</w:t>
      </w:r>
      <w:r w:rsidR="009C7977" w:rsidRPr="00BE0C02">
        <w:t xml:space="preserve">se of the IFRS for SMEs Standard would decrease harmonisation with New Zealand further than the </w:t>
      </w:r>
      <w:r w:rsidR="00840BF0" w:rsidRPr="00BE0C02">
        <w:t xml:space="preserve">requirements </w:t>
      </w:r>
      <w:r w:rsidR="009C7977" w:rsidRPr="00BE0C02">
        <w:t xml:space="preserve">in this </w:t>
      </w:r>
      <w:r w:rsidR="00840BF0" w:rsidRPr="00BE0C02">
        <w:t>Standard</w:t>
      </w:r>
      <w:r w:rsidR="009C7977" w:rsidRPr="00BE0C02">
        <w:t xml:space="preserve">, as the New Zealand financial reporting framework for for-profit entities has only two tiers and does not use the IFRS for SMEs Standard; </w:t>
      </w:r>
      <w:r w:rsidR="00CD22B9" w:rsidRPr="00BE0C02">
        <w:t>and</w:t>
      </w:r>
    </w:p>
    <w:p w14:paraId="234AB2DB" w14:textId="4AB9A4AB" w:rsidR="00CD22B9" w:rsidRPr="00BE0C02" w:rsidRDefault="00CD22B9" w:rsidP="007E6349">
      <w:pPr>
        <w:pStyle w:val="NumBC2"/>
        <w:numPr>
          <w:ilvl w:val="0"/>
          <w:numId w:val="37"/>
        </w:numPr>
        <w:ind w:left="1564" w:hanging="782"/>
      </w:pPr>
      <w:r w:rsidRPr="00BE0C02">
        <w:t>despite the issues noted above that would be faced</w:t>
      </w:r>
      <w:r w:rsidRPr="00BE0C02">
        <w:rPr>
          <w:i/>
        </w:rPr>
        <w:t xml:space="preserve"> </w:t>
      </w:r>
      <w:r w:rsidRPr="00BE0C02">
        <w:t xml:space="preserve">if the IFRS for SMEs Standard were to be adopted, the IFRS for SMEs Standard </w:t>
      </w:r>
      <w:r w:rsidR="00DA0E8F" w:rsidRPr="00BE0C02">
        <w:t xml:space="preserve">is </w:t>
      </w:r>
      <w:r w:rsidRPr="00BE0C02">
        <w:t xml:space="preserve">based on full IFRS Standards, and does not appear to depart significantly from the IFRS Standards (see AASB Staff Paper </w:t>
      </w:r>
      <w:r w:rsidRPr="00BE0C02">
        <w:rPr>
          <w:i/>
        </w:rPr>
        <w:t>Comparison of Standards for Smaller Entities</w:t>
      </w:r>
      <w:r w:rsidR="00215C90" w:rsidRPr="00BE0C02">
        <w:t xml:space="preserve"> (April 2018)</w:t>
      </w:r>
      <w:r w:rsidRPr="00BE0C02">
        <w:t>). This is acknowledged by the IASB in the Basis for Conclusions to the IFRS for SMEs Standard¸ which also notes that the needs of users of financial statements of small and medium sized entities are similar in many ways to the needs of users of publicly accountable entities.</w:t>
      </w:r>
      <w:r w:rsidRPr="00BE0C02">
        <w:rPr>
          <w:rStyle w:val="FootnoteReference"/>
        </w:rPr>
        <w:footnoteReference w:id="43"/>
      </w:r>
      <w:r w:rsidRPr="00BE0C02">
        <w:t xml:space="preserve"> As such, it appears unlikely that the benefits of moving to </w:t>
      </w:r>
      <w:r w:rsidR="00D01CF0" w:rsidRPr="00BE0C02">
        <w:t xml:space="preserve">the </w:t>
      </w:r>
      <w:r w:rsidRPr="00BE0C02">
        <w:t>IFRS for SMEs</w:t>
      </w:r>
      <w:r w:rsidRPr="00BE0C02">
        <w:rPr>
          <w:i/>
        </w:rPr>
        <w:t xml:space="preserve"> </w:t>
      </w:r>
      <w:r w:rsidR="00D01CF0" w:rsidRPr="00BE0C02">
        <w:t xml:space="preserve">Standard </w:t>
      </w:r>
      <w:r w:rsidRPr="00BE0C02">
        <w:t>would outweigh the costs noted above.</w:t>
      </w:r>
    </w:p>
    <w:p w14:paraId="03BC53D4" w14:textId="145A0051" w:rsidR="00CD22B9" w:rsidRPr="00BE0C02" w:rsidRDefault="00CD22B9" w:rsidP="007E6349">
      <w:pPr>
        <w:pStyle w:val="NumBC1"/>
        <w:numPr>
          <w:ilvl w:val="0"/>
          <w:numId w:val="27"/>
        </w:numPr>
        <w:ind w:left="782" w:hanging="782"/>
      </w:pPr>
      <w:r w:rsidRPr="00BE0C02">
        <w:t xml:space="preserve">The Board also noted that any possible reduction in on-going compliance costs </w:t>
      </w:r>
      <w:r w:rsidR="004E28D6" w:rsidRPr="00BE0C02">
        <w:t xml:space="preserve">or alleviation of concerns that the R&amp;M requirements of IFRS Standards are too complex </w:t>
      </w:r>
      <w:r w:rsidRPr="00BE0C02">
        <w:t xml:space="preserve">which may arise from having the IFRS for SMEs Standard as the Tier 2 GPFS framework, would not be significant enough to outweigh the loss of benefit to users (ie the loss of consistency and comparability of R&amp;M requirements in AAS), because </w:t>
      </w:r>
      <w:r w:rsidR="0071631B" w:rsidRPr="00BE0C02">
        <w:t xml:space="preserve">as noted above, </w:t>
      </w:r>
      <w:r w:rsidRPr="00BE0C02">
        <w:t>the IFRS for SMEs Standard still requires consolidated financial statements</w:t>
      </w:r>
      <w:r w:rsidR="0071631B" w:rsidRPr="00BE0C02">
        <w:t xml:space="preserve"> and</w:t>
      </w:r>
      <w:r w:rsidRPr="00BE0C02">
        <w:t xml:space="preserve"> equity accounting, </w:t>
      </w:r>
      <w:r w:rsidR="0071631B" w:rsidRPr="00BE0C02">
        <w:t xml:space="preserve">along with </w:t>
      </w:r>
      <w:r w:rsidRPr="00BE0C02">
        <w:t xml:space="preserve">deferred tax accounting, </w:t>
      </w:r>
      <w:r w:rsidR="004E28D6" w:rsidRPr="00BE0C02">
        <w:t xml:space="preserve">lease accounting, fair valuing of derivatives and other complex </w:t>
      </w:r>
      <w:r w:rsidRPr="00BE0C02">
        <w:t xml:space="preserve">financial instruments and related party disclosures that are not substantively different from the full requirements in AAS. </w:t>
      </w:r>
    </w:p>
    <w:p w14:paraId="6AE89E71" w14:textId="71663D9D" w:rsidR="00CD22B9" w:rsidRPr="00BE0C02" w:rsidRDefault="00CD22B9" w:rsidP="007E6349">
      <w:pPr>
        <w:pStyle w:val="NumBC1"/>
        <w:numPr>
          <w:ilvl w:val="0"/>
          <w:numId w:val="27"/>
        </w:numPr>
        <w:ind w:left="782" w:hanging="782"/>
      </w:pPr>
      <w:r w:rsidRPr="00BE0C02">
        <w:t xml:space="preserve">The Board further noted that 65% of respondents to Phase 2 of ITC 39 did not agree with having </w:t>
      </w:r>
      <w:r w:rsidR="0071631B" w:rsidRPr="00BE0C02">
        <w:t xml:space="preserve">the </w:t>
      </w:r>
      <w:r w:rsidRPr="00BE0C02">
        <w:t>IFRS for SMEs Standard as the Tier 2 GPFS framework in Australia.</w:t>
      </w:r>
    </w:p>
    <w:p w14:paraId="79133841" w14:textId="53095506" w:rsidR="00CD22B9" w:rsidRPr="00BE0C02" w:rsidRDefault="00CD22B9" w:rsidP="007E6349">
      <w:pPr>
        <w:pStyle w:val="NumBC1"/>
        <w:numPr>
          <w:ilvl w:val="0"/>
          <w:numId w:val="27"/>
        </w:numPr>
        <w:ind w:left="782" w:hanging="782"/>
      </w:pPr>
      <w:bookmarkStart w:id="116" w:name="_Ref15928238"/>
      <w:bookmarkStart w:id="117" w:name="_Ref13573870"/>
      <w:r w:rsidRPr="00BE0C02">
        <w:lastRenderedPageBreak/>
        <w:t xml:space="preserve">In light of the above, as noted in paragraph </w:t>
      </w:r>
      <w:r w:rsidRPr="00BE0C02">
        <w:fldChar w:fldCharType="begin"/>
      </w:r>
      <w:r w:rsidRPr="00BE0C02">
        <w:instrText xml:space="preserve"> REF _Ref13485098 \r \h </w:instrText>
      </w:r>
      <w:r w:rsidR="00BE0C02">
        <w:instrText xml:space="preserve"> \* MERGEFORMAT </w:instrText>
      </w:r>
      <w:r w:rsidRPr="00BE0C02">
        <w:fldChar w:fldCharType="separate"/>
      </w:r>
      <w:r w:rsidR="00E354C4">
        <w:t>BC98</w:t>
      </w:r>
      <w:r w:rsidRPr="00BE0C02">
        <w:fldChar w:fldCharType="end"/>
      </w:r>
      <w:r w:rsidRPr="00BE0C02">
        <w:t xml:space="preserve">, the Board decided to </w:t>
      </w:r>
      <w:r w:rsidR="008307D1" w:rsidRPr="00BE0C02">
        <w:t xml:space="preserve">create </w:t>
      </w:r>
      <w:r w:rsidRPr="00BE0C02">
        <w:t xml:space="preserve">a new and separate Tier 2 GPFS framework that would have the R&amp;M requirements of Tier 1 (including consolidation and equity accounting) and the disclosure requirements of the </w:t>
      </w:r>
      <w:r w:rsidRPr="00BE0C02">
        <w:rPr>
          <w:iCs/>
        </w:rPr>
        <w:t>IFRS for SMEs</w:t>
      </w:r>
      <w:r w:rsidRPr="00BE0C02">
        <w:t xml:space="preserve"> Standard.</w:t>
      </w:r>
      <w:bookmarkEnd w:id="116"/>
      <w:r w:rsidRPr="00BE0C02">
        <w:t xml:space="preserve"> </w:t>
      </w:r>
    </w:p>
    <w:p w14:paraId="71620255" w14:textId="34C5DEE9" w:rsidR="00CD22B9" w:rsidRPr="00BE0C02" w:rsidRDefault="00CD22B9" w:rsidP="007E6349">
      <w:pPr>
        <w:pStyle w:val="NumBC1"/>
        <w:numPr>
          <w:ilvl w:val="0"/>
          <w:numId w:val="27"/>
        </w:numPr>
        <w:ind w:left="782" w:hanging="782"/>
      </w:pPr>
      <w:r w:rsidRPr="00BE0C02">
        <w:t xml:space="preserve">The </w:t>
      </w:r>
      <w:r w:rsidR="00CF78F1" w:rsidRPr="00BE0C02">
        <w:t xml:space="preserve">new </w:t>
      </w:r>
      <w:r w:rsidRPr="00BE0C02">
        <w:t>Tier 2 GPFS framework replace</w:t>
      </w:r>
      <w:r w:rsidR="00A26360" w:rsidRPr="00BE0C02">
        <w:t>s</w:t>
      </w:r>
      <w:r w:rsidRPr="00BE0C02">
        <w:t xml:space="preserve"> the existing Tier 2 GPFS RDR framework</w:t>
      </w:r>
      <w:r w:rsidRPr="00BE0C02" w:rsidDel="00FD430B">
        <w:t xml:space="preserve"> </w:t>
      </w:r>
      <w:r w:rsidRPr="00BE0C02">
        <w:t xml:space="preserve">and </w:t>
      </w:r>
      <w:r w:rsidR="00E349D3" w:rsidRPr="00BE0C02">
        <w:t>is</w:t>
      </w:r>
      <w:r w:rsidRPr="00BE0C02">
        <w:t xml:space="preserve"> available for application by for-profit private sector entities that do not have public accountability, NFP private sector entities and public sector entities other than the Australian Government and State, Territory and Local Governments.</w:t>
      </w:r>
      <w:bookmarkEnd w:id="117"/>
      <w:r w:rsidRPr="00BE0C02">
        <w:t xml:space="preserve"> </w:t>
      </w:r>
    </w:p>
    <w:p w14:paraId="5800664C" w14:textId="77777777" w:rsidR="00CD22B9" w:rsidRPr="00BE0C02" w:rsidRDefault="00CD22B9" w:rsidP="00267FDF">
      <w:pPr>
        <w:pStyle w:val="Heading4"/>
        <w:spacing w:before="200"/>
        <w:jc w:val="both"/>
      </w:pPr>
      <w:r w:rsidRPr="00BE0C02">
        <w:t>Consolidation requirements of Tier 2 GPFS framework</w:t>
      </w:r>
    </w:p>
    <w:p w14:paraId="22614F59" w14:textId="77777777" w:rsidR="00CD22B9" w:rsidRPr="00BE0C02" w:rsidRDefault="00CD22B9" w:rsidP="007E6349">
      <w:pPr>
        <w:pStyle w:val="NumBC1"/>
        <w:numPr>
          <w:ilvl w:val="0"/>
          <w:numId w:val="27"/>
        </w:numPr>
        <w:ind w:left="782" w:hanging="782"/>
      </w:pPr>
      <w:r w:rsidRPr="00BE0C02">
        <w:t>Anecdotally, the Board is aware that some entities preparing SPFS are parent entities but do not prepare consolidated financial statements, and some of those entities are also not providing an explanation as to why they have not prepared consolidated financial statements.</w:t>
      </w:r>
      <w:r w:rsidRPr="00BE0C02" w:rsidDel="00B269DC">
        <w:t xml:space="preserve"> </w:t>
      </w:r>
    </w:p>
    <w:p w14:paraId="0A2DC5BA" w14:textId="51ABE283" w:rsidR="00CD22B9" w:rsidRPr="00BE0C02" w:rsidRDefault="00CD22B9" w:rsidP="007E6349">
      <w:pPr>
        <w:pStyle w:val="NumBC1"/>
        <w:numPr>
          <w:ilvl w:val="0"/>
          <w:numId w:val="27"/>
        </w:numPr>
        <w:ind w:left="782" w:hanging="782"/>
      </w:pPr>
      <w:r w:rsidRPr="00BE0C02">
        <w:t>While considering how best to revise the Tier 2 GPFS framework, the Board also contemplated whether it was possible to provide financial information about subsidiaries in a more cost effective way, such as by providing summary financial information in the consolidated financial statements of the parent instead of a complete set of financial statements for the subsidiary. The Board undertook research (</w:t>
      </w:r>
      <w:r w:rsidR="00952378" w:rsidRPr="00BE0C02">
        <w:t xml:space="preserve">AASB Research Report No. 13 </w:t>
      </w:r>
      <w:r w:rsidR="00D02CDA" w:rsidRPr="00BE0C02">
        <w:rPr>
          <w:i/>
          <w:iCs/>
        </w:rPr>
        <w:t>Parent, Subsidiary and Group Financial Reporting</w:t>
      </w:r>
      <w:r w:rsidRPr="00BE0C02">
        <w:t xml:space="preserve">) to assess the suitability of current reporting requirements where the views of different lending institutions were sought. The feedback received showed there is a need for both a full set of subsidiary financial statements and the consolidated financial statements of the group. Feedback received from users in response the AASB’s user survey and submissions to ITC 39 also highlighted the need for consolidated financial statements. </w:t>
      </w:r>
    </w:p>
    <w:p w14:paraId="1907337C" w14:textId="3BB8B7F6" w:rsidR="00CD22B9" w:rsidRPr="00BE0C02" w:rsidRDefault="00CD22B9" w:rsidP="007E6349">
      <w:pPr>
        <w:pStyle w:val="NumBC1"/>
        <w:numPr>
          <w:ilvl w:val="0"/>
          <w:numId w:val="27"/>
        </w:numPr>
        <w:ind w:left="782" w:hanging="782"/>
      </w:pPr>
      <w:bookmarkStart w:id="118" w:name="_Ref13574285"/>
      <w:r w:rsidRPr="00BE0C02">
        <w:t>The majority of the lending institutions interviewed mentioned that in the case of group structures, they require the consolidated financial statements of the group to make their lending decisions and that these are particularly important when:</w:t>
      </w:r>
      <w:bookmarkEnd w:id="118"/>
    </w:p>
    <w:p w14:paraId="444ED764" w14:textId="77777777" w:rsidR="00CD22B9" w:rsidRPr="00BE0C02" w:rsidRDefault="00CD22B9" w:rsidP="007E6349">
      <w:pPr>
        <w:pStyle w:val="NumBC4"/>
        <w:numPr>
          <w:ilvl w:val="0"/>
          <w:numId w:val="45"/>
        </w:numPr>
        <w:ind w:left="1564" w:hanging="782"/>
      </w:pPr>
      <w:r w:rsidRPr="00BE0C02">
        <w:t xml:space="preserve">there is structural subordination within group structures; </w:t>
      </w:r>
    </w:p>
    <w:p w14:paraId="1FA9EBC6" w14:textId="77777777" w:rsidR="00CD22B9" w:rsidRPr="00BE0C02" w:rsidRDefault="00CD22B9" w:rsidP="007E6349">
      <w:pPr>
        <w:pStyle w:val="NumBC4"/>
        <w:numPr>
          <w:ilvl w:val="0"/>
          <w:numId w:val="45"/>
        </w:numPr>
        <w:ind w:left="1564" w:hanging="782"/>
      </w:pPr>
      <w:r w:rsidRPr="00BE0C02">
        <w:t xml:space="preserve">there is a deed of cross guarantee; </w:t>
      </w:r>
    </w:p>
    <w:p w14:paraId="54C6D99A" w14:textId="77777777" w:rsidR="00CD22B9" w:rsidRPr="00BE0C02" w:rsidRDefault="00CD22B9" w:rsidP="007E6349">
      <w:pPr>
        <w:pStyle w:val="NumBC4"/>
        <w:numPr>
          <w:ilvl w:val="0"/>
          <w:numId w:val="45"/>
        </w:numPr>
        <w:ind w:left="1564" w:hanging="782"/>
      </w:pPr>
      <w:r w:rsidRPr="00BE0C02">
        <w:t>banks have legal recourse to the assets of the consolidated group;</w:t>
      </w:r>
    </w:p>
    <w:p w14:paraId="6B96DE81" w14:textId="77777777" w:rsidR="00CD22B9" w:rsidRPr="00BE0C02" w:rsidRDefault="00CD22B9" w:rsidP="007E6349">
      <w:pPr>
        <w:pStyle w:val="NumBC4"/>
        <w:numPr>
          <w:ilvl w:val="0"/>
          <w:numId w:val="45"/>
        </w:numPr>
        <w:ind w:left="1564" w:hanging="782"/>
      </w:pPr>
      <w:r w:rsidRPr="00BE0C02">
        <w:t>lending to a subsidiary is in the form of a credit enhancement to the whole group; and</w:t>
      </w:r>
    </w:p>
    <w:p w14:paraId="15E2FAD8" w14:textId="2F834767" w:rsidR="00CD22B9" w:rsidRPr="00BE0C02" w:rsidRDefault="00CD22B9" w:rsidP="007E6349">
      <w:pPr>
        <w:pStyle w:val="NumBC4"/>
        <w:numPr>
          <w:ilvl w:val="0"/>
          <w:numId w:val="45"/>
        </w:numPr>
        <w:ind w:left="1564" w:hanging="782"/>
      </w:pPr>
      <w:r w:rsidRPr="00BE0C02">
        <w:t xml:space="preserve">lending to a subsidiary that does not have substantial operations and it is a financing vehicle. </w:t>
      </w:r>
    </w:p>
    <w:p w14:paraId="3FBDED3C" w14:textId="1B263764" w:rsidR="00CD22B9" w:rsidRPr="00BE0C02" w:rsidRDefault="00CD22B9" w:rsidP="007E6349">
      <w:pPr>
        <w:pStyle w:val="NumBC1"/>
        <w:numPr>
          <w:ilvl w:val="0"/>
          <w:numId w:val="27"/>
        </w:numPr>
        <w:ind w:left="782" w:hanging="782"/>
      </w:pPr>
      <w:bookmarkStart w:id="119" w:name="_Ref13574286"/>
      <w:r w:rsidRPr="00BE0C02">
        <w:t>Similarly, feedback from users mentioned that in order to make decisions, they require:</w:t>
      </w:r>
      <w:bookmarkEnd w:id="119"/>
    </w:p>
    <w:p w14:paraId="7442FC8C" w14:textId="77777777" w:rsidR="00CD22B9" w:rsidRPr="00BE0C02" w:rsidRDefault="00CD22B9" w:rsidP="007E6349">
      <w:pPr>
        <w:pStyle w:val="NumBC4"/>
        <w:numPr>
          <w:ilvl w:val="0"/>
          <w:numId w:val="63"/>
        </w:numPr>
        <w:ind w:left="1564" w:hanging="782"/>
      </w:pPr>
      <w:r w:rsidRPr="00BE0C02">
        <w:t xml:space="preserve">consolidated financial statements including note disclosures (which include all assets, liabilities, revenues and expenses of the parent and all subsidiaries); and / or </w:t>
      </w:r>
    </w:p>
    <w:p w14:paraId="48DF7A53" w14:textId="77777777" w:rsidR="00CD22B9" w:rsidRPr="00BE0C02" w:rsidRDefault="00CD22B9" w:rsidP="007E6349">
      <w:pPr>
        <w:pStyle w:val="NumBC4"/>
        <w:numPr>
          <w:ilvl w:val="0"/>
          <w:numId w:val="63"/>
        </w:numPr>
        <w:ind w:left="1564" w:hanging="782"/>
      </w:pPr>
      <w:r w:rsidRPr="00BE0C02">
        <w:t>consolidated financial statements including note disclosures plus some parent entity information to understand their dividend paying capacity.</w:t>
      </w:r>
    </w:p>
    <w:p w14:paraId="4064988C" w14:textId="47D5B2AD" w:rsidR="00CD22B9" w:rsidRPr="00BE0C02" w:rsidRDefault="00CD22B9" w:rsidP="007E6349">
      <w:pPr>
        <w:pStyle w:val="NumBC1"/>
        <w:numPr>
          <w:ilvl w:val="0"/>
          <w:numId w:val="27"/>
        </w:numPr>
        <w:ind w:left="782" w:hanging="782"/>
      </w:pPr>
      <w:r w:rsidRPr="00BE0C02">
        <w:t xml:space="preserve">The feedback noted in paragraphs </w:t>
      </w:r>
      <w:r w:rsidRPr="00BE0C02">
        <w:fldChar w:fldCharType="begin"/>
      </w:r>
      <w:r w:rsidRPr="00BE0C02">
        <w:instrText xml:space="preserve"> REF _Ref13574285 \r \h </w:instrText>
      </w:r>
      <w:r w:rsidR="00BE0C02">
        <w:instrText xml:space="preserve"> \* MERGEFORMAT </w:instrText>
      </w:r>
      <w:r w:rsidRPr="00BE0C02">
        <w:fldChar w:fldCharType="separate"/>
      </w:r>
      <w:r w:rsidR="00E354C4">
        <w:t>BC117</w:t>
      </w:r>
      <w:r w:rsidRPr="00BE0C02">
        <w:fldChar w:fldCharType="end"/>
      </w:r>
      <w:r w:rsidR="00F213D7" w:rsidRPr="00BE0C02">
        <w:t>-</w:t>
      </w:r>
      <w:r w:rsidRPr="00BE0C02">
        <w:fldChar w:fldCharType="begin"/>
      </w:r>
      <w:r w:rsidRPr="00BE0C02">
        <w:instrText xml:space="preserve"> REF _Ref13574286 \r \h </w:instrText>
      </w:r>
      <w:r w:rsidR="00BE0C02">
        <w:instrText xml:space="preserve"> \* MERGEFORMAT </w:instrText>
      </w:r>
      <w:r w:rsidRPr="00BE0C02">
        <w:fldChar w:fldCharType="separate"/>
      </w:r>
      <w:r w:rsidR="00E354C4">
        <w:t>BC118</w:t>
      </w:r>
      <w:r w:rsidRPr="00BE0C02">
        <w:fldChar w:fldCharType="end"/>
      </w:r>
      <w:r w:rsidRPr="00BE0C02">
        <w:t xml:space="preserve"> provided further support to the Board’s view that consolidated financial statements are essential to provide users with transparent and complete information about the financial position and financial performance of the group and the entities in the group.</w:t>
      </w:r>
    </w:p>
    <w:p w14:paraId="54DD4ABC" w14:textId="593B1EF3" w:rsidR="006D216C" w:rsidRPr="00BE0C02" w:rsidRDefault="006D216C" w:rsidP="007E6349">
      <w:pPr>
        <w:pStyle w:val="NumBC1"/>
        <w:numPr>
          <w:ilvl w:val="0"/>
          <w:numId w:val="27"/>
        </w:numPr>
        <w:ind w:left="782" w:hanging="782"/>
      </w:pPr>
      <w:r w:rsidRPr="00BE0C02">
        <w:t xml:space="preserve">Further information on the Board’s decisions in relation to the revised Tier 2 GPFS framework is available in the Basis for Conclusions to </w:t>
      </w:r>
      <w:r w:rsidR="00360E31">
        <w:t>AASB 1060</w:t>
      </w:r>
      <w:r w:rsidR="00E87152" w:rsidRPr="00BE0C02">
        <w:t>.</w:t>
      </w:r>
    </w:p>
    <w:p w14:paraId="6E3CF6E4" w14:textId="13287DD3" w:rsidR="00CD22B9" w:rsidRPr="00BE0C02" w:rsidRDefault="00CD22B9" w:rsidP="007E6349">
      <w:pPr>
        <w:pStyle w:val="NumBC1"/>
        <w:numPr>
          <w:ilvl w:val="0"/>
          <w:numId w:val="27"/>
        </w:numPr>
        <w:ind w:left="782" w:hanging="782"/>
      </w:pPr>
      <w:bookmarkStart w:id="120" w:name="_Ref9866911"/>
      <w:r w:rsidRPr="00BE0C02">
        <w:t xml:space="preserve">Although the Board decided that a revised Tier 2 GPFS framework would help facilitate the removal of SPFS, it also decided that transitional relief in addition to what is </w:t>
      </w:r>
      <w:r w:rsidR="0071631B" w:rsidRPr="00BE0C02">
        <w:t xml:space="preserve">currently </w:t>
      </w:r>
      <w:r w:rsidRPr="00BE0C02">
        <w:t xml:space="preserve">available </w:t>
      </w:r>
      <w:r w:rsidR="0071631B" w:rsidRPr="00BE0C02">
        <w:t xml:space="preserve">in AASB 1 </w:t>
      </w:r>
      <w:r w:rsidRPr="00BE0C02">
        <w:t xml:space="preserve">was warranted to further </w:t>
      </w:r>
      <w:r w:rsidR="00BB2A30" w:rsidRPr="00BE0C02">
        <w:t xml:space="preserve">assist </w:t>
      </w:r>
      <w:r w:rsidRPr="00BE0C02">
        <w:t xml:space="preserve">entities </w:t>
      </w:r>
      <w:r w:rsidR="00BB2A30" w:rsidRPr="00BE0C02">
        <w:t xml:space="preserve">with </w:t>
      </w:r>
      <w:r w:rsidRPr="00BE0C02">
        <w:t>transition from SPFS to Tier 2 GPFS</w:t>
      </w:r>
      <w:r w:rsidR="00361D48" w:rsidRPr="00BE0C02">
        <w:t xml:space="preserve"> where they choose to early adopt</w:t>
      </w:r>
      <w:r w:rsidR="00B40A4D" w:rsidRPr="00BE0C02">
        <w:t xml:space="preserve"> this Standard</w:t>
      </w:r>
      <w:r w:rsidRPr="00BE0C02">
        <w:t xml:space="preserve">, as noted in paragraphs </w:t>
      </w:r>
      <w:r w:rsidRPr="00BE0C02">
        <w:fldChar w:fldCharType="begin"/>
      </w:r>
      <w:r w:rsidRPr="00BE0C02">
        <w:instrText xml:space="preserve"> REF _Ref9851846 \r \h </w:instrText>
      </w:r>
      <w:r w:rsidR="00BE0C02">
        <w:instrText xml:space="preserve"> \* MERGEFORMAT </w:instrText>
      </w:r>
      <w:r w:rsidRPr="00BE0C02">
        <w:fldChar w:fldCharType="separate"/>
      </w:r>
      <w:r w:rsidR="00E354C4">
        <w:t>BC122</w:t>
      </w:r>
      <w:r w:rsidRPr="00BE0C02">
        <w:fldChar w:fldCharType="end"/>
      </w:r>
      <w:r w:rsidR="00F213D7" w:rsidRPr="00BE0C02">
        <w:t>-</w:t>
      </w:r>
      <w:r w:rsidRPr="00BE0C02">
        <w:fldChar w:fldCharType="begin"/>
      </w:r>
      <w:r w:rsidRPr="00BE0C02">
        <w:instrText xml:space="preserve"> REF _Ref8826822 \r \h </w:instrText>
      </w:r>
      <w:r w:rsidR="00BE0C02">
        <w:instrText xml:space="preserve"> \* MERGEFORMAT </w:instrText>
      </w:r>
      <w:r w:rsidRPr="00BE0C02">
        <w:fldChar w:fldCharType="separate"/>
      </w:r>
      <w:r w:rsidR="00E354C4">
        <w:t>BC135</w:t>
      </w:r>
      <w:r w:rsidRPr="00BE0C02">
        <w:fldChar w:fldCharType="end"/>
      </w:r>
      <w:r w:rsidRPr="00BE0C02">
        <w:t>.</w:t>
      </w:r>
      <w:bookmarkEnd w:id="120"/>
    </w:p>
    <w:p w14:paraId="33D88656" w14:textId="77777777" w:rsidR="00CD22B9" w:rsidRPr="00BE0C02" w:rsidRDefault="00CD22B9" w:rsidP="00CD22B9">
      <w:pPr>
        <w:pStyle w:val="Heading2"/>
      </w:pPr>
      <w:r w:rsidRPr="00BE0C02">
        <w:t>Transition</w:t>
      </w:r>
    </w:p>
    <w:p w14:paraId="14A64E50" w14:textId="77777777" w:rsidR="00CD22B9" w:rsidRPr="00BE0C02" w:rsidRDefault="00CD22B9" w:rsidP="00267FDF">
      <w:pPr>
        <w:pStyle w:val="Heading4"/>
        <w:spacing w:before="200"/>
        <w:jc w:val="both"/>
      </w:pPr>
      <w:r w:rsidRPr="00BE0C02">
        <w:t>Feedback from ITC 39</w:t>
      </w:r>
    </w:p>
    <w:p w14:paraId="4B1707F6" w14:textId="4A0F7E17" w:rsidR="00CD22B9" w:rsidRPr="00BE0C02" w:rsidRDefault="00CD22B9" w:rsidP="007E6349">
      <w:pPr>
        <w:pStyle w:val="NumBC1"/>
        <w:numPr>
          <w:ilvl w:val="0"/>
          <w:numId w:val="27"/>
        </w:numPr>
        <w:ind w:left="782" w:hanging="782"/>
      </w:pPr>
      <w:bookmarkStart w:id="121" w:name="_Ref32921608"/>
      <w:bookmarkStart w:id="122" w:name="_Ref9851846"/>
      <w:r w:rsidRPr="00BE0C02">
        <w:t xml:space="preserve">In developing </w:t>
      </w:r>
      <w:r w:rsidR="004A59A2" w:rsidRPr="00BE0C02">
        <w:t>this Standard</w:t>
      </w:r>
      <w:r w:rsidRPr="00BE0C02">
        <w:t xml:space="preserve">, the Board acknowledged that some entities might incur additional costs, particularly on transition from SPFS to Tier 2 GPFS. As such, the Board included specific matters for comment in ITC 39 seeking feedback on what transitional relief should be provided, in addition to that already available in AASB 1. Feedback on transitional relief was also sought by the Board in its roundtable discussions, surveys, webinar and individual meetings with </w:t>
      </w:r>
      <w:r w:rsidR="004A59A2" w:rsidRPr="00BE0C02">
        <w:t>stakeholders</w:t>
      </w:r>
      <w:r w:rsidRPr="00BE0C02">
        <w:t>.</w:t>
      </w:r>
      <w:bookmarkEnd w:id="121"/>
      <w:r w:rsidRPr="00BE0C02">
        <w:t xml:space="preserve"> </w:t>
      </w:r>
      <w:bookmarkEnd w:id="122"/>
    </w:p>
    <w:p w14:paraId="4D994B59" w14:textId="4525F0AD" w:rsidR="00CD22B9" w:rsidRPr="00BE0C02" w:rsidRDefault="00CD22B9" w:rsidP="007E6349">
      <w:pPr>
        <w:pStyle w:val="NumBC1"/>
        <w:numPr>
          <w:ilvl w:val="0"/>
          <w:numId w:val="27"/>
        </w:numPr>
        <w:ind w:left="782" w:hanging="782"/>
      </w:pPr>
      <w:bookmarkStart w:id="123" w:name="_Ref9600685"/>
      <w:r w:rsidRPr="00BE0C02">
        <w:t xml:space="preserve">Feedback from outreach activities related to Phase 2 of ITC 39 and specifically on transitional matters was mixed. Whilst some constituents agreed that AASB 1 would be sufficient to facilitate transition, others were </w:t>
      </w:r>
      <w:r w:rsidRPr="00BE0C02">
        <w:lastRenderedPageBreak/>
        <w:t>either unclear on whether AASB 1 would be sufficient, or argued that more transitional relief was necessary. The Board noted two common areas of suggestion for transitional relief:</w:t>
      </w:r>
      <w:bookmarkEnd w:id="123"/>
    </w:p>
    <w:p w14:paraId="0CEC6D27" w14:textId="581782F2" w:rsidR="00CD22B9" w:rsidRPr="00BE0C02" w:rsidRDefault="00CD22B9" w:rsidP="007E6349">
      <w:pPr>
        <w:pStyle w:val="NumBC2"/>
        <w:numPr>
          <w:ilvl w:val="0"/>
          <w:numId w:val="38"/>
        </w:numPr>
        <w:ind w:left="1564" w:hanging="782"/>
      </w:pPr>
      <w:bookmarkStart w:id="124" w:name="_Ref13485440"/>
      <w:r w:rsidRPr="00BE0C02">
        <w:t xml:space="preserve">relief from consolidation and equity accounting, particularly in relation to the retrospective application of AASB 3 </w:t>
      </w:r>
      <w:r w:rsidRPr="00BE0C02">
        <w:rPr>
          <w:i/>
        </w:rPr>
        <w:t>Business Combinations</w:t>
      </w:r>
      <w:r w:rsidRPr="00BE0C02">
        <w:t>; and</w:t>
      </w:r>
      <w:bookmarkEnd w:id="124"/>
    </w:p>
    <w:p w14:paraId="65242025" w14:textId="0B3667D9" w:rsidR="00CD22B9" w:rsidRPr="00BE0C02" w:rsidRDefault="00CD22B9" w:rsidP="007E6349">
      <w:pPr>
        <w:pStyle w:val="NumBC2"/>
        <w:numPr>
          <w:ilvl w:val="0"/>
          <w:numId w:val="38"/>
        </w:numPr>
        <w:ind w:left="1564" w:hanging="782"/>
      </w:pPr>
      <w:bookmarkStart w:id="125" w:name="_Ref8893221"/>
      <w:r w:rsidRPr="00BE0C02">
        <w:rPr>
          <w:bCs/>
        </w:rPr>
        <w:t xml:space="preserve">relief </w:t>
      </w:r>
      <w:r w:rsidRPr="00BE0C02">
        <w:t xml:space="preserve">from the requirement to restate </w:t>
      </w:r>
      <w:r w:rsidR="004A59A2" w:rsidRPr="00BE0C02">
        <w:t>the</w:t>
      </w:r>
      <w:r w:rsidRPr="00BE0C02">
        <w:t xml:space="preserve"> comparative period on transition from SPFS to Tier 2 GPFS.</w:t>
      </w:r>
      <w:bookmarkEnd w:id="125"/>
    </w:p>
    <w:p w14:paraId="35F22760" w14:textId="3275BCA8" w:rsidR="00CD22B9" w:rsidRPr="00BE0C02" w:rsidRDefault="00CD22B9" w:rsidP="00F34601">
      <w:pPr>
        <w:pStyle w:val="NumBC2"/>
        <w:ind w:left="782" w:firstLine="0"/>
      </w:pPr>
      <w:r w:rsidRPr="00BE0C02">
        <w:t xml:space="preserve">However, despite requesting more information, </w:t>
      </w:r>
      <w:r w:rsidR="00F474C9" w:rsidRPr="00BE0C02">
        <w:t>stakeholders</w:t>
      </w:r>
      <w:r w:rsidRPr="00BE0C02">
        <w:t xml:space="preserve"> did not articulate the specific aspects of the above-mentioned transitional issues that would be particularly costly or onerous. </w:t>
      </w:r>
    </w:p>
    <w:p w14:paraId="25DD51FD" w14:textId="77777777" w:rsidR="00CD22B9" w:rsidRPr="00BE0C02" w:rsidRDefault="00CD22B9" w:rsidP="00267FDF">
      <w:pPr>
        <w:pStyle w:val="Heading4"/>
        <w:spacing w:before="200"/>
      </w:pPr>
      <w:r w:rsidRPr="00BE0C02">
        <w:t>Options considered</w:t>
      </w:r>
    </w:p>
    <w:p w14:paraId="369F0EA8" w14:textId="4B3A9791" w:rsidR="00CD22B9" w:rsidRPr="00BE0C02" w:rsidRDefault="00CD22B9" w:rsidP="007E6349">
      <w:pPr>
        <w:pStyle w:val="NumBC1"/>
        <w:numPr>
          <w:ilvl w:val="0"/>
          <w:numId w:val="27"/>
        </w:numPr>
        <w:ind w:left="782" w:hanging="782"/>
      </w:pPr>
      <w:bookmarkStart w:id="126" w:name="_Ref8894779"/>
      <w:r w:rsidRPr="00BE0C02">
        <w:t>In deliberating the options for transitional relief, the Board noted AASB 1053 requires an entity to either apply all the relevant requirements in AASB 1 or the requirements in AASB 108 to transition from SPFS to Tier 2 GPFS, if that entity had not applied or had only selectively applied the R&amp;M requirements in AAS</w:t>
      </w:r>
      <w:r w:rsidRPr="00BE0C02" w:rsidDel="00787933">
        <w:t>.</w:t>
      </w:r>
      <w:bookmarkEnd w:id="126"/>
      <w:r w:rsidRPr="00BE0C02" w:rsidDel="00787933">
        <w:t xml:space="preserve"> </w:t>
      </w:r>
    </w:p>
    <w:p w14:paraId="0F022245" w14:textId="100E3E7D" w:rsidR="00CD22B9" w:rsidRPr="00BE0C02" w:rsidRDefault="00CD22B9" w:rsidP="007E6349">
      <w:pPr>
        <w:pStyle w:val="NumBC1"/>
        <w:numPr>
          <w:ilvl w:val="0"/>
          <w:numId w:val="27"/>
        </w:numPr>
        <w:ind w:left="782" w:hanging="782"/>
      </w:pPr>
      <w:r w:rsidRPr="00BE0C02">
        <w:t xml:space="preserve">In light of constituent feedback that consolidation and equity accounting would be the most challenging aspects of transition, the Board considered the relief provided by AASB 1 from the need to retrospectively account for past business combinations (a specific challenge noted for consolidation and equity accounting). The Board concluded that the application of AASB 1 provides significant and sufficient relief to address the </w:t>
      </w:r>
      <w:r w:rsidR="004A6295" w:rsidRPr="00BE0C02">
        <w:t>stakeholder</w:t>
      </w:r>
      <w:r w:rsidRPr="00BE0C02">
        <w:t xml:space="preserve"> concerns noted in paragraph </w:t>
      </w:r>
      <w:r w:rsidRPr="00BE0C02">
        <w:fldChar w:fldCharType="begin"/>
      </w:r>
      <w:r w:rsidRPr="00BE0C02">
        <w:instrText xml:space="preserve"> REF _Ref9600685 \r \h </w:instrText>
      </w:r>
      <w:r w:rsidR="00BE0C02">
        <w:instrText xml:space="preserve"> \* MERGEFORMAT </w:instrText>
      </w:r>
      <w:r w:rsidRPr="00BE0C02">
        <w:fldChar w:fldCharType="separate"/>
      </w:r>
      <w:r w:rsidR="00E354C4">
        <w:t>BC123</w:t>
      </w:r>
      <w:r w:rsidRPr="00BE0C02">
        <w:fldChar w:fldCharType="end"/>
      </w:r>
      <w:r w:rsidRPr="00BE0C02">
        <w:fldChar w:fldCharType="begin"/>
      </w:r>
      <w:r w:rsidRPr="00BE0C02">
        <w:instrText xml:space="preserve"> REF _Ref13485440 \r \h </w:instrText>
      </w:r>
      <w:r w:rsidR="00BE0C02">
        <w:instrText xml:space="preserve"> \* MERGEFORMAT </w:instrText>
      </w:r>
      <w:r w:rsidRPr="00BE0C02">
        <w:fldChar w:fldCharType="separate"/>
      </w:r>
      <w:r w:rsidR="00E354C4">
        <w:t>(a)</w:t>
      </w:r>
      <w:r w:rsidRPr="00BE0C02">
        <w:fldChar w:fldCharType="end"/>
      </w:r>
      <w:r w:rsidRPr="00BE0C02">
        <w:t xml:space="preserve">. </w:t>
      </w:r>
    </w:p>
    <w:p w14:paraId="5FE95F5F" w14:textId="3A72025C" w:rsidR="00CD22B9" w:rsidRPr="00BE0C02" w:rsidRDefault="00CD22B9" w:rsidP="007E6349">
      <w:pPr>
        <w:pStyle w:val="NumBC1"/>
        <w:keepNext/>
        <w:numPr>
          <w:ilvl w:val="0"/>
          <w:numId w:val="27"/>
        </w:numPr>
        <w:ind w:left="782" w:hanging="782"/>
      </w:pPr>
      <w:bookmarkStart w:id="127" w:name="_Ref8899575"/>
      <w:r w:rsidRPr="00BE0C02">
        <w:t>The Board also noted:</w:t>
      </w:r>
      <w:bookmarkEnd w:id="127"/>
    </w:p>
    <w:p w14:paraId="16FCA318" w14:textId="0D57CBDB" w:rsidR="00CD22B9" w:rsidRPr="00BE0C02" w:rsidRDefault="00CD22B9" w:rsidP="007E6349">
      <w:pPr>
        <w:pStyle w:val="NumCPlain2"/>
        <w:numPr>
          <w:ilvl w:val="1"/>
          <w:numId w:val="77"/>
        </w:numPr>
      </w:pPr>
      <w:r w:rsidRPr="00BE0C02">
        <w:rPr>
          <w:b/>
        </w:rPr>
        <w:t xml:space="preserve">Doubling of thresholds for large proprietary companies: </w:t>
      </w:r>
      <w:r w:rsidRPr="00BE0C02">
        <w:rPr>
          <w:bCs/>
        </w:rPr>
        <w:t xml:space="preserve">As noted in paragraph </w:t>
      </w:r>
      <w:r w:rsidRPr="00BE0C02">
        <w:rPr>
          <w:bCs/>
        </w:rPr>
        <w:fldChar w:fldCharType="begin"/>
      </w:r>
      <w:r w:rsidRPr="00BE0C02">
        <w:rPr>
          <w:bCs/>
        </w:rPr>
        <w:instrText xml:space="preserve"> REF _Ref9349255 \r \h </w:instrText>
      </w:r>
      <w:r w:rsidR="00BE0C02">
        <w:rPr>
          <w:bCs/>
        </w:rPr>
        <w:instrText xml:space="preserve"> \* MERGEFORMAT </w:instrText>
      </w:r>
      <w:r w:rsidRPr="00BE0C02">
        <w:rPr>
          <w:bCs/>
        </w:rPr>
      </w:r>
      <w:r w:rsidRPr="00BE0C02">
        <w:rPr>
          <w:bCs/>
        </w:rPr>
        <w:fldChar w:fldCharType="separate"/>
      </w:r>
      <w:r w:rsidR="00E354C4">
        <w:rPr>
          <w:bCs/>
        </w:rPr>
        <w:t>BC35</w:t>
      </w:r>
      <w:r w:rsidRPr="00BE0C02">
        <w:rPr>
          <w:bCs/>
        </w:rPr>
        <w:fldChar w:fldCharType="end"/>
      </w:r>
      <w:r w:rsidR="0071631B" w:rsidRPr="00BE0C02">
        <w:rPr>
          <w:bCs/>
        </w:rPr>
        <w:t>,</w:t>
      </w:r>
      <w:r w:rsidRPr="00BE0C02">
        <w:rPr>
          <w:bCs/>
        </w:rPr>
        <w:t xml:space="preserve"> </w:t>
      </w:r>
      <w:r w:rsidRPr="00BE0C02">
        <w:t xml:space="preserve">Treasury doubled the thresholds used for determining what constitutes a large proprietary company. Based on the data available from a data aggregator for the latest lodgements by all filing entities as at 30 </w:t>
      </w:r>
      <w:r w:rsidR="004A6295" w:rsidRPr="00BE0C02">
        <w:t xml:space="preserve">June </w:t>
      </w:r>
      <w:r w:rsidRPr="00BE0C02">
        <w:t>2018 (being before the doubling of the thresholds), as noted in paragraph</w:t>
      </w:r>
      <w:r w:rsidR="001407ED" w:rsidRPr="00BE0C02">
        <w:t xml:space="preserve"> </w:t>
      </w:r>
      <w:r w:rsidR="001407ED" w:rsidRPr="00BE0C02">
        <w:fldChar w:fldCharType="begin"/>
      </w:r>
      <w:r w:rsidR="001407ED" w:rsidRPr="00BE0C02">
        <w:instrText xml:space="preserve"> REF _Ref14983747 \r \h </w:instrText>
      </w:r>
      <w:r w:rsidR="00BE0C02">
        <w:instrText xml:space="preserve"> \* MERGEFORMAT </w:instrText>
      </w:r>
      <w:r w:rsidR="001407ED" w:rsidRPr="00BE0C02">
        <w:fldChar w:fldCharType="separate"/>
      </w:r>
      <w:r w:rsidR="00E354C4">
        <w:t>BC72</w:t>
      </w:r>
      <w:r w:rsidR="001407ED" w:rsidRPr="00BE0C02">
        <w:fldChar w:fldCharType="end"/>
      </w:r>
      <w:r w:rsidRPr="00BE0C02">
        <w:t>, there were a total of 6,7</w:t>
      </w:r>
      <w:r w:rsidR="00E04CC8" w:rsidRPr="00BE0C02">
        <w:t>63</w:t>
      </w:r>
      <w:r w:rsidRPr="00BE0C02">
        <w:t xml:space="preserve"> large proprietary companies that had lodged financial statements with ASIC, out of which 5,</w:t>
      </w:r>
      <w:r w:rsidR="00BC5B9C" w:rsidRPr="00BE0C02">
        <w:t>500</w:t>
      </w:r>
      <w:r w:rsidRPr="00BE0C02">
        <w:t xml:space="preserve"> entities filed SPFS. The doubling of the thresholds reduced the total population of large proprietary companies by approximately </w:t>
      </w:r>
      <w:r w:rsidR="00E04CC8" w:rsidRPr="00BE0C02">
        <w:t>one third</w:t>
      </w:r>
      <w:r w:rsidRPr="00BE0C02">
        <w:t xml:space="preserve">. Based on the revised thresholds, the same data from a data aggregator indicates that </w:t>
      </w:r>
      <w:r w:rsidR="00E04CC8" w:rsidRPr="00BE0C02">
        <w:t xml:space="preserve">a maximum of </w:t>
      </w:r>
      <w:r w:rsidRPr="00BE0C02">
        <w:t xml:space="preserve">approximately </w:t>
      </w:r>
      <w:r w:rsidR="00E04CC8" w:rsidRPr="00BE0C02">
        <w:t>3,666</w:t>
      </w:r>
      <w:r w:rsidRPr="00BE0C02">
        <w:t xml:space="preserve"> large proprietary companies would be required </w:t>
      </w:r>
      <w:r w:rsidR="0027484E" w:rsidRPr="00BE0C02">
        <w:t xml:space="preserve">by this Standard </w:t>
      </w:r>
      <w:r w:rsidRPr="00BE0C02">
        <w:t>to transition from SPFS to Tier 2 GPFS.</w:t>
      </w:r>
    </w:p>
    <w:p w14:paraId="7509928D" w14:textId="11CF0F3A" w:rsidR="00CD22B9" w:rsidRPr="00BE0C02" w:rsidRDefault="00CD22B9" w:rsidP="00F34601">
      <w:pPr>
        <w:pStyle w:val="NumBC3"/>
        <w:ind w:left="1565" w:firstLine="0"/>
      </w:pPr>
      <w:r w:rsidRPr="00BE0C02">
        <w:t xml:space="preserve">In addition, the Board noted the Explanatory Statement accompanying the revision of the thresholds that had outlined the expectation that larger entities are more likely to have users that are dependent on the entity’s GPFS. Further, the Explanatory Statement also noted that the average access rates for financial reports through ASIC for the remaining population of large proprietary companies is significantly higher than for those entities that would now be small proprietary companies (see paragraph </w:t>
      </w:r>
      <w:r w:rsidRPr="00BE0C02">
        <w:fldChar w:fldCharType="begin"/>
      </w:r>
      <w:r w:rsidRPr="00BE0C02">
        <w:instrText xml:space="preserve"> REF _Ref9857928 \r \h </w:instrText>
      </w:r>
      <w:r w:rsidR="00BE0C02">
        <w:instrText xml:space="preserve"> \* MERGEFORMAT </w:instrText>
      </w:r>
      <w:r w:rsidRPr="00BE0C02">
        <w:fldChar w:fldCharType="separate"/>
      </w:r>
      <w:r w:rsidR="00E354C4">
        <w:t>BC40</w:t>
      </w:r>
      <w:r w:rsidRPr="00BE0C02">
        <w:fldChar w:fldCharType="end"/>
      </w:r>
      <w:r w:rsidRPr="00BE0C02">
        <w:fldChar w:fldCharType="begin"/>
      </w:r>
      <w:r w:rsidRPr="00BE0C02">
        <w:instrText xml:space="preserve"> REF _Ref13574409 \r \h </w:instrText>
      </w:r>
      <w:r w:rsidR="00BE0C02">
        <w:instrText xml:space="preserve"> \* MERGEFORMAT </w:instrText>
      </w:r>
      <w:r w:rsidRPr="00BE0C02">
        <w:fldChar w:fldCharType="separate"/>
      </w:r>
      <w:r w:rsidR="00E354C4">
        <w:t>(c)</w:t>
      </w:r>
      <w:r w:rsidRPr="00BE0C02">
        <w:fldChar w:fldCharType="end"/>
      </w:r>
      <w:r w:rsidRPr="00BE0C02">
        <w:t>).</w:t>
      </w:r>
    </w:p>
    <w:p w14:paraId="0B482C54" w14:textId="77777777" w:rsidR="00CD22B9" w:rsidRPr="00BE0C02" w:rsidRDefault="00CD22B9" w:rsidP="00F34601">
      <w:pPr>
        <w:pStyle w:val="NumBC3"/>
        <w:ind w:left="1565" w:firstLine="0"/>
      </w:pPr>
      <w:r w:rsidRPr="00BE0C02">
        <w:t xml:space="preserve">The Board considered that such economically significant companies are expected to have sufficient skills and resources to cope with any transitional challenges within the current requirements. </w:t>
      </w:r>
    </w:p>
    <w:p w14:paraId="6AD944CA" w14:textId="2B2DF2F8" w:rsidR="00CD22B9" w:rsidRPr="00BE0C02" w:rsidRDefault="00CD22B9" w:rsidP="007E6349">
      <w:pPr>
        <w:pStyle w:val="NumCPlain2"/>
        <w:numPr>
          <w:ilvl w:val="0"/>
          <w:numId w:val="55"/>
        </w:numPr>
        <w:ind w:left="1564" w:hanging="782"/>
      </w:pPr>
      <w:r w:rsidRPr="00BE0C02">
        <w:rPr>
          <w:b/>
        </w:rPr>
        <w:t xml:space="preserve">Findings from Research Report </w:t>
      </w:r>
      <w:r w:rsidR="006D56C2" w:rsidRPr="00BE0C02">
        <w:rPr>
          <w:b/>
        </w:rPr>
        <w:t>12</w:t>
      </w:r>
      <w:r w:rsidRPr="00BE0C02">
        <w:rPr>
          <w:b/>
        </w:rPr>
        <w:t>:</w:t>
      </w:r>
      <w:r w:rsidRPr="00BE0C02">
        <w:rPr>
          <w:b/>
          <w:i/>
        </w:rPr>
        <w:t xml:space="preserve"> </w:t>
      </w:r>
      <w:r w:rsidRPr="00BE0C02">
        <w:t xml:space="preserve">One of the key findings of this research is that overall it is estimated that 76% of </w:t>
      </w:r>
      <w:r w:rsidR="001453E2" w:rsidRPr="00BE0C02">
        <w:t>specified</w:t>
      </w:r>
      <w:r w:rsidRPr="00BE0C02">
        <w:t xml:space="preserve"> for-profit </w:t>
      </w:r>
      <w:r w:rsidR="001453E2" w:rsidRPr="00BE0C02">
        <w:t xml:space="preserve">entities </w:t>
      </w:r>
      <w:r w:rsidRPr="00BE0C02">
        <w:t xml:space="preserve">lodging SPFS with ASIC comply with the R&amp;M requirements in AAS; 10% did not comply with the R&amp;M requirements in AAS, while for the remaining 14% it was unclear whether or not they complied with the R&amp;M requirements in AAS. As noted in paragraph </w:t>
      </w:r>
      <w:r w:rsidRPr="00BE0C02">
        <w:fldChar w:fldCharType="begin"/>
      </w:r>
      <w:r w:rsidRPr="00BE0C02">
        <w:instrText xml:space="preserve"> REF _Ref8894779 \r \h  \* MERGEFORMAT </w:instrText>
      </w:r>
      <w:r w:rsidRPr="00BE0C02">
        <w:fldChar w:fldCharType="separate"/>
      </w:r>
      <w:r w:rsidR="00E354C4">
        <w:t>BC124</w:t>
      </w:r>
      <w:r w:rsidRPr="00BE0C02">
        <w:fldChar w:fldCharType="end"/>
      </w:r>
      <w:r w:rsidRPr="00BE0C02">
        <w:t>, entities already applying all of the R&amp;M requirements of AAS would not require transitional relief.</w:t>
      </w:r>
    </w:p>
    <w:p w14:paraId="2C30F504" w14:textId="65F9239F" w:rsidR="00CD22B9" w:rsidRPr="00BE0C02" w:rsidRDefault="00CD22B9" w:rsidP="00F34601">
      <w:pPr>
        <w:pStyle w:val="NumCPlain2"/>
        <w:ind w:left="1564" w:firstLine="0"/>
      </w:pPr>
      <w:r w:rsidRPr="00BE0C02">
        <w:t xml:space="preserve">While the Board noted that these results focused only on compliance with R&amp;M requirements in their lodged SPFS and therefore did not identify whether entities prepared consolidated financial statements, the results show that out of approximately </w:t>
      </w:r>
      <w:r w:rsidR="00E04CC8" w:rsidRPr="00BE0C02">
        <w:t>7,295</w:t>
      </w:r>
      <w:r w:rsidRPr="00BE0C02">
        <w:rPr>
          <w:rStyle w:val="FootnoteReference"/>
        </w:rPr>
        <w:footnoteReference w:id="44"/>
      </w:r>
      <w:r w:rsidRPr="00BE0C02">
        <w:t xml:space="preserve"> for-profit entities lodging SPFS with ASIC following the revision of the large</w:t>
      </w:r>
      <w:r w:rsidR="00E04CC8" w:rsidRPr="00BE0C02">
        <w:t xml:space="preserve"> proprietary company thresholds</w:t>
      </w:r>
      <w:r w:rsidRPr="00BE0C02">
        <w:t xml:space="preserve">, only </w:t>
      </w:r>
      <w:r w:rsidR="004C6E71" w:rsidRPr="00BE0C02">
        <w:t>10</w:t>
      </w:r>
      <w:r w:rsidR="00DA0E8F" w:rsidRPr="00BE0C02">
        <w:t>%</w:t>
      </w:r>
      <w:r w:rsidR="004C6E71" w:rsidRPr="00BE0C02">
        <w:t xml:space="preserve"> to </w:t>
      </w:r>
      <w:r w:rsidRPr="00BE0C02">
        <w:t>24% (approximately</w:t>
      </w:r>
      <w:r w:rsidR="004C6E71" w:rsidRPr="00BE0C02">
        <w:t xml:space="preserve"> </w:t>
      </w:r>
      <w:r w:rsidR="00C82900" w:rsidRPr="00BE0C02">
        <w:t>6</w:t>
      </w:r>
      <w:r w:rsidR="004C6E71" w:rsidRPr="00BE0C02">
        <w:t>00 to</w:t>
      </w:r>
      <w:r w:rsidRPr="00BE0C02">
        <w:t xml:space="preserve"> </w:t>
      </w:r>
      <w:r w:rsidR="00FD7EB8" w:rsidRPr="00BE0C02">
        <w:t>1,7</w:t>
      </w:r>
      <w:r w:rsidR="0071631B" w:rsidRPr="00BE0C02">
        <w:t>0</w:t>
      </w:r>
      <w:r w:rsidR="00235299" w:rsidRPr="00BE0C02">
        <w:t>0</w:t>
      </w:r>
      <w:r w:rsidRPr="00BE0C02">
        <w:t xml:space="preserve"> entities) are expected to be affected by this </w:t>
      </w:r>
      <w:r w:rsidR="000D1F3C" w:rsidRPr="00BE0C02">
        <w:t>Standard</w:t>
      </w:r>
      <w:r w:rsidRPr="00BE0C02">
        <w:t xml:space="preserve">. This is because 76% of the </w:t>
      </w:r>
      <w:r w:rsidR="001453E2" w:rsidRPr="00BE0C02">
        <w:t>specified</w:t>
      </w:r>
      <w:r w:rsidRPr="00BE0C02">
        <w:t xml:space="preserve"> for-profit entities lodging SPFS with ASIC are already complying with the R&amp;M requirements in AAS. The Board also noted that this number may be further reduced as the research showed a clear correlation between entity size and compliance with the R&amp;M requirements in AAS, with the level of compliance increasing with company size.</w:t>
      </w:r>
    </w:p>
    <w:p w14:paraId="6D346933" w14:textId="09E05A5A" w:rsidR="00CD22B9" w:rsidRPr="00BE0C02" w:rsidRDefault="00CD22B9" w:rsidP="00F34601">
      <w:pPr>
        <w:pStyle w:val="NumCPlain2"/>
        <w:ind w:left="1564" w:firstLine="0"/>
      </w:pPr>
      <w:r w:rsidRPr="00BE0C02">
        <w:t>Further, the Board noted that the primary reason for 6% of entities that did not comply with the R&amp;M requirements in AAS was due to not applying AASB 112 in full, however constituents have not raised AASB 112 as being problematic for the purpose of transition.</w:t>
      </w:r>
    </w:p>
    <w:p w14:paraId="0EB4C610" w14:textId="7EF6D25C" w:rsidR="00CD22B9" w:rsidRPr="00BE0C02" w:rsidRDefault="00CD22B9" w:rsidP="007E6349">
      <w:pPr>
        <w:pStyle w:val="NumCPlain2"/>
        <w:numPr>
          <w:ilvl w:val="0"/>
          <w:numId w:val="55"/>
        </w:numPr>
        <w:ind w:left="1564" w:hanging="782"/>
      </w:pPr>
      <w:r w:rsidRPr="00BE0C02">
        <w:rPr>
          <w:b/>
        </w:rPr>
        <w:lastRenderedPageBreak/>
        <w:t xml:space="preserve">Insufficient compelling evidence from extensive outreach: </w:t>
      </w:r>
      <w:r w:rsidRPr="00BE0C02">
        <w:t>The Board performed extensive outreach and asked for specific information on transitional relief that might be needed through formal comments on ITC 39, roundtables in capital cities and over 200 meetings with individual stakeholders, and did not receive compelling evidence or suggestions identifying specific issues that needed transitional relief. Further, no specific feedback was received from small foreign-controlled proprietary companies or unlisted public companies not limited by guarantee.</w:t>
      </w:r>
    </w:p>
    <w:p w14:paraId="481F0318" w14:textId="4514DFBD" w:rsidR="00CD22B9" w:rsidRPr="00BE0C02" w:rsidRDefault="00CD22B9" w:rsidP="007E6349">
      <w:pPr>
        <w:pStyle w:val="NumCPlain2"/>
        <w:numPr>
          <w:ilvl w:val="0"/>
          <w:numId w:val="55"/>
        </w:numPr>
        <w:ind w:left="1564" w:hanging="782"/>
      </w:pPr>
      <w:r w:rsidRPr="00BE0C02">
        <w:rPr>
          <w:b/>
          <w:i/>
        </w:rPr>
        <w:t>The AASB’s For-Profit Entity Standard-Setting Framework</w:t>
      </w:r>
      <w:r w:rsidRPr="00BE0C02">
        <w:rPr>
          <w:b/>
        </w:rPr>
        <w:t>:</w:t>
      </w:r>
      <w:r w:rsidRPr="00BE0C02">
        <w:t xml:space="preserve"> The Board noted the presumption that IFRS Standards are appropriate as a base for all entities, with particular regard to the fact that AASB 1, which incorporates IFRS 1 </w:t>
      </w:r>
      <w:r w:rsidRPr="00BE0C02">
        <w:rPr>
          <w:i/>
        </w:rPr>
        <w:t>First-Time Adoption of International Financial Reporting Standards</w:t>
      </w:r>
      <w:r w:rsidR="007D3162" w:rsidRPr="00BE0C02">
        <w:rPr>
          <w:iCs/>
        </w:rPr>
        <w:t>,</w:t>
      </w:r>
      <w:r w:rsidRPr="00BE0C02">
        <w:t xml:space="preserve"> had been developed by the IASB to reduce the cost of first-time adoption of IFRS Standards</w:t>
      </w:r>
      <w:r w:rsidR="007A7537" w:rsidRPr="00BE0C02">
        <w:t>,</w:t>
      </w:r>
      <w:r w:rsidRPr="00BE0C02">
        <w:t xml:space="preserve"> so that it does not outweigh the benefits of adoption. The Board also observed that the application of AASB 1 has been an appropriate base for entities transitioning to AAS since 2005, including a large number </w:t>
      </w:r>
      <w:r w:rsidR="001B1C49" w:rsidRPr="00BE0C02">
        <w:t>of</w:t>
      </w:r>
      <w:r w:rsidRPr="00BE0C02">
        <w:t xml:space="preserve"> SGEs that were required to transition from SPFS to GPFS for reporting periods ending on or after 30 June 2017. Paragraphs </w:t>
      </w:r>
      <w:r w:rsidRPr="00BE0C02">
        <w:fldChar w:fldCharType="begin"/>
      </w:r>
      <w:r w:rsidRPr="00BE0C02">
        <w:instrText xml:space="preserve"> REF _Ref10168550 \r \h </w:instrText>
      </w:r>
      <w:r w:rsidR="00BE0C02">
        <w:instrText xml:space="preserve"> \* MERGEFORMAT </w:instrText>
      </w:r>
      <w:r w:rsidRPr="00BE0C02">
        <w:fldChar w:fldCharType="separate"/>
      </w:r>
      <w:r w:rsidR="00E354C4">
        <w:t>BC154</w:t>
      </w:r>
      <w:r w:rsidRPr="00BE0C02">
        <w:fldChar w:fldCharType="end"/>
      </w:r>
      <w:r w:rsidR="00F213D7" w:rsidRPr="00BE0C02">
        <w:t>-</w:t>
      </w:r>
      <w:r w:rsidRPr="00BE0C02">
        <w:fldChar w:fldCharType="begin"/>
      </w:r>
      <w:r w:rsidRPr="00BE0C02">
        <w:instrText xml:space="preserve"> REF _Ref10168634 \r \h </w:instrText>
      </w:r>
      <w:r w:rsidR="00BE0C02">
        <w:instrText xml:space="preserve"> \* MERGEFORMAT </w:instrText>
      </w:r>
      <w:r w:rsidRPr="00BE0C02">
        <w:fldChar w:fldCharType="separate"/>
      </w:r>
      <w:r w:rsidR="00E354C4">
        <w:t>BC156</w:t>
      </w:r>
      <w:r w:rsidRPr="00BE0C02">
        <w:fldChar w:fldCharType="end"/>
      </w:r>
      <w:r w:rsidRPr="00BE0C02">
        <w:t xml:space="preserve"> provide further discussion on how the Board applied </w:t>
      </w:r>
      <w:r w:rsidRPr="00BE0C02">
        <w:rPr>
          <w:i/>
        </w:rPr>
        <w:t>The AASB’s For-Profit Entity Standard-Setting Framework</w:t>
      </w:r>
      <w:r w:rsidRPr="00BE0C02">
        <w:t xml:space="preserve"> in arriving at the </w:t>
      </w:r>
      <w:r w:rsidR="008A506D" w:rsidRPr="00BE0C02">
        <w:t xml:space="preserve">requirements </w:t>
      </w:r>
      <w:r w:rsidRPr="00BE0C02">
        <w:t xml:space="preserve">in this </w:t>
      </w:r>
      <w:r w:rsidR="008A506D" w:rsidRPr="00BE0C02">
        <w:t>Standard</w:t>
      </w:r>
      <w:r w:rsidRPr="00BE0C02">
        <w:t>.</w:t>
      </w:r>
    </w:p>
    <w:p w14:paraId="68C67ACB" w14:textId="647C3F5D" w:rsidR="00CD22B9" w:rsidRPr="00BE0C02" w:rsidRDefault="00CD22B9" w:rsidP="007E6349">
      <w:pPr>
        <w:pStyle w:val="NumCPlain2"/>
        <w:numPr>
          <w:ilvl w:val="0"/>
          <w:numId w:val="55"/>
        </w:numPr>
        <w:ind w:left="1564" w:hanging="782"/>
      </w:pPr>
      <w:r w:rsidRPr="00BE0C02">
        <w:rPr>
          <w:b/>
        </w:rPr>
        <w:t>No adverse feedback from entities that transition as a result of the SGE requirements:</w:t>
      </w:r>
      <w:r w:rsidRPr="00BE0C02">
        <w:t xml:space="preserve"> Despite specifically requesting feedback, the Board was not made aware of any significant transitional issues faced by the SGEs that were required to begin lodging GPFS with the ATO. These entities would have transitioned using the current requirements of AASB 1. The Board has also not heard any adverse feedback from the ATO on the quality of the financial reports that have been lodged.</w:t>
      </w:r>
    </w:p>
    <w:p w14:paraId="2161BE1A" w14:textId="59439780" w:rsidR="00CD22B9" w:rsidRPr="00BE0C02" w:rsidRDefault="00CD22B9" w:rsidP="00F34601">
      <w:pPr>
        <w:pStyle w:val="NumCPlain2"/>
        <w:ind w:left="1564" w:firstLine="0"/>
      </w:pPr>
      <w:r w:rsidRPr="00BE0C02">
        <w:t xml:space="preserve">Further, the Board noted that many </w:t>
      </w:r>
      <w:r w:rsidR="005125C8" w:rsidRPr="00BE0C02">
        <w:t xml:space="preserve">of the </w:t>
      </w:r>
      <w:r w:rsidRPr="00BE0C02">
        <w:t xml:space="preserve">entities that have already transitioned to preparing GPFS as required by the SGE legislation, are entities expected to be within the scope of this </w:t>
      </w:r>
      <w:r w:rsidR="005E5F76" w:rsidRPr="00BE0C02">
        <w:t xml:space="preserve">Standard </w:t>
      </w:r>
      <w:r w:rsidRPr="00BE0C02">
        <w:t xml:space="preserve">(ie they are required to prepare financial statements under Part 2M.3 of the </w:t>
      </w:r>
      <w:r w:rsidRPr="00BE0C02">
        <w:rPr>
          <w:i/>
        </w:rPr>
        <w:t>Corporations Act 2001</w:t>
      </w:r>
      <w:r w:rsidRPr="00BE0C02">
        <w:t xml:space="preserve"> and are now preparing GPFS). As a result, there are likely to be fewer entities required to transition from SPFS to GPFS as a result of this </w:t>
      </w:r>
      <w:r w:rsidR="00EC0889" w:rsidRPr="00BE0C02">
        <w:t>Standard</w:t>
      </w:r>
      <w:r w:rsidRPr="00BE0C02">
        <w:t>. Further the Board does not expect the reporting requirement</w:t>
      </w:r>
      <w:r w:rsidR="005125C8" w:rsidRPr="00BE0C02">
        <w:t>s</w:t>
      </w:r>
      <w:r w:rsidRPr="00BE0C02">
        <w:t xml:space="preserve"> for these SGE entities to be any more onerous as a result of this </w:t>
      </w:r>
      <w:r w:rsidR="00B332A2" w:rsidRPr="00BE0C02">
        <w:t xml:space="preserve">Standard </w:t>
      </w:r>
      <w:r w:rsidRPr="00BE0C02">
        <w:t>(ie they will continue to prepare GPFS as required by SGE legislation).</w:t>
      </w:r>
    </w:p>
    <w:p w14:paraId="3DC6A4B1" w14:textId="7D7D6285" w:rsidR="00CD22B9" w:rsidRPr="00BE0C02" w:rsidRDefault="00CD22B9" w:rsidP="007E6349">
      <w:pPr>
        <w:pStyle w:val="NumBC1"/>
        <w:numPr>
          <w:ilvl w:val="0"/>
          <w:numId w:val="27"/>
        </w:numPr>
        <w:ind w:left="782" w:hanging="782"/>
      </w:pPr>
      <w:bookmarkStart w:id="128" w:name="_Ref10049970"/>
      <w:r w:rsidRPr="00BE0C02">
        <w:t>Nevertheless the Board considered three possible options to provide transitional relief in addition to what is available under AASB 1, as follows:</w:t>
      </w:r>
      <w:bookmarkEnd w:id="128"/>
    </w:p>
    <w:tbl>
      <w:tblPr>
        <w:tblStyle w:val="TableGrid"/>
        <w:tblW w:w="9072" w:type="dxa"/>
        <w:tblInd w:w="-5" w:type="dxa"/>
        <w:tblLook w:val="04A0" w:firstRow="1" w:lastRow="0" w:firstColumn="1" w:lastColumn="0" w:noHBand="0" w:noVBand="1"/>
        <w:tblCaption w:val="Transitional relief considered "/>
        <w:tblDescription w:val="Transitional relief considered "/>
      </w:tblPr>
      <w:tblGrid>
        <w:gridCol w:w="1560"/>
        <w:gridCol w:w="2976"/>
        <w:gridCol w:w="4536"/>
      </w:tblGrid>
      <w:tr w:rsidR="00EB6B78" w:rsidRPr="00BE0C02" w14:paraId="6B4DC8C8" w14:textId="77777777" w:rsidTr="00D56F68">
        <w:trPr>
          <w:tblHeader/>
        </w:trPr>
        <w:tc>
          <w:tcPr>
            <w:tcW w:w="1560" w:type="dxa"/>
            <w:shd w:val="clear" w:color="auto" w:fill="F2F2F2" w:themeFill="background1" w:themeFillShade="F2"/>
          </w:tcPr>
          <w:p w14:paraId="08A8EB74" w14:textId="77777777" w:rsidR="00CD22B9" w:rsidRPr="00BE0C02" w:rsidRDefault="00CD22B9" w:rsidP="00F34601">
            <w:pPr>
              <w:pStyle w:val="NumBC1"/>
              <w:ind w:left="0" w:firstLine="0"/>
              <w:jc w:val="left"/>
              <w:rPr>
                <w:b/>
              </w:rPr>
            </w:pPr>
            <w:r w:rsidRPr="00BE0C02">
              <w:rPr>
                <w:b/>
              </w:rPr>
              <w:t>Option</w:t>
            </w:r>
          </w:p>
        </w:tc>
        <w:tc>
          <w:tcPr>
            <w:tcW w:w="2976" w:type="dxa"/>
            <w:shd w:val="clear" w:color="auto" w:fill="F2F2F2" w:themeFill="background1" w:themeFillShade="F2"/>
          </w:tcPr>
          <w:p w14:paraId="535D69C0" w14:textId="77777777" w:rsidR="00CD22B9" w:rsidRPr="00BE0C02" w:rsidRDefault="00CD22B9" w:rsidP="00F34601">
            <w:pPr>
              <w:pStyle w:val="NumBC1"/>
              <w:ind w:left="0" w:firstLine="0"/>
              <w:jc w:val="left"/>
              <w:rPr>
                <w:b/>
              </w:rPr>
            </w:pPr>
            <w:r w:rsidRPr="00BE0C02">
              <w:rPr>
                <w:b/>
              </w:rPr>
              <w:t>Nature of the relief considered</w:t>
            </w:r>
          </w:p>
        </w:tc>
        <w:tc>
          <w:tcPr>
            <w:tcW w:w="4536" w:type="dxa"/>
            <w:shd w:val="clear" w:color="auto" w:fill="F2F2F2" w:themeFill="background1" w:themeFillShade="F2"/>
          </w:tcPr>
          <w:p w14:paraId="41AED5D3" w14:textId="77777777" w:rsidR="00CD22B9" w:rsidRPr="00BE0C02" w:rsidRDefault="00CD22B9" w:rsidP="00F34601">
            <w:pPr>
              <w:pStyle w:val="NumBC1"/>
              <w:ind w:left="0" w:firstLine="0"/>
              <w:jc w:val="left"/>
              <w:rPr>
                <w:b/>
              </w:rPr>
            </w:pPr>
            <w:r w:rsidRPr="00BE0C02">
              <w:rPr>
                <w:b/>
              </w:rPr>
              <w:t>Key factors considered</w:t>
            </w:r>
          </w:p>
        </w:tc>
      </w:tr>
      <w:tr w:rsidR="00CD22B9" w:rsidRPr="00BE0C02" w14:paraId="21FA868F" w14:textId="77777777" w:rsidTr="00D56F68">
        <w:tc>
          <w:tcPr>
            <w:tcW w:w="1560" w:type="dxa"/>
          </w:tcPr>
          <w:p w14:paraId="221C8549" w14:textId="77777777" w:rsidR="00CD22B9" w:rsidRPr="00BE0C02" w:rsidRDefault="00CD22B9" w:rsidP="00F34601">
            <w:pPr>
              <w:pStyle w:val="NumBC1"/>
              <w:ind w:left="0" w:firstLine="0"/>
              <w:jc w:val="left"/>
            </w:pPr>
            <w:r w:rsidRPr="00BE0C02">
              <w:t>‘Push-down accounting’ for entities that are subsidiaries of an IFRS Standards and / or AAS compliant parent</w:t>
            </w:r>
          </w:p>
        </w:tc>
        <w:tc>
          <w:tcPr>
            <w:tcW w:w="2976" w:type="dxa"/>
          </w:tcPr>
          <w:p w14:paraId="3B321943" w14:textId="77777777" w:rsidR="00CD22B9" w:rsidRPr="00BE0C02" w:rsidRDefault="00CD22B9" w:rsidP="00F34601">
            <w:pPr>
              <w:pStyle w:val="NumBC1"/>
              <w:ind w:left="0" w:firstLine="0"/>
              <w:jc w:val="left"/>
            </w:pPr>
            <w:r w:rsidRPr="00BE0C02">
              <w:t xml:space="preserve">To allow subsidiaries that are consolidating into the financial statements of an AAS or IFRS Standards compliant parent to recognise amounts reported in their reporting / consolidation pack (which would have been derived from acquisition date fair values) to be deemed cost in their individual financial statements (subject to requiring them to recognise only those assets and liabilities that qualify for recognition under AAS in the subsidiary’s own financial statements). </w:t>
            </w:r>
          </w:p>
        </w:tc>
        <w:tc>
          <w:tcPr>
            <w:tcW w:w="4536" w:type="dxa"/>
          </w:tcPr>
          <w:p w14:paraId="0BFFEDB8" w14:textId="77777777" w:rsidR="00CD22B9" w:rsidRPr="00BE0C02" w:rsidRDefault="00CD22B9" w:rsidP="00F34601">
            <w:pPr>
              <w:pStyle w:val="NumBC1"/>
              <w:ind w:left="0" w:firstLine="0"/>
              <w:jc w:val="left"/>
            </w:pPr>
            <w:r w:rsidRPr="00BE0C02">
              <w:t>The Board noted that advantages of this relief would include:</w:t>
            </w:r>
          </w:p>
          <w:p w14:paraId="744F5F2B" w14:textId="573246EE" w:rsidR="00CD22B9" w:rsidRPr="00BE0C02" w:rsidRDefault="00CD22B9" w:rsidP="007E6349">
            <w:pPr>
              <w:pStyle w:val="NumBC1"/>
              <w:numPr>
                <w:ilvl w:val="0"/>
                <w:numId w:val="49"/>
              </w:numPr>
              <w:jc w:val="left"/>
            </w:pPr>
            <w:r w:rsidRPr="00BE0C02">
              <w:t>no need to keep two sets of parallel accounting records (ie one set for group reporting purposes and another set for its own mandatory Tier 2 GPFS); and</w:t>
            </w:r>
          </w:p>
          <w:p w14:paraId="2402DEB9" w14:textId="3ED7FC1E" w:rsidR="00CD22B9" w:rsidRPr="00BE0C02" w:rsidRDefault="00CD22B9" w:rsidP="007E6349">
            <w:pPr>
              <w:pStyle w:val="NumBC1"/>
              <w:numPr>
                <w:ilvl w:val="0"/>
                <w:numId w:val="49"/>
              </w:numPr>
              <w:jc w:val="left"/>
            </w:pPr>
            <w:r w:rsidRPr="00BE0C02">
              <w:t>opening balances would still be based on AAS principles, albeit measured at a different point in time.</w:t>
            </w:r>
          </w:p>
          <w:p w14:paraId="1D271A7A" w14:textId="4A1DAE74" w:rsidR="00CD22B9" w:rsidRPr="00BE0C02" w:rsidRDefault="00CD22B9" w:rsidP="00F34601">
            <w:pPr>
              <w:pStyle w:val="NumBC1"/>
              <w:ind w:left="0" w:firstLine="0"/>
              <w:jc w:val="left"/>
            </w:pPr>
            <w:r w:rsidRPr="00BE0C02">
              <w:t xml:space="preserve">However, the Board decided not to </w:t>
            </w:r>
            <w:r w:rsidR="00E8318D" w:rsidRPr="00BE0C02">
              <w:t xml:space="preserve">provide </w:t>
            </w:r>
            <w:r w:rsidRPr="00BE0C02">
              <w:t>this relief:</w:t>
            </w:r>
          </w:p>
          <w:p w14:paraId="002F87CD" w14:textId="1C5576AB" w:rsidR="00CD22B9" w:rsidRPr="00BE0C02" w:rsidRDefault="00CD22B9" w:rsidP="007E6349">
            <w:pPr>
              <w:pStyle w:val="NumBC1"/>
              <w:numPr>
                <w:ilvl w:val="0"/>
                <w:numId w:val="50"/>
              </w:numPr>
              <w:jc w:val="left"/>
            </w:pPr>
            <w:r w:rsidRPr="00BE0C02">
              <w:t xml:space="preserve">for the reasons noted in paragraph </w:t>
            </w:r>
            <w:r w:rsidRPr="00BE0C02">
              <w:fldChar w:fldCharType="begin"/>
            </w:r>
            <w:r w:rsidRPr="00BE0C02">
              <w:instrText xml:space="preserve"> REF _Ref8899575 \r \h </w:instrText>
            </w:r>
            <w:r w:rsidR="00BE0C02">
              <w:instrText xml:space="preserve"> \* MERGEFORMAT </w:instrText>
            </w:r>
            <w:r w:rsidRPr="00BE0C02">
              <w:fldChar w:fldCharType="separate"/>
            </w:r>
            <w:r w:rsidR="00E354C4">
              <w:t>BC126</w:t>
            </w:r>
            <w:r w:rsidRPr="00BE0C02">
              <w:fldChar w:fldCharType="end"/>
            </w:r>
            <w:r w:rsidRPr="00BE0C02">
              <w:t>;</w:t>
            </w:r>
          </w:p>
          <w:p w14:paraId="3A796FE8" w14:textId="51BFD402" w:rsidR="00CD22B9" w:rsidRPr="00BE0C02" w:rsidRDefault="00CD22B9" w:rsidP="007E6349">
            <w:pPr>
              <w:pStyle w:val="NumBC1"/>
              <w:numPr>
                <w:ilvl w:val="0"/>
                <w:numId w:val="50"/>
              </w:numPr>
              <w:jc w:val="left"/>
            </w:pPr>
            <w:r w:rsidRPr="00BE0C02">
              <w:t xml:space="preserve">because this relief would have been inconsistent with </w:t>
            </w:r>
            <w:r w:rsidRPr="00BE0C02">
              <w:rPr>
                <w:i/>
              </w:rPr>
              <w:t>The AASB’s For-Profit Entity Standard-Setting Framework’s</w:t>
            </w:r>
            <w:r w:rsidRPr="00BE0C02">
              <w:t xml:space="preserve"> presumption that IFRS Standards are an appropriate base;</w:t>
            </w:r>
          </w:p>
          <w:p w14:paraId="5FC6E61B" w14:textId="77777777" w:rsidR="00CD22B9" w:rsidRPr="00BE0C02" w:rsidRDefault="00CD22B9" w:rsidP="007E6349">
            <w:pPr>
              <w:pStyle w:val="NumBC1"/>
              <w:numPr>
                <w:ilvl w:val="0"/>
                <w:numId w:val="50"/>
              </w:numPr>
              <w:pBdr>
                <w:right w:val="single" w:sz="4" w:space="4" w:color="auto"/>
              </w:pBdr>
              <w:jc w:val="left"/>
            </w:pPr>
            <w:r w:rsidRPr="00BE0C02">
              <w:t xml:space="preserve">because anecdotally, adjusting balances to be consistent with AAS is not the most difficult area of transition, rather it is more difficult to restate prior periods; </w:t>
            </w:r>
          </w:p>
          <w:p w14:paraId="6C768554" w14:textId="473529AB" w:rsidR="00CD22B9" w:rsidRPr="00BE0C02" w:rsidRDefault="00CD22B9" w:rsidP="007E6349">
            <w:pPr>
              <w:pStyle w:val="NumBC1"/>
              <w:numPr>
                <w:ilvl w:val="0"/>
                <w:numId w:val="50"/>
              </w:numPr>
              <w:jc w:val="left"/>
            </w:pPr>
            <w:r w:rsidRPr="00BE0C02">
              <w:t>because the relief would only be available for a limited number of entities, which would likely be foreign-controlled and hence subject to public interest. It was not clear to the Board, the number of entities that would be able to utilise this relief in any case; and</w:t>
            </w:r>
          </w:p>
          <w:p w14:paraId="7BE0862C" w14:textId="77777777" w:rsidR="00CD22B9" w:rsidRPr="00BE0C02" w:rsidRDefault="00CD22B9" w:rsidP="007E6349">
            <w:pPr>
              <w:pStyle w:val="NumBC1"/>
              <w:numPr>
                <w:ilvl w:val="0"/>
                <w:numId w:val="50"/>
              </w:numPr>
              <w:jc w:val="left"/>
            </w:pPr>
            <w:r w:rsidRPr="00BE0C02">
              <w:lastRenderedPageBreak/>
              <w:t xml:space="preserve">because such relief would reduce comparability with other entities that are transitioning from SPFS to GPFS. </w:t>
            </w:r>
          </w:p>
          <w:p w14:paraId="19E5DA75" w14:textId="2DD540B5" w:rsidR="00CD22B9" w:rsidRPr="00BE0C02" w:rsidRDefault="00FF7055" w:rsidP="00F9640C">
            <w:pPr>
              <w:pStyle w:val="NumBC1"/>
              <w:ind w:left="0" w:firstLine="0"/>
              <w:jc w:val="left"/>
            </w:pPr>
            <w:r w:rsidRPr="00BE0C02">
              <w:t>The Board considered whether AASB 1 effectively provide</w:t>
            </w:r>
            <w:r w:rsidR="00627DC8" w:rsidRPr="00BE0C02">
              <w:t>d</w:t>
            </w:r>
            <w:r w:rsidRPr="00BE0C02">
              <w:t xml:space="preserve"> </w:t>
            </w:r>
            <w:r w:rsidR="00627DC8" w:rsidRPr="00BE0C02">
              <w:t xml:space="preserve">such relief through other exemptions (such as event driven fair values), but did not form a view on this matter.  </w:t>
            </w:r>
            <w:r w:rsidR="00FD0D78" w:rsidRPr="00BE0C02">
              <w:t xml:space="preserve">  </w:t>
            </w:r>
          </w:p>
        </w:tc>
      </w:tr>
      <w:tr w:rsidR="00CD22B9" w:rsidRPr="00BE0C02" w14:paraId="79DE0213" w14:textId="77777777" w:rsidTr="00D56F68">
        <w:tc>
          <w:tcPr>
            <w:tcW w:w="1560" w:type="dxa"/>
          </w:tcPr>
          <w:p w14:paraId="2308DD70" w14:textId="6FBA836F" w:rsidR="00CD22B9" w:rsidRPr="00BE0C02" w:rsidRDefault="00CD22B9" w:rsidP="00F34601">
            <w:pPr>
              <w:pStyle w:val="NumBC1"/>
              <w:ind w:left="0" w:firstLine="0"/>
              <w:jc w:val="left"/>
            </w:pPr>
            <w:r w:rsidRPr="00BE0C02">
              <w:lastRenderedPageBreak/>
              <w:t>Relief from recognising ‘</w:t>
            </w:r>
            <w:r w:rsidR="00095A76" w:rsidRPr="00BE0C02">
              <w:t xml:space="preserve">deemed </w:t>
            </w:r>
            <w:r w:rsidRPr="00BE0C02">
              <w:t>goodwill’ if applying paragraph C4(j) of AASB 1.</w:t>
            </w:r>
            <w:r w:rsidRPr="00BE0C02">
              <w:rPr>
                <w:rFonts w:asciiTheme="minorHAnsi" w:hAnsiTheme="minorHAnsi" w:cs="Calibri"/>
              </w:rPr>
              <w:t xml:space="preserve"> </w:t>
            </w:r>
          </w:p>
        </w:tc>
        <w:tc>
          <w:tcPr>
            <w:tcW w:w="2976" w:type="dxa"/>
          </w:tcPr>
          <w:p w14:paraId="2623E216" w14:textId="7D6795FF" w:rsidR="00CD22B9" w:rsidRPr="00BE0C02" w:rsidRDefault="00CD22B9" w:rsidP="00F34601">
            <w:pPr>
              <w:pStyle w:val="NumBC1"/>
              <w:ind w:left="0" w:firstLine="0"/>
              <w:jc w:val="left"/>
            </w:pPr>
            <w:r w:rsidRPr="00BE0C02">
              <w:t xml:space="preserve">Provide a parent entity applying the relief in AASB 1 Appendix C in relation to previously unconsolidated subsidiaries with an option to write off ‘deemed goodwill’ immediately in retained earnings, rather than recognise it and then be required to undertake day 1 and annual impairment testing. </w:t>
            </w:r>
          </w:p>
        </w:tc>
        <w:tc>
          <w:tcPr>
            <w:tcW w:w="4536" w:type="dxa"/>
          </w:tcPr>
          <w:p w14:paraId="49A53C02" w14:textId="77777777" w:rsidR="00CD22B9" w:rsidRPr="00BE0C02" w:rsidRDefault="00CD22B9" w:rsidP="00F34601">
            <w:pPr>
              <w:pStyle w:val="NumBC1"/>
              <w:ind w:left="0" w:firstLine="0"/>
              <w:jc w:val="left"/>
            </w:pPr>
            <w:r w:rsidRPr="00BE0C02">
              <w:t>The Board noted that advantages of this relief would include:</w:t>
            </w:r>
          </w:p>
          <w:p w14:paraId="62FC06A5" w14:textId="77777777" w:rsidR="00CD22B9" w:rsidRPr="00BE0C02" w:rsidRDefault="00CD22B9" w:rsidP="007E6349">
            <w:pPr>
              <w:pStyle w:val="NumBC1"/>
              <w:numPr>
                <w:ilvl w:val="0"/>
                <w:numId w:val="51"/>
              </w:numPr>
              <w:jc w:val="left"/>
            </w:pPr>
            <w:r w:rsidRPr="00BE0C02">
              <w:t>the potential to reduce the cost of undertaking an impairment test at the date of transition and ongoing annually; and</w:t>
            </w:r>
          </w:p>
          <w:p w14:paraId="7997D3AF" w14:textId="77777777" w:rsidR="00CD22B9" w:rsidRPr="00BE0C02" w:rsidRDefault="00CD22B9" w:rsidP="007E6349">
            <w:pPr>
              <w:pStyle w:val="NumBC1"/>
              <w:numPr>
                <w:ilvl w:val="0"/>
                <w:numId w:val="51"/>
              </w:numPr>
              <w:jc w:val="left"/>
            </w:pPr>
            <w:r w:rsidRPr="00BE0C02">
              <w:t>that it would provide relief for entities consolidating for the first time, a key concern of respondents to Phase 2 of ITC 39.</w:t>
            </w:r>
          </w:p>
          <w:p w14:paraId="50A0E86B" w14:textId="61513DB9" w:rsidR="00CD22B9" w:rsidRPr="00BE0C02" w:rsidRDefault="00CD22B9" w:rsidP="00F34601">
            <w:pPr>
              <w:pStyle w:val="NumBC1"/>
              <w:ind w:left="0" w:firstLine="0"/>
              <w:jc w:val="left"/>
            </w:pPr>
            <w:r w:rsidRPr="00BE0C02">
              <w:t xml:space="preserve">However, the Board decided not to </w:t>
            </w:r>
            <w:r w:rsidR="00E8318D" w:rsidRPr="00BE0C02">
              <w:t xml:space="preserve">provide </w:t>
            </w:r>
            <w:r w:rsidRPr="00BE0C02">
              <w:t>this relief:</w:t>
            </w:r>
          </w:p>
          <w:p w14:paraId="480136D9" w14:textId="08F5B3A1" w:rsidR="00CD22B9" w:rsidRPr="00BE0C02" w:rsidRDefault="00CD22B9" w:rsidP="007E6349">
            <w:pPr>
              <w:pStyle w:val="NumBC1"/>
              <w:numPr>
                <w:ilvl w:val="0"/>
                <w:numId w:val="52"/>
              </w:numPr>
              <w:jc w:val="left"/>
            </w:pPr>
            <w:r w:rsidRPr="00BE0C02">
              <w:t xml:space="preserve">for the reasons noted in paragraph </w:t>
            </w:r>
            <w:r w:rsidRPr="00BE0C02">
              <w:fldChar w:fldCharType="begin"/>
            </w:r>
            <w:r w:rsidRPr="00BE0C02">
              <w:instrText xml:space="preserve"> REF _Ref8899575 \r \h </w:instrText>
            </w:r>
            <w:r w:rsidR="00BE0C02">
              <w:instrText xml:space="preserve"> \* MERGEFORMAT </w:instrText>
            </w:r>
            <w:r w:rsidRPr="00BE0C02">
              <w:fldChar w:fldCharType="separate"/>
            </w:r>
            <w:r w:rsidR="00E354C4">
              <w:t>BC126</w:t>
            </w:r>
            <w:r w:rsidRPr="00BE0C02">
              <w:fldChar w:fldCharType="end"/>
            </w:r>
            <w:r w:rsidRPr="00BE0C02">
              <w:t>;</w:t>
            </w:r>
          </w:p>
          <w:p w14:paraId="71A204D6" w14:textId="2F99B671" w:rsidR="00CD22B9" w:rsidRPr="00BE0C02" w:rsidRDefault="00CD22B9" w:rsidP="007E6349">
            <w:pPr>
              <w:pStyle w:val="NumBC1"/>
              <w:numPr>
                <w:ilvl w:val="0"/>
                <w:numId w:val="52"/>
              </w:numPr>
              <w:jc w:val="left"/>
            </w:pPr>
            <w:r w:rsidRPr="00BE0C02">
              <w:t xml:space="preserve">because this relief would have been inconsistent with </w:t>
            </w:r>
            <w:r w:rsidRPr="00BE0C02">
              <w:rPr>
                <w:i/>
              </w:rPr>
              <w:t>The AASB’s For-Profit Entity Standard-Setting Framework’s</w:t>
            </w:r>
            <w:r w:rsidRPr="00BE0C02">
              <w:t xml:space="preserve"> presumption that IFRS Standards are an appropriate base. In particular, the Board noted that this amendment would fundamentally change the R&amp;M requirements of AASB 1; and</w:t>
            </w:r>
          </w:p>
          <w:p w14:paraId="6FA0760F" w14:textId="0479B91E" w:rsidR="00CD22B9" w:rsidRPr="00BE0C02" w:rsidRDefault="00CD22B9" w:rsidP="007E6349">
            <w:pPr>
              <w:pStyle w:val="NumBC1"/>
              <w:numPr>
                <w:ilvl w:val="0"/>
                <w:numId w:val="52"/>
              </w:numPr>
              <w:jc w:val="left"/>
            </w:pPr>
            <w:r w:rsidRPr="00BE0C02">
              <w:t>because this relief could lead to significant loss of information about impairment for users and regulators.</w:t>
            </w:r>
          </w:p>
        </w:tc>
      </w:tr>
      <w:tr w:rsidR="00CD22B9" w:rsidRPr="00BE0C02" w14:paraId="2B9A5237" w14:textId="77777777" w:rsidTr="00D56F68">
        <w:tc>
          <w:tcPr>
            <w:tcW w:w="1560" w:type="dxa"/>
          </w:tcPr>
          <w:p w14:paraId="55029101" w14:textId="4CBF6C3E" w:rsidR="00CD22B9" w:rsidRPr="00BE0C02" w:rsidRDefault="00CD22B9" w:rsidP="00F34601">
            <w:pPr>
              <w:pStyle w:val="NumBC1"/>
              <w:ind w:left="0" w:firstLine="0"/>
              <w:jc w:val="left"/>
            </w:pPr>
            <w:r w:rsidRPr="00BE0C02">
              <w:t>Relief from restating comparative information as required by AAS</w:t>
            </w:r>
          </w:p>
        </w:tc>
        <w:tc>
          <w:tcPr>
            <w:tcW w:w="2976" w:type="dxa"/>
          </w:tcPr>
          <w:p w14:paraId="5E81C82D" w14:textId="66A87723" w:rsidR="00CD22B9" w:rsidRPr="00BE0C02" w:rsidRDefault="00CD22B9" w:rsidP="00590CBC">
            <w:pPr>
              <w:pStyle w:val="NumBC1"/>
              <w:ind w:left="0" w:firstLine="0"/>
              <w:jc w:val="left"/>
            </w:pPr>
            <w:r w:rsidRPr="00BE0C02">
              <w:t xml:space="preserve">To amend AASB 1 to specify that entities need not restate or present comparative information as required by AAS. This would mean the date of transition is the beginning of the reporting period (rather than the beginning of the comparative period). </w:t>
            </w:r>
          </w:p>
          <w:p w14:paraId="33E94702" w14:textId="77777777" w:rsidR="00CD22B9" w:rsidRPr="00BE0C02" w:rsidRDefault="00CD22B9" w:rsidP="00D56F68">
            <w:pPr>
              <w:spacing w:after="240"/>
            </w:pPr>
          </w:p>
        </w:tc>
        <w:tc>
          <w:tcPr>
            <w:tcW w:w="4536" w:type="dxa"/>
          </w:tcPr>
          <w:p w14:paraId="1755D758" w14:textId="0786DAE6" w:rsidR="00CD22B9" w:rsidRPr="00BE0C02" w:rsidRDefault="00CD22B9" w:rsidP="008A5796">
            <w:pPr>
              <w:pStyle w:val="NumBC1"/>
              <w:ind w:left="0" w:firstLine="0"/>
              <w:jc w:val="left"/>
            </w:pPr>
            <w:r w:rsidRPr="00BE0C02">
              <w:t xml:space="preserve">The Board decided to propose this relief </w:t>
            </w:r>
            <w:r w:rsidR="00EE78A5" w:rsidRPr="00BE0C02">
              <w:t>in ED 297</w:t>
            </w:r>
            <w:r w:rsidRPr="00BE0C02">
              <w:t>, noting the advantages include:</w:t>
            </w:r>
          </w:p>
          <w:p w14:paraId="5333069C" w14:textId="1BB5F2F1" w:rsidR="00CD22B9" w:rsidRPr="00BE0C02" w:rsidRDefault="00CD22B9" w:rsidP="007E6349">
            <w:pPr>
              <w:pStyle w:val="NumBC1"/>
              <w:numPr>
                <w:ilvl w:val="0"/>
                <w:numId w:val="53"/>
              </w:numPr>
              <w:jc w:val="left"/>
            </w:pPr>
            <w:r w:rsidRPr="00BE0C02">
              <w:t xml:space="preserve">the relief would facilitate the transition to GPFS in a more timely manner – for periods beginning on or after 1 July 2020 (on the assumption the </w:t>
            </w:r>
            <w:r w:rsidR="00EE78A5" w:rsidRPr="00BE0C02">
              <w:t>Standard</w:t>
            </w:r>
            <w:r w:rsidRPr="00BE0C02">
              <w:t xml:space="preserve"> </w:t>
            </w:r>
            <w:r w:rsidR="00EE78A5" w:rsidRPr="00BE0C02">
              <w:t xml:space="preserve">would be </w:t>
            </w:r>
            <w:r w:rsidRPr="00BE0C02">
              <w:t xml:space="preserve">issued as an amending standard prior to 30 June 2020). This would also mean that, effectively, the RCF and the removal of the </w:t>
            </w:r>
            <w:r w:rsidR="008511F5" w:rsidRPr="00BE0C02">
              <w:t>ability of</w:t>
            </w:r>
            <w:r w:rsidRPr="00BE0C02">
              <w:t xml:space="preserve"> certain entities to prepare SPFS when they are required to prepare financial statements that comply with AAS would become effective for the first time in the same reporting period;</w:t>
            </w:r>
          </w:p>
          <w:p w14:paraId="67917EFD" w14:textId="5585306E" w:rsidR="00CD22B9" w:rsidRPr="00BE0C02" w:rsidRDefault="00CD22B9" w:rsidP="007E6349">
            <w:pPr>
              <w:pStyle w:val="NumBC1"/>
              <w:numPr>
                <w:ilvl w:val="0"/>
                <w:numId w:val="53"/>
              </w:numPr>
              <w:jc w:val="left"/>
            </w:pPr>
            <w:r w:rsidRPr="00BE0C02">
              <w:t>the relief was not expected to have implications for the R&amp;M requirements in AAS, except to the extent that the change in the date of transition would lead to differences in opening balances based on a different date of transition; and</w:t>
            </w:r>
          </w:p>
          <w:p w14:paraId="53C19477" w14:textId="77777777" w:rsidR="00CD22B9" w:rsidRPr="00BE0C02" w:rsidRDefault="00CD22B9" w:rsidP="007E6349">
            <w:pPr>
              <w:pStyle w:val="NumBC1"/>
              <w:numPr>
                <w:ilvl w:val="0"/>
                <w:numId w:val="53"/>
              </w:numPr>
              <w:jc w:val="left"/>
            </w:pPr>
            <w:r w:rsidRPr="00BE0C02">
              <w:t>the relief would reduce costs to all entities required to transition from SPFS to GPFS.</w:t>
            </w:r>
          </w:p>
          <w:p w14:paraId="446969EE" w14:textId="719FE066" w:rsidR="00CD22B9" w:rsidRPr="00BE0C02" w:rsidRDefault="00CD22B9" w:rsidP="00F34601">
            <w:pPr>
              <w:pStyle w:val="NumBC1"/>
              <w:ind w:left="0" w:firstLine="0"/>
              <w:jc w:val="left"/>
            </w:pPr>
            <w:r w:rsidRPr="00BE0C02">
              <w:t>However, the Board did note some disadvantages</w:t>
            </w:r>
            <w:r w:rsidR="0003469B" w:rsidRPr="00BE0C02">
              <w:t>,</w:t>
            </w:r>
            <w:r w:rsidRPr="00BE0C02">
              <w:t xml:space="preserve"> including:</w:t>
            </w:r>
          </w:p>
          <w:p w14:paraId="1B119AFE" w14:textId="77777777" w:rsidR="00CD22B9" w:rsidRPr="00BE0C02" w:rsidRDefault="00CD22B9" w:rsidP="007E6349">
            <w:pPr>
              <w:pStyle w:val="NumBC1"/>
              <w:numPr>
                <w:ilvl w:val="0"/>
                <w:numId w:val="54"/>
              </w:numPr>
              <w:jc w:val="left"/>
            </w:pPr>
            <w:r w:rsidRPr="00BE0C02">
              <w:t>reduced information for users – particularly in making trend analyses; and</w:t>
            </w:r>
          </w:p>
          <w:p w14:paraId="0D73B959" w14:textId="7345ABFC" w:rsidR="00CD22B9" w:rsidRPr="00BE0C02" w:rsidRDefault="00CD22B9" w:rsidP="007E6349">
            <w:pPr>
              <w:pStyle w:val="NumBC1"/>
              <w:numPr>
                <w:ilvl w:val="0"/>
                <w:numId w:val="54"/>
              </w:numPr>
              <w:jc w:val="left"/>
            </w:pPr>
            <w:r w:rsidRPr="00BE0C02">
              <w:t xml:space="preserve">the approach would require divergence from the presumption in </w:t>
            </w:r>
            <w:r w:rsidRPr="00BE0C02">
              <w:rPr>
                <w:i/>
              </w:rPr>
              <w:t>The AASB’s For-Profit Entity Standard-Setting Framework</w:t>
            </w:r>
            <w:r w:rsidRPr="00BE0C02">
              <w:t xml:space="preserve"> that IFRS Standards </w:t>
            </w:r>
            <w:r w:rsidRPr="00BE0C02">
              <w:lastRenderedPageBreak/>
              <w:t xml:space="preserve">are appropriate as a base, albeit it would not a major deviation. </w:t>
            </w:r>
          </w:p>
        </w:tc>
      </w:tr>
    </w:tbl>
    <w:p w14:paraId="5A50DB60" w14:textId="6A98E007" w:rsidR="00CD22B9" w:rsidRPr="00BE0C02" w:rsidRDefault="00CD22B9" w:rsidP="007E6349">
      <w:pPr>
        <w:pStyle w:val="NumBC1"/>
        <w:numPr>
          <w:ilvl w:val="0"/>
          <w:numId w:val="27"/>
        </w:numPr>
        <w:ind w:left="782" w:hanging="782"/>
      </w:pPr>
      <w:r w:rsidRPr="00BE0C02">
        <w:lastRenderedPageBreak/>
        <w:t xml:space="preserve">For the reasons noted in the table in paragraph </w:t>
      </w:r>
      <w:r w:rsidRPr="00BE0C02">
        <w:fldChar w:fldCharType="begin"/>
      </w:r>
      <w:r w:rsidRPr="00BE0C02">
        <w:instrText xml:space="preserve"> REF _Ref10049970 \r \h </w:instrText>
      </w:r>
      <w:r w:rsidR="00BE0C02">
        <w:instrText xml:space="preserve"> \* MERGEFORMAT </w:instrText>
      </w:r>
      <w:r w:rsidRPr="00BE0C02">
        <w:fldChar w:fldCharType="separate"/>
      </w:r>
      <w:r w:rsidR="00E354C4">
        <w:t>BC127</w:t>
      </w:r>
      <w:r w:rsidRPr="00BE0C02">
        <w:fldChar w:fldCharType="end"/>
      </w:r>
      <w:r w:rsidRPr="00BE0C02">
        <w:t xml:space="preserve">, the Board decided against providing additional transitional relief in the form of ‘push-down accounting’ or immediate write-off of deemed goodwill against retained earnings. </w:t>
      </w:r>
      <w:r w:rsidR="0090350B" w:rsidRPr="00BE0C02">
        <w:t xml:space="preserve">The Board </w:t>
      </w:r>
      <w:r w:rsidR="007078BD" w:rsidRPr="00BE0C02">
        <w:t xml:space="preserve">sought specific feedback </w:t>
      </w:r>
      <w:r w:rsidR="008C1A9A" w:rsidRPr="00BE0C02">
        <w:t>through ED 297 on whether it</w:t>
      </w:r>
      <w:r w:rsidR="007078BD" w:rsidRPr="00BE0C02">
        <w:t xml:space="preserve"> should re-consider any of the rejected options noted above </w:t>
      </w:r>
      <w:r w:rsidR="008C1A9A" w:rsidRPr="00BE0C02">
        <w:t>but did not receive any further compelling reasons to do so</w:t>
      </w:r>
      <w:r w:rsidR="00B655FB" w:rsidRPr="00BE0C02">
        <w:t xml:space="preserve">. </w:t>
      </w:r>
    </w:p>
    <w:p w14:paraId="6AFCD215" w14:textId="77777777" w:rsidR="00CD22B9" w:rsidRPr="00BE0C02" w:rsidRDefault="00CD22B9" w:rsidP="00267FDF">
      <w:pPr>
        <w:pStyle w:val="Heading4"/>
        <w:spacing w:before="200"/>
        <w:jc w:val="both"/>
      </w:pPr>
      <w:r w:rsidRPr="00BE0C02">
        <w:t>Relief from restating and presenting comparative information</w:t>
      </w:r>
    </w:p>
    <w:p w14:paraId="0014522A" w14:textId="02CAC7DC" w:rsidR="00CD22B9" w:rsidRPr="00BE0C02" w:rsidRDefault="00CD22B9" w:rsidP="007E6349">
      <w:pPr>
        <w:pStyle w:val="NumBC1"/>
        <w:numPr>
          <w:ilvl w:val="0"/>
          <w:numId w:val="27"/>
        </w:numPr>
        <w:ind w:left="782" w:hanging="782"/>
      </w:pPr>
      <w:bookmarkStart w:id="129" w:name="_Ref8826810"/>
      <w:r w:rsidRPr="00BE0C02">
        <w:t xml:space="preserve">As noted in the table in paragraph </w:t>
      </w:r>
      <w:r w:rsidRPr="00BE0C02">
        <w:fldChar w:fldCharType="begin"/>
      </w:r>
      <w:r w:rsidRPr="00BE0C02">
        <w:instrText xml:space="preserve"> REF _Ref10049970 \r \h </w:instrText>
      </w:r>
      <w:r w:rsidR="00BE0C02">
        <w:instrText xml:space="preserve"> \* MERGEFORMAT </w:instrText>
      </w:r>
      <w:r w:rsidRPr="00BE0C02">
        <w:fldChar w:fldCharType="separate"/>
      </w:r>
      <w:r w:rsidR="00E354C4">
        <w:t>BC127</w:t>
      </w:r>
      <w:r w:rsidRPr="00BE0C02">
        <w:fldChar w:fldCharType="end"/>
      </w:r>
      <w:r w:rsidRPr="00BE0C02">
        <w:t>, the Board concluded that relief from the restatement and presentation of comparative information in accordance with current AAS would be beneficial as it could reduce preparation costs whilst providing a consistent, enforceable and transparent reporting framework (despite a lack of comparability in the year of transition)</w:t>
      </w:r>
      <w:r w:rsidR="008C1A9A" w:rsidRPr="00BE0C02">
        <w:t xml:space="preserve">. </w:t>
      </w:r>
      <w:r w:rsidRPr="00BE0C02">
        <w:t xml:space="preserve"> </w:t>
      </w:r>
      <w:r w:rsidR="008C1A9A" w:rsidRPr="00BE0C02">
        <w:t>Thus the Board proposed in ED 297 that an entity</w:t>
      </w:r>
      <w:r w:rsidR="0047321C" w:rsidRPr="00BE0C02">
        <w:t xml:space="preserve"> would</w:t>
      </w:r>
      <w:r w:rsidRPr="00BE0C02">
        <w:t xml:space="preserve"> not be required to provide restated comparative information as per current AAS in the year the Standard </w:t>
      </w:r>
      <w:r w:rsidR="00EA7398" w:rsidRPr="00BE0C02">
        <w:t xml:space="preserve">first </w:t>
      </w:r>
      <w:r w:rsidRPr="00BE0C02">
        <w:t>becomes effective</w:t>
      </w:r>
      <w:r w:rsidR="008C1A9A" w:rsidRPr="00BE0C02">
        <w:t xml:space="preserve">, on the premise that </w:t>
      </w:r>
      <w:r w:rsidR="00381400" w:rsidRPr="00BE0C02">
        <w:t xml:space="preserve">the Standard would be issued by </w:t>
      </w:r>
      <w:r w:rsidR="00F6672E" w:rsidRPr="00BE0C02">
        <w:t>30 June 2020, effective for periods beginning on or after 1 July 2020</w:t>
      </w:r>
      <w:r w:rsidRPr="00BE0C02">
        <w:t xml:space="preserve"> (see paragraphs </w:t>
      </w:r>
      <w:r w:rsidRPr="00BE0C02">
        <w:fldChar w:fldCharType="begin"/>
      </w:r>
      <w:r w:rsidRPr="00BE0C02">
        <w:instrText xml:space="preserve"> REF _Ref8986627 \r \h </w:instrText>
      </w:r>
      <w:r w:rsidR="00F6672E" w:rsidRPr="00BE0C02">
        <w:instrText xml:space="preserve"> \* MERGEFORMAT </w:instrText>
      </w:r>
      <w:r w:rsidRPr="00BE0C02">
        <w:fldChar w:fldCharType="separate"/>
      </w:r>
      <w:r w:rsidR="00E354C4">
        <w:t>BC145</w:t>
      </w:r>
      <w:r w:rsidRPr="00BE0C02">
        <w:fldChar w:fldCharType="end"/>
      </w:r>
      <w:r w:rsidR="00F213D7" w:rsidRPr="00BE0C02">
        <w:t>-</w:t>
      </w:r>
      <w:r w:rsidRPr="00BE0C02">
        <w:fldChar w:fldCharType="begin"/>
      </w:r>
      <w:r w:rsidRPr="00BE0C02">
        <w:instrText xml:space="preserve"> REF _Ref9866317 \r \h </w:instrText>
      </w:r>
      <w:r w:rsidR="00F6672E" w:rsidRPr="00BE0C02">
        <w:instrText xml:space="preserve"> \* MERGEFORMAT </w:instrText>
      </w:r>
      <w:r w:rsidRPr="00BE0C02">
        <w:fldChar w:fldCharType="separate"/>
      </w:r>
      <w:r w:rsidR="00E354C4">
        <w:t>BC148</w:t>
      </w:r>
      <w:r w:rsidRPr="00BE0C02">
        <w:fldChar w:fldCharType="end"/>
      </w:r>
      <w:r w:rsidRPr="00BE0C02">
        <w:t xml:space="preserve"> for further </w:t>
      </w:r>
      <w:r w:rsidR="007D320E" w:rsidRPr="00BE0C02">
        <w:t>discussion</w:t>
      </w:r>
      <w:r w:rsidRPr="00BE0C02">
        <w:t xml:space="preserve"> on effective date).</w:t>
      </w:r>
      <w:bookmarkEnd w:id="129"/>
      <w:r w:rsidRPr="00BE0C02">
        <w:t xml:space="preserve"> </w:t>
      </w:r>
    </w:p>
    <w:p w14:paraId="26A0C357" w14:textId="77777777" w:rsidR="00CD22B9" w:rsidRPr="00BE0C02" w:rsidRDefault="00CD22B9" w:rsidP="007E6349">
      <w:pPr>
        <w:pStyle w:val="NumBC1"/>
        <w:numPr>
          <w:ilvl w:val="0"/>
          <w:numId w:val="27"/>
        </w:numPr>
        <w:ind w:left="782" w:hanging="782"/>
      </w:pPr>
      <w:r w:rsidRPr="00BE0C02">
        <w:t xml:space="preserve">However, the Board noted the particular importance for users: </w:t>
      </w:r>
    </w:p>
    <w:p w14:paraId="0072AF49" w14:textId="77777777" w:rsidR="00CD22B9" w:rsidRPr="00BE0C02" w:rsidRDefault="00CD22B9" w:rsidP="007E6349">
      <w:pPr>
        <w:pStyle w:val="NumBC2"/>
        <w:numPr>
          <w:ilvl w:val="0"/>
          <w:numId w:val="46"/>
        </w:numPr>
        <w:ind w:left="1564" w:hanging="782"/>
      </w:pPr>
      <w:r w:rsidRPr="00BE0C02">
        <w:t>to understand the effect of an entity’s transition from SPFS to Tier 2 GPFS on its assets, liabilities and equity; and</w:t>
      </w:r>
    </w:p>
    <w:p w14:paraId="4ABB39FE" w14:textId="77777777" w:rsidR="00CD22B9" w:rsidRPr="00BE0C02" w:rsidRDefault="00CD22B9" w:rsidP="007E6349">
      <w:pPr>
        <w:pStyle w:val="NumBC2"/>
        <w:numPr>
          <w:ilvl w:val="0"/>
          <w:numId w:val="46"/>
        </w:numPr>
        <w:ind w:left="1564" w:hanging="782"/>
      </w:pPr>
      <w:r w:rsidRPr="00BE0C02">
        <w:t>to have comparative information in the statement of profit or loss and other comprehensive income to facilitate trend analysis.</w:t>
      </w:r>
    </w:p>
    <w:p w14:paraId="0BACA124" w14:textId="15F19388" w:rsidR="00CD22B9" w:rsidRPr="00BE0C02" w:rsidRDefault="00CD22B9" w:rsidP="007E6349">
      <w:pPr>
        <w:pStyle w:val="NumBC1"/>
        <w:numPr>
          <w:ilvl w:val="0"/>
          <w:numId w:val="27"/>
        </w:numPr>
        <w:ind w:left="782" w:hanging="782"/>
      </w:pPr>
      <w:r w:rsidRPr="00BE0C02">
        <w:t xml:space="preserve">To balance the needs of users and the costs to preparers, the Board </w:t>
      </w:r>
      <w:r w:rsidR="009E5970" w:rsidRPr="00BE0C02">
        <w:t xml:space="preserve">proposed </w:t>
      </w:r>
      <w:r w:rsidR="00252C14" w:rsidRPr="00BE0C02">
        <w:t xml:space="preserve">in ED 297 </w:t>
      </w:r>
      <w:r w:rsidRPr="00BE0C02">
        <w:t xml:space="preserve">that a pragmatic approach would be to require an entity to: </w:t>
      </w:r>
    </w:p>
    <w:p w14:paraId="5C9DDAE7" w14:textId="20AC1249" w:rsidR="00CD22B9" w:rsidRPr="00BE0C02" w:rsidRDefault="00CD22B9" w:rsidP="007E6349">
      <w:pPr>
        <w:pStyle w:val="NumBC2"/>
        <w:numPr>
          <w:ilvl w:val="0"/>
          <w:numId w:val="47"/>
        </w:numPr>
        <w:ind w:left="1564" w:hanging="782"/>
      </w:pPr>
      <w:r w:rsidRPr="00BE0C02">
        <w:t xml:space="preserve">present two statements of financial position ie as at the reporting date and at the beginning of the reporting period, with a comparative statement of financial position as presented in the entity’s last SPFS disclosed in the notes to the financial statements. This would be supplemented with a description of the main adjustments that were required to make the opening statement of financial position compliant with AAS. To reduce costs, the Board </w:t>
      </w:r>
      <w:r w:rsidR="009E5970" w:rsidRPr="00BE0C02">
        <w:t>proposed</w:t>
      </w:r>
      <w:r w:rsidRPr="00BE0C02">
        <w:t xml:space="preserve"> an entity need not quantify those adjustments; and</w:t>
      </w:r>
    </w:p>
    <w:p w14:paraId="2EE3BDFD" w14:textId="1844A8ED" w:rsidR="00CD22B9" w:rsidRPr="00BE0C02" w:rsidRDefault="00CD22B9" w:rsidP="007E6349">
      <w:pPr>
        <w:pStyle w:val="NumBC2"/>
        <w:numPr>
          <w:ilvl w:val="0"/>
          <w:numId w:val="47"/>
        </w:numPr>
        <w:ind w:left="1564" w:hanging="782"/>
      </w:pPr>
      <w:r w:rsidRPr="00BE0C02">
        <w:t xml:space="preserve">present its statement of profit or loss and other comprehensive income as presented in its last SPFS as comparative information, but clearly labelled, where applicable, that such comparative information is not AAS compliant. This would be supplemented with disclosure in the notes to the financial statements describing the main adjustments that would have been required to make the comparative information compliant with AAS. Also to reduce costs, the Board </w:t>
      </w:r>
      <w:r w:rsidR="009E5970" w:rsidRPr="00BE0C02">
        <w:t>proposed</w:t>
      </w:r>
      <w:r w:rsidRPr="00BE0C02">
        <w:t xml:space="preserve"> an entity need not quantify those adjustments. </w:t>
      </w:r>
    </w:p>
    <w:p w14:paraId="7C6537C5" w14:textId="4C1F392D" w:rsidR="00923200" w:rsidRPr="00BE0C02" w:rsidRDefault="00A06E52" w:rsidP="007E6349">
      <w:pPr>
        <w:pStyle w:val="NumBC1"/>
        <w:numPr>
          <w:ilvl w:val="0"/>
          <w:numId w:val="27"/>
        </w:numPr>
        <w:ind w:left="782" w:hanging="782"/>
      </w:pPr>
      <w:r w:rsidRPr="00BE0C02">
        <w:t xml:space="preserve">Respondents to ED 297 agreed </w:t>
      </w:r>
      <w:r w:rsidR="00D24B4B" w:rsidRPr="00BE0C02">
        <w:t xml:space="preserve">in principle with the transitional relief, </w:t>
      </w:r>
      <w:r w:rsidR="000C6BE1" w:rsidRPr="00BE0C02">
        <w:t xml:space="preserve">however some respondents </w:t>
      </w:r>
      <w:r w:rsidR="00C6532A" w:rsidRPr="00BE0C02">
        <w:t xml:space="preserve">raised concern that </w:t>
      </w:r>
      <w:r w:rsidR="0050692E" w:rsidRPr="00BE0C02">
        <w:t xml:space="preserve">the comparative information in the statement of financial position (being the adjusted opening balances – AAS compliant) would not be comparable to the comparative information in the </w:t>
      </w:r>
      <w:r w:rsidR="005D29A8" w:rsidRPr="00BE0C02">
        <w:t xml:space="preserve">statement of profit or loss and other comprehensive </w:t>
      </w:r>
      <w:r w:rsidR="00556BF4">
        <w:t>income</w:t>
      </w:r>
      <w:r w:rsidR="005D29A8" w:rsidRPr="00BE0C02">
        <w:t xml:space="preserve"> (which would not necessarily be AAS compli</w:t>
      </w:r>
      <w:r w:rsidR="00556BF4">
        <w:t>a</w:t>
      </w:r>
      <w:r w:rsidR="005D29A8" w:rsidRPr="00BE0C02">
        <w:t xml:space="preserve">nt). Those respondents argued that this would not be helpful for users of financial statements. Further, some software providers provided feedback that </w:t>
      </w:r>
      <w:r w:rsidR="005547FD" w:rsidRPr="00BE0C02">
        <w:t xml:space="preserve">having comparative information presented on different bases could be </w:t>
      </w:r>
      <w:r w:rsidR="0049797F" w:rsidRPr="00BE0C02">
        <w:t>difficult</w:t>
      </w:r>
      <w:r w:rsidR="005547FD" w:rsidRPr="00BE0C02">
        <w:t xml:space="preserve"> from </w:t>
      </w:r>
      <w:r w:rsidR="0049797F" w:rsidRPr="00BE0C02">
        <w:t xml:space="preserve">both a </w:t>
      </w:r>
      <w:r w:rsidR="00AA0AB2" w:rsidRPr="00BE0C02">
        <w:t xml:space="preserve">software </w:t>
      </w:r>
      <w:r w:rsidR="0049797F" w:rsidRPr="00BE0C02">
        <w:t xml:space="preserve">development and </w:t>
      </w:r>
      <w:r w:rsidR="00CC31B1" w:rsidRPr="00BE0C02">
        <w:t xml:space="preserve">financial statement </w:t>
      </w:r>
      <w:r w:rsidR="0049797F" w:rsidRPr="00BE0C02">
        <w:t xml:space="preserve">user </w:t>
      </w:r>
      <w:r w:rsidR="003607D2" w:rsidRPr="00BE0C02">
        <w:t xml:space="preserve">perspective. </w:t>
      </w:r>
    </w:p>
    <w:p w14:paraId="274C1B6C" w14:textId="4FD282F9" w:rsidR="007A1878" w:rsidRPr="00BE0C02" w:rsidRDefault="00A34434" w:rsidP="007E6349">
      <w:pPr>
        <w:pStyle w:val="NumBC1"/>
        <w:numPr>
          <w:ilvl w:val="0"/>
          <w:numId w:val="27"/>
        </w:numPr>
        <w:ind w:left="782" w:hanging="782"/>
      </w:pPr>
      <w:r w:rsidRPr="00BE0C02">
        <w:t xml:space="preserve">In response, the Board decided </w:t>
      </w:r>
      <w:r w:rsidR="00DE615A" w:rsidRPr="00BE0C02">
        <w:t xml:space="preserve">a pragmatic approach would be </w:t>
      </w:r>
      <w:r w:rsidRPr="00BE0C02">
        <w:t xml:space="preserve">to </w:t>
      </w:r>
      <w:r w:rsidR="00F403F0" w:rsidRPr="00BE0C02">
        <w:t xml:space="preserve">require the </w:t>
      </w:r>
      <w:r w:rsidR="000C6905" w:rsidRPr="00BE0C02">
        <w:t xml:space="preserve">statement of financial position </w:t>
      </w:r>
      <w:r w:rsidR="00192DC2" w:rsidRPr="00BE0C02">
        <w:t>as presented in the entity’s last SPFS to be presented on the face of the statement of financial position</w:t>
      </w:r>
      <w:r w:rsidR="00340B0B" w:rsidRPr="00BE0C02">
        <w:t xml:space="preserve">, </w:t>
      </w:r>
      <w:r w:rsidR="00B024EA" w:rsidRPr="00BE0C02">
        <w:t xml:space="preserve">and to require the opening statement of financial position (compliant with AAS) to be disclosed in the notes. </w:t>
      </w:r>
      <w:r w:rsidR="00690AAB" w:rsidRPr="00BE0C02">
        <w:t xml:space="preserve">However, given </w:t>
      </w:r>
      <w:r w:rsidR="001F0B25" w:rsidRPr="00BE0C02">
        <w:t xml:space="preserve">the comparative information </w:t>
      </w:r>
      <w:r w:rsidR="00690AAB" w:rsidRPr="00BE0C02">
        <w:t xml:space="preserve">on the face of the financial statements would be less comparable under this approach, the Board decided to require entities to </w:t>
      </w:r>
      <w:r w:rsidR="00DE3309">
        <w:t xml:space="preserve">disclose </w:t>
      </w:r>
      <w:r w:rsidR="00D3229C" w:rsidRPr="00BE0C02">
        <w:t xml:space="preserve">a </w:t>
      </w:r>
      <w:r w:rsidR="00F46914" w:rsidRPr="00BE0C02">
        <w:t>quantified reconciliation</w:t>
      </w:r>
      <w:r w:rsidR="00D3229C" w:rsidRPr="00BE0C02">
        <w:t xml:space="preserve"> </w:t>
      </w:r>
      <w:r w:rsidR="008B41E2">
        <w:t xml:space="preserve">of the entity’s equity </w:t>
      </w:r>
      <w:r w:rsidR="00D3229C" w:rsidRPr="00BE0C02">
        <w:t>in the notes</w:t>
      </w:r>
      <w:r w:rsidR="00F46914" w:rsidRPr="00BE0C02">
        <w:t xml:space="preserve">. </w:t>
      </w:r>
      <w:r w:rsidR="008655E4">
        <w:t xml:space="preserve">The Board considered whether to </w:t>
      </w:r>
      <w:r w:rsidR="00BD2822">
        <w:t>require</w:t>
      </w:r>
      <w:r w:rsidR="00016053">
        <w:t xml:space="preserve"> a reconciliation of the entity’s statement of financial position, however noted that a reconciliation of equity should </w:t>
      </w:r>
      <w:r w:rsidR="005D77A4">
        <w:t xml:space="preserve">provide sufficient detail </w:t>
      </w:r>
      <w:r w:rsidR="00BD2822">
        <w:t xml:space="preserve">to understand the changes to the statement of financial position, and providing a reconciliation to equity would be more consistent with the </w:t>
      </w:r>
      <w:r w:rsidR="003677AF">
        <w:t>general</w:t>
      </w:r>
      <w:r w:rsidR="00BD2822">
        <w:t xml:space="preserve"> first-time disclosure requirements of </w:t>
      </w:r>
      <w:r w:rsidR="00360E31">
        <w:t>AASB 1060</w:t>
      </w:r>
      <w:r w:rsidR="00BD2822">
        <w:t>.</w:t>
      </w:r>
      <w:r w:rsidR="00016053">
        <w:t xml:space="preserve"> </w:t>
      </w:r>
      <w:r w:rsidR="00F46914" w:rsidRPr="00BE0C02">
        <w:t>The Board noted this requirement should not be too onerous for prepare</w:t>
      </w:r>
      <w:r w:rsidR="00530232">
        <w:t>r</w:t>
      </w:r>
      <w:r w:rsidR="00F46914" w:rsidRPr="00BE0C02">
        <w:t xml:space="preserve">s, as they would be required to </w:t>
      </w:r>
      <w:r w:rsidR="00F40A82" w:rsidRPr="00BE0C02">
        <w:t>calculat</w:t>
      </w:r>
      <w:r w:rsidR="005B7FCD" w:rsidRPr="00BE0C02">
        <w:t>e</w:t>
      </w:r>
      <w:r w:rsidR="00F40A82" w:rsidRPr="00BE0C02">
        <w:t xml:space="preserve"> these amounts </w:t>
      </w:r>
      <w:r w:rsidR="005B7FCD" w:rsidRPr="00BE0C02">
        <w:t>in any case</w:t>
      </w:r>
      <w:r w:rsidR="00F40A82" w:rsidRPr="00BE0C02">
        <w:t>.</w:t>
      </w:r>
    </w:p>
    <w:p w14:paraId="4A776CAA" w14:textId="02CCA96A" w:rsidR="00CA35CC" w:rsidRPr="00BE0C02" w:rsidRDefault="00CA35CC" w:rsidP="007E6349">
      <w:pPr>
        <w:pStyle w:val="NumBC1"/>
        <w:numPr>
          <w:ilvl w:val="0"/>
          <w:numId w:val="27"/>
        </w:numPr>
        <w:ind w:left="782" w:hanging="782"/>
      </w:pPr>
      <w:r w:rsidRPr="00BE0C02">
        <w:t xml:space="preserve">Some respondents to ED 297 questioned whether not restating </w:t>
      </w:r>
      <w:r w:rsidR="00B87B54" w:rsidRPr="00BE0C02">
        <w:t xml:space="preserve">comparative information would mean that an entity would be required </w:t>
      </w:r>
      <w:r w:rsidR="00455EE0" w:rsidRPr="00BE0C02">
        <w:t xml:space="preserve">to </w:t>
      </w:r>
      <w:r w:rsidR="005A34C3" w:rsidRPr="00BE0C02">
        <w:t xml:space="preserve">disclose two sets of accounting policies (ie one set to explain the basis of preparation of the comparative information and one set to explain the </w:t>
      </w:r>
      <w:r w:rsidR="00B13B5D" w:rsidRPr="00BE0C02">
        <w:t xml:space="preserve">information for the reporting period). The Board decided not to provide specific requirements on </w:t>
      </w:r>
      <w:r w:rsidR="00F21E1F" w:rsidRPr="00BE0C02">
        <w:t xml:space="preserve">the basis that </w:t>
      </w:r>
      <w:r w:rsidR="00450509" w:rsidRPr="00BE0C02">
        <w:t xml:space="preserve">the disclosure requirements of </w:t>
      </w:r>
      <w:r w:rsidR="00360E31">
        <w:lastRenderedPageBreak/>
        <w:t>AASB 1060</w:t>
      </w:r>
      <w:r w:rsidR="00450509" w:rsidRPr="00BE0C02">
        <w:t xml:space="preserve"> </w:t>
      </w:r>
      <w:r w:rsidR="00F27BA7" w:rsidRPr="00BE0C02">
        <w:t xml:space="preserve">and </w:t>
      </w:r>
      <w:r w:rsidR="00AB4076">
        <w:t xml:space="preserve">those </w:t>
      </w:r>
      <w:r w:rsidR="00F27BA7" w:rsidRPr="00BE0C02">
        <w:t xml:space="preserve">contained within the relief required by the Board would provide sufficient information </w:t>
      </w:r>
      <w:r w:rsidR="00314F9E" w:rsidRPr="00BE0C02">
        <w:t xml:space="preserve">about the previous accounting policies </w:t>
      </w:r>
      <w:r w:rsidR="001B65C0" w:rsidRPr="00BE0C02">
        <w:t xml:space="preserve">in explaining the effect of the transition from SPFS to GPFS. </w:t>
      </w:r>
      <w:r w:rsidR="00B40A90" w:rsidRPr="00BE0C02">
        <w:t xml:space="preserve"> </w:t>
      </w:r>
    </w:p>
    <w:p w14:paraId="544AE8FA" w14:textId="31DB39A6" w:rsidR="002D40A6" w:rsidRPr="00BE0C02" w:rsidRDefault="00CD22B9" w:rsidP="007E6349">
      <w:pPr>
        <w:pStyle w:val="NumBC1"/>
        <w:numPr>
          <w:ilvl w:val="0"/>
          <w:numId w:val="27"/>
        </w:numPr>
        <w:ind w:left="782" w:hanging="782"/>
      </w:pPr>
      <w:bookmarkStart w:id="130" w:name="_Ref8826822"/>
      <w:r w:rsidRPr="00BE0C02">
        <w:t>Because the purpose of this relief is to facilitate transition from SPFS to Tier 2 GPFS</w:t>
      </w:r>
      <w:r w:rsidR="008757EC" w:rsidRPr="00BE0C02">
        <w:t xml:space="preserve"> in a timely manner</w:t>
      </w:r>
      <w:r w:rsidRPr="00BE0C02">
        <w:t>, rather than a general first</w:t>
      </w:r>
      <w:r w:rsidR="00A97BB2" w:rsidRPr="00BE0C02">
        <w:t>-</w:t>
      </w:r>
      <w:r w:rsidRPr="00BE0C02">
        <w:t xml:space="preserve">time adoption of GPFS, the Board decided </w:t>
      </w:r>
      <w:r w:rsidR="00BC6A05" w:rsidRPr="00BE0C02">
        <w:t xml:space="preserve">to propose in ED 297 that the </w:t>
      </w:r>
      <w:r w:rsidRPr="00BE0C02">
        <w:t xml:space="preserve">additional transitional relief from restatement of comparative information should not be available beyond the first year in which the Standard becomes effective. That is, on the assumption </w:t>
      </w:r>
      <w:r w:rsidR="00BC6A05" w:rsidRPr="00BE0C02">
        <w:t xml:space="preserve">that the Board would have issued the Standard by 30 June 2020 with an effective date of 1 July </w:t>
      </w:r>
      <w:r w:rsidR="008D25CC" w:rsidRPr="00BE0C02">
        <w:t>2020</w:t>
      </w:r>
      <w:r w:rsidR="00BC6A05" w:rsidRPr="00BE0C02">
        <w:t>,</w:t>
      </w:r>
      <w:r w:rsidRPr="00BE0C02">
        <w:t xml:space="preserve"> the </w:t>
      </w:r>
      <w:r w:rsidR="00BC6A05" w:rsidRPr="00BE0C02">
        <w:t xml:space="preserve">Board </w:t>
      </w:r>
      <w:r w:rsidRPr="00BE0C02">
        <w:t>proposed</w:t>
      </w:r>
      <w:r w:rsidR="00BC6A05" w:rsidRPr="00BE0C02">
        <w:t xml:space="preserve"> the</w:t>
      </w:r>
      <w:r w:rsidRPr="00BE0C02">
        <w:t xml:space="preserve"> transitional relief in respect of comparative information would only be available for annual</w:t>
      </w:r>
      <w:r w:rsidR="00B728D8" w:rsidRPr="00BE0C02">
        <w:t xml:space="preserve"> reporting</w:t>
      </w:r>
      <w:r w:rsidRPr="00BE0C02">
        <w:t xml:space="preserve"> periods beginning on or after 1 July 2020 but before 1 July 2021. </w:t>
      </w:r>
    </w:p>
    <w:p w14:paraId="067B5F05" w14:textId="01693470" w:rsidR="00F635C7" w:rsidRPr="00BE0C02" w:rsidRDefault="00034082" w:rsidP="007E6349">
      <w:pPr>
        <w:pStyle w:val="NumBC1"/>
        <w:numPr>
          <w:ilvl w:val="0"/>
          <w:numId w:val="27"/>
        </w:numPr>
        <w:ind w:left="782" w:hanging="782"/>
      </w:pPr>
      <w:r w:rsidRPr="00BE0C02">
        <w:t>However, for</w:t>
      </w:r>
      <w:r w:rsidR="00B75F06" w:rsidRPr="00BE0C02">
        <w:t xml:space="preserve"> the reasons set out in paragraph </w:t>
      </w:r>
      <w:r w:rsidR="00376183" w:rsidRPr="00BE0C02">
        <w:fldChar w:fldCharType="begin"/>
      </w:r>
      <w:r w:rsidR="00376183" w:rsidRPr="00BE0C02">
        <w:instrText xml:space="preserve"> REF _Ref10168241 \r \h </w:instrText>
      </w:r>
      <w:r w:rsidR="00BE0C02">
        <w:instrText xml:space="preserve"> \* MERGEFORMAT </w:instrText>
      </w:r>
      <w:r w:rsidR="00376183" w:rsidRPr="00BE0C02">
        <w:fldChar w:fldCharType="separate"/>
      </w:r>
      <w:r w:rsidR="00E354C4">
        <w:t>BC145</w:t>
      </w:r>
      <w:r w:rsidR="00376183" w:rsidRPr="00BE0C02">
        <w:fldChar w:fldCharType="end"/>
      </w:r>
      <w:r w:rsidR="00376183" w:rsidRPr="00BE0C02">
        <w:t>-</w:t>
      </w:r>
      <w:r w:rsidR="00376183" w:rsidRPr="00BE0C02">
        <w:fldChar w:fldCharType="begin"/>
      </w:r>
      <w:r w:rsidR="00376183" w:rsidRPr="00BE0C02">
        <w:instrText xml:space="preserve"> REF _Ref31550460 \r \h </w:instrText>
      </w:r>
      <w:r w:rsidR="00BE0C02">
        <w:instrText xml:space="preserve"> \* MERGEFORMAT </w:instrText>
      </w:r>
      <w:r w:rsidR="00376183" w:rsidRPr="00BE0C02">
        <w:fldChar w:fldCharType="separate"/>
      </w:r>
      <w:r w:rsidR="00E354C4">
        <w:t>BC151</w:t>
      </w:r>
      <w:r w:rsidR="00376183" w:rsidRPr="00BE0C02">
        <w:fldChar w:fldCharType="end"/>
      </w:r>
      <w:r w:rsidR="00376183" w:rsidRPr="00BE0C02">
        <w:t xml:space="preserve">, the Board decided to defer the </w:t>
      </w:r>
      <w:r w:rsidR="00AE0E55" w:rsidRPr="00BE0C02">
        <w:t xml:space="preserve">effective date of the Standard by 12 months to 1 July 2021. </w:t>
      </w:r>
      <w:r w:rsidR="00844B92" w:rsidRPr="00BE0C02">
        <w:t xml:space="preserve">Because the transitional relief </w:t>
      </w:r>
      <w:r w:rsidR="002E0584" w:rsidRPr="00BE0C02">
        <w:t xml:space="preserve">from restating comparative information </w:t>
      </w:r>
      <w:r w:rsidR="00844B92" w:rsidRPr="00BE0C02">
        <w:t xml:space="preserve">is intended to facilitate a timely transition from SPFS to GPFS, the Board decided </w:t>
      </w:r>
      <w:r w:rsidR="00066C85" w:rsidRPr="00BE0C02">
        <w:t xml:space="preserve">that an </w:t>
      </w:r>
      <w:r w:rsidR="009A2E16" w:rsidRPr="00BE0C02">
        <w:t xml:space="preserve">extended effective date would remove the need for transitional relief. </w:t>
      </w:r>
      <w:r w:rsidR="00803F7E" w:rsidRPr="00BE0C02">
        <w:t xml:space="preserve">However, the Board decided to </w:t>
      </w:r>
      <w:r w:rsidR="007D53F3" w:rsidRPr="00BE0C02">
        <w:t xml:space="preserve">retain the transitional relief </w:t>
      </w:r>
      <w:r w:rsidR="00DF41C6" w:rsidRPr="00BE0C02">
        <w:t>for entities that choose to adopt the requirements of this Standard</w:t>
      </w:r>
      <w:r w:rsidR="00267E0B" w:rsidRPr="00BE0C02">
        <w:t xml:space="preserve"> and </w:t>
      </w:r>
      <w:r w:rsidR="00360E31">
        <w:t>AASB 1060</w:t>
      </w:r>
      <w:r w:rsidR="00267E0B" w:rsidRPr="00BE0C02">
        <w:t xml:space="preserve"> prior to </w:t>
      </w:r>
      <w:r w:rsidR="006F748D" w:rsidRPr="00BE0C02">
        <w:t>the effective date (ie that choose to early adopt)</w:t>
      </w:r>
      <w:r w:rsidR="00DF41C6" w:rsidRPr="00BE0C02">
        <w:t xml:space="preserve">. That Board decided that retaining this option would incentivise </w:t>
      </w:r>
      <w:r w:rsidR="00E91447" w:rsidRPr="00BE0C02">
        <w:t xml:space="preserve">a </w:t>
      </w:r>
      <w:r w:rsidR="00DF41C6" w:rsidRPr="00BE0C02">
        <w:t>timely transition to GPFS, helping to solve the SPFS problem sooner.</w:t>
      </w:r>
    </w:p>
    <w:p w14:paraId="1AA1B337" w14:textId="18722DBD" w:rsidR="00CD22B9" w:rsidRPr="00BE0C02" w:rsidRDefault="00CD22B9" w:rsidP="007E6349">
      <w:pPr>
        <w:pStyle w:val="NumBC1"/>
        <w:numPr>
          <w:ilvl w:val="0"/>
          <w:numId w:val="27"/>
        </w:numPr>
        <w:ind w:left="782" w:hanging="782"/>
      </w:pPr>
      <w:r w:rsidRPr="00BE0C02">
        <w:t>The Board also decided for pragmatic reasons that the transitional relief from restating comparatives will be available regardless of whether an entity had a legislative or other requirement to comply with AAS in prior periods.</w:t>
      </w:r>
      <w:bookmarkEnd w:id="130"/>
    </w:p>
    <w:p w14:paraId="488A0D23" w14:textId="0F2436CF" w:rsidR="002E0584" w:rsidRPr="00BE0C02" w:rsidRDefault="002E0584" w:rsidP="002E0584">
      <w:pPr>
        <w:pStyle w:val="Heading4"/>
        <w:spacing w:before="200"/>
        <w:jc w:val="both"/>
      </w:pPr>
      <w:r w:rsidRPr="00BE0C02">
        <w:t>Correction of errors in year of transition</w:t>
      </w:r>
    </w:p>
    <w:p w14:paraId="7BEC6552" w14:textId="3841113F" w:rsidR="00F65ED1" w:rsidRPr="00BE0C02" w:rsidRDefault="00532BAF" w:rsidP="007E6349">
      <w:pPr>
        <w:pStyle w:val="NumBC1"/>
        <w:numPr>
          <w:ilvl w:val="0"/>
          <w:numId w:val="27"/>
        </w:numPr>
        <w:ind w:left="782" w:hanging="782"/>
      </w:pPr>
      <w:r w:rsidRPr="00BE0C02">
        <w:t xml:space="preserve">With an objective to facilitate a timely transition to better quality financial reporting, the Board decided to also provide relief to entities from </w:t>
      </w:r>
      <w:r w:rsidR="008613ED" w:rsidRPr="00BE0C02">
        <w:t xml:space="preserve">distinguishing errors from changes in accounting policies on transition from SPFS to GPFS-Tier 2. The Board noted this relief could be particularly relevant where an entity had claimed compliance with applicable </w:t>
      </w:r>
      <w:r w:rsidR="00D437F9">
        <w:t xml:space="preserve">R&amp;M </w:t>
      </w:r>
      <w:r w:rsidR="008613ED" w:rsidRPr="00BE0C02">
        <w:t>requirements in error</w:t>
      </w:r>
      <w:r w:rsidR="002B3EA2" w:rsidRPr="00BE0C02">
        <w:t xml:space="preserve">. In such a case, there were diverse views as to whether an entity would be permitted to apply the transitional relief in AASB 1 based on the requirements of AASB 1053. </w:t>
      </w:r>
      <w:r w:rsidR="00B72852" w:rsidRPr="00BE0C02">
        <w:t>As such, the Board decided to clarify</w:t>
      </w:r>
      <w:r w:rsidR="00403354" w:rsidRPr="00BE0C02">
        <w:t xml:space="preserve"> in AASB 1053</w:t>
      </w:r>
      <w:r w:rsidR="00B72852" w:rsidRPr="00BE0C02">
        <w:t xml:space="preserve"> that </w:t>
      </w:r>
      <w:r w:rsidR="00284A5F" w:rsidRPr="00BE0C02">
        <w:t xml:space="preserve">the applicability of AASB 1 </w:t>
      </w:r>
      <w:r w:rsidR="00403354" w:rsidRPr="00BE0C02">
        <w:t xml:space="preserve">(or AASB 108) relies on whether or not the entity complied with applicable </w:t>
      </w:r>
      <w:r w:rsidR="0091088E">
        <w:t xml:space="preserve">R&amp;M </w:t>
      </w:r>
      <w:r w:rsidR="00403354" w:rsidRPr="00BE0C02">
        <w:t xml:space="preserve">requirements, rather than whether the entity stated compliance with </w:t>
      </w:r>
      <w:r w:rsidR="00A650E5" w:rsidRPr="00BE0C02">
        <w:t>applicable</w:t>
      </w:r>
      <w:r w:rsidR="00403354" w:rsidRPr="00BE0C02">
        <w:t xml:space="preserve"> </w:t>
      </w:r>
      <w:r w:rsidR="0091088E">
        <w:t xml:space="preserve">R&amp;M </w:t>
      </w:r>
      <w:r w:rsidR="00403354" w:rsidRPr="00BE0C02">
        <w:t>requirements</w:t>
      </w:r>
      <w:r w:rsidR="00A650E5" w:rsidRPr="00BE0C02">
        <w:t>. As such, an entity that discovered an error in its previous SPFS would</w:t>
      </w:r>
      <w:r w:rsidR="00403354" w:rsidRPr="00BE0C02">
        <w:t xml:space="preserve"> </w:t>
      </w:r>
      <w:r w:rsidR="000B151C" w:rsidRPr="00BE0C02">
        <w:t xml:space="preserve">still be permitted to apply the transitional relief in AASB 1 (or elect to apply AASB 108). </w:t>
      </w:r>
    </w:p>
    <w:p w14:paraId="2791D3F6" w14:textId="333F7255" w:rsidR="00F40A82" w:rsidRPr="00BE0C02" w:rsidRDefault="002B3EA2" w:rsidP="007E6349">
      <w:pPr>
        <w:pStyle w:val="NumBC1"/>
        <w:numPr>
          <w:ilvl w:val="0"/>
          <w:numId w:val="27"/>
        </w:numPr>
        <w:ind w:left="782" w:hanging="782"/>
      </w:pPr>
      <w:r w:rsidRPr="00BE0C02">
        <w:t xml:space="preserve">The Board </w:t>
      </w:r>
      <w:r w:rsidR="000B151C" w:rsidRPr="00BE0C02">
        <w:t xml:space="preserve">also </w:t>
      </w:r>
      <w:r w:rsidR="00DB3417" w:rsidRPr="00BE0C02">
        <w:t xml:space="preserve">noted that the first-time adoption disclosures in </w:t>
      </w:r>
      <w:r w:rsidR="00360E31">
        <w:t>AASB 1060</w:t>
      </w:r>
      <w:r w:rsidR="00DB3417" w:rsidRPr="00BE0C02">
        <w:t xml:space="preserve"> would generally</w:t>
      </w:r>
      <w:r w:rsidR="0064740B" w:rsidRPr="00BE0C02">
        <w:t xml:space="preserve"> require an entity to </w:t>
      </w:r>
      <w:r w:rsidR="00E53DA7" w:rsidRPr="00BE0C02">
        <w:t>distinguish</w:t>
      </w:r>
      <w:r w:rsidR="00DB3417" w:rsidRPr="00BE0C02">
        <w:t xml:space="preserve"> the correction of errors and changes in accounting policies</w:t>
      </w:r>
      <w:r w:rsidR="00E53DA7" w:rsidRPr="00BE0C02">
        <w:t xml:space="preserve"> in the notes</w:t>
      </w:r>
      <w:r w:rsidR="00DB3417" w:rsidRPr="00BE0C02">
        <w:t xml:space="preserve">. As such, to provide </w:t>
      </w:r>
      <w:r w:rsidR="00E53DA7" w:rsidRPr="00BE0C02">
        <w:t>relief for prepare</w:t>
      </w:r>
      <w:r w:rsidR="00AC390F">
        <w:t>r</w:t>
      </w:r>
      <w:r w:rsidR="00E53DA7" w:rsidRPr="00BE0C02">
        <w:t xml:space="preserve">s and facilitate a more timely transition to a GPFS framework, the Board decided not </w:t>
      </w:r>
      <w:r w:rsidR="007402F6">
        <w:t>to</w:t>
      </w:r>
      <w:r w:rsidR="00E53DA7" w:rsidRPr="00BE0C02">
        <w:t xml:space="preserve"> require an entity to </w:t>
      </w:r>
      <w:r w:rsidR="00961445" w:rsidRPr="00BE0C02">
        <w:t xml:space="preserve">distinguish </w:t>
      </w:r>
      <w:r w:rsidR="00A36055" w:rsidRPr="00BE0C02">
        <w:t>errors and accounting policies in the year of transition</w:t>
      </w:r>
      <w:r w:rsidR="00DE6479">
        <w:t xml:space="preserve">, noting that </w:t>
      </w:r>
      <w:r w:rsidR="004A098D">
        <w:t xml:space="preserve">in any case </w:t>
      </w:r>
      <w:r w:rsidR="00DE6479">
        <w:t xml:space="preserve">all adjustments would be disclosed in the financial statements </w:t>
      </w:r>
      <w:r w:rsidR="006D1F4B">
        <w:t>regardless of their nature</w:t>
      </w:r>
      <w:r w:rsidR="00A36055" w:rsidRPr="00BE0C02">
        <w:t xml:space="preserve">. </w:t>
      </w:r>
      <w:r w:rsidR="00CF6368">
        <w:t xml:space="preserve">The Board considered </w:t>
      </w:r>
      <w:r w:rsidR="00437D70">
        <w:t xml:space="preserve">whether </w:t>
      </w:r>
      <w:r w:rsidR="00253CFC">
        <w:t>such an amendment would</w:t>
      </w:r>
      <w:r w:rsidR="00CF6368">
        <w:t xml:space="preserve"> </w:t>
      </w:r>
      <w:r w:rsidR="007D42EC">
        <w:t xml:space="preserve">affect </w:t>
      </w:r>
      <w:r w:rsidR="005928EC">
        <w:t>any other</w:t>
      </w:r>
      <w:r w:rsidR="00697591">
        <w:t xml:space="preserve"> </w:t>
      </w:r>
      <w:r w:rsidR="00CF6368">
        <w:t>obligations of those charged with governance with respect to prior period errors</w:t>
      </w:r>
      <w:r w:rsidR="00F57FAC">
        <w:t xml:space="preserve">, </w:t>
      </w:r>
      <w:r w:rsidR="00546361">
        <w:t>however</w:t>
      </w:r>
      <w:r w:rsidR="00F57FAC">
        <w:t xml:space="preserve"> noted that </w:t>
      </w:r>
      <w:r w:rsidR="006D24C5">
        <w:t>such obligations would not be overridden</w:t>
      </w:r>
      <w:r w:rsidR="00FB2091">
        <w:t>.</w:t>
      </w:r>
      <w:r w:rsidR="00CF6368" w:rsidRPr="00BE0C02">
        <w:t xml:space="preserve"> </w:t>
      </w:r>
      <w:r w:rsidR="00A36055" w:rsidRPr="00BE0C02">
        <w:t>In making that decision, the Board</w:t>
      </w:r>
      <w:r w:rsidRPr="00BE0C02">
        <w:t xml:space="preserve"> noted that </w:t>
      </w:r>
      <w:r w:rsidR="00D30FA2" w:rsidRPr="00BE0C02">
        <w:t xml:space="preserve">not distinguishing prior period errors from accounting policy changes may not meet the Conceptual Framework’s qualitative characteristic of faithful representation, however the Board decided to make a trade-off with faithful representation to meet the Board’s objective in </w:t>
      </w:r>
      <w:r w:rsidR="00A36055" w:rsidRPr="00BE0C02">
        <w:t>the</w:t>
      </w:r>
      <w:r w:rsidR="00FA26FF">
        <w:t>se</w:t>
      </w:r>
      <w:r w:rsidR="00D30FA2" w:rsidRPr="00BE0C02">
        <w:t xml:space="preserve"> limited circumstances. </w:t>
      </w:r>
    </w:p>
    <w:p w14:paraId="7918C631" w14:textId="30422D17" w:rsidR="00EB6C55" w:rsidRPr="00BE0C02" w:rsidRDefault="00EB6C55" w:rsidP="00EB6C55">
      <w:pPr>
        <w:pStyle w:val="Heading4"/>
        <w:spacing w:before="200"/>
        <w:jc w:val="both"/>
      </w:pPr>
      <w:r w:rsidRPr="00BE0C02">
        <w:t>Scope of transitional relief</w:t>
      </w:r>
    </w:p>
    <w:p w14:paraId="4D15AE3A" w14:textId="71869922" w:rsidR="0073645B" w:rsidRPr="00BE0C02" w:rsidRDefault="00787933" w:rsidP="007E6349">
      <w:pPr>
        <w:pStyle w:val="NumBC1"/>
        <w:numPr>
          <w:ilvl w:val="0"/>
          <w:numId w:val="27"/>
        </w:numPr>
        <w:ind w:left="782" w:hanging="782"/>
      </w:pPr>
      <w:r w:rsidRPr="00BE0C02">
        <w:t xml:space="preserve">In developing ED 297, the Board noted that entities already complying with the R&amp;M requirements in AAS would not need transitional relief, given that such entities are required to continue applying the applicable R&amp;M requirements in accordance with AASB 1053. However, many respondents to ED 297 </w:t>
      </w:r>
      <w:r w:rsidR="00F8262E" w:rsidRPr="00BE0C02">
        <w:t>considered that the transitional relief should be available to all entities impacted, regardless of whether the SPFS previously issued complied with all R&amp;M requirements</w:t>
      </w:r>
      <w:r w:rsidR="00695B7B" w:rsidRPr="00BE0C02">
        <w:t xml:space="preserve">. </w:t>
      </w:r>
      <w:r w:rsidR="00FE04A9" w:rsidRPr="00BE0C02">
        <w:t xml:space="preserve">Respondents noted that providing comparative </w:t>
      </w:r>
      <w:r w:rsidR="00916C2C" w:rsidRPr="00BE0C02">
        <w:t>information for disclosures that had not previously been made in an entity’s most recent SPFS could be difficult, in particular when gathering information and preparing disclosure</w:t>
      </w:r>
      <w:r w:rsidR="006972B3" w:rsidRPr="00BE0C02">
        <w:t>s</w:t>
      </w:r>
      <w:r w:rsidR="00916C2C" w:rsidRPr="00BE0C02">
        <w:t xml:space="preserve"> about related parties (including key management personnel) and income tax. The Board considered this feedback and decided that</w:t>
      </w:r>
      <w:r w:rsidR="00FE638B" w:rsidRPr="00BE0C02">
        <w:t xml:space="preserve"> </w:t>
      </w:r>
      <w:r w:rsidR="004433CD" w:rsidRPr="00BE0C02">
        <w:t xml:space="preserve">extending the relief to such disclosures would be reasonable to </w:t>
      </w:r>
      <w:r w:rsidR="001F6F76" w:rsidRPr="00BE0C02">
        <w:t xml:space="preserve">address stakeholder feedback and </w:t>
      </w:r>
      <w:r w:rsidR="004433CD" w:rsidRPr="00BE0C02">
        <w:t xml:space="preserve">facilitate </w:t>
      </w:r>
      <w:r w:rsidR="00845662" w:rsidRPr="00BE0C02">
        <w:t xml:space="preserve">timely transition to GPFS. </w:t>
      </w:r>
      <w:r w:rsidR="00B47780" w:rsidRPr="00BE0C02">
        <w:t>The</w:t>
      </w:r>
      <w:r w:rsidR="00845662" w:rsidRPr="00BE0C02">
        <w:t xml:space="preserve"> Board decided to limit </w:t>
      </w:r>
      <w:r w:rsidR="00B47780" w:rsidRPr="00BE0C02">
        <w:t xml:space="preserve">the relief only to </w:t>
      </w:r>
      <w:r w:rsidR="00132604" w:rsidRPr="00BE0C02">
        <w:t>instances where the compara</w:t>
      </w:r>
      <w:r w:rsidR="00B240A6" w:rsidRPr="00BE0C02">
        <w:t>tive</w:t>
      </w:r>
      <w:r w:rsidR="00132604" w:rsidRPr="00BE0C02">
        <w:t xml:space="preserve"> information had not previously been disclosed,</w:t>
      </w:r>
      <w:r w:rsidR="00B47780" w:rsidRPr="00BE0C02">
        <w:t xml:space="preserve"> on the basis that the entity would have all other comparative information available</w:t>
      </w:r>
      <w:r w:rsidR="00EC04D4" w:rsidRPr="00BE0C02">
        <w:t xml:space="preserve"> to them</w:t>
      </w:r>
      <w:r w:rsidR="00B47780" w:rsidRPr="00BE0C02">
        <w:t>.</w:t>
      </w:r>
    </w:p>
    <w:p w14:paraId="22331AA5" w14:textId="2411F58E" w:rsidR="00560481" w:rsidRPr="00BE0C02" w:rsidRDefault="00596D01" w:rsidP="007E6349">
      <w:pPr>
        <w:pStyle w:val="NumBC1"/>
        <w:numPr>
          <w:ilvl w:val="0"/>
          <w:numId w:val="27"/>
        </w:numPr>
        <w:ind w:left="782" w:hanging="782"/>
      </w:pPr>
      <w:bookmarkStart w:id="131" w:name="_Ref32417585"/>
      <w:bookmarkStart w:id="132" w:name="_Ref16182340"/>
      <w:r w:rsidRPr="00BE0C02">
        <w:t>T</w:t>
      </w:r>
      <w:r w:rsidR="00A97BB2" w:rsidRPr="00BE0C02">
        <w:t xml:space="preserve">he Board </w:t>
      </w:r>
      <w:r w:rsidR="00E90CFA" w:rsidRPr="00BE0C02">
        <w:t xml:space="preserve">also </w:t>
      </w:r>
      <w:r w:rsidR="00A97BB2" w:rsidRPr="00BE0C02">
        <w:t>decided that it would be appropriate to amend the requirements in AASB</w:t>
      </w:r>
      <w:r w:rsidR="00A02F66" w:rsidRPr="00BE0C02">
        <w:t> </w:t>
      </w:r>
      <w:r w:rsidR="00A97BB2" w:rsidRPr="00BE0C02">
        <w:t>1053</w:t>
      </w:r>
      <w:r w:rsidR="00E90CFA" w:rsidRPr="00BE0C02">
        <w:t xml:space="preserve"> </w:t>
      </w:r>
      <w:r w:rsidR="00E90CFA" w:rsidRPr="00BE0C02">
        <w:rPr>
          <w:szCs w:val="19"/>
        </w:rPr>
        <w:t>for the transition from SPFS to Tier 2 GPFS generally</w:t>
      </w:r>
      <w:r w:rsidR="008B28D1" w:rsidRPr="00BE0C02">
        <w:rPr>
          <w:szCs w:val="19"/>
        </w:rPr>
        <w:t xml:space="preserve">, as the Board was aware there were mixed views amongst stakeholders as to whether or not consolidation </w:t>
      </w:r>
      <w:r w:rsidR="00340C8D" w:rsidRPr="00BE0C02">
        <w:rPr>
          <w:szCs w:val="19"/>
        </w:rPr>
        <w:t xml:space="preserve">was to be considered a </w:t>
      </w:r>
      <w:r w:rsidR="001900CE" w:rsidRPr="00BE0C02">
        <w:rPr>
          <w:szCs w:val="19"/>
        </w:rPr>
        <w:t xml:space="preserve">R&amp;M </w:t>
      </w:r>
      <w:r w:rsidR="00340C8D" w:rsidRPr="00BE0C02">
        <w:rPr>
          <w:szCs w:val="19"/>
        </w:rPr>
        <w:t>requirement</w:t>
      </w:r>
      <w:r w:rsidR="00E90CFA" w:rsidRPr="00BE0C02">
        <w:rPr>
          <w:szCs w:val="19"/>
        </w:rPr>
        <w:t xml:space="preserve">. The Board decided to </w:t>
      </w:r>
      <w:r w:rsidR="000F0279">
        <w:rPr>
          <w:szCs w:val="19"/>
        </w:rPr>
        <w:t xml:space="preserve">make </w:t>
      </w:r>
      <w:r w:rsidR="009A0741" w:rsidRPr="00BE0C02">
        <w:rPr>
          <w:szCs w:val="19"/>
        </w:rPr>
        <w:t xml:space="preserve">amendments to </w:t>
      </w:r>
      <w:r w:rsidR="00E90CFA" w:rsidRPr="00BE0C02">
        <w:rPr>
          <w:szCs w:val="19"/>
        </w:rPr>
        <w:t xml:space="preserve">paragraph 18A to explicitly state that </w:t>
      </w:r>
      <w:r w:rsidR="00B26C59" w:rsidRPr="00BE0C02">
        <w:rPr>
          <w:szCs w:val="19"/>
        </w:rPr>
        <w:t xml:space="preserve">entities would be able to apply </w:t>
      </w:r>
      <w:r w:rsidR="00306267" w:rsidRPr="00BE0C02">
        <w:rPr>
          <w:szCs w:val="19"/>
        </w:rPr>
        <w:t>either</w:t>
      </w:r>
      <w:r w:rsidR="00B26C59" w:rsidRPr="00BE0C02">
        <w:rPr>
          <w:szCs w:val="19"/>
        </w:rPr>
        <w:t xml:space="preserve"> </w:t>
      </w:r>
      <w:r w:rsidR="00654062" w:rsidRPr="00BE0C02">
        <w:rPr>
          <w:szCs w:val="19"/>
        </w:rPr>
        <w:t>AASB</w:t>
      </w:r>
      <w:r w:rsidR="00654062">
        <w:rPr>
          <w:szCs w:val="19"/>
        </w:rPr>
        <w:t> </w:t>
      </w:r>
      <w:r w:rsidR="00B26C59" w:rsidRPr="00BE0C02">
        <w:rPr>
          <w:szCs w:val="19"/>
        </w:rPr>
        <w:t xml:space="preserve">1 </w:t>
      </w:r>
      <w:r w:rsidR="00404166" w:rsidRPr="00BE0C02">
        <w:rPr>
          <w:szCs w:val="19"/>
        </w:rPr>
        <w:t xml:space="preserve">(including the </w:t>
      </w:r>
      <w:r w:rsidR="0070255E" w:rsidRPr="00BE0C02">
        <w:rPr>
          <w:szCs w:val="19"/>
        </w:rPr>
        <w:t xml:space="preserve">relief for preparing consolidated </w:t>
      </w:r>
      <w:r w:rsidR="002E0584" w:rsidRPr="00BE0C02">
        <w:rPr>
          <w:szCs w:val="19"/>
        </w:rPr>
        <w:t>financial</w:t>
      </w:r>
      <w:r w:rsidR="0070255E" w:rsidRPr="00BE0C02">
        <w:rPr>
          <w:szCs w:val="19"/>
        </w:rPr>
        <w:t xml:space="preserve"> statements in Appendix C) </w:t>
      </w:r>
      <w:r w:rsidR="00B26C59" w:rsidRPr="00BE0C02">
        <w:rPr>
          <w:szCs w:val="19"/>
        </w:rPr>
        <w:t>or AASB 108</w:t>
      </w:r>
      <w:r w:rsidR="00306267" w:rsidRPr="00BE0C02">
        <w:rPr>
          <w:szCs w:val="19"/>
        </w:rPr>
        <w:t xml:space="preserve"> for first-time adoption </w:t>
      </w:r>
      <w:r w:rsidR="001A0EE3" w:rsidRPr="00BE0C02">
        <w:rPr>
          <w:szCs w:val="19"/>
        </w:rPr>
        <w:t>of GPFS</w:t>
      </w:r>
      <w:r w:rsidR="00560481" w:rsidRPr="00BE0C02">
        <w:rPr>
          <w:szCs w:val="19"/>
        </w:rPr>
        <w:t xml:space="preserve"> where a parent entity either:</w:t>
      </w:r>
      <w:bookmarkEnd w:id="131"/>
    </w:p>
    <w:p w14:paraId="026B2412" w14:textId="09A6B847" w:rsidR="00560481" w:rsidRPr="00BE0C02" w:rsidRDefault="00E90FAC" w:rsidP="007E6349">
      <w:pPr>
        <w:pStyle w:val="NumBC2"/>
        <w:numPr>
          <w:ilvl w:val="0"/>
          <w:numId w:val="88"/>
        </w:numPr>
        <w:ind w:left="1564" w:hanging="782"/>
      </w:pPr>
      <w:r w:rsidRPr="00BE0C02">
        <w:lastRenderedPageBreak/>
        <w:t xml:space="preserve">did not apply the requirements of AASB 10 and </w:t>
      </w:r>
      <w:r w:rsidR="00261C21" w:rsidRPr="00BE0C02">
        <w:t xml:space="preserve">hence did not </w:t>
      </w:r>
      <w:r w:rsidR="001D2655" w:rsidRPr="00BE0C02">
        <w:t>prepare consolidated financial statements</w:t>
      </w:r>
      <w:r w:rsidR="00993E51" w:rsidRPr="00BE0C02">
        <w:t>; or</w:t>
      </w:r>
    </w:p>
    <w:p w14:paraId="2E966FAD" w14:textId="79CE0AFC" w:rsidR="00993E51" w:rsidRPr="00BE0C02" w:rsidRDefault="001D2655" w:rsidP="007E6349">
      <w:pPr>
        <w:pStyle w:val="NumBC2"/>
        <w:numPr>
          <w:ilvl w:val="0"/>
          <w:numId w:val="88"/>
        </w:numPr>
        <w:ind w:left="1564" w:hanging="782"/>
      </w:pPr>
      <w:bookmarkStart w:id="133" w:name="_Ref32417586"/>
      <w:r w:rsidRPr="00BE0C02">
        <w:t xml:space="preserve">did not prepare consolidated financial statements on the basis that </w:t>
      </w:r>
      <w:r w:rsidR="00372C34">
        <w:t xml:space="preserve">neither </w:t>
      </w:r>
      <w:r w:rsidRPr="00BE0C02">
        <w:t xml:space="preserve">the entity </w:t>
      </w:r>
      <w:r w:rsidR="00372C34">
        <w:t>n</w:t>
      </w:r>
      <w:r w:rsidR="00641111" w:rsidRPr="00BE0C02">
        <w:t>or the consolidated entity</w:t>
      </w:r>
      <w:r w:rsidRPr="00BE0C02">
        <w:t xml:space="preserve"> was not a reporting entity, and hence </w:t>
      </w:r>
      <w:r w:rsidR="00014D45" w:rsidRPr="00BE0C02">
        <w:t>was not required by paragraph Aus4.2 to prepare consolidated financial statements where the entity was an ultimate Australian parent.</w:t>
      </w:r>
      <w:bookmarkEnd w:id="133"/>
      <w:r w:rsidR="00014D45" w:rsidRPr="00BE0C02">
        <w:t xml:space="preserve"> </w:t>
      </w:r>
    </w:p>
    <w:p w14:paraId="6A98C140" w14:textId="0C341ED8" w:rsidR="00014D45" w:rsidRPr="00BE0C02" w:rsidRDefault="00014D45" w:rsidP="007E6349">
      <w:pPr>
        <w:pStyle w:val="NumBC1"/>
        <w:numPr>
          <w:ilvl w:val="0"/>
          <w:numId w:val="27"/>
        </w:numPr>
        <w:ind w:left="782" w:hanging="782"/>
      </w:pPr>
      <w:r w:rsidRPr="00BE0C02">
        <w:t xml:space="preserve">In respect of </w:t>
      </w:r>
      <w:r w:rsidRPr="00BE0C02">
        <w:fldChar w:fldCharType="begin"/>
      </w:r>
      <w:r w:rsidRPr="00BE0C02">
        <w:instrText xml:space="preserve"> REF _Ref32417585 \w \h </w:instrText>
      </w:r>
      <w:r w:rsidR="00BE0C02">
        <w:instrText xml:space="preserve"> \* MERGEFORMAT </w:instrText>
      </w:r>
      <w:r w:rsidRPr="00BE0C02">
        <w:fldChar w:fldCharType="separate"/>
      </w:r>
      <w:r w:rsidR="00E354C4">
        <w:t>BC141</w:t>
      </w:r>
      <w:r w:rsidRPr="00BE0C02">
        <w:fldChar w:fldCharType="end"/>
      </w:r>
      <w:r w:rsidRPr="00BE0C02">
        <w:fldChar w:fldCharType="begin"/>
      </w:r>
      <w:r w:rsidRPr="00BE0C02">
        <w:instrText xml:space="preserve"> REF _Ref32417586 \w \h </w:instrText>
      </w:r>
      <w:r w:rsidR="00BE0C02">
        <w:instrText xml:space="preserve"> \* MERGEFORMAT </w:instrText>
      </w:r>
      <w:r w:rsidRPr="00BE0C02">
        <w:fldChar w:fldCharType="separate"/>
      </w:r>
      <w:r w:rsidR="00E354C4">
        <w:t>(b)</w:t>
      </w:r>
      <w:r w:rsidRPr="00BE0C02">
        <w:fldChar w:fldCharType="end"/>
      </w:r>
      <w:r w:rsidR="00A55AF5" w:rsidRPr="00BE0C02">
        <w:t xml:space="preserve">, the Board </w:t>
      </w:r>
      <w:r w:rsidR="002563D9" w:rsidRPr="00BE0C02">
        <w:t xml:space="preserve">decided </w:t>
      </w:r>
      <w:r w:rsidR="00C1004E" w:rsidRPr="00BE0C02">
        <w:t xml:space="preserve">that </w:t>
      </w:r>
      <w:r w:rsidR="002563D9" w:rsidRPr="00BE0C02">
        <w:t xml:space="preserve">even though </w:t>
      </w:r>
      <w:r w:rsidR="00981548" w:rsidRPr="00BE0C02">
        <w:t>such an</w:t>
      </w:r>
      <w:r w:rsidR="002563D9" w:rsidRPr="00BE0C02">
        <w:t xml:space="preserve"> entity would have technically complied with the </w:t>
      </w:r>
      <w:r w:rsidR="001900CE" w:rsidRPr="00BE0C02">
        <w:t xml:space="preserve">R&amp;M </w:t>
      </w:r>
      <w:r w:rsidR="002563D9" w:rsidRPr="00BE0C02">
        <w:t xml:space="preserve">requirements of AASB 10 (because it was not required to consolidate), because </w:t>
      </w:r>
      <w:r w:rsidR="00636F7C" w:rsidRPr="00BE0C02">
        <w:t xml:space="preserve">the amendments in this Standard mean that </w:t>
      </w:r>
      <w:r w:rsidR="00AB2EA8" w:rsidRPr="00BE0C02">
        <w:t xml:space="preserve">the reference to a reporting entity in </w:t>
      </w:r>
      <w:r w:rsidR="000335D8" w:rsidRPr="00BE0C02">
        <w:t xml:space="preserve">AASB 10 paragraph </w:t>
      </w:r>
      <w:r w:rsidR="00AB2EA8" w:rsidRPr="00BE0C02">
        <w:t>Aus4.2 is</w:t>
      </w:r>
      <w:r w:rsidR="005B463F" w:rsidRPr="00BE0C02">
        <w:t xml:space="preserve"> </w:t>
      </w:r>
      <w:r w:rsidR="00404166" w:rsidRPr="00BE0C02">
        <w:t>removed</w:t>
      </w:r>
      <w:r w:rsidR="00E51E0E" w:rsidRPr="00BE0C02">
        <w:t xml:space="preserve">, </w:t>
      </w:r>
      <w:r w:rsidR="00F02574" w:rsidRPr="00BE0C02">
        <w:t xml:space="preserve">the Board considered it appropriate to </w:t>
      </w:r>
      <w:r w:rsidR="00DA3E12" w:rsidRPr="00BE0C02">
        <w:t xml:space="preserve">make available the same transitional relief as would be available for entities previously not complying with AASB 10. </w:t>
      </w:r>
      <w:r w:rsidR="0070255E" w:rsidRPr="00BE0C02">
        <w:t xml:space="preserve">The Board considered whether to also extend such relief to entities preparing separate GPFS on the same basis (ie </w:t>
      </w:r>
      <w:r w:rsidR="000335D8" w:rsidRPr="00BE0C02">
        <w:t xml:space="preserve">applying AASB 10 paragraph Aus4.2), however decided this would not be appropriate </w:t>
      </w:r>
      <w:r w:rsidR="004443A3">
        <w:t xml:space="preserve">at this time </w:t>
      </w:r>
      <w:r w:rsidR="000025AB">
        <w:t xml:space="preserve">as the extent of the entities impacted is currently unknown, but </w:t>
      </w:r>
      <w:r w:rsidR="00C35634">
        <w:t xml:space="preserve">is </w:t>
      </w:r>
      <w:r w:rsidR="000025AB">
        <w:t xml:space="preserve">expected to be limited, and </w:t>
      </w:r>
      <w:r w:rsidR="000335D8" w:rsidRPr="00BE0C02">
        <w:t>as:</w:t>
      </w:r>
    </w:p>
    <w:p w14:paraId="1B5EE59C" w14:textId="51A7B696" w:rsidR="00E567C9" w:rsidRPr="00BE0C02" w:rsidRDefault="005C1910" w:rsidP="00CA35CC">
      <w:pPr>
        <w:pStyle w:val="NumBC2"/>
        <w:numPr>
          <w:ilvl w:val="0"/>
          <w:numId w:val="94"/>
        </w:numPr>
        <w:ind w:left="1564" w:hanging="782"/>
      </w:pPr>
      <w:r w:rsidRPr="00BE0C02">
        <w:t>the Board expects that such entities should already have comprehensive IFRS-compliant information available to help produce consolidated financial statements, as the entity would be reporting that information to its parent; and</w:t>
      </w:r>
    </w:p>
    <w:p w14:paraId="2A14787A" w14:textId="1A93B182" w:rsidR="005C1910" w:rsidRPr="00BE0C02" w:rsidRDefault="000703B9" w:rsidP="00CA35CC">
      <w:pPr>
        <w:pStyle w:val="NumBC2"/>
        <w:numPr>
          <w:ilvl w:val="0"/>
          <w:numId w:val="94"/>
        </w:numPr>
        <w:ind w:left="1564" w:hanging="782"/>
      </w:pPr>
      <w:r w:rsidRPr="00BE0C02">
        <w:t>entities currently preparing SPFS would also be required to provide new additional disclosure as well as potentially changes to R&amp;M, hence it could be argued that not having such other challenges would mean entities already preparing GPFS would have enough resources to retrospectively consolidate.</w:t>
      </w:r>
    </w:p>
    <w:bookmarkEnd w:id="132"/>
    <w:p w14:paraId="1087AC23" w14:textId="01D23137" w:rsidR="005D2685" w:rsidRPr="00BE0C02" w:rsidRDefault="005D2685" w:rsidP="007E6349">
      <w:pPr>
        <w:pStyle w:val="NumBC1"/>
        <w:numPr>
          <w:ilvl w:val="0"/>
          <w:numId w:val="27"/>
        </w:numPr>
        <w:ind w:left="782" w:hanging="782"/>
      </w:pPr>
      <w:r w:rsidRPr="00BE0C02">
        <w:t xml:space="preserve">The Board considered whether to explicitly refer also to the equity method of accounting for investments in associates and joint ventures, and concluded that this was not necessary. As the equity method of accounting affects the measurement of </w:t>
      </w:r>
      <w:r w:rsidR="007A59FB" w:rsidRPr="00BE0C02">
        <w:t xml:space="preserve">the investments and the presentation in the statement of profit or loss and other comprehensive income, it is clear that the existing references in paragraph 18A to the </w:t>
      </w:r>
      <w:r w:rsidR="004B157B" w:rsidRPr="00BE0C02">
        <w:t xml:space="preserve">R&amp;M </w:t>
      </w:r>
      <w:r w:rsidR="003951E6" w:rsidRPr="00BE0C02">
        <w:t>requirements of AAS</w:t>
      </w:r>
      <w:r w:rsidR="007A59FB" w:rsidRPr="00BE0C02">
        <w:t xml:space="preserve"> cover application of the equity method. In any case, paragraph 9 of AASB</w:t>
      </w:r>
      <w:r w:rsidR="003951E6" w:rsidRPr="00BE0C02">
        <w:t> </w:t>
      </w:r>
      <w:r w:rsidR="007A59FB" w:rsidRPr="00BE0C02">
        <w:t>1053 now state</w:t>
      </w:r>
      <w:r w:rsidR="00051A7A" w:rsidRPr="00BE0C02">
        <w:t>s</w:t>
      </w:r>
      <w:r w:rsidR="007A59FB" w:rsidRPr="00BE0C02">
        <w:t xml:space="preserve"> that the </w:t>
      </w:r>
      <w:r w:rsidR="00EA7F63">
        <w:t>R&amp;M</w:t>
      </w:r>
      <w:r w:rsidR="007A59FB" w:rsidRPr="00BE0C02">
        <w:t xml:space="preserve"> requirements include both consolidation and the equity method of accounting. The explicit references to consolidated financial statements added to paragraph 18A therefore emphasise their coverage.</w:t>
      </w:r>
    </w:p>
    <w:p w14:paraId="5DA1C0FC" w14:textId="50EE13E7" w:rsidR="00051A7A" w:rsidRPr="00BE0C02" w:rsidRDefault="00051A7A" w:rsidP="007E6349">
      <w:pPr>
        <w:pStyle w:val="NumBC1"/>
        <w:numPr>
          <w:ilvl w:val="0"/>
          <w:numId w:val="27"/>
        </w:numPr>
        <w:ind w:left="782" w:hanging="782"/>
      </w:pPr>
      <w:bookmarkStart w:id="134" w:name="_Ref16182540"/>
      <w:r w:rsidRPr="00BE0C02">
        <w:t xml:space="preserve">The Board noted that paragraph 18A(a) </w:t>
      </w:r>
      <w:r w:rsidR="003A6A07" w:rsidRPr="00BE0C02">
        <w:t xml:space="preserve">and </w:t>
      </w:r>
      <w:r w:rsidR="00D009B4" w:rsidRPr="00BE0C02">
        <w:t>18A</w:t>
      </w:r>
      <w:r w:rsidR="003A6A07" w:rsidRPr="00BE0C02">
        <w:t>(b)</w:t>
      </w:r>
      <w:r w:rsidRPr="00BE0C02">
        <w:t xml:space="preserve"> of AASB 1053 as amended would permit an entity to apply the transition relief available under AASB 1, and thus potentially restate recognised amounts, even if the previous SPFS applied all the applicable </w:t>
      </w:r>
      <w:r w:rsidR="004B157B" w:rsidRPr="00BE0C02">
        <w:t xml:space="preserve">R&amp;M </w:t>
      </w:r>
      <w:r w:rsidRPr="00BE0C02">
        <w:t>requirements of</w:t>
      </w:r>
      <w:r w:rsidR="003951E6" w:rsidRPr="00BE0C02">
        <w:t xml:space="preserve"> AAS</w:t>
      </w:r>
      <w:r w:rsidRPr="00BE0C02">
        <w:t>, except for the consolidation requirements in AASB 10.</w:t>
      </w:r>
      <w:bookmarkEnd w:id="134"/>
    </w:p>
    <w:p w14:paraId="4864F9A8" w14:textId="77777777" w:rsidR="00CD22B9" w:rsidRPr="00BE0C02" w:rsidRDefault="00CD22B9" w:rsidP="00CD22B9">
      <w:pPr>
        <w:pStyle w:val="Heading2"/>
      </w:pPr>
      <w:r w:rsidRPr="00BE0C02">
        <w:t xml:space="preserve">Effective date </w:t>
      </w:r>
    </w:p>
    <w:p w14:paraId="64CA701B" w14:textId="679B70B8" w:rsidR="00CD22B9" w:rsidRPr="00BE0C02" w:rsidRDefault="00223517" w:rsidP="007E6349">
      <w:pPr>
        <w:pStyle w:val="NumBC1"/>
        <w:numPr>
          <w:ilvl w:val="0"/>
          <w:numId w:val="27"/>
        </w:numPr>
        <w:ind w:left="782" w:hanging="782"/>
      </w:pPr>
      <w:bookmarkStart w:id="135" w:name="_Ref10168241"/>
      <w:bookmarkStart w:id="136" w:name="_Ref8986627"/>
      <w:r w:rsidRPr="00BE0C02">
        <w:t>In proposing an effective</w:t>
      </w:r>
      <w:r w:rsidR="00CD22B9" w:rsidRPr="00BE0C02">
        <w:t xml:space="preserve"> date</w:t>
      </w:r>
      <w:r w:rsidRPr="00BE0C02">
        <w:t xml:space="preserve"> in ED 297</w:t>
      </w:r>
      <w:r w:rsidR="00CD22B9" w:rsidRPr="00BE0C02">
        <w:t>, the Board considered available policies and precedent, including:</w:t>
      </w:r>
      <w:bookmarkEnd w:id="135"/>
    </w:p>
    <w:p w14:paraId="453B9FFD" w14:textId="5C2CBF46" w:rsidR="00CD22B9" w:rsidRPr="00BE0C02" w:rsidRDefault="00CD22B9" w:rsidP="007E6349">
      <w:pPr>
        <w:pStyle w:val="NumBC2"/>
        <w:numPr>
          <w:ilvl w:val="0"/>
          <w:numId w:val="48"/>
        </w:numPr>
        <w:ind w:left="1564" w:hanging="782"/>
      </w:pPr>
      <w:r w:rsidRPr="00BE0C02">
        <w:t xml:space="preserve">the amendments to the tax law requiring SGEs to lodge GPFS with the ATO were issued in December 2015, and required lodgement to the ATO for ‘income years’ commencing on or after 1 July 2016. However, the ATO provided transitional concessions in the first year, whereby it allowed entities with reporting periods ending on 30 June 2017 additional time to lodge those financial statements, with lodgement due by 31 March 2018. It also permitted </w:t>
      </w:r>
      <w:r w:rsidR="00196A26" w:rsidRPr="00BE0C02">
        <w:t>foreign-</w:t>
      </w:r>
      <w:r w:rsidRPr="00BE0C02">
        <w:t>controlled entities to lodge financial statements in accordance with another set of Generally Accepted Accounting Principles (GAAP) other than AAS (eg US GAAP);</w:t>
      </w:r>
    </w:p>
    <w:p w14:paraId="1B758122" w14:textId="77777777" w:rsidR="00CD22B9" w:rsidRPr="00BE0C02" w:rsidRDefault="00CD22B9" w:rsidP="007E6349">
      <w:pPr>
        <w:pStyle w:val="NumBC2"/>
        <w:numPr>
          <w:ilvl w:val="0"/>
          <w:numId w:val="48"/>
        </w:numPr>
        <w:ind w:left="1564" w:hanging="782"/>
      </w:pPr>
      <w:r w:rsidRPr="00BE0C02">
        <w:t>the AASB issued the first principal version of AASB 1 in July 2004, prior to the effective date of full adoption of the Australian-equivalents to IFRS Standards of annual periods beginning on or after 1 January 2005. The FRC provided the AASB with the directive to adopt IFRS Standards in 2002. Given that all entities would have applied AASB 1 on Australia’s transition to IFRS Standards, this length of time is arguably indicative of how much time might need to be provided for a transition from SPFS to GPFS; and</w:t>
      </w:r>
    </w:p>
    <w:p w14:paraId="05E7AF20" w14:textId="1D8EF319" w:rsidR="00CD22B9" w:rsidRPr="00BE0C02" w:rsidRDefault="00CD22B9" w:rsidP="007E6349">
      <w:pPr>
        <w:pStyle w:val="NumBC2"/>
        <w:numPr>
          <w:ilvl w:val="0"/>
          <w:numId w:val="48"/>
        </w:numPr>
        <w:ind w:left="1564" w:hanging="782"/>
      </w:pPr>
      <w:r w:rsidRPr="00BE0C02">
        <w:t xml:space="preserve">the </w:t>
      </w:r>
      <w:r w:rsidR="00223517" w:rsidRPr="00BE0C02">
        <w:t xml:space="preserve">now superseded </w:t>
      </w:r>
      <w:r w:rsidRPr="00BE0C02">
        <w:t xml:space="preserve">AASB </w:t>
      </w:r>
      <w:r w:rsidRPr="00BE0C02">
        <w:rPr>
          <w:i/>
        </w:rPr>
        <w:t>Policies and Processes</w:t>
      </w:r>
      <w:r w:rsidRPr="00BE0C02">
        <w:t xml:space="preserve"> outlines in paragraph 32 that “when determining the effective date of Standards the AASB seeks to ensure that constituents have adequate time to prepare for their implementation. In normal circumstances the AASB will issue a Standard a significant time before its effective date, say, during the previous annual reporting period and generally permits entities to apply those requirements early should they wish to do so”.</w:t>
      </w:r>
    </w:p>
    <w:p w14:paraId="243613D3" w14:textId="77777777" w:rsidR="00CD22B9" w:rsidRPr="00BE0C02" w:rsidRDefault="00CD22B9" w:rsidP="007E6349">
      <w:pPr>
        <w:pStyle w:val="NumBC1"/>
        <w:numPr>
          <w:ilvl w:val="0"/>
          <w:numId w:val="27"/>
        </w:numPr>
        <w:ind w:left="782" w:hanging="782"/>
      </w:pPr>
      <w:r w:rsidRPr="00BE0C02">
        <w:t xml:space="preserve">The Board also noted that a timely effective date would be welcomed by users of financial statements, and may also be preferred by preparers. This is because: </w:t>
      </w:r>
    </w:p>
    <w:p w14:paraId="49A35E24" w14:textId="5531CB20" w:rsidR="00CD22B9" w:rsidRPr="00BE0C02" w:rsidRDefault="00CD22B9" w:rsidP="007E6349">
      <w:pPr>
        <w:pStyle w:val="NumBC2"/>
        <w:numPr>
          <w:ilvl w:val="0"/>
          <w:numId w:val="64"/>
        </w:numPr>
        <w:ind w:left="1564" w:hanging="782"/>
      </w:pPr>
      <w:r w:rsidRPr="00BE0C02">
        <w:t xml:space="preserve">the regulations in relation to the doubling of the thresholds used for determining what constitutes a large proprietary company are applicable to financial years beginning on or after 1 July 2019. The </w:t>
      </w:r>
      <w:r w:rsidRPr="00BE0C02">
        <w:lastRenderedPageBreak/>
        <w:t xml:space="preserve">Board noted that the commentary contained in the Explanatory Statement to those regulations may be persuasive in an entity reconsidering its status as a non-reporting entity. As such, if entities were to reassess and determine that they were in fact a reporting entity, it would be preferable for the </w:t>
      </w:r>
      <w:r w:rsidR="00E465C7" w:rsidRPr="00BE0C02">
        <w:t>revised Tier 2</w:t>
      </w:r>
      <w:r w:rsidR="0071631B" w:rsidRPr="00BE0C02">
        <w:t xml:space="preserve"> GPFS framework </w:t>
      </w:r>
      <w:r w:rsidR="00E465C7" w:rsidRPr="00BE0C02">
        <w:t xml:space="preserve">and </w:t>
      </w:r>
      <w:r w:rsidR="0071631B" w:rsidRPr="00BE0C02">
        <w:t xml:space="preserve">the </w:t>
      </w:r>
      <w:r w:rsidRPr="00BE0C02">
        <w:t>RCF to be applicable at the same time as for other publicly accountable for-profit private sector entities (annual periods beginning on or after 1 January 2020); and</w:t>
      </w:r>
    </w:p>
    <w:p w14:paraId="1B5F78C7" w14:textId="7232F556" w:rsidR="00CD22B9" w:rsidRPr="00BE0C02" w:rsidRDefault="00CD22B9" w:rsidP="007E6349">
      <w:pPr>
        <w:pStyle w:val="NumBC2"/>
        <w:numPr>
          <w:ilvl w:val="0"/>
          <w:numId w:val="64"/>
        </w:numPr>
        <w:ind w:left="1564" w:hanging="782"/>
      </w:pPr>
      <w:r w:rsidRPr="00BE0C02">
        <w:t xml:space="preserve">a large proportion of affected entities (76% - refer paragraph </w:t>
      </w:r>
      <w:r w:rsidRPr="00BE0C02">
        <w:fldChar w:fldCharType="begin"/>
      </w:r>
      <w:r w:rsidRPr="00BE0C02">
        <w:instrText xml:space="preserve"> REF _Ref9857719 \r \h </w:instrText>
      </w:r>
      <w:r w:rsidR="00BE0C02">
        <w:instrText xml:space="preserve"> \* MERGEFORMAT </w:instrText>
      </w:r>
      <w:r w:rsidRPr="00BE0C02">
        <w:fldChar w:fldCharType="separate"/>
      </w:r>
      <w:r w:rsidR="00E354C4">
        <w:t>BC20</w:t>
      </w:r>
      <w:r w:rsidRPr="00BE0C02">
        <w:fldChar w:fldCharType="end"/>
      </w:r>
      <w:r w:rsidRPr="00BE0C02">
        <w:t xml:space="preserve">) are already complying with the R&amp;M requirements in AAS. </w:t>
      </w:r>
    </w:p>
    <w:p w14:paraId="38A91AC6" w14:textId="5EE9DD6F" w:rsidR="00CD22B9" w:rsidRPr="00BE0C02" w:rsidRDefault="00CD22B9" w:rsidP="007E6349">
      <w:pPr>
        <w:pStyle w:val="NumBC1"/>
        <w:numPr>
          <w:ilvl w:val="0"/>
          <w:numId w:val="27"/>
        </w:numPr>
        <w:ind w:left="782" w:hanging="782"/>
      </w:pPr>
      <w:bookmarkStart w:id="137" w:name="_Ref13485987"/>
      <w:r w:rsidRPr="00BE0C02">
        <w:t xml:space="preserve">As noted in the table in paragraph </w:t>
      </w:r>
      <w:r w:rsidRPr="00BE0C02">
        <w:fldChar w:fldCharType="begin"/>
      </w:r>
      <w:r w:rsidRPr="00BE0C02">
        <w:instrText xml:space="preserve"> REF _Ref10049970 \r \h </w:instrText>
      </w:r>
      <w:r w:rsidR="00BE0C02">
        <w:instrText xml:space="preserve"> \* MERGEFORMAT </w:instrText>
      </w:r>
      <w:r w:rsidRPr="00BE0C02">
        <w:fldChar w:fldCharType="separate"/>
      </w:r>
      <w:r w:rsidR="00E354C4">
        <w:t>BC127</w:t>
      </w:r>
      <w:r w:rsidRPr="00BE0C02">
        <w:fldChar w:fldCharType="end"/>
      </w:r>
      <w:r w:rsidRPr="00BE0C02">
        <w:t>, the Board also concluded that providing relief from restating comparative information in the year of transition would be particularly beneficial as it could allow for an earlier effective date. As such, with regard to the above considerations, the Board decided to propose an effective date of annual periods beginning on or after 1 July 2020</w:t>
      </w:r>
      <w:r w:rsidR="00EC2D9E" w:rsidRPr="00BE0C02">
        <w:t xml:space="preserve"> in ED 297</w:t>
      </w:r>
      <w:r w:rsidRPr="00BE0C02">
        <w:t>. The Board noted this would effectively align with the effective date of the RCF, given most Australian for-profit private sector entities would have reporting dates of 30 June.</w:t>
      </w:r>
      <w:bookmarkEnd w:id="137"/>
      <w:r w:rsidRPr="00BE0C02">
        <w:t xml:space="preserve"> </w:t>
      </w:r>
    </w:p>
    <w:p w14:paraId="4A74E569" w14:textId="51402825" w:rsidR="00CD22B9" w:rsidRPr="00BE0C02" w:rsidRDefault="00CD22B9" w:rsidP="007E6349">
      <w:pPr>
        <w:pStyle w:val="NumBC1"/>
        <w:numPr>
          <w:ilvl w:val="0"/>
          <w:numId w:val="27"/>
        </w:numPr>
        <w:ind w:left="782" w:hanging="782"/>
      </w:pPr>
      <w:bookmarkStart w:id="138" w:name="_Ref9866317"/>
      <w:r w:rsidRPr="00BE0C02">
        <w:t xml:space="preserve">Further, the Board noted the timeliness of completing this project, in order to provide an option for large proprietary companies to early adopt the RCF, applicable transitional relief and Tier 2 GPFS framework for periods beginning on or after 1 July 2019 (ie aligned with the doubling of the thresholds used for determining what constitutes a large proprietary company). </w:t>
      </w:r>
      <w:bookmarkEnd w:id="138"/>
    </w:p>
    <w:p w14:paraId="7330756D" w14:textId="78923921" w:rsidR="007A0B25" w:rsidRPr="00BE0C02" w:rsidRDefault="003120EA" w:rsidP="007E6349">
      <w:pPr>
        <w:pStyle w:val="NumBC1"/>
        <w:numPr>
          <w:ilvl w:val="0"/>
          <w:numId w:val="27"/>
        </w:numPr>
        <w:ind w:left="782" w:hanging="782"/>
      </w:pPr>
      <w:r w:rsidRPr="00BE0C02">
        <w:t xml:space="preserve">Respondents to ED 297 expressed mixed views on the proposed effective date, with many </w:t>
      </w:r>
      <w:r w:rsidR="00753B77" w:rsidRPr="00BE0C02">
        <w:t xml:space="preserve">recommending the Board defer the effective date by </w:t>
      </w:r>
      <w:r w:rsidR="00BF5C0A">
        <w:t>1-2</w:t>
      </w:r>
      <w:r w:rsidR="00753B77" w:rsidRPr="00BE0C02">
        <w:t xml:space="preserve"> years. </w:t>
      </w:r>
      <w:r w:rsidR="00AF6AB2" w:rsidRPr="00BE0C02">
        <w:t>Reasons for deferral suggested by respondents include:</w:t>
      </w:r>
    </w:p>
    <w:p w14:paraId="076CC066" w14:textId="7B42EF7C" w:rsidR="00AF6AB2" w:rsidRPr="00BE0C02" w:rsidRDefault="005F6B92" w:rsidP="007E6349">
      <w:pPr>
        <w:pStyle w:val="NumBC2"/>
        <w:numPr>
          <w:ilvl w:val="0"/>
          <w:numId w:val="81"/>
        </w:numPr>
        <w:ind w:left="1564" w:hanging="782"/>
      </w:pPr>
      <w:r w:rsidRPr="00BE0C02">
        <w:t>to provide time for education, software and process changes;</w:t>
      </w:r>
    </w:p>
    <w:p w14:paraId="6BF8A360" w14:textId="6F6F76BC" w:rsidR="00AF6AB2" w:rsidRPr="00BE0C02" w:rsidRDefault="005F6B92" w:rsidP="007E6349">
      <w:pPr>
        <w:pStyle w:val="NumBC2"/>
        <w:numPr>
          <w:ilvl w:val="0"/>
          <w:numId w:val="81"/>
        </w:numPr>
        <w:ind w:left="1564" w:hanging="782"/>
      </w:pPr>
      <w:r w:rsidRPr="00BE0C02">
        <w:t>challenges caused by first-time consolidation, for example gathering AAS-</w:t>
      </w:r>
      <w:r w:rsidR="00874DF6" w:rsidRPr="00BE0C02">
        <w:t xml:space="preserve">compliant information from </w:t>
      </w:r>
      <w:r w:rsidR="00F62AF2" w:rsidRPr="00BE0C02">
        <w:t>subsidiaries;</w:t>
      </w:r>
    </w:p>
    <w:p w14:paraId="31C261D4" w14:textId="543328E0" w:rsidR="00AF6AB2" w:rsidRPr="00BE0C02" w:rsidRDefault="00FD71D5" w:rsidP="007E6349">
      <w:pPr>
        <w:pStyle w:val="NumBC2"/>
        <w:numPr>
          <w:ilvl w:val="0"/>
          <w:numId w:val="81"/>
        </w:numPr>
        <w:ind w:left="1564" w:hanging="782"/>
      </w:pPr>
      <w:r w:rsidRPr="00BE0C02">
        <w:t>deferring the effective date would dismiss the need for transitional relief</w:t>
      </w:r>
      <w:r w:rsidR="00F62AF2" w:rsidRPr="00BE0C02">
        <w:t>;</w:t>
      </w:r>
    </w:p>
    <w:p w14:paraId="2FE94B45" w14:textId="5455F37C" w:rsidR="00FD71D5" w:rsidRPr="00BE0C02" w:rsidRDefault="00FD71D5" w:rsidP="007E6349">
      <w:pPr>
        <w:pStyle w:val="NumBC2"/>
        <w:numPr>
          <w:ilvl w:val="0"/>
          <w:numId w:val="81"/>
        </w:numPr>
        <w:ind w:left="1564" w:hanging="782"/>
      </w:pPr>
      <w:r w:rsidRPr="00BE0C02">
        <w:t xml:space="preserve">the </w:t>
      </w:r>
      <w:r w:rsidR="00062696" w:rsidRPr="00BE0C02">
        <w:rPr>
          <w:i/>
          <w:iCs/>
        </w:rPr>
        <w:t>AASB</w:t>
      </w:r>
      <w:r w:rsidRPr="00BE0C02">
        <w:t xml:space="preserve"> </w:t>
      </w:r>
      <w:r w:rsidRPr="00BE0C02">
        <w:rPr>
          <w:i/>
          <w:iCs/>
        </w:rPr>
        <w:t xml:space="preserve">Due Process Framework </w:t>
      </w:r>
      <w:r w:rsidR="00062696" w:rsidRPr="00BE0C02">
        <w:rPr>
          <w:i/>
          <w:iCs/>
        </w:rPr>
        <w:t xml:space="preserve">for Setting Standards </w:t>
      </w:r>
      <w:r w:rsidRPr="00BE0C02">
        <w:t>(September 2019)</w:t>
      </w:r>
      <w:r w:rsidR="005A771E" w:rsidRPr="00BE0C02">
        <w:t xml:space="preserve"> (Due Process Framework)</w:t>
      </w:r>
      <w:r w:rsidR="00062696" w:rsidRPr="00BE0C02">
        <w:rPr>
          <w:i/>
          <w:iCs/>
        </w:rPr>
        <w:t xml:space="preserve"> </w:t>
      </w:r>
      <w:r w:rsidR="00062696" w:rsidRPr="00BE0C02">
        <w:t>suggests an implementation period</w:t>
      </w:r>
      <w:r w:rsidR="00F62AF2" w:rsidRPr="00BE0C02">
        <w:t xml:space="preserve"> </w:t>
      </w:r>
      <w:r w:rsidR="00C8719A" w:rsidRPr="00BE0C02">
        <w:t>of 2 years in typical cases;</w:t>
      </w:r>
      <w:r w:rsidR="00591F90" w:rsidRPr="00BE0C02">
        <w:t xml:space="preserve"> and</w:t>
      </w:r>
    </w:p>
    <w:p w14:paraId="155A41ED" w14:textId="1809ECF4" w:rsidR="00C8719A" w:rsidRPr="00BE0C02" w:rsidRDefault="00C8719A" w:rsidP="007E6349">
      <w:pPr>
        <w:pStyle w:val="NumBC2"/>
        <w:numPr>
          <w:ilvl w:val="0"/>
          <w:numId w:val="81"/>
        </w:numPr>
        <w:ind w:left="1564" w:hanging="782"/>
      </w:pPr>
      <w:r w:rsidRPr="00BE0C02">
        <w:t xml:space="preserve">whilst the effective date appeared appropriate for entities that should have been complying with RG 85 </w:t>
      </w:r>
      <w:r w:rsidR="00591F90" w:rsidRPr="00BE0C02">
        <w:t xml:space="preserve">(ie entities required to prepare financial statements in accordance with the </w:t>
      </w:r>
      <w:r w:rsidR="00591F90" w:rsidRPr="00BE0C02">
        <w:rPr>
          <w:i/>
          <w:iCs/>
        </w:rPr>
        <w:t>Corporations Act 2001</w:t>
      </w:r>
      <w:r w:rsidR="00591F90" w:rsidRPr="00BE0C02">
        <w:t>), it may be too soon for other for-profit entities within the scope that had not previously had RG 85 to guide their financial reporting framework.</w:t>
      </w:r>
    </w:p>
    <w:p w14:paraId="4FD41120" w14:textId="492C2B3E" w:rsidR="00591F90" w:rsidRPr="00BE0C02" w:rsidRDefault="00591F90" w:rsidP="007E6349">
      <w:pPr>
        <w:pStyle w:val="NumBC1"/>
        <w:numPr>
          <w:ilvl w:val="0"/>
          <w:numId w:val="27"/>
        </w:numPr>
        <w:ind w:left="782" w:hanging="782"/>
      </w:pPr>
      <w:bookmarkStart w:id="139" w:name="_Ref32504890"/>
      <w:r w:rsidRPr="00BE0C02">
        <w:t xml:space="preserve">In addition, </w:t>
      </w:r>
      <w:r w:rsidR="00B10E5E" w:rsidRPr="00BE0C02">
        <w:t>because ED 297 and ED 295 are complementary – that is, the revised Tier 2 framework is an integral piece of the removal of SPFS</w:t>
      </w:r>
      <w:r w:rsidR="00F7696A" w:rsidRPr="00BE0C02">
        <w:t xml:space="preserve"> –</w:t>
      </w:r>
      <w:r w:rsidR="00B10E5E" w:rsidRPr="00BE0C02">
        <w:t xml:space="preserve"> the Board also considered the comments to ED 295 addressing the effective date, which included in addition to the responses noted above:</w:t>
      </w:r>
      <w:bookmarkEnd w:id="139"/>
    </w:p>
    <w:p w14:paraId="548910C2" w14:textId="230ABCFE" w:rsidR="00B10E5E" w:rsidRPr="00BE0C02" w:rsidRDefault="00B10E5E" w:rsidP="007E6349">
      <w:pPr>
        <w:pStyle w:val="NumBC2"/>
        <w:numPr>
          <w:ilvl w:val="0"/>
          <w:numId w:val="82"/>
        </w:numPr>
        <w:ind w:left="1564" w:hanging="782"/>
      </w:pPr>
      <w:r w:rsidRPr="00BE0C02">
        <w:t xml:space="preserve">that the revised Tier 2 framework should be delayed until the direction of the IASB’s </w:t>
      </w:r>
      <w:r w:rsidRPr="00BE0C02">
        <w:rPr>
          <w:i/>
          <w:iCs/>
        </w:rPr>
        <w:t xml:space="preserve">Subsidiaries that are SMEs </w:t>
      </w:r>
      <w:r w:rsidRPr="00BE0C02">
        <w:t xml:space="preserve">project is finalised, due to the multiple framework changes that could occur if the AASB were to adopt the IASB’s </w:t>
      </w:r>
      <w:r w:rsidR="001F56D2" w:rsidRPr="00BE0C02">
        <w:t>solution shortly after implementing its own simplified disclosure standard</w:t>
      </w:r>
      <w:r w:rsidRPr="00BE0C02">
        <w:t>;</w:t>
      </w:r>
      <w:r w:rsidR="004E58F1" w:rsidRPr="00BE0C02">
        <w:t xml:space="preserve"> and</w:t>
      </w:r>
    </w:p>
    <w:p w14:paraId="151754D0" w14:textId="74F53212" w:rsidR="00B10E5E" w:rsidRPr="00BE0C02" w:rsidRDefault="004E58F1" w:rsidP="007E6349">
      <w:pPr>
        <w:pStyle w:val="NumBC2"/>
        <w:numPr>
          <w:ilvl w:val="0"/>
          <w:numId w:val="82"/>
        </w:numPr>
        <w:ind w:left="1564" w:hanging="782"/>
      </w:pPr>
      <w:r w:rsidRPr="00BE0C02">
        <w:t xml:space="preserve">to </w:t>
      </w:r>
      <w:r w:rsidR="002D746D" w:rsidRPr="00BE0C02">
        <w:t xml:space="preserve">give time for the NZASB to </w:t>
      </w:r>
      <w:r w:rsidR="002F2013" w:rsidRPr="00BE0C02">
        <w:t xml:space="preserve">decide the direction for its own Tier 2 framework in an attempt to retain </w:t>
      </w:r>
      <w:r w:rsidR="005B2F93" w:rsidRPr="00BE0C02">
        <w:t>trans-Tasman convergence for for-profit entities.</w:t>
      </w:r>
    </w:p>
    <w:p w14:paraId="1F4CA85F" w14:textId="39F0D2EC" w:rsidR="005B2F93" w:rsidRPr="00BE0C02" w:rsidRDefault="00C320C9" w:rsidP="007E6349">
      <w:pPr>
        <w:pStyle w:val="NumBC1"/>
        <w:numPr>
          <w:ilvl w:val="0"/>
          <w:numId w:val="27"/>
        </w:numPr>
        <w:ind w:left="782" w:hanging="782"/>
      </w:pPr>
      <w:bookmarkStart w:id="140" w:name="_Ref31550460"/>
      <w:r w:rsidRPr="00BE0C02">
        <w:t xml:space="preserve">The Board considered a range of options </w:t>
      </w:r>
      <w:r w:rsidR="00E72A90" w:rsidRPr="00BE0C02">
        <w:t>to determine the most appropriate solution to balance the urgency of solving the SPFS problem whilst providing sufficient time for stakeholders to transition:</w:t>
      </w:r>
      <w:bookmarkEnd w:id="140"/>
    </w:p>
    <w:tbl>
      <w:tblPr>
        <w:tblStyle w:val="TableGrid"/>
        <w:tblW w:w="0" w:type="auto"/>
        <w:tblLook w:val="04A0" w:firstRow="1" w:lastRow="0" w:firstColumn="1" w:lastColumn="0" w:noHBand="0" w:noVBand="1"/>
        <w:tblCaption w:val="Summary of options"/>
        <w:tblDescription w:val="summary of options"/>
      </w:tblPr>
      <w:tblGrid>
        <w:gridCol w:w="2547"/>
        <w:gridCol w:w="3118"/>
        <w:gridCol w:w="3396"/>
      </w:tblGrid>
      <w:tr w:rsidR="00816585" w:rsidRPr="00BE0C02" w14:paraId="2BA2A42C" w14:textId="77777777" w:rsidTr="005A771E">
        <w:trPr>
          <w:tblHeader/>
        </w:trPr>
        <w:tc>
          <w:tcPr>
            <w:tcW w:w="2547" w:type="dxa"/>
            <w:shd w:val="clear" w:color="auto" w:fill="D9D9D9" w:themeFill="background1" w:themeFillShade="D9"/>
          </w:tcPr>
          <w:p w14:paraId="344EA19D" w14:textId="77777777" w:rsidR="00816585" w:rsidRPr="00BE0C02" w:rsidRDefault="00816585" w:rsidP="003830E9">
            <w:pPr>
              <w:pStyle w:val="StandardPara"/>
              <w:spacing w:after="120"/>
              <w:rPr>
                <w:sz w:val="19"/>
                <w:szCs w:val="19"/>
              </w:rPr>
            </w:pPr>
            <w:r w:rsidRPr="00BE0C02">
              <w:rPr>
                <w:sz w:val="19"/>
                <w:szCs w:val="19"/>
              </w:rPr>
              <w:t>Option</w:t>
            </w:r>
          </w:p>
        </w:tc>
        <w:tc>
          <w:tcPr>
            <w:tcW w:w="3118" w:type="dxa"/>
            <w:shd w:val="clear" w:color="auto" w:fill="D9D9D9" w:themeFill="background1" w:themeFillShade="D9"/>
          </w:tcPr>
          <w:p w14:paraId="479AC0CD" w14:textId="77777777" w:rsidR="00816585" w:rsidRPr="00BE0C02" w:rsidRDefault="00816585" w:rsidP="003830E9">
            <w:pPr>
              <w:pStyle w:val="StandardPara"/>
              <w:spacing w:after="120"/>
              <w:rPr>
                <w:sz w:val="19"/>
                <w:szCs w:val="19"/>
              </w:rPr>
            </w:pPr>
            <w:r w:rsidRPr="00BE0C02">
              <w:rPr>
                <w:bCs/>
                <w:sz w:val="19"/>
                <w:szCs w:val="19"/>
              </w:rPr>
              <w:t>Advantages</w:t>
            </w:r>
          </w:p>
        </w:tc>
        <w:tc>
          <w:tcPr>
            <w:tcW w:w="3396" w:type="dxa"/>
            <w:shd w:val="clear" w:color="auto" w:fill="D9D9D9" w:themeFill="background1" w:themeFillShade="D9"/>
          </w:tcPr>
          <w:p w14:paraId="16E35E3A" w14:textId="77777777" w:rsidR="00816585" w:rsidRPr="00BE0C02" w:rsidRDefault="00816585" w:rsidP="003830E9">
            <w:pPr>
              <w:pStyle w:val="StandardPara"/>
              <w:spacing w:after="120"/>
              <w:rPr>
                <w:sz w:val="19"/>
                <w:szCs w:val="19"/>
              </w:rPr>
            </w:pPr>
            <w:r w:rsidRPr="00BE0C02">
              <w:rPr>
                <w:bCs/>
                <w:sz w:val="19"/>
                <w:szCs w:val="19"/>
              </w:rPr>
              <w:t>Disadvantages</w:t>
            </w:r>
          </w:p>
        </w:tc>
      </w:tr>
      <w:tr w:rsidR="00816585" w:rsidRPr="00BE0C02" w14:paraId="69894092" w14:textId="77777777" w:rsidTr="005A771E">
        <w:tc>
          <w:tcPr>
            <w:tcW w:w="2547" w:type="dxa"/>
          </w:tcPr>
          <w:p w14:paraId="1981024E" w14:textId="64F48D11" w:rsidR="00816585" w:rsidRPr="00BE0C02" w:rsidRDefault="007A0ED9" w:rsidP="002007EC">
            <w:pPr>
              <w:pStyle w:val="NumPlain1"/>
              <w:numPr>
                <w:ilvl w:val="0"/>
                <w:numId w:val="0"/>
              </w:numPr>
              <w:ind w:left="782" w:hanging="782"/>
              <w:jc w:val="left"/>
              <w:rPr>
                <w:b/>
                <w:bCs/>
                <w:szCs w:val="19"/>
              </w:rPr>
            </w:pPr>
            <w:r w:rsidRPr="00BE0C02">
              <w:rPr>
                <w:b/>
                <w:bCs/>
                <w:szCs w:val="19"/>
              </w:rPr>
              <w:t>Option 1</w:t>
            </w:r>
          </w:p>
          <w:p w14:paraId="05422768" w14:textId="77777777" w:rsidR="00816585" w:rsidRPr="00BE0C02" w:rsidRDefault="00816585" w:rsidP="007E6349">
            <w:pPr>
              <w:pStyle w:val="NumPlain1"/>
              <w:numPr>
                <w:ilvl w:val="0"/>
                <w:numId w:val="83"/>
              </w:numPr>
              <w:spacing w:before="0" w:after="120"/>
              <w:jc w:val="left"/>
              <w:rPr>
                <w:szCs w:val="19"/>
              </w:rPr>
            </w:pPr>
            <w:r w:rsidRPr="00BE0C02">
              <w:rPr>
                <w:szCs w:val="19"/>
              </w:rPr>
              <w:t>Effective date of 1 July 2021</w:t>
            </w:r>
          </w:p>
          <w:p w14:paraId="55EE75AE" w14:textId="77777777" w:rsidR="00816585" w:rsidRPr="00BE0C02" w:rsidRDefault="00816585" w:rsidP="007E6349">
            <w:pPr>
              <w:pStyle w:val="NumPlain1"/>
              <w:numPr>
                <w:ilvl w:val="0"/>
                <w:numId w:val="83"/>
              </w:numPr>
              <w:spacing w:before="0" w:after="120"/>
              <w:jc w:val="left"/>
              <w:rPr>
                <w:szCs w:val="19"/>
              </w:rPr>
            </w:pPr>
            <w:r w:rsidRPr="00BE0C02">
              <w:rPr>
                <w:szCs w:val="19"/>
              </w:rPr>
              <w:t xml:space="preserve">Transitional relief available to all entities (R&amp;M compliant and non-compliant) </w:t>
            </w:r>
            <w:r w:rsidRPr="00BE0C02">
              <w:rPr>
                <w:szCs w:val="19"/>
                <w:u w:val="single"/>
              </w:rPr>
              <w:t>which elect to early adopt</w:t>
            </w:r>
            <w:r w:rsidRPr="00BE0C02">
              <w:rPr>
                <w:szCs w:val="19"/>
              </w:rPr>
              <w:t xml:space="preserve"> </w:t>
            </w:r>
          </w:p>
          <w:p w14:paraId="38257731" w14:textId="77777777" w:rsidR="00816585" w:rsidRPr="00BE0C02" w:rsidRDefault="00816585" w:rsidP="007E6349">
            <w:pPr>
              <w:pStyle w:val="NumPlain1"/>
              <w:numPr>
                <w:ilvl w:val="0"/>
                <w:numId w:val="83"/>
              </w:numPr>
              <w:spacing w:before="0" w:after="120"/>
              <w:jc w:val="left"/>
              <w:rPr>
                <w:szCs w:val="19"/>
              </w:rPr>
            </w:pPr>
            <w:r w:rsidRPr="00BE0C02">
              <w:rPr>
                <w:szCs w:val="19"/>
              </w:rPr>
              <w:t>No transitional relief to entities adopting from 1 July 2021</w:t>
            </w:r>
          </w:p>
        </w:tc>
        <w:tc>
          <w:tcPr>
            <w:tcW w:w="3118" w:type="dxa"/>
          </w:tcPr>
          <w:p w14:paraId="105A6A9F" w14:textId="77777777" w:rsidR="00816585" w:rsidRPr="00BE0C02" w:rsidRDefault="00816585" w:rsidP="002007EC">
            <w:pPr>
              <w:pStyle w:val="ListParagraph"/>
              <w:numPr>
                <w:ilvl w:val="0"/>
                <w:numId w:val="85"/>
              </w:numPr>
              <w:pBdr>
                <w:left w:val="none" w:sz="0" w:space="0" w:color="auto"/>
                <w:right w:val="none" w:sz="0" w:space="0" w:color="auto"/>
              </w:pBdr>
              <w:spacing w:before="100" w:after="0"/>
              <w:ind w:left="357" w:hanging="357"/>
              <w:rPr>
                <w:szCs w:val="19"/>
              </w:rPr>
            </w:pPr>
            <w:r w:rsidRPr="00BE0C02">
              <w:rPr>
                <w:szCs w:val="19"/>
              </w:rPr>
              <w:t>Stakeholders will have more time to prepare for the significant change to the financial reporting framework including education and collation of historical information</w:t>
            </w:r>
          </w:p>
          <w:p w14:paraId="77B904BD" w14:textId="77777777" w:rsidR="00816585" w:rsidRPr="00BE0C02" w:rsidRDefault="00816585" w:rsidP="007E6349">
            <w:pPr>
              <w:pStyle w:val="ListParagraph"/>
              <w:numPr>
                <w:ilvl w:val="0"/>
                <w:numId w:val="85"/>
              </w:numPr>
              <w:pBdr>
                <w:left w:val="none" w:sz="0" w:space="0" w:color="auto"/>
                <w:right w:val="none" w:sz="0" w:space="0" w:color="auto"/>
              </w:pBdr>
              <w:spacing w:after="0"/>
              <w:rPr>
                <w:szCs w:val="19"/>
              </w:rPr>
            </w:pPr>
            <w:r w:rsidRPr="00BE0C02">
              <w:rPr>
                <w:szCs w:val="19"/>
              </w:rPr>
              <w:t>Transitional relief may incentivise voluntarily early adoption</w:t>
            </w:r>
          </w:p>
          <w:p w14:paraId="0676B6A5" w14:textId="2FFE8E8D" w:rsidR="00816585" w:rsidRPr="00BE0C02" w:rsidRDefault="00816585" w:rsidP="007E6349">
            <w:pPr>
              <w:pStyle w:val="ListParagraph"/>
              <w:numPr>
                <w:ilvl w:val="0"/>
                <w:numId w:val="85"/>
              </w:numPr>
              <w:pBdr>
                <w:left w:val="none" w:sz="0" w:space="0" w:color="auto"/>
                <w:right w:val="none" w:sz="0" w:space="0" w:color="auto"/>
              </w:pBdr>
              <w:spacing w:after="0"/>
              <w:rPr>
                <w:szCs w:val="19"/>
              </w:rPr>
            </w:pPr>
            <w:r w:rsidRPr="00BE0C02">
              <w:rPr>
                <w:szCs w:val="19"/>
              </w:rPr>
              <w:t>The effective date would be consistent with the AASB’s Due Process Framework that suggest an implementation period of 2 years</w:t>
            </w:r>
          </w:p>
          <w:p w14:paraId="0C742BF5" w14:textId="77777777" w:rsidR="001159FA" w:rsidRPr="00BE0C02" w:rsidRDefault="001159FA" w:rsidP="007E6349">
            <w:pPr>
              <w:pStyle w:val="ListParagraph"/>
              <w:numPr>
                <w:ilvl w:val="0"/>
                <w:numId w:val="85"/>
              </w:numPr>
              <w:pBdr>
                <w:left w:val="none" w:sz="0" w:space="0" w:color="auto"/>
                <w:right w:val="none" w:sz="0" w:space="0" w:color="auto"/>
              </w:pBdr>
              <w:spacing w:after="0"/>
              <w:rPr>
                <w:szCs w:val="19"/>
              </w:rPr>
            </w:pPr>
            <w:r w:rsidRPr="00BE0C02">
              <w:rPr>
                <w:szCs w:val="19"/>
              </w:rPr>
              <w:lastRenderedPageBreak/>
              <w:t>Retaining transitional relief for those that early adopt provides an incentive to transition in a timely manner</w:t>
            </w:r>
          </w:p>
          <w:p w14:paraId="0FF7C298" w14:textId="7C067EFE" w:rsidR="000C04EE" w:rsidRPr="00BE0C02" w:rsidRDefault="000C04EE" w:rsidP="00C739F9">
            <w:pPr>
              <w:pStyle w:val="ListParagraph"/>
              <w:numPr>
                <w:ilvl w:val="0"/>
                <w:numId w:val="85"/>
              </w:numPr>
              <w:pBdr>
                <w:left w:val="none" w:sz="0" w:space="0" w:color="auto"/>
                <w:right w:val="none" w:sz="0" w:space="0" w:color="auto"/>
              </w:pBdr>
              <w:spacing w:after="0"/>
              <w:rPr>
                <w:szCs w:val="19"/>
              </w:rPr>
            </w:pPr>
            <w:r w:rsidRPr="00BE0C02">
              <w:rPr>
                <w:szCs w:val="19"/>
              </w:rPr>
              <w:t>Software providers have expressed concerns about their ability to create templates in a timely manner and also the presentation of ‘mixed’ comparatives</w:t>
            </w:r>
          </w:p>
        </w:tc>
        <w:tc>
          <w:tcPr>
            <w:tcW w:w="3396" w:type="dxa"/>
          </w:tcPr>
          <w:p w14:paraId="6F6C055D" w14:textId="77B6C473" w:rsidR="00816585" w:rsidRPr="00BE0C02" w:rsidRDefault="00816585" w:rsidP="002007EC">
            <w:pPr>
              <w:pStyle w:val="ListParagraph"/>
              <w:numPr>
                <w:ilvl w:val="0"/>
                <w:numId w:val="85"/>
              </w:numPr>
              <w:pBdr>
                <w:left w:val="none" w:sz="0" w:space="0" w:color="auto"/>
                <w:right w:val="none" w:sz="0" w:space="0" w:color="auto"/>
              </w:pBdr>
              <w:spacing w:before="100" w:after="0"/>
              <w:ind w:left="357" w:hanging="357"/>
              <w:contextualSpacing w:val="0"/>
              <w:rPr>
                <w:szCs w:val="19"/>
              </w:rPr>
            </w:pPr>
            <w:r w:rsidRPr="00BE0C02">
              <w:rPr>
                <w:szCs w:val="19"/>
              </w:rPr>
              <w:lastRenderedPageBreak/>
              <w:t xml:space="preserve">Effective date would not be aligned with the change in proprietary company thresholds.  Large </w:t>
            </w:r>
            <w:r w:rsidR="001474B3" w:rsidRPr="00BE0C02">
              <w:rPr>
                <w:szCs w:val="19"/>
              </w:rPr>
              <w:t xml:space="preserve">proprietary </w:t>
            </w:r>
            <w:r w:rsidRPr="00BE0C02">
              <w:rPr>
                <w:szCs w:val="19"/>
              </w:rPr>
              <w:t xml:space="preserve">companies would likely need to prepare GPFS prior to the effective date to be consistent with Treasury’s expectations regarding GPFS financial report by large </w:t>
            </w:r>
            <w:r w:rsidR="001474B3" w:rsidRPr="00BE0C02">
              <w:rPr>
                <w:szCs w:val="19"/>
              </w:rPr>
              <w:t xml:space="preserve">proprietary </w:t>
            </w:r>
            <w:r w:rsidRPr="00BE0C02">
              <w:rPr>
                <w:szCs w:val="19"/>
              </w:rPr>
              <w:t>companies</w:t>
            </w:r>
          </w:p>
          <w:p w14:paraId="1E16BE25" w14:textId="77777777" w:rsidR="00816585" w:rsidRPr="00BE0C02" w:rsidRDefault="00816585" w:rsidP="007E6349">
            <w:pPr>
              <w:pStyle w:val="ListParagraph"/>
              <w:numPr>
                <w:ilvl w:val="0"/>
                <w:numId w:val="85"/>
              </w:numPr>
              <w:pBdr>
                <w:left w:val="none" w:sz="0" w:space="0" w:color="auto"/>
                <w:right w:val="none" w:sz="0" w:space="0" w:color="auto"/>
              </w:pBdr>
              <w:spacing w:after="0"/>
              <w:rPr>
                <w:szCs w:val="19"/>
              </w:rPr>
            </w:pPr>
            <w:r w:rsidRPr="00BE0C02">
              <w:rPr>
                <w:szCs w:val="19"/>
              </w:rPr>
              <w:t xml:space="preserve">There is a strong desire for transparent and high-quality financial statements. The recent parliamentary inquiry highlighted even more the need for change in </w:t>
            </w:r>
            <w:r w:rsidRPr="00BE0C02">
              <w:rPr>
                <w:szCs w:val="19"/>
              </w:rPr>
              <w:lastRenderedPageBreak/>
              <w:t>financial reporting.  Delaying the effective date is inconsistent with this</w:t>
            </w:r>
          </w:p>
        </w:tc>
      </w:tr>
      <w:tr w:rsidR="00816585" w:rsidRPr="00BE0C02" w14:paraId="756A2C37" w14:textId="77777777" w:rsidTr="005A771E">
        <w:tc>
          <w:tcPr>
            <w:tcW w:w="2547" w:type="dxa"/>
          </w:tcPr>
          <w:p w14:paraId="69642ED2" w14:textId="769C4AF5" w:rsidR="00101DCF" w:rsidRPr="00BE0C02" w:rsidRDefault="00101DCF" w:rsidP="00412F69">
            <w:pPr>
              <w:pStyle w:val="NumPlain1"/>
              <w:numPr>
                <w:ilvl w:val="0"/>
                <w:numId w:val="0"/>
              </w:numPr>
              <w:ind w:left="782" w:hanging="782"/>
              <w:jc w:val="left"/>
              <w:rPr>
                <w:b/>
                <w:bCs/>
                <w:szCs w:val="19"/>
              </w:rPr>
            </w:pPr>
            <w:r w:rsidRPr="00BE0C02">
              <w:rPr>
                <w:b/>
                <w:bCs/>
                <w:szCs w:val="19"/>
              </w:rPr>
              <w:lastRenderedPageBreak/>
              <w:t>Option 2</w:t>
            </w:r>
          </w:p>
          <w:p w14:paraId="517F048B" w14:textId="3DEA87B0" w:rsidR="00816585" w:rsidRPr="00BE0C02" w:rsidRDefault="00816585" w:rsidP="00101DCF">
            <w:pPr>
              <w:pStyle w:val="NumPlain1"/>
              <w:numPr>
                <w:ilvl w:val="0"/>
                <w:numId w:val="0"/>
              </w:numPr>
              <w:spacing w:before="0" w:after="120"/>
              <w:jc w:val="left"/>
              <w:rPr>
                <w:szCs w:val="19"/>
              </w:rPr>
            </w:pPr>
            <w:r w:rsidRPr="00BE0C02">
              <w:rPr>
                <w:szCs w:val="19"/>
              </w:rPr>
              <w:t>No change to transitional relief and effective date</w:t>
            </w:r>
          </w:p>
        </w:tc>
        <w:tc>
          <w:tcPr>
            <w:tcW w:w="3118" w:type="dxa"/>
          </w:tcPr>
          <w:p w14:paraId="10DE2ABB" w14:textId="77777777" w:rsidR="00816585" w:rsidRPr="00BE0C02" w:rsidRDefault="00816585" w:rsidP="00412F69">
            <w:pPr>
              <w:pStyle w:val="ListParagraph"/>
              <w:numPr>
                <w:ilvl w:val="0"/>
                <w:numId w:val="85"/>
              </w:numPr>
              <w:pBdr>
                <w:left w:val="none" w:sz="0" w:space="0" w:color="auto"/>
                <w:right w:val="none" w:sz="0" w:space="0" w:color="auto"/>
              </w:pBdr>
              <w:spacing w:before="100" w:after="0"/>
              <w:ind w:left="357" w:hanging="357"/>
              <w:rPr>
                <w:szCs w:val="19"/>
              </w:rPr>
            </w:pPr>
            <w:r w:rsidRPr="00BE0C02">
              <w:rPr>
                <w:szCs w:val="19"/>
              </w:rPr>
              <w:t>Effective date would be aligned with the change in proprietary company thresholds</w:t>
            </w:r>
          </w:p>
          <w:p w14:paraId="3CAF94B9" w14:textId="77777777" w:rsidR="00816585" w:rsidRPr="00BE0C02" w:rsidRDefault="00816585" w:rsidP="007E6349">
            <w:pPr>
              <w:pStyle w:val="ListParagraph"/>
              <w:numPr>
                <w:ilvl w:val="0"/>
                <w:numId w:val="85"/>
              </w:numPr>
              <w:pBdr>
                <w:left w:val="none" w:sz="0" w:space="0" w:color="auto"/>
                <w:right w:val="none" w:sz="0" w:space="0" w:color="auto"/>
              </w:pBdr>
              <w:spacing w:after="0"/>
              <w:rPr>
                <w:szCs w:val="19"/>
              </w:rPr>
            </w:pPr>
            <w:r w:rsidRPr="00BE0C02">
              <w:rPr>
                <w:szCs w:val="19"/>
              </w:rPr>
              <w:t>The project will be completed more quickly, therefore responding to the strong desire for transparent and high-quality financial statements and recent parliamentary inquiry</w:t>
            </w:r>
          </w:p>
          <w:p w14:paraId="361A006E" w14:textId="5FAEC8BB" w:rsidR="00C739F9" w:rsidRPr="00BE0C02" w:rsidRDefault="00B20D14" w:rsidP="007E6349">
            <w:pPr>
              <w:pStyle w:val="ListParagraph"/>
              <w:numPr>
                <w:ilvl w:val="0"/>
                <w:numId w:val="85"/>
              </w:numPr>
              <w:pBdr>
                <w:left w:val="none" w:sz="0" w:space="0" w:color="auto"/>
                <w:right w:val="none" w:sz="0" w:space="0" w:color="auto"/>
              </w:pBdr>
              <w:spacing w:after="0"/>
              <w:rPr>
                <w:szCs w:val="19"/>
              </w:rPr>
            </w:pPr>
            <w:r w:rsidRPr="00BE0C02">
              <w:rPr>
                <w:szCs w:val="19"/>
              </w:rPr>
              <w:t>T</w:t>
            </w:r>
            <w:r w:rsidR="00C739F9" w:rsidRPr="00BE0C02">
              <w:rPr>
                <w:szCs w:val="19"/>
              </w:rPr>
              <w:t>here are only a maximum of 7,295 entities expected to be effected, and with the effect for the majority of these entities (5,589) expected to be limited to providing additional disclosures only coupled with the transitional relief an earlier effective date was considered reasonable</w:t>
            </w:r>
          </w:p>
        </w:tc>
        <w:tc>
          <w:tcPr>
            <w:tcW w:w="3396" w:type="dxa"/>
          </w:tcPr>
          <w:p w14:paraId="1E8F5427" w14:textId="52543649" w:rsidR="00816585" w:rsidRPr="00BE0C02" w:rsidRDefault="00816585" w:rsidP="00412F69">
            <w:pPr>
              <w:pStyle w:val="ListParagraph"/>
              <w:numPr>
                <w:ilvl w:val="0"/>
                <w:numId w:val="85"/>
              </w:numPr>
              <w:pBdr>
                <w:left w:val="none" w:sz="0" w:space="0" w:color="auto"/>
                <w:right w:val="none" w:sz="0" w:space="0" w:color="auto"/>
              </w:pBdr>
              <w:spacing w:before="100" w:after="0"/>
              <w:ind w:left="357" w:hanging="357"/>
              <w:contextualSpacing w:val="0"/>
              <w:rPr>
                <w:szCs w:val="19"/>
              </w:rPr>
            </w:pPr>
            <w:r w:rsidRPr="00BE0C02">
              <w:rPr>
                <w:szCs w:val="19"/>
              </w:rPr>
              <w:t>Stakeholders are concerned they do not have sufficient time to prepare for such a significant change to the financial reporting framework including education and collation of historical information</w:t>
            </w:r>
            <w:r w:rsidR="007B2213" w:rsidRPr="00BE0C02">
              <w:rPr>
                <w:szCs w:val="19"/>
              </w:rPr>
              <w:t xml:space="preserve">.  However, research strongly suggests that deferring the effective date of new standards does not necessarily result in entities using the extended lead time to better prepare for the new requirements, instead it is often used to </w:t>
            </w:r>
            <w:r w:rsidR="0027563B" w:rsidRPr="00BE0C02">
              <w:rPr>
                <w:szCs w:val="19"/>
              </w:rPr>
              <w:t xml:space="preserve">delay </w:t>
            </w:r>
            <w:r w:rsidR="007B2213" w:rsidRPr="00BE0C02">
              <w:rPr>
                <w:szCs w:val="19"/>
              </w:rPr>
              <w:t>starting to prepare.</w:t>
            </w:r>
            <w:r w:rsidR="00EA0C1B" w:rsidRPr="00B73129">
              <w:rPr>
                <w:rStyle w:val="FootnoteReference"/>
                <w:rFonts w:asciiTheme="minorHAnsi" w:hAnsiTheme="minorHAnsi" w:cstheme="minorHAnsi"/>
                <w:sz w:val="22"/>
                <w:szCs w:val="22"/>
              </w:rPr>
              <w:footnoteReference w:id="45"/>
            </w:r>
            <w:r w:rsidR="007B2213" w:rsidRPr="00BE0C02">
              <w:rPr>
                <w:szCs w:val="19"/>
              </w:rPr>
              <w:t xml:space="preserve">   </w:t>
            </w:r>
          </w:p>
          <w:p w14:paraId="7B9C2DFD" w14:textId="77777777" w:rsidR="00816585" w:rsidRPr="00BE0C02" w:rsidRDefault="00816585" w:rsidP="007E6349">
            <w:pPr>
              <w:pStyle w:val="ListParagraph"/>
              <w:numPr>
                <w:ilvl w:val="0"/>
                <w:numId w:val="85"/>
              </w:numPr>
              <w:pBdr>
                <w:left w:val="none" w:sz="0" w:space="0" w:color="auto"/>
                <w:right w:val="none" w:sz="0" w:space="0" w:color="auto"/>
              </w:pBdr>
              <w:spacing w:after="0"/>
              <w:rPr>
                <w:szCs w:val="19"/>
              </w:rPr>
            </w:pPr>
            <w:r w:rsidRPr="00BE0C02">
              <w:rPr>
                <w:szCs w:val="19"/>
              </w:rPr>
              <w:t>Software providers have expressed concerns about their ability to create templates in a timely manner and also the presentation of ‘mixed’ comparatives</w:t>
            </w:r>
          </w:p>
          <w:p w14:paraId="319D2A3D" w14:textId="58ECCD8D" w:rsidR="00816585" w:rsidRPr="00BE0C02" w:rsidRDefault="00816585" w:rsidP="007E6349">
            <w:pPr>
              <w:pStyle w:val="ListParagraph"/>
              <w:numPr>
                <w:ilvl w:val="0"/>
                <w:numId w:val="85"/>
              </w:numPr>
              <w:pBdr>
                <w:left w:val="none" w:sz="0" w:space="0" w:color="auto"/>
                <w:right w:val="none" w:sz="0" w:space="0" w:color="auto"/>
              </w:pBdr>
              <w:spacing w:after="0"/>
              <w:rPr>
                <w:szCs w:val="19"/>
              </w:rPr>
            </w:pPr>
            <w:r w:rsidRPr="00BE0C02">
              <w:rPr>
                <w:szCs w:val="19"/>
              </w:rPr>
              <w:t>The effective date is not consistent with the AASB’s Due Process Framework that suggest an implementation period of 2 years</w:t>
            </w:r>
          </w:p>
        </w:tc>
      </w:tr>
      <w:tr w:rsidR="00816585" w:rsidRPr="00BE0C02" w14:paraId="68E5F06E" w14:textId="77777777" w:rsidTr="006A01C0">
        <w:tc>
          <w:tcPr>
            <w:tcW w:w="2547" w:type="dxa"/>
            <w:tcBorders>
              <w:bottom w:val="single" w:sz="4" w:space="0" w:color="auto"/>
            </w:tcBorders>
          </w:tcPr>
          <w:p w14:paraId="052F33D1" w14:textId="780BC985" w:rsidR="00816585" w:rsidRPr="00BE0C02" w:rsidRDefault="00101DCF" w:rsidP="00412F69">
            <w:pPr>
              <w:pStyle w:val="NumPlain1"/>
              <w:numPr>
                <w:ilvl w:val="0"/>
                <w:numId w:val="0"/>
              </w:numPr>
              <w:ind w:left="782" w:hanging="782"/>
              <w:jc w:val="left"/>
              <w:rPr>
                <w:b/>
                <w:bCs/>
                <w:szCs w:val="19"/>
              </w:rPr>
            </w:pPr>
            <w:r w:rsidRPr="00BE0C02">
              <w:rPr>
                <w:b/>
                <w:bCs/>
                <w:szCs w:val="19"/>
              </w:rPr>
              <w:t>Option 3</w:t>
            </w:r>
          </w:p>
          <w:p w14:paraId="7EE399E3" w14:textId="77777777" w:rsidR="00816585" w:rsidRPr="00BE0C02" w:rsidRDefault="00816585" w:rsidP="007E6349">
            <w:pPr>
              <w:pStyle w:val="NumPlain1"/>
              <w:numPr>
                <w:ilvl w:val="0"/>
                <w:numId w:val="84"/>
              </w:numPr>
              <w:spacing w:before="0" w:after="120"/>
              <w:jc w:val="left"/>
              <w:rPr>
                <w:szCs w:val="19"/>
              </w:rPr>
            </w:pPr>
            <w:r w:rsidRPr="00BE0C02">
              <w:rPr>
                <w:szCs w:val="19"/>
              </w:rPr>
              <w:t>Effective date of 1 July 2021</w:t>
            </w:r>
          </w:p>
          <w:p w14:paraId="7C9385CF" w14:textId="77777777" w:rsidR="00816585" w:rsidRPr="00BE0C02" w:rsidRDefault="00816585" w:rsidP="007E6349">
            <w:pPr>
              <w:pStyle w:val="NumPlain1"/>
              <w:numPr>
                <w:ilvl w:val="0"/>
                <w:numId w:val="84"/>
              </w:numPr>
              <w:spacing w:before="0" w:after="120"/>
              <w:jc w:val="left"/>
              <w:rPr>
                <w:szCs w:val="19"/>
              </w:rPr>
            </w:pPr>
            <w:r w:rsidRPr="00BE0C02">
              <w:rPr>
                <w:szCs w:val="19"/>
              </w:rPr>
              <w:t>No transitional relief</w:t>
            </w:r>
          </w:p>
        </w:tc>
        <w:tc>
          <w:tcPr>
            <w:tcW w:w="3118" w:type="dxa"/>
            <w:tcBorders>
              <w:bottom w:val="single" w:sz="4" w:space="0" w:color="auto"/>
            </w:tcBorders>
          </w:tcPr>
          <w:p w14:paraId="7F42C0E4" w14:textId="79141AA6" w:rsidR="00F368FA" w:rsidRPr="00BE0C02" w:rsidRDefault="00F368FA" w:rsidP="00412F69">
            <w:pPr>
              <w:pStyle w:val="ListParagraph"/>
              <w:numPr>
                <w:ilvl w:val="0"/>
                <w:numId w:val="85"/>
              </w:numPr>
              <w:pBdr>
                <w:left w:val="none" w:sz="0" w:space="0" w:color="auto"/>
                <w:right w:val="none" w:sz="0" w:space="0" w:color="auto"/>
              </w:pBdr>
              <w:spacing w:before="100" w:after="0"/>
              <w:ind w:left="357" w:hanging="357"/>
              <w:contextualSpacing w:val="0"/>
              <w:rPr>
                <w:szCs w:val="19"/>
              </w:rPr>
            </w:pPr>
            <w:r w:rsidRPr="00BE0C02">
              <w:rPr>
                <w:szCs w:val="19"/>
              </w:rPr>
              <w:t>Similar as those for Option 1 above</w:t>
            </w:r>
          </w:p>
          <w:p w14:paraId="62E8A9F7" w14:textId="6510E369" w:rsidR="00816585" w:rsidRPr="00BE0C02" w:rsidRDefault="00F368FA" w:rsidP="007E6349">
            <w:pPr>
              <w:pStyle w:val="ListParagraph"/>
              <w:numPr>
                <w:ilvl w:val="0"/>
                <w:numId w:val="85"/>
              </w:numPr>
              <w:pBdr>
                <w:left w:val="none" w:sz="0" w:space="0" w:color="auto"/>
                <w:right w:val="none" w:sz="0" w:space="0" w:color="auto"/>
              </w:pBdr>
              <w:spacing w:after="0"/>
              <w:rPr>
                <w:szCs w:val="19"/>
              </w:rPr>
            </w:pPr>
            <w:r w:rsidRPr="00BE0C02">
              <w:rPr>
                <w:szCs w:val="19"/>
              </w:rPr>
              <w:t>Transition requirements would be consistent with those applied by SGEs</w:t>
            </w:r>
          </w:p>
        </w:tc>
        <w:tc>
          <w:tcPr>
            <w:tcW w:w="3396" w:type="dxa"/>
            <w:tcBorders>
              <w:bottom w:val="single" w:sz="4" w:space="0" w:color="auto"/>
            </w:tcBorders>
          </w:tcPr>
          <w:p w14:paraId="3C364D2B" w14:textId="1A1880F7" w:rsidR="005D2184" w:rsidRPr="00BE0C02" w:rsidRDefault="005D2184" w:rsidP="00412F69">
            <w:pPr>
              <w:pStyle w:val="ListParagraph"/>
              <w:numPr>
                <w:ilvl w:val="0"/>
                <w:numId w:val="85"/>
              </w:numPr>
              <w:pBdr>
                <w:left w:val="none" w:sz="0" w:space="0" w:color="auto"/>
                <w:right w:val="none" w:sz="0" w:space="0" w:color="auto"/>
              </w:pBdr>
              <w:spacing w:before="100" w:after="0"/>
              <w:ind w:left="357" w:hanging="357"/>
              <w:contextualSpacing w:val="0"/>
              <w:rPr>
                <w:szCs w:val="19"/>
              </w:rPr>
            </w:pPr>
            <w:r w:rsidRPr="00BE0C02">
              <w:rPr>
                <w:szCs w:val="19"/>
              </w:rPr>
              <w:t xml:space="preserve">Similar as those for Option 1 above </w:t>
            </w:r>
          </w:p>
          <w:p w14:paraId="686E41FA" w14:textId="07E3CEDE" w:rsidR="00816585" w:rsidRPr="00BE0C02" w:rsidRDefault="005D2184" w:rsidP="007E6349">
            <w:pPr>
              <w:pStyle w:val="ListParagraph"/>
              <w:numPr>
                <w:ilvl w:val="0"/>
                <w:numId w:val="85"/>
              </w:numPr>
              <w:pBdr>
                <w:left w:val="none" w:sz="0" w:space="0" w:color="auto"/>
                <w:right w:val="none" w:sz="0" w:space="0" w:color="auto"/>
              </w:pBdr>
              <w:spacing w:after="0"/>
              <w:rPr>
                <w:szCs w:val="19"/>
              </w:rPr>
            </w:pPr>
            <w:r w:rsidRPr="00BE0C02">
              <w:rPr>
                <w:szCs w:val="19"/>
              </w:rPr>
              <w:t>There is no incentive for entities to early adopt</w:t>
            </w:r>
          </w:p>
        </w:tc>
      </w:tr>
      <w:tr w:rsidR="006A01C0" w:rsidRPr="00BE0C02" w14:paraId="5B5A2D93" w14:textId="77777777" w:rsidTr="006A01C0">
        <w:tc>
          <w:tcPr>
            <w:tcW w:w="2547" w:type="dxa"/>
            <w:tcBorders>
              <w:bottom w:val="single" w:sz="4" w:space="0" w:color="auto"/>
            </w:tcBorders>
          </w:tcPr>
          <w:p w14:paraId="5C69543B" w14:textId="77777777" w:rsidR="006A01C0" w:rsidRPr="00BE0C02" w:rsidRDefault="006A01C0" w:rsidP="006A01C0">
            <w:pPr>
              <w:pStyle w:val="NumPlain1"/>
              <w:numPr>
                <w:ilvl w:val="0"/>
                <w:numId w:val="0"/>
              </w:numPr>
              <w:ind w:left="782" w:hanging="782"/>
              <w:jc w:val="left"/>
              <w:rPr>
                <w:b/>
                <w:bCs/>
                <w:szCs w:val="19"/>
              </w:rPr>
            </w:pPr>
            <w:r w:rsidRPr="00BE0C02">
              <w:rPr>
                <w:b/>
                <w:bCs/>
                <w:szCs w:val="19"/>
              </w:rPr>
              <w:t>Option 4</w:t>
            </w:r>
          </w:p>
          <w:p w14:paraId="0C722E1A" w14:textId="4FD14D06" w:rsidR="006A01C0" w:rsidRPr="00BE0C02" w:rsidRDefault="006A01C0" w:rsidP="006A01C0">
            <w:pPr>
              <w:pStyle w:val="NumPlain1"/>
              <w:numPr>
                <w:ilvl w:val="0"/>
                <w:numId w:val="84"/>
              </w:numPr>
              <w:spacing w:before="0" w:after="120"/>
              <w:jc w:val="left"/>
              <w:rPr>
                <w:b/>
                <w:bCs/>
                <w:szCs w:val="19"/>
              </w:rPr>
            </w:pPr>
            <w:r w:rsidRPr="00BE0C02">
              <w:rPr>
                <w:szCs w:val="19"/>
              </w:rPr>
              <w:t>Extend the effective date of both standards to 1 July 2021 with the transitional relief applicable only to entities’ first time consolidation</w:t>
            </w:r>
          </w:p>
        </w:tc>
        <w:tc>
          <w:tcPr>
            <w:tcW w:w="3118" w:type="dxa"/>
            <w:tcBorders>
              <w:bottom w:val="single" w:sz="4" w:space="0" w:color="auto"/>
            </w:tcBorders>
          </w:tcPr>
          <w:p w14:paraId="1A951A90" w14:textId="77777777" w:rsidR="006A01C0" w:rsidRPr="00BE0C02" w:rsidRDefault="006A01C0" w:rsidP="006A01C0">
            <w:pPr>
              <w:pStyle w:val="ListParagraph"/>
              <w:numPr>
                <w:ilvl w:val="0"/>
                <w:numId w:val="85"/>
              </w:numPr>
              <w:pBdr>
                <w:left w:val="none" w:sz="0" w:space="0" w:color="auto"/>
                <w:right w:val="none" w:sz="0" w:space="0" w:color="auto"/>
              </w:pBdr>
              <w:spacing w:before="100" w:after="0"/>
              <w:ind w:left="357" w:hanging="357"/>
              <w:contextualSpacing w:val="0"/>
              <w:rPr>
                <w:szCs w:val="19"/>
              </w:rPr>
            </w:pPr>
            <w:r w:rsidRPr="00BE0C02">
              <w:rPr>
                <w:szCs w:val="19"/>
              </w:rPr>
              <w:t>Similar as those for Option 1 above</w:t>
            </w:r>
          </w:p>
          <w:p w14:paraId="135F487B" w14:textId="6528CD7E" w:rsidR="006A01C0" w:rsidRPr="00BE0C02" w:rsidRDefault="006A01C0" w:rsidP="006A01C0">
            <w:pPr>
              <w:pStyle w:val="ListParagraph"/>
              <w:numPr>
                <w:ilvl w:val="0"/>
                <w:numId w:val="85"/>
              </w:numPr>
              <w:pBdr>
                <w:left w:val="none" w:sz="0" w:space="0" w:color="auto"/>
                <w:right w:val="none" w:sz="0" w:space="0" w:color="auto"/>
              </w:pBdr>
              <w:spacing w:before="100" w:after="0"/>
              <w:ind w:left="357" w:hanging="357"/>
              <w:contextualSpacing w:val="0"/>
              <w:rPr>
                <w:szCs w:val="19"/>
              </w:rPr>
            </w:pPr>
            <w:r w:rsidRPr="00BE0C02">
              <w:rPr>
                <w:szCs w:val="19"/>
              </w:rPr>
              <w:t>Research Report 12 does not address the number of financial reports which were presented on a consolidated or separate basis, it is difficult to quantify the number of affected entities. As such the entities preparing first time consolidation would be given extra time to prepare for any changes that might be required</w:t>
            </w:r>
          </w:p>
        </w:tc>
        <w:tc>
          <w:tcPr>
            <w:tcW w:w="3396" w:type="dxa"/>
            <w:tcBorders>
              <w:bottom w:val="single" w:sz="4" w:space="0" w:color="auto"/>
            </w:tcBorders>
          </w:tcPr>
          <w:p w14:paraId="496C5087" w14:textId="76D184A8" w:rsidR="006A01C0" w:rsidRPr="00BE0C02" w:rsidRDefault="006A01C0" w:rsidP="00412F69">
            <w:pPr>
              <w:pStyle w:val="ListParagraph"/>
              <w:numPr>
                <w:ilvl w:val="0"/>
                <w:numId w:val="85"/>
              </w:numPr>
              <w:pBdr>
                <w:left w:val="none" w:sz="0" w:space="0" w:color="auto"/>
                <w:right w:val="none" w:sz="0" w:space="0" w:color="auto"/>
              </w:pBdr>
              <w:spacing w:before="100" w:after="0"/>
              <w:ind w:left="357" w:hanging="357"/>
              <w:contextualSpacing w:val="0"/>
              <w:rPr>
                <w:szCs w:val="19"/>
              </w:rPr>
            </w:pPr>
            <w:r w:rsidRPr="00BE0C02">
              <w:rPr>
                <w:szCs w:val="19"/>
              </w:rPr>
              <w:t>Disadvantages of deferred effective date similar as for Option 1 above</w:t>
            </w:r>
          </w:p>
        </w:tc>
      </w:tr>
      <w:tr w:rsidR="00816585" w:rsidRPr="00BE0C02" w14:paraId="39CC0A63" w14:textId="77777777" w:rsidTr="006A01C0">
        <w:tc>
          <w:tcPr>
            <w:tcW w:w="2547" w:type="dxa"/>
            <w:tcBorders>
              <w:top w:val="single" w:sz="4" w:space="0" w:color="auto"/>
            </w:tcBorders>
          </w:tcPr>
          <w:p w14:paraId="5C2E0693" w14:textId="3025C343" w:rsidR="00101DCF" w:rsidRPr="00BE0C02" w:rsidRDefault="00101DCF" w:rsidP="00412F69">
            <w:pPr>
              <w:pStyle w:val="NumPlain1"/>
              <w:numPr>
                <w:ilvl w:val="0"/>
                <w:numId w:val="0"/>
              </w:numPr>
              <w:ind w:left="782" w:hanging="782"/>
              <w:jc w:val="left"/>
              <w:rPr>
                <w:b/>
                <w:bCs/>
                <w:szCs w:val="19"/>
              </w:rPr>
            </w:pPr>
            <w:bookmarkStart w:id="141" w:name="_Ref30409233"/>
            <w:r w:rsidRPr="00BE0C02">
              <w:rPr>
                <w:b/>
                <w:bCs/>
                <w:szCs w:val="19"/>
              </w:rPr>
              <w:t>Option 5</w:t>
            </w:r>
          </w:p>
          <w:p w14:paraId="2667FD3E" w14:textId="33C0BE8D" w:rsidR="00816585" w:rsidRPr="00BE0C02" w:rsidRDefault="00816585" w:rsidP="00101DCF">
            <w:pPr>
              <w:pStyle w:val="NumPlain1"/>
              <w:numPr>
                <w:ilvl w:val="0"/>
                <w:numId w:val="0"/>
              </w:numPr>
              <w:spacing w:before="0" w:after="120"/>
              <w:ind w:left="782" w:hanging="782"/>
              <w:jc w:val="left"/>
              <w:rPr>
                <w:szCs w:val="19"/>
              </w:rPr>
            </w:pPr>
            <w:r w:rsidRPr="00BE0C02">
              <w:rPr>
                <w:szCs w:val="19"/>
              </w:rPr>
              <w:t xml:space="preserve">Staggered implementation </w:t>
            </w:r>
          </w:p>
          <w:p w14:paraId="7E6B0A10" w14:textId="5663FAC1" w:rsidR="00816585" w:rsidRPr="00BE0C02" w:rsidRDefault="00816585" w:rsidP="007E6349">
            <w:pPr>
              <w:pStyle w:val="ListParagraph"/>
              <w:numPr>
                <w:ilvl w:val="0"/>
                <w:numId w:val="85"/>
              </w:numPr>
              <w:pBdr>
                <w:left w:val="none" w:sz="0" w:space="0" w:color="auto"/>
                <w:right w:val="none" w:sz="0" w:space="0" w:color="auto"/>
              </w:pBdr>
              <w:spacing w:after="0"/>
              <w:rPr>
                <w:szCs w:val="19"/>
              </w:rPr>
            </w:pPr>
            <w:r w:rsidRPr="00BE0C02">
              <w:rPr>
                <w:szCs w:val="19"/>
              </w:rPr>
              <w:t xml:space="preserve">Corporations Act entities to apply the </w:t>
            </w:r>
            <w:r w:rsidR="00D43B62" w:rsidRPr="00BE0C02">
              <w:rPr>
                <w:szCs w:val="19"/>
              </w:rPr>
              <w:t xml:space="preserve">requirements </w:t>
            </w:r>
            <w:r w:rsidRPr="00BE0C02">
              <w:rPr>
                <w:szCs w:val="19"/>
              </w:rPr>
              <w:t>in year one</w:t>
            </w:r>
          </w:p>
          <w:p w14:paraId="6B6E0025" w14:textId="257A3510" w:rsidR="00816585" w:rsidRPr="00BE0C02" w:rsidRDefault="00816585" w:rsidP="007E6349">
            <w:pPr>
              <w:pStyle w:val="ListParagraph"/>
              <w:numPr>
                <w:ilvl w:val="0"/>
                <w:numId w:val="85"/>
              </w:numPr>
              <w:pBdr>
                <w:left w:val="none" w:sz="0" w:space="0" w:color="auto"/>
                <w:right w:val="none" w:sz="0" w:space="0" w:color="auto"/>
              </w:pBdr>
              <w:spacing w:after="0"/>
              <w:rPr>
                <w:szCs w:val="19"/>
              </w:rPr>
            </w:pPr>
            <w:r w:rsidRPr="00BE0C02">
              <w:rPr>
                <w:szCs w:val="19"/>
              </w:rPr>
              <w:lastRenderedPageBreak/>
              <w:t>Effective date deferred by a further year for all other entities in scope</w:t>
            </w:r>
            <w:bookmarkEnd w:id="141"/>
          </w:p>
        </w:tc>
        <w:tc>
          <w:tcPr>
            <w:tcW w:w="3118" w:type="dxa"/>
            <w:tcBorders>
              <w:top w:val="single" w:sz="4" w:space="0" w:color="auto"/>
            </w:tcBorders>
          </w:tcPr>
          <w:p w14:paraId="28AADCB9" w14:textId="163E4BA7" w:rsidR="007B147E" w:rsidRPr="00BE0C02" w:rsidRDefault="00816585" w:rsidP="00412F69">
            <w:pPr>
              <w:pStyle w:val="ListParagraph"/>
              <w:numPr>
                <w:ilvl w:val="0"/>
                <w:numId w:val="85"/>
              </w:numPr>
              <w:pBdr>
                <w:left w:val="none" w:sz="0" w:space="0" w:color="auto"/>
                <w:right w:val="none" w:sz="0" w:space="0" w:color="auto"/>
              </w:pBdr>
              <w:spacing w:before="100" w:after="0"/>
              <w:ind w:left="357" w:hanging="357"/>
              <w:contextualSpacing w:val="0"/>
              <w:rPr>
                <w:szCs w:val="19"/>
              </w:rPr>
            </w:pPr>
            <w:r w:rsidRPr="00BE0C02">
              <w:rPr>
                <w:szCs w:val="19"/>
              </w:rPr>
              <w:lastRenderedPageBreak/>
              <w:t>Effective date would be aligned with the change in proprietary company thresholds</w:t>
            </w:r>
            <w:r w:rsidR="007B147E" w:rsidRPr="00BE0C02">
              <w:rPr>
                <w:szCs w:val="19"/>
              </w:rPr>
              <w:t xml:space="preserve">.  All </w:t>
            </w:r>
            <w:r w:rsidR="00CF4DCB" w:rsidRPr="00BE0C02">
              <w:rPr>
                <w:szCs w:val="19"/>
              </w:rPr>
              <w:t xml:space="preserve">entities regulated by Corporations Act, which are in </w:t>
            </w:r>
            <w:r w:rsidR="007B147E" w:rsidRPr="00BE0C02">
              <w:rPr>
                <w:szCs w:val="19"/>
              </w:rPr>
              <w:t xml:space="preserve">the </w:t>
            </w:r>
            <w:r w:rsidR="00CF4DCB" w:rsidRPr="00BE0C02">
              <w:rPr>
                <w:szCs w:val="19"/>
              </w:rPr>
              <w:t xml:space="preserve">scope of </w:t>
            </w:r>
            <w:r w:rsidR="007B147E" w:rsidRPr="00BE0C02">
              <w:rPr>
                <w:szCs w:val="19"/>
              </w:rPr>
              <w:t xml:space="preserve">this Standard </w:t>
            </w:r>
            <w:r w:rsidR="00CF4DCB" w:rsidRPr="00BE0C02">
              <w:rPr>
                <w:szCs w:val="19"/>
              </w:rPr>
              <w:t xml:space="preserve">would comply with </w:t>
            </w:r>
            <w:r w:rsidR="00CF4DCB" w:rsidRPr="00BE0C02">
              <w:rPr>
                <w:szCs w:val="19"/>
              </w:rPr>
              <w:lastRenderedPageBreak/>
              <w:t xml:space="preserve">R&amp;M requirements </w:t>
            </w:r>
            <w:r w:rsidR="007B147E" w:rsidRPr="00BE0C02">
              <w:rPr>
                <w:szCs w:val="19"/>
              </w:rPr>
              <w:t>of AAS in a timely manner</w:t>
            </w:r>
          </w:p>
          <w:p w14:paraId="3F441D50" w14:textId="5B7D8C1D" w:rsidR="00816585" w:rsidRPr="00BE0C02" w:rsidRDefault="007B147E" w:rsidP="006820DB">
            <w:pPr>
              <w:pStyle w:val="ListParagraph"/>
              <w:numPr>
                <w:ilvl w:val="0"/>
                <w:numId w:val="85"/>
              </w:numPr>
              <w:pBdr>
                <w:left w:val="none" w:sz="0" w:space="0" w:color="auto"/>
                <w:right w:val="none" w:sz="0" w:space="0" w:color="auto"/>
              </w:pBdr>
              <w:spacing w:after="0"/>
              <w:rPr>
                <w:szCs w:val="19"/>
              </w:rPr>
            </w:pPr>
            <w:r w:rsidRPr="00BE0C02">
              <w:rPr>
                <w:szCs w:val="19"/>
              </w:rPr>
              <w:t>I</w:t>
            </w:r>
            <w:r w:rsidR="00CF4DCB" w:rsidRPr="00BE0C02">
              <w:rPr>
                <w:szCs w:val="19"/>
              </w:rPr>
              <w:t xml:space="preserve">t is expected that entities required to prepare financial reports in accordance with the </w:t>
            </w:r>
            <w:r w:rsidR="00CF4DCB" w:rsidRPr="00BE0C02">
              <w:rPr>
                <w:i/>
                <w:szCs w:val="19"/>
              </w:rPr>
              <w:t xml:space="preserve">Corporations Act </w:t>
            </w:r>
            <w:r w:rsidRPr="00BE0C02">
              <w:rPr>
                <w:i/>
                <w:iCs/>
                <w:szCs w:val="19"/>
              </w:rPr>
              <w:t>2001</w:t>
            </w:r>
            <w:r w:rsidR="00CF4DCB" w:rsidRPr="00BE0C02">
              <w:rPr>
                <w:szCs w:val="19"/>
              </w:rPr>
              <w:t xml:space="preserve"> should already be comply</w:t>
            </w:r>
            <w:r w:rsidRPr="00BE0C02">
              <w:rPr>
                <w:szCs w:val="19"/>
              </w:rPr>
              <w:t>ing</w:t>
            </w:r>
            <w:r w:rsidR="00CF4DCB" w:rsidRPr="00BE0C02">
              <w:rPr>
                <w:szCs w:val="19"/>
              </w:rPr>
              <w:t xml:space="preserve"> with the R&amp;M requirements in AAS</w:t>
            </w:r>
            <w:r w:rsidR="00355180" w:rsidRPr="00BE0C02">
              <w:rPr>
                <w:szCs w:val="19"/>
              </w:rPr>
              <w:t xml:space="preserve"> - a</w:t>
            </w:r>
            <w:r w:rsidR="006820DB" w:rsidRPr="00BE0C02">
              <w:rPr>
                <w:szCs w:val="19"/>
              </w:rPr>
              <w:t>s</w:t>
            </w:r>
            <w:r w:rsidR="00CF4DCB" w:rsidRPr="00BE0C02">
              <w:rPr>
                <w:szCs w:val="19"/>
              </w:rPr>
              <w:t xml:space="preserve"> there are only a maximum of 7,295 entities expected to be effected</w:t>
            </w:r>
            <w:r w:rsidR="006820DB" w:rsidRPr="00BE0C02">
              <w:rPr>
                <w:szCs w:val="19"/>
              </w:rPr>
              <w:t>,</w:t>
            </w:r>
            <w:r w:rsidR="00CF4DCB" w:rsidRPr="00BE0C02">
              <w:rPr>
                <w:szCs w:val="19"/>
              </w:rPr>
              <w:t xml:space="preserve"> this option is not expected to be too onerous for Corporations Act entities.  As the population of other entities is unknown, and they do not have a RG 85 equivalent, an additional year to prepare would be </w:t>
            </w:r>
            <w:r w:rsidR="006820DB" w:rsidRPr="00BE0C02">
              <w:rPr>
                <w:szCs w:val="19"/>
              </w:rPr>
              <w:t>beneficial</w:t>
            </w:r>
          </w:p>
        </w:tc>
        <w:tc>
          <w:tcPr>
            <w:tcW w:w="3396" w:type="dxa"/>
            <w:tcBorders>
              <w:top w:val="single" w:sz="4" w:space="0" w:color="auto"/>
            </w:tcBorders>
          </w:tcPr>
          <w:p w14:paraId="3325521E" w14:textId="77777777" w:rsidR="00816585" w:rsidRPr="00BE0C02" w:rsidRDefault="00816585" w:rsidP="00412F69">
            <w:pPr>
              <w:pStyle w:val="ListParagraph"/>
              <w:numPr>
                <w:ilvl w:val="0"/>
                <w:numId w:val="85"/>
              </w:numPr>
              <w:pBdr>
                <w:left w:val="none" w:sz="0" w:space="0" w:color="auto"/>
                <w:right w:val="none" w:sz="0" w:space="0" w:color="auto"/>
              </w:pBdr>
              <w:spacing w:before="100" w:after="0"/>
              <w:ind w:left="357" w:hanging="357"/>
              <w:contextualSpacing w:val="0"/>
              <w:rPr>
                <w:szCs w:val="19"/>
              </w:rPr>
            </w:pPr>
            <w:r w:rsidRPr="00BE0C02">
              <w:rPr>
                <w:szCs w:val="19"/>
              </w:rPr>
              <w:lastRenderedPageBreak/>
              <w:t>The resolution of the problems with SPFS reporting would take an additional year for entities not regulated by the Corporations Act</w:t>
            </w:r>
          </w:p>
        </w:tc>
      </w:tr>
    </w:tbl>
    <w:p w14:paraId="66D87043" w14:textId="66FE4229" w:rsidR="00E72A90" w:rsidRPr="00BE0C02" w:rsidRDefault="005A771E" w:rsidP="007E6349">
      <w:pPr>
        <w:pStyle w:val="NumBC1"/>
        <w:numPr>
          <w:ilvl w:val="0"/>
          <w:numId w:val="27"/>
        </w:numPr>
        <w:ind w:left="782" w:hanging="782"/>
      </w:pPr>
      <w:r w:rsidRPr="00BE0C02">
        <w:t xml:space="preserve">The Board </w:t>
      </w:r>
      <w:r w:rsidR="00DE5F4D" w:rsidRPr="00BE0C02">
        <w:t xml:space="preserve">ultimately </w:t>
      </w:r>
      <w:r w:rsidRPr="00BE0C02">
        <w:t xml:space="preserve">decided </w:t>
      </w:r>
      <w:r w:rsidR="00992544" w:rsidRPr="00BE0C02">
        <w:t xml:space="preserve">that Option 1 </w:t>
      </w:r>
      <w:r w:rsidR="00817E3B" w:rsidRPr="00BE0C02">
        <w:t xml:space="preserve">provided the most appropriate solution, for the reasons set out </w:t>
      </w:r>
      <w:r w:rsidR="00992544" w:rsidRPr="00BE0C02">
        <w:t xml:space="preserve">in paragraph </w:t>
      </w:r>
      <w:r w:rsidR="00992544" w:rsidRPr="00BE0C02">
        <w:fldChar w:fldCharType="begin"/>
      </w:r>
      <w:r w:rsidR="00992544" w:rsidRPr="00BE0C02">
        <w:instrText xml:space="preserve"> REF _Ref31550460 \r \h </w:instrText>
      </w:r>
      <w:r w:rsidR="00BE0C02">
        <w:instrText xml:space="preserve"> \* MERGEFORMAT </w:instrText>
      </w:r>
      <w:r w:rsidR="00992544" w:rsidRPr="00BE0C02">
        <w:fldChar w:fldCharType="separate"/>
      </w:r>
      <w:r w:rsidR="00E354C4">
        <w:t>BC151</w:t>
      </w:r>
      <w:r w:rsidR="00992544" w:rsidRPr="00BE0C02">
        <w:fldChar w:fldCharType="end"/>
      </w:r>
      <w:r w:rsidR="00992544" w:rsidRPr="00BE0C02">
        <w:t xml:space="preserve"> above</w:t>
      </w:r>
      <w:r w:rsidR="00817E3B" w:rsidRPr="00BE0C02">
        <w:t>.</w:t>
      </w:r>
    </w:p>
    <w:p w14:paraId="2FC63679" w14:textId="165867E0" w:rsidR="00774F88" w:rsidRPr="00BE0C02" w:rsidRDefault="00D32460" w:rsidP="00632D5D">
      <w:pPr>
        <w:pStyle w:val="NumBC1"/>
        <w:numPr>
          <w:ilvl w:val="0"/>
          <w:numId w:val="27"/>
        </w:numPr>
        <w:ind w:left="782" w:hanging="782"/>
      </w:pPr>
      <w:r w:rsidRPr="00BE0C02">
        <w:t xml:space="preserve">In respect of the </w:t>
      </w:r>
      <w:r w:rsidR="009C7854" w:rsidRPr="00BE0C02">
        <w:t xml:space="preserve">issues raised in respect of the revised Tier 2 framework (see paragraph </w:t>
      </w:r>
      <w:r w:rsidR="009C7854" w:rsidRPr="00BE0C02">
        <w:fldChar w:fldCharType="begin"/>
      </w:r>
      <w:r w:rsidR="009C7854" w:rsidRPr="00BE0C02">
        <w:instrText xml:space="preserve"> REF _Ref32504890 \r \h </w:instrText>
      </w:r>
      <w:r w:rsidR="00632D5D" w:rsidRPr="00BE0C02">
        <w:instrText xml:space="preserve"> \* MERGEFORMAT </w:instrText>
      </w:r>
      <w:r w:rsidR="009C7854" w:rsidRPr="00BE0C02">
        <w:fldChar w:fldCharType="separate"/>
      </w:r>
      <w:r w:rsidR="00E354C4">
        <w:t>BC150</w:t>
      </w:r>
      <w:r w:rsidR="009C7854" w:rsidRPr="00BE0C02">
        <w:fldChar w:fldCharType="end"/>
      </w:r>
      <w:r w:rsidR="009C7854" w:rsidRPr="00BE0C02">
        <w:t xml:space="preserve">), </w:t>
      </w:r>
      <w:r w:rsidR="00BE4AE9" w:rsidRPr="00BE0C02">
        <w:t xml:space="preserve">the Board </w:t>
      </w:r>
      <w:r w:rsidR="005F304D" w:rsidRPr="00BE0C02">
        <w:t>decided</w:t>
      </w:r>
      <w:r w:rsidR="00BE4AE9" w:rsidRPr="00BE0C02">
        <w:t xml:space="preserve"> </w:t>
      </w:r>
      <w:r w:rsidR="002E58A3" w:rsidRPr="00BE0C02">
        <w:t>that the need to remove SPFS for the entities within the scope of this Standard</w:t>
      </w:r>
      <w:r w:rsidR="005F304D" w:rsidRPr="00BE0C02">
        <w:t xml:space="preserve"> </w:t>
      </w:r>
      <w:r w:rsidR="00EB2EBE" w:rsidRPr="00BE0C02">
        <w:t xml:space="preserve">in a timely manner would mean that waiting for the IASB and retaining trans-Tasman convergence (in the short term) </w:t>
      </w:r>
      <w:r w:rsidR="00BE665B" w:rsidRPr="00BE0C02">
        <w:t>would not meet the objective of the project</w:t>
      </w:r>
      <w:r w:rsidR="00E260E2" w:rsidRPr="00BE0C02">
        <w:t xml:space="preserve"> (see </w:t>
      </w:r>
      <w:r w:rsidR="006D6838">
        <w:t xml:space="preserve">the Basis for Conclusions to </w:t>
      </w:r>
      <w:r w:rsidR="00360E31">
        <w:t>AASB 1060</w:t>
      </w:r>
      <w:r w:rsidR="00E260E2" w:rsidRPr="00BE0C02">
        <w:t xml:space="preserve"> </w:t>
      </w:r>
      <w:r w:rsidR="00342EE3" w:rsidRPr="00BE0C02">
        <w:t xml:space="preserve">for </w:t>
      </w:r>
      <w:r w:rsidR="006D6838">
        <w:t>the Board’s considerations on these matters</w:t>
      </w:r>
      <w:r w:rsidR="00E260E2" w:rsidRPr="00BE0C02">
        <w:t>)</w:t>
      </w:r>
      <w:r w:rsidR="001541E7" w:rsidRPr="00BE0C02">
        <w:t>.</w:t>
      </w:r>
    </w:p>
    <w:bookmarkEnd w:id="136"/>
    <w:p w14:paraId="0191D1ED" w14:textId="77777777" w:rsidR="00CD22B9" w:rsidRPr="00BE0C02" w:rsidRDefault="00CD22B9" w:rsidP="00CD22B9">
      <w:pPr>
        <w:pStyle w:val="Heading2"/>
      </w:pPr>
      <w:r w:rsidRPr="00BE0C02">
        <w:t xml:space="preserve">Application of </w:t>
      </w:r>
      <w:r w:rsidRPr="00BE0C02">
        <w:rPr>
          <w:i/>
        </w:rPr>
        <w:t>The AASB’s For-</w:t>
      </w:r>
      <w:r w:rsidR="0059612B" w:rsidRPr="00BE0C02">
        <w:rPr>
          <w:i/>
        </w:rPr>
        <w:t>P</w:t>
      </w:r>
      <w:r w:rsidRPr="00BE0C02">
        <w:rPr>
          <w:i/>
        </w:rPr>
        <w:t xml:space="preserve">rofit Entity Standard-Setting Framework </w:t>
      </w:r>
    </w:p>
    <w:p w14:paraId="522F3056" w14:textId="1DB28108" w:rsidR="00CD22B9" w:rsidRPr="00BE0C02" w:rsidRDefault="00CD22B9" w:rsidP="007E6349">
      <w:pPr>
        <w:pStyle w:val="NumBC1"/>
        <w:numPr>
          <w:ilvl w:val="0"/>
          <w:numId w:val="27"/>
        </w:numPr>
        <w:ind w:left="782" w:hanging="782"/>
        <w:rPr>
          <w:szCs w:val="19"/>
        </w:rPr>
      </w:pPr>
      <w:bookmarkStart w:id="142" w:name="_Ref10168550"/>
      <w:r w:rsidRPr="00BE0C02">
        <w:rPr>
          <w:szCs w:val="19"/>
        </w:rPr>
        <w:t xml:space="preserve">In developing the </w:t>
      </w:r>
      <w:r w:rsidR="009B42AD" w:rsidRPr="00BE0C02">
        <w:rPr>
          <w:szCs w:val="19"/>
        </w:rPr>
        <w:t>Standard</w:t>
      </w:r>
      <w:r w:rsidRPr="00BE0C02">
        <w:rPr>
          <w:szCs w:val="19"/>
        </w:rPr>
        <w:t xml:space="preserve"> the Board considered the principles in </w:t>
      </w:r>
      <w:r w:rsidRPr="00BE0C02">
        <w:rPr>
          <w:i/>
          <w:szCs w:val="19"/>
        </w:rPr>
        <w:t>The AASB’s For-Profit Entity Standard-Setting Framework</w:t>
      </w:r>
      <w:r w:rsidRPr="00BE0C02">
        <w:rPr>
          <w:iCs/>
          <w:szCs w:val="19"/>
        </w:rPr>
        <w:t>,</w:t>
      </w:r>
      <w:r w:rsidRPr="00BE0C02">
        <w:rPr>
          <w:i/>
          <w:szCs w:val="19"/>
        </w:rPr>
        <w:t xml:space="preserve"> </w:t>
      </w:r>
      <w:r w:rsidRPr="00BE0C02">
        <w:rPr>
          <w:szCs w:val="19"/>
        </w:rPr>
        <w:t>which outlines the matters the Board must consider when determining whether or not to make amendments to IFRS Standards or develop Australian</w:t>
      </w:r>
      <w:r w:rsidR="00E54B4E" w:rsidRPr="00BE0C02">
        <w:rPr>
          <w:szCs w:val="19"/>
        </w:rPr>
        <w:t>-</w:t>
      </w:r>
      <w:r w:rsidRPr="00BE0C02">
        <w:rPr>
          <w:szCs w:val="19"/>
        </w:rPr>
        <w:t>specific guidance.</w:t>
      </w:r>
      <w:bookmarkEnd w:id="142"/>
    </w:p>
    <w:p w14:paraId="775E38C5" w14:textId="3F9E1C62" w:rsidR="00CD22B9" w:rsidRPr="00BE0C02" w:rsidRDefault="00CD22B9" w:rsidP="007E6349">
      <w:pPr>
        <w:pStyle w:val="NumBC1"/>
        <w:numPr>
          <w:ilvl w:val="0"/>
          <w:numId w:val="27"/>
        </w:numPr>
        <w:ind w:left="782" w:hanging="782"/>
        <w:rPr>
          <w:szCs w:val="19"/>
        </w:rPr>
      </w:pPr>
      <w:r w:rsidRPr="00BE0C02">
        <w:rPr>
          <w:i/>
          <w:szCs w:val="19"/>
        </w:rPr>
        <w:t xml:space="preserve">The AASB’s For-Profit Entity Standard-Setting Framework </w:t>
      </w:r>
      <w:r w:rsidRPr="00BE0C02">
        <w:rPr>
          <w:szCs w:val="19"/>
        </w:rPr>
        <w:t>states that, when developing accounting standards for non-publicly accountable for-profit entities, the AASB’s objective is to use IFRS Standards and transaction neutrality as a starting point, with modifications where justified to address:</w:t>
      </w:r>
    </w:p>
    <w:p w14:paraId="74B4C796" w14:textId="77777777" w:rsidR="00CD22B9" w:rsidRPr="00BE0C02" w:rsidRDefault="00CD22B9" w:rsidP="007E6349">
      <w:pPr>
        <w:pStyle w:val="NumBC2"/>
        <w:numPr>
          <w:ilvl w:val="0"/>
          <w:numId w:val="39"/>
        </w:numPr>
        <w:ind w:left="1564" w:hanging="782"/>
      </w:pPr>
      <w:r w:rsidRPr="00BE0C02">
        <w:t>Australian-specific legislation, user needs, or public interest issues relevant to financial reporting or beyond financial reporting;</w:t>
      </w:r>
    </w:p>
    <w:p w14:paraId="5659C698" w14:textId="77777777" w:rsidR="00CD22B9" w:rsidRPr="00BE0C02" w:rsidRDefault="00CD22B9" w:rsidP="007E6349">
      <w:pPr>
        <w:pStyle w:val="NumBC2"/>
        <w:numPr>
          <w:ilvl w:val="0"/>
          <w:numId w:val="28"/>
        </w:numPr>
        <w:ind w:left="1564" w:hanging="782"/>
        <w:rPr>
          <w:szCs w:val="19"/>
        </w:rPr>
      </w:pPr>
      <w:r w:rsidRPr="00BE0C02">
        <w:rPr>
          <w:szCs w:val="19"/>
        </w:rPr>
        <w:t>issues specific to the (for-profit) public sector of such prevalence and magnitude that users are likely to make inappropriate decisions based on the financial statements;</w:t>
      </w:r>
    </w:p>
    <w:p w14:paraId="4D248DDC" w14:textId="693C4ABC" w:rsidR="00CD22B9" w:rsidRPr="00BE0C02" w:rsidRDefault="00CD22B9" w:rsidP="007E6349">
      <w:pPr>
        <w:pStyle w:val="NumBC2"/>
        <w:numPr>
          <w:ilvl w:val="0"/>
          <w:numId w:val="28"/>
        </w:numPr>
        <w:ind w:left="1564" w:hanging="782"/>
        <w:rPr>
          <w:szCs w:val="19"/>
        </w:rPr>
      </w:pPr>
      <w:r w:rsidRPr="00BE0C02">
        <w:rPr>
          <w:szCs w:val="19"/>
        </w:rPr>
        <w:t>where</w:t>
      </w:r>
      <w:r w:rsidRPr="00BE0C02">
        <w:t xml:space="preserve"> the objectives and qualitative characteristics of financial reporting as set out in the existing Conceptual Framework would not be met; and/or</w:t>
      </w:r>
    </w:p>
    <w:p w14:paraId="0E630632" w14:textId="77777777" w:rsidR="00CD22B9" w:rsidRPr="00BE0C02" w:rsidRDefault="00CD22B9" w:rsidP="007E6349">
      <w:pPr>
        <w:pStyle w:val="NumBC2"/>
        <w:numPr>
          <w:ilvl w:val="0"/>
          <w:numId w:val="28"/>
        </w:numPr>
        <w:ind w:left="1564" w:hanging="782"/>
        <w:rPr>
          <w:szCs w:val="19"/>
        </w:rPr>
      </w:pPr>
      <w:r w:rsidRPr="00BE0C02">
        <w:rPr>
          <w:szCs w:val="19"/>
        </w:rPr>
        <w:t>undue cost or effort considerations.</w:t>
      </w:r>
    </w:p>
    <w:p w14:paraId="07F15468" w14:textId="305AFF06" w:rsidR="00CD22B9" w:rsidRPr="00BE0C02" w:rsidRDefault="00CD22B9" w:rsidP="007E6349">
      <w:pPr>
        <w:pStyle w:val="NumBC1"/>
        <w:numPr>
          <w:ilvl w:val="0"/>
          <w:numId w:val="27"/>
        </w:numPr>
        <w:ind w:left="782" w:hanging="782"/>
        <w:rPr>
          <w:szCs w:val="19"/>
        </w:rPr>
      </w:pPr>
      <w:bookmarkStart w:id="143" w:name="_Ref10168634"/>
      <w:r w:rsidRPr="00BE0C02">
        <w:rPr>
          <w:szCs w:val="19"/>
        </w:rPr>
        <w:t xml:space="preserve">Consistent with </w:t>
      </w:r>
      <w:r w:rsidRPr="00BE0C02">
        <w:rPr>
          <w:iCs/>
          <w:szCs w:val="19"/>
        </w:rPr>
        <w:t>this</w:t>
      </w:r>
      <w:r w:rsidRPr="00BE0C02">
        <w:rPr>
          <w:szCs w:val="19"/>
        </w:rPr>
        <w:t xml:space="preserve">, the Board decided standard-setting activities as reflected in this </w:t>
      </w:r>
      <w:r w:rsidR="00FA2805" w:rsidRPr="00BE0C02">
        <w:rPr>
          <w:szCs w:val="19"/>
        </w:rPr>
        <w:t xml:space="preserve">Standard </w:t>
      </w:r>
      <w:r w:rsidRPr="00BE0C02">
        <w:rPr>
          <w:szCs w:val="19"/>
        </w:rPr>
        <w:t xml:space="preserve">were necessary after undertaking the following (as already noted throughout this </w:t>
      </w:r>
      <w:r w:rsidR="00FA2805" w:rsidRPr="00BE0C02">
        <w:rPr>
          <w:szCs w:val="19"/>
        </w:rPr>
        <w:t>Standard</w:t>
      </w:r>
      <w:r w:rsidRPr="00BE0C02">
        <w:rPr>
          <w:szCs w:val="19"/>
        </w:rPr>
        <w:t>):</w:t>
      </w:r>
      <w:bookmarkEnd w:id="143"/>
    </w:p>
    <w:p w14:paraId="503FBBA6" w14:textId="522B0279" w:rsidR="00CD22B9" w:rsidRPr="00BE0C02" w:rsidRDefault="00CD22B9" w:rsidP="007E6349">
      <w:pPr>
        <w:pStyle w:val="NumBC2"/>
        <w:numPr>
          <w:ilvl w:val="0"/>
          <w:numId w:val="40"/>
        </w:numPr>
        <w:ind w:left="1564" w:hanging="782"/>
        <w:rPr>
          <w:szCs w:val="19"/>
        </w:rPr>
      </w:pPr>
      <w:r w:rsidRPr="00BE0C02">
        <w:rPr>
          <w:szCs w:val="19"/>
        </w:rPr>
        <w:t>extensive public consultation and outreach including ITC 39</w:t>
      </w:r>
      <w:r w:rsidR="00AD0EDA" w:rsidRPr="00BE0C02">
        <w:rPr>
          <w:szCs w:val="19"/>
        </w:rPr>
        <w:t xml:space="preserve"> and ED 297</w:t>
      </w:r>
      <w:r w:rsidRPr="00BE0C02">
        <w:rPr>
          <w:szCs w:val="19"/>
        </w:rPr>
        <w:t>, research into the needs of financial statement users (eg public surveys and targeted outreach), feedback obtained from stakeholders (including users) who participated in roundtable events, along with other general and targeted outreach with stakeholders;</w:t>
      </w:r>
    </w:p>
    <w:p w14:paraId="380EAD0A" w14:textId="325556D2" w:rsidR="00CD22B9" w:rsidRPr="00BE0C02" w:rsidRDefault="00CD22B9" w:rsidP="007E6349">
      <w:pPr>
        <w:pStyle w:val="NumBC2"/>
        <w:numPr>
          <w:ilvl w:val="0"/>
          <w:numId w:val="39"/>
        </w:numPr>
        <w:ind w:left="1564" w:hanging="782"/>
        <w:rPr>
          <w:szCs w:val="19"/>
        </w:rPr>
      </w:pPr>
      <w:r w:rsidRPr="00BE0C02">
        <w:rPr>
          <w:szCs w:val="19"/>
        </w:rPr>
        <w:t xml:space="preserve">engaging with Treasury and assessing the impact of regulatory changes to large proprietary companies, including understanding the number of entities expected to be affected by the increase in the large proprietary company thresholds from this </w:t>
      </w:r>
      <w:r w:rsidR="00EC6414" w:rsidRPr="00BE0C02">
        <w:rPr>
          <w:szCs w:val="19"/>
        </w:rPr>
        <w:t>Standard</w:t>
      </w:r>
      <w:r w:rsidRPr="00BE0C02">
        <w:rPr>
          <w:szCs w:val="19"/>
        </w:rPr>
        <w:t>;</w:t>
      </w:r>
    </w:p>
    <w:p w14:paraId="26113B64" w14:textId="5A98F719" w:rsidR="00CD22B9" w:rsidRPr="00BE0C02" w:rsidRDefault="00CD22B9" w:rsidP="007E6349">
      <w:pPr>
        <w:pStyle w:val="NumBC2"/>
        <w:numPr>
          <w:ilvl w:val="0"/>
          <w:numId w:val="39"/>
        </w:numPr>
        <w:ind w:left="1564" w:hanging="782"/>
        <w:rPr>
          <w:szCs w:val="19"/>
        </w:rPr>
      </w:pPr>
      <w:r w:rsidRPr="00BE0C02">
        <w:rPr>
          <w:szCs w:val="19"/>
        </w:rPr>
        <w:t>the preparation and review of various research reports, including Research Report No.</w:t>
      </w:r>
      <w:r w:rsidR="008039E5" w:rsidRPr="00BE0C02">
        <w:rPr>
          <w:szCs w:val="19"/>
        </w:rPr>
        <w:t xml:space="preserve"> </w:t>
      </w:r>
      <w:r w:rsidRPr="00BE0C02">
        <w:rPr>
          <w:szCs w:val="19"/>
        </w:rPr>
        <w:t>1, AASB Research Report No.</w:t>
      </w:r>
      <w:r w:rsidR="008039E5" w:rsidRPr="00BE0C02">
        <w:rPr>
          <w:szCs w:val="19"/>
        </w:rPr>
        <w:t xml:space="preserve"> </w:t>
      </w:r>
      <w:r w:rsidRPr="00BE0C02">
        <w:rPr>
          <w:szCs w:val="19"/>
        </w:rPr>
        <w:t xml:space="preserve">4 </w:t>
      </w:r>
      <w:r w:rsidRPr="00BE0C02">
        <w:rPr>
          <w:i/>
          <w:szCs w:val="19"/>
        </w:rPr>
        <w:t>Review of Adoption of International Financial Reporting Standards in Australia</w:t>
      </w:r>
      <w:r w:rsidRPr="00BE0C02">
        <w:rPr>
          <w:szCs w:val="19"/>
        </w:rPr>
        <w:t xml:space="preserve"> (March 2017), AASB Research Report No.</w:t>
      </w:r>
      <w:r w:rsidR="008039E5" w:rsidRPr="00BE0C02">
        <w:rPr>
          <w:szCs w:val="19"/>
        </w:rPr>
        <w:t xml:space="preserve"> </w:t>
      </w:r>
      <w:r w:rsidRPr="00BE0C02">
        <w:rPr>
          <w:szCs w:val="19"/>
        </w:rPr>
        <w:t xml:space="preserve">7 and Research Report </w:t>
      </w:r>
      <w:r w:rsidR="006D56C2" w:rsidRPr="00BE0C02">
        <w:rPr>
          <w:szCs w:val="19"/>
        </w:rPr>
        <w:t xml:space="preserve">12 </w:t>
      </w:r>
      <w:r w:rsidRPr="00BE0C02">
        <w:rPr>
          <w:szCs w:val="19"/>
        </w:rPr>
        <w:t xml:space="preserve">to understand the current application of the reporting entity concept, as well as to understand the degree of non-compliance with the R&amp;M requirements in AAS. The objective of these research activities was to </w:t>
      </w:r>
      <w:r w:rsidRPr="00BE0C02">
        <w:rPr>
          <w:szCs w:val="19"/>
        </w:rPr>
        <w:lastRenderedPageBreak/>
        <w:t>better understand the cost implications of disallowing entities required to prepare financial statements that comply with AAS to prepare SPFS and require them to prepare GPFS instead;</w:t>
      </w:r>
    </w:p>
    <w:p w14:paraId="7E202E3C" w14:textId="77777777" w:rsidR="00CD22B9" w:rsidRPr="00BE0C02" w:rsidRDefault="00CD22B9" w:rsidP="007E6349">
      <w:pPr>
        <w:pStyle w:val="NumBC2"/>
        <w:numPr>
          <w:ilvl w:val="0"/>
          <w:numId w:val="39"/>
        </w:numPr>
        <w:ind w:left="1564" w:hanging="782"/>
        <w:rPr>
          <w:szCs w:val="19"/>
        </w:rPr>
      </w:pPr>
      <w:r w:rsidRPr="00BE0C02">
        <w:rPr>
          <w:szCs w:val="19"/>
        </w:rPr>
        <w:t>considering whether it was necessary to provide transitional relief in addition to that currently available under AASB 1 and AASB 108 with the objective of</w:t>
      </w:r>
      <w:r w:rsidRPr="00BE0C02">
        <w:rPr>
          <w:i/>
          <w:szCs w:val="19"/>
        </w:rPr>
        <w:t xml:space="preserve"> </w:t>
      </w:r>
      <w:r w:rsidRPr="00BE0C02">
        <w:rPr>
          <w:szCs w:val="19"/>
        </w:rPr>
        <w:t>minimising any undue costs in relation to both the transition from SPFS to GPFS and the associated disclosure requirements; and</w:t>
      </w:r>
    </w:p>
    <w:p w14:paraId="339ABBDE" w14:textId="28BFD44D" w:rsidR="00CD22B9" w:rsidRPr="00BE0C02" w:rsidRDefault="00CD22B9" w:rsidP="007E6349">
      <w:pPr>
        <w:pStyle w:val="NumBC2"/>
        <w:numPr>
          <w:ilvl w:val="0"/>
          <w:numId w:val="39"/>
        </w:numPr>
        <w:ind w:left="1564" w:hanging="782"/>
        <w:rPr>
          <w:szCs w:val="19"/>
        </w:rPr>
      </w:pPr>
      <w:r w:rsidRPr="00BE0C02">
        <w:rPr>
          <w:szCs w:val="19"/>
        </w:rPr>
        <w:t xml:space="preserve">a </w:t>
      </w:r>
      <w:r w:rsidR="008039E5" w:rsidRPr="00BE0C02">
        <w:rPr>
          <w:szCs w:val="19"/>
        </w:rPr>
        <w:t xml:space="preserve">consideration of matters relevant to </w:t>
      </w:r>
      <w:r w:rsidRPr="00BE0C02">
        <w:rPr>
          <w:szCs w:val="19"/>
        </w:rPr>
        <w:t>Regulation Impact Statement (RIS)</w:t>
      </w:r>
      <w:r w:rsidR="008039E5" w:rsidRPr="00BE0C02">
        <w:rPr>
          <w:szCs w:val="19"/>
        </w:rPr>
        <w:t xml:space="preserve"> requirements</w:t>
      </w:r>
      <w:r w:rsidRPr="00BE0C02">
        <w:rPr>
          <w:szCs w:val="19"/>
        </w:rPr>
        <w:t>.</w:t>
      </w:r>
    </w:p>
    <w:p w14:paraId="52260818" w14:textId="77777777" w:rsidR="00CD22B9" w:rsidRPr="00BE0C02" w:rsidRDefault="00CD22B9" w:rsidP="00CD22B9">
      <w:pPr>
        <w:pStyle w:val="Heading2"/>
      </w:pPr>
      <w:r w:rsidRPr="00BE0C02">
        <w:rPr>
          <w:iCs w:val="0"/>
        </w:rPr>
        <w:t>Amendments required to implement Phase 2</w:t>
      </w:r>
    </w:p>
    <w:p w14:paraId="18114F65" w14:textId="764F78B9" w:rsidR="00CD22B9" w:rsidRPr="00BE0C02" w:rsidRDefault="00CD22B9" w:rsidP="007E6349">
      <w:pPr>
        <w:pStyle w:val="NumBC1"/>
        <w:numPr>
          <w:ilvl w:val="0"/>
          <w:numId w:val="27"/>
        </w:numPr>
        <w:ind w:left="782" w:hanging="782"/>
        <w:rPr>
          <w:szCs w:val="19"/>
        </w:rPr>
      </w:pPr>
      <w:bookmarkStart w:id="144" w:name="_Ref10168673"/>
      <w:r w:rsidRPr="00BE0C02">
        <w:rPr>
          <w:szCs w:val="19"/>
        </w:rPr>
        <w:t xml:space="preserve">As noted in paragraph </w:t>
      </w:r>
      <w:r w:rsidR="006316DD" w:rsidRPr="00BE0C02">
        <w:rPr>
          <w:szCs w:val="19"/>
        </w:rPr>
        <w:fldChar w:fldCharType="begin"/>
      </w:r>
      <w:r w:rsidR="006316DD" w:rsidRPr="00BE0C02">
        <w:rPr>
          <w:szCs w:val="19"/>
        </w:rPr>
        <w:instrText xml:space="preserve"> REF _Ref14937603 \r \h </w:instrText>
      </w:r>
      <w:r w:rsidR="00BE0C02">
        <w:rPr>
          <w:szCs w:val="19"/>
        </w:rPr>
        <w:instrText xml:space="preserve"> \* MERGEFORMAT </w:instrText>
      </w:r>
      <w:r w:rsidR="006316DD" w:rsidRPr="00BE0C02">
        <w:rPr>
          <w:szCs w:val="19"/>
        </w:rPr>
      </w:r>
      <w:r w:rsidR="006316DD" w:rsidRPr="00BE0C02">
        <w:rPr>
          <w:szCs w:val="19"/>
        </w:rPr>
        <w:fldChar w:fldCharType="separate"/>
      </w:r>
      <w:r w:rsidR="00E354C4">
        <w:rPr>
          <w:szCs w:val="19"/>
        </w:rPr>
        <w:t>BC54</w:t>
      </w:r>
      <w:r w:rsidR="006316DD" w:rsidRPr="00BE0C02">
        <w:rPr>
          <w:szCs w:val="19"/>
        </w:rPr>
        <w:fldChar w:fldCharType="end"/>
      </w:r>
      <w:r w:rsidRPr="00BE0C02">
        <w:rPr>
          <w:szCs w:val="19"/>
        </w:rPr>
        <w:t xml:space="preserve">, in May 2019 the Board made AASB 2019-1 to implement Phase 1 of the Board’s phased approach to implementing the </w:t>
      </w:r>
      <w:r w:rsidR="00CD64A8" w:rsidRPr="00BE0C02">
        <w:rPr>
          <w:szCs w:val="19"/>
        </w:rPr>
        <w:t xml:space="preserve">IASB’s </w:t>
      </w:r>
      <w:r w:rsidRPr="00BE0C02">
        <w:rPr>
          <w:szCs w:val="19"/>
        </w:rPr>
        <w:t>RCF</w:t>
      </w:r>
      <w:r w:rsidR="00CD64A8" w:rsidRPr="00BE0C02">
        <w:rPr>
          <w:szCs w:val="19"/>
        </w:rPr>
        <w:t xml:space="preserve"> in Australia</w:t>
      </w:r>
      <w:r w:rsidRPr="00BE0C02">
        <w:rPr>
          <w:szCs w:val="19"/>
        </w:rPr>
        <w:t xml:space="preserve">, limiting the application of the </w:t>
      </w:r>
      <w:r w:rsidR="00CD64A8" w:rsidRPr="00BE0C02">
        <w:rPr>
          <w:szCs w:val="19"/>
        </w:rPr>
        <w:t xml:space="preserve">Board’s </w:t>
      </w:r>
      <w:r w:rsidR="00CD64A8" w:rsidRPr="00BE0C02">
        <w:rPr>
          <w:i/>
          <w:szCs w:val="19"/>
        </w:rPr>
        <w:t>Conceptual Framework for Financial Reporting</w:t>
      </w:r>
      <w:r w:rsidR="00CD64A8" w:rsidRPr="00BE0C02">
        <w:rPr>
          <w:szCs w:val="19"/>
        </w:rPr>
        <w:t xml:space="preserve"> (</w:t>
      </w:r>
      <w:r w:rsidR="00CD64A8" w:rsidRPr="00BE0C02">
        <w:rPr>
          <w:i/>
          <w:szCs w:val="19"/>
        </w:rPr>
        <w:t>Conceptual Framework</w:t>
      </w:r>
      <w:r w:rsidR="00CD64A8" w:rsidRPr="00BE0C02">
        <w:rPr>
          <w:szCs w:val="19"/>
        </w:rPr>
        <w:t xml:space="preserve">) </w:t>
      </w:r>
      <w:r w:rsidRPr="00BE0C02">
        <w:rPr>
          <w:szCs w:val="19"/>
        </w:rPr>
        <w:t xml:space="preserve">to for-profit private sector entities with public accountability that are required by legislation to prepare financial statements that comply with AAS. </w:t>
      </w:r>
    </w:p>
    <w:p w14:paraId="6B1FA4E3" w14:textId="4DAB2349" w:rsidR="00CD22B9" w:rsidRPr="00BE0C02" w:rsidRDefault="00CD22B9" w:rsidP="007E6349">
      <w:pPr>
        <w:pStyle w:val="NumBC1"/>
        <w:numPr>
          <w:ilvl w:val="0"/>
          <w:numId w:val="27"/>
        </w:numPr>
        <w:ind w:left="782" w:hanging="782"/>
        <w:rPr>
          <w:szCs w:val="19"/>
        </w:rPr>
      </w:pPr>
      <w:r w:rsidRPr="00BE0C02">
        <w:rPr>
          <w:szCs w:val="19"/>
        </w:rPr>
        <w:t xml:space="preserve">In this </w:t>
      </w:r>
      <w:r w:rsidR="007B600E" w:rsidRPr="00BE0C02">
        <w:rPr>
          <w:szCs w:val="19"/>
        </w:rPr>
        <w:t>Standard</w:t>
      </w:r>
      <w:r w:rsidRPr="00BE0C02">
        <w:rPr>
          <w:szCs w:val="19"/>
        </w:rPr>
        <w:t xml:space="preserve">, to facilitate the implementation of Phase 2, the following amendments </w:t>
      </w:r>
      <w:r w:rsidR="00AF139F" w:rsidRPr="00BE0C02">
        <w:rPr>
          <w:szCs w:val="19"/>
        </w:rPr>
        <w:t>are made</w:t>
      </w:r>
      <w:r w:rsidRPr="00BE0C02">
        <w:rPr>
          <w:szCs w:val="19"/>
        </w:rPr>
        <w:t>:</w:t>
      </w:r>
    </w:p>
    <w:p w14:paraId="38059871" w14:textId="397584E2" w:rsidR="00CD22B9" w:rsidRPr="00BE0C02" w:rsidRDefault="00CD22B9" w:rsidP="007E6349">
      <w:pPr>
        <w:pStyle w:val="NumBC1"/>
        <w:numPr>
          <w:ilvl w:val="0"/>
          <w:numId w:val="65"/>
        </w:numPr>
        <w:ind w:left="1564" w:hanging="782"/>
        <w:rPr>
          <w:szCs w:val="19"/>
        </w:rPr>
      </w:pPr>
      <w:r w:rsidRPr="00BE0C02">
        <w:rPr>
          <w:szCs w:val="19"/>
        </w:rPr>
        <w:t xml:space="preserve">the applicability of the </w:t>
      </w:r>
      <w:r w:rsidR="00CD64A8" w:rsidRPr="00BE0C02">
        <w:rPr>
          <w:i/>
          <w:szCs w:val="19"/>
        </w:rPr>
        <w:t>Conceptual Framework</w:t>
      </w:r>
      <w:r w:rsidR="00CD64A8" w:rsidRPr="00BE0C02">
        <w:rPr>
          <w:szCs w:val="19"/>
        </w:rPr>
        <w:t xml:space="preserve"> </w:t>
      </w:r>
      <w:r w:rsidRPr="00BE0C02">
        <w:rPr>
          <w:szCs w:val="19"/>
        </w:rPr>
        <w:t xml:space="preserve">is extended so that it applies to: </w:t>
      </w:r>
    </w:p>
    <w:p w14:paraId="49B60A2E" w14:textId="77777777" w:rsidR="00CD22B9" w:rsidRPr="00BE0C02" w:rsidRDefault="00CD22B9" w:rsidP="007E6349">
      <w:pPr>
        <w:pStyle w:val="NumBC1"/>
        <w:numPr>
          <w:ilvl w:val="1"/>
          <w:numId w:val="66"/>
        </w:numPr>
        <w:ind w:left="2347" w:hanging="782"/>
        <w:rPr>
          <w:szCs w:val="19"/>
        </w:rPr>
      </w:pPr>
      <w:r w:rsidRPr="00BE0C02">
        <w:rPr>
          <w:szCs w:val="19"/>
        </w:rPr>
        <w:t xml:space="preserve">for profit-private sector entities that are required by legislation to comply with either Australian Accounting Standards or accounting standards (with the previous limitation to entities with public accountability removed); </w:t>
      </w:r>
    </w:p>
    <w:p w14:paraId="67B16C76" w14:textId="6C779203" w:rsidR="00CD22B9" w:rsidRPr="00BE0C02" w:rsidRDefault="00CD22B9" w:rsidP="007E6349">
      <w:pPr>
        <w:pStyle w:val="NumBC1"/>
        <w:numPr>
          <w:ilvl w:val="1"/>
          <w:numId w:val="66"/>
        </w:numPr>
        <w:ind w:left="2347" w:hanging="782"/>
        <w:rPr>
          <w:szCs w:val="19"/>
        </w:rPr>
      </w:pPr>
      <w:r w:rsidRPr="00BE0C02">
        <w:rPr>
          <w:szCs w:val="19"/>
        </w:rPr>
        <w:t xml:space="preserve">other for-profit private sector entities that are required only by their constituting document or another document to comply with Australian Accounting Standards (and so excluding requirements to comply merely with ‘accounting standards’), provided that the relevant document was created or amended on or after 1 July </w:t>
      </w:r>
      <w:r w:rsidR="00B8686A" w:rsidRPr="00BE0C02">
        <w:rPr>
          <w:szCs w:val="19"/>
        </w:rPr>
        <w:t>2021</w:t>
      </w:r>
      <w:r w:rsidRPr="00BE0C02">
        <w:rPr>
          <w:szCs w:val="19"/>
        </w:rPr>
        <w:t xml:space="preserve">; and </w:t>
      </w:r>
    </w:p>
    <w:p w14:paraId="1C9ADE56" w14:textId="5F02B17D" w:rsidR="00CD22B9" w:rsidRPr="00BE0C02" w:rsidRDefault="00CD22B9" w:rsidP="007E6349">
      <w:pPr>
        <w:pStyle w:val="NumBC1"/>
        <w:numPr>
          <w:ilvl w:val="1"/>
          <w:numId w:val="66"/>
        </w:numPr>
        <w:ind w:left="2347" w:hanging="782"/>
        <w:rPr>
          <w:szCs w:val="19"/>
        </w:rPr>
      </w:pPr>
      <w:r w:rsidRPr="00BE0C02">
        <w:rPr>
          <w:szCs w:val="19"/>
        </w:rPr>
        <w:t xml:space="preserve">other for-profit entities (including for-profit public sector entities) that elect to </w:t>
      </w:r>
      <w:r w:rsidR="006316DD" w:rsidRPr="00BE0C02">
        <w:rPr>
          <w:szCs w:val="19"/>
        </w:rPr>
        <w:t>prepare GPFS</w:t>
      </w:r>
      <w:r w:rsidRPr="00BE0C02">
        <w:rPr>
          <w:szCs w:val="19"/>
        </w:rPr>
        <w:t xml:space="preserve">; </w:t>
      </w:r>
      <w:r w:rsidR="00245D55" w:rsidRPr="00BE0C02">
        <w:rPr>
          <w:szCs w:val="19"/>
        </w:rPr>
        <w:t>and</w:t>
      </w:r>
    </w:p>
    <w:p w14:paraId="7C503931" w14:textId="0DB3EC91" w:rsidR="00CD22B9" w:rsidRPr="00BE0C02" w:rsidRDefault="00CD22B9" w:rsidP="007E6349">
      <w:pPr>
        <w:pStyle w:val="NumBC1"/>
        <w:numPr>
          <w:ilvl w:val="0"/>
          <w:numId w:val="65"/>
        </w:numPr>
        <w:ind w:left="1564" w:hanging="782"/>
        <w:rPr>
          <w:szCs w:val="19"/>
        </w:rPr>
      </w:pPr>
      <w:r w:rsidRPr="00BE0C02">
        <w:rPr>
          <w:szCs w:val="19"/>
        </w:rPr>
        <w:t>the existing Conceptual Framework</w:t>
      </w:r>
      <w:r w:rsidRPr="00BE0C02">
        <w:rPr>
          <w:i/>
          <w:szCs w:val="19"/>
        </w:rPr>
        <w:t xml:space="preserve"> </w:t>
      </w:r>
      <w:r w:rsidRPr="00BE0C02">
        <w:rPr>
          <w:szCs w:val="19"/>
        </w:rPr>
        <w:t xml:space="preserve">and SAC 1 are also amended so that they </w:t>
      </w:r>
      <w:r w:rsidR="00F62522" w:rsidRPr="00BE0C02">
        <w:rPr>
          <w:szCs w:val="19"/>
        </w:rPr>
        <w:t xml:space="preserve">do </w:t>
      </w:r>
      <w:r w:rsidRPr="00BE0C02">
        <w:rPr>
          <w:szCs w:val="19"/>
        </w:rPr>
        <w:t xml:space="preserve">not apply to all for-profit entities that are applying the </w:t>
      </w:r>
      <w:r w:rsidRPr="00BE0C02">
        <w:rPr>
          <w:i/>
          <w:szCs w:val="19"/>
        </w:rPr>
        <w:t>Conceptual Framework</w:t>
      </w:r>
      <w:r w:rsidRPr="00BE0C02">
        <w:rPr>
          <w:szCs w:val="19"/>
        </w:rPr>
        <w:t>.</w:t>
      </w:r>
      <w:r w:rsidR="008511F5" w:rsidRPr="00BE0C02">
        <w:rPr>
          <w:szCs w:val="19"/>
        </w:rPr>
        <w:t xml:space="preserve"> </w:t>
      </w:r>
      <w:r w:rsidRPr="00BE0C02">
        <w:rPr>
          <w:szCs w:val="19"/>
        </w:rPr>
        <w:t>Consequential amendments are made to the applicability of the reporting entity definition in AASB</w:t>
      </w:r>
      <w:r w:rsidR="008039E5" w:rsidRPr="00BE0C02">
        <w:rPr>
          <w:szCs w:val="19"/>
        </w:rPr>
        <w:t> </w:t>
      </w:r>
      <w:r w:rsidRPr="00BE0C02">
        <w:rPr>
          <w:szCs w:val="19"/>
        </w:rPr>
        <w:t xml:space="preserve">1057, which is not relevant to entities applying the </w:t>
      </w:r>
      <w:r w:rsidRPr="00BE0C02">
        <w:rPr>
          <w:i/>
          <w:szCs w:val="19"/>
        </w:rPr>
        <w:t>Conceptual Framework</w:t>
      </w:r>
      <w:r w:rsidRPr="00BE0C02">
        <w:rPr>
          <w:szCs w:val="19"/>
        </w:rPr>
        <w:t xml:space="preserve">. </w:t>
      </w:r>
    </w:p>
    <w:p w14:paraId="2CAF1698" w14:textId="2E70A034" w:rsidR="00CD22B9" w:rsidRPr="00BE0C02" w:rsidRDefault="00CD22B9" w:rsidP="007E6349">
      <w:pPr>
        <w:pStyle w:val="NumBC1"/>
        <w:numPr>
          <w:ilvl w:val="0"/>
          <w:numId w:val="27"/>
        </w:numPr>
        <w:ind w:left="782" w:hanging="782"/>
        <w:rPr>
          <w:szCs w:val="19"/>
        </w:rPr>
      </w:pPr>
      <w:r w:rsidRPr="00BE0C02">
        <w:rPr>
          <w:szCs w:val="19"/>
        </w:rPr>
        <w:t xml:space="preserve">Therefore, with these amendments, an entity that is required to apply the </w:t>
      </w:r>
      <w:r w:rsidRPr="00BE0C02">
        <w:rPr>
          <w:i/>
          <w:szCs w:val="19"/>
        </w:rPr>
        <w:t>Conceptual Framework</w:t>
      </w:r>
      <w:r w:rsidRPr="00BE0C02">
        <w:rPr>
          <w:szCs w:val="19"/>
        </w:rPr>
        <w:t xml:space="preserve"> cannot identify as a non-reporting entity under SAC 1 or AASB 1057. As a consequence, the </w:t>
      </w:r>
      <w:r w:rsidR="008511F5" w:rsidRPr="00BE0C02">
        <w:rPr>
          <w:szCs w:val="19"/>
        </w:rPr>
        <w:t>ability of</w:t>
      </w:r>
      <w:r w:rsidRPr="00BE0C02">
        <w:rPr>
          <w:szCs w:val="19"/>
        </w:rPr>
        <w:t xml:space="preserve"> such an entity to prepare SPFS is removed and the entity will be required to prepare GPFS that comply with AAS (or accounting standards under legislative requirements).</w:t>
      </w:r>
      <w:r w:rsidR="0037284C" w:rsidRPr="00BE0C02">
        <w:rPr>
          <w:szCs w:val="19"/>
        </w:rPr>
        <w:t xml:space="preserve">  For the avoidance of doubt, </w:t>
      </w:r>
      <w:r w:rsidR="00B42FCE" w:rsidRPr="00BE0C02">
        <w:rPr>
          <w:szCs w:val="19"/>
        </w:rPr>
        <w:t xml:space="preserve">an entity applying the </w:t>
      </w:r>
      <w:r w:rsidR="00B42FCE" w:rsidRPr="00BE0C02">
        <w:rPr>
          <w:i/>
          <w:iCs/>
          <w:szCs w:val="19"/>
        </w:rPr>
        <w:t xml:space="preserve">Conceptual Framework </w:t>
      </w:r>
      <w:r w:rsidR="00B42FCE" w:rsidRPr="00BE0C02">
        <w:rPr>
          <w:szCs w:val="19"/>
        </w:rPr>
        <w:t xml:space="preserve">cannot apply the </w:t>
      </w:r>
      <w:r w:rsidR="0037284C" w:rsidRPr="00BE0C02">
        <w:rPr>
          <w:szCs w:val="19"/>
        </w:rPr>
        <w:t xml:space="preserve">definition of reporting entity </w:t>
      </w:r>
      <w:r w:rsidR="00B42FCE" w:rsidRPr="00BE0C02">
        <w:rPr>
          <w:szCs w:val="19"/>
        </w:rPr>
        <w:t>outlined in SAC 1 or AASB 1057.</w:t>
      </w:r>
    </w:p>
    <w:p w14:paraId="03D6518A" w14:textId="7CF75C1A" w:rsidR="00BA27A0" w:rsidRPr="00BE0C02" w:rsidRDefault="00CD22B9" w:rsidP="007E6349">
      <w:pPr>
        <w:pStyle w:val="NumBC1"/>
        <w:numPr>
          <w:ilvl w:val="0"/>
          <w:numId w:val="27"/>
        </w:numPr>
        <w:ind w:left="782" w:hanging="782"/>
        <w:rPr>
          <w:szCs w:val="19"/>
        </w:rPr>
      </w:pPr>
      <w:bookmarkStart w:id="145" w:name="_Ref14956033"/>
      <w:r w:rsidRPr="00BE0C02">
        <w:rPr>
          <w:szCs w:val="19"/>
        </w:rPr>
        <w:t>The application paragraph of AASB 1057 is extended to state that it will apply to for-profit private sector entities that are required by legislation to comply with</w:t>
      </w:r>
      <w:r w:rsidR="001263B0" w:rsidRPr="00BE0C02">
        <w:rPr>
          <w:szCs w:val="19"/>
        </w:rPr>
        <w:t xml:space="preserve"> either</w:t>
      </w:r>
      <w:r w:rsidRPr="00BE0C02">
        <w:rPr>
          <w:szCs w:val="19"/>
        </w:rPr>
        <w:t xml:space="preserve"> AAS or accounting standards, and other for-profit private sector entities that are required only by their constituting document or another document to comply with </w:t>
      </w:r>
      <w:r w:rsidR="00BA27A0" w:rsidRPr="00BE0C02">
        <w:rPr>
          <w:szCs w:val="19"/>
        </w:rPr>
        <w:t xml:space="preserve">AAS </w:t>
      </w:r>
      <w:r w:rsidRPr="00BE0C02">
        <w:rPr>
          <w:szCs w:val="19"/>
        </w:rPr>
        <w:t xml:space="preserve">(provided that the relevant document was created or amended on or after 1 July </w:t>
      </w:r>
      <w:r w:rsidR="00F21FF4" w:rsidRPr="00BE0C02">
        <w:rPr>
          <w:szCs w:val="19"/>
        </w:rPr>
        <w:t>2021</w:t>
      </w:r>
      <w:r w:rsidRPr="00BE0C02">
        <w:rPr>
          <w:szCs w:val="19"/>
        </w:rPr>
        <w:t>).</w:t>
      </w:r>
      <w:r w:rsidR="008511F5" w:rsidRPr="00BE0C02">
        <w:rPr>
          <w:szCs w:val="19"/>
        </w:rPr>
        <w:t xml:space="preserve"> </w:t>
      </w:r>
      <w:r w:rsidRPr="00BE0C02">
        <w:rPr>
          <w:szCs w:val="19"/>
        </w:rPr>
        <w:t>The application paragraphs of the other Standards and Interpretations, as set out in AASB</w:t>
      </w:r>
      <w:r w:rsidR="008039E5" w:rsidRPr="00BE0C02">
        <w:rPr>
          <w:szCs w:val="19"/>
        </w:rPr>
        <w:t> </w:t>
      </w:r>
      <w:r w:rsidRPr="00BE0C02">
        <w:rPr>
          <w:szCs w:val="19"/>
        </w:rPr>
        <w:t>1057, are extended similarly.</w:t>
      </w:r>
      <w:bookmarkEnd w:id="145"/>
    </w:p>
    <w:p w14:paraId="5DDDE44D" w14:textId="4A872EDF" w:rsidR="00F21FF4" w:rsidRPr="00BE0C02" w:rsidRDefault="00F21FF4" w:rsidP="007E6349">
      <w:pPr>
        <w:pStyle w:val="NumBC1"/>
        <w:numPr>
          <w:ilvl w:val="0"/>
          <w:numId w:val="27"/>
        </w:numPr>
        <w:ind w:left="782" w:hanging="782"/>
        <w:rPr>
          <w:szCs w:val="19"/>
        </w:rPr>
      </w:pPr>
      <w:r w:rsidRPr="00BE0C02">
        <w:rPr>
          <w:szCs w:val="19"/>
        </w:rPr>
        <w:t xml:space="preserve">In respect of entities that voluntarily choose to </w:t>
      </w:r>
      <w:r w:rsidR="00EE2342" w:rsidRPr="00BE0C02">
        <w:rPr>
          <w:szCs w:val="19"/>
        </w:rPr>
        <w:t xml:space="preserve">prepare GPFS, the Board </w:t>
      </w:r>
      <w:r w:rsidR="00D32E58" w:rsidRPr="00BE0C02">
        <w:rPr>
          <w:szCs w:val="19"/>
        </w:rPr>
        <w:t>proposed</w:t>
      </w:r>
      <w:r w:rsidR="00F62522" w:rsidRPr="00BE0C02">
        <w:rPr>
          <w:szCs w:val="19"/>
        </w:rPr>
        <w:t xml:space="preserve"> in ED 297</w:t>
      </w:r>
      <w:r w:rsidR="00EE2342" w:rsidRPr="00BE0C02">
        <w:rPr>
          <w:szCs w:val="19"/>
        </w:rPr>
        <w:t xml:space="preserve"> </w:t>
      </w:r>
      <w:r w:rsidR="00EF0FB8" w:rsidRPr="00BE0C02">
        <w:rPr>
          <w:szCs w:val="19"/>
        </w:rPr>
        <w:t xml:space="preserve">to permit such entities to </w:t>
      </w:r>
      <w:r w:rsidR="004408EC" w:rsidRPr="00BE0C02">
        <w:rPr>
          <w:szCs w:val="19"/>
        </w:rPr>
        <w:t xml:space="preserve">apply either the revised </w:t>
      </w:r>
      <w:r w:rsidR="004408EC" w:rsidRPr="00BE0C02">
        <w:rPr>
          <w:i/>
          <w:iCs/>
          <w:szCs w:val="19"/>
        </w:rPr>
        <w:t>Conceptual Framework</w:t>
      </w:r>
      <w:r w:rsidR="004408EC" w:rsidRPr="00BE0C02">
        <w:rPr>
          <w:szCs w:val="19"/>
        </w:rPr>
        <w:t xml:space="preserve"> or the </w:t>
      </w:r>
      <w:r w:rsidR="00B80978" w:rsidRPr="00BE0C02">
        <w:rPr>
          <w:i/>
          <w:iCs/>
          <w:szCs w:val="19"/>
        </w:rPr>
        <w:t>Framework for the Preparation and Presentation of Financial Statements</w:t>
      </w:r>
      <w:r w:rsidR="00B80978" w:rsidRPr="00BE0C02">
        <w:rPr>
          <w:szCs w:val="19"/>
        </w:rPr>
        <w:t>.</w:t>
      </w:r>
      <w:r w:rsidR="00AC156D" w:rsidRPr="00BE0C02">
        <w:rPr>
          <w:szCs w:val="19"/>
        </w:rPr>
        <w:t xml:space="preserve"> </w:t>
      </w:r>
      <w:r w:rsidR="00D32E58" w:rsidRPr="00BE0C02">
        <w:rPr>
          <w:szCs w:val="19"/>
        </w:rPr>
        <w:t xml:space="preserve">However, many respondents disagreed with this proposal, and </w:t>
      </w:r>
      <w:r w:rsidR="00810D85" w:rsidRPr="00BE0C02">
        <w:rPr>
          <w:szCs w:val="19"/>
        </w:rPr>
        <w:t xml:space="preserve">preferred </w:t>
      </w:r>
      <w:r w:rsidR="00987BC3" w:rsidRPr="00BE0C02">
        <w:rPr>
          <w:szCs w:val="19"/>
        </w:rPr>
        <w:t xml:space="preserve">that voluntary GPFS preparers are restricted to applying only the revised </w:t>
      </w:r>
      <w:r w:rsidR="00987BC3" w:rsidRPr="00BE0C02">
        <w:rPr>
          <w:i/>
          <w:iCs/>
          <w:szCs w:val="19"/>
        </w:rPr>
        <w:t>Conceptual Framework</w:t>
      </w:r>
      <w:r w:rsidR="00987BC3" w:rsidRPr="00BE0C02">
        <w:rPr>
          <w:szCs w:val="19"/>
        </w:rPr>
        <w:t xml:space="preserve">. </w:t>
      </w:r>
      <w:r w:rsidR="00C626A4" w:rsidRPr="00BE0C02">
        <w:rPr>
          <w:szCs w:val="19"/>
        </w:rPr>
        <w:t xml:space="preserve">In response, the Board decided </w:t>
      </w:r>
      <w:r w:rsidR="009645A2" w:rsidRPr="00BE0C02">
        <w:rPr>
          <w:szCs w:val="19"/>
        </w:rPr>
        <w:t xml:space="preserve">to require entities </w:t>
      </w:r>
      <w:r w:rsidR="00E64666" w:rsidRPr="00BE0C02">
        <w:rPr>
          <w:szCs w:val="19"/>
        </w:rPr>
        <w:t>that voluntar</w:t>
      </w:r>
      <w:r w:rsidR="00E9547A">
        <w:rPr>
          <w:szCs w:val="19"/>
        </w:rPr>
        <w:t>il</w:t>
      </w:r>
      <w:r w:rsidR="00E64666" w:rsidRPr="00BE0C02">
        <w:rPr>
          <w:szCs w:val="19"/>
        </w:rPr>
        <w:t xml:space="preserve">y prepare GPFS to apply the revised </w:t>
      </w:r>
      <w:r w:rsidR="00E64666" w:rsidRPr="00BE0C02">
        <w:rPr>
          <w:i/>
          <w:iCs/>
          <w:szCs w:val="19"/>
        </w:rPr>
        <w:t>Conceptual Framework</w:t>
      </w:r>
      <w:r w:rsidR="00E64666" w:rsidRPr="00BE0C02">
        <w:rPr>
          <w:szCs w:val="19"/>
        </w:rPr>
        <w:t xml:space="preserve"> once it becomes applicable</w:t>
      </w:r>
      <w:r w:rsidR="00E82170" w:rsidRPr="00BE0C02">
        <w:rPr>
          <w:szCs w:val="19"/>
        </w:rPr>
        <w:t xml:space="preserve">. The Board considered that allowing either framework for voluntary GPFS preparation could perpetuate problems that this </w:t>
      </w:r>
      <w:r w:rsidR="000D41BC" w:rsidRPr="00BE0C02">
        <w:rPr>
          <w:szCs w:val="19"/>
        </w:rPr>
        <w:t>Standard intended</w:t>
      </w:r>
      <w:r w:rsidR="00E82170" w:rsidRPr="00BE0C02">
        <w:rPr>
          <w:szCs w:val="19"/>
        </w:rPr>
        <w:t xml:space="preserve"> to resolve, such as maintaining two conceptual frameworks (which will anyway occur in the medium term due to other exemptions), creating confusion about what compliance with AAS means, and two entities preparing GPFS may </w:t>
      </w:r>
      <w:r w:rsidR="00CB27A3">
        <w:rPr>
          <w:szCs w:val="19"/>
        </w:rPr>
        <w:t xml:space="preserve">adopt </w:t>
      </w:r>
      <w:r w:rsidR="00E82170" w:rsidRPr="00BE0C02">
        <w:rPr>
          <w:szCs w:val="19"/>
        </w:rPr>
        <w:t>different accounting policies for like transactions. Allowing either framework also means that preparing GPFS would not necessarily lead to IFRS compliance.</w:t>
      </w:r>
    </w:p>
    <w:p w14:paraId="1A680654" w14:textId="429BDCE9" w:rsidR="00862384" w:rsidRPr="00BE0C02" w:rsidRDefault="00CD22B9" w:rsidP="007E6349">
      <w:pPr>
        <w:pStyle w:val="NumBC1"/>
        <w:numPr>
          <w:ilvl w:val="0"/>
          <w:numId w:val="27"/>
        </w:numPr>
        <w:ind w:left="782" w:hanging="782"/>
      </w:pPr>
      <w:bookmarkStart w:id="146" w:name="_Ref13472230"/>
      <w:r w:rsidRPr="00BE0C02">
        <w:rPr>
          <w:szCs w:val="19"/>
        </w:rPr>
        <w:t xml:space="preserve">The AusCF paragraphs in AAS that were introduced in AASB 2019-1 do not need to be amended in this </w:t>
      </w:r>
      <w:r w:rsidR="00334112" w:rsidRPr="00BE0C02">
        <w:rPr>
          <w:szCs w:val="19"/>
        </w:rPr>
        <w:t>Standard</w:t>
      </w:r>
      <w:r w:rsidRPr="00BE0C02">
        <w:rPr>
          <w:szCs w:val="19"/>
        </w:rPr>
        <w:t>.</w:t>
      </w:r>
      <w:r w:rsidR="008511F5" w:rsidRPr="00BE0C02">
        <w:rPr>
          <w:szCs w:val="19"/>
        </w:rPr>
        <w:t xml:space="preserve"> </w:t>
      </w:r>
      <w:r w:rsidRPr="00BE0C02">
        <w:rPr>
          <w:szCs w:val="19"/>
        </w:rPr>
        <w:t xml:space="preserve">The definition of AusCF entities as NFP entities and for-profit entities that are not applying the </w:t>
      </w:r>
      <w:r w:rsidRPr="00BE0C02">
        <w:rPr>
          <w:i/>
          <w:szCs w:val="19"/>
        </w:rPr>
        <w:t>Conceptual Framework</w:t>
      </w:r>
      <w:r w:rsidR="008039E5" w:rsidRPr="00BE0C02">
        <w:rPr>
          <w:szCs w:val="19"/>
        </w:rPr>
        <w:t>,</w:t>
      </w:r>
      <w:r w:rsidRPr="00BE0C02">
        <w:rPr>
          <w:szCs w:val="19"/>
        </w:rPr>
        <w:t xml:space="preserve"> as introduced in AASB 2019-1</w:t>
      </w:r>
      <w:r w:rsidR="008039E5" w:rsidRPr="00BE0C02">
        <w:rPr>
          <w:szCs w:val="19"/>
        </w:rPr>
        <w:t>,</w:t>
      </w:r>
      <w:r w:rsidRPr="00BE0C02">
        <w:rPr>
          <w:szCs w:val="19"/>
        </w:rPr>
        <w:t xml:space="preserve"> will continue to apply</w:t>
      </w:r>
      <w:r w:rsidR="003316F3" w:rsidRPr="00BE0C02">
        <w:rPr>
          <w:szCs w:val="19"/>
        </w:rPr>
        <w:t xml:space="preserve">, but with a limited </w:t>
      </w:r>
      <w:r w:rsidR="002E5613" w:rsidRPr="00BE0C02">
        <w:rPr>
          <w:szCs w:val="19"/>
        </w:rPr>
        <w:t xml:space="preserve">scope </w:t>
      </w:r>
      <w:r w:rsidR="00FD60AC" w:rsidRPr="00BE0C02">
        <w:rPr>
          <w:szCs w:val="19"/>
        </w:rPr>
        <w:t>such that those paragraphs would only be relevant to FP entities not within the scope of this Standard</w:t>
      </w:r>
      <w:r w:rsidRPr="00BE0C02">
        <w:rPr>
          <w:szCs w:val="19"/>
        </w:rPr>
        <w:t xml:space="preserve">. The phase 2 amendments reduce the set of for-profit entities that are not applying the </w:t>
      </w:r>
      <w:r w:rsidRPr="00BE0C02">
        <w:rPr>
          <w:i/>
          <w:szCs w:val="19"/>
        </w:rPr>
        <w:t>Conceptual Framework</w:t>
      </w:r>
      <w:r w:rsidRPr="00BE0C02">
        <w:rPr>
          <w:szCs w:val="19"/>
        </w:rPr>
        <w:t>.</w:t>
      </w:r>
      <w:bookmarkEnd w:id="144"/>
      <w:bookmarkEnd w:id="146"/>
    </w:p>
    <w:sectPr w:rsidR="00862384" w:rsidRPr="00BE0C02" w:rsidSect="005420ED">
      <w:headerReference w:type="even" r:id="rId28"/>
      <w:footerReference w:type="default" r:id="rId29"/>
      <w:headerReference w:type="first" r:id="rId30"/>
      <w:footnotePr>
        <w:numRestart w:val="eachSect"/>
      </w:footnotePr>
      <w:pgSz w:w="11907" w:h="16840" w:code="9"/>
      <w:pgMar w:top="1418" w:right="1418" w:bottom="1418" w:left="1418" w:header="709" w:footer="709" w:gutter="0"/>
      <w:paperSrc w:first="7" w:other="7"/>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82881" w14:textId="77777777" w:rsidR="00264656" w:rsidRDefault="00264656">
      <w:r>
        <w:separator/>
      </w:r>
    </w:p>
  </w:endnote>
  <w:endnote w:type="continuationSeparator" w:id="0">
    <w:p w14:paraId="7BA00E4E" w14:textId="77777777" w:rsidR="00264656" w:rsidRDefault="00264656">
      <w:r>
        <w:continuationSeparator/>
      </w:r>
    </w:p>
  </w:endnote>
  <w:endnote w:type="continuationNotice" w:id="1">
    <w:p w14:paraId="49CD32CB" w14:textId="77777777" w:rsidR="00264656" w:rsidRDefault="002646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D9A1D" w14:textId="31EA70F0" w:rsidR="00123D86" w:rsidRDefault="002A07B4">
    <w:pPr>
      <w:pStyle w:val="Footer"/>
      <w:rPr>
        <w:b/>
      </w:rPr>
    </w:pPr>
    <w:r>
      <w:rPr>
        <w:b/>
      </w:rPr>
      <w:t>AASB 2020-2</w:t>
    </w:r>
    <w:r w:rsidR="00123D86">
      <w:rPr>
        <w:b/>
      </w:rPr>
      <w:tab/>
    </w:r>
    <w:r w:rsidR="00123D86">
      <w:fldChar w:fldCharType="begin"/>
    </w:r>
    <w:r w:rsidR="00123D86">
      <w:instrText>PAGE</w:instrText>
    </w:r>
    <w:r w:rsidR="00123D86">
      <w:fldChar w:fldCharType="separate"/>
    </w:r>
    <w:r w:rsidR="00123D86">
      <w:rPr>
        <w:noProof/>
      </w:rPr>
      <w:t>2</w:t>
    </w:r>
    <w:r w:rsidR="00123D86">
      <w:fldChar w:fldCharType="end"/>
    </w:r>
    <w:r w:rsidR="00123D86">
      <w:tab/>
    </w:r>
    <w:r w:rsidR="00123D86">
      <w:rPr>
        <w:b/>
        <w:bCs/>
      </w:rPr>
      <w:t>COPYRIGHT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079CE" w14:textId="09FB85AD" w:rsidR="00123D86" w:rsidRDefault="002A07B4">
    <w:pPr>
      <w:pStyle w:val="Footer"/>
      <w:rPr>
        <w:b/>
      </w:rPr>
    </w:pPr>
    <w:r>
      <w:rPr>
        <w:b/>
      </w:rPr>
      <w:t>AASB 2020-2</w:t>
    </w:r>
    <w:r w:rsidR="00123D86">
      <w:rPr>
        <w:b/>
      </w:rPr>
      <w:tab/>
    </w:r>
    <w:r w:rsidR="00123D86">
      <w:fldChar w:fldCharType="begin"/>
    </w:r>
    <w:r w:rsidR="00123D86">
      <w:instrText>PAGE</w:instrText>
    </w:r>
    <w:r w:rsidR="00123D86">
      <w:fldChar w:fldCharType="separate"/>
    </w:r>
    <w:r w:rsidR="00123D86">
      <w:rPr>
        <w:noProof/>
      </w:rPr>
      <w:t>15</w:t>
    </w:r>
    <w:r w:rsidR="00123D86">
      <w:fldChar w:fldCharType="end"/>
    </w:r>
    <w:r w:rsidR="00123D86">
      <w:tab/>
    </w:r>
    <w:r w:rsidR="00123D86" w:rsidRPr="00E51696">
      <w:rPr>
        <w:b/>
      </w:rPr>
      <w:t>CONTENTS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8891F" w14:textId="1143F333" w:rsidR="00123D86" w:rsidRDefault="002A07B4">
    <w:pPr>
      <w:pStyle w:val="Footer"/>
      <w:rPr>
        <w:b/>
      </w:rPr>
    </w:pPr>
    <w:r>
      <w:rPr>
        <w:b/>
      </w:rPr>
      <w:t>AASB 2020-2</w:t>
    </w:r>
    <w:r w:rsidR="00123D86">
      <w:rPr>
        <w:b/>
      </w:rPr>
      <w:tab/>
    </w:r>
    <w:r w:rsidR="00123D86">
      <w:fldChar w:fldCharType="begin"/>
    </w:r>
    <w:r w:rsidR="00123D86">
      <w:instrText>PAGE</w:instrText>
    </w:r>
    <w:r w:rsidR="00123D86">
      <w:fldChar w:fldCharType="separate"/>
    </w:r>
    <w:r w:rsidR="00123D86">
      <w:rPr>
        <w:noProof/>
      </w:rPr>
      <w:t>16</w:t>
    </w:r>
    <w:r w:rsidR="00123D86">
      <w:fldChar w:fldCharType="end"/>
    </w:r>
    <w:r w:rsidR="00123D86">
      <w:tab/>
    </w:r>
    <w:r w:rsidR="00123D86">
      <w:rPr>
        <w:b/>
      </w:rPr>
      <w:t>PREFACE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6C954" w14:textId="7E24A54E" w:rsidR="00123D86" w:rsidRDefault="002A07B4" w:rsidP="00801CE1">
    <w:pPr>
      <w:pStyle w:val="Footer"/>
      <w:rPr>
        <w:b/>
      </w:rPr>
    </w:pPr>
    <w:r>
      <w:rPr>
        <w:b/>
      </w:rPr>
      <w:t>AASB 2020-2</w:t>
    </w:r>
    <w:r w:rsidR="00123D86">
      <w:rPr>
        <w:b/>
      </w:rPr>
      <w:tab/>
    </w:r>
    <w:r w:rsidR="00123D86">
      <w:fldChar w:fldCharType="begin"/>
    </w:r>
    <w:r w:rsidR="00123D86">
      <w:instrText>PAGE</w:instrText>
    </w:r>
    <w:r w:rsidR="00123D86">
      <w:fldChar w:fldCharType="separate"/>
    </w:r>
    <w:r w:rsidR="00123D86">
      <w:rPr>
        <w:noProof/>
      </w:rPr>
      <w:t>21</w:t>
    </w:r>
    <w:r w:rsidR="00123D86">
      <w:fldChar w:fldCharType="end"/>
    </w:r>
    <w:r w:rsidR="00123D86">
      <w:tab/>
    </w:r>
    <w:r w:rsidR="00123D86">
      <w:rPr>
        <w:b/>
      </w:rPr>
      <w:t>STANDARD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7923B" w14:textId="77777777" w:rsidR="00123D86" w:rsidRDefault="00123D8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94559" w14:textId="5EE69F70" w:rsidR="00123D86" w:rsidRDefault="002A07B4" w:rsidP="00801CE1">
    <w:pPr>
      <w:pStyle w:val="Footer"/>
      <w:rPr>
        <w:b/>
      </w:rPr>
    </w:pPr>
    <w:r>
      <w:rPr>
        <w:b/>
      </w:rPr>
      <w:t>AASB 2020-2</w:t>
    </w:r>
    <w:r w:rsidR="00123D86" w:rsidRPr="002B5F3B">
      <w:rPr>
        <w:b/>
      </w:rPr>
      <w:tab/>
    </w:r>
    <w:r w:rsidR="00123D86" w:rsidRPr="002B5F3B">
      <w:fldChar w:fldCharType="begin"/>
    </w:r>
    <w:r w:rsidR="00123D86" w:rsidRPr="002B5F3B">
      <w:instrText>PAGE</w:instrText>
    </w:r>
    <w:r w:rsidR="00123D86" w:rsidRPr="002B5F3B">
      <w:fldChar w:fldCharType="separate"/>
    </w:r>
    <w:r w:rsidR="00123D86" w:rsidRPr="002B5F3B">
      <w:rPr>
        <w:noProof/>
      </w:rPr>
      <w:t>48</w:t>
    </w:r>
    <w:r w:rsidR="00123D86" w:rsidRPr="002B5F3B">
      <w:fldChar w:fldCharType="end"/>
    </w:r>
    <w:r w:rsidR="00123D86" w:rsidRPr="002B5F3B">
      <w:tab/>
    </w:r>
    <w:r w:rsidR="00123D86" w:rsidRPr="002B5F3B">
      <w:rPr>
        <w:b/>
      </w:rPr>
      <w:t>BASIS FOR CONCLUSIONS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5FEBD" w14:textId="77777777" w:rsidR="00264656" w:rsidRDefault="00264656">
      <w:r>
        <w:separator/>
      </w:r>
    </w:p>
  </w:footnote>
  <w:footnote w:type="continuationSeparator" w:id="0">
    <w:p w14:paraId="2C4BB048" w14:textId="77777777" w:rsidR="00264656" w:rsidRDefault="00264656">
      <w:r>
        <w:continuationSeparator/>
      </w:r>
    </w:p>
  </w:footnote>
  <w:footnote w:type="continuationNotice" w:id="1">
    <w:p w14:paraId="68F761BE" w14:textId="77777777" w:rsidR="00264656" w:rsidRDefault="00264656"/>
  </w:footnote>
  <w:footnote w:id="2">
    <w:p w14:paraId="779EDD57" w14:textId="41BA2F67" w:rsidR="00123D86" w:rsidRDefault="00123D86" w:rsidP="0059612B">
      <w:pPr>
        <w:pStyle w:val="FootnoteText"/>
        <w:ind w:left="336" w:hanging="336"/>
      </w:pPr>
      <w:r w:rsidRPr="0059612B">
        <w:rPr>
          <w:rStyle w:val="FootnoteReference"/>
          <w:vertAlign w:val="baseline"/>
        </w:rPr>
        <w:footnoteRef/>
      </w:r>
      <w:r w:rsidRPr="0059612B">
        <w:tab/>
      </w:r>
      <w:r>
        <w:t xml:space="preserve">AASB Staff Paper </w:t>
      </w:r>
      <w:r w:rsidRPr="003C67CF">
        <w:rPr>
          <w:i/>
        </w:rPr>
        <w:t xml:space="preserve">Enhancing the revised </w:t>
      </w:r>
      <w:r w:rsidRPr="002E259F">
        <w:t>Conceptual</w:t>
      </w:r>
      <w:r w:rsidRPr="003C67CF">
        <w:t xml:space="preserve"> </w:t>
      </w:r>
      <w:r w:rsidRPr="002E259F">
        <w:t>Framework</w:t>
      </w:r>
      <w:r w:rsidRPr="003C67CF">
        <w:rPr>
          <w:i/>
        </w:rPr>
        <w:t xml:space="preserve"> and replacing Special Purpose Financial Statements </w:t>
      </w:r>
      <w:r>
        <w:rPr>
          <w:i/>
        </w:rPr>
        <w:t xml:space="preserve">– </w:t>
      </w:r>
      <w:r w:rsidRPr="003C67CF">
        <w:rPr>
          <w:i/>
        </w:rPr>
        <w:t>For-profit User and Preparer Survey Results</w:t>
      </w:r>
      <w:r>
        <w:t xml:space="preserve"> (December 2018).</w:t>
      </w:r>
      <w:r>
        <w:rPr>
          <w:szCs w:val="16"/>
        </w:rPr>
        <w:t xml:space="preserve"> ‘Primary users’ refers to users that meet the definition of primary users in AASB Practice Statement 2 </w:t>
      </w:r>
      <w:r>
        <w:rPr>
          <w:i/>
          <w:iCs/>
          <w:szCs w:val="16"/>
        </w:rPr>
        <w:t xml:space="preserve">Making Materiality Judgements </w:t>
      </w:r>
      <w:r>
        <w:rPr>
          <w:szCs w:val="16"/>
        </w:rPr>
        <w:t>(ie investors (and analysts), lenders and other creditors) and all other respondents are referred to as ‘other users’.</w:t>
      </w:r>
    </w:p>
  </w:footnote>
  <w:footnote w:id="3">
    <w:p w14:paraId="5F341B3C" w14:textId="35CC12EF" w:rsidR="00123D86" w:rsidRPr="00A26073" w:rsidRDefault="00123D86" w:rsidP="00530C69">
      <w:pPr>
        <w:pStyle w:val="FootnoteText"/>
      </w:pPr>
      <w:r w:rsidRPr="00A26073">
        <w:rPr>
          <w:rStyle w:val="FootnoteReference"/>
          <w:vertAlign w:val="baseline"/>
        </w:rPr>
        <w:footnoteRef/>
      </w:r>
      <w:r w:rsidRPr="00A26073">
        <w:t xml:space="preserve"> </w:t>
      </w:r>
      <w:r>
        <w:tab/>
        <w:t>In this Basis for Conclusions, the reference to AAS in this phrase also includes accounting standards as referred to in legislation (this means legislation of a government in Australia).</w:t>
      </w:r>
    </w:p>
  </w:footnote>
  <w:footnote w:id="4">
    <w:p w14:paraId="249E409A" w14:textId="4B214065" w:rsidR="00123D86" w:rsidRDefault="00123D86" w:rsidP="00CD22B9">
      <w:pPr>
        <w:pStyle w:val="FootnoteText"/>
      </w:pPr>
      <w:r w:rsidRPr="0059612B">
        <w:rPr>
          <w:rStyle w:val="FootnoteReference"/>
          <w:vertAlign w:val="baseline"/>
        </w:rPr>
        <w:footnoteRef/>
      </w:r>
      <w:r w:rsidRPr="0059612B">
        <w:t xml:space="preserve"> </w:t>
      </w:r>
      <w:r>
        <w:tab/>
        <w:t xml:space="preserve">The Australian concept of the reporting entity would be retained for entities outside the scope of this Standard (and AASB 2019-1 </w:t>
      </w:r>
      <w:r w:rsidRPr="00826615">
        <w:rPr>
          <w:i/>
        </w:rPr>
        <w:t xml:space="preserve">Amendments to Australian Accounting Standards </w:t>
      </w:r>
      <w:r>
        <w:rPr>
          <w:i/>
        </w:rPr>
        <w:t>–</w:t>
      </w:r>
      <w:r w:rsidRPr="00826615">
        <w:rPr>
          <w:i/>
        </w:rPr>
        <w:t xml:space="preserve"> References to the Conceptual Framework</w:t>
      </w:r>
      <w:r>
        <w:t>). The Board will consider the financial reporting framework for these entities in the future.</w:t>
      </w:r>
    </w:p>
  </w:footnote>
  <w:footnote w:id="5">
    <w:p w14:paraId="6621204C" w14:textId="77777777" w:rsidR="00123D86" w:rsidRDefault="00123D86" w:rsidP="00826615">
      <w:pPr>
        <w:pStyle w:val="FootnoteText"/>
      </w:pPr>
      <w:r w:rsidRPr="0059612B">
        <w:rPr>
          <w:rStyle w:val="FootnoteReference"/>
          <w:vertAlign w:val="baseline"/>
        </w:rPr>
        <w:footnoteRef/>
      </w:r>
      <w:r w:rsidRPr="0059612B">
        <w:t xml:space="preserve"> </w:t>
      </w:r>
      <w:r>
        <w:tab/>
        <w:t>Currently, Australian Accounting Standards consist of two Tiers of reporting requirements for preparing general purpose financial statements:</w:t>
      </w:r>
    </w:p>
    <w:p w14:paraId="1FE0E0F9" w14:textId="77777777" w:rsidR="00123D86" w:rsidRDefault="00123D86" w:rsidP="00826615">
      <w:pPr>
        <w:pStyle w:val="FootnoteText"/>
        <w:ind w:firstLine="0"/>
      </w:pPr>
      <w:r>
        <w:t>(a)</w:t>
      </w:r>
      <w:r>
        <w:tab/>
        <w:t>Tier 1: Australian Accounting Standards; and</w:t>
      </w:r>
    </w:p>
    <w:p w14:paraId="11237060" w14:textId="77777777" w:rsidR="00123D86" w:rsidRDefault="00123D86" w:rsidP="00826615">
      <w:pPr>
        <w:pStyle w:val="FootnoteText"/>
        <w:ind w:firstLine="0"/>
      </w:pPr>
      <w:r>
        <w:t>(b)</w:t>
      </w:r>
      <w:r>
        <w:tab/>
        <w:t xml:space="preserve">Tier 2: Australian Accounting Standards – Reduced Disclosure Requirements. </w:t>
      </w:r>
    </w:p>
    <w:p w14:paraId="275F2061" w14:textId="1A6A44A2" w:rsidR="00123D86" w:rsidRDefault="00123D86" w:rsidP="00CD22B9">
      <w:pPr>
        <w:pStyle w:val="FootnoteText"/>
        <w:ind w:firstLine="0"/>
      </w:pPr>
      <w:r>
        <w:t xml:space="preserve">(See paragraph 7 of AASB 1053 </w:t>
      </w:r>
      <w:r>
        <w:rPr>
          <w:i/>
        </w:rPr>
        <w:t>Application of Tiers of Australian Accounting Standards</w:t>
      </w:r>
      <w:r>
        <w:t xml:space="preserve">.) However, the Board is considering what the most appropriate Tier 2 GPFS framework may be – see paragraph </w:t>
      </w:r>
      <w:r>
        <w:fldChar w:fldCharType="begin"/>
      </w:r>
      <w:r>
        <w:instrText xml:space="preserve"> REF _Ref9866904 \r \h </w:instrText>
      </w:r>
      <w:r>
        <w:fldChar w:fldCharType="separate"/>
      </w:r>
      <w:r w:rsidR="00E354C4">
        <w:t>BC95</w:t>
      </w:r>
      <w:r>
        <w:fldChar w:fldCharType="end"/>
      </w:r>
      <w:r>
        <w:t>.</w:t>
      </w:r>
    </w:p>
  </w:footnote>
  <w:footnote w:id="6">
    <w:p w14:paraId="18584240" w14:textId="77777777" w:rsidR="00123D86" w:rsidRDefault="00123D86" w:rsidP="00CD22B9">
      <w:pPr>
        <w:pStyle w:val="FootnoteText"/>
      </w:pPr>
      <w:r w:rsidRPr="0059612B">
        <w:rPr>
          <w:rStyle w:val="FootnoteReference"/>
          <w:vertAlign w:val="baseline"/>
        </w:rPr>
        <w:footnoteRef/>
      </w:r>
      <w:r w:rsidRPr="0059612B">
        <w:t xml:space="preserve"> </w:t>
      </w:r>
      <w:r w:rsidRPr="0059612B">
        <w:tab/>
      </w:r>
      <w:r>
        <w:t xml:space="preserve">See AASB Research Report No. 7 </w:t>
      </w:r>
      <w:r>
        <w:rPr>
          <w:i/>
        </w:rPr>
        <w:t>Financial Reporting Requirements Applicable to For-Profit Private Sector Companies</w:t>
      </w:r>
      <w:r>
        <w:t xml:space="preserve"> (May 2018) for a comparison of international financial reporting frameworks. </w:t>
      </w:r>
    </w:p>
  </w:footnote>
  <w:footnote w:id="7">
    <w:p w14:paraId="6024EA15" w14:textId="3ED4543C" w:rsidR="00123D86" w:rsidRDefault="00123D86" w:rsidP="000D214A">
      <w:pPr>
        <w:pStyle w:val="FootnoteText"/>
      </w:pPr>
      <w:r w:rsidRPr="007C6E48">
        <w:rPr>
          <w:rStyle w:val="FootnoteReference"/>
          <w:vertAlign w:val="baseline"/>
        </w:rPr>
        <w:footnoteRef/>
      </w:r>
      <w:r w:rsidRPr="007C6E48">
        <w:t xml:space="preserve"> </w:t>
      </w:r>
      <w:r w:rsidRPr="007C6E48">
        <w:tab/>
      </w:r>
      <w:r w:rsidRPr="007C6E48">
        <w:rPr>
          <w:szCs w:val="16"/>
        </w:rPr>
        <w:t xml:space="preserve">AASB Research Report </w:t>
      </w:r>
      <w:r>
        <w:rPr>
          <w:szCs w:val="16"/>
        </w:rPr>
        <w:t>12</w:t>
      </w:r>
      <w:r w:rsidRPr="007C6E48">
        <w:rPr>
          <w:szCs w:val="16"/>
        </w:rPr>
        <w:t xml:space="preserve"> </w:t>
      </w:r>
      <w:r w:rsidRPr="007C6E48">
        <w:rPr>
          <w:i/>
          <w:szCs w:val="16"/>
        </w:rPr>
        <w:t xml:space="preserve">Financial Reporting Practices of For-Profit Entities Lodging </w:t>
      </w:r>
      <w:r>
        <w:rPr>
          <w:i/>
          <w:szCs w:val="16"/>
        </w:rPr>
        <w:t>Special Purpose Financial Statements</w:t>
      </w:r>
      <w:r>
        <w:rPr>
          <w:iCs/>
          <w:szCs w:val="16"/>
        </w:rPr>
        <w:t xml:space="preserve"> (August 2019)</w:t>
      </w:r>
      <w:r w:rsidRPr="007C6E48">
        <w:rPr>
          <w:szCs w:val="16"/>
        </w:rPr>
        <w:t xml:space="preserve">. </w:t>
      </w:r>
      <w:r w:rsidRPr="007C6E48">
        <w:t xml:space="preserve">Research Report </w:t>
      </w:r>
      <w:r>
        <w:t>12</w:t>
      </w:r>
      <w:r w:rsidRPr="007C6E48">
        <w:t xml:space="preserve"> examines the financial reporting practices of for-profit entities, including large proprietary companies, small foreign-controlled proprietary companies, for-profit unlisted public companies and other small proprietary companies, lodging financial statements with ASIC. The findings of Research Report </w:t>
      </w:r>
      <w:r>
        <w:t>12</w:t>
      </w:r>
      <w:r w:rsidRPr="007C6E48">
        <w:t xml:space="preserve"> considered in this </w:t>
      </w:r>
      <w:r>
        <w:t>Standard</w:t>
      </w:r>
      <w:r w:rsidRPr="007C6E48">
        <w:t xml:space="preserve"> are limited to those that relate to entities within the scope of the proposals in this </w:t>
      </w:r>
      <w:r>
        <w:t>Standard,</w:t>
      </w:r>
      <w:r w:rsidRPr="007C6E48">
        <w:t xml:space="preserve"> that is large proprietary companies, small foreign-controlled proprietary companies and for-profit unlisted public companies limited by guarantee. These entities are referred to herein as the ‘specified for-profit entities’.</w:t>
      </w:r>
    </w:p>
  </w:footnote>
  <w:footnote w:id="8">
    <w:p w14:paraId="1636DBE3" w14:textId="7A51BF60" w:rsidR="00123D86" w:rsidRDefault="00123D86" w:rsidP="00CD22B9">
      <w:pPr>
        <w:pStyle w:val="FootnoteText"/>
      </w:pPr>
      <w:r w:rsidRPr="0059612B">
        <w:rPr>
          <w:rStyle w:val="FootnoteReference"/>
          <w:vertAlign w:val="baseline"/>
        </w:rPr>
        <w:footnoteRef/>
      </w:r>
      <w:r w:rsidRPr="00B62497">
        <w:t xml:space="preserve"> </w:t>
      </w:r>
      <w:r>
        <w:tab/>
        <w:t>Specified for-profit entities are large proprietary companies, small foreign-controlled companies and unlisted public companies.</w:t>
      </w:r>
    </w:p>
  </w:footnote>
  <w:footnote w:id="9">
    <w:p w14:paraId="70445594" w14:textId="6F7F8CF5" w:rsidR="005364AF" w:rsidRPr="005364AF" w:rsidRDefault="005364AF">
      <w:pPr>
        <w:pStyle w:val="FootnoteText"/>
        <w:rPr>
          <w:rStyle w:val="FootnoteReference"/>
          <w:vertAlign w:val="baseline"/>
        </w:rPr>
      </w:pPr>
      <w:r w:rsidRPr="005364AF">
        <w:rPr>
          <w:rStyle w:val="FootnoteReference"/>
          <w:vertAlign w:val="baseline"/>
        </w:rPr>
        <w:footnoteRef/>
      </w:r>
      <w:r w:rsidRPr="005364AF">
        <w:rPr>
          <w:rStyle w:val="FootnoteReference"/>
          <w:vertAlign w:val="baseline"/>
        </w:rPr>
        <w:t xml:space="preserve"> </w:t>
      </w:r>
      <w:r>
        <w:tab/>
        <w:t>Research Report No 12</w:t>
      </w:r>
    </w:p>
  </w:footnote>
  <w:footnote w:id="10">
    <w:p w14:paraId="6C38F842" w14:textId="68D76AC2" w:rsidR="00123D86" w:rsidRPr="00941FDB" w:rsidRDefault="00123D86" w:rsidP="00941FDB">
      <w:pPr>
        <w:pStyle w:val="FootnoteText"/>
        <w:rPr>
          <w:rStyle w:val="FootnoteReference"/>
          <w:vertAlign w:val="baseline"/>
        </w:rPr>
      </w:pPr>
      <w:r w:rsidRPr="00941FDB">
        <w:rPr>
          <w:rStyle w:val="FootnoteReference"/>
          <w:vertAlign w:val="baseline"/>
        </w:rPr>
        <w:footnoteRef/>
      </w:r>
      <w:r w:rsidRPr="00941FDB">
        <w:rPr>
          <w:rStyle w:val="FootnoteReference"/>
          <w:vertAlign w:val="baseline"/>
        </w:rPr>
        <w:t xml:space="preserve"> </w:t>
      </w:r>
      <w:r w:rsidRPr="00941FDB">
        <w:rPr>
          <w:rStyle w:val="FootnoteReference"/>
          <w:vertAlign w:val="baseline"/>
        </w:rPr>
        <w:tab/>
        <w:t>AASB 2019-4, paragraph BC43 and BC 44.</w:t>
      </w:r>
      <w:r>
        <w:t xml:space="preserve"> At the time of making that decision, the effective date of this Standard was proposed as 1 July 2020.</w:t>
      </w:r>
    </w:p>
  </w:footnote>
  <w:footnote w:id="11">
    <w:p w14:paraId="36EA32E6" w14:textId="1CFAF749" w:rsidR="00123D86" w:rsidRDefault="00123D86" w:rsidP="00CD22B9">
      <w:pPr>
        <w:pStyle w:val="FootnoteText"/>
      </w:pPr>
      <w:r w:rsidRPr="0059612B">
        <w:rPr>
          <w:rStyle w:val="FootnoteReference"/>
          <w:vertAlign w:val="baseline"/>
        </w:rPr>
        <w:footnoteRef/>
      </w:r>
      <w:r w:rsidRPr="00825DE3">
        <w:t xml:space="preserve"> </w:t>
      </w:r>
      <w:r>
        <w:tab/>
        <w:t>This is consistent with the view that the AASB’s role and expertise is to determine the appropriate accounting framework and accounting standards that should apply where legislation, regulation or other authority requires the preparation of financial statements that comply with AAS.</w:t>
      </w:r>
    </w:p>
  </w:footnote>
  <w:footnote w:id="12">
    <w:p w14:paraId="51AF6584" w14:textId="59B2CD4D" w:rsidR="00123D86" w:rsidRDefault="00123D86" w:rsidP="00CD22B9">
      <w:pPr>
        <w:pStyle w:val="FootnoteText"/>
      </w:pPr>
      <w:r w:rsidRPr="0059612B">
        <w:rPr>
          <w:rStyle w:val="FootnoteReference"/>
          <w:vertAlign w:val="baseline"/>
        </w:rPr>
        <w:footnoteRef/>
      </w:r>
      <w:r w:rsidRPr="00C4290D">
        <w:t xml:space="preserve"> </w:t>
      </w:r>
      <w:r>
        <w:tab/>
        <w:t>Paragraph 2 of RG 85.</w:t>
      </w:r>
    </w:p>
  </w:footnote>
  <w:footnote w:id="13">
    <w:p w14:paraId="50D64920" w14:textId="55AF2207" w:rsidR="00123D86" w:rsidRDefault="00123D86" w:rsidP="00CD22B9">
      <w:pPr>
        <w:pStyle w:val="FootnoteText"/>
      </w:pPr>
      <w:r w:rsidRPr="0059612B">
        <w:rPr>
          <w:rStyle w:val="FootnoteReference"/>
          <w:vertAlign w:val="baseline"/>
        </w:rPr>
        <w:footnoteRef/>
      </w:r>
      <w:r w:rsidRPr="0059612B">
        <w:t xml:space="preserve"> </w:t>
      </w:r>
      <w:r>
        <w:tab/>
        <w:t>Paragraph 2.5 of RG 85.</w:t>
      </w:r>
    </w:p>
  </w:footnote>
  <w:footnote w:id="14">
    <w:p w14:paraId="47C0381A" w14:textId="68866514" w:rsidR="00123D86" w:rsidRDefault="00123D86" w:rsidP="00CD22B9">
      <w:pPr>
        <w:pStyle w:val="FootnoteText"/>
      </w:pPr>
      <w:r w:rsidRPr="0059612B">
        <w:rPr>
          <w:rStyle w:val="FootnoteReference"/>
          <w:vertAlign w:val="baseline"/>
        </w:rPr>
        <w:footnoteRef/>
      </w:r>
      <w:r w:rsidRPr="0059612B">
        <w:t xml:space="preserve"> </w:t>
      </w:r>
      <w:r>
        <w:tab/>
        <w:t>Paragraph 2.9 of RG 85.</w:t>
      </w:r>
    </w:p>
  </w:footnote>
  <w:footnote w:id="15">
    <w:p w14:paraId="3435115E" w14:textId="77777777" w:rsidR="00123D86" w:rsidRDefault="00123D86" w:rsidP="00CD22B9">
      <w:pPr>
        <w:pStyle w:val="FootnoteText"/>
      </w:pPr>
      <w:r w:rsidRPr="0059612B">
        <w:rPr>
          <w:rStyle w:val="FootnoteReference"/>
          <w:vertAlign w:val="baseline"/>
        </w:rPr>
        <w:footnoteRef/>
      </w:r>
      <w:r w:rsidRPr="0059612B">
        <w:t xml:space="preserve"> </w:t>
      </w:r>
      <w:r>
        <w:tab/>
        <w:t xml:space="preserve">An entity is an SGE for a period if it is one of the following (as defined in Subdivision 960-U of the </w:t>
      </w:r>
      <w:r>
        <w:rPr>
          <w:i/>
        </w:rPr>
        <w:t>Income Tax Assessment Act 1997</w:t>
      </w:r>
      <w:r>
        <w:t>):</w:t>
      </w:r>
    </w:p>
    <w:p w14:paraId="72E80768" w14:textId="531AD8A1" w:rsidR="00123D86" w:rsidRDefault="00123D86" w:rsidP="007E6349">
      <w:pPr>
        <w:pStyle w:val="FootnoteText"/>
        <w:numPr>
          <w:ilvl w:val="0"/>
          <w:numId w:val="26"/>
        </w:numPr>
      </w:pPr>
      <w:r w:rsidRPr="005C5952">
        <w:t xml:space="preserve">a </w:t>
      </w:r>
      <w:r>
        <w:t>‘</w:t>
      </w:r>
      <w:r w:rsidRPr="005C5952">
        <w:t>global parent entity</w:t>
      </w:r>
      <w:r>
        <w:t>’</w:t>
      </w:r>
      <w:r w:rsidRPr="005C5952">
        <w:t xml:space="preserve"> whose </w:t>
      </w:r>
      <w:r>
        <w:t>‘</w:t>
      </w:r>
      <w:r w:rsidRPr="005C5952">
        <w:t>annual global income</w:t>
      </w:r>
      <w:r>
        <w:t>’</w:t>
      </w:r>
      <w:r w:rsidRPr="005C5952">
        <w:t xml:space="preserve"> is A$1 billion or more</w:t>
      </w:r>
      <w:r>
        <w:t>; or</w:t>
      </w:r>
    </w:p>
    <w:p w14:paraId="4A710CD4" w14:textId="77777777" w:rsidR="00123D86" w:rsidRDefault="00123D86" w:rsidP="007E6349">
      <w:pPr>
        <w:pStyle w:val="FootnoteText"/>
        <w:numPr>
          <w:ilvl w:val="0"/>
          <w:numId w:val="26"/>
        </w:numPr>
      </w:pPr>
      <w:r w:rsidRPr="005C5952">
        <w:t>a member of a group of entities consolidated (for accounting purposes) where the global parent entity has an annual global income of A$1 billion or more.</w:t>
      </w:r>
    </w:p>
  </w:footnote>
  <w:footnote w:id="16">
    <w:p w14:paraId="6E05F828" w14:textId="77777777" w:rsidR="00123D86" w:rsidRDefault="00123D86" w:rsidP="00CD22B9">
      <w:pPr>
        <w:pStyle w:val="FootnoteText"/>
      </w:pPr>
      <w:r w:rsidRPr="0059612B">
        <w:rPr>
          <w:rStyle w:val="FootnoteReference"/>
          <w:vertAlign w:val="baseline"/>
        </w:rPr>
        <w:footnoteRef/>
      </w:r>
      <w:r w:rsidRPr="008B5A9F">
        <w:t xml:space="preserve"> </w:t>
      </w:r>
      <w:r>
        <w:tab/>
        <w:t xml:space="preserve">Introduced by </w:t>
      </w:r>
      <w:r>
        <w:rPr>
          <w:i/>
        </w:rPr>
        <w:t>Tax Laws Amendment (Combating Multinational Tax Avoidance) Act 2015</w:t>
      </w:r>
      <w:r>
        <w:rPr>
          <w:iCs/>
        </w:rPr>
        <w:t>.</w:t>
      </w:r>
    </w:p>
  </w:footnote>
  <w:footnote w:id="17">
    <w:p w14:paraId="760DF9E2" w14:textId="47F56F1B" w:rsidR="00123D86" w:rsidRDefault="00123D86" w:rsidP="00CD22B9">
      <w:pPr>
        <w:pStyle w:val="FootnoteText"/>
      </w:pPr>
      <w:r w:rsidRPr="0059612B">
        <w:rPr>
          <w:rStyle w:val="FootnoteReference"/>
          <w:vertAlign w:val="baseline"/>
        </w:rPr>
        <w:footnoteRef/>
      </w:r>
      <w:r w:rsidRPr="0059612B">
        <w:t xml:space="preserve"> </w:t>
      </w:r>
      <w:r w:rsidRPr="0059612B">
        <w:tab/>
      </w:r>
      <w:r>
        <w:t xml:space="preserve">Introduced by </w:t>
      </w:r>
      <w:r>
        <w:rPr>
          <w:i/>
        </w:rPr>
        <w:t>Corporations Amendment (Proprietary Company Thresholds) Regulations 2019</w:t>
      </w:r>
      <w:r>
        <w:t>.</w:t>
      </w:r>
    </w:p>
  </w:footnote>
  <w:footnote w:id="18">
    <w:p w14:paraId="2FEFC531" w14:textId="1B12AA49" w:rsidR="00123D86" w:rsidRDefault="00123D86">
      <w:pPr>
        <w:pStyle w:val="FootnoteText"/>
      </w:pPr>
      <w:r w:rsidRPr="00DA0E8F">
        <w:rPr>
          <w:rStyle w:val="FootnoteReference"/>
          <w:vertAlign w:val="baseline"/>
        </w:rPr>
        <w:footnoteRef/>
      </w:r>
      <w:r w:rsidRPr="00DA0E8F">
        <w:t xml:space="preserve"> </w:t>
      </w:r>
      <w:r>
        <w:tab/>
      </w:r>
      <w:r w:rsidRPr="007C6E48">
        <w:t xml:space="preserve">Of these 98,000 copies of financial statements, approximately 29,000 </w:t>
      </w:r>
      <w:r>
        <w:t>we</w:t>
      </w:r>
      <w:r w:rsidRPr="007C6E48">
        <w:t>re purchased by public users through ASIC connect and not by data aggregators.</w:t>
      </w:r>
      <w:r w:rsidR="00301AB0">
        <w:t xml:space="preserve"> </w:t>
      </w:r>
    </w:p>
  </w:footnote>
  <w:footnote w:id="19">
    <w:p w14:paraId="3811B265" w14:textId="77777777" w:rsidR="00123D86" w:rsidRDefault="00123D86" w:rsidP="00CD22B9">
      <w:pPr>
        <w:pStyle w:val="FootnoteText"/>
      </w:pPr>
      <w:r w:rsidRPr="0059612B">
        <w:rPr>
          <w:rStyle w:val="FootnoteReference"/>
          <w:vertAlign w:val="baseline"/>
        </w:rPr>
        <w:footnoteRef/>
      </w:r>
      <w:r w:rsidRPr="0059612B">
        <w:t xml:space="preserve"> </w:t>
      </w:r>
      <w:r w:rsidRPr="0059612B">
        <w:tab/>
      </w:r>
      <w:r>
        <w:t>Data aggregators purchase and analyse data for the purpose of providing informed credit and risk management advice, industry profiling and other analytic products and services.</w:t>
      </w:r>
    </w:p>
  </w:footnote>
  <w:footnote w:id="20">
    <w:p w14:paraId="588B9E89" w14:textId="0504BECF" w:rsidR="00123D86" w:rsidRPr="005B5AF4" w:rsidRDefault="00123D86" w:rsidP="00A53DE6">
      <w:pPr>
        <w:pStyle w:val="FootnoteText"/>
        <w:keepLines/>
      </w:pPr>
      <w:r w:rsidRPr="005B5AF4">
        <w:rPr>
          <w:rStyle w:val="FootnoteReference"/>
          <w:vertAlign w:val="baseline"/>
        </w:rPr>
        <w:footnoteRef/>
      </w:r>
      <w:r w:rsidRPr="005B5AF4">
        <w:t xml:space="preserve"> </w:t>
      </w:r>
      <w:r w:rsidRPr="005B5AF4">
        <w:tab/>
      </w:r>
      <w:r>
        <w:t xml:space="preserve">The Explanatory Memorandum to the </w:t>
      </w:r>
      <w:r w:rsidRPr="005B5AF4">
        <w:rPr>
          <w:i/>
        </w:rPr>
        <w:t>Company Law Review Bill 1997</w:t>
      </w:r>
      <w:r>
        <w:t xml:space="preserve"> noted that “</w:t>
      </w:r>
      <w:r w:rsidRPr="005B5AF4">
        <w:t>financial reporting by small proprietary companies which are foreign</w:t>
      </w:r>
      <w:r>
        <w:t>-</w:t>
      </w:r>
      <w:r w:rsidRPr="005B5AF4">
        <w:t>controlled should, as far as possible, equate with the reporting requirements of small proprietary companies which are controlled by Australian companies. Accordingly, a small proprietary company will be required to prepare a financial report if the controlling registered foreign company does not prepare and lodge financial statements with the ASC which consolidate the affairs of the small proprietary company for the per</w:t>
      </w:r>
      <w:r>
        <w:t xml:space="preserve">iod in which it was controlled. … </w:t>
      </w:r>
      <w:r>
        <w:rPr>
          <w:lang w:eastAsia="en-AU"/>
        </w:rPr>
        <w:t xml:space="preserve">An Australian company which controls a small proprietary company is required to consolidate the small proprietary company in its consolidated financial report if it comes within the scope of </w:t>
      </w:r>
      <w:r>
        <w:rPr>
          <w:i/>
          <w:iCs/>
          <w:lang w:eastAsia="en-AU"/>
        </w:rPr>
        <w:t>AASB 1024: Consolidated Accounts</w:t>
      </w:r>
      <w:r>
        <w:rPr>
          <w:lang w:eastAsia="en-AU"/>
        </w:rPr>
        <w:t>. While it would not be appropriate for the Corporations Law to generally require a registered foreign company to prepare consolidated financial statements, that company may consolidate the small proprietary company in financial statements prepared under the law of its jurisdiction of incorporation. If consolidated accounts of this kind are lodged with the ASC in accordance with the requirements in current section 349, the remainder of Chapter 2M will not apply to the small proprietary company.”</w:t>
      </w:r>
    </w:p>
  </w:footnote>
  <w:footnote w:id="21">
    <w:p w14:paraId="19F5A2DD" w14:textId="77777777" w:rsidR="00123D86" w:rsidRDefault="00123D86" w:rsidP="00CD22B9">
      <w:pPr>
        <w:pStyle w:val="FootnoteText"/>
      </w:pPr>
      <w:r w:rsidRPr="0059612B">
        <w:rPr>
          <w:rStyle w:val="FootnoteReference"/>
          <w:vertAlign w:val="baseline"/>
        </w:rPr>
        <w:footnoteRef/>
      </w:r>
      <w:r w:rsidRPr="0059612B">
        <w:t xml:space="preserve"> </w:t>
      </w:r>
      <w:r w:rsidRPr="0059612B">
        <w:tab/>
      </w:r>
      <w:r>
        <w:t xml:space="preserve">See the Explanatory Statement to </w:t>
      </w:r>
      <w:r w:rsidRPr="00E10672">
        <w:rPr>
          <w:i/>
          <w:iCs/>
        </w:rPr>
        <w:t>ASIC Corporations (Foreign-Controlled Company Reports) Instrument 2017/204</w:t>
      </w:r>
      <w:r>
        <w:rPr>
          <w:i/>
          <w:iCs/>
        </w:rPr>
        <w:t>.</w:t>
      </w:r>
    </w:p>
  </w:footnote>
  <w:footnote w:id="22">
    <w:p w14:paraId="57753EB2" w14:textId="0AE677BE" w:rsidR="00123D86" w:rsidRDefault="00123D86">
      <w:pPr>
        <w:pStyle w:val="FootnoteText"/>
      </w:pPr>
      <w:r w:rsidRPr="00DA0E8F">
        <w:rPr>
          <w:rStyle w:val="FootnoteReference"/>
          <w:vertAlign w:val="baseline"/>
        </w:rPr>
        <w:footnoteRef/>
      </w:r>
      <w:r>
        <w:t xml:space="preserve"> </w:t>
      </w:r>
      <w:r>
        <w:tab/>
        <w:t>Research Report 12</w:t>
      </w:r>
    </w:p>
  </w:footnote>
  <w:footnote w:id="23">
    <w:p w14:paraId="23DB9774" w14:textId="77777777" w:rsidR="00123D86" w:rsidRDefault="00123D86" w:rsidP="00F16086">
      <w:pPr>
        <w:pStyle w:val="FootnoteText"/>
      </w:pPr>
      <w:r w:rsidRPr="0059612B">
        <w:rPr>
          <w:rStyle w:val="FootnoteReference"/>
          <w:vertAlign w:val="baseline"/>
        </w:rPr>
        <w:footnoteRef/>
      </w:r>
      <w:r w:rsidRPr="0059612B">
        <w:t xml:space="preserve"> </w:t>
      </w:r>
      <w:r w:rsidRPr="0059612B">
        <w:tab/>
      </w:r>
      <w:r>
        <w:t xml:space="preserve">The </w:t>
      </w:r>
      <w:r w:rsidRPr="00F043A3">
        <w:t>RCF</w:t>
      </w:r>
      <w:r>
        <w:t>,</w:t>
      </w:r>
      <w:r>
        <w:rPr>
          <w:i/>
        </w:rPr>
        <w:t xml:space="preserve"> </w:t>
      </w:r>
      <w:r>
        <w:t>paragraph SP1.1.</w:t>
      </w:r>
    </w:p>
  </w:footnote>
  <w:footnote w:id="24">
    <w:p w14:paraId="3A4DF6FC" w14:textId="77777777" w:rsidR="00123D86" w:rsidRDefault="00123D86" w:rsidP="00F16086">
      <w:pPr>
        <w:pStyle w:val="FootnoteText"/>
      </w:pPr>
      <w:r w:rsidRPr="0059612B">
        <w:rPr>
          <w:rStyle w:val="FootnoteReference"/>
          <w:vertAlign w:val="baseline"/>
        </w:rPr>
        <w:footnoteRef/>
      </w:r>
      <w:r w:rsidRPr="0059612B">
        <w:t xml:space="preserve"> </w:t>
      </w:r>
      <w:r w:rsidRPr="0059612B">
        <w:tab/>
      </w:r>
      <w:r>
        <w:t xml:space="preserve">The </w:t>
      </w:r>
      <w:r w:rsidRPr="00FB77F0">
        <w:t>term ‘reporting entity’ as</w:t>
      </w:r>
      <w:r>
        <w:t xml:space="preserve"> defined by the RCF is also inconsistent with the definition of reporting entity in AASB 1057 </w:t>
      </w:r>
      <w:r>
        <w:rPr>
          <w:i/>
        </w:rPr>
        <w:t>Application of Australian Accounting Standards</w:t>
      </w:r>
      <w:r>
        <w:t xml:space="preserve">. </w:t>
      </w:r>
    </w:p>
  </w:footnote>
  <w:footnote w:id="25">
    <w:p w14:paraId="241DCD2B" w14:textId="77777777" w:rsidR="00123D86" w:rsidRDefault="00123D86" w:rsidP="008F6EFC">
      <w:pPr>
        <w:pStyle w:val="FootnoteText"/>
      </w:pPr>
      <w:r w:rsidRPr="00983C29">
        <w:rPr>
          <w:rStyle w:val="FootnoteReference"/>
          <w:vertAlign w:val="baseline"/>
        </w:rPr>
        <w:footnoteRef/>
      </w:r>
      <w:r w:rsidRPr="00983C29">
        <w:t xml:space="preserve"> </w:t>
      </w:r>
      <w:r>
        <w:tab/>
        <w:t>RG 85, paragraph 5.1.</w:t>
      </w:r>
    </w:p>
  </w:footnote>
  <w:footnote w:id="26">
    <w:p w14:paraId="2654A8E3" w14:textId="77777777" w:rsidR="00123D86" w:rsidRDefault="00123D86" w:rsidP="008F6EFC">
      <w:pPr>
        <w:pStyle w:val="FootnoteText"/>
      </w:pPr>
      <w:r w:rsidRPr="00983C29">
        <w:rPr>
          <w:rStyle w:val="FootnoteReference"/>
          <w:vertAlign w:val="baseline"/>
        </w:rPr>
        <w:footnoteRef/>
      </w:r>
      <w:r>
        <w:t xml:space="preserve"> </w:t>
      </w:r>
      <w:r>
        <w:tab/>
        <w:t>RG 85, paragraph 5.5.</w:t>
      </w:r>
    </w:p>
  </w:footnote>
  <w:footnote w:id="27">
    <w:p w14:paraId="6A6ED910" w14:textId="0A96781B" w:rsidR="00123D86" w:rsidRDefault="00123D86">
      <w:pPr>
        <w:pStyle w:val="FootnoteText"/>
      </w:pPr>
      <w:r w:rsidRPr="009E1975">
        <w:rPr>
          <w:rStyle w:val="FootnoteReference"/>
          <w:vertAlign w:val="baseline"/>
        </w:rPr>
        <w:footnoteRef/>
      </w:r>
      <w:r>
        <w:t xml:space="preserve"> </w:t>
      </w:r>
      <w:r>
        <w:tab/>
        <w:t>Paragraphs 4, Aus4.1, Aus4.2 and 4B of AASB 10 outline the exemptions and exceptions whereby a parent entity need not present consolidated financial statements.</w:t>
      </w:r>
    </w:p>
  </w:footnote>
  <w:footnote w:id="28">
    <w:p w14:paraId="7BECD40D" w14:textId="0D4E956B" w:rsidR="00123D86" w:rsidRDefault="00123D86" w:rsidP="00F16086">
      <w:pPr>
        <w:pStyle w:val="FootnoteText"/>
      </w:pPr>
      <w:r w:rsidRPr="0059612B">
        <w:rPr>
          <w:rStyle w:val="FootnoteReference"/>
          <w:vertAlign w:val="baseline"/>
        </w:rPr>
        <w:footnoteRef/>
      </w:r>
      <w:r w:rsidRPr="0059612B">
        <w:t xml:space="preserve"> </w:t>
      </w:r>
      <w:r w:rsidRPr="0059612B">
        <w:tab/>
      </w:r>
      <w:r>
        <w:t xml:space="preserve">Refer paragraph </w:t>
      </w:r>
      <w:r>
        <w:fldChar w:fldCharType="begin"/>
      </w:r>
      <w:r>
        <w:instrText xml:space="preserve"> REF _Ref13473319 \r \h </w:instrText>
      </w:r>
      <w:r>
        <w:fldChar w:fldCharType="separate"/>
      </w:r>
      <w:r w:rsidR="00E354C4">
        <w:t>BC57</w:t>
      </w:r>
      <w:r>
        <w:fldChar w:fldCharType="end"/>
      </w:r>
      <w:r>
        <w:fldChar w:fldCharType="begin"/>
      </w:r>
      <w:r>
        <w:instrText xml:space="preserve"> REF _Ref13571229 \r \h </w:instrText>
      </w:r>
      <w:r>
        <w:fldChar w:fldCharType="separate"/>
      </w:r>
      <w:r w:rsidR="00E354C4">
        <w:t>(a)</w:t>
      </w:r>
      <w:r>
        <w:fldChar w:fldCharType="end"/>
      </w:r>
      <w:r>
        <w:t>.</w:t>
      </w:r>
    </w:p>
  </w:footnote>
  <w:footnote w:id="29">
    <w:p w14:paraId="478FF653" w14:textId="2ED98B0F" w:rsidR="00123D86" w:rsidRDefault="00123D86" w:rsidP="00F16086">
      <w:pPr>
        <w:pStyle w:val="FootnoteText"/>
      </w:pPr>
      <w:r w:rsidRPr="0059612B">
        <w:rPr>
          <w:rStyle w:val="FootnoteReference"/>
          <w:vertAlign w:val="baseline"/>
        </w:rPr>
        <w:footnoteRef/>
      </w:r>
      <w:r w:rsidRPr="0059612B">
        <w:t xml:space="preserve"> </w:t>
      </w:r>
      <w:r w:rsidRPr="0059612B">
        <w:tab/>
      </w:r>
      <w:r>
        <w:t xml:space="preserve">Refer paragraph </w:t>
      </w:r>
      <w:r>
        <w:fldChar w:fldCharType="begin"/>
      </w:r>
      <w:r>
        <w:instrText xml:space="preserve"> REF _Ref13473319 \r \h </w:instrText>
      </w:r>
      <w:r>
        <w:fldChar w:fldCharType="separate"/>
      </w:r>
      <w:r w:rsidR="00E354C4">
        <w:t>BC57</w:t>
      </w:r>
      <w:r>
        <w:fldChar w:fldCharType="end"/>
      </w:r>
      <w:r>
        <w:fldChar w:fldCharType="begin"/>
      </w:r>
      <w:r>
        <w:instrText xml:space="preserve"> REF _Ref13579460 \r \h </w:instrText>
      </w:r>
      <w:r>
        <w:fldChar w:fldCharType="separate"/>
      </w:r>
      <w:r w:rsidR="00E354C4">
        <w:t>(d)</w:t>
      </w:r>
      <w:r>
        <w:fldChar w:fldCharType="end"/>
      </w:r>
      <w:r>
        <w:t>.</w:t>
      </w:r>
    </w:p>
  </w:footnote>
  <w:footnote w:id="30">
    <w:p w14:paraId="42906252" w14:textId="77777777" w:rsidR="00123D86" w:rsidRDefault="00123D86" w:rsidP="00CD22B9">
      <w:pPr>
        <w:pStyle w:val="FootnoteText"/>
      </w:pPr>
      <w:r w:rsidRPr="0059612B">
        <w:rPr>
          <w:rStyle w:val="FootnoteReference"/>
          <w:vertAlign w:val="baseline"/>
        </w:rPr>
        <w:footnoteRef/>
      </w:r>
      <w:r w:rsidRPr="006C3025">
        <w:t xml:space="preserve"> </w:t>
      </w:r>
      <w:r>
        <w:tab/>
        <w:t xml:space="preserve">See </w:t>
      </w:r>
      <w:r w:rsidRPr="000D7142">
        <w:t>https://www.aasb.gov.au/DirectLink.aspx?id=2155</w:t>
      </w:r>
      <w:r>
        <w:t xml:space="preserve"> </w:t>
      </w:r>
    </w:p>
  </w:footnote>
  <w:footnote w:id="31">
    <w:p w14:paraId="31ACDC5B" w14:textId="6AAA0D1C" w:rsidR="00123D86" w:rsidRPr="003B2347" w:rsidRDefault="00123D86">
      <w:pPr>
        <w:pStyle w:val="FootnoteText"/>
      </w:pPr>
      <w:r w:rsidRPr="003B2347">
        <w:rPr>
          <w:rStyle w:val="FootnoteReference"/>
          <w:vertAlign w:val="baseline"/>
        </w:rPr>
        <w:footnoteRef/>
      </w:r>
      <w:r w:rsidRPr="003B2347">
        <w:t xml:space="preserve"> </w:t>
      </w:r>
      <w:r>
        <w:tab/>
        <w:t>Including, for example,</w:t>
      </w:r>
      <w:r w:rsidRPr="003D7AF6">
        <w:t xml:space="preserve"> certain large proprietary companies </w:t>
      </w:r>
      <w:r>
        <w:t xml:space="preserve">that </w:t>
      </w:r>
      <w:r w:rsidRPr="003D7AF6">
        <w:t>are not required to lodge financial reports with ASIC if they meet certain conditions (exempt proprietary companies).</w:t>
      </w:r>
      <w:r>
        <w:t xml:space="preserve"> </w:t>
      </w:r>
    </w:p>
  </w:footnote>
  <w:footnote w:id="32">
    <w:p w14:paraId="5E5D46BB" w14:textId="77777777" w:rsidR="00E62BEA" w:rsidRDefault="00E62BEA" w:rsidP="00E62BEA">
      <w:pPr>
        <w:pStyle w:val="FootnoteText"/>
      </w:pPr>
      <w:r w:rsidRPr="00DA0E8F">
        <w:rPr>
          <w:rStyle w:val="FootnoteReference"/>
          <w:vertAlign w:val="baseline"/>
        </w:rPr>
        <w:footnoteRef/>
      </w:r>
      <w:r w:rsidRPr="00DA0E8F">
        <w:t xml:space="preserve"> </w:t>
      </w:r>
      <w:r>
        <w:tab/>
        <w:t>Research Report 12.</w:t>
      </w:r>
    </w:p>
  </w:footnote>
  <w:footnote w:id="33">
    <w:p w14:paraId="3818C2A6" w14:textId="7B3BCD34" w:rsidR="00123D86" w:rsidRDefault="00123D86" w:rsidP="00CD22B9">
      <w:pPr>
        <w:pStyle w:val="FootnoteText"/>
      </w:pPr>
      <w:r w:rsidRPr="0059612B">
        <w:rPr>
          <w:rStyle w:val="FootnoteReference"/>
          <w:vertAlign w:val="baseline"/>
        </w:rPr>
        <w:footnoteRef/>
      </w:r>
      <w:r w:rsidRPr="0059612B">
        <w:t xml:space="preserve"> </w:t>
      </w:r>
      <w:r>
        <w:tab/>
        <w:t>T</w:t>
      </w:r>
      <w:r w:rsidRPr="00484F40">
        <w:t>h</w:t>
      </w:r>
      <w:r>
        <w:t>is</w:t>
      </w:r>
      <w:r w:rsidRPr="00484F40">
        <w:t xml:space="preserve"> research was performed prior to Treasury doubling the thresholds used to determine large proprietary </w:t>
      </w:r>
      <w:r>
        <w:t>companies. Subsequently t</w:t>
      </w:r>
      <w:r w:rsidRPr="00903999">
        <w:t xml:space="preserve">he Board noted that Treasury’s </w:t>
      </w:r>
      <w:r>
        <w:t xml:space="preserve">increasing of the </w:t>
      </w:r>
      <w:r w:rsidRPr="00903999">
        <w:t xml:space="preserve">thresholds </w:t>
      </w:r>
      <w:r w:rsidRPr="00903999" w:rsidDel="000D0D65">
        <w:t xml:space="preserve">would </w:t>
      </w:r>
      <w:r>
        <w:t>reduce the number of large proprietary companies to approximately 4,500.</w:t>
      </w:r>
    </w:p>
  </w:footnote>
  <w:footnote w:id="34">
    <w:p w14:paraId="6E9FE674" w14:textId="77777777" w:rsidR="00123D86" w:rsidRPr="00F94621" w:rsidRDefault="00123D86" w:rsidP="00B84521">
      <w:pPr>
        <w:pStyle w:val="FootnoteText"/>
      </w:pPr>
      <w:r w:rsidRPr="00F94621">
        <w:rPr>
          <w:rStyle w:val="FootnoteReference"/>
          <w:vertAlign w:val="baseline"/>
        </w:rPr>
        <w:footnoteRef/>
      </w:r>
      <w:r w:rsidRPr="00F94621">
        <w:t xml:space="preserve"> </w:t>
      </w:r>
      <w:r w:rsidRPr="00F94621">
        <w:tab/>
      </w:r>
      <w:r>
        <w:t xml:space="preserve">AASB Research Report 11 </w:t>
      </w:r>
      <w:r w:rsidRPr="007B2F6C">
        <w:rPr>
          <w:i/>
        </w:rPr>
        <w:t>Review of Special Purpose Financial Statements: Large and Medium Sized Australian Charities</w:t>
      </w:r>
      <w:r>
        <w:rPr>
          <w:iCs/>
        </w:rPr>
        <w:t xml:space="preserve"> (August 2019)</w:t>
      </w:r>
      <w:r>
        <w:t>.</w:t>
      </w:r>
    </w:p>
  </w:footnote>
  <w:footnote w:id="35">
    <w:p w14:paraId="28F0327F" w14:textId="0518A6A1" w:rsidR="00123D86" w:rsidRDefault="00123D86" w:rsidP="00CD22B9">
      <w:pPr>
        <w:pStyle w:val="FootnoteText"/>
      </w:pPr>
      <w:r w:rsidRPr="0059612B">
        <w:rPr>
          <w:rStyle w:val="FootnoteReference"/>
          <w:vertAlign w:val="baseline"/>
        </w:rPr>
        <w:footnoteRef/>
      </w:r>
      <w:r w:rsidRPr="0059612B">
        <w:t xml:space="preserve"> </w:t>
      </w:r>
      <w:r w:rsidRPr="00A01C20">
        <w:tab/>
        <w:t>ACNC 2017 Annual Information Statement Data</w:t>
      </w:r>
      <w:r>
        <w:t>, as at 24 July 2019.</w:t>
      </w:r>
    </w:p>
  </w:footnote>
  <w:footnote w:id="36">
    <w:p w14:paraId="7672A7E4" w14:textId="77777777" w:rsidR="00123D86" w:rsidRDefault="00123D86" w:rsidP="00216391">
      <w:pPr>
        <w:pStyle w:val="FootnoteText"/>
      </w:pPr>
      <w:r w:rsidRPr="00173A6A">
        <w:rPr>
          <w:rStyle w:val="FootnoteReference"/>
          <w:szCs w:val="16"/>
          <w:vertAlign w:val="baseline"/>
        </w:rPr>
        <w:footnoteRef/>
      </w:r>
      <w:r w:rsidRPr="00173A6A">
        <w:rPr>
          <w:rStyle w:val="FootnoteReference"/>
          <w:szCs w:val="16"/>
          <w:vertAlign w:val="baseline"/>
        </w:rPr>
        <w:t xml:space="preserve"> </w:t>
      </w:r>
      <w:r w:rsidRPr="00173A6A">
        <w:rPr>
          <w:rStyle w:val="FootnoteReference"/>
          <w:szCs w:val="16"/>
          <w:vertAlign w:val="baseline"/>
        </w:rPr>
        <w:tab/>
      </w:r>
      <w:r>
        <w:rPr>
          <w:szCs w:val="16"/>
        </w:rPr>
        <w:t xml:space="preserve">For-profit </w:t>
      </w:r>
      <w:r w:rsidRPr="00173A6A">
        <w:rPr>
          <w:rStyle w:val="FootnoteReference"/>
          <w:szCs w:val="16"/>
          <w:vertAlign w:val="baseline"/>
        </w:rPr>
        <w:t>public</w:t>
      </w:r>
      <w:r>
        <w:t xml:space="preserve"> sector entities can elect (voluntarily) to prepare GPFS and apply the revised Conceptual Framework.</w:t>
      </w:r>
    </w:p>
  </w:footnote>
  <w:footnote w:id="37">
    <w:p w14:paraId="7628B2C3" w14:textId="3B59565D" w:rsidR="00123D86" w:rsidRDefault="00123D86">
      <w:pPr>
        <w:pStyle w:val="FootnoteText"/>
      </w:pPr>
      <w:r w:rsidRPr="00EB6B78">
        <w:rPr>
          <w:rStyle w:val="FootnoteReference"/>
          <w:szCs w:val="16"/>
          <w:vertAlign w:val="baseline"/>
        </w:rPr>
        <w:footnoteRef/>
      </w:r>
      <w:r w:rsidRPr="00EB6B78">
        <w:rPr>
          <w:rStyle w:val="FootnoteReference"/>
          <w:szCs w:val="16"/>
          <w:vertAlign w:val="baseline"/>
        </w:rPr>
        <w:t xml:space="preserve"> </w:t>
      </w:r>
      <w:r w:rsidRPr="00EB6B78">
        <w:rPr>
          <w:rStyle w:val="FootnoteReference"/>
          <w:szCs w:val="16"/>
          <w:vertAlign w:val="baseline"/>
        </w:rPr>
        <w:tab/>
      </w:r>
      <w:r w:rsidRPr="000A7424">
        <w:rPr>
          <w:rStyle w:val="FootnoteReference"/>
          <w:vertAlign w:val="baseline"/>
        </w:rPr>
        <w:t xml:space="preserve">These companies will be in scope when the direction requires financial statements to be prepared in accordance with </w:t>
      </w:r>
      <w:r>
        <w:t xml:space="preserve">AAS or </w:t>
      </w:r>
      <w:r w:rsidRPr="000A7424">
        <w:rPr>
          <w:rStyle w:val="FootnoteReference"/>
          <w:vertAlign w:val="baseline"/>
        </w:rPr>
        <w:t xml:space="preserve">accounting standards. </w:t>
      </w:r>
      <w:r w:rsidRPr="00EB6B78">
        <w:t xml:space="preserve">  </w:t>
      </w:r>
    </w:p>
  </w:footnote>
  <w:footnote w:id="38">
    <w:p w14:paraId="27F8F9D7" w14:textId="77777777" w:rsidR="00123D86" w:rsidRPr="000634D8" w:rsidRDefault="00123D86" w:rsidP="003A3054">
      <w:pPr>
        <w:pStyle w:val="FootnoteText"/>
        <w:rPr>
          <w:szCs w:val="16"/>
        </w:rPr>
      </w:pPr>
      <w:r w:rsidRPr="000634D8">
        <w:rPr>
          <w:rStyle w:val="FootnoteReference"/>
          <w:szCs w:val="16"/>
          <w:vertAlign w:val="baseline"/>
        </w:rPr>
        <w:footnoteRef/>
      </w:r>
      <w:r w:rsidRPr="000634D8">
        <w:rPr>
          <w:szCs w:val="16"/>
        </w:rPr>
        <w:t xml:space="preserve"> </w:t>
      </w:r>
      <w:r w:rsidRPr="000634D8">
        <w:rPr>
          <w:szCs w:val="16"/>
        </w:rPr>
        <w:tab/>
        <w:t>This is subsequent to Treasury increasing the thresholds used for determining what constitutes a large proprietary company</w:t>
      </w:r>
      <w:r>
        <w:rPr>
          <w:szCs w:val="16"/>
        </w:rPr>
        <w:t>.</w:t>
      </w:r>
    </w:p>
  </w:footnote>
  <w:footnote w:id="39">
    <w:p w14:paraId="2171900D" w14:textId="569879A6" w:rsidR="00123D86" w:rsidRDefault="00123D86" w:rsidP="00B52B95">
      <w:pPr>
        <w:pStyle w:val="FootnoteText"/>
      </w:pPr>
      <w:r w:rsidRPr="000634D8">
        <w:rPr>
          <w:rStyle w:val="FootnoteReference"/>
          <w:vertAlign w:val="baseline"/>
        </w:rPr>
        <w:footnoteRef/>
      </w:r>
      <w:r w:rsidRPr="000634D8">
        <w:t xml:space="preserve"> </w:t>
      </w:r>
      <w:r w:rsidRPr="000634D8">
        <w:tab/>
      </w:r>
      <w:r>
        <w:t>Research Report 12.</w:t>
      </w:r>
    </w:p>
  </w:footnote>
  <w:footnote w:id="40">
    <w:p w14:paraId="21CE03F6" w14:textId="54893E75" w:rsidR="00123D86" w:rsidRDefault="00123D86" w:rsidP="00CD22B9">
      <w:pPr>
        <w:pStyle w:val="FootnoteText"/>
      </w:pPr>
      <w:r w:rsidRPr="0059612B">
        <w:rPr>
          <w:rStyle w:val="FootnoteReference"/>
          <w:vertAlign w:val="baseline"/>
        </w:rPr>
        <w:footnoteRef/>
      </w:r>
      <w:r w:rsidRPr="0059612B">
        <w:t xml:space="preserve"> </w:t>
      </w:r>
      <w:r w:rsidRPr="007B6863">
        <w:tab/>
      </w:r>
      <w:r>
        <w:t>See, for example, section 2 of RG85.</w:t>
      </w:r>
    </w:p>
  </w:footnote>
  <w:footnote w:id="41">
    <w:p w14:paraId="401980A3" w14:textId="6B7F814C" w:rsidR="00123D86" w:rsidRDefault="00123D86" w:rsidP="009C7977">
      <w:pPr>
        <w:pStyle w:val="FootnoteText"/>
      </w:pPr>
      <w:r w:rsidRPr="000634D8">
        <w:rPr>
          <w:rStyle w:val="FootnoteReference"/>
          <w:vertAlign w:val="baseline"/>
        </w:rPr>
        <w:footnoteRef/>
      </w:r>
      <w:r w:rsidRPr="000634D8">
        <w:t xml:space="preserve"> </w:t>
      </w:r>
      <w:r w:rsidRPr="000634D8">
        <w:tab/>
      </w:r>
      <w:r>
        <w:t>Research Report 12.</w:t>
      </w:r>
    </w:p>
  </w:footnote>
  <w:footnote w:id="42">
    <w:p w14:paraId="63E34C0E" w14:textId="77777777" w:rsidR="00123D86" w:rsidRPr="000634D8" w:rsidRDefault="00123D86" w:rsidP="009C7977">
      <w:pPr>
        <w:pStyle w:val="FootnoteText"/>
        <w:rPr>
          <w:szCs w:val="16"/>
        </w:rPr>
      </w:pPr>
      <w:r w:rsidRPr="000634D8">
        <w:rPr>
          <w:rStyle w:val="FootnoteReference"/>
          <w:szCs w:val="16"/>
          <w:vertAlign w:val="baseline"/>
        </w:rPr>
        <w:footnoteRef/>
      </w:r>
      <w:r w:rsidRPr="000634D8">
        <w:rPr>
          <w:szCs w:val="16"/>
        </w:rPr>
        <w:t xml:space="preserve"> </w:t>
      </w:r>
      <w:r w:rsidRPr="000634D8">
        <w:rPr>
          <w:szCs w:val="16"/>
        </w:rPr>
        <w:tab/>
        <w:t>This is subsequent to Treasury increasing the thresholds used for determining what constitutes a large proprietary company</w:t>
      </w:r>
      <w:r>
        <w:rPr>
          <w:szCs w:val="16"/>
        </w:rPr>
        <w:t>.</w:t>
      </w:r>
    </w:p>
  </w:footnote>
  <w:footnote w:id="43">
    <w:p w14:paraId="777AB554" w14:textId="77777777" w:rsidR="00123D86" w:rsidRDefault="00123D86" w:rsidP="00CD22B9">
      <w:pPr>
        <w:pStyle w:val="FootnoteText"/>
      </w:pPr>
      <w:r w:rsidRPr="0059612B">
        <w:rPr>
          <w:rStyle w:val="FootnoteReference"/>
          <w:vertAlign w:val="baseline"/>
        </w:rPr>
        <w:footnoteRef/>
      </w:r>
      <w:r w:rsidRPr="0059612B">
        <w:t xml:space="preserve"> </w:t>
      </w:r>
      <w:r>
        <w:tab/>
        <w:t>IFRS for SMEs Standard, Basis for Conclusions, paragraph BC96.</w:t>
      </w:r>
    </w:p>
  </w:footnote>
  <w:footnote w:id="44">
    <w:p w14:paraId="398B43DD" w14:textId="403C3316" w:rsidR="00123D86" w:rsidRDefault="00123D86" w:rsidP="00CD22B9">
      <w:pPr>
        <w:pStyle w:val="FootnoteText"/>
      </w:pPr>
      <w:r w:rsidRPr="0059612B">
        <w:rPr>
          <w:rStyle w:val="FootnoteReference"/>
          <w:vertAlign w:val="baseline"/>
        </w:rPr>
        <w:footnoteRef/>
      </w:r>
      <w:r w:rsidRPr="0059612B">
        <w:t xml:space="preserve"> </w:t>
      </w:r>
      <w:r>
        <w:tab/>
      </w:r>
      <w:r w:rsidRPr="006079A4">
        <w:t>3,666</w:t>
      </w:r>
      <w:r>
        <w:t xml:space="preserve"> large proprietary companies, 1,252 unlisted public companies not limited by guarantee and </w:t>
      </w:r>
      <w:r w:rsidRPr="006079A4">
        <w:t>2,377</w:t>
      </w:r>
      <w:r>
        <w:t xml:space="preserve"> small foreign-controlled proprietary companies</w:t>
      </w:r>
    </w:p>
  </w:footnote>
  <w:footnote w:id="45">
    <w:p w14:paraId="4AD8917C" w14:textId="77777777" w:rsidR="00EA0C1B" w:rsidRPr="00734763" w:rsidRDefault="00EA0C1B" w:rsidP="00EA0C1B">
      <w:pPr>
        <w:pStyle w:val="FootnoteText"/>
        <w:ind w:left="709" w:hanging="709"/>
        <w:rPr>
          <w:szCs w:val="16"/>
        </w:rPr>
      </w:pPr>
      <w:r w:rsidRPr="00734763">
        <w:rPr>
          <w:rStyle w:val="FootnoteReference"/>
          <w:szCs w:val="16"/>
          <w:vertAlign w:val="baseline"/>
        </w:rPr>
        <w:footnoteRef/>
      </w:r>
      <w:r w:rsidRPr="00734763">
        <w:rPr>
          <w:szCs w:val="16"/>
        </w:rPr>
        <w:t xml:space="preserve"> </w:t>
      </w:r>
      <w:r w:rsidRPr="00734763">
        <w:rPr>
          <w:szCs w:val="16"/>
        </w:rPr>
        <w:tab/>
        <w:t xml:space="preserve">Davern, M., Gyles, N., Potter, B. and Yang, V. (2019), "Implementing AASB 15 revenue from contracts with customers: the preparer perspective", </w:t>
      </w:r>
      <w:hyperlink r:id="rId1" w:history="1">
        <w:r w:rsidRPr="00734763">
          <w:rPr>
            <w:rStyle w:val="Hyperlink"/>
            <w:i/>
            <w:iCs/>
            <w:szCs w:val="16"/>
          </w:rPr>
          <w:t>Accounting Research Journal</w:t>
        </w:r>
      </w:hyperlink>
      <w:r w:rsidRPr="00734763">
        <w:rPr>
          <w:szCs w:val="16"/>
        </w:rPr>
        <w:t>, Vol. 32 No. 1, pp. 50-67. https://doi.org/10.1108/ARJ-03-2018-0055.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7B444" w14:textId="16E7E3FD" w:rsidR="00123D86" w:rsidRDefault="00B43206">
    <w:pPr>
      <w:pStyle w:val="Header"/>
    </w:pPr>
    <w:r>
      <w:rPr>
        <w:noProof/>
      </w:rPr>
      <mc:AlternateContent>
        <mc:Choice Requires="wps">
          <w:drawing>
            <wp:inline distT="0" distB="0" distL="0" distR="0" wp14:anchorId="46C93D27" wp14:editId="54BA8A96">
              <wp:extent cx="6960870" cy="1160145"/>
              <wp:effectExtent l="0" t="0" r="0" b="0"/>
              <wp:docPr id="19" name="PowerPlusWaterMarkObject20297359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960870" cy="11601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F5EF1E" w14:textId="77777777" w:rsidR="00B43206" w:rsidRDefault="00B43206" w:rsidP="00B43206">
                          <w:pPr>
                            <w:jc w:val="center"/>
                            <w:rPr>
                              <w:sz w:val="24"/>
                              <w:szCs w:val="24"/>
                            </w:rPr>
                          </w:pPr>
                          <w:r>
                            <w:rPr>
                              <w:color w:val="C0C0C0"/>
                              <w:sz w:val="16"/>
                              <w:szCs w:val="16"/>
                              <w:lang w:val="en-GB"/>
                              <w14:textFill>
                                <w14:solidFill>
                                  <w14:srgbClr w14:val="C0C0C0">
                                    <w14:alpha w14:val="50000"/>
                                  </w14:srgbClr>
                                </w14:solidFill>
                              </w14:textFill>
                            </w:rPr>
                            <w:t>BALLOT DRAFT</w:t>
                          </w:r>
                        </w:p>
                      </w:txbxContent>
                    </wps:txbx>
                    <wps:bodyPr wrap="square" numCol="1" fromWordArt="1">
                      <a:prstTxWarp prst="textPlain">
                        <a:avLst>
                          <a:gd name="adj" fmla="val 50000"/>
                        </a:avLst>
                      </a:prstTxWarp>
                      <a:noAutofit/>
                    </wps:bodyPr>
                  </wps:wsp>
                </a:graphicData>
              </a:graphic>
            </wp:inline>
          </w:drawing>
        </mc:Choice>
        <mc:Fallback>
          <w:pict>
            <v:shapetype w14:anchorId="46C93D27" id="_x0000_t202" coordsize="21600,21600" o:spt="202" path="m,l,21600r21600,l21600,xe">
              <v:stroke joinstyle="miter"/>
              <v:path gradientshapeok="t" o:connecttype="rect"/>
            </v:shapetype>
            <v:shape id="PowerPlusWaterMarkObject202973594" o:spid="_x0000_s1074" type="#_x0000_t202" style="width:548.1pt;height:91.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" filled="f" stroked="f">
              <v:stroke joinstyle="round"/>
              <o:lock v:ext="edit" rotation="t" aspectratio="t" verticies="t" adjusthandles="t" grouping="t" shapetype="t"/>
              <v:textbox>
                <w:txbxContent>
                  <w:p w14:paraId="24F5EF1E" w14:textId="77777777" w:rsidR="00B43206" w:rsidRDefault="00B43206" w:rsidP="00B43206">
                    <w:pPr>
                      <w:jc w:val="center"/>
                      <w:rPr>
                        <w:sz w:val="24"/>
                        <w:szCs w:val="24"/>
                      </w:rPr>
                    </w:pPr>
                    <w:r>
                      <w:rPr>
                        <w:color w:val="C0C0C0"/>
                        <w:sz w:val="16"/>
                        <w:szCs w:val="16"/>
                        <w:lang w:val="en-GB"/>
                        <w14:textFill>
                          <w14:solidFill>
                            <w14:srgbClr w14:val="C0C0C0">
                              <w14:alpha w14:val="50000"/>
                            </w14:srgbClr>
                          </w14:solidFill>
                        </w14:textFill>
                      </w:rPr>
                      <w:t>BALLOT DRAFT</w:t>
                    </w:r>
                  </w:p>
                </w:txbxContent>
              </v:textbox>
              <w10:anchorlock/>
            </v:shape>
          </w:pict>
        </mc:Fallback>
      </mc:AlternateContent>
    </w:r>
  </w:p>
  <w:p w14:paraId="5E3B5417" w14:textId="77777777" w:rsidR="00123D86" w:rsidRPr="00E67037" w:rsidRDefault="00123D86">
    <w:pPr>
      <w:pStyle w:val="Header"/>
      <w:rPr>
        <w:sz w:val="1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C1D88" w14:textId="13388D1E" w:rsidR="00123D86" w:rsidRDefault="00B43206">
    <w:pPr>
      <w:pStyle w:val="Header"/>
    </w:pPr>
    <w:r>
      <w:rPr>
        <w:noProof/>
      </w:rPr>
      <mc:AlternateContent>
        <mc:Choice Requires="wps">
          <w:drawing>
            <wp:inline distT="0" distB="0" distL="0" distR="0" wp14:anchorId="40272248" wp14:editId="32A8C802">
              <wp:extent cx="6960870" cy="1160145"/>
              <wp:effectExtent l="0" t="0" r="0" b="0"/>
              <wp:docPr id="7" name="PowerPlusWaterMarkObject20297360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960870" cy="11601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F98CF2" w14:textId="77777777" w:rsidR="00B43206" w:rsidRDefault="00B43206" w:rsidP="00B43206">
                          <w:pPr>
                            <w:jc w:val="center"/>
                            <w:rPr>
                              <w:sz w:val="24"/>
                              <w:szCs w:val="24"/>
                            </w:rPr>
                          </w:pPr>
                          <w:r>
                            <w:rPr>
                              <w:color w:val="C0C0C0"/>
                              <w:sz w:val="16"/>
                              <w:szCs w:val="16"/>
                              <w:lang w:val="en-GB"/>
                              <w14:textFill>
                                <w14:solidFill>
                                  <w14:srgbClr w14:val="C0C0C0">
                                    <w14:alpha w14:val="50000"/>
                                  </w14:srgbClr>
                                </w14:solidFill>
                              </w14:textFill>
                            </w:rPr>
                            <w:t>BALLOT DRAFT</w:t>
                          </w:r>
                        </w:p>
                      </w:txbxContent>
                    </wps:txbx>
                    <wps:bodyPr wrap="square" numCol="1" fromWordArt="1">
                      <a:prstTxWarp prst="textPlain">
                        <a:avLst>
                          <a:gd name="adj" fmla="val 50000"/>
                        </a:avLst>
                      </a:prstTxWarp>
                      <a:noAutofit/>
                    </wps:bodyPr>
                  </wps:wsp>
                </a:graphicData>
              </a:graphic>
            </wp:inline>
          </w:drawing>
        </mc:Choice>
        <mc:Fallback>
          <w:pict>
            <v:shapetype w14:anchorId="40272248" id="_x0000_t202" coordsize="21600,21600" o:spt="202" path="m,l,21600r21600,l21600,xe">
              <v:stroke joinstyle="miter"/>
              <v:path gradientshapeok="t" o:connecttype="rect"/>
            </v:shapetype>
            <v:shape id="PowerPlusWaterMarkObject202973606" o:spid="_x0000_s1082" type="#_x0000_t202" style="width:548.1pt;height:91.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" filled="f" stroked="f">
              <v:stroke joinstyle="round"/>
              <o:lock v:ext="edit" rotation="t" aspectratio="t" verticies="t" adjusthandles="t" grouping="t" shapetype="t"/>
              <v:textbox>
                <w:txbxContent>
                  <w:p w14:paraId="77F98CF2" w14:textId="77777777" w:rsidR="00B43206" w:rsidRDefault="00B43206" w:rsidP="00B43206">
                    <w:pPr>
                      <w:jc w:val="center"/>
                      <w:rPr>
                        <w:sz w:val="24"/>
                        <w:szCs w:val="24"/>
                      </w:rPr>
                    </w:pPr>
                    <w:r>
                      <w:rPr>
                        <w:color w:val="C0C0C0"/>
                        <w:sz w:val="16"/>
                        <w:szCs w:val="16"/>
                        <w:lang w:val="en-GB"/>
                        <w14:textFill>
                          <w14:solidFill>
                            <w14:srgbClr w14:val="C0C0C0">
                              <w14:alpha w14:val="50000"/>
                            </w14:srgbClr>
                          </w14:solidFill>
                        </w14:textFill>
                      </w:rPr>
                      <w:t>BALLOT DRAFT</w:t>
                    </w:r>
                  </w:p>
                </w:txbxContent>
              </v:textbox>
              <w10:anchorlock/>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79346" w14:textId="088DF051" w:rsidR="00123D86" w:rsidRDefault="00B43206">
    <w:pPr>
      <w:pStyle w:val="Header"/>
    </w:pPr>
    <w:r>
      <w:rPr>
        <w:noProof/>
      </w:rPr>
      <mc:AlternateContent>
        <mc:Choice Requires="wps">
          <w:drawing>
            <wp:inline distT="0" distB="0" distL="0" distR="0" wp14:anchorId="372F22C2" wp14:editId="7D559B5C">
              <wp:extent cx="6960870" cy="1160145"/>
              <wp:effectExtent l="0" t="0" r="0" b="0"/>
              <wp:docPr id="4" name="PowerPlusWaterMarkObject20297360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960870" cy="11601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49AEE6" w14:textId="77777777" w:rsidR="00B43206" w:rsidRDefault="00B43206" w:rsidP="00B43206">
                          <w:pPr>
                            <w:jc w:val="center"/>
                            <w:rPr>
                              <w:sz w:val="24"/>
                              <w:szCs w:val="24"/>
                            </w:rPr>
                          </w:pPr>
                          <w:r>
                            <w:rPr>
                              <w:color w:val="C0C0C0"/>
                              <w:sz w:val="16"/>
                              <w:szCs w:val="16"/>
                              <w:lang w:val="en-GB"/>
                              <w14:textFill>
                                <w14:solidFill>
                                  <w14:srgbClr w14:val="C0C0C0">
                                    <w14:alpha w14:val="50000"/>
                                  </w14:srgbClr>
                                </w14:solidFill>
                              </w14:textFill>
                            </w:rPr>
                            <w:t>BALLOT DRAFT</w:t>
                          </w:r>
                        </w:p>
                      </w:txbxContent>
                    </wps:txbx>
                    <wps:bodyPr wrap="square" numCol="1" fromWordArt="1">
                      <a:prstTxWarp prst="textPlain">
                        <a:avLst>
                          <a:gd name="adj" fmla="val 50000"/>
                        </a:avLst>
                      </a:prstTxWarp>
                      <a:noAutofit/>
                    </wps:bodyPr>
                  </wps:wsp>
                </a:graphicData>
              </a:graphic>
            </wp:inline>
          </w:drawing>
        </mc:Choice>
        <mc:Fallback>
          <w:pict>
            <v:shapetype w14:anchorId="372F22C2" id="_x0000_t202" coordsize="21600,21600" o:spt="202" path="m,l,21600r21600,l21600,xe">
              <v:stroke joinstyle="miter"/>
              <v:path gradientshapeok="t" o:connecttype="rect"/>
            </v:shapetype>
            <v:shape id="PowerPlusWaterMarkObject202973605" o:spid="_x0000_s1083" type="#_x0000_t202" style="width:548.1pt;height:91.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" filled="f" stroked="f">
              <v:stroke joinstyle="round"/>
              <o:lock v:ext="edit" rotation="t" aspectratio="t" verticies="t" adjusthandles="t" grouping="t" shapetype="t"/>
              <v:textbox>
                <w:txbxContent>
                  <w:p w14:paraId="3349AEE6" w14:textId="77777777" w:rsidR="00B43206" w:rsidRDefault="00B43206" w:rsidP="00B43206">
                    <w:pPr>
                      <w:jc w:val="center"/>
                      <w:rPr>
                        <w:sz w:val="24"/>
                        <w:szCs w:val="24"/>
                      </w:rPr>
                    </w:pPr>
                    <w:r>
                      <w:rPr>
                        <w:color w:val="C0C0C0"/>
                        <w:sz w:val="16"/>
                        <w:szCs w:val="16"/>
                        <w:lang w:val="en-GB"/>
                        <w14:textFill>
                          <w14:solidFill>
                            <w14:srgbClr w14:val="C0C0C0">
                              <w14:alpha w14:val="50000"/>
                            </w14:srgbClr>
                          </w14:solidFill>
                        </w14:textFill>
                      </w:rPr>
                      <w:t>BALLOT DRAFT</w:t>
                    </w:r>
                  </w:p>
                </w:txbxContent>
              </v:textbox>
              <w10:anchorlock/>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502E5" w14:textId="48491297" w:rsidR="00123D86" w:rsidRDefault="00B43206">
    <w:pPr>
      <w:pStyle w:val="Header"/>
    </w:pPr>
    <w:r>
      <w:rPr>
        <w:noProof/>
      </w:rPr>
      <mc:AlternateContent>
        <mc:Choice Requires="wps">
          <w:drawing>
            <wp:inline distT="0" distB="0" distL="0" distR="0" wp14:anchorId="3FE1ADCD" wp14:editId="2F6F7775">
              <wp:extent cx="6960870" cy="1160145"/>
              <wp:effectExtent l="0" t="0" r="0" b="0"/>
              <wp:docPr id="3" name="PowerPlusWaterMarkObject202973609"/>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960870" cy="11601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C4602B2" w14:textId="77777777" w:rsidR="00B43206" w:rsidRDefault="00B43206" w:rsidP="00B43206">
                          <w:pPr>
                            <w:jc w:val="center"/>
                            <w:rPr>
                              <w:sz w:val="24"/>
                              <w:szCs w:val="24"/>
                            </w:rPr>
                          </w:pPr>
                          <w:r>
                            <w:rPr>
                              <w:color w:val="C0C0C0"/>
                              <w:sz w:val="16"/>
                              <w:szCs w:val="16"/>
                              <w:lang w:val="en-GB"/>
                              <w14:textFill>
                                <w14:solidFill>
                                  <w14:srgbClr w14:val="C0C0C0">
                                    <w14:alpha w14:val="50000"/>
                                  </w14:srgbClr>
                                </w14:solidFill>
                              </w14:textFill>
                            </w:rPr>
                            <w:t>BALLOT DRAFT</w:t>
                          </w:r>
                        </w:p>
                      </w:txbxContent>
                    </wps:txbx>
                    <wps:bodyPr wrap="square" numCol="1" fromWordArt="1">
                      <a:prstTxWarp prst="textPlain">
                        <a:avLst>
                          <a:gd name="adj" fmla="val 50000"/>
                        </a:avLst>
                      </a:prstTxWarp>
                      <a:noAutofit/>
                    </wps:bodyPr>
                  </wps:wsp>
                </a:graphicData>
              </a:graphic>
            </wp:inline>
          </w:drawing>
        </mc:Choice>
        <mc:Fallback>
          <w:pict>
            <v:shapetype w14:anchorId="3FE1ADCD" id="_x0000_t202" coordsize="21600,21600" o:spt="202" path="m,l,21600r21600,l21600,xe">
              <v:stroke joinstyle="miter"/>
              <v:path gradientshapeok="t" o:connecttype="rect"/>
            </v:shapetype>
            <v:shape id="PowerPlusWaterMarkObject202973609" o:spid="_x0000_s1084" type="#_x0000_t202" style="width:548.1pt;height:91.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" filled="f" stroked="f">
              <v:stroke joinstyle="round"/>
              <o:lock v:ext="edit" rotation="t" aspectratio="t" verticies="t" adjusthandles="t" grouping="t" shapetype="t"/>
              <v:textbox>
                <w:txbxContent>
                  <w:p w14:paraId="3C4602B2" w14:textId="77777777" w:rsidR="00B43206" w:rsidRDefault="00B43206" w:rsidP="00B43206">
                    <w:pPr>
                      <w:jc w:val="center"/>
                      <w:rPr>
                        <w:sz w:val="24"/>
                        <w:szCs w:val="24"/>
                      </w:rPr>
                    </w:pPr>
                    <w:r>
                      <w:rPr>
                        <w:color w:val="C0C0C0"/>
                        <w:sz w:val="16"/>
                        <w:szCs w:val="16"/>
                        <w:lang w:val="en-GB"/>
                        <w14:textFill>
                          <w14:solidFill>
                            <w14:srgbClr w14:val="C0C0C0">
                              <w14:alpha w14:val="50000"/>
                            </w14:srgbClr>
                          </w14:solidFill>
                        </w14:textFill>
                      </w:rPr>
                      <w:t>BALLOT DRAFT</w:t>
                    </w:r>
                  </w:p>
                </w:txbxContent>
              </v:textbox>
              <w10:anchorlock/>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3A36C" w14:textId="5D850A30" w:rsidR="00123D86" w:rsidRDefault="00B43206">
    <w:pPr>
      <w:pStyle w:val="Header"/>
    </w:pPr>
    <w:r>
      <w:rPr>
        <w:noProof/>
      </w:rPr>
      <mc:AlternateContent>
        <mc:Choice Requires="wps">
          <w:drawing>
            <wp:inline distT="0" distB="0" distL="0" distR="0" wp14:anchorId="2DC76156" wp14:editId="59C9A054">
              <wp:extent cx="6960870" cy="1160145"/>
              <wp:effectExtent l="0" t="0" r="0" b="0"/>
              <wp:docPr id="1" name="PowerPlusWaterMarkObject202973608"/>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960870" cy="11601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CEF7A9" w14:textId="77777777" w:rsidR="00B43206" w:rsidRDefault="00B43206" w:rsidP="00B43206">
                          <w:pPr>
                            <w:jc w:val="center"/>
                            <w:rPr>
                              <w:sz w:val="24"/>
                              <w:szCs w:val="24"/>
                            </w:rPr>
                          </w:pPr>
                          <w:r>
                            <w:rPr>
                              <w:color w:val="C0C0C0"/>
                              <w:sz w:val="16"/>
                              <w:szCs w:val="16"/>
                              <w:lang w:val="en-GB"/>
                              <w14:textFill>
                                <w14:solidFill>
                                  <w14:srgbClr w14:val="C0C0C0">
                                    <w14:alpha w14:val="50000"/>
                                  </w14:srgbClr>
                                </w14:solidFill>
                              </w14:textFill>
                            </w:rPr>
                            <w:t>BALLOT DRAFT</w:t>
                          </w:r>
                        </w:p>
                      </w:txbxContent>
                    </wps:txbx>
                    <wps:bodyPr wrap="square" numCol="1" fromWordArt="1">
                      <a:prstTxWarp prst="textPlain">
                        <a:avLst>
                          <a:gd name="adj" fmla="val 50000"/>
                        </a:avLst>
                      </a:prstTxWarp>
                      <a:noAutofit/>
                    </wps:bodyPr>
                  </wps:wsp>
                </a:graphicData>
              </a:graphic>
            </wp:inline>
          </w:drawing>
        </mc:Choice>
        <mc:Fallback>
          <w:pict>
            <v:shapetype w14:anchorId="2DC76156" id="_x0000_t202" coordsize="21600,21600" o:spt="202" path="m,l,21600r21600,l21600,xe">
              <v:stroke joinstyle="miter"/>
              <v:path gradientshapeok="t" o:connecttype="rect"/>
            </v:shapetype>
            <v:shape id="PowerPlusWaterMarkObject202973608" o:spid="_x0000_s1085" type="#_x0000_t202" style="width:548.1pt;height:91.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" filled="f" stroked="f">
              <v:stroke joinstyle="round"/>
              <o:lock v:ext="edit" rotation="t" aspectratio="t" verticies="t" adjusthandles="t" grouping="t" shapetype="t"/>
              <v:textbox>
                <w:txbxContent>
                  <w:p w14:paraId="1FCEF7A9" w14:textId="77777777" w:rsidR="00B43206" w:rsidRDefault="00B43206" w:rsidP="00B43206">
                    <w:pPr>
                      <w:jc w:val="center"/>
                      <w:rPr>
                        <w:sz w:val="24"/>
                        <w:szCs w:val="24"/>
                      </w:rPr>
                    </w:pPr>
                    <w:r>
                      <w:rPr>
                        <w:color w:val="C0C0C0"/>
                        <w:sz w:val="16"/>
                        <w:szCs w:val="16"/>
                        <w:lang w:val="en-GB"/>
                        <w14:textFill>
                          <w14:solidFill>
                            <w14:srgbClr w14:val="C0C0C0">
                              <w14:alpha w14:val="50000"/>
                            </w14:srgbClr>
                          </w14:solidFill>
                        </w14:textFill>
                      </w:rPr>
                      <w:t>BALLOT DRAFT</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C993D" w14:textId="6F552E9F" w:rsidR="00123D86" w:rsidRPr="007864B9" w:rsidRDefault="00123D86" w:rsidP="00906A37">
    <w:pPr>
      <w:pStyle w:val="Header"/>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BCD60" w14:textId="42B5979C" w:rsidR="00123D86" w:rsidRDefault="00B43206">
    <w:pPr>
      <w:pStyle w:val="Header"/>
    </w:pPr>
    <w:r>
      <w:rPr>
        <w:noProof/>
      </w:rPr>
      <mc:AlternateContent>
        <mc:Choice Requires="wps">
          <w:drawing>
            <wp:inline distT="0" distB="0" distL="0" distR="0" wp14:anchorId="36246754" wp14:editId="69B9ACCF">
              <wp:extent cx="6960870" cy="1160145"/>
              <wp:effectExtent l="0" t="0" r="0" b="0"/>
              <wp:docPr id="17" name="PowerPlusWaterMarkObject20297359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960870" cy="11601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3B663C0" w14:textId="77777777" w:rsidR="00B43206" w:rsidRDefault="00B43206" w:rsidP="00B43206">
                          <w:pPr>
                            <w:jc w:val="center"/>
                            <w:rPr>
                              <w:sz w:val="24"/>
                              <w:szCs w:val="24"/>
                            </w:rPr>
                          </w:pPr>
                          <w:r>
                            <w:rPr>
                              <w:color w:val="C0C0C0"/>
                              <w:sz w:val="16"/>
                              <w:szCs w:val="16"/>
                              <w:lang w:val="en-GB"/>
                              <w14:textFill>
                                <w14:solidFill>
                                  <w14:srgbClr w14:val="C0C0C0">
                                    <w14:alpha w14:val="50000"/>
                                  </w14:srgbClr>
                                </w14:solidFill>
                              </w14:textFill>
                            </w:rPr>
                            <w:t>BALLOT DRAFT</w:t>
                          </w:r>
                        </w:p>
                      </w:txbxContent>
                    </wps:txbx>
                    <wps:bodyPr wrap="square" numCol="1" fromWordArt="1">
                      <a:prstTxWarp prst="textPlain">
                        <a:avLst>
                          <a:gd name="adj" fmla="val 50000"/>
                        </a:avLst>
                      </a:prstTxWarp>
                      <a:noAutofit/>
                    </wps:bodyPr>
                  </wps:wsp>
                </a:graphicData>
              </a:graphic>
            </wp:inline>
          </w:drawing>
        </mc:Choice>
        <mc:Fallback>
          <w:pict>
            <v:shapetype w14:anchorId="36246754" id="_x0000_t202" coordsize="21600,21600" o:spt="202" path="m,l,21600r21600,l21600,xe">
              <v:stroke joinstyle="miter"/>
              <v:path gradientshapeok="t" o:connecttype="rect"/>
            </v:shapetype>
            <v:shape id="PowerPlusWaterMarkObject202973593" o:spid="_x0000_s1075" type="#_x0000_t202" style="width:548.1pt;height:91.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" filled="f" stroked="f">
              <v:stroke joinstyle="round"/>
              <o:lock v:ext="edit" rotation="t" aspectratio="t" verticies="t" adjusthandles="t" grouping="t" shapetype="t"/>
              <v:textbox>
                <w:txbxContent>
                  <w:p w14:paraId="03B663C0" w14:textId="77777777" w:rsidR="00B43206" w:rsidRDefault="00B43206" w:rsidP="00B43206">
                    <w:pPr>
                      <w:jc w:val="center"/>
                      <w:rPr>
                        <w:sz w:val="24"/>
                        <w:szCs w:val="24"/>
                      </w:rPr>
                    </w:pPr>
                    <w:r>
                      <w:rPr>
                        <w:color w:val="C0C0C0"/>
                        <w:sz w:val="16"/>
                        <w:szCs w:val="16"/>
                        <w:lang w:val="en-GB"/>
                        <w14:textFill>
                          <w14:solidFill>
                            <w14:srgbClr w14:val="C0C0C0">
                              <w14:alpha w14:val="50000"/>
                            </w14:srgbClr>
                          </w14:solidFill>
                        </w14:textFill>
                      </w:rPr>
                      <w:t>BALLOT DRAFT</w:t>
                    </w:r>
                  </w:p>
                </w:txbxContent>
              </v:textbox>
              <w10:anchorlock/>
            </v:shape>
          </w:pict>
        </mc:Fallback>
      </mc:AlternateContent>
    </w:r>
  </w:p>
  <w:p w14:paraId="73D291D2" w14:textId="77777777" w:rsidR="00123D86" w:rsidRPr="00E67037" w:rsidRDefault="00123D86">
    <w:pPr>
      <w:pStyle w:val="Header"/>
      <w:rPr>
        <w:sz w:val="1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63302" w14:textId="4B86137D" w:rsidR="00123D86" w:rsidRDefault="00B43206">
    <w:pPr>
      <w:pStyle w:val="Header"/>
    </w:pPr>
    <w:r>
      <w:rPr>
        <w:noProof/>
      </w:rPr>
      <mc:AlternateContent>
        <mc:Choice Requires="wps">
          <w:drawing>
            <wp:inline distT="0" distB="0" distL="0" distR="0" wp14:anchorId="11CC1DD0" wp14:editId="690752DA">
              <wp:extent cx="6960870" cy="1160145"/>
              <wp:effectExtent l="0" t="0" r="0" b="0"/>
              <wp:docPr id="16" name="PowerPlusWaterMarkObject202973597"/>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960870" cy="11601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697FA2" w14:textId="77777777" w:rsidR="00B43206" w:rsidRDefault="00B43206" w:rsidP="00B43206">
                          <w:pPr>
                            <w:jc w:val="center"/>
                            <w:rPr>
                              <w:sz w:val="24"/>
                              <w:szCs w:val="24"/>
                            </w:rPr>
                          </w:pPr>
                          <w:r>
                            <w:rPr>
                              <w:color w:val="C0C0C0"/>
                              <w:sz w:val="16"/>
                              <w:szCs w:val="16"/>
                              <w:lang w:val="en-GB"/>
                              <w14:textFill>
                                <w14:solidFill>
                                  <w14:srgbClr w14:val="C0C0C0">
                                    <w14:alpha w14:val="50000"/>
                                  </w14:srgbClr>
                                </w14:solidFill>
                              </w14:textFill>
                            </w:rPr>
                            <w:t>BALLOT DRAFT</w:t>
                          </w:r>
                        </w:p>
                      </w:txbxContent>
                    </wps:txbx>
                    <wps:bodyPr wrap="square" numCol="1" fromWordArt="1">
                      <a:prstTxWarp prst="textPlain">
                        <a:avLst>
                          <a:gd name="adj" fmla="val 50000"/>
                        </a:avLst>
                      </a:prstTxWarp>
                      <a:noAutofit/>
                    </wps:bodyPr>
                  </wps:wsp>
                </a:graphicData>
              </a:graphic>
            </wp:inline>
          </w:drawing>
        </mc:Choice>
        <mc:Fallback>
          <w:pict>
            <v:shapetype w14:anchorId="11CC1DD0" id="_x0000_t202" coordsize="21600,21600" o:spt="202" path="m,l,21600r21600,l21600,xe">
              <v:stroke joinstyle="miter"/>
              <v:path gradientshapeok="t" o:connecttype="rect"/>
            </v:shapetype>
            <v:shape id="PowerPlusWaterMarkObject202973597" o:spid="_x0000_s1076" type="#_x0000_t202" style="width:548.1pt;height:91.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" filled="f" stroked="f">
              <v:stroke joinstyle="round"/>
              <o:lock v:ext="edit" rotation="t" aspectratio="t" verticies="t" adjusthandles="t" grouping="t" shapetype="t"/>
              <v:textbox>
                <w:txbxContent>
                  <w:p w14:paraId="69697FA2" w14:textId="77777777" w:rsidR="00B43206" w:rsidRDefault="00B43206" w:rsidP="00B43206">
                    <w:pPr>
                      <w:jc w:val="center"/>
                      <w:rPr>
                        <w:sz w:val="24"/>
                        <w:szCs w:val="24"/>
                      </w:rPr>
                    </w:pPr>
                    <w:r>
                      <w:rPr>
                        <w:color w:val="C0C0C0"/>
                        <w:sz w:val="16"/>
                        <w:szCs w:val="16"/>
                        <w:lang w:val="en-GB"/>
                        <w14:textFill>
                          <w14:solidFill>
                            <w14:srgbClr w14:val="C0C0C0">
                              <w14:alpha w14:val="50000"/>
                            </w14:srgbClr>
                          </w14:solidFill>
                        </w14:textFill>
                      </w:rPr>
                      <w:t>BALLOT DRAFT</w:t>
                    </w:r>
                  </w:p>
                </w:txbxContent>
              </v:textbox>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814B5" w14:textId="1A4CFCAF" w:rsidR="00123D86" w:rsidRDefault="00B43206">
    <w:pPr>
      <w:pStyle w:val="Header"/>
    </w:pPr>
    <w:r>
      <w:rPr>
        <w:noProof/>
      </w:rPr>
      <mc:AlternateContent>
        <mc:Choice Requires="wps">
          <w:drawing>
            <wp:inline distT="0" distB="0" distL="0" distR="0" wp14:anchorId="2EBB314A" wp14:editId="4D5067E2">
              <wp:extent cx="6960870" cy="1160145"/>
              <wp:effectExtent l="0" t="0" r="0" b="0"/>
              <wp:docPr id="14" name="PowerPlusWaterMarkObject20297359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960870" cy="11601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DBBCB7" w14:textId="77777777" w:rsidR="00B43206" w:rsidRDefault="00B43206" w:rsidP="00B43206">
                          <w:pPr>
                            <w:jc w:val="center"/>
                            <w:rPr>
                              <w:sz w:val="24"/>
                              <w:szCs w:val="24"/>
                            </w:rPr>
                          </w:pPr>
                          <w:r>
                            <w:rPr>
                              <w:color w:val="C0C0C0"/>
                              <w:sz w:val="16"/>
                              <w:szCs w:val="16"/>
                              <w:lang w:val="en-GB"/>
                              <w14:textFill>
                                <w14:solidFill>
                                  <w14:srgbClr w14:val="C0C0C0">
                                    <w14:alpha w14:val="50000"/>
                                  </w14:srgbClr>
                                </w14:solidFill>
                              </w14:textFill>
                            </w:rPr>
                            <w:t>BALLOT DRAFT</w:t>
                          </w:r>
                        </w:p>
                      </w:txbxContent>
                    </wps:txbx>
                    <wps:bodyPr wrap="square" numCol="1" fromWordArt="1">
                      <a:prstTxWarp prst="textPlain">
                        <a:avLst>
                          <a:gd name="adj" fmla="val 50000"/>
                        </a:avLst>
                      </a:prstTxWarp>
                      <a:noAutofit/>
                    </wps:bodyPr>
                  </wps:wsp>
                </a:graphicData>
              </a:graphic>
            </wp:inline>
          </w:drawing>
        </mc:Choice>
        <mc:Fallback>
          <w:pict>
            <v:shapetype w14:anchorId="2EBB314A" id="_x0000_t202" coordsize="21600,21600" o:spt="202" path="m,l,21600r21600,l21600,xe">
              <v:stroke joinstyle="miter"/>
              <v:path gradientshapeok="t" o:connecttype="rect"/>
            </v:shapetype>
            <v:shape id="PowerPlusWaterMarkObject202973596" o:spid="_x0000_s1077" type="#_x0000_t202" style="width:548.1pt;height:91.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" filled="f" stroked="f">
              <v:stroke joinstyle="round"/>
              <o:lock v:ext="edit" rotation="t" aspectratio="t" verticies="t" adjusthandles="t" grouping="t" shapetype="t"/>
              <v:textbox>
                <w:txbxContent>
                  <w:p w14:paraId="5DDBBCB7" w14:textId="77777777" w:rsidR="00B43206" w:rsidRDefault="00B43206" w:rsidP="00B43206">
                    <w:pPr>
                      <w:jc w:val="center"/>
                      <w:rPr>
                        <w:sz w:val="24"/>
                        <w:szCs w:val="24"/>
                      </w:rPr>
                    </w:pPr>
                    <w:r>
                      <w:rPr>
                        <w:color w:val="C0C0C0"/>
                        <w:sz w:val="16"/>
                        <w:szCs w:val="16"/>
                        <w:lang w:val="en-GB"/>
                        <w14:textFill>
                          <w14:solidFill>
                            <w14:srgbClr w14:val="C0C0C0">
                              <w14:alpha w14:val="50000"/>
                            </w14:srgbClr>
                          </w14:solidFill>
                        </w14:textFill>
                      </w:rPr>
                      <w:t>BALLOT DRAFT</w:t>
                    </w:r>
                  </w:p>
                </w:txbxContent>
              </v:textbox>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FC29B" w14:textId="168689D6" w:rsidR="00123D86" w:rsidRDefault="00B43206">
    <w:pPr>
      <w:pStyle w:val="Header"/>
    </w:pPr>
    <w:r>
      <w:rPr>
        <w:noProof/>
      </w:rPr>
      <mc:AlternateContent>
        <mc:Choice Requires="wps">
          <w:drawing>
            <wp:inline distT="0" distB="0" distL="0" distR="0" wp14:anchorId="666BE80B" wp14:editId="4E80A2D4">
              <wp:extent cx="6960870" cy="1160145"/>
              <wp:effectExtent l="0" t="0" r="0" b="0"/>
              <wp:docPr id="13" name="PowerPlusWaterMarkObject202973600"/>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960870" cy="11601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022E99" w14:textId="77777777" w:rsidR="00B43206" w:rsidRDefault="00B43206" w:rsidP="00B43206">
                          <w:pPr>
                            <w:jc w:val="center"/>
                            <w:rPr>
                              <w:sz w:val="24"/>
                              <w:szCs w:val="24"/>
                            </w:rPr>
                          </w:pPr>
                          <w:r>
                            <w:rPr>
                              <w:color w:val="C0C0C0"/>
                              <w:sz w:val="16"/>
                              <w:szCs w:val="16"/>
                              <w:lang w:val="en-GB"/>
                              <w14:textFill>
                                <w14:solidFill>
                                  <w14:srgbClr w14:val="C0C0C0">
                                    <w14:alpha w14:val="50000"/>
                                  </w14:srgbClr>
                                </w14:solidFill>
                              </w14:textFill>
                            </w:rPr>
                            <w:t>BALLOT DRAFT</w:t>
                          </w:r>
                        </w:p>
                      </w:txbxContent>
                    </wps:txbx>
                    <wps:bodyPr wrap="square" numCol="1" fromWordArt="1">
                      <a:prstTxWarp prst="textPlain">
                        <a:avLst>
                          <a:gd name="adj" fmla="val 50000"/>
                        </a:avLst>
                      </a:prstTxWarp>
                      <a:noAutofit/>
                    </wps:bodyPr>
                  </wps:wsp>
                </a:graphicData>
              </a:graphic>
            </wp:inline>
          </w:drawing>
        </mc:Choice>
        <mc:Fallback>
          <w:pict>
            <v:shapetype w14:anchorId="666BE80B" id="_x0000_t202" coordsize="21600,21600" o:spt="202" path="m,l,21600r21600,l21600,xe">
              <v:stroke joinstyle="miter"/>
              <v:path gradientshapeok="t" o:connecttype="rect"/>
            </v:shapetype>
            <v:shape id="PowerPlusWaterMarkObject202973600" o:spid="_x0000_s1078" type="#_x0000_t202" style="width:548.1pt;height:91.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" filled="f" stroked="f">
              <v:stroke joinstyle="round"/>
              <o:lock v:ext="edit" rotation="t" aspectratio="t" verticies="t" adjusthandles="t" grouping="t" shapetype="t"/>
              <v:textbox>
                <w:txbxContent>
                  <w:p w14:paraId="01022E99" w14:textId="77777777" w:rsidR="00B43206" w:rsidRDefault="00B43206" w:rsidP="00B43206">
                    <w:pPr>
                      <w:jc w:val="center"/>
                      <w:rPr>
                        <w:sz w:val="24"/>
                        <w:szCs w:val="24"/>
                      </w:rPr>
                    </w:pPr>
                    <w:r>
                      <w:rPr>
                        <w:color w:val="C0C0C0"/>
                        <w:sz w:val="16"/>
                        <w:szCs w:val="16"/>
                        <w:lang w:val="en-GB"/>
                        <w14:textFill>
                          <w14:solidFill>
                            <w14:srgbClr w14:val="C0C0C0">
                              <w14:alpha w14:val="50000"/>
                            </w14:srgbClr>
                          </w14:solidFill>
                        </w14:textFill>
                      </w:rPr>
                      <w:t>BALLOT DRAFT</w:t>
                    </w:r>
                  </w:p>
                </w:txbxContent>
              </v:textbox>
              <w10:anchorlock/>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65FBA" w14:textId="5C17D897" w:rsidR="00123D86" w:rsidRDefault="00B43206">
    <w:pPr>
      <w:pStyle w:val="Header"/>
    </w:pPr>
    <w:r>
      <w:rPr>
        <w:noProof/>
      </w:rPr>
      <mc:AlternateContent>
        <mc:Choice Requires="wps">
          <w:drawing>
            <wp:inline distT="0" distB="0" distL="0" distR="0" wp14:anchorId="40571B2E" wp14:editId="12EBD5AC">
              <wp:extent cx="6960870" cy="1160145"/>
              <wp:effectExtent l="0" t="0" r="0" b="0"/>
              <wp:docPr id="11" name="PowerPlusWaterMarkObject202973599"/>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960870" cy="11601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9E4D69" w14:textId="77777777" w:rsidR="00B43206" w:rsidRDefault="00B43206" w:rsidP="00B43206">
                          <w:pPr>
                            <w:jc w:val="center"/>
                            <w:rPr>
                              <w:sz w:val="24"/>
                              <w:szCs w:val="24"/>
                            </w:rPr>
                          </w:pPr>
                          <w:r>
                            <w:rPr>
                              <w:color w:val="C0C0C0"/>
                              <w:sz w:val="16"/>
                              <w:szCs w:val="16"/>
                              <w:lang w:val="en-GB"/>
                              <w14:textFill>
                                <w14:solidFill>
                                  <w14:srgbClr w14:val="C0C0C0">
                                    <w14:alpha w14:val="50000"/>
                                  </w14:srgbClr>
                                </w14:solidFill>
                              </w14:textFill>
                            </w:rPr>
                            <w:t>BALLOT DRAFT</w:t>
                          </w:r>
                        </w:p>
                      </w:txbxContent>
                    </wps:txbx>
                    <wps:bodyPr wrap="square" numCol="1" fromWordArt="1">
                      <a:prstTxWarp prst="textPlain">
                        <a:avLst>
                          <a:gd name="adj" fmla="val 50000"/>
                        </a:avLst>
                      </a:prstTxWarp>
                      <a:noAutofit/>
                    </wps:bodyPr>
                  </wps:wsp>
                </a:graphicData>
              </a:graphic>
            </wp:inline>
          </w:drawing>
        </mc:Choice>
        <mc:Fallback>
          <w:pict>
            <v:shapetype w14:anchorId="40571B2E" id="_x0000_t202" coordsize="21600,21600" o:spt="202" path="m,l,21600r21600,l21600,xe">
              <v:stroke joinstyle="miter"/>
              <v:path gradientshapeok="t" o:connecttype="rect"/>
            </v:shapetype>
            <v:shape id="PowerPlusWaterMarkObject202973599" o:spid="_x0000_s1079" type="#_x0000_t202" style="width:548.1pt;height:91.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" filled="f" stroked="f">
              <v:stroke joinstyle="round"/>
              <o:lock v:ext="edit" rotation="t" aspectratio="t" verticies="t" adjusthandles="t" grouping="t" shapetype="t"/>
              <v:textbox>
                <w:txbxContent>
                  <w:p w14:paraId="4C9E4D69" w14:textId="77777777" w:rsidR="00B43206" w:rsidRDefault="00B43206" w:rsidP="00B43206">
                    <w:pPr>
                      <w:jc w:val="center"/>
                      <w:rPr>
                        <w:sz w:val="24"/>
                        <w:szCs w:val="24"/>
                      </w:rPr>
                    </w:pPr>
                    <w:r>
                      <w:rPr>
                        <w:color w:val="C0C0C0"/>
                        <w:sz w:val="16"/>
                        <w:szCs w:val="16"/>
                        <w:lang w:val="en-GB"/>
                        <w14:textFill>
                          <w14:solidFill>
                            <w14:srgbClr w14:val="C0C0C0">
                              <w14:alpha w14:val="50000"/>
                            </w14:srgbClr>
                          </w14:solidFill>
                        </w14:textFill>
                      </w:rPr>
                      <w:t>BALLOT DRAFT</w:t>
                    </w:r>
                  </w:p>
                </w:txbxContent>
              </v:textbox>
              <w10:anchorlock/>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58977" w14:textId="19DCEE47" w:rsidR="00123D86" w:rsidRDefault="00B43206">
    <w:pPr>
      <w:pStyle w:val="Header"/>
    </w:pPr>
    <w:r>
      <w:rPr>
        <w:noProof/>
      </w:rPr>
      <mc:AlternateContent>
        <mc:Choice Requires="wps">
          <w:drawing>
            <wp:inline distT="0" distB="0" distL="0" distR="0" wp14:anchorId="79E78DFB" wp14:editId="12AC2899">
              <wp:extent cx="6960870" cy="1160145"/>
              <wp:effectExtent l="0" t="0" r="0" b="0"/>
              <wp:docPr id="10" name="PowerPlusWaterMarkObject20297360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960870" cy="11601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39813B" w14:textId="77777777" w:rsidR="00B43206" w:rsidRDefault="00B43206" w:rsidP="00B43206">
                          <w:pPr>
                            <w:jc w:val="center"/>
                            <w:rPr>
                              <w:sz w:val="24"/>
                              <w:szCs w:val="24"/>
                            </w:rPr>
                          </w:pPr>
                          <w:r>
                            <w:rPr>
                              <w:color w:val="C0C0C0"/>
                              <w:sz w:val="16"/>
                              <w:szCs w:val="16"/>
                              <w:lang w:val="en-GB"/>
                              <w14:textFill>
                                <w14:solidFill>
                                  <w14:srgbClr w14:val="C0C0C0">
                                    <w14:alpha w14:val="50000"/>
                                  </w14:srgbClr>
                                </w14:solidFill>
                              </w14:textFill>
                            </w:rPr>
                            <w:t>BALLOT DRAFT</w:t>
                          </w:r>
                        </w:p>
                      </w:txbxContent>
                    </wps:txbx>
                    <wps:bodyPr wrap="square" numCol="1" fromWordArt="1">
                      <a:prstTxWarp prst="textPlain">
                        <a:avLst>
                          <a:gd name="adj" fmla="val 50000"/>
                        </a:avLst>
                      </a:prstTxWarp>
                      <a:noAutofit/>
                    </wps:bodyPr>
                  </wps:wsp>
                </a:graphicData>
              </a:graphic>
            </wp:inline>
          </w:drawing>
        </mc:Choice>
        <mc:Fallback>
          <w:pict>
            <v:shapetype w14:anchorId="79E78DFB" id="_x0000_t202" coordsize="21600,21600" o:spt="202" path="m,l,21600r21600,l21600,xe">
              <v:stroke joinstyle="miter"/>
              <v:path gradientshapeok="t" o:connecttype="rect"/>
            </v:shapetype>
            <v:shape id="PowerPlusWaterMarkObject202973603" o:spid="_x0000_s1080" type="#_x0000_t202" style="width:548.1pt;height:91.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" filled="f" stroked="f">
              <v:stroke joinstyle="round"/>
              <o:lock v:ext="edit" rotation="t" aspectratio="t" verticies="t" adjusthandles="t" grouping="t" shapetype="t"/>
              <v:textbox>
                <w:txbxContent>
                  <w:p w14:paraId="1A39813B" w14:textId="77777777" w:rsidR="00B43206" w:rsidRDefault="00B43206" w:rsidP="00B43206">
                    <w:pPr>
                      <w:jc w:val="center"/>
                      <w:rPr>
                        <w:sz w:val="24"/>
                        <w:szCs w:val="24"/>
                      </w:rPr>
                    </w:pPr>
                    <w:r>
                      <w:rPr>
                        <w:color w:val="C0C0C0"/>
                        <w:sz w:val="16"/>
                        <w:szCs w:val="16"/>
                        <w:lang w:val="en-GB"/>
                        <w14:textFill>
                          <w14:solidFill>
                            <w14:srgbClr w14:val="C0C0C0">
                              <w14:alpha w14:val="50000"/>
                            </w14:srgbClr>
                          </w14:solidFill>
                        </w14:textFill>
                      </w:rPr>
                      <w:t>BALLOT DRAFT</w:t>
                    </w:r>
                  </w:p>
                </w:txbxContent>
              </v:textbox>
              <w10:anchorlock/>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33E67" w14:textId="66101D15" w:rsidR="00123D86" w:rsidRDefault="00B43206">
    <w:pPr>
      <w:pStyle w:val="Header"/>
    </w:pPr>
    <w:r>
      <w:rPr>
        <w:noProof/>
      </w:rPr>
      <mc:AlternateContent>
        <mc:Choice Requires="wps">
          <w:drawing>
            <wp:inline distT="0" distB="0" distL="0" distR="0" wp14:anchorId="2DDD7C02" wp14:editId="5F8DC899">
              <wp:extent cx="6960870" cy="1160145"/>
              <wp:effectExtent l="0" t="0" r="0" b="0"/>
              <wp:docPr id="8" name="PowerPlusWaterMarkObject20297360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960870" cy="11601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D425A7" w14:textId="77777777" w:rsidR="00B43206" w:rsidRDefault="00B43206" w:rsidP="00B43206">
                          <w:pPr>
                            <w:jc w:val="center"/>
                            <w:rPr>
                              <w:sz w:val="24"/>
                              <w:szCs w:val="24"/>
                            </w:rPr>
                          </w:pPr>
                          <w:r>
                            <w:rPr>
                              <w:color w:val="C0C0C0"/>
                              <w:sz w:val="16"/>
                              <w:szCs w:val="16"/>
                              <w:lang w:val="en-GB"/>
                              <w14:textFill>
                                <w14:solidFill>
                                  <w14:srgbClr w14:val="C0C0C0">
                                    <w14:alpha w14:val="50000"/>
                                  </w14:srgbClr>
                                </w14:solidFill>
                              </w14:textFill>
                            </w:rPr>
                            <w:t>BALLOT DRAFT</w:t>
                          </w:r>
                        </w:p>
                      </w:txbxContent>
                    </wps:txbx>
                    <wps:bodyPr wrap="square" numCol="1" fromWordArt="1">
                      <a:prstTxWarp prst="textPlain">
                        <a:avLst>
                          <a:gd name="adj" fmla="val 50000"/>
                        </a:avLst>
                      </a:prstTxWarp>
                      <a:noAutofit/>
                    </wps:bodyPr>
                  </wps:wsp>
                </a:graphicData>
              </a:graphic>
            </wp:inline>
          </w:drawing>
        </mc:Choice>
        <mc:Fallback>
          <w:pict>
            <v:shapetype w14:anchorId="2DDD7C02" id="_x0000_t202" coordsize="21600,21600" o:spt="202" path="m,l,21600r21600,l21600,xe">
              <v:stroke joinstyle="miter"/>
              <v:path gradientshapeok="t" o:connecttype="rect"/>
            </v:shapetype>
            <v:shape id="PowerPlusWaterMarkObject202973602" o:spid="_x0000_s1081" type="#_x0000_t202" style="width:548.1pt;height:91.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" filled="f" stroked="f">
              <v:stroke joinstyle="round"/>
              <o:lock v:ext="edit" rotation="t" aspectratio="t" verticies="t" adjusthandles="t" grouping="t" shapetype="t"/>
              <v:textbox>
                <w:txbxContent>
                  <w:p w14:paraId="01D425A7" w14:textId="77777777" w:rsidR="00B43206" w:rsidRDefault="00B43206" w:rsidP="00B43206">
                    <w:pPr>
                      <w:jc w:val="center"/>
                      <w:rPr>
                        <w:sz w:val="24"/>
                        <w:szCs w:val="24"/>
                      </w:rPr>
                    </w:pPr>
                    <w:r>
                      <w:rPr>
                        <w:color w:val="C0C0C0"/>
                        <w:sz w:val="16"/>
                        <w:szCs w:val="16"/>
                        <w:lang w:val="en-GB"/>
                        <w14:textFill>
                          <w14:solidFill>
                            <w14:srgbClr w14:val="C0C0C0">
                              <w14:alpha w14:val="50000"/>
                            </w14:srgbClr>
                          </w14:solidFill>
                        </w14:textFill>
                      </w:rPr>
                      <w:t>BALLOT DRAFT</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69A8"/>
    <w:multiLevelType w:val="hybridMultilevel"/>
    <w:tmpl w:val="9C8C229C"/>
    <w:lvl w:ilvl="0" w:tplc="674C37C8">
      <w:start w:val="1"/>
      <w:numFmt w:val="lowerRoman"/>
      <w:lvlText w:val="(%1)"/>
      <w:lvlJc w:val="left"/>
      <w:pPr>
        <w:ind w:left="2285" w:hanging="360"/>
      </w:pPr>
      <w:rPr>
        <w:rFonts w:hint="default"/>
      </w:rPr>
    </w:lvl>
    <w:lvl w:ilvl="1" w:tplc="0C090019" w:tentative="1">
      <w:start w:val="1"/>
      <w:numFmt w:val="lowerLetter"/>
      <w:lvlText w:val="%2."/>
      <w:lvlJc w:val="left"/>
      <w:pPr>
        <w:ind w:left="3005" w:hanging="360"/>
      </w:pPr>
    </w:lvl>
    <w:lvl w:ilvl="2" w:tplc="0C09001B" w:tentative="1">
      <w:start w:val="1"/>
      <w:numFmt w:val="lowerRoman"/>
      <w:lvlText w:val="%3."/>
      <w:lvlJc w:val="right"/>
      <w:pPr>
        <w:ind w:left="3725" w:hanging="180"/>
      </w:pPr>
    </w:lvl>
    <w:lvl w:ilvl="3" w:tplc="0C09000F" w:tentative="1">
      <w:start w:val="1"/>
      <w:numFmt w:val="decimal"/>
      <w:lvlText w:val="%4."/>
      <w:lvlJc w:val="left"/>
      <w:pPr>
        <w:ind w:left="4445" w:hanging="360"/>
      </w:pPr>
    </w:lvl>
    <w:lvl w:ilvl="4" w:tplc="0C090019" w:tentative="1">
      <w:start w:val="1"/>
      <w:numFmt w:val="lowerLetter"/>
      <w:lvlText w:val="%5."/>
      <w:lvlJc w:val="left"/>
      <w:pPr>
        <w:ind w:left="5165" w:hanging="360"/>
      </w:pPr>
    </w:lvl>
    <w:lvl w:ilvl="5" w:tplc="0C09001B" w:tentative="1">
      <w:start w:val="1"/>
      <w:numFmt w:val="lowerRoman"/>
      <w:lvlText w:val="%6."/>
      <w:lvlJc w:val="right"/>
      <w:pPr>
        <w:ind w:left="5885" w:hanging="180"/>
      </w:pPr>
    </w:lvl>
    <w:lvl w:ilvl="6" w:tplc="0C09000F" w:tentative="1">
      <w:start w:val="1"/>
      <w:numFmt w:val="decimal"/>
      <w:lvlText w:val="%7."/>
      <w:lvlJc w:val="left"/>
      <w:pPr>
        <w:ind w:left="6605" w:hanging="360"/>
      </w:pPr>
    </w:lvl>
    <w:lvl w:ilvl="7" w:tplc="0C090019" w:tentative="1">
      <w:start w:val="1"/>
      <w:numFmt w:val="lowerLetter"/>
      <w:lvlText w:val="%8."/>
      <w:lvlJc w:val="left"/>
      <w:pPr>
        <w:ind w:left="7325" w:hanging="360"/>
      </w:pPr>
    </w:lvl>
    <w:lvl w:ilvl="8" w:tplc="0C09001B" w:tentative="1">
      <w:start w:val="1"/>
      <w:numFmt w:val="lowerRoman"/>
      <w:lvlText w:val="%9."/>
      <w:lvlJc w:val="right"/>
      <w:pPr>
        <w:ind w:left="8045" w:hanging="180"/>
      </w:pPr>
    </w:lvl>
  </w:abstractNum>
  <w:abstractNum w:abstractNumId="1" w15:restartNumberingAfterBreak="0">
    <w:nsid w:val="011A67DE"/>
    <w:multiLevelType w:val="multilevel"/>
    <w:tmpl w:val="8DC64E64"/>
    <w:styleLink w:val="AASBSubNumbersBold"/>
    <w:lvl w:ilvl="0">
      <w:start w:val="1"/>
      <w:numFmt w:val="none"/>
      <w:pStyle w:val="SubNumBold1"/>
      <w:suff w:val="nothing"/>
      <w:lvlText w:val="%1"/>
      <w:lvlJc w:val="left"/>
      <w:pPr>
        <w:ind w:left="1021" w:hanging="511"/>
      </w:pPr>
      <w:rPr>
        <w:rFonts w:hint="default"/>
      </w:rPr>
    </w:lvl>
    <w:lvl w:ilvl="1">
      <w:start w:val="1"/>
      <w:numFmt w:val="lowerLetter"/>
      <w:pStyle w:val="SubNumBold2"/>
      <w:lvlText w:val="(%2)"/>
      <w:lvlJc w:val="left"/>
      <w:pPr>
        <w:tabs>
          <w:tab w:val="num" w:pos="1020"/>
        </w:tabs>
        <w:ind w:left="1531" w:hanging="511"/>
      </w:pPr>
      <w:rPr>
        <w:rFonts w:hint="default"/>
      </w:rPr>
    </w:lvl>
    <w:lvl w:ilvl="2">
      <w:start w:val="1"/>
      <w:numFmt w:val="lowerRoman"/>
      <w:pStyle w:val="SubNumBold3"/>
      <w:lvlText w:val="(%3)"/>
      <w:lvlJc w:val="left"/>
      <w:pPr>
        <w:tabs>
          <w:tab w:val="num" w:pos="1530"/>
        </w:tabs>
        <w:ind w:left="2041" w:hanging="511"/>
      </w:pPr>
      <w:rPr>
        <w:rFonts w:hint="default"/>
      </w:rPr>
    </w:lvl>
    <w:lvl w:ilvl="3">
      <w:start w:val="1"/>
      <w:numFmt w:val="upperLetter"/>
      <w:pStyle w:val="SubNumBold4"/>
      <w:lvlText w:val="(%4)"/>
      <w:lvlJc w:val="left"/>
      <w:pPr>
        <w:tabs>
          <w:tab w:val="num" w:pos="2040"/>
        </w:tabs>
        <w:ind w:left="2551" w:hanging="511"/>
      </w:pPr>
      <w:rPr>
        <w:rFonts w:hint="default"/>
      </w:rPr>
    </w:lvl>
    <w:lvl w:ilvl="4">
      <w:start w:val="1"/>
      <w:numFmt w:val="lowerLetter"/>
      <w:lvlText w:val="(%5)"/>
      <w:lvlJc w:val="left"/>
      <w:pPr>
        <w:tabs>
          <w:tab w:val="num" w:pos="2550"/>
        </w:tabs>
        <w:ind w:left="3061" w:hanging="511"/>
      </w:pPr>
      <w:rPr>
        <w:rFonts w:hint="default"/>
      </w:rPr>
    </w:lvl>
    <w:lvl w:ilvl="5">
      <w:start w:val="1"/>
      <w:numFmt w:val="lowerRoman"/>
      <w:lvlText w:val="(%6)"/>
      <w:lvlJc w:val="left"/>
      <w:pPr>
        <w:tabs>
          <w:tab w:val="num" w:pos="3060"/>
        </w:tabs>
        <w:ind w:left="3571" w:hanging="511"/>
      </w:pPr>
      <w:rPr>
        <w:rFonts w:hint="default"/>
      </w:rPr>
    </w:lvl>
    <w:lvl w:ilvl="6">
      <w:start w:val="1"/>
      <w:numFmt w:val="decimal"/>
      <w:lvlText w:val="%7."/>
      <w:lvlJc w:val="left"/>
      <w:pPr>
        <w:tabs>
          <w:tab w:val="num" w:pos="3570"/>
        </w:tabs>
        <w:ind w:left="4081" w:hanging="511"/>
      </w:pPr>
      <w:rPr>
        <w:rFonts w:hint="default"/>
      </w:rPr>
    </w:lvl>
    <w:lvl w:ilvl="7">
      <w:start w:val="1"/>
      <w:numFmt w:val="lowerLetter"/>
      <w:lvlText w:val="%8."/>
      <w:lvlJc w:val="left"/>
      <w:pPr>
        <w:tabs>
          <w:tab w:val="num" w:pos="4080"/>
        </w:tabs>
        <w:ind w:left="4591" w:hanging="511"/>
      </w:pPr>
      <w:rPr>
        <w:rFonts w:hint="default"/>
      </w:rPr>
    </w:lvl>
    <w:lvl w:ilvl="8">
      <w:start w:val="1"/>
      <w:numFmt w:val="lowerRoman"/>
      <w:lvlText w:val="%9."/>
      <w:lvlJc w:val="left"/>
      <w:pPr>
        <w:tabs>
          <w:tab w:val="num" w:pos="4590"/>
        </w:tabs>
        <w:ind w:left="5101" w:hanging="511"/>
      </w:pPr>
      <w:rPr>
        <w:rFonts w:hint="default"/>
      </w:rPr>
    </w:lvl>
  </w:abstractNum>
  <w:abstractNum w:abstractNumId="2" w15:restartNumberingAfterBreak="0">
    <w:nsid w:val="018869A5"/>
    <w:multiLevelType w:val="hybridMultilevel"/>
    <w:tmpl w:val="60761D0A"/>
    <w:lvl w:ilvl="0" w:tplc="5A14325A">
      <w:start w:val="1"/>
      <w:numFmt w:val="bullet"/>
      <w:lvlText w:val="•"/>
      <w:lvlJc w:val="left"/>
      <w:pPr>
        <w:tabs>
          <w:tab w:val="num" w:pos="360"/>
        </w:tabs>
        <w:ind w:left="360" w:hanging="360"/>
      </w:pPr>
      <w:rPr>
        <w:rFonts w:ascii="Arial" w:hAnsi="Arial" w:hint="default"/>
      </w:rPr>
    </w:lvl>
    <w:lvl w:ilvl="1" w:tplc="3846249E" w:tentative="1">
      <w:start w:val="1"/>
      <w:numFmt w:val="bullet"/>
      <w:lvlText w:val="•"/>
      <w:lvlJc w:val="left"/>
      <w:pPr>
        <w:tabs>
          <w:tab w:val="num" w:pos="1080"/>
        </w:tabs>
        <w:ind w:left="1080" w:hanging="360"/>
      </w:pPr>
      <w:rPr>
        <w:rFonts w:ascii="Arial" w:hAnsi="Arial" w:hint="default"/>
      </w:rPr>
    </w:lvl>
    <w:lvl w:ilvl="2" w:tplc="13D64FCA" w:tentative="1">
      <w:start w:val="1"/>
      <w:numFmt w:val="bullet"/>
      <w:lvlText w:val="•"/>
      <w:lvlJc w:val="left"/>
      <w:pPr>
        <w:tabs>
          <w:tab w:val="num" w:pos="1800"/>
        </w:tabs>
        <w:ind w:left="1800" w:hanging="360"/>
      </w:pPr>
      <w:rPr>
        <w:rFonts w:ascii="Arial" w:hAnsi="Arial" w:hint="default"/>
      </w:rPr>
    </w:lvl>
    <w:lvl w:ilvl="3" w:tplc="4FFCE342" w:tentative="1">
      <w:start w:val="1"/>
      <w:numFmt w:val="bullet"/>
      <w:lvlText w:val="•"/>
      <w:lvlJc w:val="left"/>
      <w:pPr>
        <w:tabs>
          <w:tab w:val="num" w:pos="2520"/>
        </w:tabs>
        <w:ind w:left="2520" w:hanging="360"/>
      </w:pPr>
      <w:rPr>
        <w:rFonts w:ascii="Arial" w:hAnsi="Arial" w:hint="default"/>
      </w:rPr>
    </w:lvl>
    <w:lvl w:ilvl="4" w:tplc="1C6CD610" w:tentative="1">
      <w:start w:val="1"/>
      <w:numFmt w:val="bullet"/>
      <w:lvlText w:val="•"/>
      <w:lvlJc w:val="left"/>
      <w:pPr>
        <w:tabs>
          <w:tab w:val="num" w:pos="3240"/>
        </w:tabs>
        <w:ind w:left="3240" w:hanging="360"/>
      </w:pPr>
      <w:rPr>
        <w:rFonts w:ascii="Arial" w:hAnsi="Arial" w:hint="default"/>
      </w:rPr>
    </w:lvl>
    <w:lvl w:ilvl="5" w:tplc="CA44290E" w:tentative="1">
      <w:start w:val="1"/>
      <w:numFmt w:val="bullet"/>
      <w:lvlText w:val="•"/>
      <w:lvlJc w:val="left"/>
      <w:pPr>
        <w:tabs>
          <w:tab w:val="num" w:pos="3960"/>
        </w:tabs>
        <w:ind w:left="3960" w:hanging="360"/>
      </w:pPr>
      <w:rPr>
        <w:rFonts w:ascii="Arial" w:hAnsi="Arial" w:hint="default"/>
      </w:rPr>
    </w:lvl>
    <w:lvl w:ilvl="6" w:tplc="49FA4D92" w:tentative="1">
      <w:start w:val="1"/>
      <w:numFmt w:val="bullet"/>
      <w:lvlText w:val="•"/>
      <w:lvlJc w:val="left"/>
      <w:pPr>
        <w:tabs>
          <w:tab w:val="num" w:pos="4680"/>
        </w:tabs>
        <w:ind w:left="4680" w:hanging="360"/>
      </w:pPr>
      <w:rPr>
        <w:rFonts w:ascii="Arial" w:hAnsi="Arial" w:hint="default"/>
      </w:rPr>
    </w:lvl>
    <w:lvl w:ilvl="7" w:tplc="284C701C" w:tentative="1">
      <w:start w:val="1"/>
      <w:numFmt w:val="bullet"/>
      <w:lvlText w:val="•"/>
      <w:lvlJc w:val="left"/>
      <w:pPr>
        <w:tabs>
          <w:tab w:val="num" w:pos="5400"/>
        </w:tabs>
        <w:ind w:left="5400" w:hanging="360"/>
      </w:pPr>
      <w:rPr>
        <w:rFonts w:ascii="Arial" w:hAnsi="Arial" w:hint="default"/>
      </w:rPr>
    </w:lvl>
    <w:lvl w:ilvl="8" w:tplc="60E6BCEA"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03F92581"/>
    <w:multiLevelType w:val="multilevel"/>
    <w:tmpl w:val="AD5ABFF2"/>
    <w:numStyleLink w:val="AASBSubNumbers"/>
  </w:abstractNum>
  <w:abstractNum w:abstractNumId="4" w15:restartNumberingAfterBreak="0">
    <w:nsid w:val="047B0405"/>
    <w:multiLevelType w:val="hybridMultilevel"/>
    <w:tmpl w:val="4D9A88CE"/>
    <w:lvl w:ilvl="0" w:tplc="EB8277D2">
      <w:start w:val="1"/>
      <w:numFmt w:val="decimal"/>
      <w:pStyle w:val="IGpara1"/>
      <w:lvlText w:val="IG%1"/>
      <w:lvlJc w:val="left"/>
      <w:pPr>
        <w:ind w:left="720" w:hanging="360"/>
      </w:pPr>
      <w:rPr>
        <w:rFonts w:hint="default"/>
      </w:rPr>
    </w:lvl>
    <w:lvl w:ilvl="1" w:tplc="D896881A">
      <w:start w:val="1"/>
      <w:numFmt w:val="lowerLetter"/>
      <w:lvlText w:val="(%2)"/>
      <w:lvlJc w:val="left"/>
      <w:pPr>
        <w:ind w:left="1440" w:hanging="360"/>
      </w:pPr>
      <w:rPr>
        <w:rFonts w:ascii="Times New Roman" w:hAnsi="Times New Roman" w:hint="default"/>
        <w:b w:val="0"/>
        <w:i w:val="0"/>
        <w:sz w:val="19"/>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606B65"/>
    <w:multiLevelType w:val="multilevel"/>
    <w:tmpl w:val="EE9C98C8"/>
    <w:numStyleLink w:val="DNos"/>
  </w:abstractNum>
  <w:abstractNum w:abstractNumId="6" w15:restartNumberingAfterBreak="0">
    <w:nsid w:val="0ADF32F1"/>
    <w:multiLevelType w:val="hybridMultilevel"/>
    <w:tmpl w:val="20FA5888"/>
    <w:lvl w:ilvl="0" w:tplc="3BB04716">
      <w:start w:val="1"/>
      <w:numFmt w:val="lowerLetter"/>
      <w:lvlText w:val="(%1)"/>
      <w:lvlJc w:val="left"/>
      <w:pPr>
        <w:ind w:left="1440" w:hanging="360"/>
      </w:pPr>
      <w:rPr>
        <w:rFonts w:ascii="Times New Roman" w:eastAsia="Times New Roman" w:hAnsi="Times New Roman" w:cs="Times New Roman" w:hint="default"/>
        <w:color w:val="auto"/>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0CA546FF"/>
    <w:multiLevelType w:val="hybridMultilevel"/>
    <w:tmpl w:val="BC8E4C7A"/>
    <w:lvl w:ilvl="0" w:tplc="3BB04716">
      <w:start w:val="1"/>
      <w:numFmt w:val="lowerLetter"/>
      <w:lvlText w:val="(%1)"/>
      <w:lvlJc w:val="left"/>
      <w:pPr>
        <w:ind w:left="360" w:hanging="360"/>
      </w:pPr>
      <w:rPr>
        <w:rFonts w:ascii="Times New Roman" w:eastAsia="Times New Roman" w:hAnsi="Times New Roman" w:cs="Times New Roman" w:hint="default"/>
        <w:color w:val="auto"/>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14B2170"/>
    <w:multiLevelType w:val="hybridMultilevel"/>
    <w:tmpl w:val="14508E7E"/>
    <w:lvl w:ilvl="0" w:tplc="3BB04716">
      <w:start w:val="1"/>
      <w:numFmt w:val="lowerLetter"/>
      <w:lvlText w:val="(%1)"/>
      <w:lvlJc w:val="left"/>
      <w:pPr>
        <w:ind w:left="1502" w:hanging="360"/>
      </w:pPr>
      <w:rPr>
        <w:rFonts w:ascii="Times New Roman" w:eastAsia="Times New Roman" w:hAnsi="Times New Roman" w:cs="Times New Roman" w:hint="default"/>
        <w:color w:val="auto"/>
      </w:rPr>
    </w:lvl>
    <w:lvl w:ilvl="1" w:tplc="0C090019" w:tentative="1">
      <w:start w:val="1"/>
      <w:numFmt w:val="lowerLetter"/>
      <w:lvlText w:val="%2."/>
      <w:lvlJc w:val="left"/>
      <w:pPr>
        <w:ind w:left="2222" w:hanging="360"/>
      </w:pPr>
      <w:rPr>
        <w:rFonts w:cs="Times New Roman"/>
      </w:rPr>
    </w:lvl>
    <w:lvl w:ilvl="2" w:tplc="0C09001B" w:tentative="1">
      <w:start w:val="1"/>
      <w:numFmt w:val="lowerRoman"/>
      <w:lvlText w:val="%3."/>
      <w:lvlJc w:val="right"/>
      <w:pPr>
        <w:ind w:left="2942" w:hanging="180"/>
      </w:pPr>
      <w:rPr>
        <w:rFonts w:cs="Times New Roman"/>
      </w:rPr>
    </w:lvl>
    <w:lvl w:ilvl="3" w:tplc="0C09000F" w:tentative="1">
      <w:start w:val="1"/>
      <w:numFmt w:val="decimal"/>
      <w:lvlText w:val="%4."/>
      <w:lvlJc w:val="left"/>
      <w:pPr>
        <w:ind w:left="3662" w:hanging="360"/>
      </w:pPr>
      <w:rPr>
        <w:rFonts w:cs="Times New Roman"/>
      </w:rPr>
    </w:lvl>
    <w:lvl w:ilvl="4" w:tplc="0C090019" w:tentative="1">
      <w:start w:val="1"/>
      <w:numFmt w:val="lowerLetter"/>
      <w:lvlText w:val="%5."/>
      <w:lvlJc w:val="left"/>
      <w:pPr>
        <w:ind w:left="4382" w:hanging="360"/>
      </w:pPr>
      <w:rPr>
        <w:rFonts w:cs="Times New Roman"/>
      </w:rPr>
    </w:lvl>
    <w:lvl w:ilvl="5" w:tplc="0C09001B" w:tentative="1">
      <w:start w:val="1"/>
      <w:numFmt w:val="lowerRoman"/>
      <w:lvlText w:val="%6."/>
      <w:lvlJc w:val="right"/>
      <w:pPr>
        <w:ind w:left="5102" w:hanging="180"/>
      </w:pPr>
      <w:rPr>
        <w:rFonts w:cs="Times New Roman"/>
      </w:rPr>
    </w:lvl>
    <w:lvl w:ilvl="6" w:tplc="0C09000F" w:tentative="1">
      <w:start w:val="1"/>
      <w:numFmt w:val="decimal"/>
      <w:lvlText w:val="%7."/>
      <w:lvlJc w:val="left"/>
      <w:pPr>
        <w:ind w:left="5822" w:hanging="360"/>
      </w:pPr>
      <w:rPr>
        <w:rFonts w:cs="Times New Roman"/>
      </w:rPr>
    </w:lvl>
    <w:lvl w:ilvl="7" w:tplc="0C090019" w:tentative="1">
      <w:start w:val="1"/>
      <w:numFmt w:val="lowerLetter"/>
      <w:lvlText w:val="%8."/>
      <w:lvlJc w:val="left"/>
      <w:pPr>
        <w:ind w:left="6542" w:hanging="360"/>
      </w:pPr>
      <w:rPr>
        <w:rFonts w:cs="Times New Roman"/>
      </w:rPr>
    </w:lvl>
    <w:lvl w:ilvl="8" w:tplc="0C09001B" w:tentative="1">
      <w:start w:val="1"/>
      <w:numFmt w:val="lowerRoman"/>
      <w:lvlText w:val="%9."/>
      <w:lvlJc w:val="right"/>
      <w:pPr>
        <w:ind w:left="7262" w:hanging="180"/>
      </w:pPr>
      <w:rPr>
        <w:rFonts w:cs="Times New Roman"/>
      </w:rPr>
    </w:lvl>
  </w:abstractNum>
  <w:abstractNum w:abstractNumId="9" w15:restartNumberingAfterBreak="0">
    <w:nsid w:val="15103E8C"/>
    <w:multiLevelType w:val="hybridMultilevel"/>
    <w:tmpl w:val="F686FBDE"/>
    <w:lvl w:ilvl="0" w:tplc="DFD46A44">
      <w:start w:val="1"/>
      <w:numFmt w:val="lowerLetter"/>
      <w:lvlText w:val="(%1)"/>
      <w:lvlJc w:val="left"/>
      <w:pPr>
        <w:ind w:left="1142" w:hanging="360"/>
      </w:pPr>
      <w:rPr>
        <w:rFonts w:hint="default"/>
        <w:strike w:val="0"/>
      </w:rPr>
    </w:lvl>
    <w:lvl w:ilvl="1" w:tplc="0C090019" w:tentative="1">
      <w:start w:val="1"/>
      <w:numFmt w:val="lowerLetter"/>
      <w:lvlText w:val="%2."/>
      <w:lvlJc w:val="left"/>
      <w:pPr>
        <w:ind w:left="1862" w:hanging="360"/>
      </w:pPr>
    </w:lvl>
    <w:lvl w:ilvl="2" w:tplc="0C09001B" w:tentative="1">
      <w:start w:val="1"/>
      <w:numFmt w:val="lowerRoman"/>
      <w:lvlText w:val="%3."/>
      <w:lvlJc w:val="right"/>
      <w:pPr>
        <w:ind w:left="2582" w:hanging="180"/>
      </w:pPr>
    </w:lvl>
    <w:lvl w:ilvl="3" w:tplc="0C09000F" w:tentative="1">
      <w:start w:val="1"/>
      <w:numFmt w:val="decimal"/>
      <w:lvlText w:val="%4."/>
      <w:lvlJc w:val="left"/>
      <w:pPr>
        <w:ind w:left="3302" w:hanging="360"/>
      </w:pPr>
    </w:lvl>
    <w:lvl w:ilvl="4" w:tplc="0C090019" w:tentative="1">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0" w15:restartNumberingAfterBreak="0">
    <w:nsid w:val="1AD76B6E"/>
    <w:multiLevelType w:val="hybridMultilevel"/>
    <w:tmpl w:val="1D3CC738"/>
    <w:styleLink w:val="BulletedParas"/>
    <w:lvl w:ilvl="0" w:tplc="D9764728">
      <w:start w:val="1"/>
      <w:numFmt w:val="lowerLetter"/>
      <w:lvlText w:val="(%1)"/>
      <w:lvlJc w:val="left"/>
      <w:pPr>
        <w:ind w:left="705" w:hanging="360"/>
      </w:pPr>
      <w:rPr>
        <w:rFonts w:cs="Times New Roman" w:hint="default"/>
      </w:rPr>
    </w:lvl>
    <w:lvl w:ilvl="1" w:tplc="0C090019" w:tentative="1">
      <w:start w:val="1"/>
      <w:numFmt w:val="lowerLetter"/>
      <w:lvlText w:val="%2."/>
      <w:lvlJc w:val="left"/>
      <w:pPr>
        <w:ind w:left="1425" w:hanging="360"/>
      </w:pPr>
      <w:rPr>
        <w:rFonts w:cs="Times New Roman"/>
      </w:rPr>
    </w:lvl>
    <w:lvl w:ilvl="2" w:tplc="0C09001B" w:tentative="1">
      <w:start w:val="1"/>
      <w:numFmt w:val="lowerRoman"/>
      <w:lvlText w:val="%3."/>
      <w:lvlJc w:val="right"/>
      <w:pPr>
        <w:ind w:left="2145" w:hanging="180"/>
      </w:pPr>
      <w:rPr>
        <w:rFonts w:cs="Times New Roman"/>
      </w:rPr>
    </w:lvl>
    <w:lvl w:ilvl="3" w:tplc="0C09000F" w:tentative="1">
      <w:start w:val="1"/>
      <w:numFmt w:val="decimal"/>
      <w:lvlText w:val="%4."/>
      <w:lvlJc w:val="left"/>
      <w:pPr>
        <w:ind w:left="2865" w:hanging="360"/>
      </w:pPr>
      <w:rPr>
        <w:rFonts w:cs="Times New Roman"/>
      </w:rPr>
    </w:lvl>
    <w:lvl w:ilvl="4" w:tplc="0C090019" w:tentative="1">
      <w:start w:val="1"/>
      <w:numFmt w:val="lowerLetter"/>
      <w:lvlText w:val="%5."/>
      <w:lvlJc w:val="left"/>
      <w:pPr>
        <w:ind w:left="3585" w:hanging="360"/>
      </w:pPr>
      <w:rPr>
        <w:rFonts w:cs="Times New Roman"/>
      </w:rPr>
    </w:lvl>
    <w:lvl w:ilvl="5" w:tplc="0C09001B" w:tentative="1">
      <w:start w:val="1"/>
      <w:numFmt w:val="lowerRoman"/>
      <w:lvlText w:val="%6."/>
      <w:lvlJc w:val="right"/>
      <w:pPr>
        <w:ind w:left="4305" w:hanging="180"/>
      </w:pPr>
      <w:rPr>
        <w:rFonts w:cs="Times New Roman"/>
      </w:rPr>
    </w:lvl>
    <w:lvl w:ilvl="6" w:tplc="0C09000F" w:tentative="1">
      <w:start w:val="1"/>
      <w:numFmt w:val="decimal"/>
      <w:lvlText w:val="%7."/>
      <w:lvlJc w:val="left"/>
      <w:pPr>
        <w:ind w:left="5025" w:hanging="360"/>
      </w:pPr>
      <w:rPr>
        <w:rFonts w:cs="Times New Roman"/>
      </w:rPr>
    </w:lvl>
    <w:lvl w:ilvl="7" w:tplc="0C090019" w:tentative="1">
      <w:start w:val="1"/>
      <w:numFmt w:val="lowerLetter"/>
      <w:lvlText w:val="%8."/>
      <w:lvlJc w:val="left"/>
      <w:pPr>
        <w:ind w:left="5745" w:hanging="360"/>
      </w:pPr>
      <w:rPr>
        <w:rFonts w:cs="Times New Roman"/>
      </w:rPr>
    </w:lvl>
    <w:lvl w:ilvl="8" w:tplc="0C09001B" w:tentative="1">
      <w:start w:val="1"/>
      <w:numFmt w:val="lowerRoman"/>
      <w:lvlText w:val="%9."/>
      <w:lvlJc w:val="right"/>
      <w:pPr>
        <w:ind w:left="6465" w:hanging="180"/>
      </w:pPr>
      <w:rPr>
        <w:rFonts w:cs="Times New Roman"/>
      </w:rPr>
    </w:lvl>
  </w:abstractNum>
  <w:abstractNum w:abstractNumId="11" w15:restartNumberingAfterBreak="0">
    <w:nsid w:val="1D59041F"/>
    <w:multiLevelType w:val="hybridMultilevel"/>
    <w:tmpl w:val="7DFA44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D245AB"/>
    <w:multiLevelType w:val="hybridMultilevel"/>
    <w:tmpl w:val="F6465BE6"/>
    <w:lvl w:ilvl="0" w:tplc="3BB04716">
      <w:start w:val="1"/>
      <w:numFmt w:val="lowerLetter"/>
      <w:lvlText w:val="(%1)"/>
      <w:lvlJc w:val="left"/>
      <w:pPr>
        <w:ind w:left="360" w:hanging="360"/>
      </w:pPr>
      <w:rPr>
        <w:rFonts w:ascii="Times New Roman" w:eastAsia="Times New Roman" w:hAnsi="Times New Roman" w:cs="Times New Roman" w:hint="default"/>
        <w:color w:val="auto"/>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2217511"/>
    <w:multiLevelType w:val="multilevel"/>
    <w:tmpl w:val="017AF28C"/>
    <w:styleLink w:val="Bullets"/>
    <w:lvl w:ilvl="0">
      <w:start w:val="1"/>
      <w:numFmt w:val="bullet"/>
      <w:lvlText w:val=""/>
      <w:lvlJc w:val="left"/>
      <w:pPr>
        <w:ind w:left="504" w:hanging="504"/>
      </w:pPr>
      <w:rPr>
        <w:rFonts w:ascii="Symbol" w:hAnsi="Symbol" w:hint="default"/>
        <w:color w:val="auto"/>
      </w:rPr>
    </w:lvl>
    <w:lvl w:ilvl="1">
      <w:start w:val="1"/>
      <w:numFmt w:val="bullet"/>
      <w:lvlText w:val=""/>
      <w:lvlJc w:val="left"/>
      <w:pPr>
        <w:ind w:left="1008" w:hanging="504"/>
      </w:pPr>
      <w:rPr>
        <w:rFonts w:ascii="Symbol" w:hAnsi="Symbol" w:hint="default"/>
        <w:color w:val="auto"/>
      </w:rPr>
    </w:lvl>
    <w:lvl w:ilvl="2">
      <w:start w:val="1"/>
      <w:numFmt w:val="bullet"/>
      <w:lvlText w:val=""/>
      <w:lvlJc w:val="left"/>
      <w:pPr>
        <w:ind w:left="1512" w:hanging="504"/>
      </w:pPr>
      <w:rPr>
        <w:rFonts w:ascii="Symbol" w:hAnsi="Symbol" w:hint="default"/>
        <w:color w:val="auto"/>
      </w:rPr>
    </w:lvl>
    <w:lvl w:ilvl="3">
      <w:start w:val="1"/>
      <w:numFmt w:val="bullet"/>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14" w15:restartNumberingAfterBreak="0">
    <w:nsid w:val="249B0B3D"/>
    <w:multiLevelType w:val="multilevel"/>
    <w:tmpl w:val="D87EFC5E"/>
    <w:lvl w:ilvl="0">
      <w:start w:val="1"/>
      <w:numFmt w:val="decimal"/>
      <w:lvlText w:val="C%1"/>
      <w:lvlJc w:val="left"/>
      <w:pPr>
        <w:ind w:left="782" w:hanging="782"/>
      </w:pPr>
      <w:rPr>
        <w:rFonts w:hint="default"/>
      </w:rPr>
    </w:lvl>
    <w:lvl w:ilvl="1">
      <w:start w:val="1"/>
      <w:numFmt w:val="lowerLetter"/>
      <w:lvlText w:val="(%2)"/>
      <w:lvlJc w:val="left"/>
      <w:pPr>
        <w:ind w:left="1565" w:hanging="783"/>
      </w:pPr>
      <w:rPr>
        <w:rFonts w:hint="default"/>
      </w:rPr>
    </w:lvl>
    <w:lvl w:ilvl="2">
      <w:start w:val="1"/>
      <w:numFmt w:val="lowerRoman"/>
      <w:lvlText w:val="(%3)"/>
      <w:lvlJc w:val="left"/>
      <w:pPr>
        <w:ind w:left="2347" w:hanging="782"/>
      </w:pPr>
      <w:rPr>
        <w:rFonts w:hint="default"/>
      </w:rPr>
    </w:lvl>
    <w:lvl w:ilvl="3">
      <w:start w:val="1"/>
      <w:numFmt w:val="upperLetter"/>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5" w15:restartNumberingAfterBreak="0">
    <w:nsid w:val="2576465B"/>
    <w:multiLevelType w:val="multilevel"/>
    <w:tmpl w:val="D9F888A8"/>
    <w:lvl w:ilvl="0">
      <w:start w:val="1"/>
      <w:numFmt w:val="lowerLetter"/>
      <w:pStyle w:val="NumPlainA"/>
      <w:lvlText w:val="(%1)"/>
      <w:lvlJc w:val="left"/>
      <w:pPr>
        <w:tabs>
          <w:tab w:val="num" w:pos="510"/>
        </w:tabs>
        <w:ind w:left="510" w:hanging="510"/>
      </w:pPr>
      <w:rPr>
        <w:rFonts w:hint="default"/>
      </w:rPr>
    </w:lvl>
    <w:lvl w:ilvl="1">
      <w:start w:val="1"/>
      <w:numFmt w:val="lowerRoman"/>
      <w:pStyle w:val="NumPlainA2"/>
      <w:lvlText w:val="(%2)"/>
      <w:lvlJc w:val="left"/>
      <w:pPr>
        <w:tabs>
          <w:tab w:val="num" w:pos="1220"/>
        </w:tabs>
        <w:ind w:left="1220"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6F550ED"/>
    <w:multiLevelType w:val="hybridMultilevel"/>
    <w:tmpl w:val="F94C718A"/>
    <w:lvl w:ilvl="0" w:tplc="47F87DD0">
      <w:start w:val="1"/>
      <w:numFmt w:val="lowerLetter"/>
      <w:lvlText w:val="(%1)"/>
      <w:lvlJc w:val="left"/>
      <w:pPr>
        <w:ind w:left="1080" w:hanging="360"/>
      </w:pPr>
      <w:rPr>
        <w:rFonts w:ascii="Times New Roman" w:eastAsia="Times New Roman" w:hAnsi="Times New Roman" w:cs="Times New Roman" w:hint="default"/>
        <w:color w:val="auto"/>
      </w:rPr>
    </w:lvl>
    <w:lvl w:ilvl="1" w:tplc="0C090019">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7" w15:restartNumberingAfterBreak="0">
    <w:nsid w:val="29F14E54"/>
    <w:multiLevelType w:val="hybridMultilevel"/>
    <w:tmpl w:val="934EB132"/>
    <w:lvl w:ilvl="0" w:tplc="3F9221BC">
      <w:start w:val="1"/>
      <w:numFmt w:val="lowerLetter"/>
      <w:lvlText w:val="(%1)"/>
      <w:lvlJc w:val="left"/>
      <w:pPr>
        <w:ind w:left="1080" w:hanging="360"/>
      </w:pPr>
      <w:rPr>
        <w:rFonts w:ascii="Times New Roman" w:eastAsia="Times New Roman" w:hAnsi="Times New Roman" w:cs="Times New Roman" w:hint="default"/>
        <w:color w:val="auto"/>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15:restartNumberingAfterBreak="0">
    <w:nsid w:val="2A21782A"/>
    <w:multiLevelType w:val="hybridMultilevel"/>
    <w:tmpl w:val="6412A6A6"/>
    <w:lvl w:ilvl="0" w:tplc="CA7697EA">
      <w:start w:val="1"/>
      <w:numFmt w:val="lowerLetter"/>
      <w:lvlText w:val="(%1)"/>
      <w:lvlJc w:val="left"/>
      <w:pPr>
        <w:ind w:left="1440" w:hanging="360"/>
      </w:pPr>
      <w:rPr>
        <w:rFonts w:ascii="Times New Roman" w:eastAsia="Times New Roman" w:hAnsi="Times New Roman" w:cs="Times New Roman"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4971E5"/>
    <w:multiLevelType w:val="hybridMultilevel"/>
    <w:tmpl w:val="4FB2E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680E6A"/>
    <w:multiLevelType w:val="multilevel"/>
    <w:tmpl w:val="4AC27B8A"/>
    <w:styleLink w:val="IENos"/>
    <w:lvl w:ilvl="0">
      <w:start w:val="1"/>
      <w:numFmt w:val="decimal"/>
      <w:pStyle w:val="IE1"/>
      <w:lvlText w:val="IE%1"/>
      <w:lvlJc w:val="left"/>
      <w:pPr>
        <w:ind w:left="510" w:hanging="510"/>
      </w:pPr>
      <w:rPr>
        <w:rFonts w:hint="default"/>
      </w:rPr>
    </w:lvl>
    <w:lvl w:ilvl="1">
      <w:start w:val="1"/>
      <w:numFmt w:val="lowerLetter"/>
      <w:pStyle w:val="IE2"/>
      <w:lvlText w:val="(%2)"/>
      <w:lvlJc w:val="left"/>
      <w:pPr>
        <w:tabs>
          <w:tab w:val="num" w:pos="1021"/>
        </w:tabs>
        <w:ind w:left="1020" w:hanging="510"/>
      </w:pPr>
      <w:rPr>
        <w:rFonts w:hint="default"/>
      </w:rPr>
    </w:lvl>
    <w:lvl w:ilvl="2">
      <w:start w:val="1"/>
      <w:numFmt w:val="lowerRoman"/>
      <w:pStyle w:val="IE3"/>
      <w:lvlText w:val="(%3)"/>
      <w:lvlJc w:val="left"/>
      <w:pPr>
        <w:ind w:left="1530" w:hanging="510"/>
      </w:pPr>
      <w:rPr>
        <w:rFonts w:hint="default"/>
      </w:rPr>
    </w:lvl>
    <w:lvl w:ilvl="3">
      <w:start w:val="1"/>
      <w:numFmt w:val="decimal"/>
      <w:lvlText w:val="(%4)"/>
      <w:lvlJc w:val="left"/>
      <w:pPr>
        <w:ind w:left="2040" w:hanging="510"/>
      </w:pPr>
      <w:rPr>
        <w:rFonts w:hint="default"/>
      </w:rPr>
    </w:lvl>
    <w:lvl w:ilvl="4">
      <w:start w:val="1"/>
      <w:numFmt w:val="lowerLetter"/>
      <w:lvlText w:val="(%5)"/>
      <w:lvlJc w:val="left"/>
      <w:pPr>
        <w:ind w:left="2550" w:hanging="510"/>
      </w:pPr>
      <w:rPr>
        <w:rFonts w:hint="default"/>
      </w:rPr>
    </w:lvl>
    <w:lvl w:ilvl="5">
      <w:start w:val="1"/>
      <w:numFmt w:val="lowerRoman"/>
      <w:lvlText w:val="(%6)"/>
      <w:lvlJc w:val="lef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left"/>
      <w:pPr>
        <w:ind w:left="4590" w:hanging="510"/>
      </w:pPr>
      <w:rPr>
        <w:rFonts w:hint="default"/>
      </w:rPr>
    </w:lvl>
  </w:abstractNum>
  <w:abstractNum w:abstractNumId="21" w15:restartNumberingAfterBreak="0">
    <w:nsid w:val="2A7A35E2"/>
    <w:multiLevelType w:val="multilevel"/>
    <w:tmpl w:val="AD5ABFF2"/>
    <w:styleLink w:val="AASBSubNumbers"/>
    <w:lvl w:ilvl="0">
      <w:start w:val="1"/>
      <w:numFmt w:val="none"/>
      <w:suff w:val="nothing"/>
      <w:lvlText w:val="%1"/>
      <w:lvlJc w:val="left"/>
      <w:pPr>
        <w:ind w:left="1021" w:hanging="511"/>
      </w:pPr>
      <w:rPr>
        <w:rFonts w:hint="default"/>
      </w:rPr>
    </w:lvl>
    <w:lvl w:ilvl="1">
      <w:start w:val="1"/>
      <w:numFmt w:val="lowerLetter"/>
      <w:pStyle w:val="SubNumPlain2"/>
      <w:lvlText w:val="(%2)"/>
      <w:lvlJc w:val="left"/>
      <w:pPr>
        <w:ind w:left="1531" w:hanging="511"/>
      </w:pPr>
      <w:rPr>
        <w:rFonts w:hint="default"/>
      </w:rPr>
    </w:lvl>
    <w:lvl w:ilvl="2">
      <w:start w:val="1"/>
      <w:numFmt w:val="lowerRoman"/>
      <w:pStyle w:val="SubNumPlain3"/>
      <w:lvlText w:val="(%3)"/>
      <w:lvlJc w:val="left"/>
      <w:pPr>
        <w:ind w:left="2041" w:hanging="511"/>
      </w:pPr>
      <w:rPr>
        <w:rFonts w:hint="default"/>
      </w:rPr>
    </w:lvl>
    <w:lvl w:ilvl="3">
      <w:start w:val="1"/>
      <w:numFmt w:val="upperLetter"/>
      <w:pStyle w:val="SubNumPlain4"/>
      <w:lvlText w:val="(%4)"/>
      <w:lvlJc w:val="left"/>
      <w:pPr>
        <w:ind w:left="2551" w:hanging="511"/>
      </w:pPr>
      <w:rPr>
        <w:rFonts w:hint="default"/>
      </w:rPr>
    </w:lvl>
    <w:lvl w:ilvl="4">
      <w:start w:val="1"/>
      <w:numFmt w:val="lowerLetter"/>
      <w:lvlText w:val="(%5)"/>
      <w:lvlJc w:val="left"/>
      <w:pPr>
        <w:ind w:left="3061" w:hanging="511"/>
      </w:pPr>
      <w:rPr>
        <w:rFonts w:hint="default"/>
      </w:rPr>
    </w:lvl>
    <w:lvl w:ilvl="5">
      <w:start w:val="1"/>
      <w:numFmt w:val="lowerRoman"/>
      <w:lvlText w:val="(%6)"/>
      <w:lvlJc w:val="left"/>
      <w:pPr>
        <w:ind w:left="3571" w:hanging="511"/>
      </w:pPr>
      <w:rPr>
        <w:rFonts w:hint="default"/>
      </w:rPr>
    </w:lvl>
    <w:lvl w:ilvl="6">
      <w:start w:val="1"/>
      <w:numFmt w:val="decimal"/>
      <w:lvlText w:val="%7."/>
      <w:lvlJc w:val="left"/>
      <w:pPr>
        <w:ind w:left="4081" w:hanging="511"/>
      </w:pPr>
      <w:rPr>
        <w:rFonts w:hint="default"/>
      </w:rPr>
    </w:lvl>
    <w:lvl w:ilvl="7">
      <w:start w:val="1"/>
      <w:numFmt w:val="lowerLetter"/>
      <w:lvlText w:val="%8."/>
      <w:lvlJc w:val="left"/>
      <w:pPr>
        <w:ind w:left="4591" w:hanging="511"/>
      </w:pPr>
      <w:rPr>
        <w:rFonts w:hint="default"/>
      </w:rPr>
    </w:lvl>
    <w:lvl w:ilvl="8">
      <w:start w:val="1"/>
      <w:numFmt w:val="lowerRoman"/>
      <w:lvlText w:val="%9."/>
      <w:lvlJc w:val="left"/>
      <w:pPr>
        <w:ind w:left="5101" w:hanging="511"/>
      </w:pPr>
      <w:rPr>
        <w:rFonts w:hint="default"/>
      </w:rPr>
    </w:lvl>
  </w:abstractNum>
  <w:abstractNum w:abstractNumId="22" w15:restartNumberingAfterBreak="0">
    <w:nsid w:val="2B7C6FF7"/>
    <w:multiLevelType w:val="hybridMultilevel"/>
    <w:tmpl w:val="93DCDEE8"/>
    <w:lvl w:ilvl="0" w:tplc="97F04026">
      <w:start w:val="1"/>
      <w:numFmt w:val="lowerLetter"/>
      <w:lvlText w:val="(%1)"/>
      <w:lvlJc w:val="left"/>
      <w:pPr>
        <w:ind w:left="1502" w:hanging="360"/>
      </w:pPr>
      <w:rPr>
        <w:rFonts w:ascii="Times New Roman" w:eastAsia="Times New Roman" w:hAnsi="Times New Roman" w:cs="Times New Roman" w:hint="default"/>
        <w:color w:val="auto"/>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 w15:restartNumberingAfterBreak="0">
    <w:nsid w:val="2CF1489F"/>
    <w:multiLevelType w:val="hybridMultilevel"/>
    <w:tmpl w:val="E8FCA400"/>
    <w:lvl w:ilvl="0" w:tplc="7CAAE3BA">
      <w:start w:val="1"/>
      <w:numFmt w:val="lowerLetter"/>
      <w:lvlText w:val="(%1)"/>
      <w:lvlJc w:val="left"/>
      <w:pPr>
        <w:ind w:left="1560" w:hanging="780"/>
      </w:pPr>
      <w:rPr>
        <w:rFonts w:hint="default"/>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abstractNum w:abstractNumId="24" w15:restartNumberingAfterBreak="0">
    <w:nsid w:val="2F6165E4"/>
    <w:multiLevelType w:val="hybridMultilevel"/>
    <w:tmpl w:val="2B6E925E"/>
    <w:lvl w:ilvl="0" w:tplc="C784C536">
      <w:start w:val="1"/>
      <w:numFmt w:val="lowerLetter"/>
      <w:lvlText w:val="(%1)"/>
      <w:lvlJc w:val="left"/>
      <w:pPr>
        <w:ind w:left="1569" w:hanging="360"/>
      </w:pPr>
      <w:rPr>
        <w:rFonts w:ascii="Times New Roman" w:eastAsia="Times New Roman" w:hAnsi="Times New Roman" w:cs="Times New Roman" w:hint="default"/>
        <w:color w:val="auto"/>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5" w15:restartNumberingAfterBreak="0">
    <w:nsid w:val="30B55EFE"/>
    <w:multiLevelType w:val="multilevel"/>
    <w:tmpl w:val="3C8C2C30"/>
    <w:lvl w:ilvl="0">
      <w:start w:val="1"/>
      <w:numFmt w:val="decimal"/>
      <w:lvlText w:val="D%1"/>
      <w:lvlJc w:val="left"/>
      <w:pPr>
        <w:tabs>
          <w:tab w:val="num" w:pos="782"/>
        </w:tabs>
        <w:ind w:left="782" w:hanging="782"/>
      </w:pPr>
      <w:rPr>
        <w:rFonts w:hint="default"/>
      </w:rPr>
    </w:lvl>
    <w:lvl w:ilvl="1">
      <w:start w:val="1"/>
      <w:numFmt w:val="lowerLetter"/>
      <w:lvlText w:val="(%2)"/>
      <w:lvlJc w:val="left"/>
      <w:pPr>
        <w:ind w:left="782" w:firstLine="0"/>
      </w:pPr>
      <w:rPr>
        <w:rFonts w:hint="default"/>
      </w:rPr>
    </w:lvl>
    <w:lvl w:ilvl="2">
      <w:start w:val="1"/>
      <w:numFmt w:val="lowerRoman"/>
      <w:lvlText w:val="(%3)"/>
      <w:lvlJc w:val="left"/>
      <w:pPr>
        <w:ind w:left="782" w:firstLine="7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1333ABF"/>
    <w:multiLevelType w:val="multilevel"/>
    <w:tmpl w:val="EE9C98C8"/>
    <w:styleLink w:val="DNos"/>
    <w:lvl w:ilvl="0">
      <w:start w:val="1"/>
      <w:numFmt w:val="decimal"/>
      <w:pStyle w:val="DLevel1"/>
      <w:lvlText w:val="D%1"/>
      <w:lvlJc w:val="left"/>
      <w:pPr>
        <w:ind w:left="510" w:hanging="510"/>
      </w:pPr>
      <w:rPr>
        <w:rFonts w:hint="default"/>
      </w:rPr>
    </w:lvl>
    <w:lvl w:ilvl="1">
      <w:start w:val="1"/>
      <w:numFmt w:val="lowerLetter"/>
      <w:pStyle w:val="DLevel2"/>
      <w:lvlText w:val="(%2)"/>
      <w:lvlJc w:val="left"/>
      <w:pPr>
        <w:ind w:left="1020" w:hanging="510"/>
      </w:pPr>
      <w:rPr>
        <w:rFonts w:hint="default"/>
      </w:rPr>
    </w:lvl>
    <w:lvl w:ilvl="2">
      <w:start w:val="1"/>
      <w:numFmt w:val="lowerRoman"/>
      <w:pStyle w:val="DLevel3"/>
      <w:lvlText w:val="(%3)"/>
      <w:lvlJc w:val="left"/>
      <w:pPr>
        <w:ind w:left="1530" w:hanging="510"/>
      </w:pPr>
      <w:rPr>
        <w:rFonts w:hint="default"/>
      </w:rPr>
    </w:lvl>
    <w:lvl w:ilvl="3">
      <w:start w:val="1"/>
      <w:numFmt w:val="decimal"/>
      <w:lvlText w:val="(%4)"/>
      <w:lvlJc w:val="left"/>
      <w:pPr>
        <w:ind w:left="2040" w:hanging="510"/>
      </w:pPr>
      <w:rPr>
        <w:rFonts w:hint="default"/>
      </w:rPr>
    </w:lvl>
    <w:lvl w:ilvl="4">
      <w:start w:val="1"/>
      <w:numFmt w:val="lowerLetter"/>
      <w:lvlText w:val="(%5)"/>
      <w:lvlJc w:val="left"/>
      <w:pPr>
        <w:ind w:left="2550" w:hanging="510"/>
      </w:pPr>
      <w:rPr>
        <w:rFonts w:hint="default"/>
      </w:rPr>
    </w:lvl>
    <w:lvl w:ilvl="5">
      <w:start w:val="1"/>
      <w:numFmt w:val="lowerRoman"/>
      <w:lvlText w:val="(%6)"/>
      <w:lvlJc w:val="lef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left"/>
      <w:pPr>
        <w:ind w:left="4590" w:hanging="510"/>
      </w:pPr>
      <w:rPr>
        <w:rFonts w:hint="default"/>
      </w:rPr>
    </w:lvl>
  </w:abstractNum>
  <w:abstractNum w:abstractNumId="27" w15:restartNumberingAfterBreak="0">
    <w:nsid w:val="37643725"/>
    <w:multiLevelType w:val="hybridMultilevel"/>
    <w:tmpl w:val="25B4C490"/>
    <w:lvl w:ilvl="0" w:tplc="3BB04716">
      <w:start w:val="1"/>
      <w:numFmt w:val="lowerLetter"/>
      <w:lvlText w:val="(%1)"/>
      <w:lvlJc w:val="left"/>
      <w:pPr>
        <w:ind w:left="2307" w:hanging="360"/>
      </w:pPr>
      <w:rPr>
        <w:rFonts w:ascii="Times New Roman" w:eastAsia="Times New Roman" w:hAnsi="Times New Roman" w:cs="Times New Roman" w:hint="default"/>
        <w:color w:val="auto"/>
      </w:rPr>
    </w:lvl>
    <w:lvl w:ilvl="1" w:tplc="0C090003" w:tentative="1">
      <w:start w:val="1"/>
      <w:numFmt w:val="bullet"/>
      <w:lvlText w:val="o"/>
      <w:lvlJc w:val="left"/>
      <w:pPr>
        <w:ind w:left="3027" w:hanging="360"/>
      </w:pPr>
      <w:rPr>
        <w:rFonts w:ascii="Courier New" w:hAnsi="Courier New" w:hint="default"/>
      </w:rPr>
    </w:lvl>
    <w:lvl w:ilvl="2" w:tplc="0C090005" w:tentative="1">
      <w:start w:val="1"/>
      <w:numFmt w:val="bullet"/>
      <w:lvlText w:val=""/>
      <w:lvlJc w:val="left"/>
      <w:pPr>
        <w:ind w:left="3747" w:hanging="360"/>
      </w:pPr>
      <w:rPr>
        <w:rFonts w:ascii="Wingdings" w:hAnsi="Wingdings" w:hint="default"/>
      </w:rPr>
    </w:lvl>
    <w:lvl w:ilvl="3" w:tplc="0C090001" w:tentative="1">
      <w:start w:val="1"/>
      <w:numFmt w:val="bullet"/>
      <w:lvlText w:val=""/>
      <w:lvlJc w:val="left"/>
      <w:pPr>
        <w:ind w:left="4467" w:hanging="360"/>
      </w:pPr>
      <w:rPr>
        <w:rFonts w:ascii="Symbol" w:hAnsi="Symbol" w:hint="default"/>
      </w:rPr>
    </w:lvl>
    <w:lvl w:ilvl="4" w:tplc="0C090003" w:tentative="1">
      <w:start w:val="1"/>
      <w:numFmt w:val="bullet"/>
      <w:lvlText w:val="o"/>
      <w:lvlJc w:val="left"/>
      <w:pPr>
        <w:ind w:left="5187" w:hanging="360"/>
      </w:pPr>
      <w:rPr>
        <w:rFonts w:ascii="Courier New" w:hAnsi="Courier New" w:hint="default"/>
      </w:rPr>
    </w:lvl>
    <w:lvl w:ilvl="5" w:tplc="0C090005" w:tentative="1">
      <w:start w:val="1"/>
      <w:numFmt w:val="bullet"/>
      <w:lvlText w:val=""/>
      <w:lvlJc w:val="left"/>
      <w:pPr>
        <w:ind w:left="5907" w:hanging="360"/>
      </w:pPr>
      <w:rPr>
        <w:rFonts w:ascii="Wingdings" w:hAnsi="Wingdings" w:hint="default"/>
      </w:rPr>
    </w:lvl>
    <w:lvl w:ilvl="6" w:tplc="0C090001" w:tentative="1">
      <w:start w:val="1"/>
      <w:numFmt w:val="bullet"/>
      <w:lvlText w:val=""/>
      <w:lvlJc w:val="left"/>
      <w:pPr>
        <w:ind w:left="6627" w:hanging="360"/>
      </w:pPr>
      <w:rPr>
        <w:rFonts w:ascii="Symbol" w:hAnsi="Symbol" w:hint="default"/>
      </w:rPr>
    </w:lvl>
    <w:lvl w:ilvl="7" w:tplc="0C090003" w:tentative="1">
      <w:start w:val="1"/>
      <w:numFmt w:val="bullet"/>
      <w:lvlText w:val="o"/>
      <w:lvlJc w:val="left"/>
      <w:pPr>
        <w:ind w:left="7347" w:hanging="360"/>
      </w:pPr>
      <w:rPr>
        <w:rFonts w:ascii="Courier New" w:hAnsi="Courier New" w:hint="default"/>
      </w:rPr>
    </w:lvl>
    <w:lvl w:ilvl="8" w:tplc="0C090005" w:tentative="1">
      <w:start w:val="1"/>
      <w:numFmt w:val="bullet"/>
      <w:lvlText w:val=""/>
      <w:lvlJc w:val="left"/>
      <w:pPr>
        <w:ind w:left="8067" w:hanging="360"/>
      </w:pPr>
      <w:rPr>
        <w:rFonts w:ascii="Wingdings" w:hAnsi="Wingdings" w:hint="default"/>
      </w:rPr>
    </w:lvl>
  </w:abstractNum>
  <w:abstractNum w:abstractNumId="28" w15:restartNumberingAfterBreak="0">
    <w:nsid w:val="381A01FD"/>
    <w:multiLevelType w:val="hybridMultilevel"/>
    <w:tmpl w:val="366E9D76"/>
    <w:lvl w:ilvl="0" w:tplc="6330A32C">
      <w:start w:val="1"/>
      <w:numFmt w:val="decimal"/>
      <w:lvlText w:val="BC%1"/>
      <w:lvlJc w:val="left"/>
      <w:pPr>
        <w:ind w:left="14025" w:hanging="360"/>
      </w:pPr>
      <w:rPr>
        <w:rFonts w:cs="Times New Roman" w:hint="default"/>
      </w:rPr>
    </w:lvl>
    <w:lvl w:ilvl="1" w:tplc="0C090019">
      <w:start w:val="1"/>
      <w:numFmt w:val="lowerLetter"/>
      <w:lvlText w:val="%2."/>
      <w:lvlJc w:val="left"/>
      <w:pPr>
        <w:ind w:left="8016" w:hanging="360"/>
      </w:pPr>
      <w:rPr>
        <w:rFonts w:cs="Times New Roman"/>
      </w:rPr>
    </w:lvl>
    <w:lvl w:ilvl="2" w:tplc="0C09001B" w:tentative="1">
      <w:start w:val="1"/>
      <w:numFmt w:val="lowerRoman"/>
      <w:lvlText w:val="%3."/>
      <w:lvlJc w:val="right"/>
      <w:pPr>
        <w:ind w:left="8736" w:hanging="180"/>
      </w:pPr>
      <w:rPr>
        <w:rFonts w:cs="Times New Roman"/>
      </w:rPr>
    </w:lvl>
    <w:lvl w:ilvl="3" w:tplc="0C09000F" w:tentative="1">
      <w:start w:val="1"/>
      <w:numFmt w:val="decimal"/>
      <w:lvlText w:val="%4."/>
      <w:lvlJc w:val="left"/>
      <w:pPr>
        <w:ind w:left="9456" w:hanging="360"/>
      </w:pPr>
      <w:rPr>
        <w:rFonts w:cs="Times New Roman"/>
      </w:rPr>
    </w:lvl>
    <w:lvl w:ilvl="4" w:tplc="0C090019" w:tentative="1">
      <w:start w:val="1"/>
      <w:numFmt w:val="lowerLetter"/>
      <w:lvlText w:val="%5."/>
      <w:lvlJc w:val="left"/>
      <w:pPr>
        <w:ind w:left="10176" w:hanging="360"/>
      </w:pPr>
      <w:rPr>
        <w:rFonts w:cs="Times New Roman"/>
      </w:rPr>
    </w:lvl>
    <w:lvl w:ilvl="5" w:tplc="0C09001B" w:tentative="1">
      <w:start w:val="1"/>
      <w:numFmt w:val="lowerRoman"/>
      <w:lvlText w:val="%6."/>
      <w:lvlJc w:val="right"/>
      <w:pPr>
        <w:ind w:left="10896" w:hanging="180"/>
      </w:pPr>
      <w:rPr>
        <w:rFonts w:cs="Times New Roman"/>
      </w:rPr>
    </w:lvl>
    <w:lvl w:ilvl="6" w:tplc="0C09000F" w:tentative="1">
      <w:start w:val="1"/>
      <w:numFmt w:val="decimal"/>
      <w:lvlText w:val="%7."/>
      <w:lvlJc w:val="left"/>
      <w:pPr>
        <w:ind w:left="11616" w:hanging="360"/>
      </w:pPr>
      <w:rPr>
        <w:rFonts w:cs="Times New Roman"/>
      </w:rPr>
    </w:lvl>
    <w:lvl w:ilvl="7" w:tplc="0C090019" w:tentative="1">
      <w:start w:val="1"/>
      <w:numFmt w:val="lowerLetter"/>
      <w:lvlText w:val="%8."/>
      <w:lvlJc w:val="left"/>
      <w:pPr>
        <w:ind w:left="12336" w:hanging="360"/>
      </w:pPr>
      <w:rPr>
        <w:rFonts w:cs="Times New Roman"/>
      </w:rPr>
    </w:lvl>
    <w:lvl w:ilvl="8" w:tplc="0C09001B" w:tentative="1">
      <w:start w:val="1"/>
      <w:numFmt w:val="lowerRoman"/>
      <w:lvlText w:val="%9."/>
      <w:lvlJc w:val="right"/>
      <w:pPr>
        <w:ind w:left="13056" w:hanging="180"/>
      </w:pPr>
      <w:rPr>
        <w:rFonts w:cs="Times New Roman"/>
      </w:rPr>
    </w:lvl>
  </w:abstractNum>
  <w:abstractNum w:abstractNumId="29" w15:restartNumberingAfterBreak="0">
    <w:nsid w:val="39913175"/>
    <w:multiLevelType w:val="hybridMultilevel"/>
    <w:tmpl w:val="F88828B2"/>
    <w:lvl w:ilvl="0" w:tplc="BB1CB0C0">
      <w:start w:val="1"/>
      <w:numFmt w:val="decimal"/>
      <w:lvlText w:val="Issue %1."/>
      <w:lvlJc w:val="left"/>
      <w:pPr>
        <w:ind w:left="360" w:hanging="360"/>
      </w:pPr>
      <w:rPr>
        <w:rFonts w:hint="default"/>
        <w:b/>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3B7C3262"/>
    <w:multiLevelType w:val="hybridMultilevel"/>
    <w:tmpl w:val="2F5683FC"/>
    <w:lvl w:ilvl="0" w:tplc="ACB2B2EA">
      <w:start w:val="1"/>
      <w:numFmt w:val="lowerLetter"/>
      <w:lvlText w:val="(%1)"/>
      <w:lvlJc w:val="left"/>
      <w:pPr>
        <w:ind w:left="1562" w:hanging="780"/>
      </w:pPr>
      <w:rPr>
        <w:rFonts w:hint="default"/>
      </w:rPr>
    </w:lvl>
    <w:lvl w:ilvl="1" w:tplc="0C090019" w:tentative="1">
      <w:start w:val="1"/>
      <w:numFmt w:val="lowerLetter"/>
      <w:lvlText w:val="%2."/>
      <w:lvlJc w:val="left"/>
      <w:pPr>
        <w:ind w:left="1862" w:hanging="360"/>
      </w:pPr>
    </w:lvl>
    <w:lvl w:ilvl="2" w:tplc="0C09001B" w:tentative="1">
      <w:start w:val="1"/>
      <w:numFmt w:val="lowerRoman"/>
      <w:lvlText w:val="%3."/>
      <w:lvlJc w:val="right"/>
      <w:pPr>
        <w:ind w:left="2582" w:hanging="180"/>
      </w:pPr>
    </w:lvl>
    <w:lvl w:ilvl="3" w:tplc="0C09000F" w:tentative="1">
      <w:start w:val="1"/>
      <w:numFmt w:val="decimal"/>
      <w:lvlText w:val="%4."/>
      <w:lvlJc w:val="left"/>
      <w:pPr>
        <w:ind w:left="3302" w:hanging="360"/>
      </w:pPr>
    </w:lvl>
    <w:lvl w:ilvl="4" w:tplc="0C090019" w:tentative="1">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31" w15:restartNumberingAfterBreak="0">
    <w:nsid w:val="3CFA0228"/>
    <w:multiLevelType w:val="hybridMultilevel"/>
    <w:tmpl w:val="BD08533E"/>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3FC81C96"/>
    <w:multiLevelType w:val="hybridMultilevel"/>
    <w:tmpl w:val="D6DEBD6E"/>
    <w:lvl w:ilvl="0" w:tplc="5580819E">
      <w:start w:val="1"/>
      <w:numFmt w:val="lowerRoman"/>
      <w:lvlText w:val="(%1)"/>
      <w:lvlJc w:val="left"/>
      <w:pPr>
        <w:ind w:left="1928" w:hanging="360"/>
      </w:pPr>
      <w:rPr>
        <w:rFonts w:hint="default"/>
        <w:sz w:val="19"/>
        <w:szCs w:val="19"/>
        <w:u w:val="none"/>
      </w:rPr>
    </w:lvl>
    <w:lvl w:ilvl="1" w:tplc="0C090019" w:tentative="1">
      <w:start w:val="1"/>
      <w:numFmt w:val="lowerLetter"/>
      <w:lvlText w:val="%2."/>
      <w:lvlJc w:val="left"/>
      <w:pPr>
        <w:ind w:left="2648" w:hanging="360"/>
      </w:pPr>
      <w:rPr>
        <w:rFonts w:cs="Times New Roman"/>
      </w:rPr>
    </w:lvl>
    <w:lvl w:ilvl="2" w:tplc="0C09001B" w:tentative="1">
      <w:start w:val="1"/>
      <w:numFmt w:val="lowerRoman"/>
      <w:lvlText w:val="%3."/>
      <w:lvlJc w:val="right"/>
      <w:pPr>
        <w:ind w:left="3368" w:hanging="180"/>
      </w:pPr>
      <w:rPr>
        <w:rFonts w:cs="Times New Roman"/>
      </w:rPr>
    </w:lvl>
    <w:lvl w:ilvl="3" w:tplc="0C09000F" w:tentative="1">
      <w:start w:val="1"/>
      <w:numFmt w:val="decimal"/>
      <w:lvlText w:val="%4."/>
      <w:lvlJc w:val="left"/>
      <w:pPr>
        <w:ind w:left="4088" w:hanging="360"/>
      </w:pPr>
      <w:rPr>
        <w:rFonts w:cs="Times New Roman"/>
      </w:rPr>
    </w:lvl>
    <w:lvl w:ilvl="4" w:tplc="0C090019" w:tentative="1">
      <w:start w:val="1"/>
      <w:numFmt w:val="lowerLetter"/>
      <w:lvlText w:val="%5."/>
      <w:lvlJc w:val="left"/>
      <w:pPr>
        <w:ind w:left="4808" w:hanging="360"/>
      </w:pPr>
      <w:rPr>
        <w:rFonts w:cs="Times New Roman"/>
      </w:rPr>
    </w:lvl>
    <w:lvl w:ilvl="5" w:tplc="0C09001B" w:tentative="1">
      <w:start w:val="1"/>
      <w:numFmt w:val="lowerRoman"/>
      <w:lvlText w:val="%6."/>
      <w:lvlJc w:val="right"/>
      <w:pPr>
        <w:ind w:left="5528" w:hanging="180"/>
      </w:pPr>
      <w:rPr>
        <w:rFonts w:cs="Times New Roman"/>
      </w:rPr>
    </w:lvl>
    <w:lvl w:ilvl="6" w:tplc="0C09000F" w:tentative="1">
      <w:start w:val="1"/>
      <w:numFmt w:val="decimal"/>
      <w:lvlText w:val="%7."/>
      <w:lvlJc w:val="left"/>
      <w:pPr>
        <w:ind w:left="6248" w:hanging="360"/>
      </w:pPr>
      <w:rPr>
        <w:rFonts w:cs="Times New Roman"/>
      </w:rPr>
    </w:lvl>
    <w:lvl w:ilvl="7" w:tplc="0C090019" w:tentative="1">
      <w:start w:val="1"/>
      <w:numFmt w:val="lowerLetter"/>
      <w:lvlText w:val="%8."/>
      <w:lvlJc w:val="left"/>
      <w:pPr>
        <w:ind w:left="6968" w:hanging="360"/>
      </w:pPr>
      <w:rPr>
        <w:rFonts w:cs="Times New Roman"/>
      </w:rPr>
    </w:lvl>
    <w:lvl w:ilvl="8" w:tplc="0C09001B" w:tentative="1">
      <w:start w:val="1"/>
      <w:numFmt w:val="lowerRoman"/>
      <w:lvlText w:val="%9."/>
      <w:lvlJc w:val="right"/>
      <w:pPr>
        <w:ind w:left="7688" w:hanging="180"/>
      </w:pPr>
      <w:rPr>
        <w:rFonts w:cs="Times New Roman"/>
      </w:rPr>
    </w:lvl>
  </w:abstractNum>
  <w:abstractNum w:abstractNumId="33" w15:restartNumberingAfterBreak="0">
    <w:nsid w:val="400076FD"/>
    <w:multiLevelType w:val="hybridMultilevel"/>
    <w:tmpl w:val="50ECF3CC"/>
    <w:lvl w:ilvl="0" w:tplc="3BB04716">
      <w:start w:val="1"/>
      <w:numFmt w:val="lowerLetter"/>
      <w:lvlText w:val="(%1)"/>
      <w:lvlJc w:val="left"/>
      <w:pPr>
        <w:ind w:left="360" w:hanging="360"/>
      </w:pPr>
      <w:rPr>
        <w:rFonts w:ascii="Times New Roman" w:eastAsia="Times New Roman" w:hAnsi="Times New Roman" w:cs="Times New Roman" w:hint="default"/>
        <w:color w:val="auto"/>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0A52D68"/>
    <w:multiLevelType w:val="hybridMultilevel"/>
    <w:tmpl w:val="F94C718A"/>
    <w:lvl w:ilvl="0" w:tplc="47F87DD0">
      <w:start w:val="1"/>
      <w:numFmt w:val="lowerLetter"/>
      <w:lvlText w:val="(%1)"/>
      <w:lvlJc w:val="left"/>
      <w:pPr>
        <w:ind w:left="1080" w:hanging="360"/>
      </w:pPr>
      <w:rPr>
        <w:rFonts w:ascii="Times New Roman" w:eastAsia="Times New Roman" w:hAnsi="Times New Roman" w:cs="Times New Roman" w:hint="default"/>
        <w:color w:val="auto"/>
      </w:rPr>
    </w:lvl>
    <w:lvl w:ilvl="1" w:tplc="0C090019">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5" w15:restartNumberingAfterBreak="0">
    <w:nsid w:val="42D10E72"/>
    <w:multiLevelType w:val="multilevel"/>
    <w:tmpl w:val="F94454FC"/>
    <w:lvl w:ilvl="0">
      <w:start w:val="1"/>
      <w:numFmt w:val="decimal"/>
      <w:pStyle w:val="NumFPlain1"/>
      <w:lvlText w:val="F%1"/>
      <w:lvlJc w:val="left"/>
      <w:pPr>
        <w:ind w:left="782" w:hanging="782"/>
      </w:pPr>
      <w:rPr>
        <w:rFonts w:hint="default"/>
      </w:rPr>
    </w:lvl>
    <w:lvl w:ilvl="1">
      <w:start w:val="1"/>
      <w:numFmt w:val="lowerLetter"/>
      <w:pStyle w:val="NumFPlain2"/>
      <w:lvlText w:val="(%2)"/>
      <w:lvlJc w:val="left"/>
      <w:pPr>
        <w:tabs>
          <w:tab w:val="num" w:pos="782"/>
        </w:tabs>
        <w:ind w:left="1565" w:hanging="783"/>
      </w:pPr>
      <w:rPr>
        <w:rFonts w:hint="default"/>
      </w:rPr>
    </w:lvl>
    <w:lvl w:ilvl="2">
      <w:start w:val="1"/>
      <w:numFmt w:val="lowerRoman"/>
      <w:pStyle w:val="NumFPlain3"/>
      <w:lvlText w:val="(%3)"/>
      <w:lvlJc w:val="left"/>
      <w:pPr>
        <w:ind w:left="2347" w:hanging="782"/>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3E5640F"/>
    <w:multiLevelType w:val="hybridMultilevel"/>
    <w:tmpl w:val="E3CED82A"/>
    <w:lvl w:ilvl="0" w:tplc="3BB04716">
      <w:start w:val="1"/>
      <w:numFmt w:val="lowerLetter"/>
      <w:lvlText w:val="(%1)"/>
      <w:lvlJc w:val="left"/>
      <w:pPr>
        <w:ind w:left="1440" w:hanging="360"/>
      </w:pPr>
      <w:rPr>
        <w:rFonts w:ascii="Times New Roman" w:eastAsia="Times New Roman" w:hAnsi="Times New Roman" w:cs="Times New Roman" w:hint="default"/>
        <w:color w:val="auto"/>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37" w15:restartNumberingAfterBreak="0">
    <w:nsid w:val="4513239E"/>
    <w:multiLevelType w:val="hybridMultilevel"/>
    <w:tmpl w:val="58B8FCB4"/>
    <w:lvl w:ilvl="0" w:tplc="7F8EDFF6">
      <w:start w:val="1"/>
      <w:numFmt w:val="decimal"/>
      <w:pStyle w:val="Style2"/>
      <w:lvlText w:val="AusG%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455C14AE"/>
    <w:multiLevelType w:val="hybridMultilevel"/>
    <w:tmpl w:val="F94C718A"/>
    <w:lvl w:ilvl="0" w:tplc="47F87DD0">
      <w:start w:val="1"/>
      <w:numFmt w:val="lowerLetter"/>
      <w:lvlText w:val="(%1)"/>
      <w:lvlJc w:val="left"/>
      <w:pPr>
        <w:ind w:left="1080" w:hanging="360"/>
      </w:pPr>
      <w:rPr>
        <w:rFonts w:ascii="Times New Roman" w:eastAsia="Times New Roman" w:hAnsi="Times New Roman" w:cs="Times New Roman" w:hint="default"/>
        <w:color w:val="auto"/>
      </w:rPr>
    </w:lvl>
    <w:lvl w:ilvl="1" w:tplc="0C090019">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9" w15:restartNumberingAfterBreak="0">
    <w:nsid w:val="45E816D8"/>
    <w:multiLevelType w:val="hybridMultilevel"/>
    <w:tmpl w:val="44304A4C"/>
    <w:lvl w:ilvl="0" w:tplc="D6FADF1A">
      <w:start w:val="1"/>
      <w:numFmt w:val="upperLetter"/>
      <w:pStyle w:val="AusG4"/>
      <w:lvlText w:val="(%1)"/>
      <w:lvlJc w:val="left"/>
      <w:pPr>
        <w:ind w:left="3850" w:hanging="360"/>
      </w:pPr>
      <w:rPr>
        <w:rFonts w:hint="default"/>
      </w:rPr>
    </w:lvl>
    <w:lvl w:ilvl="1" w:tplc="0C090019" w:tentative="1">
      <w:start w:val="1"/>
      <w:numFmt w:val="lowerLetter"/>
      <w:lvlText w:val="%2."/>
      <w:lvlJc w:val="left"/>
      <w:pPr>
        <w:ind w:left="4570" w:hanging="360"/>
      </w:pPr>
    </w:lvl>
    <w:lvl w:ilvl="2" w:tplc="0C09001B" w:tentative="1">
      <w:start w:val="1"/>
      <w:numFmt w:val="lowerRoman"/>
      <w:lvlText w:val="%3."/>
      <w:lvlJc w:val="right"/>
      <w:pPr>
        <w:ind w:left="5290" w:hanging="180"/>
      </w:pPr>
    </w:lvl>
    <w:lvl w:ilvl="3" w:tplc="0C09000F" w:tentative="1">
      <w:start w:val="1"/>
      <w:numFmt w:val="decimal"/>
      <w:lvlText w:val="%4."/>
      <w:lvlJc w:val="left"/>
      <w:pPr>
        <w:ind w:left="6010" w:hanging="360"/>
      </w:pPr>
    </w:lvl>
    <w:lvl w:ilvl="4" w:tplc="0C090019" w:tentative="1">
      <w:start w:val="1"/>
      <w:numFmt w:val="lowerLetter"/>
      <w:lvlText w:val="%5."/>
      <w:lvlJc w:val="left"/>
      <w:pPr>
        <w:ind w:left="6730" w:hanging="360"/>
      </w:pPr>
    </w:lvl>
    <w:lvl w:ilvl="5" w:tplc="0C09001B" w:tentative="1">
      <w:start w:val="1"/>
      <w:numFmt w:val="lowerRoman"/>
      <w:lvlText w:val="%6."/>
      <w:lvlJc w:val="right"/>
      <w:pPr>
        <w:ind w:left="7450" w:hanging="180"/>
      </w:pPr>
    </w:lvl>
    <w:lvl w:ilvl="6" w:tplc="0C09000F" w:tentative="1">
      <w:start w:val="1"/>
      <w:numFmt w:val="decimal"/>
      <w:lvlText w:val="%7."/>
      <w:lvlJc w:val="left"/>
      <w:pPr>
        <w:ind w:left="8170" w:hanging="360"/>
      </w:pPr>
    </w:lvl>
    <w:lvl w:ilvl="7" w:tplc="0C090019" w:tentative="1">
      <w:start w:val="1"/>
      <w:numFmt w:val="lowerLetter"/>
      <w:lvlText w:val="%8."/>
      <w:lvlJc w:val="left"/>
      <w:pPr>
        <w:ind w:left="8890" w:hanging="360"/>
      </w:pPr>
    </w:lvl>
    <w:lvl w:ilvl="8" w:tplc="0C09001B" w:tentative="1">
      <w:start w:val="1"/>
      <w:numFmt w:val="lowerRoman"/>
      <w:lvlText w:val="%9."/>
      <w:lvlJc w:val="right"/>
      <w:pPr>
        <w:ind w:left="9610" w:hanging="180"/>
      </w:pPr>
    </w:lvl>
  </w:abstractNum>
  <w:abstractNum w:abstractNumId="40" w15:restartNumberingAfterBreak="0">
    <w:nsid w:val="46A57C13"/>
    <w:multiLevelType w:val="multilevel"/>
    <w:tmpl w:val="9388362C"/>
    <w:lvl w:ilvl="0">
      <w:start w:val="1"/>
      <w:numFmt w:val="decimal"/>
      <w:pStyle w:val="Style1"/>
      <w:lvlText w:val="E%1"/>
      <w:lvlJc w:val="left"/>
      <w:pPr>
        <w:ind w:left="782" w:hanging="782"/>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tyle3"/>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82161E5"/>
    <w:multiLevelType w:val="hybridMultilevel"/>
    <w:tmpl w:val="934EB132"/>
    <w:lvl w:ilvl="0" w:tplc="3F9221BC">
      <w:start w:val="1"/>
      <w:numFmt w:val="lowerLetter"/>
      <w:lvlText w:val="(%1)"/>
      <w:lvlJc w:val="left"/>
      <w:pPr>
        <w:ind w:left="1080" w:hanging="360"/>
      </w:pPr>
      <w:rPr>
        <w:rFonts w:ascii="Times New Roman" w:eastAsia="Times New Roman" w:hAnsi="Times New Roman" w:cs="Times New Roman" w:hint="default"/>
        <w:color w:val="auto"/>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2" w15:restartNumberingAfterBreak="0">
    <w:nsid w:val="49E16F1F"/>
    <w:multiLevelType w:val="hybridMultilevel"/>
    <w:tmpl w:val="F94C718A"/>
    <w:lvl w:ilvl="0" w:tplc="47F87DD0">
      <w:start w:val="1"/>
      <w:numFmt w:val="lowerLetter"/>
      <w:lvlText w:val="(%1)"/>
      <w:lvlJc w:val="left"/>
      <w:pPr>
        <w:ind w:left="1080" w:hanging="360"/>
      </w:pPr>
      <w:rPr>
        <w:rFonts w:ascii="Times New Roman" w:eastAsia="Times New Roman" w:hAnsi="Times New Roman" w:cs="Times New Roman" w:hint="default"/>
        <w:color w:val="auto"/>
      </w:rPr>
    </w:lvl>
    <w:lvl w:ilvl="1" w:tplc="0C090019">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3" w15:restartNumberingAfterBreak="0">
    <w:nsid w:val="4BF54304"/>
    <w:multiLevelType w:val="hybridMultilevel"/>
    <w:tmpl w:val="721865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4D050FC0"/>
    <w:multiLevelType w:val="hybridMultilevel"/>
    <w:tmpl w:val="84040AAC"/>
    <w:lvl w:ilvl="0" w:tplc="DFD46A44">
      <w:start w:val="1"/>
      <w:numFmt w:val="lowerLetter"/>
      <w:lvlText w:val="(%1)"/>
      <w:lvlJc w:val="left"/>
      <w:pPr>
        <w:ind w:left="1211" w:hanging="360"/>
      </w:pPr>
      <w:rPr>
        <w:rFonts w:hint="default"/>
        <w:strike w:val="0"/>
      </w:rPr>
    </w:lvl>
    <w:lvl w:ilvl="1" w:tplc="0C090019" w:tentative="1">
      <w:start w:val="1"/>
      <w:numFmt w:val="lowerLetter"/>
      <w:lvlText w:val="%2."/>
      <w:lvlJc w:val="left"/>
      <w:pPr>
        <w:ind w:left="1862" w:hanging="360"/>
      </w:pPr>
    </w:lvl>
    <w:lvl w:ilvl="2" w:tplc="0C09001B" w:tentative="1">
      <w:start w:val="1"/>
      <w:numFmt w:val="lowerRoman"/>
      <w:lvlText w:val="%3."/>
      <w:lvlJc w:val="right"/>
      <w:pPr>
        <w:ind w:left="2582" w:hanging="180"/>
      </w:pPr>
    </w:lvl>
    <w:lvl w:ilvl="3" w:tplc="0C09000F" w:tentative="1">
      <w:start w:val="1"/>
      <w:numFmt w:val="decimal"/>
      <w:lvlText w:val="%4."/>
      <w:lvlJc w:val="left"/>
      <w:pPr>
        <w:ind w:left="3302" w:hanging="360"/>
      </w:pPr>
    </w:lvl>
    <w:lvl w:ilvl="4" w:tplc="0C090019" w:tentative="1">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45" w15:restartNumberingAfterBreak="0">
    <w:nsid w:val="4D5B5DEC"/>
    <w:multiLevelType w:val="hybridMultilevel"/>
    <w:tmpl w:val="EC728542"/>
    <w:lvl w:ilvl="0" w:tplc="EA323D6A">
      <w:start w:val="11"/>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4D987A11"/>
    <w:multiLevelType w:val="hybridMultilevel"/>
    <w:tmpl w:val="4970A32A"/>
    <w:lvl w:ilvl="0" w:tplc="3BB04716">
      <w:start w:val="1"/>
      <w:numFmt w:val="lowerLetter"/>
      <w:lvlText w:val="(%1)"/>
      <w:lvlJc w:val="left"/>
      <w:pPr>
        <w:ind w:left="360" w:hanging="360"/>
      </w:pPr>
      <w:rPr>
        <w:rFonts w:ascii="Times New Roman" w:eastAsia="Times New Roman" w:hAnsi="Times New Roman" w:cs="Times New Roman" w:hint="default"/>
        <w:color w:val="auto"/>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52B94BBD"/>
    <w:multiLevelType w:val="hybridMultilevel"/>
    <w:tmpl w:val="BE14AD46"/>
    <w:lvl w:ilvl="0" w:tplc="9B2087F6">
      <w:start w:val="1"/>
      <w:numFmt w:val="lowerLetter"/>
      <w:lvlText w:val="(%1)"/>
      <w:lvlJc w:val="left"/>
      <w:pPr>
        <w:ind w:left="1504" w:hanging="360"/>
      </w:pPr>
      <w:rPr>
        <w:rFonts w:eastAsia="Times New Roman" w:cs="Times New Roman" w:hint="default"/>
        <w:color w:val="auto"/>
      </w:rPr>
    </w:lvl>
    <w:lvl w:ilvl="1" w:tplc="0C090019" w:tentative="1">
      <w:start w:val="1"/>
      <w:numFmt w:val="lowerLetter"/>
      <w:lvlText w:val="%2."/>
      <w:lvlJc w:val="left"/>
      <w:pPr>
        <w:ind w:left="2224" w:hanging="360"/>
      </w:pPr>
      <w:rPr>
        <w:rFonts w:cs="Times New Roman"/>
      </w:rPr>
    </w:lvl>
    <w:lvl w:ilvl="2" w:tplc="0C09001B" w:tentative="1">
      <w:start w:val="1"/>
      <w:numFmt w:val="lowerRoman"/>
      <w:lvlText w:val="%3."/>
      <w:lvlJc w:val="right"/>
      <w:pPr>
        <w:ind w:left="2944" w:hanging="180"/>
      </w:pPr>
      <w:rPr>
        <w:rFonts w:cs="Times New Roman"/>
      </w:rPr>
    </w:lvl>
    <w:lvl w:ilvl="3" w:tplc="0C09000F" w:tentative="1">
      <w:start w:val="1"/>
      <w:numFmt w:val="decimal"/>
      <w:lvlText w:val="%4."/>
      <w:lvlJc w:val="left"/>
      <w:pPr>
        <w:ind w:left="3664" w:hanging="360"/>
      </w:pPr>
      <w:rPr>
        <w:rFonts w:cs="Times New Roman"/>
      </w:rPr>
    </w:lvl>
    <w:lvl w:ilvl="4" w:tplc="0C090019" w:tentative="1">
      <w:start w:val="1"/>
      <w:numFmt w:val="lowerLetter"/>
      <w:lvlText w:val="%5."/>
      <w:lvlJc w:val="left"/>
      <w:pPr>
        <w:ind w:left="4384" w:hanging="360"/>
      </w:pPr>
      <w:rPr>
        <w:rFonts w:cs="Times New Roman"/>
      </w:rPr>
    </w:lvl>
    <w:lvl w:ilvl="5" w:tplc="0C09001B" w:tentative="1">
      <w:start w:val="1"/>
      <w:numFmt w:val="lowerRoman"/>
      <w:lvlText w:val="%6."/>
      <w:lvlJc w:val="right"/>
      <w:pPr>
        <w:ind w:left="5104" w:hanging="180"/>
      </w:pPr>
      <w:rPr>
        <w:rFonts w:cs="Times New Roman"/>
      </w:rPr>
    </w:lvl>
    <w:lvl w:ilvl="6" w:tplc="0C09000F" w:tentative="1">
      <w:start w:val="1"/>
      <w:numFmt w:val="decimal"/>
      <w:lvlText w:val="%7."/>
      <w:lvlJc w:val="left"/>
      <w:pPr>
        <w:ind w:left="5824" w:hanging="360"/>
      </w:pPr>
      <w:rPr>
        <w:rFonts w:cs="Times New Roman"/>
      </w:rPr>
    </w:lvl>
    <w:lvl w:ilvl="7" w:tplc="0C090019" w:tentative="1">
      <w:start w:val="1"/>
      <w:numFmt w:val="lowerLetter"/>
      <w:lvlText w:val="%8."/>
      <w:lvlJc w:val="left"/>
      <w:pPr>
        <w:ind w:left="6544" w:hanging="360"/>
      </w:pPr>
      <w:rPr>
        <w:rFonts w:cs="Times New Roman"/>
      </w:rPr>
    </w:lvl>
    <w:lvl w:ilvl="8" w:tplc="0C09001B" w:tentative="1">
      <w:start w:val="1"/>
      <w:numFmt w:val="lowerRoman"/>
      <w:lvlText w:val="%9."/>
      <w:lvlJc w:val="right"/>
      <w:pPr>
        <w:ind w:left="7264" w:hanging="180"/>
      </w:pPr>
      <w:rPr>
        <w:rFonts w:cs="Times New Roman"/>
      </w:rPr>
    </w:lvl>
  </w:abstractNum>
  <w:abstractNum w:abstractNumId="48" w15:restartNumberingAfterBreak="0">
    <w:nsid w:val="52C62D78"/>
    <w:multiLevelType w:val="hybridMultilevel"/>
    <w:tmpl w:val="0F94DDFA"/>
    <w:lvl w:ilvl="0" w:tplc="3BB04716">
      <w:start w:val="1"/>
      <w:numFmt w:val="lowerLetter"/>
      <w:lvlText w:val="(%1)"/>
      <w:lvlJc w:val="left"/>
      <w:pPr>
        <w:ind w:left="1569" w:hanging="360"/>
      </w:pPr>
      <w:rPr>
        <w:rFonts w:ascii="Times New Roman" w:eastAsia="Times New Roman" w:hAnsi="Times New Roman" w:cs="Times New Roman" w:hint="default"/>
        <w:color w:val="auto"/>
      </w:rPr>
    </w:lvl>
    <w:lvl w:ilvl="1" w:tplc="0C090019" w:tentative="1">
      <w:start w:val="1"/>
      <w:numFmt w:val="lowerLetter"/>
      <w:lvlText w:val="%2."/>
      <w:lvlJc w:val="left"/>
      <w:pPr>
        <w:ind w:left="2289" w:hanging="360"/>
      </w:pPr>
      <w:rPr>
        <w:rFonts w:cs="Times New Roman"/>
      </w:rPr>
    </w:lvl>
    <w:lvl w:ilvl="2" w:tplc="0C09001B" w:tentative="1">
      <w:start w:val="1"/>
      <w:numFmt w:val="lowerRoman"/>
      <w:lvlText w:val="%3."/>
      <w:lvlJc w:val="right"/>
      <w:pPr>
        <w:ind w:left="3009" w:hanging="180"/>
      </w:pPr>
      <w:rPr>
        <w:rFonts w:cs="Times New Roman"/>
      </w:rPr>
    </w:lvl>
    <w:lvl w:ilvl="3" w:tplc="0C09000F" w:tentative="1">
      <w:start w:val="1"/>
      <w:numFmt w:val="decimal"/>
      <w:lvlText w:val="%4."/>
      <w:lvlJc w:val="left"/>
      <w:pPr>
        <w:ind w:left="3729" w:hanging="360"/>
      </w:pPr>
      <w:rPr>
        <w:rFonts w:cs="Times New Roman"/>
      </w:rPr>
    </w:lvl>
    <w:lvl w:ilvl="4" w:tplc="0C090019" w:tentative="1">
      <w:start w:val="1"/>
      <w:numFmt w:val="lowerLetter"/>
      <w:lvlText w:val="%5."/>
      <w:lvlJc w:val="left"/>
      <w:pPr>
        <w:ind w:left="4449" w:hanging="360"/>
      </w:pPr>
      <w:rPr>
        <w:rFonts w:cs="Times New Roman"/>
      </w:rPr>
    </w:lvl>
    <w:lvl w:ilvl="5" w:tplc="0C09001B" w:tentative="1">
      <w:start w:val="1"/>
      <w:numFmt w:val="lowerRoman"/>
      <w:lvlText w:val="%6."/>
      <w:lvlJc w:val="right"/>
      <w:pPr>
        <w:ind w:left="5169" w:hanging="180"/>
      </w:pPr>
      <w:rPr>
        <w:rFonts w:cs="Times New Roman"/>
      </w:rPr>
    </w:lvl>
    <w:lvl w:ilvl="6" w:tplc="0C09000F" w:tentative="1">
      <w:start w:val="1"/>
      <w:numFmt w:val="decimal"/>
      <w:lvlText w:val="%7."/>
      <w:lvlJc w:val="left"/>
      <w:pPr>
        <w:ind w:left="5889" w:hanging="360"/>
      </w:pPr>
      <w:rPr>
        <w:rFonts w:cs="Times New Roman"/>
      </w:rPr>
    </w:lvl>
    <w:lvl w:ilvl="7" w:tplc="0C090019" w:tentative="1">
      <w:start w:val="1"/>
      <w:numFmt w:val="lowerLetter"/>
      <w:lvlText w:val="%8."/>
      <w:lvlJc w:val="left"/>
      <w:pPr>
        <w:ind w:left="6609" w:hanging="360"/>
      </w:pPr>
      <w:rPr>
        <w:rFonts w:cs="Times New Roman"/>
      </w:rPr>
    </w:lvl>
    <w:lvl w:ilvl="8" w:tplc="0C09001B" w:tentative="1">
      <w:start w:val="1"/>
      <w:numFmt w:val="lowerRoman"/>
      <w:lvlText w:val="%9."/>
      <w:lvlJc w:val="right"/>
      <w:pPr>
        <w:ind w:left="7329" w:hanging="180"/>
      </w:pPr>
      <w:rPr>
        <w:rFonts w:cs="Times New Roman"/>
      </w:rPr>
    </w:lvl>
  </w:abstractNum>
  <w:abstractNum w:abstractNumId="49" w15:restartNumberingAfterBreak="0">
    <w:nsid w:val="530812F3"/>
    <w:multiLevelType w:val="multilevel"/>
    <w:tmpl w:val="0B52A284"/>
    <w:styleLink w:val="AASBNumber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upperLetter"/>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50" w15:restartNumberingAfterBreak="0">
    <w:nsid w:val="57AB0050"/>
    <w:multiLevelType w:val="hybridMultilevel"/>
    <w:tmpl w:val="2B6E925E"/>
    <w:lvl w:ilvl="0" w:tplc="C784C536">
      <w:start w:val="1"/>
      <w:numFmt w:val="lowerLetter"/>
      <w:lvlText w:val="(%1)"/>
      <w:lvlJc w:val="left"/>
      <w:pPr>
        <w:ind w:left="1569" w:hanging="360"/>
      </w:pPr>
      <w:rPr>
        <w:rFonts w:ascii="Times New Roman" w:eastAsia="Times New Roman" w:hAnsi="Times New Roman" w:cs="Times New Roman" w:hint="default"/>
        <w:color w:val="auto"/>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1" w15:restartNumberingAfterBreak="0">
    <w:nsid w:val="599C6FE6"/>
    <w:multiLevelType w:val="hybridMultilevel"/>
    <w:tmpl w:val="934EB132"/>
    <w:lvl w:ilvl="0" w:tplc="3F9221BC">
      <w:start w:val="1"/>
      <w:numFmt w:val="lowerLetter"/>
      <w:lvlText w:val="(%1)"/>
      <w:lvlJc w:val="left"/>
      <w:pPr>
        <w:ind w:left="1080" w:hanging="360"/>
      </w:pPr>
      <w:rPr>
        <w:rFonts w:ascii="Times New Roman" w:eastAsia="Times New Roman" w:hAnsi="Times New Roman" w:cs="Times New Roman" w:hint="default"/>
        <w:color w:val="auto"/>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2" w15:restartNumberingAfterBreak="0">
    <w:nsid w:val="5C462F07"/>
    <w:multiLevelType w:val="hybridMultilevel"/>
    <w:tmpl w:val="2B6E925E"/>
    <w:lvl w:ilvl="0" w:tplc="C784C536">
      <w:start w:val="1"/>
      <w:numFmt w:val="lowerLetter"/>
      <w:lvlText w:val="(%1)"/>
      <w:lvlJc w:val="left"/>
      <w:pPr>
        <w:ind w:left="1569" w:hanging="360"/>
      </w:pPr>
      <w:rPr>
        <w:rFonts w:ascii="Times New Roman" w:eastAsia="Times New Roman" w:hAnsi="Times New Roman" w:cs="Times New Roman" w:hint="default"/>
        <w:color w:val="auto"/>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3" w15:restartNumberingAfterBreak="0">
    <w:nsid w:val="5F9D621C"/>
    <w:multiLevelType w:val="hybridMultilevel"/>
    <w:tmpl w:val="351830CC"/>
    <w:lvl w:ilvl="0" w:tplc="F3DCC4B8">
      <w:start w:val="1"/>
      <w:numFmt w:val="lowerLetter"/>
      <w:lvlText w:val="(%1)"/>
      <w:lvlJc w:val="left"/>
      <w:pPr>
        <w:ind w:left="1502" w:hanging="360"/>
      </w:pPr>
      <w:rPr>
        <w:rFonts w:cs="Times New Roman" w:hint="default"/>
        <w:color w:val="auto"/>
      </w:rPr>
    </w:lvl>
    <w:lvl w:ilvl="1" w:tplc="245C2AD4">
      <w:start w:val="1"/>
      <w:numFmt w:val="lowerRoman"/>
      <w:lvlText w:val="(%2)"/>
      <w:lvlJc w:val="left"/>
      <w:pPr>
        <w:ind w:left="2222" w:hanging="360"/>
      </w:pPr>
      <w:rPr>
        <w:rFonts w:ascii="Times New Roman" w:eastAsia="Times New Roman" w:hAnsi="Times New Roman" w:cs="Times New Roman" w:hint="default"/>
        <w:color w:val="auto"/>
      </w:rPr>
    </w:lvl>
    <w:lvl w:ilvl="2" w:tplc="0C09001B" w:tentative="1">
      <w:start w:val="1"/>
      <w:numFmt w:val="lowerRoman"/>
      <w:lvlText w:val="%3."/>
      <w:lvlJc w:val="right"/>
      <w:pPr>
        <w:ind w:left="2942" w:hanging="180"/>
      </w:pPr>
      <w:rPr>
        <w:rFonts w:cs="Times New Roman"/>
      </w:rPr>
    </w:lvl>
    <w:lvl w:ilvl="3" w:tplc="0C09000F" w:tentative="1">
      <w:start w:val="1"/>
      <w:numFmt w:val="decimal"/>
      <w:lvlText w:val="%4."/>
      <w:lvlJc w:val="left"/>
      <w:pPr>
        <w:ind w:left="3662" w:hanging="360"/>
      </w:pPr>
      <w:rPr>
        <w:rFonts w:cs="Times New Roman"/>
      </w:rPr>
    </w:lvl>
    <w:lvl w:ilvl="4" w:tplc="0C090019" w:tentative="1">
      <w:start w:val="1"/>
      <w:numFmt w:val="lowerLetter"/>
      <w:lvlText w:val="%5."/>
      <w:lvlJc w:val="left"/>
      <w:pPr>
        <w:ind w:left="4382" w:hanging="360"/>
      </w:pPr>
      <w:rPr>
        <w:rFonts w:cs="Times New Roman"/>
      </w:rPr>
    </w:lvl>
    <w:lvl w:ilvl="5" w:tplc="0C09001B" w:tentative="1">
      <w:start w:val="1"/>
      <w:numFmt w:val="lowerRoman"/>
      <w:lvlText w:val="%6."/>
      <w:lvlJc w:val="right"/>
      <w:pPr>
        <w:ind w:left="5102" w:hanging="180"/>
      </w:pPr>
      <w:rPr>
        <w:rFonts w:cs="Times New Roman"/>
      </w:rPr>
    </w:lvl>
    <w:lvl w:ilvl="6" w:tplc="0C09000F" w:tentative="1">
      <w:start w:val="1"/>
      <w:numFmt w:val="decimal"/>
      <w:lvlText w:val="%7."/>
      <w:lvlJc w:val="left"/>
      <w:pPr>
        <w:ind w:left="5822" w:hanging="360"/>
      </w:pPr>
      <w:rPr>
        <w:rFonts w:cs="Times New Roman"/>
      </w:rPr>
    </w:lvl>
    <w:lvl w:ilvl="7" w:tplc="0C090019" w:tentative="1">
      <w:start w:val="1"/>
      <w:numFmt w:val="lowerLetter"/>
      <w:lvlText w:val="%8."/>
      <w:lvlJc w:val="left"/>
      <w:pPr>
        <w:ind w:left="6542" w:hanging="360"/>
      </w:pPr>
      <w:rPr>
        <w:rFonts w:cs="Times New Roman"/>
      </w:rPr>
    </w:lvl>
    <w:lvl w:ilvl="8" w:tplc="0C09001B" w:tentative="1">
      <w:start w:val="1"/>
      <w:numFmt w:val="lowerRoman"/>
      <w:lvlText w:val="%9."/>
      <w:lvlJc w:val="right"/>
      <w:pPr>
        <w:ind w:left="7262" w:hanging="180"/>
      </w:pPr>
      <w:rPr>
        <w:rFonts w:cs="Times New Roman"/>
      </w:rPr>
    </w:lvl>
  </w:abstractNum>
  <w:abstractNum w:abstractNumId="54" w15:restartNumberingAfterBreak="0">
    <w:nsid w:val="5FCA0909"/>
    <w:multiLevelType w:val="hybridMultilevel"/>
    <w:tmpl w:val="BE14AD46"/>
    <w:lvl w:ilvl="0" w:tplc="9B2087F6">
      <w:start w:val="1"/>
      <w:numFmt w:val="lowerLetter"/>
      <w:lvlText w:val="(%1)"/>
      <w:lvlJc w:val="left"/>
      <w:pPr>
        <w:ind w:left="1504" w:hanging="360"/>
      </w:pPr>
      <w:rPr>
        <w:rFonts w:eastAsia="Times New Roman" w:cs="Times New Roman" w:hint="default"/>
        <w:color w:val="auto"/>
      </w:rPr>
    </w:lvl>
    <w:lvl w:ilvl="1" w:tplc="0C090019" w:tentative="1">
      <w:start w:val="1"/>
      <w:numFmt w:val="lowerLetter"/>
      <w:lvlText w:val="%2."/>
      <w:lvlJc w:val="left"/>
      <w:pPr>
        <w:ind w:left="2224" w:hanging="360"/>
      </w:pPr>
      <w:rPr>
        <w:rFonts w:cs="Times New Roman"/>
      </w:rPr>
    </w:lvl>
    <w:lvl w:ilvl="2" w:tplc="0C09001B" w:tentative="1">
      <w:start w:val="1"/>
      <w:numFmt w:val="lowerRoman"/>
      <w:lvlText w:val="%3."/>
      <w:lvlJc w:val="right"/>
      <w:pPr>
        <w:ind w:left="2944" w:hanging="180"/>
      </w:pPr>
      <w:rPr>
        <w:rFonts w:cs="Times New Roman"/>
      </w:rPr>
    </w:lvl>
    <w:lvl w:ilvl="3" w:tplc="0C09000F" w:tentative="1">
      <w:start w:val="1"/>
      <w:numFmt w:val="decimal"/>
      <w:lvlText w:val="%4."/>
      <w:lvlJc w:val="left"/>
      <w:pPr>
        <w:ind w:left="3664" w:hanging="360"/>
      </w:pPr>
      <w:rPr>
        <w:rFonts w:cs="Times New Roman"/>
      </w:rPr>
    </w:lvl>
    <w:lvl w:ilvl="4" w:tplc="0C090019" w:tentative="1">
      <w:start w:val="1"/>
      <w:numFmt w:val="lowerLetter"/>
      <w:lvlText w:val="%5."/>
      <w:lvlJc w:val="left"/>
      <w:pPr>
        <w:ind w:left="4384" w:hanging="360"/>
      </w:pPr>
      <w:rPr>
        <w:rFonts w:cs="Times New Roman"/>
      </w:rPr>
    </w:lvl>
    <w:lvl w:ilvl="5" w:tplc="0C09001B" w:tentative="1">
      <w:start w:val="1"/>
      <w:numFmt w:val="lowerRoman"/>
      <w:lvlText w:val="%6."/>
      <w:lvlJc w:val="right"/>
      <w:pPr>
        <w:ind w:left="5104" w:hanging="180"/>
      </w:pPr>
      <w:rPr>
        <w:rFonts w:cs="Times New Roman"/>
      </w:rPr>
    </w:lvl>
    <w:lvl w:ilvl="6" w:tplc="0C09000F" w:tentative="1">
      <w:start w:val="1"/>
      <w:numFmt w:val="decimal"/>
      <w:lvlText w:val="%7."/>
      <w:lvlJc w:val="left"/>
      <w:pPr>
        <w:ind w:left="5824" w:hanging="360"/>
      </w:pPr>
      <w:rPr>
        <w:rFonts w:cs="Times New Roman"/>
      </w:rPr>
    </w:lvl>
    <w:lvl w:ilvl="7" w:tplc="0C090019" w:tentative="1">
      <w:start w:val="1"/>
      <w:numFmt w:val="lowerLetter"/>
      <w:lvlText w:val="%8."/>
      <w:lvlJc w:val="left"/>
      <w:pPr>
        <w:ind w:left="6544" w:hanging="360"/>
      </w:pPr>
      <w:rPr>
        <w:rFonts w:cs="Times New Roman"/>
      </w:rPr>
    </w:lvl>
    <w:lvl w:ilvl="8" w:tplc="0C09001B" w:tentative="1">
      <w:start w:val="1"/>
      <w:numFmt w:val="lowerRoman"/>
      <w:lvlText w:val="%9."/>
      <w:lvlJc w:val="right"/>
      <w:pPr>
        <w:ind w:left="7264" w:hanging="180"/>
      </w:pPr>
      <w:rPr>
        <w:rFonts w:cs="Times New Roman"/>
      </w:rPr>
    </w:lvl>
  </w:abstractNum>
  <w:abstractNum w:abstractNumId="55" w15:restartNumberingAfterBreak="0">
    <w:nsid w:val="60086057"/>
    <w:multiLevelType w:val="multilevel"/>
    <w:tmpl w:val="FEFCBC7E"/>
    <w:lvl w:ilvl="0">
      <w:start w:val="5"/>
      <w:numFmt w:val="decimal"/>
      <w:pStyle w:val="NumIEPlain1"/>
      <w:lvlText w:val="IE%1"/>
      <w:lvlJc w:val="left"/>
      <w:pPr>
        <w:ind w:left="782" w:hanging="782"/>
      </w:pPr>
      <w:rPr>
        <w:rFonts w:hint="default"/>
      </w:rPr>
    </w:lvl>
    <w:lvl w:ilvl="1">
      <w:start w:val="1"/>
      <w:numFmt w:val="lowerLetter"/>
      <w:pStyle w:val="NumIEPlain2"/>
      <w:lvlText w:val="(%2)"/>
      <w:lvlJc w:val="left"/>
      <w:pPr>
        <w:tabs>
          <w:tab w:val="num" w:pos="993"/>
        </w:tabs>
        <w:ind w:left="1776" w:hanging="783"/>
      </w:pPr>
      <w:rPr>
        <w:rFonts w:hint="default"/>
      </w:rPr>
    </w:lvl>
    <w:lvl w:ilvl="2">
      <w:start w:val="1"/>
      <w:numFmt w:val="lowerRoman"/>
      <w:pStyle w:val="NumIEPlain3"/>
      <w:lvlText w:val="(%3)"/>
      <w:lvlJc w:val="left"/>
      <w:pPr>
        <w:tabs>
          <w:tab w:val="num" w:pos="1565"/>
        </w:tabs>
        <w:ind w:left="2347" w:hanging="782"/>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1542243"/>
    <w:multiLevelType w:val="multilevel"/>
    <w:tmpl w:val="C34A7542"/>
    <w:lvl w:ilvl="0">
      <w:start w:val="1"/>
      <w:numFmt w:val="decimal"/>
      <w:pStyle w:val="NumPlain1"/>
      <w:lvlText w:val="%1"/>
      <w:lvlJc w:val="left"/>
      <w:pPr>
        <w:tabs>
          <w:tab w:val="num" w:pos="510"/>
        </w:tabs>
        <w:ind w:left="782" w:hanging="78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NumPlain2"/>
      <w:lvlText w:val="(%2)"/>
      <w:lvlJc w:val="left"/>
      <w:pPr>
        <w:tabs>
          <w:tab w:val="num" w:pos="1021"/>
        </w:tabs>
        <w:ind w:left="1021" w:hanging="511"/>
      </w:pPr>
      <w:rPr>
        <w:rFonts w:hint="default"/>
        <w:strike w:val="0"/>
      </w:rPr>
    </w:lvl>
    <w:lvl w:ilvl="2">
      <w:start w:val="1"/>
      <w:numFmt w:val="lowerRoman"/>
      <w:pStyle w:val="NumPlain3"/>
      <w:lvlText w:val="(%3)"/>
      <w:lvlJc w:val="left"/>
      <w:pPr>
        <w:tabs>
          <w:tab w:val="num" w:pos="1531"/>
        </w:tabs>
        <w:ind w:left="1531" w:hanging="510"/>
      </w:pPr>
      <w:rPr>
        <w:rFonts w:hint="default"/>
      </w:rPr>
    </w:lvl>
    <w:lvl w:ilvl="3">
      <w:start w:val="1"/>
      <w:numFmt w:val="upperLetter"/>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57" w15:restartNumberingAfterBreak="0">
    <w:nsid w:val="63601BC2"/>
    <w:multiLevelType w:val="hybridMultilevel"/>
    <w:tmpl w:val="E3CED82A"/>
    <w:lvl w:ilvl="0" w:tplc="3BB04716">
      <w:start w:val="1"/>
      <w:numFmt w:val="lowerLetter"/>
      <w:lvlText w:val="(%1)"/>
      <w:lvlJc w:val="left"/>
      <w:pPr>
        <w:ind w:left="1440" w:hanging="360"/>
      </w:pPr>
      <w:rPr>
        <w:rFonts w:ascii="Times New Roman" w:eastAsia="Times New Roman" w:hAnsi="Times New Roman" w:cs="Times New Roman" w:hint="default"/>
        <w:color w:val="auto"/>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58" w15:restartNumberingAfterBreak="0">
    <w:nsid w:val="6453131E"/>
    <w:multiLevelType w:val="hybridMultilevel"/>
    <w:tmpl w:val="F94C718A"/>
    <w:lvl w:ilvl="0" w:tplc="47F87DD0">
      <w:start w:val="1"/>
      <w:numFmt w:val="lowerLetter"/>
      <w:lvlText w:val="(%1)"/>
      <w:lvlJc w:val="left"/>
      <w:pPr>
        <w:ind w:left="1080" w:hanging="360"/>
      </w:pPr>
      <w:rPr>
        <w:rFonts w:ascii="Times New Roman" w:eastAsia="Times New Roman" w:hAnsi="Times New Roman" w:cs="Times New Roman" w:hint="default"/>
        <w:color w:val="auto"/>
      </w:rPr>
    </w:lvl>
    <w:lvl w:ilvl="1" w:tplc="0C090019">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59" w15:restartNumberingAfterBreak="0">
    <w:nsid w:val="658D14CB"/>
    <w:multiLevelType w:val="hybridMultilevel"/>
    <w:tmpl w:val="C4F209E8"/>
    <w:lvl w:ilvl="0" w:tplc="22DE011C">
      <w:start w:val="1"/>
      <w:numFmt w:val="lowerLetter"/>
      <w:lvlText w:val="(%1)"/>
      <w:lvlJc w:val="left"/>
      <w:pPr>
        <w:ind w:left="1080" w:hanging="360"/>
      </w:pPr>
      <w:rPr>
        <w:rFonts w:ascii="Times New Roman" w:eastAsia="Times New Roman" w:hAnsi="Times New Roman" w:cs="Times New Roman" w:hint="default"/>
        <w:color w:val="auto"/>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0" w15:restartNumberingAfterBreak="0">
    <w:nsid w:val="68652DC4"/>
    <w:multiLevelType w:val="hybridMultilevel"/>
    <w:tmpl w:val="554E2142"/>
    <w:lvl w:ilvl="0" w:tplc="F3DCC4B8">
      <w:start w:val="1"/>
      <w:numFmt w:val="lowerLetter"/>
      <w:lvlText w:val="(%1)"/>
      <w:lvlJc w:val="left"/>
      <w:pPr>
        <w:ind w:left="1502" w:hanging="360"/>
      </w:pPr>
      <w:rPr>
        <w:rFonts w:cs="Times New Roman" w:hint="default"/>
        <w:color w:val="auto"/>
      </w:rPr>
    </w:lvl>
    <w:lvl w:ilvl="1" w:tplc="0C090019">
      <w:start w:val="1"/>
      <w:numFmt w:val="lowerLetter"/>
      <w:lvlText w:val="%2."/>
      <w:lvlJc w:val="left"/>
      <w:pPr>
        <w:ind w:left="2222" w:hanging="360"/>
      </w:pPr>
      <w:rPr>
        <w:rFonts w:cs="Times New Roman"/>
      </w:rPr>
    </w:lvl>
    <w:lvl w:ilvl="2" w:tplc="0C09001B" w:tentative="1">
      <w:start w:val="1"/>
      <w:numFmt w:val="lowerRoman"/>
      <w:lvlText w:val="%3."/>
      <w:lvlJc w:val="right"/>
      <w:pPr>
        <w:ind w:left="2942" w:hanging="180"/>
      </w:pPr>
      <w:rPr>
        <w:rFonts w:cs="Times New Roman"/>
      </w:rPr>
    </w:lvl>
    <w:lvl w:ilvl="3" w:tplc="0C09000F" w:tentative="1">
      <w:start w:val="1"/>
      <w:numFmt w:val="decimal"/>
      <w:lvlText w:val="%4."/>
      <w:lvlJc w:val="left"/>
      <w:pPr>
        <w:ind w:left="3662" w:hanging="360"/>
      </w:pPr>
      <w:rPr>
        <w:rFonts w:cs="Times New Roman"/>
      </w:rPr>
    </w:lvl>
    <w:lvl w:ilvl="4" w:tplc="0C090019" w:tentative="1">
      <w:start w:val="1"/>
      <w:numFmt w:val="lowerLetter"/>
      <w:lvlText w:val="%5."/>
      <w:lvlJc w:val="left"/>
      <w:pPr>
        <w:ind w:left="4382" w:hanging="360"/>
      </w:pPr>
      <w:rPr>
        <w:rFonts w:cs="Times New Roman"/>
      </w:rPr>
    </w:lvl>
    <w:lvl w:ilvl="5" w:tplc="0C09001B" w:tentative="1">
      <w:start w:val="1"/>
      <w:numFmt w:val="lowerRoman"/>
      <w:lvlText w:val="%6."/>
      <w:lvlJc w:val="right"/>
      <w:pPr>
        <w:ind w:left="5102" w:hanging="180"/>
      </w:pPr>
      <w:rPr>
        <w:rFonts w:cs="Times New Roman"/>
      </w:rPr>
    </w:lvl>
    <w:lvl w:ilvl="6" w:tplc="0C09000F" w:tentative="1">
      <w:start w:val="1"/>
      <w:numFmt w:val="decimal"/>
      <w:lvlText w:val="%7."/>
      <w:lvlJc w:val="left"/>
      <w:pPr>
        <w:ind w:left="5822" w:hanging="360"/>
      </w:pPr>
      <w:rPr>
        <w:rFonts w:cs="Times New Roman"/>
      </w:rPr>
    </w:lvl>
    <w:lvl w:ilvl="7" w:tplc="0C090019" w:tentative="1">
      <w:start w:val="1"/>
      <w:numFmt w:val="lowerLetter"/>
      <w:lvlText w:val="%8."/>
      <w:lvlJc w:val="left"/>
      <w:pPr>
        <w:ind w:left="6542" w:hanging="360"/>
      </w:pPr>
      <w:rPr>
        <w:rFonts w:cs="Times New Roman"/>
      </w:rPr>
    </w:lvl>
    <w:lvl w:ilvl="8" w:tplc="0C09001B" w:tentative="1">
      <w:start w:val="1"/>
      <w:numFmt w:val="lowerRoman"/>
      <w:lvlText w:val="%9."/>
      <w:lvlJc w:val="right"/>
      <w:pPr>
        <w:ind w:left="7262" w:hanging="180"/>
      </w:pPr>
      <w:rPr>
        <w:rFonts w:cs="Times New Roman"/>
      </w:rPr>
    </w:lvl>
  </w:abstractNum>
  <w:abstractNum w:abstractNumId="61" w15:restartNumberingAfterBreak="0">
    <w:nsid w:val="69327E80"/>
    <w:multiLevelType w:val="hybridMultilevel"/>
    <w:tmpl w:val="6234D5A2"/>
    <w:lvl w:ilvl="0" w:tplc="5C708D0E">
      <w:start w:val="1"/>
      <w:numFmt w:val="decimal"/>
      <w:pStyle w:val="AppendixBPara"/>
      <w:lvlText w:val="B%1"/>
      <w:lvlJc w:val="left"/>
      <w:pPr>
        <w:ind w:left="720" w:hanging="360"/>
      </w:pPr>
      <w:rPr>
        <w:rFonts w:ascii="Times New Roman" w:hAnsi="Times New Roman" w:hint="default"/>
        <w:b w:val="0"/>
        <w:i w:val="0"/>
        <w:sz w:val="19"/>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9A956BD"/>
    <w:multiLevelType w:val="hybridMultilevel"/>
    <w:tmpl w:val="F94C718A"/>
    <w:lvl w:ilvl="0" w:tplc="47F87DD0">
      <w:start w:val="1"/>
      <w:numFmt w:val="lowerLetter"/>
      <w:lvlText w:val="(%1)"/>
      <w:lvlJc w:val="left"/>
      <w:pPr>
        <w:ind w:left="1080" w:hanging="360"/>
      </w:pPr>
      <w:rPr>
        <w:rFonts w:ascii="Times New Roman" w:eastAsia="Times New Roman" w:hAnsi="Times New Roman" w:cs="Times New Roman" w:hint="default"/>
        <w:color w:val="auto"/>
      </w:rPr>
    </w:lvl>
    <w:lvl w:ilvl="1" w:tplc="0C090019">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63" w15:restartNumberingAfterBreak="0">
    <w:nsid w:val="6AD54879"/>
    <w:multiLevelType w:val="hybridMultilevel"/>
    <w:tmpl w:val="62D854B8"/>
    <w:lvl w:ilvl="0" w:tplc="069E4490">
      <w:start w:val="1"/>
      <w:numFmt w:val="lowerLetter"/>
      <w:lvlText w:val="(%1)"/>
      <w:lvlJc w:val="left"/>
      <w:pPr>
        <w:ind w:left="1142" w:hanging="360"/>
      </w:pPr>
      <w:rPr>
        <w:rFonts w:ascii="Times New Roman" w:eastAsia="Times New Roman" w:hAnsi="Times New Roman" w:cs="Times New Roman" w:hint="default"/>
        <w:color w:val="auto"/>
      </w:rPr>
    </w:lvl>
    <w:lvl w:ilvl="1" w:tplc="674C37C8">
      <w:start w:val="1"/>
      <w:numFmt w:val="lowerRoman"/>
      <w:lvlText w:val="(%2)"/>
      <w:lvlJc w:val="left"/>
      <w:pPr>
        <w:ind w:left="1440" w:hanging="360"/>
      </w:pPr>
      <w:rPr>
        <w:rFonts w:hint="default"/>
      </w:rPr>
    </w:lvl>
    <w:lvl w:ilvl="2" w:tplc="0C09001B">
      <w:start w:val="1"/>
      <w:numFmt w:val="lowerRoman"/>
      <w:lvlText w:val="%3."/>
      <w:lvlJc w:val="right"/>
      <w:pPr>
        <w:ind w:left="2160" w:hanging="180"/>
      </w:pPr>
    </w:lvl>
    <w:lvl w:ilvl="3" w:tplc="D80821D6">
      <w:start w:val="1"/>
      <w:numFmt w:val="upperRoman"/>
      <w:lvlText w:val="(%4)"/>
      <w:lvlJc w:val="left"/>
      <w:pPr>
        <w:ind w:left="3240" w:hanging="720"/>
      </w:pPr>
      <w:rPr>
        <w:rFonts w:hint="default"/>
      </w:rPr>
    </w:lvl>
    <w:lvl w:ilvl="4" w:tplc="8FF074DE">
      <w:start w:val="1"/>
      <w:numFmt w:val="lowerLetter"/>
      <w:lvlText w:val="(%5)"/>
      <w:lvlJc w:val="left"/>
      <w:pPr>
        <w:ind w:left="3960" w:hanging="720"/>
      </w:pPr>
      <w:rPr>
        <w:rFonts w:ascii="Times New Roman" w:eastAsia="Times New Roman" w:hAnsi="Times New Roman" w:cs="Times New Roman" w:hint="default"/>
        <w:color w:val="auto"/>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6D0D6A88"/>
    <w:multiLevelType w:val="hybridMultilevel"/>
    <w:tmpl w:val="65E47C52"/>
    <w:lvl w:ilvl="0" w:tplc="0C090017">
      <w:start w:val="1"/>
      <w:numFmt w:val="lowerLetter"/>
      <w:lvlText w:val="%1)"/>
      <w:lvlJc w:val="left"/>
      <w:pPr>
        <w:ind w:left="720" w:hanging="360"/>
      </w:pPr>
      <w:rPr>
        <w:rFonts w:cs="Times New Roman"/>
      </w:rPr>
    </w:lvl>
    <w:lvl w:ilvl="1" w:tplc="3BB04716">
      <w:start w:val="1"/>
      <w:numFmt w:val="lowerLetter"/>
      <w:lvlText w:val="(%2)"/>
      <w:lvlJc w:val="left"/>
      <w:pPr>
        <w:ind w:left="1440" w:hanging="360"/>
      </w:pPr>
      <w:rPr>
        <w:rFonts w:ascii="Times New Roman" w:eastAsia="Times New Roman" w:hAnsi="Times New Roman" w:cs="Times New Roman" w:hint="default"/>
        <w:color w:val="auto"/>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5" w15:restartNumberingAfterBreak="0">
    <w:nsid w:val="6D2B46A3"/>
    <w:multiLevelType w:val="multilevel"/>
    <w:tmpl w:val="A80ECEA6"/>
    <w:lvl w:ilvl="0">
      <w:start w:val="1"/>
      <w:numFmt w:val="bullet"/>
      <w:pStyle w:val="Bullet1"/>
      <w:lvlText w:val=""/>
      <w:lvlJc w:val="left"/>
      <w:pPr>
        <w:ind w:left="504" w:hanging="504"/>
      </w:pPr>
      <w:rPr>
        <w:rFonts w:ascii="Symbol" w:hAnsi="Symbol" w:hint="default"/>
        <w:color w:val="auto"/>
      </w:rPr>
    </w:lvl>
    <w:lvl w:ilvl="1">
      <w:start w:val="1"/>
      <w:numFmt w:val="bullet"/>
      <w:pStyle w:val="Bullet2"/>
      <w:lvlText w:val=""/>
      <w:lvlJc w:val="left"/>
      <w:pPr>
        <w:ind w:left="1008" w:hanging="504"/>
      </w:pPr>
      <w:rPr>
        <w:rFonts w:ascii="Symbol" w:hAnsi="Symbol" w:hint="default"/>
        <w:color w:val="auto"/>
      </w:rPr>
    </w:lvl>
    <w:lvl w:ilvl="2">
      <w:start w:val="1"/>
      <w:numFmt w:val="bullet"/>
      <w:pStyle w:val="Bullet3"/>
      <w:lvlText w:val=""/>
      <w:lvlJc w:val="left"/>
      <w:pPr>
        <w:ind w:left="1512" w:hanging="504"/>
      </w:pPr>
      <w:rPr>
        <w:rFonts w:ascii="Symbol" w:hAnsi="Symbol" w:hint="default"/>
        <w:color w:val="auto"/>
      </w:rPr>
    </w:lvl>
    <w:lvl w:ilvl="3">
      <w:start w:val="1"/>
      <w:numFmt w:val="bullet"/>
      <w:pStyle w:val="Bullet4"/>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66" w15:restartNumberingAfterBreak="0">
    <w:nsid w:val="6E0035D7"/>
    <w:multiLevelType w:val="multilevel"/>
    <w:tmpl w:val="3C8C2C30"/>
    <w:lvl w:ilvl="0">
      <w:start w:val="1"/>
      <w:numFmt w:val="decimal"/>
      <w:lvlText w:val="D%1"/>
      <w:lvlJc w:val="left"/>
      <w:pPr>
        <w:tabs>
          <w:tab w:val="num" w:pos="782"/>
        </w:tabs>
        <w:ind w:left="782" w:hanging="782"/>
      </w:pPr>
      <w:rPr>
        <w:rFonts w:hint="default"/>
      </w:rPr>
    </w:lvl>
    <w:lvl w:ilvl="1">
      <w:start w:val="1"/>
      <w:numFmt w:val="lowerLetter"/>
      <w:lvlText w:val="(%2)"/>
      <w:lvlJc w:val="left"/>
      <w:pPr>
        <w:ind w:left="782" w:firstLine="0"/>
      </w:pPr>
      <w:rPr>
        <w:rFonts w:hint="default"/>
      </w:rPr>
    </w:lvl>
    <w:lvl w:ilvl="2">
      <w:start w:val="1"/>
      <w:numFmt w:val="lowerRoman"/>
      <w:lvlText w:val="(%3)"/>
      <w:lvlJc w:val="left"/>
      <w:pPr>
        <w:ind w:left="782" w:firstLine="7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726B401E"/>
    <w:multiLevelType w:val="hybridMultilevel"/>
    <w:tmpl w:val="DB26D238"/>
    <w:lvl w:ilvl="0" w:tplc="84F2D438">
      <w:start w:val="2"/>
      <w:numFmt w:val="lowerLetter"/>
      <w:lvlText w:val="(%1)"/>
      <w:lvlJc w:val="left"/>
      <w:pPr>
        <w:ind w:left="2307" w:hanging="360"/>
      </w:pPr>
      <w:rPr>
        <w:rFonts w:ascii="Times New Roman" w:eastAsia="Times New Roman" w:hAnsi="Times New Roman" w:cs="Times New Roman" w:hint="default"/>
        <w:color w:val="auto"/>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9" w15:restartNumberingAfterBreak="0">
    <w:nsid w:val="78EB195B"/>
    <w:multiLevelType w:val="hybridMultilevel"/>
    <w:tmpl w:val="BE425E6A"/>
    <w:lvl w:ilvl="0" w:tplc="8CE6CD8C">
      <w:start w:val="1"/>
      <w:numFmt w:val="bullet"/>
      <w:pStyle w:val="ListParagraph"/>
      <w:lvlText w:val=""/>
      <w:lvlJc w:val="left"/>
      <w:pPr>
        <w:ind w:left="1142" w:hanging="360"/>
      </w:pPr>
      <w:rPr>
        <w:rFonts w:ascii="Symbol" w:hAnsi="Symbol" w:hint="default"/>
      </w:rPr>
    </w:lvl>
    <w:lvl w:ilvl="1" w:tplc="0C090003" w:tentative="1">
      <w:start w:val="1"/>
      <w:numFmt w:val="bullet"/>
      <w:lvlText w:val="o"/>
      <w:lvlJc w:val="left"/>
      <w:pPr>
        <w:ind w:left="1862" w:hanging="360"/>
      </w:pPr>
      <w:rPr>
        <w:rFonts w:ascii="Courier New" w:hAnsi="Courier New" w:cs="Courier New" w:hint="default"/>
      </w:rPr>
    </w:lvl>
    <w:lvl w:ilvl="2" w:tplc="0C090005" w:tentative="1">
      <w:start w:val="1"/>
      <w:numFmt w:val="bullet"/>
      <w:lvlText w:val=""/>
      <w:lvlJc w:val="left"/>
      <w:pPr>
        <w:ind w:left="2582" w:hanging="360"/>
      </w:pPr>
      <w:rPr>
        <w:rFonts w:ascii="Wingdings" w:hAnsi="Wingdings" w:hint="default"/>
      </w:rPr>
    </w:lvl>
    <w:lvl w:ilvl="3" w:tplc="0C090001" w:tentative="1">
      <w:start w:val="1"/>
      <w:numFmt w:val="bullet"/>
      <w:lvlText w:val=""/>
      <w:lvlJc w:val="left"/>
      <w:pPr>
        <w:ind w:left="3302" w:hanging="360"/>
      </w:pPr>
      <w:rPr>
        <w:rFonts w:ascii="Symbol" w:hAnsi="Symbol" w:hint="default"/>
      </w:rPr>
    </w:lvl>
    <w:lvl w:ilvl="4" w:tplc="0C090003" w:tentative="1">
      <w:start w:val="1"/>
      <w:numFmt w:val="bullet"/>
      <w:lvlText w:val="o"/>
      <w:lvlJc w:val="left"/>
      <w:pPr>
        <w:ind w:left="4022" w:hanging="360"/>
      </w:pPr>
      <w:rPr>
        <w:rFonts w:ascii="Courier New" w:hAnsi="Courier New" w:cs="Courier New" w:hint="default"/>
      </w:rPr>
    </w:lvl>
    <w:lvl w:ilvl="5" w:tplc="0C090005" w:tentative="1">
      <w:start w:val="1"/>
      <w:numFmt w:val="bullet"/>
      <w:lvlText w:val=""/>
      <w:lvlJc w:val="left"/>
      <w:pPr>
        <w:ind w:left="4742" w:hanging="360"/>
      </w:pPr>
      <w:rPr>
        <w:rFonts w:ascii="Wingdings" w:hAnsi="Wingdings" w:hint="default"/>
      </w:rPr>
    </w:lvl>
    <w:lvl w:ilvl="6" w:tplc="0C090001" w:tentative="1">
      <w:start w:val="1"/>
      <w:numFmt w:val="bullet"/>
      <w:lvlText w:val=""/>
      <w:lvlJc w:val="left"/>
      <w:pPr>
        <w:ind w:left="5462" w:hanging="360"/>
      </w:pPr>
      <w:rPr>
        <w:rFonts w:ascii="Symbol" w:hAnsi="Symbol" w:hint="default"/>
      </w:rPr>
    </w:lvl>
    <w:lvl w:ilvl="7" w:tplc="0C090003" w:tentative="1">
      <w:start w:val="1"/>
      <w:numFmt w:val="bullet"/>
      <w:lvlText w:val="o"/>
      <w:lvlJc w:val="left"/>
      <w:pPr>
        <w:ind w:left="6182" w:hanging="360"/>
      </w:pPr>
      <w:rPr>
        <w:rFonts w:ascii="Courier New" w:hAnsi="Courier New" w:cs="Courier New" w:hint="default"/>
      </w:rPr>
    </w:lvl>
    <w:lvl w:ilvl="8" w:tplc="0C090005" w:tentative="1">
      <w:start w:val="1"/>
      <w:numFmt w:val="bullet"/>
      <w:lvlText w:val=""/>
      <w:lvlJc w:val="left"/>
      <w:pPr>
        <w:ind w:left="6902" w:hanging="360"/>
      </w:pPr>
      <w:rPr>
        <w:rFonts w:ascii="Wingdings" w:hAnsi="Wingdings" w:hint="default"/>
      </w:rPr>
    </w:lvl>
  </w:abstractNum>
  <w:abstractNum w:abstractNumId="70" w15:restartNumberingAfterBreak="0">
    <w:nsid w:val="795F71F4"/>
    <w:multiLevelType w:val="multilevel"/>
    <w:tmpl w:val="4AC27B8A"/>
    <w:numStyleLink w:val="IENos"/>
  </w:abstractNum>
  <w:abstractNum w:abstractNumId="71" w15:restartNumberingAfterBreak="0">
    <w:nsid w:val="79910B9C"/>
    <w:multiLevelType w:val="hybridMultilevel"/>
    <w:tmpl w:val="81D89E6C"/>
    <w:lvl w:ilvl="0" w:tplc="1160CC9E">
      <w:start w:val="1"/>
      <w:numFmt w:val="decimal"/>
      <w:pStyle w:val="AusG1"/>
      <w:lvlText w:val="E%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3004" w:hanging="360"/>
      </w:pPr>
    </w:lvl>
    <w:lvl w:ilvl="2" w:tplc="0C09001B">
      <w:start w:val="1"/>
      <w:numFmt w:val="lowerRoman"/>
      <w:lvlText w:val="%3."/>
      <w:lvlJc w:val="right"/>
      <w:pPr>
        <w:ind w:left="3724" w:hanging="180"/>
      </w:pPr>
    </w:lvl>
    <w:lvl w:ilvl="3" w:tplc="0C09000F" w:tentative="1">
      <w:start w:val="1"/>
      <w:numFmt w:val="decimal"/>
      <w:lvlText w:val="%4."/>
      <w:lvlJc w:val="left"/>
      <w:pPr>
        <w:ind w:left="4444" w:hanging="360"/>
      </w:pPr>
    </w:lvl>
    <w:lvl w:ilvl="4" w:tplc="0C090019" w:tentative="1">
      <w:start w:val="1"/>
      <w:numFmt w:val="lowerLetter"/>
      <w:lvlText w:val="%5."/>
      <w:lvlJc w:val="left"/>
      <w:pPr>
        <w:ind w:left="5164" w:hanging="360"/>
      </w:pPr>
    </w:lvl>
    <w:lvl w:ilvl="5" w:tplc="0C09001B" w:tentative="1">
      <w:start w:val="1"/>
      <w:numFmt w:val="lowerRoman"/>
      <w:lvlText w:val="%6."/>
      <w:lvlJc w:val="right"/>
      <w:pPr>
        <w:ind w:left="5884" w:hanging="180"/>
      </w:pPr>
    </w:lvl>
    <w:lvl w:ilvl="6" w:tplc="0C09000F" w:tentative="1">
      <w:start w:val="1"/>
      <w:numFmt w:val="decimal"/>
      <w:lvlText w:val="%7."/>
      <w:lvlJc w:val="left"/>
      <w:pPr>
        <w:ind w:left="6604" w:hanging="360"/>
      </w:pPr>
    </w:lvl>
    <w:lvl w:ilvl="7" w:tplc="0C090019" w:tentative="1">
      <w:start w:val="1"/>
      <w:numFmt w:val="lowerLetter"/>
      <w:lvlText w:val="%8."/>
      <w:lvlJc w:val="left"/>
      <w:pPr>
        <w:ind w:left="7324" w:hanging="360"/>
      </w:pPr>
    </w:lvl>
    <w:lvl w:ilvl="8" w:tplc="0C09001B" w:tentative="1">
      <w:start w:val="1"/>
      <w:numFmt w:val="lowerRoman"/>
      <w:lvlText w:val="%9."/>
      <w:lvlJc w:val="right"/>
      <w:pPr>
        <w:ind w:left="8044" w:hanging="180"/>
      </w:pPr>
    </w:lvl>
  </w:abstractNum>
  <w:abstractNum w:abstractNumId="72" w15:restartNumberingAfterBreak="0">
    <w:nsid w:val="79FB5DA7"/>
    <w:multiLevelType w:val="hybridMultilevel"/>
    <w:tmpl w:val="25B4C490"/>
    <w:lvl w:ilvl="0" w:tplc="3BB04716">
      <w:start w:val="1"/>
      <w:numFmt w:val="lowerLetter"/>
      <w:lvlText w:val="(%1)"/>
      <w:lvlJc w:val="left"/>
      <w:pPr>
        <w:ind w:left="2307" w:hanging="360"/>
      </w:pPr>
      <w:rPr>
        <w:rFonts w:ascii="Times New Roman" w:eastAsia="Times New Roman" w:hAnsi="Times New Roman" w:cs="Times New Roman" w:hint="default"/>
        <w:color w:val="auto"/>
      </w:rPr>
    </w:lvl>
    <w:lvl w:ilvl="1" w:tplc="0C090003" w:tentative="1">
      <w:start w:val="1"/>
      <w:numFmt w:val="bullet"/>
      <w:lvlText w:val="o"/>
      <w:lvlJc w:val="left"/>
      <w:pPr>
        <w:ind w:left="3027" w:hanging="360"/>
      </w:pPr>
      <w:rPr>
        <w:rFonts w:ascii="Courier New" w:hAnsi="Courier New" w:hint="default"/>
      </w:rPr>
    </w:lvl>
    <w:lvl w:ilvl="2" w:tplc="0C090005" w:tentative="1">
      <w:start w:val="1"/>
      <w:numFmt w:val="bullet"/>
      <w:lvlText w:val=""/>
      <w:lvlJc w:val="left"/>
      <w:pPr>
        <w:ind w:left="3747" w:hanging="360"/>
      </w:pPr>
      <w:rPr>
        <w:rFonts w:ascii="Wingdings" w:hAnsi="Wingdings" w:hint="default"/>
      </w:rPr>
    </w:lvl>
    <w:lvl w:ilvl="3" w:tplc="0C090001" w:tentative="1">
      <w:start w:val="1"/>
      <w:numFmt w:val="bullet"/>
      <w:lvlText w:val=""/>
      <w:lvlJc w:val="left"/>
      <w:pPr>
        <w:ind w:left="4467" w:hanging="360"/>
      </w:pPr>
      <w:rPr>
        <w:rFonts w:ascii="Symbol" w:hAnsi="Symbol" w:hint="default"/>
      </w:rPr>
    </w:lvl>
    <w:lvl w:ilvl="4" w:tplc="0C090003" w:tentative="1">
      <w:start w:val="1"/>
      <w:numFmt w:val="bullet"/>
      <w:lvlText w:val="o"/>
      <w:lvlJc w:val="left"/>
      <w:pPr>
        <w:ind w:left="5187" w:hanging="360"/>
      </w:pPr>
      <w:rPr>
        <w:rFonts w:ascii="Courier New" w:hAnsi="Courier New" w:hint="default"/>
      </w:rPr>
    </w:lvl>
    <w:lvl w:ilvl="5" w:tplc="0C090005" w:tentative="1">
      <w:start w:val="1"/>
      <w:numFmt w:val="bullet"/>
      <w:lvlText w:val=""/>
      <w:lvlJc w:val="left"/>
      <w:pPr>
        <w:ind w:left="5907" w:hanging="360"/>
      </w:pPr>
      <w:rPr>
        <w:rFonts w:ascii="Wingdings" w:hAnsi="Wingdings" w:hint="default"/>
      </w:rPr>
    </w:lvl>
    <w:lvl w:ilvl="6" w:tplc="0C090001" w:tentative="1">
      <w:start w:val="1"/>
      <w:numFmt w:val="bullet"/>
      <w:lvlText w:val=""/>
      <w:lvlJc w:val="left"/>
      <w:pPr>
        <w:ind w:left="6627" w:hanging="360"/>
      </w:pPr>
      <w:rPr>
        <w:rFonts w:ascii="Symbol" w:hAnsi="Symbol" w:hint="default"/>
      </w:rPr>
    </w:lvl>
    <w:lvl w:ilvl="7" w:tplc="0C090003" w:tentative="1">
      <w:start w:val="1"/>
      <w:numFmt w:val="bullet"/>
      <w:lvlText w:val="o"/>
      <w:lvlJc w:val="left"/>
      <w:pPr>
        <w:ind w:left="7347" w:hanging="360"/>
      </w:pPr>
      <w:rPr>
        <w:rFonts w:ascii="Courier New" w:hAnsi="Courier New" w:hint="default"/>
      </w:rPr>
    </w:lvl>
    <w:lvl w:ilvl="8" w:tplc="0C090005" w:tentative="1">
      <w:start w:val="1"/>
      <w:numFmt w:val="bullet"/>
      <w:lvlText w:val=""/>
      <w:lvlJc w:val="left"/>
      <w:pPr>
        <w:ind w:left="8067" w:hanging="360"/>
      </w:pPr>
      <w:rPr>
        <w:rFonts w:ascii="Wingdings" w:hAnsi="Wingdings" w:hint="default"/>
      </w:rPr>
    </w:lvl>
  </w:abstractNum>
  <w:abstractNum w:abstractNumId="73" w15:restartNumberingAfterBreak="0">
    <w:nsid w:val="7B287D74"/>
    <w:multiLevelType w:val="hybridMultilevel"/>
    <w:tmpl w:val="3CB074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7B3872CF"/>
    <w:multiLevelType w:val="hybridMultilevel"/>
    <w:tmpl w:val="79204E5A"/>
    <w:lvl w:ilvl="0" w:tplc="04AC94A4">
      <w:start w:val="1"/>
      <w:numFmt w:val="lowerLetter"/>
      <w:lvlText w:val="(%1)"/>
      <w:lvlJc w:val="left"/>
      <w:pPr>
        <w:ind w:left="1502" w:hanging="360"/>
      </w:pPr>
      <w:rPr>
        <w:rFonts w:ascii="Times New Roman" w:eastAsia="Times New Roman" w:hAnsi="Times New Roman" w:cs="Times New Roman" w:hint="default"/>
        <w:color w:val="auto"/>
      </w:rPr>
    </w:lvl>
    <w:lvl w:ilvl="1" w:tplc="0C090019" w:tentative="1">
      <w:start w:val="1"/>
      <w:numFmt w:val="lowerLetter"/>
      <w:lvlText w:val="%2."/>
      <w:lvlJc w:val="left"/>
      <w:pPr>
        <w:ind w:left="2222" w:hanging="360"/>
      </w:pPr>
      <w:rPr>
        <w:rFonts w:cs="Times New Roman"/>
      </w:rPr>
    </w:lvl>
    <w:lvl w:ilvl="2" w:tplc="0C09001B" w:tentative="1">
      <w:start w:val="1"/>
      <w:numFmt w:val="lowerRoman"/>
      <w:lvlText w:val="%3."/>
      <w:lvlJc w:val="right"/>
      <w:pPr>
        <w:ind w:left="2942" w:hanging="180"/>
      </w:pPr>
      <w:rPr>
        <w:rFonts w:cs="Times New Roman"/>
      </w:rPr>
    </w:lvl>
    <w:lvl w:ilvl="3" w:tplc="0C09000F" w:tentative="1">
      <w:start w:val="1"/>
      <w:numFmt w:val="decimal"/>
      <w:lvlText w:val="%4."/>
      <w:lvlJc w:val="left"/>
      <w:pPr>
        <w:ind w:left="3662" w:hanging="360"/>
      </w:pPr>
      <w:rPr>
        <w:rFonts w:cs="Times New Roman"/>
      </w:rPr>
    </w:lvl>
    <w:lvl w:ilvl="4" w:tplc="0C090019" w:tentative="1">
      <w:start w:val="1"/>
      <w:numFmt w:val="lowerLetter"/>
      <w:lvlText w:val="%5."/>
      <w:lvlJc w:val="left"/>
      <w:pPr>
        <w:ind w:left="4382" w:hanging="360"/>
      </w:pPr>
      <w:rPr>
        <w:rFonts w:cs="Times New Roman"/>
      </w:rPr>
    </w:lvl>
    <w:lvl w:ilvl="5" w:tplc="0C09001B" w:tentative="1">
      <w:start w:val="1"/>
      <w:numFmt w:val="lowerRoman"/>
      <w:lvlText w:val="%6."/>
      <w:lvlJc w:val="right"/>
      <w:pPr>
        <w:ind w:left="5102" w:hanging="180"/>
      </w:pPr>
      <w:rPr>
        <w:rFonts w:cs="Times New Roman"/>
      </w:rPr>
    </w:lvl>
    <w:lvl w:ilvl="6" w:tplc="0C09000F" w:tentative="1">
      <w:start w:val="1"/>
      <w:numFmt w:val="decimal"/>
      <w:lvlText w:val="%7."/>
      <w:lvlJc w:val="left"/>
      <w:pPr>
        <w:ind w:left="5822" w:hanging="360"/>
      </w:pPr>
      <w:rPr>
        <w:rFonts w:cs="Times New Roman"/>
      </w:rPr>
    </w:lvl>
    <w:lvl w:ilvl="7" w:tplc="0C090019" w:tentative="1">
      <w:start w:val="1"/>
      <w:numFmt w:val="lowerLetter"/>
      <w:lvlText w:val="%8."/>
      <w:lvlJc w:val="left"/>
      <w:pPr>
        <w:ind w:left="6542" w:hanging="360"/>
      </w:pPr>
      <w:rPr>
        <w:rFonts w:cs="Times New Roman"/>
      </w:rPr>
    </w:lvl>
    <w:lvl w:ilvl="8" w:tplc="0C09001B" w:tentative="1">
      <w:start w:val="1"/>
      <w:numFmt w:val="lowerRoman"/>
      <w:lvlText w:val="%9."/>
      <w:lvlJc w:val="right"/>
      <w:pPr>
        <w:ind w:left="7262" w:hanging="180"/>
      </w:pPr>
      <w:rPr>
        <w:rFonts w:cs="Times New Roman"/>
      </w:rPr>
    </w:lvl>
  </w:abstractNum>
  <w:abstractNum w:abstractNumId="75" w15:restartNumberingAfterBreak="0">
    <w:nsid w:val="7B4B504E"/>
    <w:multiLevelType w:val="hybridMultilevel"/>
    <w:tmpl w:val="EAE4C006"/>
    <w:lvl w:ilvl="0" w:tplc="3BB04716">
      <w:start w:val="1"/>
      <w:numFmt w:val="lowerLetter"/>
      <w:lvlText w:val="(%1)"/>
      <w:lvlJc w:val="left"/>
      <w:pPr>
        <w:ind w:left="360" w:hanging="360"/>
      </w:pPr>
      <w:rPr>
        <w:rFonts w:ascii="Times New Roman" w:eastAsia="Times New Roman" w:hAnsi="Times New Roman" w:cs="Times New Roman" w:hint="default"/>
        <w:color w:val="auto"/>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15:restartNumberingAfterBreak="0">
    <w:nsid w:val="7D11517E"/>
    <w:multiLevelType w:val="hybridMultilevel"/>
    <w:tmpl w:val="934EB132"/>
    <w:lvl w:ilvl="0" w:tplc="3F9221BC">
      <w:start w:val="1"/>
      <w:numFmt w:val="lowerLetter"/>
      <w:lvlText w:val="(%1)"/>
      <w:lvlJc w:val="left"/>
      <w:pPr>
        <w:ind w:left="1080" w:hanging="360"/>
      </w:pPr>
      <w:rPr>
        <w:rFonts w:ascii="Times New Roman" w:eastAsia="Times New Roman" w:hAnsi="Times New Roman" w:cs="Times New Roman" w:hint="default"/>
        <w:color w:val="auto"/>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7" w15:restartNumberingAfterBreak="0">
    <w:nsid w:val="7DE50DFE"/>
    <w:multiLevelType w:val="hybridMultilevel"/>
    <w:tmpl w:val="D9B4587A"/>
    <w:lvl w:ilvl="0" w:tplc="3BB04716">
      <w:start w:val="1"/>
      <w:numFmt w:val="lowerLetter"/>
      <w:lvlText w:val="(%1)"/>
      <w:lvlJc w:val="left"/>
      <w:pPr>
        <w:ind w:left="360" w:hanging="360"/>
      </w:pPr>
      <w:rPr>
        <w:rFonts w:ascii="Times New Roman" w:eastAsia="Times New Roman" w:hAnsi="Times New Roman" w:cs="Times New Roman" w:hint="default"/>
        <w:color w:val="auto"/>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56"/>
  </w:num>
  <w:num w:numId="2">
    <w:abstractNumId w:val="67"/>
  </w:num>
  <w:num w:numId="3">
    <w:abstractNumId w:val="13"/>
  </w:num>
  <w:num w:numId="4">
    <w:abstractNumId w:val="65"/>
  </w:num>
  <w:num w:numId="5">
    <w:abstractNumId w:val="21"/>
  </w:num>
  <w:num w:numId="6">
    <w:abstractNumId w:val="3"/>
  </w:num>
  <w:num w:numId="7">
    <w:abstractNumId w:val="1"/>
  </w:num>
  <w:num w:numId="8">
    <w:abstractNumId w:val="35"/>
  </w:num>
  <w:num w:numId="9">
    <w:abstractNumId w:val="55"/>
  </w:num>
  <w:num w:numId="10">
    <w:abstractNumId w:val="49"/>
  </w:num>
  <w:num w:numId="11">
    <w:abstractNumId w:val="26"/>
  </w:num>
  <w:num w:numId="12">
    <w:abstractNumId w:val="5"/>
  </w:num>
  <w:num w:numId="13">
    <w:abstractNumId w:val="61"/>
  </w:num>
  <w:num w:numId="14">
    <w:abstractNumId w:val="69"/>
  </w:num>
  <w:num w:numId="15">
    <w:abstractNumId w:val="20"/>
  </w:num>
  <w:num w:numId="16">
    <w:abstractNumId w:val="70"/>
  </w:num>
  <w:num w:numId="17">
    <w:abstractNumId w:val="40"/>
  </w:num>
  <w:num w:numId="18">
    <w:abstractNumId w:val="4"/>
  </w:num>
  <w:num w:numId="19">
    <w:abstractNumId w:val="71"/>
  </w:num>
  <w:num w:numId="20">
    <w:abstractNumId w:val="37"/>
  </w:num>
  <w:num w:numId="21">
    <w:abstractNumId w:val="39"/>
  </w:num>
  <w:num w:numId="22">
    <w:abstractNumId w:val="44"/>
  </w:num>
  <w:num w:numId="23">
    <w:abstractNumId w:val="9"/>
  </w:num>
  <w:num w:numId="24">
    <w:abstractNumId w:val="63"/>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28"/>
  </w:num>
  <w:num w:numId="28">
    <w:abstractNumId w:val="42"/>
    <w:lvlOverride w:ilvl="0">
      <w:startOverride w:val="1"/>
    </w:lvlOverride>
  </w:num>
  <w:num w:numId="29">
    <w:abstractNumId w:val="42"/>
    <w:lvlOverride w:ilvl="0">
      <w:startOverride w:val="1"/>
    </w:lvlOverride>
  </w:num>
  <w:num w:numId="30">
    <w:abstractNumId w:val="42"/>
    <w:lvlOverride w:ilvl="0">
      <w:startOverride w:val="1"/>
    </w:lvlOverride>
  </w:num>
  <w:num w:numId="31">
    <w:abstractNumId w:val="42"/>
    <w:lvlOverride w:ilvl="0">
      <w:startOverride w:val="1"/>
    </w:lvlOverride>
  </w:num>
  <w:num w:numId="32">
    <w:abstractNumId w:val="42"/>
    <w:lvlOverride w:ilvl="0">
      <w:startOverride w:val="1"/>
    </w:lvlOverride>
  </w:num>
  <w:num w:numId="33">
    <w:abstractNumId w:val="42"/>
    <w:lvlOverride w:ilvl="0">
      <w:startOverride w:val="1"/>
    </w:lvlOverride>
  </w:num>
  <w:num w:numId="34">
    <w:abstractNumId w:val="42"/>
    <w:lvlOverride w:ilvl="0">
      <w:startOverride w:val="1"/>
    </w:lvlOverride>
  </w:num>
  <w:num w:numId="35">
    <w:abstractNumId w:val="42"/>
    <w:lvlOverride w:ilvl="0">
      <w:startOverride w:val="1"/>
    </w:lvlOverride>
  </w:num>
  <w:num w:numId="36">
    <w:abstractNumId w:val="42"/>
    <w:lvlOverride w:ilvl="0">
      <w:startOverride w:val="1"/>
    </w:lvlOverride>
  </w:num>
  <w:num w:numId="37">
    <w:abstractNumId w:val="42"/>
    <w:lvlOverride w:ilvl="0">
      <w:startOverride w:val="1"/>
    </w:lvlOverride>
  </w:num>
  <w:num w:numId="38">
    <w:abstractNumId w:val="42"/>
    <w:lvlOverride w:ilvl="0">
      <w:startOverride w:val="1"/>
    </w:lvlOverride>
  </w:num>
  <w:num w:numId="39">
    <w:abstractNumId w:val="42"/>
    <w:lvlOverride w:ilvl="0">
      <w:startOverride w:val="1"/>
    </w:lvlOverride>
  </w:num>
  <w:num w:numId="40">
    <w:abstractNumId w:val="42"/>
    <w:lvlOverride w:ilvl="0">
      <w:startOverride w:val="1"/>
    </w:lvlOverride>
  </w:num>
  <w:num w:numId="41">
    <w:abstractNumId w:val="64"/>
  </w:num>
  <w:num w:numId="42">
    <w:abstractNumId w:val="36"/>
  </w:num>
  <w:num w:numId="43">
    <w:abstractNumId w:val="59"/>
  </w:num>
  <w:num w:numId="44">
    <w:abstractNumId w:val="8"/>
  </w:num>
  <w:num w:numId="45">
    <w:abstractNumId w:val="72"/>
  </w:num>
  <w:num w:numId="46">
    <w:abstractNumId w:val="48"/>
  </w:num>
  <w:num w:numId="47">
    <w:abstractNumId w:val="24"/>
  </w:num>
  <w:num w:numId="48">
    <w:abstractNumId w:val="41"/>
  </w:num>
  <w:num w:numId="49">
    <w:abstractNumId w:val="12"/>
  </w:num>
  <w:num w:numId="50">
    <w:abstractNumId w:val="75"/>
  </w:num>
  <w:num w:numId="51">
    <w:abstractNumId w:val="33"/>
  </w:num>
  <w:num w:numId="52">
    <w:abstractNumId w:val="7"/>
  </w:num>
  <w:num w:numId="53">
    <w:abstractNumId w:val="46"/>
  </w:num>
  <w:num w:numId="54">
    <w:abstractNumId w:val="77"/>
  </w:num>
  <w:num w:numId="55">
    <w:abstractNumId w:val="68"/>
  </w:num>
  <w:num w:numId="56">
    <w:abstractNumId w:val="42"/>
    <w:lvlOverride w:ilvl="0">
      <w:startOverride w:val="1"/>
    </w:lvlOverride>
  </w:num>
  <w:num w:numId="57">
    <w:abstractNumId w:val="42"/>
    <w:lvlOverride w:ilvl="0">
      <w:startOverride w:val="1"/>
    </w:lvlOverride>
  </w:num>
  <w:num w:numId="58">
    <w:abstractNumId w:val="42"/>
    <w:lvlOverride w:ilvl="0">
      <w:startOverride w:val="1"/>
    </w:lvlOverride>
  </w:num>
  <w:num w:numId="59">
    <w:abstractNumId w:val="16"/>
  </w:num>
  <w:num w:numId="60">
    <w:abstractNumId w:val="34"/>
  </w:num>
  <w:num w:numId="61">
    <w:abstractNumId w:val="38"/>
  </w:num>
  <w:num w:numId="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7"/>
  </w:num>
  <w:num w:numId="64">
    <w:abstractNumId w:val="51"/>
  </w:num>
  <w:num w:numId="65">
    <w:abstractNumId w:val="60"/>
  </w:num>
  <w:num w:numId="66">
    <w:abstractNumId w:val="53"/>
  </w:num>
  <w:num w:numId="67">
    <w:abstractNumId w:val="62"/>
  </w:num>
  <w:num w:numId="68">
    <w:abstractNumId w:val="22"/>
  </w:num>
  <w:num w:numId="69">
    <w:abstractNumId w:val="6"/>
  </w:num>
  <w:num w:numId="70">
    <w:abstractNumId w:val="32"/>
  </w:num>
  <w:num w:numId="71">
    <w:abstractNumId w:val="58"/>
  </w:num>
  <w:num w:numId="72">
    <w:abstractNumId w:val="74"/>
  </w:num>
  <w:num w:numId="73">
    <w:abstractNumId w:val="54"/>
  </w:num>
  <w:num w:numId="74">
    <w:abstractNumId w:val="18"/>
  </w:num>
  <w:num w:numId="75">
    <w:abstractNumId w:val="0"/>
  </w:num>
  <w:num w:numId="76">
    <w:abstractNumId w:val="45"/>
  </w:num>
  <w:num w:numId="77">
    <w:abstractNumId w:val="14"/>
  </w:num>
  <w:num w:numId="78">
    <w:abstractNumId w:val="57"/>
  </w:num>
  <w:num w:numId="79">
    <w:abstractNumId w:val="47"/>
  </w:num>
  <w:num w:numId="80">
    <w:abstractNumId w:val="66"/>
  </w:num>
  <w:num w:numId="81">
    <w:abstractNumId w:val="17"/>
  </w:num>
  <w:num w:numId="82">
    <w:abstractNumId w:val="76"/>
  </w:num>
  <w:num w:numId="83">
    <w:abstractNumId w:val="11"/>
  </w:num>
  <w:num w:numId="84">
    <w:abstractNumId w:val="73"/>
  </w:num>
  <w:num w:numId="85">
    <w:abstractNumId w:val="43"/>
  </w:num>
  <w:num w:numId="86">
    <w:abstractNumId w:val="2"/>
  </w:num>
  <w:num w:numId="87">
    <w:abstractNumId w:val="30"/>
  </w:num>
  <w:num w:numId="88">
    <w:abstractNumId w:val="52"/>
  </w:num>
  <w:num w:numId="89">
    <w:abstractNumId w:val="23"/>
  </w:num>
  <w:num w:numId="90">
    <w:abstractNumId w:val="19"/>
  </w:num>
  <w:num w:numId="91">
    <w:abstractNumId w:val="29"/>
  </w:num>
  <w:num w:numId="92">
    <w:abstractNumId w:val="56"/>
    <w:lvlOverride w:ilvl="0">
      <w:startOverride w:val="1"/>
      <w:lvl w:ilvl="0">
        <w:start w:val="1"/>
        <w:numFmt w:val="decimal"/>
        <w:pStyle w:val="NumPlain1"/>
        <w:lvlText w:val="%1"/>
        <w:lvlJc w:val="left"/>
        <w:pPr>
          <w:tabs>
            <w:tab w:val="num" w:pos="510"/>
          </w:tabs>
          <w:ind w:left="510" w:hanging="510"/>
        </w:pPr>
      </w:lvl>
    </w:lvlOverride>
    <w:lvlOverride w:ilvl="1">
      <w:startOverride w:val="1"/>
      <w:lvl w:ilvl="1">
        <w:start w:val="1"/>
        <w:numFmt w:val="lowerLetter"/>
        <w:pStyle w:val="NumPlain2"/>
        <w:lvlText w:val="(%2)"/>
        <w:lvlJc w:val="left"/>
        <w:pPr>
          <w:tabs>
            <w:tab w:val="num" w:pos="1021"/>
          </w:tabs>
          <w:ind w:left="1021" w:hanging="511"/>
        </w:pPr>
        <w:rPr>
          <w:rFonts w:asciiTheme="minorHAnsi" w:hAnsiTheme="minorHAnsi" w:cstheme="minorHAnsi" w:hint="default"/>
        </w:rPr>
      </w:lvl>
    </w:lvlOverride>
    <w:lvlOverride w:ilvl="2">
      <w:startOverride w:val="2"/>
      <w:lvl w:ilvl="2">
        <w:start w:val="2"/>
        <w:numFmt w:val="lowerRoman"/>
        <w:pStyle w:val="NumPlain3"/>
        <w:lvlText w:val="(%3)"/>
        <w:lvlJc w:val="left"/>
        <w:pPr>
          <w:ind w:left="1741" w:hanging="720"/>
        </w:pPr>
        <w:rPr>
          <w:rFonts w:hint="default"/>
        </w:rPr>
      </w:lvl>
    </w:lvlOverride>
    <w:lvlOverride w:ilvl="3">
      <w:startOverride w:val="1"/>
      <w:lvl w:ilvl="3">
        <w:start w:val="1"/>
        <w:numFmt w:val="decimal"/>
        <w:lvlText w:val="%4)"/>
        <w:lvlJc w:val="left"/>
        <w:pPr>
          <w:ind w:left="1891" w:hanging="360"/>
        </w:pPr>
        <w:rPr>
          <w:rFonts w:hint="default"/>
        </w:rPr>
      </w:lvl>
    </w:lvlOverride>
    <w:lvlOverride w:ilvl="4">
      <w:startOverride w:val="1"/>
      <w:lvl w:ilvl="4">
        <w:start w:val="1"/>
        <w:numFmt w:val="lowerLetter"/>
        <w:lvlText w:val="(%5)"/>
        <w:lvlJc w:val="left"/>
        <w:pPr>
          <w:tabs>
            <w:tab w:val="num" w:pos="2651"/>
          </w:tabs>
          <w:ind w:left="2651" w:hanging="360"/>
        </w:pPr>
        <w:rPr>
          <w:rFonts w:hint="default"/>
        </w:rPr>
      </w:lvl>
    </w:lvlOverride>
    <w:lvlOverride w:ilvl="5">
      <w:startOverride w:val="1"/>
      <w:lvl w:ilvl="5">
        <w:start w:val="1"/>
        <w:numFmt w:val="lowerRoman"/>
        <w:lvlText w:val="(%6)"/>
        <w:lvlJc w:val="left"/>
        <w:pPr>
          <w:tabs>
            <w:tab w:val="num" w:pos="3011"/>
          </w:tabs>
          <w:ind w:left="3011" w:hanging="360"/>
        </w:pPr>
        <w:rPr>
          <w:rFonts w:hint="default"/>
        </w:rPr>
      </w:lvl>
    </w:lvlOverride>
    <w:lvlOverride w:ilvl="6">
      <w:startOverride w:val="1"/>
      <w:lvl w:ilvl="6">
        <w:start w:val="1"/>
        <w:numFmt w:val="decimal"/>
        <w:lvlText w:val="%7."/>
        <w:lvlJc w:val="left"/>
        <w:pPr>
          <w:tabs>
            <w:tab w:val="num" w:pos="3371"/>
          </w:tabs>
          <w:ind w:left="3371" w:hanging="360"/>
        </w:pPr>
        <w:rPr>
          <w:rFonts w:asciiTheme="minorHAnsi" w:hAnsiTheme="minorHAnsi" w:cstheme="minorHAnsi" w:hint="default"/>
          <w:b w:val="0"/>
          <w:bCs/>
          <w:i w:val="0"/>
          <w:iCs/>
          <w:sz w:val="22"/>
          <w:szCs w:val="22"/>
        </w:rPr>
      </w:lvl>
    </w:lvlOverride>
    <w:lvlOverride w:ilvl="7">
      <w:startOverride w:val="1"/>
      <w:lvl w:ilvl="7">
        <w:start w:val="1"/>
        <w:numFmt w:val="lowerLetter"/>
        <w:lvlText w:val="%8."/>
        <w:lvlJc w:val="left"/>
        <w:pPr>
          <w:tabs>
            <w:tab w:val="num" w:pos="3731"/>
          </w:tabs>
          <w:ind w:left="3731" w:hanging="360"/>
        </w:pPr>
        <w:rPr>
          <w:rFonts w:hint="default"/>
        </w:rPr>
      </w:lvl>
    </w:lvlOverride>
    <w:lvlOverride w:ilvl="8">
      <w:startOverride w:val="1"/>
      <w:lvl w:ilvl="8">
        <w:start w:val="1"/>
        <w:numFmt w:val="lowerRoman"/>
        <w:lvlText w:val="%9."/>
        <w:lvlJc w:val="left"/>
        <w:pPr>
          <w:tabs>
            <w:tab w:val="num" w:pos="4091"/>
          </w:tabs>
          <w:ind w:left="4091" w:hanging="360"/>
        </w:pPr>
        <w:rPr>
          <w:rFonts w:hint="default"/>
        </w:rPr>
      </w:lvl>
    </w:lvlOverride>
  </w:num>
  <w:num w:numId="93">
    <w:abstractNumId w:val="31"/>
  </w:num>
  <w:num w:numId="94">
    <w:abstractNumId w:val="50"/>
  </w:num>
  <w:num w:numId="95">
    <w:abstractNumId w:val="71"/>
  </w:num>
  <w:num w:numId="96">
    <w:abstractNumId w:val="69"/>
  </w:num>
  <w:num w:numId="97">
    <w:abstractNumId w:val="56"/>
  </w:num>
  <w:num w:numId="98">
    <w:abstractNumId w:val="56"/>
  </w:num>
  <w:num w:numId="99">
    <w:abstractNumId w:val="5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NotTrackFormatting/>
  <w:documentProtection w:edit="trackedChanges" w:enforcement="0"/>
  <w:defaultTabStop w:val="782"/>
  <w:doNotHyphenateCaps/>
  <w:drawingGridHorizontalSpacing w:val="24"/>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EB5"/>
    <w:rsid w:val="000001D7"/>
    <w:rsid w:val="000004F9"/>
    <w:rsid w:val="00000651"/>
    <w:rsid w:val="000008AD"/>
    <w:rsid w:val="000008D8"/>
    <w:rsid w:val="00000CBE"/>
    <w:rsid w:val="00000E9B"/>
    <w:rsid w:val="0000111D"/>
    <w:rsid w:val="00001AC3"/>
    <w:rsid w:val="00001B09"/>
    <w:rsid w:val="00001C99"/>
    <w:rsid w:val="00001FF0"/>
    <w:rsid w:val="00002172"/>
    <w:rsid w:val="00002325"/>
    <w:rsid w:val="00002551"/>
    <w:rsid w:val="000025AB"/>
    <w:rsid w:val="0000272A"/>
    <w:rsid w:val="0000292B"/>
    <w:rsid w:val="00002B81"/>
    <w:rsid w:val="00003033"/>
    <w:rsid w:val="0000311E"/>
    <w:rsid w:val="00003DBE"/>
    <w:rsid w:val="000041D1"/>
    <w:rsid w:val="000043FA"/>
    <w:rsid w:val="0000463B"/>
    <w:rsid w:val="00004C57"/>
    <w:rsid w:val="00004F7D"/>
    <w:rsid w:val="00005118"/>
    <w:rsid w:val="00005806"/>
    <w:rsid w:val="000062FF"/>
    <w:rsid w:val="0000650B"/>
    <w:rsid w:val="00006561"/>
    <w:rsid w:val="00006AD4"/>
    <w:rsid w:val="00006E9E"/>
    <w:rsid w:val="0000733C"/>
    <w:rsid w:val="000076E6"/>
    <w:rsid w:val="00007CE5"/>
    <w:rsid w:val="000102AE"/>
    <w:rsid w:val="00010915"/>
    <w:rsid w:val="00010987"/>
    <w:rsid w:val="00010D91"/>
    <w:rsid w:val="00010E56"/>
    <w:rsid w:val="00011447"/>
    <w:rsid w:val="00011912"/>
    <w:rsid w:val="00011EC4"/>
    <w:rsid w:val="00011ED6"/>
    <w:rsid w:val="000123F3"/>
    <w:rsid w:val="00012BBC"/>
    <w:rsid w:val="00012CC9"/>
    <w:rsid w:val="00013089"/>
    <w:rsid w:val="000132B6"/>
    <w:rsid w:val="00013404"/>
    <w:rsid w:val="00013B6B"/>
    <w:rsid w:val="00013CAD"/>
    <w:rsid w:val="0001458B"/>
    <w:rsid w:val="000149E9"/>
    <w:rsid w:val="00014D45"/>
    <w:rsid w:val="00014E2F"/>
    <w:rsid w:val="00015147"/>
    <w:rsid w:val="00015469"/>
    <w:rsid w:val="00015B7E"/>
    <w:rsid w:val="00016053"/>
    <w:rsid w:val="000160C9"/>
    <w:rsid w:val="00016674"/>
    <w:rsid w:val="00016D53"/>
    <w:rsid w:val="0001727A"/>
    <w:rsid w:val="00017C35"/>
    <w:rsid w:val="00020267"/>
    <w:rsid w:val="000208ED"/>
    <w:rsid w:val="00020DDE"/>
    <w:rsid w:val="0002107F"/>
    <w:rsid w:val="000210D3"/>
    <w:rsid w:val="00021DC5"/>
    <w:rsid w:val="0002225A"/>
    <w:rsid w:val="000224BF"/>
    <w:rsid w:val="000224FD"/>
    <w:rsid w:val="00022BCC"/>
    <w:rsid w:val="000230B4"/>
    <w:rsid w:val="000236B4"/>
    <w:rsid w:val="00023B7B"/>
    <w:rsid w:val="000240F9"/>
    <w:rsid w:val="000252CA"/>
    <w:rsid w:val="00025E27"/>
    <w:rsid w:val="00026167"/>
    <w:rsid w:val="00026720"/>
    <w:rsid w:val="00026B32"/>
    <w:rsid w:val="000271B1"/>
    <w:rsid w:val="000271C3"/>
    <w:rsid w:val="000275FA"/>
    <w:rsid w:val="00027780"/>
    <w:rsid w:val="0002780C"/>
    <w:rsid w:val="000279BC"/>
    <w:rsid w:val="00027D9A"/>
    <w:rsid w:val="00027E8B"/>
    <w:rsid w:val="000300BA"/>
    <w:rsid w:val="00030165"/>
    <w:rsid w:val="000305D0"/>
    <w:rsid w:val="000308A0"/>
    <w:rsid w:val="00030C9D"/>
    <w:rsid w:val="0003102F"/>
    <w:rsid w:val="00031213"/>
    <w:rsid w:val="000315AE"/>
    <w:rsid w:val="0003184A"/>
    <w:rsid w:val="00031957"/>
    <w:rsid w:val="00031D88"/>
    <w:rsid w:val="00031ECD"/>
    <w:rsid w:val="0003200E"/>
    <w:rsid w:val="0003209A"/>
    <w:rsid w:val="00032261"/>
    <w:rsid w:val="00032750"/>
    <w:rsid w:val="000329EB"/>
    <w:rsid w:val="00032B5F"/>
    <w:rsid w:val="00032B89"/>
    <w:rsid w:val="00032C5B"/>
    <w:rsid w:val="00032D21"/>
    <w:rsid w:val="000335D8"/>
    <w:rsid w:val="0003382B"/>
    <w:rsid w:val="00034082"/>
    <w:rsid w:val="00034380"/>
    <w:rsid w:val="0003469B"/>
    <w:rsid w:val="00034995"/>
    <w:rsid w:val="00034F39"/>
    <w:rsid w:val="00035279"/>
    <w:rsid w:val="00035498"/>
    <w:rsid w:val="00035525"/>
    <w:rsid w:val="00036898"/>
    <w:rsid w:val="0003692E"/>
    <w:rsid w:val="00036B3D"/>
    <w:rsid w:val="00036F1B"/>
    <w:rsid w:val="0003768A"/>
    <w:rsid w:val="00037721"/>
    <w:rsid w:val="00037A1B"/>
    <w:rsid w:val="0004000C"/>
    <w:rsid w:val="00040E66"/>
    <w:rsid w:val="00041828"/>
    <w:rsid w:val="00041B60"/>
    <w:rsid w:val="00041D53"/>
    <w:rsid w:val="00041F24"/>
    <w:rsid w:val="0004270F"/>
    <w:rsid w:val="00042A22"/>
    <w:rsid w:val="00042B63"/>
    <w:rsid w:val="0004327A"/>
    <w:rsid w:val="000432F0"/>
    <w:rsid w:val="00043B9A"/>
    <w:rsid w:val="0004455B"/>
    <w:rsid w:val="000447FF"/>
    <w:rsid w:val="000450BD"/>
    <w:rsid w:val="000454D7"/>
    <w:rsid w:val="00045799"/>
    <w:rsid w:val="00045BB4"/>
    <w:rsid w:val="00045C46"/>
    <w:rsid w:val="0004641C"/>
    <w:rsid w:val="000464D7"/>
    <w:rsid w:val="00046593"/>
    <w:rsid w:val="000469C0"/>
    <w:rsid w:val="00046C5F"/>
    <w:rsid w:val="00046ED0"/>
    <w:rsid w:val="00047865"/>
    <w:rsid w:val="00047E94"/>
    <w:rsid w:val="000506D6"/>
    <w:rsid w:val="0005109E"/>
    <w:rsid w:val="000517C7"/>
    <w:rsid w:val="000519FA"/>
    <w:rsid w:val="00051A7A"/>
    <w:rsid w:val="00051DE2"/>
    <w:rsid w:val="000527CD"/>
    <w:rsid w:val="000528F0"/>
    <w:rsid w:val="00052A11"/>
    <w:rsid w:val="00052AF4"/>
    <w:rsid w:val="00052CD6"/>
    <w:rsid w:val="00053F89"/>
    <w:rsid w:val="0005467D"/>
    <w:rsid w:val="0005481D"/>
    <w:rsid w:val="00054C96"/>
    <w:rsid w:val="00054D84"/>
    <w:rsid w:val="00054F3A"/>
    <w:rsid w:val="0005512F"/>
    <w:rsid w:val="00055607"/>
    <w:rsid w:val="00055918"/>
    <w:rsid w:val="00055998"/>
    <w:rsid w:val="00055C22"/>
    <w:rsid w:val="00055D84"/>
    <w:rsid w:val="00056464"/>
    <w:rsid w:val="000566C5"/>
    <w:rsid w:val="000569E5"/>
    <w:rsid w:val="00056B50"/>
    <w:rsid w:val="00056C7B"/>
    <w:rsid w:val="00056F22"/>
    <w:rsid w:val="00057449"/>
    <w:rsid w:val="0005745A"/>
    <w:rsid w:val="00057694"/>
    <w:rsid w:val="00057771"/>
    <w:rsid w:val="000577B3"/>
    <w:rsid w:val="00057824"/>
    <w:rsid w:val="00057B8E"/>
    <w:rsid w:val="00057FEC"/>
    <w:rsid w:val="00060B45"/>
    <w:rsid w:val="00060F79"/>
    <w:rsid w:val="000616B4"/>
    <w:rsid w:val="0006190C"/>
    <w:rsid w:val="00061F3B"/>
    <w:rsid w:val="000625F2"/>
    <w:rsid w:val="00062696"/>
    <w:rsid w:val="00062B30"/>
    <w:rsid w:val="000630EB"/>
    <w:rsid w:val="000634D8"/>
    <w:rsid w:val="00063A63"/>
    <w:rsid w:val="00063A97"/>
    <w:rsid w:val="00063C04"/>
    <w:rsid w:val="0006410F"/>
    <w:rsid w:val="00064451"/>
    <w:rsid w:val="0006519C"/>
    <w:rsid w:val="00065B6A"/>
    <w:rsid w:val="00065C8F"/>
    <w:rsid w:val="00065EB2"/>
    <w:rsid w:val="00065F1C"/>
    <w:rsid w:val="000660A5"/>
    <w:rsid w:val="0006653E"/>
    <w:rsid w:val="00066BA3"/>
    <w:rsid w:val="00066BAB"/>
    <w:rsid w:val="00066BC5"/>
    <w:rsid w:val="00066C85"/>
    <w:rsid w:val="00066DC3"/>
    <w:rsid w:val="00066F47"/>
    <w:rsid w:val="00066F5D"/>
    <w:rsid w:val="0006713E"/>
    <w:rsid w:val="000672D4"/>
    <w:rsid w:val="00067B06"/>
    <w:rsid w:val="00067CBE"/>
    <w:rsid w:val="00067EDD"/>
    <w:rsid w:val="00067F71"/>
    <w:rsid w:val="000703B9"/>
    <w:rsid w:val="0007056F"/>
    <w:rsid w:val="000706E1"/>
    <w:rsid w:val="0007087C"/>
    <w:rsid w:val="0007087F"/>
    <w:rsid w:val="00070D60"/>
    <w:rsid w:val="00070FA0"/>
    <w:rsid w:val="00071580"/>
    <w:rsid w:val="00071A14"/>
    <w:rsid w:val="00071C61"/>
    <w:rsid w:val="000723FB"/>
    <w:rsid w:val="00072412"/>
    <w:rsid w:val="00072CDC"/>
    <w:rsid w:val="00072CDD"/>
    <w:rsid w:val="00073753"/>
    <w:rsid w:val="00074133"/>
    <w:rsid w:val="000742A8"/>
    <w:rsid w:val="00074673"/>
    <w:rsid w:val="00074D66"/>
    <w:rsid w:val="00074EBE"/>
    <w:rsid w:val="0007558F"/>
    <w:rsid w:val="00075681"/>
    <w:rsid w:val="0007623A"/>
    <w:rsid w:val="0007653E"/>
    <w:rsid w:val="00076876"/>
    <w:rsid w:val="00076966"/>
    <w:rsid w:val="000771DA"/>
    <w:rsid w:val="00077940"/>
    <w:rsid w:val="00077A87"/>
    <w:rsid w:val="00077DD0"/>
    <w:rsid w:val="00077E04"/>
    <w:rsid w:val="00077E42"/>
    <w:rsid w:val="000809CB"/>
    <w:rsid w:val="00080B2B"/>
    <w:rsid w:val="00081238"/>
    <w:rsid w:val="000812F8"/>
    <w:rsid w:val="0008181B"/>
    <w:rsid w:val="000824EA"/>
    <w:rsid w:val="00082723"/>
    <w:rsid w:val="000827B6"/>
    <w:rsid w:val="00082870"/>
    <w:rsid w:val="00082C7F"/>
    <w:rsid w:val="00083259"/>
    <w:rsid w:val="000837B4"/>
    <w:rsid w:val="00083B10"/>
    <w:rsid w:val="00083BE2"/>
    <w:rsid w:val="00084612"/>
    <w:rsid w:val="00084A0A"/>
    <w:rsid w:val="00084FBB"/>
    <w:rsid w:val="00085372"/>
    <w:rsid w:val="00085499"/>
    <w:rsid w:val="00085671"/>
    <w:rsid w:val="00085D82"/>
    <w:rsid w:val="00085FB5"/>
    <w:rsid w:val="000860DB"/>
    <w:rsid w:val="00086954"/>
    <w:rsid w:val="00086B72"/>
    <w:rsid w:val="00086C71"/>
    <w:rsid w:val="00086DDE"/>
    <w:rsid w:val="00086E71"/>
    <w:rsid w:val="000874A6"/>
    <w:rsid w:val="00087639"/>
    <w:rsid w:val="0008777C"/>
    <w:rsid w:val="00087917"/>
    <w:rsid w:val="00087D8E"/>
    <w:rsid w:val="00090275"/>
    <w:rsid w:val="00090347"/>
    <w:rsid w:val="0009048B"/>
    <w:rsid w:val="0009056C"/>
    <w:rsid w:val="000906F8"/>
    <w:rsid w:val="00090A6F"/>
    <w:rsid w:val="00090C86"/>
    <w:rsid w:val="000912E0"/>
    <w:rsid w:val="00091B88"/>
    <w:rsid w:val="00091DB3"/>
    <w:rsid w:val="00091F8B"/>
    <w:rsid w:val="000920F1"/>
    <w:rsid w:val="000929CE"/>
    <w:rsid w:val="00092C0C"/>
    <w:rsid w:val="0009308F"/>
    <w:rsid w:val="0009395A"/>
    <w:rsid w:val="00093F5F"/>
    <w:rsid w:val="000940FD"/>
    <w:rsid w:val="000942EA"/>
    <w:rsid w:val="0009458D"/>
    <w:rsid w:val="000945C0"/>
    <w:rsid w:val="00094CC7"/>
    <w:rsid w:val="0009515E"/>
    <w:rsid w:val="00095418"/>
    <w:rsid w:val="00095594"/>
    <w:rsid w:val="000956A6"/>
    <w:rsid w:val="0009597D"/>
    <w:rsid w:val="00095A76"/>
    <w:rsid w:val="00096027"/>
    <w:rsid w:val="00096246"/>
    <w:rsid w:val="00096EF2"/>
    <w:rsid w:val="00097308"/>
    <w:rsid w:val="00097356"/>
    <w:rsid w:val="00097A26"/>
    <w:rsid w:val="00097B37"/>
    <w:rsid w:val="00097ECA"/>
    <w:rsid w:val="000A0365"/>
    <w:rsid w:val="000A048A"/>
    <w:rsid w:val="000A04FC"/>
    <w:rsid w:val="000A08A1"/>
    <w:rsid w:val="000A09D2"/>
    <w:rsid w:val="000A11A3"/>
    <w:rsid w:val="000A13D0"/>
    <w:rsid w:val="000A1827"/>
    <w:rsid w:val="000A183D"/>
    <w:rsid w:val="000A1C86"/>
    <w:rsid w:val="000A21B9"/>
    <w:rsid w:val="000A2626"/>
    <w:rsid w:val="000A27B9"/>
    <w:rsid w:val="000A2980"/>
    <w:rsid w:val="000A3625"/>
    <w:rsid w:val="000A3688"/>
    <w:rsid w:val="000A3767"/>
    <w:rsid w:val="000A4AB3"/>
    <w:rsid w:val="000A4D42"/>
    <w:rsid w:val="000A4E63"/>
    <w:rsid w:val="000A502D"/>
    <w:rsid w:val="000A53D0"/>
    <w:rsid w:val="000A559D"/>
    <w:rsid w:val="000A57CA"/>
    <w:rsid w:val="000A5A0D"/>
    <w:rsid w:val="000A5D11"/>
    <w:rsid w:val="000A5E1A"/>
    <w:rsid w:val="000A64EE"/>
    <w:rsid w:val="000A6605"/>
    <w:rsid w:val="000A7424"/>
    <w:rsid w:val="000A751E"/>
    <w:rsid w:val="000A7648"/>
    <w:rsid w:val="000A774D"/>
    <w:rsid w:val="000A7E48"/>
    <w:rsid w:val="000A7EC1"/>
    <w:rsid w:val="000A7F88"/>
    <w:rsid w:val="000B00A4"/>
    <w:rsid w:val="000B0541"/>
    <w:rsid w:val="000B0B68"/>
    <w:rsid w:val="000B151C"/>
    <w:rsid w:val="000B1538"/>
    <w:rsid w:val="000B17F2"/>
    <w:rsid w:val="000B1EDD"/>
    <w:rsid w:val="000B2451"/>
    <w:rsid w:val="000B275E"/>
    <w:rsid w:val="000B289C"/>
    <w:rsid w:val="000B2AA8"/>
    <w:rsid w:val="000B3430"/>
    <w:rsid w:val="000B3564"/>
    <w:rsid w:val="000B3E1F"/>
    <w:rsid w:val="000B3F46"/>
    <w:rsid w:val="000B4153"/>
    <w:rsid w:val="000B4271"/>
    <w:rsid w:val="000B4730"/>
    <w:rsid w:val="000B4871"/>
    <w:rsid w:val="000B4A93"/>
    <w:rsid w:val="000B4CB8"/>
    <w:rsid w:val="000B5160"/>
    <w:rsid w:val="000B5219"/>
    <w:rsid w:val="000B5236"/>
    <w:rsid w:val="000B5929"/>
    <w:rsid w:val="000B59E6"/>
    <w:rsid w:val="000B610A"/>
    <w:rsid w:val="000B67F4"/>
    <w:rsid w:val="000B68FF"/>
    <w:rsid w:val="000B69DF"/>
    <w:rsid w:val="000B6AA2"/>
    <w:rsid w:val="000B6DE6"/>
    <w:rsid w:val="000B733C"/>
    <w:rsid w:val="000B779C"/>
    <w:rsid w:val="000B79D9"/>
    <w:rsid w:val="000B79F6"/>
    <w:rsid w:val="000B7B28"/>
    <w:rsid w:val="000B7BAC"/>
    <w:rsid w:val="000C04EE"/>
    <w:rsid w:val="000C0B99"/>
    <w:rsid w:val="000C0F4F"/>
    <w:rsid w:val="000C155C"/>
    <w:rsid w:val="000C2C75"/>
    <w:rsid w:val="000C2CDD"/>
    <w:rsid w:val="000C2E3C"/>
    <w:rsid w:val="000C2F0C"/>
    <w:rsid w:val="000C3447"/>
    <w:rsid w:val="000C3769"/>
    <w:rsid w:val="000C39AA"/>
    <w:rsid w:val="000C3C00"/>
    <w:rsid w:val="000C3C09"/>
    <w:rsid w:val="000C3E3D"/>
    <w:rsid w:val="000C3EB0"/>
    <w:rsid w:val="000C3ED7"/>
    <w:rsid w:val="000C4054"/>
    <w:rsid w:val="000C4122"/>
    <w:rsid w:val="000C4286"/>
    <w:rsid w:val="000C4770"/>
    <w:rsid w:val="000C47E1"/>
    <w:rsid w:val="000C4B0A"/>
    <w:rsid w:val="000C50F2"/>
    <w:rsid w:val="000C53B4"/>
    <w:rsid w:val="000C57D9"/>
    <w:rsid w:val="000C57E1"/>
    <w:rsid w:val="000C5972"/>
    <w:rsid w:val="000C5C4E"/>
    <w:rsid w:val="000C5F7B"/>
    <w:rsid w:val="000C6128"/>
    <w:rsid w:val="000C68A4"/>
    <w:rsid w:val="000C6905"/>
    <w:rsid w:val="000C6BAC"/>
    <w:rsid w:val="000C6BE1"/>
    <w:rsid w:val="000C6DC6"/>
    <w:rsid w:val="000C6E17"/>
    <w:rsid w:val="000C6EAA"/>
    <w:rsid w:val="000C6F11"/>
    <w:rsid w:val="000C74C4"/>
    <w:rsid w:val="000C7574"/>
    <w:rsid w:val="000C7638"/>
    <w:rsid w:val="000C7780"/>
    <w:rsid w:val="000D011C"/>
    <w:rsid w:val="000D0595"/>
    <w:rsid w:val="000D0614"/>
    <w:rsid w:val="000D0745"/>
    <w:rsid w:val="000D0903"/>
    <w:rsid w:val="000D0F7A"/>
    <w:rsid w:val="000D1426"/>
    <w:rsid w:val="000D1500"/>
    <w:rsid w:val="000D16EA"/>
    <w:rsid w:val="000D199B"/>
    <w:rsid w:val="000D1EDA"/>
    <w:rsid w:val="000D1F3C"/>
    <w:rsid w:val="000D214A"/>
    <w:rsid w:val="000D2684"/>
    <w:rsid w:val="000D2861"/>
    <w:rsid w:val="000D29A8"/>
    <w:rsid w:val="000D2CF1"/>
    <w:rsid w:val="000D2E32"/>
    <w:rsid w:val="000D33EF"/>
    <w:rsid w:val="000D3DC4"/>
    <w:rsid w:val="000D40F3"/>
    <w:rsid w:val="000D41BC"/>
    <w:rsid w:val="000D42FB"/>
    <w:rsid w:val="000D4865"/>
    <w:rsid w:val="000D4875"/>
    <w:rsid w:val="000D4994"/>
    <w:rsid w:val="000D49DA"/>
    <w:rsid w:val="000D4A98"/>
    <w:rsid w:val="000D559F"/>
    <w:rsid w:val="000D56CB"/>
    <w:rsid w:val="000D58BA"/>
    <w:rsid w:val="000D5EF8"/>
    <w:rsid w:val="000D6809"/>
    <w:rsid w:val="000D6C17"/>
    <w:rsid w:val="000D6C6D"/>
    <w:rsid w:val="000D6CB2"/>
    <w:rsid w:val="000D6D77"/>
    <w:rsid w:val="000D6E62"/>
    <w:rsid w:val="000D701B"/>
    <w:rsid w:val="000D7316"/>
    <w:rsid w:val="000D790E"/>
    <w:rsid w:val="000D7B40"/>
    <w:rsid w:val="000D7CB4"/>
    <w:rsid w:val="000E01ED"/>
    <w:rsid w:val="000E0BD9"/>
    <w:rsid w:val="000E11E1"/>
    <w:rsid w:val="000E11EE"/>
    <w:rsid w:val="000E135E"/>
    <w:rsid w:val="000E144A"/>
    <w:rsid w:val="000E1542"/>
    <w:rsid w:val="000E2089"/>
    <w:rsid w:val="000E2285"/>
    <w:rsid w:val="000E2904"/>
    <w:rsid w:val="000E2D8C"/>
    <w:rsid w:val="000E2DEF"/>
    <w:rsid w:val="000E2EFE"/>
    <w:rsid w:val="000E2F13"/>
    <w:rsid w:val="000E31C3"/>
    <w:rsid w:val="000E326D"/>
    <w:rsid w:val="000E3655"/>
    <w:rsid w:val="000E3868"/>
    <w:rsid w:val="000E3EA9"/>
    <w:rsid w:val="000E4327"/>
    <w:rsid w:val="000E4403"/>
    <w:rsid w:val="000E457E"/>
    <w:rsid w:val="000E46FC"/>
    <w:rsid w:val="000E48C9"/>
    <w:rsid w:val="000E4C80"/>
    <w:rsid w:val="000E4E41"/>
    <w:rsid w:val="000E4EF3"/>
    <w:rsid w:val="000E4F96"/>
    <w:rsid w:val="000E5319"/>
    <w:rsid w:val="000E53F3"/>
    <w:rsid w:val="000E580F"/>
    <w:rsid w:val="000E63ED"/>
    <w:rsid w:val="000E6807"/>
    <w:rsid w:val="000E6A5A"/>
    <w:rsid w:val="000E6E5A"/>
    <w:rsid w:val="000E7C99"/>
    <w:rsid w:val="000F012A"/>
    <w:rsid w:val="000F0279"/>
    <w:rsid w:val="000F03E5"/>
    <w:rsid w:val="000F092D"/>
    <w:rsid w:val="000F0DFE"/>
    <w:rsid w:val="000F16CD"/>
    <w:rsid w:val="000F181D"/>
    <w:rsid w:val="000F1EC3"/>
    <w:rsid w:val="000F21E9"/>
    <w:rsid w:val="000F22AF"/>
    <w:rsid w:val="000F251D"/>
    <w:rsid w:val="000F2778"/>
    <w:rsid w:val="000F3808"/>
    <w:rsid w:val="000F39E2"/>
    <w:rsid w:val="000F525D"/>
    <w:rsid w:val="000F563D"/>
    <w:rsid w:val="000F5761"/>
    <w:rsid w:val="000F5766"/>
    <w:rsid w:val="000F5904"/>
    <w:rsid w:val="000F5D99"/>
    <w:rsid w:val="000F5DC0"/>
    <w:rsid w:val="000F5DEC"/>
    <w:rsid w:val="000F64CC"/>
    <w:rsid w:val="000F652D"/>
    <w:rsid w:val="000F6762"/>
    <w:rsid w:val="000F6A38"/>
    <w:rsid w:val="000F6AC0"/>
    <w:rsid w:val="000F6DB3"/>
    <w:rsid w:val="000F6E4E"/>
    <w:rsid w:val="000F71C3"/>
    <w:rsid w:val="000F73FD"/>
    <w:rsid w:val="000F75D5"/>
    <w:rsid w:val="000F7610"/>
    <w:rsid w:val="000F7852"/>
    <w:rsid w:val="000F7C08"/>
    <w:rsid w:val="001000EC"/>
    <w:rsid w:val="00100215"/>
    <w:rsid w:val="00100326"/>
    <w:rsid w:val="00100557"/>
    <w:rsid w:val="00100992"/>
    <w:rsid w:val="00100AAB"/>
    <w:rsid w:val="00100F10"/>
    <w:rsid w:val="001012DD"/>
    <w:rsid w:val="00101DCF"/>
    <w:rsid w:val="00102285"/>
    <w:rsid w:val="001024D1"/>
    <w:rsid w:val="001027E6"/>
    <w:rsid w:val="00102C3A"/>
    <w:rsid w:val="00102CE6"/>
    <w:rsid w:val="00102F17"/>
    <w:rsid w:val="00103180"/>
    <w:rsid w:val="00103356"/>
    <w:rsid w:val="00103A94"/>
    <w:rsid w:val="00104376"/>
    <w:rsid w:val="001045E7"/>
    <w:rsid w:val="0010475F"/>
    <w:rsid w:val="001049FF"/>
    <w:rsid w:val="00104DDB"/>
    <w:rsid w:val="00105010"/>
    <w:rsid w:val="0010580F"/>
    <w:rsid w:val="00105CD2"/>
    <w:rsid w:val="00105CE9"/>
    <w:rsid w:val="00106418"/>
    <w:rsid w:val="0010667F"/>
    <w:rsid w:val="001066CA"/>
    <w:rsid w:val="00106E32"/>
    <w:rsid w:val="0010737D"/>
    <w:rsid w:val="001074A9"/>
    <w:rsid w:val="001101F1"/>
    <w:rsid w:val="00110400"/>
    <w:rsid w:val="001104FD"/>
    <w:rsid w:val="001105E4"/>
    <w:rsid w:val="00110B96"/>
    <w:rsid w:val="00110C02"/>
    <w:rsid w:val="00111253"/>
    <w:rsid w:val="0011141D"/>
    <w:rsid w:val="0011145A"/>
    <w:rsid w:val="001114B0"/>
    <w:rsid w:val="001115DF"/>
    <w:rsid w:val="001116A1"/>
    <w:rsid w:val="00111B87"/>
    <w:rsid w:val="001126A4"/>
    <w:rsid w:val="001128FE"/>
    <w:rsid w:val="00113385"/>
    <w:rsid w:val="001135B7"/>
    <w:rsid w:val="00113A08"/>
    <w:rsid w:val="00113BA9"/>
    <w:rsid w:val="001143BB"/>
    <w:rsid w:val="001143C7"/>
    <w:rsid w:val="00114701"/>
    <w:rsid w:val="00114D32"/>
    <w:rsid w:val="001159FA"/>
    <w:rsid w:val="00115E16"/>
    <w:rsid w:val="001162C5"/>
    <w:rsid w:val="0011658C"/>
    <w:rsid w:val="001168E8"/>
    <w:rsid w:val="00116C99"/>
    <w:rsid w:val="00116E01"/>
    <w:rsid w:val="0011769F"/>
    <w:rsid w:val="001176ED"/>
    <w:rsid w:val="001177E9"/>
    <w:rsid w:val="001206CF"/>
    <w:rsid w:val="0012085B"/>
    <w:rsid w:val="00120A64"/>
    <w:rsid w:val="00120ABB"/>
    <w:rsid w:val="001218CE"/>
    <w:rsid w:val="00121996"/>
    <w:rsid w:val="00121A7A"/>
    <w:rsid w:val="00121DA9"/>
    <w:rsid w:val="00122978"/>
    <w:rsid w:val="001229AB"/>
    <w:rsid w:val="00122E48"/>
    <w:rsid w:val="00123014"/>
    <w:rsid w:val="0012317A"/>
    <w:rsid w:val="001232CB"/>
    <w:rsid w:val="00123642"/>
    <w:rsid w:val="00123695"/>
    <w:rsid w:val="0012399D"/>
    <w:rsid w:val="00123A30"/>
    <w:rsid w:val="00123D86"/>
    <w:rsid w:val="00124828"/>
    <w:rsid w:val="001248BF"/>
    <w:rsid w:val="00124996"/>
    <w:rsid w:val="00124B7F"/>
    <w:rsid w:val="00124E77"/>
    <w:rsid w:val="00125011"/>
    <w:rsid w:val="00125103"/>
    <w:rsid w:val="00125678"/>
    <w:rsid w:val="00125C6C"/>
    <w:rsid w:val="00125CEA"/>
    <w:rsid w:val="00125D55"/>
    <w:rsid w:val="001263B0"/>
    <w:rsid w:val="00126406"/>
    <w:rsid w:val="00126BFD"/>
    <w:rsid w:val="00127046"/>
    <w:rsid w:val="00127257"/>
    <w:rsid w:val="00127802"/>
    <w:rsid w:val="00127F0A"/>
    <w:rsid w:val="00130649"/>
    <w:rsid w:val="00130726"/>
    <w:rsid w:val="00130961"/>
    <w:rsid w:val="00130B81"/>
    <w:rsid w:val="00130D63"/>
    <w:rsid w:val="00130ECA"/>
    <w:rsid w:val="00131559"/>
    <w:rsid w:val="00131774"/>
    <w:rsid w:val="00131A5E"/>
    <w:rsid w:val="00131AF1"/>
    <w:rsid w:val="00131E0B"/>
    <w:rsid w:val="001324BD"/>
    <w:rsid w:val="00132604"/>
    <w:rsid w:val="001336E0"/>
    <w:rsid w:val="00133A76"/>
    <w:rsid w:val="001341FC"/>
    <w:rsid w:val="00134464"/>
    <w:rsid w:val="0013489D"/>
    <w:rsid w:val="00134A43"/>
    <w:rsid w:val="001352A6"/>
    <w:rsid w:val="001359D7"/>
    <w:rsid w:val="00135F1D"/>
    <w:rsid w:val="00136805"/>
    <w:rsid w:val="00136A7B"/>
    <w:rsid w:val="00136E2B"/>
    <w:rsid w:val="00136EDB"/>
    <w:rsid w:val="001374B9"/>
    <w:rsid w:val="001378E3"/>
    <w:rsid w:val="00137947"/>
    <w:rsid w:val="00137957"/>
    <w:rsid w:val="001379BC"/>
    <w:rsid w:val="00137D53"/>
    <w:rsid w:val="00137FFB"/>
    <w:rsid w:val="00140320"/>
    <w:rsid w:val="001403EA"/>
    <w:rsid w:val="001407ED"/>
    <w:rsid w:val="00140B38"/>
    <w:rsid w:val="00140BCE"/>
    <w:rsid w:val="00140C52"/>
    <w:rsid w:val="00140E0B"/>
    <w:rsid w:val="00141169"/>
    <w:rsid w:val="00141C3A"/>
    <w:rsid w:val="00141DD0"/>
    <w:rsid w:val="001425C7"/>
    <w:rsid w:val="0014260E"/>
    <w:rsid w:val="00142A2C"/>
    <w:rsid w:val="00142A35"/>
    <w:rsid w:val="0014379B"/>
    <w:rsid w:val="00143837"/>
    <w:rsid w:val="00143A10"/>
    <w:rsid w:val="00143C08"/>
    <w:rsid w:val="00144B7A"/>
    <w:rsid w:val="00144BB9"/>
    <w:rsid w:val="00144F7F"/>
    <w:rsid w:val="0014526C"/>
    <w:rsid w:val="001453E2"/>
    <w:rsid w:val="001454E0"/>
    <w:rsid w:val="00145570"/>
    <w:rsid w:val="00145652"/>
    <w:rsid w:val="001456DF"/>
    <w:rsid w:val="00146174"/>
    <w:rsid w:val="0014719B"/>
    <w:rsid w:val="001474B3"/>
    <w:rsid w:val="0014757A"/>
    <w:rsid w:val="00147711"/>
    <w:rsid w:val="00147A07"/>
    <w:rsid w:val="00147BCC"/>
    <w:rsid w:val="00147E63"/>
    <w:rsid w:val="001505FA"/>
    <w:rsid w:val="00150728"/>
    <w:rsid w:val="00150A02"/>
    <w:rsid w:val="00150D88"/>
    <w:rsid w:val="0015111A"/>
    <w:rsid w:val="00151265"/>
    <w:rsid w:val="00151569"/>
    <w:rsid w:val="00151A84"/>
    <w:rsid w:val="00151BAD"/>
    <w:rsid w:val="00151CE8"/>
    <w:rsid w:val="00151D59"/>
    <w:rsid w:val="00151DDC"/>
    <w:rsid w:val="0015200A"/>
    <w:rsid w:val="001523B7"/>
    <w:rsid w:val="001526C0"/>
    <w:rsid w:val="001534CC"/>
    <w:rsid w:val="001536C2"/>
    <w:rsid w:val="00153BC2"/>
    <w:rsid w:val="00153C6A"/>
    <w:rsid w:val="00153EA3"/>
    <w:rsid w:val="00153FC6"/>
    <w:rsid w:val="00154080"/>
    <w:rsid w:val="001541E7"/>
    <w:rsid w:val="00154D3D"/>
    <w:rsid w:val="00155C09"/>
    <w:rsid w:val="00155C9B"/>
    <w:rsid w:val="00156187"/>
    <w:rsid w:val="0015629B"/>
    <w:rsid w:val="001571AB"/>
    <w:rsid w:val="00160096"/>
    <w:rsid w:val="00160327"/>
    <w:rsid w:val="001606A7"/>
    <w:rsid w:val="00160A4A"/>
    <w:rsid w:val="00161084"/>
    <w:rsid w:val="00162040"/>
    <w:rsid w:val="00162064"/>
    <w:rsid w:val="00162967"/>
    <w:rsid w:val="00162A5B"/>
    <w:rsid w:val="0016300F"/>
    <w:rsid w:val="001630D6"/>
    <w:rsid w:val="0016382A"/>
    <w:rsid w:val="00163CE1"/>
    <w:rsid w:val="0016412F"/>
    <w:rsid w:val="00164634"/>
    <w:rsid w:val="00164AA6"/>
    <w:rsid w:val="00164CBC"/>
    <w:rsid w:val="00164E58"/>
    <w:rsid w:val="001652BB"/>
    <w:rsid w:val="00165445"/>
    <w:rsid w:val="0016558A"/>
    <w:rsid w:val="0016589E"/>
    <w:rsid w:val="00165B03"/>
    <w:rsid w:val="00165B4B"/>
    <w:rsid w:val="00165D91"/>
    <w:rsid w:val="00166220"/>
    <w:rsid w:val="001662B8"/>
    <w:rsid w:val="00166478"/>
    <w:rsid w:val="001664A7"/>
    <w:rsid w:val="0016688B"/>
    <w:rsid w:val="00166A21"/>
    <w:rsid w:val="00166B33"/>
    <w:rsid w:val="00167160"/>
    <w:rsid w:val="001679F6"/>
    <w:rsid w:val="00167AB1"/>
    <w:rsid w:val="00167B46"/>
    <w:rsid w:val="00167FBA"/>
    <w:rsid w:val="001706CD"/>
    <w:rsid w:val="00170D9E"/>
    <w:rsid w:val="00171199"/>
    <w:rsid w:val="00171ECB"/>
    <w:rsid w:val="00171F51"/>
    <w:rsid w:val="00171F73"/>
    <w:rsid w:val="0017220A"/>
    <w:rsid w:val="001722E2"/>
    <w:rsid w:val="001726C6"/>
    <w:rsid w:val="001726D0"/>
    <w:rsid w:val="001728ED"/>
    <w:rsid w:val="00172FBF"/>
    <w:rsid w:val="00173210"/>
    <w:rsid w:val="001739AA"/>
    <w:rsid w:val="001739B4"/>
    <w:rsid w:val="00173A6A"/>
    <w:rsid w:val="00175217"/>
    <w:rsid w:val="001753DF"/>
    <w:rsid w:val="00175947"/>
    <w:rsid w:val="00175AB0"/>
    <w:rsid w:val="0017617B"/>
    <w:rsid w:val="001761C6"/>
    <w:rsid w:val="001761D0"/>
    <w:rsid w:val="001767E1"/>
    <w:rsid w:val="00176E7E"/>
    <w:rsid w:val="00177693"/>
    <w:rsid w:val="00177DB5"/>
    <w:rsid w:val="00177DF7"/>
    <w:rsid w:val="00177E1C"/>
    <w:rsid w:val="00177FAB"/>
    <w:rsid w:val="0018000F"/>
    <w:rsid w:val="001800BB"/>
    <w:rsid w:val="001809DB"/>
    <w:rsid w:val="00180AC2"/>
    <w:rsid w:val="0018122E"/>
    <w:rsid w:val="00181384"/>
    <w:rsid w:val="00181F40"/>
    <w:rsid w:val="00182312"/>
    <w:rsid w:val="00182B3C"/>
    <w:rsid w:val="00182DEF"/>
    <w:rsid w:val="00184043"/>
    <w:rsid w:val="001841FE"/>
    <w:rsid w:val="00184C4D"/>
    <w:rsid w:val="0018521B"/>
    <w:rsid w:val="00185255"/>
    <w:rsid w:val="00185479"/>
    <w:rsid w:val="00185F87"/>
    <w:rsid w:val="001864D4"/>
    <w:rsid w:val="001865E4"/>
    <w:rsid w:val="001869CD"/>
    <w:rsid w:val="00186F85"/>
    <w:rsid w:val="00187A0D"/>
    <w:rsid w:val="00187D74"/>
    <w:rsid w:val="00187E2A"/>
    <w:rsid w:val="001900CE"/>
    <w:rsid w:val="001902D6"/>
    <w:rsid w:val="00190B06"/>
    <w:rsid w:val="00190D18"/>
    <w:rsid w:val="001911F3"/>
    <w:rsid w:val="00191476"/>
    <w:rsid w:val="0019158F"/>
    <w:rsid w:val="00191675"/>
    <w:rsid w:val="00191B86"/>
    <w:rsid w:val="00191D16"/>
    <w:rsid w:val="00191DDF"/>
    <w:rsid w:val="00191EDC"/>
    <w:rsid w:val="001920A8"/>
    <w:rsid w:val="00192615"/>
    <w:rsid w:val="0019283F"/>
    <w:rsid w:val="0019286F"/>
    <w:rsid w:val="001928A1"/>
    <w:rsid w:val="00192DC2"/>
    <w:rsid w:val="00194115"/>
    <w:rsid w:val="00194142"/>
    <w:rsid w:val="00194335"/>
    <w:rsid w:val="00194476"/>
    <w:rsid w:val="0019463B"/>
    <w:rsid w:val="00194827"/>
    <w:rsid w:val="00194A50"/>
    <w:rsid w:val="00194AAC"/>
    <w:rsid w:val="00194BDC"/>
    <w:rsid w:val="00194E1D"/>
    <w:rsid w:val="001952D5"/>
    <w:rsid w:val="00195449"/>
    <w:rsid w:val="001954DC"/>
    <w:rsid w:val="00195B0E"/>
    <w:rsid w:val="00195C30"/>
    <w:rsid w:val="00196A26"/>
    <w:rsid w:val="00196B3C"/>
    <w:rsid w:val="00196C3F"/>
    <w:rsid w:val="00196D2B"/>
    <w:rsid w:val="00196DBB"/>
    <w:rsid w:val="001A0147"/>
    <w:rsid w:val="001A0184"/>
    <w:rsid w:val="001A01C4"/>
    <w:rsid w:val="001A0308"/>
    <w:rsid w:val="001A058E"/>
    <w:rsid w:val="001A066D"/>
    <w:rsid w:val="001A06A8"/>
    <w:rsid w:val="001A07F6"/>
    <w:rsid w:val="001A0892"/>
    <w:rsid w:val="001A0998"/>
    <w:rsid w:val="001A0CE7"/>
    <w:rsid w:val="001A0E9F"/>
    <w:rsid w:val="001A0EE3"/>
    <w:rsid w:val="001A1044"/>
    <w:rsid w:val="001A17FB"/>
    <w:rsid w:val="001A1818"/>
    <w:rsid w:val="001A18EF"/>
    <w:rsid w:val="001A1937"/>
    <w:rsid w:val="001A1BE1"/>
    <w:rsid w:val="001A1DAD"/>
    <w:rsid w:val="001A1E4C"/>
    <w:rsid w:val="001A2669"/>
    <w:rsid w:val="001A2C88"/>
    <w:rsid w:val="001A2F83"/>
    <w:rsid w:val="001A3619"/>
    <w:rsid w:val="001A4061"/>
    <w:rsid w:val="001A413B"/>
    <w:rsid w:val="001A4B21"/>
    <w:rsid w:val="001A5218"/>
    <w:rsid w:val="001A562E"/>
    <w:rsid w:val="001A58CC"/>
    <w:rsid w:val="001A5E2D"/>
    <w:rsid w:val="001A5F93"/>
    <w:rsid w:val="001A60E3"/>
    <w:rsid w:val="001A6366"/>
    <w:rsid w:val="001A6D0F"/>
    <w:rsid w:val="001A70AC"/>
    <w:rsid w:val="001A711C"/>
    <w:rsid w:val="001A7135"/>
    <w:rsid w:val="001A716D"/>
    <w:rsid w:val="001A732E"/>
    <w:rsid w:val="001A73F8"/>
    <w:rsid w:val="001A7827"/>
    <w:rsid w:val="001A7915"/>
    <w:rsid w:val="001B0D59"/>
    <w:rsid w:val="001B0F18"/>
    <w:rsid w:val="001B11EE"/>
    <w:rsid w:val="001B1222"/>
    <w:rsid w:val="001B1447"/>
    <w:rsid w:val="001B1522"/>
    <w:rsid w:val="001B1926"/>
    <w:rsid w:val="001B1C49"/>
    <w:rsid w:val="001B1CE0"/>
    <w:rsid w:val="001B1D49"/>
    <w:rsid w:val="001B264B"/>
    <w:rsid w:val="001B2930"/>
    <w:rsid w:val="001B33A5"/>
    <w:rsid w:val="001B3558"/>
    <w:rsid w:val="001B3593"/>
    <w:rsid w:val="001B36EF"/>
    <w:rsid w:val="001B3C92"/>
    <w:rsid w:val="001B4448"/>
    <w:rsid w:val="001B46FE"/>
    <w:rsid w:val="001B4AF4"/>
    <w:rsid w:val="001B510E"/>
    <w:rsid w:val="001B5149"/>
    <w:rsid w:val="001B5526"/>
    <w:rsid w:val="001B5639"/>
    <w:rsid w:val="001B62A2"/>
    <w:rsid w:val="001B644C"/>
    <w:rsid w:val="001B65C0"/>
    <w:rsid w:val="001B7370"/>
    <w:rsid w:val="001B786E"/>
    <w:rsid w:val="001B7B68"/>
    <w:rsid w:val="001C072B"/>
    <w:rsid w:val="001C0823"/>
    <w:rsid w:val="001C0AFA"/>
    <w:rsid w:val="001C1467"/>
    <w:rsid w:val="001C14BF"/>
    <w:rsid w:val="001C155B"/>
    <w:rsid w:val="001C225F"/>
    <w:rsid w:val="001C2270"/>
    <w:rsid w:val="001C277B"/>
    <w:rsid w:val="001C280E"/>
    <w:rsid w:val="001C2A5B"/>
    <w:rsid w:val="001C3336"/>
    <w:rsid w:val="001C33F4"/>
    <w:rsid w:val="001C34CC"/>
    <w:rsid w:val="001C35A6"/>
    <w:rsid w:val="001C39B5"/>
    <w:rsid w:val="001C3F33"/>
    <w:rsid w:val="001C3F7C"/>
    <w:rsid w:val="001C47E5"/>
    <w:rsid w:val="001C4825"/>
    <w:rsid w:val="001C4EEA"/>
    <w:rsid w:val="001C5052"/>
    <w:rsid w:val="001C5444"/>
    <w:rsid w:val="001C5908"/>
    <w:rsid w:val="001C5A6C"/>
    <w:rsid w:val="001C6480"/>
    <w:rsid w:val="001C6C10"/>
    <w:rsid w:val="001C6E5F"/>
    <w:rsid w:val="001C7539"/>
    <w:rsid w:val="001C7A33"/>
    <w:rsid w:val="001C7F6B"/>
    <w:rsid w:val="001C7F6F"/>
    <w:rsid w:val="001D0161"/>
    <w:rsid w:val="001D082A"/>
    <w:rsid w:val="001D0D3A"/>
    <w:rsid w:val="001D0E58"/>
    <w:rsid w:val="001D116A"/>
    <w:rsid w:val="001D13B3"/>
    <w:rsid w:val="001D13DC"/>
    <w:rsid w:val="001D177D"/>
    <w:rsid w:val="001D1B58"/>
    <w:rsid w:val="001D2481"/>
    <w:rsid w:val="001D25FC"/>
    <w:rsid w:val="001D2655"/>
    <w:rsid w:val="001D2C9B"/>
    <w:rsid w:val="001D34C2"/>
    <w:rsid w:val="001D35CC"/>
    <w:rsid w:val="001D3614"/>
    <w:rsid w:val="001D3828"/>
    <w:rsid w:val="001D38E7"/>
    <w:rsid w:val="001D40DD"/>
    <w:rsid w:val="001D41A6"/>
    <w:rsid w:val="001D42AC"/>
    <w:rsid w:val="001D44E7"/>
    <w:rsid w:val="001D4CF5"/>
    <w:rsid w:val="001D5848"/>
    <w:rsid w:val="001D5CA2"/>
    <w:rsid w:val="001D5D3A"/>
    <w:rsid w:val="001D7531"/>
    <w:rsid w:val="001D7553"/>
    <w:rsid w:val="001D7D68"/>
    <w:rsid w:val="001E002B"/>
    <w:rsid w:val="001E0771"/>
    <w:rsid w:val="001E0895"/>
    <w:rsid w:val="001E1055"/>
    <w:rsid w:val="001E12BD"/>
    <w:rsid w:val="001E1937"/>
    <w:rsid w:val="001E1BFA"/>
    <w:rsid w:val="001E1E94"/>
    <w:rsid w:val="001E2287"/>
    <w:rsid w:val="001E2531"/>
    <w:rsid w:val="001E2869"/>
    <w:rsid w:val="001E2C37"/>
    <w:rsid w:val="001E39BE"/>
    <w:rsid w:val="001E40E0"/>
    <w:rsid w:val="001E47B8"/>
    <w:rsid w:val="001E5558"/>
    <w:rsid w:val="001E5D78"/>
    <w:rsid w:val="001E6123"/>
    <w:rsid w:val="001E63A7"/>
    <w:rsid w:val="001E63B8"/>
    <w:rsid w:val="001E6B0E"/>
    <w:rsid w:val="001E6BEB"/>
    <w:rsid w:val="001E6CF8"/>
    <w:rsid w:val="001E71D7"/>
    <w:rsid w:val="001E7497"/>
    <w:rsid w:val="001E78C7"/>
    <w:rsid w:val="001F0504"/>
    <w:rsid w:val="001F07CB"/>
    <w:rsid w:val="001F0B25"/>
    <w:rsid w:val="001F0FEA"/>
    <w:rsid w:val="001F106D"/>
    <w:rsid w:val="001F1248"/>
    <w:rsid w:val="001F197B"/>
    <w:rsid w:val="001F230C"/>
    <w:rsid w:val="001F2496"/>
    <w:rsid w:val="001F2737"/>
    <w:rsid w:val="001F273B"/>
    <w:rsid w:val="001F275A"/>
    <w:rsid w:val="001F30CA"/>
    <w:rsid w:val="001F328E"/>
    <w:rsid w:val="001F3297"/>
    <w:rsid w:val="001F37DF"/>
    <w:rsid w:val="001F37E9"/>
    <w:rsid w:val="001F384C"/>
    <w:rsid w:val="001F3E95"/>
    <w:rsid w:val="001F47EF"/>
    <w:rsid w:val="001F4AFB"/>
    <w:rsid w:val="001F5269"/>
    <w:rsid w:val="001F56D2"/>
    <w:rsid w:val="001F6DA4"/>
    <w:rsid w:val="001F6E01"/>
    <w:rsid w:val="001F6F76"/>
    <w:rsid w:val="001F704F"/>
    <w:rsid w:val="001F765A"/>
    <w:rsid w:val="001F774F"/>
    <w:rsid w:val="001F78DF"/>
    <w:rsid w:val="001F7D4D"/>
    <w:rsid w:val="001F7F00"/>
    <w:rsid w:val="002003EC"/>
    <w:rsid w:val="002007EC"/>
    <w:rsid w:val="002008E0"/>
    <w:rsid w:val="00201350"/>
    <w:rsid w:val="00201AAC"/>
    <w:rsid w:val="00201D9E"/>
    <w:rsid w:val="00201E8C"/>
    <w:rsid w:val="002020BC"/>
    <w:rsid w:val="0020220D"/>
    <w:rsid w:val="00202407"/>
    <w:rsid w:val="002024DB"/>
    <w:rsid w:val="00203679"/>
    <w:rsid w:val="00203710"/>
    <w:rsid w:val="002038F0"/>
    <w:rsid w:val="00203978"/>
    <w:rsid w:val="00203C32"/>
    <w:rsid w:val="00204265"/>
    <w:rsid w:val="002042CD"/>
    <w:rsid w:val="00204A26"/>
    <w:rsid w:val="00204ED7"/>
    <w:rsid w:val="00205582"/>
    <w:rsid w:val="0020592D"/>
    <w:rsid w:val="0020597B"/>
    <w:rsid w:val="00205D02"/>
    <w:rsid w:val="0020710D"/>
    <w:rsid w:val="002071FF"/>
    <w:rsid w:val="002074AA"/>
    <w:rsid w:val="002079A5"/>
    <w:rsid w:val="0021039D"/>
    <w:rsid w:val="00210C65"/>
    <w:rsid w:val="00211991"/>
    <w:rsid w:val="00211A36"/>
    <w:rsid w:val="00211FD0"/>
    <w:rsid w:val="00212219"/>
    <w:rsid w:val="00212456"/>
    <w:rsid w:val="002124E1"/>
    <w:rsid w:val="00212715"/>
    <w:rsid w:val="00212C50"/>
    <w:rsid w:val="00212D2A"/>
    <w:rsid w:val="00212DCD"/>
    <w:rsid w:val="002131F3"/>
    <w:rsid w:val="0021365A"/>
    <w:rsid w:val="00213AD6"/>
    <w:rsid w:val="00213DBE"/>
    <w:rsid w:val="00213E73"/>
    <w:rsid w:val="00214B17"/>
    <w:rsid w:val="002155A9"/>
    <w:rsid w:val="0021571C"/>
    <w:rsid w:val="00215B40"/>
    <w:rsid w:val="00215B85"/>
    <w:rsid w:val="00215C90"/>
    <w:rsid w:val="00215EA9"/>
    <w:rsid w:val="00215F05"/>
    <w:rsid w:val="0021630D"/>
    <w:rsid w:val="00216391"/>
    <w:rsid w:val="0021641E"/>
    <w:rsid w:val="00216E40"/>
    <w:rsid w:val="0021701F"/>
    <w:rsid w:val="00217132"/>
    <w:rsid w:val="00217211"/>
    <w:rsid w:val="00217307"/>
    <w:rsid w:val="00217906"/>
    <w:rsid w:val="0022000E"/>
    <w:rsid w:val="00220109"/>
    <w:rsid w:val="0022022E"/>
    <w:rsid w:val="00220BEA"/>
    <w:rsid w:val="00220D5F"/>
    <w:rsid w:val="00221096"/>
    <w:rsid w:val="00221810"/>
    <w:rsid w:val="002218CC"/>
    <w:rsid w:val="00221D79"/>
    <w:rsid w:val="00221E3D"/>
    <w:rsid w:val="002221B8"/>
    <w:rsid w:val="00222843"/>
    <w:rsid w:val="00223006"/>
    <w:rsid w:val="0022325B"/>
    <w:rsid w:val="00223517"/>
    <w:rsid w:val="002237FB"/>
    <w:rsid w:val="002238E0"/>
    <w:rsid w:val="00223B20"/>
    <w:rsid w:val="00223B5C"/>
    <w:rsid w:val="002242C4"/>
    <w:rsid w:val="002251B8"/>
    <w:rsid w:val="002259CD"/>
    <w:rsid w:val="00225FD9"/>
    <w:rsid w:val="00226206"/>
    <w:rsid w:val="0022706F"/>
    <w:rsid w:val="002270F0"/>
    <w:rsid w:val="00227385"/>
    <w:rsid w:val="00227402"/>
    <w:rsid w:val="0022752F"/>
    <w:rsid w:val="00227ADD"/>
    <w:rsid w:val="00227CFD"/>
    <w:rsid w:val="0023056A"/>
    <w:rsid w:val="0023070C"/>
    <w:rsid w:val="00230A8A"/>
    <w:rsid w:val="002317D8"/>
    <w:rsid w:val="00231B36"/>
    <w:rsid w:val="00231C5C"/>
    <w:rsid w:val="00231DDF"/>
    <w:rsid w:val="002326F9"/>
    <w:rsid w:val="002328D0"/>
    <w:rsid w:val="00232EC0"/>
    <w:rsid w:val="00233011"/>
    <w:rsid w:val="00233172"/>
    <w:rsid w:val="00233576"/>
    <w:rsid w:val="0023375B"/>
    <w:rsid w:val="00234321"/>
    <w:rsid w:val="002344FC"/>
    <w:rsid w:val="00234E11"/>
    <w:rsid w:val="00235299"/>
    <w:rsid w:val="00235521"/>
    <w:rsid w:val="00235618"/>
    <w:rsid w:val="002356FE"/>
    <w:rsid w:val="00235AC0"/>
    <w:rsid w:val="00235DC5"/>
    <w:rsid w:val="00236498"/>
    <w:rsid w:val="00236FDF"/>
    <w:rsid w:val="002373B0"/>
    <w:rsid w:val="00240065"/>
    <w:rsid w:val="00240370"/>
    <w:rsid w:val="002408B9"/>
    <w:rsid w:val="0024119F"/>
    <w:rsid w:val="00241AE1"/>
    <w:rsid w:val="00241C52"/>
    <w:rsid w:val="00241D92"/>
    <w:rsid w:val="00241FD1"/>
    <w:rsid w:val="00242114"/>
    <w:rsid w:val="0024219A"/>
    <w:rsid w:val="0024220A"/>
    <w:rsid w:val="00242463"/>
    <w:rsid w:val="0024279A"/>
    <w:rsid w:val="002427A8"/>
    <w:rsid w:val="0024330C"/>
    <w:rsid w:val="00243564"/>
    <w:rsid w:val="00243811"/>
    <w:rsid w:val="00243A7E"/>
    <w:rsid w:val="00243BA7"/>
    <w:rsid w:val="00243DB4"/>
    <w:rsid w:val="00243E6C"/>
    <w:rsid w:val="0024425C"/>
    <w:rsid w:val="002443AD"/>
    <w:rsid w:val="00244619"/>
    <w:rsid w:val="002446EA"/>
    <w:rsid w:val="00244A9B"/>
    <w:rsid w:val="002450F7"/>
    <w:rsid w:val="002451F1"/>
    <w:rsid w:val="00245C3F"/>
    <w:rsid w:val="00245D55"/>
    <w:rsid w:val="00246114"/>
    <w:rsid w:val="002467F3"/>
    <w:rsid w:val="002468EA"/>
    <w:rsid w:val="00246933"/>
    <w:rsid w:val="002469F9"/>
    <w:rsid w:val="00246D0B"/>
    <w:rsid w:val="00246D7D"/>
    <w:rsid w:val="00247014"/>
    <w:rsid w:val="002473A0"/>
    <w:rsid w:val="002474D9"/>
    <w:rsid w:val="002477CB"/>
    <w:rsid w:val="002478AD"/>
    <w:rsid w:val="00247923"/>
    <w:rsid w:val="00247C31"/>
    <w:rsid w:val="00247C88"/>
    <w:rsid w:val="00250233"/>
    <w:rsid w:val="00250476"/>
    <w:rsid w:val="002507CF"/>
    <w:rsid w:val="00250858"/>
    <w:rsid w:val="00250A54"/>
    <w:rsid w:val="00250C17"/>
    <w:rsid w:val="00250DA2"/>
    <w:rsid w:val="00250F5D"/>
    <w:rsid w:val="00250FD4"/>
    <w:rsid w:val="002512F6"/>
    <w:rsid w:val="002517EE"/>
    <w:rsid w:val="002518A1"/>
    <w:rsid w:val="002518CC"/>
    <w:rsid w:val="00251A5E"/>
    <w:rsid w:val="0025227D"/>
    <w:rsid w:val="002522C3"/>
    <w:rsid w:val="00252416"/>
    <w:rsid w:val="00252628"/>
    <w:rsid w:val="002527A7"/>
    <w:rsid w:val="00252819"/>
    <w:rsid w:val="0025282D"/>
    <w:rsid w:val="00252C14"/>
    <w:rsid w:val="00252D28"/>
    <w:rsid w:val="00252D34"/>
    <w:rsid w:val="00252F28"/>
    <w:rsid w:val="002530AA"/>
    <w:rsid w:val="00253391"/>
    <w:rsid w:val="002533C3"/>
    <w:rsid w:val="002537C2"/>
    <w:rsid w:val="0025390B"/>
    <w:rsid w:val="0025399F"/>
    <w:rsid w:val="00253B37"/>
    <w:rsid w:val="00253CDB"/>
    <w:rsid w:val="00253CFC"/>
    <w:rsid w:val="00253FD8"/>
    <w:rsid w:val="002540A8"/>
    <w:rsid w:val="00254B16"/>
    <w:rsid w:val="00254D3B"/>
    <w:rsid w:val="002550B3"/>
    <w:rsid w:val="002550BF"/>
    <w:rsid w:val="002552E8"/>
    <w:rsid w:val="00255B26"/>
    <w:rsid w:val="00255EFB"/>
    <w:rsid w:val="002561B2"/>
    <w:rsid w:val="002563D9"/>
    <w:rsid w:val="00256A54"/>
    <w:rsid w:val="00256E91"/>
    <w:rsid w:val="002570CE"/>
    <w:rsid w:val="002579F1"/>
    <w:rsid w:val="00257A4F"/>
    <w:rsid w:val="00257A8E"/>
    <w:rsid w:val="00257D50"/>
    <w:rsid w:val="002603B9"/>
    <w:rsid w:val="002607C3"/>
    <w:rsid w:val="00260B32"/>
    <w:rsid w:val="00260C71"/>
    <w:rsid w:val="00260FD5"/>
    <w:rsid w:val="002612A5"/>
    <w:rsid w:val="00261C21"/>
    <w:rsid w:val="00261DAA"/>
    <w:rsid w:val="00261FB9"/>
    <w:rsid w:val="0026222B"/>
    <w:rsid w:val="00262280"/>
    <w:rsid w:val="00262A52"/>
    <w:rsid w:val="00262A75"/>
    <w:rsid w:val="00262DDB"/>
    <w:rsid w:val="002632D1"/>
    <w:rsid w:val="002637FA"/>
    <w:rsid w:val="00263A58"/>
    <w:rsid w:val="00263C87"/>
    <w:rsid w:val="00263F6F"/>
    <w:rsid w:val="0026403D"/>
    <w:rsid w:val="002645C5"/>
    <w:rsid w:val="00264656"/>
    <w:rsid w:val="00264DE3"/>
    <w:rsid w:val="00264E6A"/>
    <w:rsid w:val="00265063"/>
    <w:rsid w:val="00265542"/>
    <w:rsid w:val="0026586A"/>
    <w:rsid w:val="0026616C"/>
    <w:rsid w:val="002665E5"/>
    <w:rsid w:val="00266BB8"/>
    <w:rsid w:val="0026709A"/>
    <w:rsid w:val="00267ACB"/>
    <w:rsid w:val="00267E0B"/>
    <w:rsid w:val="00267FDF"/>
    <w:rsid w:val="0027014F"/>
    <w:rsid w:val="00270378"/>
    <w:rsid w:val="00270392"/>
    <w:rsid w:val="002703F9"/>
    <w:rsid w:val="0027046E"/>
    <w:rsid w:val="002709A2"/>
    <w:rsid w:val="00270B1B"/>
    <w:rsid w:val="002711CD"/>
    <w:rsid w:val="0027143A"/>
    <w:rsid w:val="0027184C"/>
    <w:rsid w:val="00271EC0"/>
    <w:rsid w:val="002720ED"/>
    <w:rsid w:val="0027212B"/>
    <w:rsid w:val="00272327"/>
    <w:rsid w:val="0027294C"/>
    <w:rsid w:val="00272957"/>
    <w:rsid w:val="0027296D"/>
    <w:rsid w:val="002729D3"/>
    <w:rsid w:val="00272A7F"/>
    <w:rsid w:val="00272E5B"/>
    <w:rsid w:val="00272F15"/>
    <w:rsid w:val="0027323E"/>
    <w:rsid w:val="002732AF"/>
    <w:rsid w:val="0027346F"/>
    <w:rsid w:val="002742BA"/>
    <w:rsid w:val="0027484E"/>
    <w:rsid w:val="00274A17"/>
    <w:rsid w:val="00274BBF"/>
    <w:rsid w:val="00274F14"/>
    <w:rsid w:val="00274F5C"/>
    <w:rsid w:val="002750A1"/>
    <w:rsid w:val="0027510E"/>
    <w:rsid w:val="00275226"/>
    <w:rsid w:val="00275389"/>
    <w:rsid w:val="002754A5"/>
    <w:rsid w:val="0027563B"/>
    <w:rsid w:val="0027573C"/>
    <w:rsid w:val="00275C58"/>
    <w:rsid w:val="00276A0D"/>
    <w:rsid w:val="00276BC5"/>
    <w:rsid w:val="00276CB9"/>
    <w:rsid w:val="002801F6"/>
    <w:rsid w:val="00280404"/>
    <w:rsid w:val="002807CE"/>
    <w:rsid w:val="00280808"/>
    <w:rsid w:val="0028086D"/>
    <w:rsid w:val="00280C26"/>
    <w:rsid w:val="00280D29"/>
    <w:rsid w:val="00281005"/>
    <w:rsid w:val="002811CD"/>
    <w:rsid w:val="00281934"/>
    <w:rsid w:val="002828EA"/>
    <w:rsid w:val="00282C7A"/>
    <w:rsid w:val="00283482"/>
    <w:rsid w:val="0028355C"/>
    <w:rsid w:val="00283BB0"/>
    <w:rsid w:val="002842F3"/>
    <w:rsid w:val="00284394"/>
    <w:rsid w:val="002844E5"/>
    <w:rsid w:val="0028463C"/>
    <w:rsid w:val="00284A5F"/>
    <w:rsid w:val="00285816"/>
    <w:rsid w:val="0028584F"/>
    <w:rsid w:val="002858B3"/>
    <w:rsid w:val="00285AAB"/>
    <w:rsid w:val="0028603F"/>
    <w:rsid w:val="0028606C"/>
    <w:rsid w:val="002861CF"/>
    <w:rsid w:val="00286238"/>
    <w:rsid w:val="002864AA"/>
    <w:rsid w:val="002864DE"/>
    <w:rsid w:val="00286646"/>
    <w:rsid w:val="0028676C"/>
    <w:rsid w:val="00286D13"/>
    <w:rsid w:val="0028729F"/>
    <w:rsid w:val="002873E2"/>
    <w:rsid w:val="002876D3"/>
    <w:rsid w:val="002877D4"/>
    <w:rsid w:val="00287A4C"/>
    <w:rsid w:val="00287C5F"/>
    <w:rsid w:val="002900A0"/>
    <w:rsid w:val="00290595"/>
    <w:rsid w:val="0029071D"/>
    <w:rsid w:val="00290804"/>
    <w:rsid w:val="00290946"/>
    <w:rsid w:val="00290B13"/>
    <w:rsid w:val="00290EB1"/>
    <w:rsid w:val="002910B7"/>
    <w:rsid w:val="00291330"/>
    <w:rsid w:val="0029134F"/>
    <w:rsid w:val="00291416"/>
    <w:rsid w:val="0029167E"/>
    <w:rsid w:val="002916F8"/>
    <w:rsid w:val="00291836"/>
    <w:rsid w:val="00291A5B"/>
    <w:rsid w:val="0029234B"/>
    <w:rsid w:val="002926BE"/>
    <w:rsid w:val="002929FC"/>
    <w:rsid w:val="00292BF3"/>
    <w:rsid w:val="00292ED9"/>
    <w:rsid w:val="00293077"/>
    <w:rsid w:val="0029314D"/>
    <w:rsid w:val="00293210"/>
    <w:rsid w:val="00293614"/>
    <w:rsid w:val="00293AE6"/>
    <w:rsid w:val="00293D96"/>
    <w:rsid w:val="00293F42"/>
    <w:rsid w:val="002940B9"/>
    <w:rsid w:val="002940FE"/>
    <w:rsid w:val="00294237"/>
    <w:rsid w:val="0029435C"/>
    <w:rsid w:val="00294446"/>
    <w:rsid w:val="00294EF3"/>
    <w:rsid w:val="00294FB3"/>
    <w:rsid w:val="0029596E"/>
    <w:rsid w:val="00295E0B"/>
    <w:rsid w:val="00295F69"/>
    <w:rsid w:val="002963BE"/>
    <w:rsid w:val="0029647E"/>
    <w:rsid w:val="00296AEF"/>
    <w:rsid w:val="00296C18"/>
    <w:rsid w:val="00297B7C"/>
    <w:rsid w:val="00297C44"/>
    <w:rsid w:val="002A025B"/>
    <w:rsid w:val="002A04A1"/>
    <w:rsid w:val="002A04D6"/>
    <w:rsid w:val="002A07B4"/>
    <w:rsid w:val="002A0E68"/>
    <w:rsid w:val="002A18ED"/>
    <w:rsid w:val="002A1944"/>
    <w:rsid w:val="002A19DD"/>
    <w:rsid w:val="002A1ADA"/>
    <w:rsid w:val="002A201D"/>
    <w:rsid w:val="002A207B"/>
    <w:rsid w:val="002A2528"/>
    <w:rsid w:val="002A282D"/>
    <w:rsid w:val="002A289F"/>
    <w:rsid w:val="002A28D7"/>
    <w:rsid w:val="002A2959"/>
    <w:rsid w:val="002A326E"/>
    <w:rsid w:val="002A3779"/>
    <w:rsid w:val="002A3D0E"/>
    <w:rsid w:val="002A3D28"/>
    <w:rsid w:val="002A3E85"/>
    <w:rsid w:val="002A4429"/>
    <w:rsid w:val="002A459F"/>
    <w:rsid w:val="002A4899"/>
    <w:rsid w:val="002A4AA6"/>
    <w:rsid w:val="002A5110"/>
    <w:rsid w:val="002A54C4"/>
    <w:rsid w:val="002A58B5"/>
    <w:rsid w:val="002A5C71"/>
    <w:rsid w:val="002A61FD"/>
    <w:rsid w:val="002A622E"/>
    <w:rsid w:val="002A646E"/>
    <w:rsid w:val="002A649F"/>
    <w:rsid w:val="002A655F"/>
    <w:rsid w:val="002A6660"/>
    <w:rsid w:val="002A6BEC"/>
    <w:rsid w:val="002A6DC6"/>
    <w:rsid w:val="002A6EF1"/>
    <w:rsid w:val="002A70C6"/>
    <w:rsid w:val="002A755A"/>
    <w:rsid w:val="002A78DF"/>
    <w:rsid w:val="002A7F25"/>
    <w:rsid w:val="002B0331"/>
    <w:rsid w:val="002B0D80"/>
    <w:rsid w:val="002B1776"/>
    <w:rsid w:val="002B1861"/>
    <w:rsid w:val="002B248A"/>
    <w:rsid w:val="002B2C8F"/>
    <w:rsid w:val="002B2CB7"/>
    <w:rsid w:val="002B30EA"/>
    <w:rsid w:val="002B313B"/>
    <w:rsid w:val="002B330A"/>
    <w:rsid w:val="002B3823"/>
    <w:rsid w:val="002B3860"/>
    <w:rsid w:val="002B3912"/>
    <w:rsid w:val="002B3EA2"/>
    <w:rsid w:val="002B3EEA"/>
    <w:rsid w:val="002B4174"/>
    <w:rsid w:val="002B425E"/>
    <w:rsid w:val="002B4650"/>
    <w:rsid w:val="002B4653"/>
    <w:rsid w:val="002B4C88"/>
    <w:rsid w:val="002B51C7"/>
    <w:rsid w:val="002B5336"/>
    <w:rsid w:val="002B576F"/>
    <w:rsid w:val="002B59B1"/>
    <w:rsid w:val="002B5EFC"/>
    <w:rsid w:val="002B5F3B"/>
    <w:rsid w:val="002B6306"/>
    <w:rsid w:val="002B6309"/>
    <w:rsid w:val="002B63E5"/>
    <w:rsid w:val="002B67F2"/>
    <w:rsid w:val="002B6C2C"/>
    <w:rsid w:val="002B6E9D"/>
    <w:rsid w:val="002B7461"/>
    <w:rsid w:val="002B7509"/>
    <w:rsid w:val="002B75A2"/>
    <w:rsid w:val="002B7803"/>
    <w:rsid w:val="002B7968"/>
    <w:rsid w:val="002C0049"/>
    <w:rsid w:val="002C0257"/>
    <w:rsid w:val="002C0858"/>
    <w:rsid w:val="002C0CA2"/>
    <w:rsid w:val="002C0D2E"/>
    <w:rsid w:val="002C0E1E"/>
    <w:rsid w:val="002C16BF"/>
    <w:rsid w:val="002C1F3E"/>
    <w:rsid w:val="002C2E37"/>
    <w:rsid w:val="002C2FCF"/>
    <w:rsid w:val="002C3882"/>
    <w:rsid w:val="002C3E14"/>
    <w:rsid w:val="002C3E6B"/>
    <w:rsid w:val="002C4591"/>
    <w:rsid w:val="002C518F"/>
    <w:rsid w:val="002C5505"/>
    <w:rsid w:val="002C5580"/>
    <w:rsid w:val="002C5A23"/>
    <w:rsid w:val="002C60FE"/>
    <w:rsid w:val="002C7160"/>
    <w:rsid w:val="002C7274"/>
    <w:rsid w:val="002C736E"/>
    <w:rsid w:val="002D000A"/>
    <w:rsid w:val="002D0179"/>
    <w:rsid w:val="002D06A8"/>
    <w:rsid w:val="002D087C"/>
    <w:rsid w:val="002D09DD"/>
    <w:rsid w:val="002D0AA2"/>
    <w:rsid w:val="002D1787"/>
    <w:rsid w:val="002D1976"/>
    <w:rsid w:val="002D1B04"/>
    <w:rsid w:val="002D1DCE"/>
    <w:rsid w:val="002D247D"/>
    <w:rsid w:val="002D2C43"/>
    <w:rsid w:val="002D2DB1"/>
    <w:rsid w:val="002D34CC"/>
    <w:rsid w:val="002D3D81"/>
    <w:rsid w:val="002D40A6"/>
    <w:rsid w:val="002D430B"/>
    <w:rsid w:val="002D4610"/>
    <w:rsid w:val="002D5913"/>
    <w:rsid w:val="002D5B53"/>
    <w:rsid w:val="002D5EE7"/>
    <w:rsid w:val="002D5FEB"/>
    <w:rsid w:val="002D69BF"/>
    <w:rsid w:val="002D6E95"/>
    <w:rsid w:val="002D73A4"/>
    <w:rsid w:val="002D746D"/>
    <w:rsid w:val="002D74A8"/>
    <w:rsid w:val="002D77C4"/>
    <w:rsid w:val="002E04FE"/>
    <w:rsid w:val="002E0584"/>
    <w:rsid w:val="002E09D1"/>
    <w:rsid w:val="002E16DD"/>
    <w:rsid w:val="002E1B37"/>
    <w:rsid w:val="002E1C7F"/>
    <w:rsid w:val="002E2261"/>
    <w:rsid w:val="002E2542"/>
    <w:rsid w:val="002E259F"/>
    <w:rsid w:val="002E2629"/>
    <w:rsid w:val="002E2655"/>
    <w:rsid w:val="002E2B60"/>
    <w:rsid w:val="002E2DCC"/>
    <w:rsid w:val="002E36F3"/>
    <w:rsid w:val="002E377A"/>
    <w:rsid w:val="002E3A33"/>
    <w:rsid w:val="002E3BB9"/>
    <w:rsid w:val="002E3DFC"/>
    <w:rsid w:val="002E4267"/>
    <w:rsid w:val="002E4805"/>
    <w:rsid w:val="002E4A50"/>
    <w:rsid w:val="002E4E94"/>
    <w:rsid w:val="002E5588"/>
    <w:rsid w:val="002E5613"/>
    <w:rsid w:val="002E58A3"/>
    <w:rsid w:val="002E6490"/>
    <w:rsid w:val="002E659C"/>
    <w:rsid w:val="002E65D4"/>
    <w:rsid w:val="002E6796"/>
    <w:rsid w:val="002E768C"/>
    <w:rsid w:val="002E78D3"/>
    <w:rsid w:val="002E79A6"/>
    <w:rsid w:val="002F0BA7"/>
    <w:rsid w:val="002F0E07"/>
    <w:rsid w:val="002F108A"/>
    <w:rsid w:val="002F130D"/>
    <w:rsid w:val="002F1490"/>
    <w:rsid w:val="002F1567"/>
    <w:rsid w:val="002F1616"/>
    <w:rsid w:val="002F18D5"/>
    <w:rsid w:val="002F1CBC"/>
    <w:rsid w:val="002F1CD0"/>
    <w:rsid w:val="002F1FA7"/>
    <w:rsid w:val="002F2013"/>
    <w:rsid w:val="002F229F"/>
    <w:rsid w:val="002F2AB9"/>
    <w:rsid w:val="002F2CF2"/>
    <w:rsid w:val="002F2E21"/>
    <w:rsid w:val="002F2EB1"/>
    <w:rsid w:val="002F397A"/>
    <w:rsid w:val="002F3A37"/>
    <w:rsid w:val="002F3EFC"/>
    <w:rsid w:val="002F46C3"/>
    <w:rsid w:val="002F46F8"/>
    <w:rsid w:val="002F4A3E"/>
    <w:rsid w:val="002F4C70"/>
    <w:rsid w:val="002F515E"/>
    <w:rsid w:val="002F52C3"/>
    <w:rsid w:val="002F5558"/>
    <w:rsid w:val="002F583C"/>
    <w:rsid w:val="002F5894"/>
    <w:rsid w:val="002F5CAA"/>
    <w:rsid w:val="002F5E10"/>
    <w:rsid w:val="002F62BA"/>
    <w:rsid w:val="002F6507"/>
    <w:rsid w:val="002F68FE"/>
    <w:rsid w:val="002F6DC7"/>
    <w:rsid w:val="002F7531"/>
    <w:rsid w:val="003000D2"/>
    <w:rsid w:val="003003EA"/>
    <w:rsid w:val="00300D1A"/>
    <w:rsid w:val="003012ED"/>
    <w:rsid w:val="00301347"/>
    <w:rsid w:val="003013B1"/>
    <w:rsid w:val="00301A43"/>
    <w:rsid w:val="00301A78"/>
    <w:rsid w:val="00301AB0"/>
    <w:rsid w:val="00301CE8"/>
    <w:rsid w:val="0030210E"/>
    <w:rsid w:val="00302934"/>
    <w:rsid w:val="0030304E"/>
    <w:rsid w:val="0030388E"/>
    <w:rsid w:val="003039E8"/>
    <w:rsid w:val="00303F91"/>
    <w:rsid w:val="0030407D"/>
    <w:rsid w:val="0030446F"/>
    <w:rsid w:val="00304618"/>
    <w:rsid w:val="00304A8B"/>
    <w:rsid w:val="00304EDA"/>
    <w:rsid w:val="00305158"/>
    <w:rsid w:val="0030574E"/>
    <w:rsid w:val="00305828"/>
    <w:rsid w:val="00305897"/>
    <w:rsid w:val="00305902"/>
    <w:rsid w:val="00305AC8"/>
    <w:rsid w:val="003060E6"/>
    <w:rsid w:val="00306218"/>
    <w:rsid w:val="00306267"/>
    <w:rsid w:val="003064A5"/>
    <w:rsid w:val="0030780E"/>
    <w:rsid w:val="00307CBF"/>
    <w:rsid w:val="00307F26"/>
    <w:rsid w:val="00310A27"/>
    <w:rsid w:val="003112DC"/>
    <w:rsid w:val="0031143D"/>
    <w:rsid w:val="003115EF"/>
    <w:rsid w:val="00311673"/>
    <w:rsid w:val="00311921"/>
    <w:rsid w:val="00311B66"/>
    <w:rsid w:val="003120EA"/>
    <w:rsid w:val="003123A5"/>
    <w:rsid w:val="00312759"/>
    <w:rsid w:val="003127BB"/>
    <w:rsid w:val="0031290F"/>
    <w:rsid w:val="00312B54"/>
    <w:rsid w:val="00312E8F"/>
    <w:rsid w:val="00313335"/>
    <w:rsid w:val="00313580"/>
    <w:rsid w:val="003138D7"/>
    <w:rsid w:val="003140A6"/>
    <w:rsid w:val="00314343"/>
    <w:rsid w:val="00314A4C"/>
    <w:rsid w:val="00314D9F"/>
    <w:rsid w:val="00314E30"/>
    <w:rsid w:val="00314F9E"/>
    <w:rsid w:val="00315649"/>
    <w:rsid w:val="00315890"/>
    <w:rsid w:val="003161B2"/>
    <w:rsid w:val="00316734"/>
    <w:rsid w:val="00317159"/>
    <w:rsid w:val="00317183"/>
    <w:rsid w:val="003177EE"/>
    <w:rsid w:val="00317A85"/>
    <w:rsid w:val="00317B13"/>
    <w:rsid w:val="00317C9E"/>
    <w:rsid w:val="00317CBF"/>
    <w:rsid w:val="00317FE7"/>
    <w:rsid w:val="00320143"/>
    <w:rsid w:val="003201BB"/>
    <w:rsid w:val="00320486"/>
    <w:rsid w:val="00320881"/>
    <w:rsid w:val="00320E9A"/>
    <w:rsid w:val="00320EF2"/>
    <w:rsid w:val="00320FBC"/>
    <w:rsid w:val="00321206"/>
    <w:rsid w:val="00321F4C"/>
    <w:rsid w:val="003220F2"/>
    <w:rsid w:val="00322C07"/>
    <w:rsid w:val="00322D06"/>
    <w:rsid w:val="0032345D"/>
    <w:rsid w:val="0032374E"/>
    <w:rsid w:val="00323A08"/>
    <w:rsid w:val="00323BB7"/>
    <w:rsid w:val="00323BFA"/>
    <w:rsid w:val="00323D1C"/>
    <w:rsid w:val="003248E1"/>
    <w:rsid w:val="00324B4C"/>
    <w:rsid w:val="00324C38"/>
    <w:rsid w:val="00324EB1"/>
    <w:rsid w:val="0032518E"/>
    <w:rsid w:val="003251D8"/>
    <w:rsid w:val="00325281"/>
    <w:rsid w:val="0032530A"/>
    <w:rsid w:val="003254F4"/>
    <w:rsid w:val="00325600"/>
    <w:rsid w:val="0032580A"/>
    <w:rsid w:val="00325B5A"/>
    <w:rsid w:val="00325C29"/>
    <w:rsid w:val="00326645"/>
    <w:rsid w:val="0032682D"/>
    <w:rsid w:val="00326872"/>
    <w:rsid w:val="00326A65"/>
    <w:rsid w:val="00326B98"/>
    <w:rsid w:val="00327008"/>
    <w:rsid w:val="003275A5"/>
    <w:rsid w:val="00327948"/>
    <w:rsid w:val="00327B79"/>
    <w:rsid w:val="00330BAB"/>
    <w:rsid w:val="0033100C"/>
    <w:rsid w:val="00331070"/>
    <w:rsid w:val="00331310"/>
    <w:rsid w:val="0033146B"/>
    <w:rsid w:val="00331517"/>
    <w:rsid w:val="003316F3"/>
    <w:rsid w:val="00331A06"/>
    <w:rsid w:val="00331B41"/>
    <w:rsid w:val="003322FB"/>
    <w:rsid w:val="00332ECF"/>
    <w:rsid w:val="003331F2"/>
    <w:rsid w:val="00333738"/>
    <w:rsid w:val="003339A5"/>
    <w:rsid w:val="00333FAB"/>
    <w:rsid w:val="00334112"/>
    <w:rsid w:val="003343E3"/>
    <w:rsid w:val="003347C1"/>
    <w:rsid w:val="00334ADA"/>
    <w:rsid w:val="00334FCD"/>
    <w:rsid w:val="00334FF1"/>
    <w:rsid w:val="00335512"/>
    <w:rsid w:val="0033581C"/>
    <w:rsid w:val="00335993"/>
    <w:rsid w:val="00335B17"/>
    <w:rsid w:val="00335CCE"/>
    <w:rsid w:val="00336137"/>
    <w:rsid w:val="00336CC6"/>
    <w:rsid w:val="00336DF0"/>
    <w:rsid w:val="0033700E"/>
    <w:rsid w:val="0033745B"/>
    <w:rsid w:val="003375F7"/>
    <w:rsid w:val="00337656"/>
    <w:rsid w:val="0033790E"/>
    <w:rsid w:val="00337B71"/>
    <w:rsid w:val="00340806"/>
    <w:rsid w:val="00340944"/>
    <w:rsid w:val="00340B0B"/>
    <w:rsid w:val="00340C8D"/>
    <w:rsid w:val="00340C97"/>
    <w:rsid w:val="00340DE7"/>
    <w:rsid w:val="00340DFA"/>
    <w:rsid w:val="00341A96"/>
    <w:rsid w:val="0034217F"/>
    <w:rsid w:val="003421E2"/>
    <w:rsid w:val="00342430"/>
    <w:rsid w:val="00342470"/>
    <w:rsid w:val="00342707"/>
    <w:rsid w:val="00342723"/>
    <w:rsid w:val="00342E23"/>
    <w:rsid w:val="00342EE3"/>
    <w:rsid w:val="0034317E"/>
    <w:rsid w:val="003435CE"/>
    <w:rsid w:val="00343857"/>
    <w:rsid w:val="00343870"/>
    <w:rsid w:val="0034398A"/>
    <w:rsid w:val="00343B5F"/>
    <w:rsid w:val="00343CC4"/>
    <w:rsid w:val="00343E10"/>
    <w:rsid w:val="00344191"/>
    <w:rsid w:val="003447D5"/>
    <w:rsid w:val="00344AAC"/>
    <w:rsid w:val="00344D13"/>
    <w:rsid w:val="00345018"/>
    <w:rsid w:val="003453D9"/>
    <w:rsid w:val="00345912"/>
    <w:rsid w:val="003459E3"/>
    <w:rsid w:val="00345BFA"/>
    <w:rsid w:val="00345D47"/>
    <w:rsid w:val="0034608C"/>
    <w:rsid w:val="00346578"/>
    <w:rsid w:val="0034674D"/>
    <w:rsid w:val="003467DD"/>
    <w:rsid w:val="00346845"/>
    <w:rsid w:val="003468F4"/>
    <w:rsid w:val="00346EAA"/>
    <w:rsid w:val="003474E0"/>
    <w:rsid w:val="003478F8"/>
    <w:rsid w:val="00347A46"/>
    <w:rsid w:val="00347D9E"/>
    <w:rsid w:val="00347DAE"/>
    <w:rsid w:val="00347DC4"/>
    <w:rsid w:val="003503EA"/>
    <w:rsid w:val="003504A8"/>
    <w:rsid w:val="00350532"/>
    <w:rsid w:val="003509AE"/>
    <w:rsid w:val="0035111A"/>
    <w:rsid w:val="0035174A"/>
    <w:rsid w:val="003521B4"/>
    <w:rsid w:val="00352A02"/>
    <w:rsid w:val="0035309D"/>
    <w:rsid w:val="00354B47"/>
    <w:rsid w:val="00354F09"/>
    <w:rsid w:val="0035512A"/>
    <w:rsid w:val="00355167"/>
    <w:rsid w:val="00355180"/>
    <w:rsid w:val="00355DF9"/>
    <w:rsid w:val="003561BF"/>
    <w:rsid w:val="003563C6"/>
    <w:rsid w:val="003564FB"/>
    <w:rsid w:val="0035652E"/>
    <w:rsid w:val="003565D4"/>
    <w:rsid w:val="00357165"/>
    <w:rsid w:val="0035728A"/>
    <w:rsid w:val="003573E0"/>
    <w:rsid w:val="00357526"/>
    <w:rsid w:val="003576D7"/>
    <w:rsid w:val="0035770A"/>
    <w:rsid w:val="00357780"/>
    <w:rsid w:val="003579D6"/>
    <w:rsid w:val="00357CB2"/>
    <w:rsid w:val="003602DB"/>
    <w:rsid w:val="003607D2"/>
    <w:rsid w:val="00360E31"/>
    <w:rsid w:val="00361005"/>
    <w:rsid w:val="00361086"/>
    <w:rsid w:val="0036151A"/>
    <w:rsid w:val="00361995"/>
    <w:rsid w:val="003619BC"/>
    <w:rsid w:val="00361D48"/>
    <w:rsid w:val="00361F69"/>
    <w:rsid w:val="0036217C"/>
    <w:rsid w:val="00362313"/>
    <w:rsid w:val="0036233D"/>
    <w:rsid w:val="003626C9"/>
    <w:rsid w:val="0036272B"/>
    <w:rsid w:val="003629A7"/>
    <w:rsid w:val="00362BCD"/>
    <w:rsid w:val="00362C96"/>
    <w:rsid w:val="00363565"/>
    <w:rsid w:val="0036360F"/>
    <w:rsid w:val="00363B48"/>
    <w:rsid w:val="00363F3F"/>
    <w:rsid w:val="00364258"/>
    <w:rsid w:val="00364508"/>
    <w:rsid w:val="0036479C"/>
    <w:rsid w:val="00364A03"/>
    <w:rsid w:val="00364B30"/>
    <w:rsid w:val="00364BCE"/>
    <w:rsid w:val="00364EEB"/>
    <w:rsid w:val="00364FF5"/>
    <w:rsid w:val="00365142"/>
    <w:rsid w:val="00365525"/>
    <w:rsid w:val="00365B91"/>
    <w:rsid w:val="00365EB4"/>
    <w:rsid w:val="00365F92"/>
    <w:rsid w:val="0036623B"/>
    <w:rsid w:val="00366BE1"/>
    <w:rsid w:val="00366E55"/>
    <w:rsid w:val="00366FC5"/>
    <w:rsid w:val="0036712C"/>
    <w:rsid w:val="00367164"/>
    <w:rsid w:val="003677AF"/>
    <w:rsid w:val="00367AD8"/>
    <w:rsid w:val="00367DC9"/>
    <w:rsid w:val="0037005D"/>
    <w:rsid w:val="00370BF6"/>
    <w:rsid w:val="0037119E"/>
    <w:rsid w:val="003714A4"/>
    <w:rsid w:val="00371C40"/>
    <w:rsid w:val="0037214C"/>
    <w:rsid w:val="00372543"/>
    <w:rsid w:val="0037284C"/>
    <w:rsid w:val="00372B28"/>
    <w:rsid w:val="00372C34"/>
    <w:rsid w:val="00372D2E"/>
    <w:rsid w:val="003730F5"/>
    <w:rsid w:val="00373378"/>
    <w:rsid w:val="00373A9E"/>
    <w:rsid w:val="00373ADD"/>
    <w:rsid w:val="0037426E"/>
    <w:rsid w:val="0037456A"/>
    <w:rsid w:val="00374CF9"/>
    <w:rsid w:val="00374D5C"/>
    <w:rsid w:val="00375386"/>
    <w:rsid w:val="003753C5"/>
    <w:rsid w:val="00375456"/>
    <w:rsid w:val="003756CA"/>
    <w:rsid w:val="003758D3"/>
    <w:rsid w:val="00375E79"/>
    <w:rsid w:val="00376157"/>
    <w:rsid w:val="00376183"/>
    <w:rsid w:val="00376923"/>
    <w:rsid w:val="00376B4F"/>
    <w:rsid w:val="00376DFB"/>
    <w:rsid w:val="00376F1E"/>
    <w:rsid w:val="0037746E"/>
    <w:rsid w:val="00377B86"/>
    <w:rsid w:val="00377B8D"/>
    <w:rsid w:val="00380065"/>
    <w:rsid w:val="003801E9"/>
    <w:rsid w:val="0038082E"/>
    <w:rsid w:val="00380A82"/>
    <w:rsid w:val="00380D95"/>
    <w:rsid w:val="00380F3B"/>
    <w:rsid w:val="00381390"/>
    <w:rsid w:val="00381400"/>
    <w:rsid w:val="0038149D"/>
    <w:rsid w:val="00381C50"/>
    <w:rsid w:val="00382796"/>
    <w:rsid w:val="00382A29"/>
    <w:rsid w:val="003830E9"/>
    <w:rsid w:val="0038310D"/>
    <w:rsid w:val="003831FC"/>
    <w:rsid w:val="00383381"/>
    <w:rsid w:val="00383389"/>
    <w:rsid w:val="00383955"/>
    <w:rsid w:val="00384148"/>
    <w:rsid w:val="00384274"/>
    <w:rsid w:val="00384A88"/>
    <w:rsid w:val="00385147"/>
    <w:rsid w:val="0038529E"/>
    <w:rsid w:val="003852B1"/>
    <w:rsid w:val="003853C1"/>
    <w:rsid w:val="00385B80"/>
    <w:rsid w:val="00385D67"/>
    <w:rsid w:val="00386548"/>
    <w:rsid w:val="0038711C"/>
    <w:rsid w:val="0038720E"/>
    <w:rsid w:val="003877AB"/>
    <w:rsid w:val="0038799F"/>
    <w:rsid w:val="00387E53"/>
    <w:rsid w:val="0039009E"/>
    <w:rsid w:val="0039016D"/>
    <w:rsid w:val="00390622"/>
    <w:rsid w:val="003907E2"/>
    <w:rsid w:val="003908B8"/>
    <w:rsid w:val="003911D1"/>
    <w:rsid w:val="003913D9"/>
    <w:rsid w:val="00392244"/>
    <w:rsid w:val="0039260C"/>
    <w:rsid w:val="0039267F"/>
    <w:rsid w:val="00392747"/>
    <w:rsid w:val="00393520"/>
    <w:rsid w:val="00393890"/>
    <w:rsid w:val="00393D7F"/>
    <w:rsid w:val="00393E83"/>
    <w:rsid w:val="00394189"/>
    <w:rsid w:val="00394191"/>
    <w:rsid w:val="00394248"/>
    <w:rsid w:val="00394EF7"/>
    <w:rsid w:val="0039503A"/>
    <w:rsid w:val="003951E6"/>
    <w:rsid w:val="00395B9B"/>
    <w:rsid w:val="00396766"/>
    <w:rsid w:val="0039686B"/>
    <w:rsid w:val="00396CA5"/>
    <w:rsid w:val="00397267"/>
    <w:rsid w:val="003975A1"/>
    <w:rsid w:val="00397683"/>
    <w:rsid w:val="00397BDA"/>
    <w:rsid w:val="00397D05"/>
    <w:rsid w:val="003A0A0F"/>
    <w:rsid w:val="003A0AAB"/>
    <w:rsid w:val="003A1060"/>
    <w:rsid w:val="003A1441"/>
    <w:rsid w:val="003A1572"/>
    <w:rsid w:val="003A164C"/>
    <w:rsid w:val="003A17EF"/>
    <w:rsid w:val="003A1A23"/>
    <w:rsid w:val="003A1ECA"/>
    <w:rsid w:val="003A2184"/>
    <w:rsid w:val="003A260D"/>
    <w:rsid w:val="003A3054"/>
    <w:rsid w:val="003A39FF"/>
    <w:rsid w:val="003A42EC"/>
    <w:rsid w:val="003A488F"/>
    <w:rsid w:val="003A491C"/>
    <w:rsid w:val="003A4A24"/>
    <w:rsid w:val="003A4AE7"/>
    <w:rsid w:val="003A4CF8"/>
    <w:rsid w:val="003A4E0D"/>
    <w:rsid w:val="003A5303"/>
    <w:rsid w:val="003A532C"/>
    <w:rsid w:val="003A5A94"/>
    <w:rsid w:val="003A5D7D"/>
    <w:rsid w:val="003A5E6E"/>
    <w:rsid w:val="003A5EA5"/>
    <w:rsid w:val="003A6678"/>
    <w:rsid w:val="003A6894"/>
    <w:rsid w:val="003A6A07"/>
    <w:rsid w:val="003A6B45"/>
    <w:rsid w:val="003A7604"/>
    <w:rsid w:val="003A76F3"/>
    <w:rsid w:val="003A7818"/>
    <w:rsid w:val="003A7C11"/>
    <w:rsid w:val="003B008C"/>
    <w:rsid w:val="003B00D7"/>
    <w:rsid w:val="003B0860"/>
    <w:rsid w:val="003B0907"/>
    <w:rsid w:val="003B0CAA"/>
    <w:rsid w:val="003B0E71"/>
    <w:rsid w:val="003B1027"/>
    <w:rsid w:val="003B1105"/>
    <w:rsid w:val="003B124D"/>
    <w:rsid w:val="003B12B0"/>
    <w:rsid w:val="003B1B3E"/>
    <w:rsid w:val="003B1D5D"/>
    <w:rsid w:val="003B1E82"/>
    <w:rsid w:val="003B1FE8"/>
    <w:rsid w:val="003B2347"/>
    <w:rsid w:val="003B273E"/>
    <w:rsid w:val="003B2790"/>
    <w:rsid w:val="003B3861"/>
    <w:rsid w:val="003B3A66"/>
    <w:rsid w:val="003B3AA0"/>
    <w:rsid w:val="003B3C1A"/>
    <w:rsid w:val="003B3E00"/>
    <w:rsid w:val="003B4FAD"/>
    <w:rsid w:val="003B51E0"/>
    <w:rsid w:val="003B5757"/>
    <w:rsid w:val="003B5CE5"/>
    <w:rsid w:val="003B5E0E"/>
    <w:rsid w:val="003B5FAF"/>
    <w:rsid w:val="003B6012"/>
    <w:rsid w:val="003B6043"/>
    <w:rsid w:val="003B6126"/>
    <w:rsid w:val="003B6633"/>
    <w:rsid w:val="003B7066"/>
    <w:rsid w:val="003B7178"/>
    <w:rsid w:val="003B7660"/>
    <w:rsid w:val="003B7781"/>
    <w:rsid w:val="003B78B6"/>
    <w:rsid w:val="003B7A26"/>
    <w:rsid w:val="003B7A6B"/>
    <w:rsid w:val="003C0372"/>
    <w:rsid w:val="003C0643"/>
    <w:rsid w:val="003C0A71"/>
    <w:rsid w:val="003C0D99"/>
    <w:rsid w:val="003C11AD"/>
    <w:rsid w:val="003C19BE"/>
    <w:rsid w:val="003C1B79"/>
    <w:rsid w:val="003C22C5"/>
    <w:rsid w:val="003C2873"/>
    <w:rsid w:val="003C2886"/>
    <w:rsid w:val="003C2961"/>
    <w:rsid w:val="003C2A8E"/>
    <w:rsid w:val="003C2C13"/>
    <w:rsid w:val="003C319F"/>
    <w:rsid w:val="003C38F1"/>
    <w:rsid w:val="003C39C6"/>
    <w:rsid w:val="003C3CE5"/>
    <w:rsid w:val="003C3F42"/>
    <w:rsid w:val="003C4137"/>
    <w:rsid w:val="003C4331"/>
    <w:rsid w:val="003C439D"/>
    <w:rsid w:val="003C4D3B"/>
    <w:rsid w:val="003C4E8E"/>
    <w:rsid w:val="003C527F"/>
    <w:rsid w:val="003C5A16"/>
    <w:rsid w:val="003C5DD2"/>
    <w:rsid w:val="003C6187"/>
    <w:rsid w:val="003C6272"/>
    <w:rsid w:val="003C655D"/>
    <w:rsid w:val="003C671C"/>
    <w:rsid w:val="003C67CF"/>
    <w:rsid w:val="003C6910"/>
    <w:rsid w:val="003C6ABD"/>
    <w:rsid w:val="003C6D2A"/>
    <w:rsid w:val="003C6D4E"/>
    <w:rsid w:val="003C7118"/>
    <w:rsid w:val="003C7CBE"/>
    <w:rsid w:val="003D043D"/>
    <w:rsid w:val="003D0B8F"/>
    <w:rsid w:val="003D0BAE"/>
    <w:rsid w:val="003D161F"/>
    <w:rsid w:val="003D1659"/>
    <w:rsid w:val="003D18A3"/>
    <w:rsid w:val="003D1902"/>
    <w:rsid w:val="003D1C3B"/>
    <w:rsid w:val="003D1DD4"/>
    <w:rsid w:val="003D1F94"/>
    <w:rsid w:val="003D2363"/>
    <w:rsid w:val="003D2494"/>
    <w:rsid w:val="003D27DC"/>
    <w:rsid w:val="003D2936"/>
    <w:rsid w:val="003D314F"/>
    <w:rsid w:val="003D3178"/>
    <w:rsid w:val="003D415F"/>
    <w:rsid w:val="003D41A0"/>
    <w:rsid w:val="003D4530"/>
    <w:rsid w:val="003D4EB0"/>
    <w:rsid w:val="003D4F87"/>
    <w:rsid w:val="003D4FB0"/>
    <w:rsid w:val="003D520D"/>
    <w:rsid w:val="003D524C"/>
    <w:rsid w:val="003D53C5"/>
    <w:rsid w:val="003D54F5"/>
    <w:rsid w:val="003D5845"/>
    <w:rsid w:val="003D5D93"/>
    <w:rsid w:val="003D5EBA"/>
    <w:rsid w:val="003D5F92"/>
    <w:rsid w:val="003D65B9"/>
    <w:rsid w:val="003D66F4"/>
    <w:rsid w:val="003D6FD6"/>
    <w:rsid w:val="003D7010"/>
    <w:rsid w:val="003D702B"/>
    <w:rsid w:val="003D71C9"/>
    <w:rsid w:val="003D78DD"/>
    <w:rsid w:val="003D7AF6"/>
    <w:rsid w:val="003E051E"/>
    <w:rsid w:val="003E0A68"/>
    <w:rsid w:val="003E0B3C"/>
    <w:rsid w:val="003E1132"/>
    <w:rsid w:val="003E16F1"/>
    <w:rsid w:val="003E181A"/>
    <w:rsid w:val="003E1900"/>
    <w:rsid w:val="003E1962"/>
    <w:rsid w:val="003E1A0D"/>
    <w:rsid w:val="003E1A30"/>
    <w:rsid w:val="003E1C62"/>
    <w:rsid w:val="003E2161"/>
    <w:rsid w:val="003E2214"/>
    <w:rsid w:val="003E2215"/>
    <w:rsid w:val="003E264C"/>
    <w:rsid w:val="003E26BF"/>
    <w:rsid w:val="003E2EF2"/>
    <w:rsid w:val="003E2F7E"/>
    <w:rsid w:val="003E2FA2"/>
    <w:rsid w:val="003E3496"/>
    <w:rsid w:val="003E3953"/>
    <w:rsid w:val="003E39FA"/>
    <w:rsid w:val="003E3E0B"/>
    <w:rsid w:val="003E3E64"/>
    <w:rsid w:val="003E4211"/>
    <w:rsid w:val="003E460F"/>
    <w:rsid w:val="003E54A3"/>
    <w:rsid w:val="003E5A91"/>
    <w:rsid w:val="003E5F15"/>
    <w:rsid w:val="003E6096"/>
    <w:rsid w:val="003E642A"/>
    <w:rsid w:val="003E6537"/>
    <w:rsid w:val="003E658C"/>
    <w:rsid w:val="003E6923"/>
    <w:rsid w:val="003E69F1"/>
    <w:rsid w:val="003E6A27"/>
    <w:rsid w:val="003E6D6C"/>
    <w:rsid w:val="003E7371"/>
    <w:rsid w:val="003E7457"/>
    <w:rsid w:val="003E7B7D"/>
    <w:rsid w:val="003E7F22"/>
    <w:rsid w:val="003F0235"/>
    <w:rsid w:val="003F1055"/>
    <w:rsid w:val="003F10D9"/>
    <w:rsid w:val="003F13B1"/>
    <w:rsid w:val="003F185C"/>
    <w:rsid w:val="003F18A9"/>
    <w:rsid w:val="003F1AD0"/>
    <w:rsid w:val="003F1CA6"/>
    <w:rsid w:val="003F1E94"/>
    <w:rsid w:val="003F1ED5"/>
    <w:rsid w:val="003F1EED"/>
    <w:rsid w:val="003F1F43"/>
    <w:rsid w:val="003F2BFB"/>
    <w:rsid w:val="003F2D58"/>
    <w:rsid w:val="003F2DE2"/>
    <w:rsid w:val="003F315B"/>
    <w:rsid w:val="003F3207"/>
    <w:rsid w:val="003F3214"/>
    <w:rsid w:val="003F32F0"/>
    <w:rsid w:val="003F33FC"/>
    <w:rsid w:val="003F3599"/>
    <w:rsid w:val="003F3939"/>
    <w:rsid w:val="003F3CB2"/>
    <w:rsid w:val="003F3D49"/>
    <w:rsid w:val="003F3FEC"/>
    <w:rsid w:val="003F45CD"/>
    <w:rsid w:val="003F4927"/>
    <w:rsid w:val="003F4C27"/>
    <w:rsid w:val="003F4D8A"/>
    <w:rsid w:val="003F4DAC"/>
    <w:rsid w:val="003F5247"/>
    <w:rsid w:val="003F617E"/>
    <w:rsid w:val="003F670D"/>
    <w:rsid w:val="003F6B4B"/>
    <w:rsid w:val="003F7250"/>
    <w:rsid w:val="003F7291"/>
    <w:rsid w:val="003F75B3"/>
    <w:rsid w:val="003F7637"/>
    <w:rsid w:val="003F7902"/>
    <w:rsid w:val="003F7A97"/>
    <w:rsid w:val="003F7F89"/>
    <w:rsid w:val="003F7FC3"/>
    <w:rsid w:val="00400011"/>
    <w:rsid w:val="00400661"/>
    <w:rsid w:val="00400CCA"/>
    <w:rsid w:val="00401511"/>
    <w:rsid w:val="00401CD9"/>
    <w:rsid w:val="00401ECA"/>
    <w:rsid w:val="00402429"/>
    <w:rsid w:val="004024F2"/>
    <w:rsid w:val="0040269F"/>
    <w:rsid w:val="00402A65"/>
    <w:rsid w:val="00402FB5"/>
    <w:rsid w:val="00403354"/>
    <w:rsid w:val="00403463"/>
    <w:rsid w:val="00404166"/>
    <w:rsid w:val="00404230"/>
    <w:rsid w:val="004045BC"/>
    <w:rsid w:val="0040473A"/>
    <w:rsid w:val="00404D26"/>
    <w:rsid w:val="00405175"/>
    <w:rsid w:val="00405298"/>
    <w:rsid w:val="004053E8"/>
    <w:rsid w:val="004054C0"/>
    <w:rsid w:val="0040582E"/>
    <w:rsid w:val="00405A5B"/>
    <w:rsid w:val="00405C9C"/>
    <w:rsid w:val="004064F8"/>
    <w:rsid w:val="004066A9"/>
    <w:rsid w:val="00406814"/>
    <w:rsid w:val="004073B8"/>
    <w:rsid w:val="004078CA"/>
    <w:rsid w:val="00407AA1"/>
    <w:rsid w:val="00410530"/>
    <w:rsid w:val="00410572"/>
    <w:rsid w:val="004106B3"/>
    <w:rsid w:val="004109CD"/>
    <w:rsid w:val="0041131A"/>
    <w:rsid w:val="004114C5"/>
    <w:rsid w:val="00411595"/>
    <w:rsid w:val="004119B0"/>
    <w:rsid w:val="00411D04"/>
    <w:rsid w:val="00411E91"/>
    <w:rsid w:val="00411EE8"/>
    <w:rsid w:val="0041205D"/>
    <w:rsid w:val="004120E6"/>
    <w:rsid w:val="004124C3"/>
    <w:rsid w:val="00412556"/>
    <w:rsid w:val="00412633"/>
    <w:rsid w:val="0041271E"/>
    <w:rsid w:val="0041287F"/>
    <w:rsid w:val="00412AA8"/>
    <w:rsid w:val="00412F69"/>
    <w:rsid w:val="0041366D"/>
    <w:rsid w:val="00413818"/>
    <w:rsid w:val="00413BF1"/>
    <w:rsid w:val="00413CF1"/>
    <w:rsid w:val="00413F2F"/>
    <w:rsid w:val="00414128"/>
    <w:rsid w:val="0041424C"/>
    <w:rsid w:val="004143FE"/>
    <w:rsid w:val="004150BD"/>
    <w:rsid w:val="004151B2"/>
    <w:rsid w:val="00415263"/>
    <w:rsid w:val="004158BB"/>
    <w:rsid w:val="00415C83"/>
    <w:rsid w:val="0041651A"/>
    <w:rsid w:val="00416DDF"/>
    <w:rsid w:val="0041794F"/>
    <w:rsid w:val="00417E74"/>
    <w:rsid w:val="004202BF"/>
    <w:rsid w:val="0042038C"/>
    <w:rsid w:val="004205E7"/>
    <w:rsid w:val="00420867"/>
    <w:rsid w:val="004210B4"/>
    <w:rsid w:val="0042124E"/>
    <w:rsid w:val="004212AC"/>
    <w:rsid w:val="00421730"/>
    <w:rsid w:val="00421946"/>
    <w:rsid w:val="0042241D"/>
    <w:rsid w:val="00422ACE"/>
    <w:rsid w:val="00422D5E"/>
    <w:rsid w:val="00422E4D"/>
    <w:rsid w:val="004237C1"/>
    <w:rsid w:val="004239E2"/>
    <w:rsid w:val="00423C2D"/>
    <w:rsid w:val="00424B8A"/>
    <w:rsid w:val="00424C17"/>
    <w:rsid w:val="00426284"/>
    <w:rsid w:val="0042637C"/>
    <w:rsid w:val="0042662F"/>
    <w:rsid w:val="00426876"/>
    <w:rsid w:val="004268DB"/>
    <w:rsid w:val="00426938"/>
    <w:rsid w:val="0042703C"/>
    <w:rsid w:val="0042756A"/>
    <w:rsid w:val="004277BB"/>
    <w:rsid w:val="00427BBD"/>
    <w:rsid w:val="00427C7D"/>
    <w:rsid w:val="00427CAB"/>
    <w:rsid w:val="00427F76"/>
    <w:rsid w:val="00430498"/>
    <w:rsid w:val="00430C2F"/>
    <w:rsid w:val="00431095"/>
    <w:rsid w:val="00431325"/>
    <w:rsid w:val="00431429"/>
    <w:rsid w:val="0043180C"/>
    <w:rsid w:val="00432093"/>
    <w:rsid w:val="004330F3"/>
    <w:rsid w:val="004333D4"/>
    <w:rsid w:val="004334EB"/>
    <w:rsid w:val="004338CD"/>
    <w:rsid w:val="00433A79"/>
    <w:rsid w:val="00434107"/>
    <w:rsid w:val="00434501"/>
    <w:rsid w:val="004345F9"/>
    <w:rsid w:val="00434777"/>
    <w:rsid w:val="00434BA6"/>
    <w:rsid w:val="00434D86"/>
    <w:rsid w:val="00434F6F"/>
    <w:rsid w:val="004351C1"/>
    <w:rsid w:val="004353ED"/>
    <w:rsid w:val="004355E1"/>
    <w:rsid w:val="00435659"/>
    <w:rsid w:val="004357C2"/>
    <w:rsid w:val="00435D48"/>
    <w:rsid w:val="00436228"/>
    <w:rsid w:val="0043672A"/>
    <w:rsid w:val="00436A2D"/>
    <w:rsid w:val="00436D18"/>
    <w:rsid w:val="00436ED0"/>
    <w:rsid w:val="00437651"/>
    <w:rsid w:val="0043785E"/>
    <w:rsid w:val="00437B17"/>
    <w:rsid w:val="00437C4F"/>
    <w:rsid w:val="00437D70"/>
    <w:rsid w:val="00437F31"/>
    <w:rsid w:val="004407E7"/>
    <w:rsid w:val="004408C4"/>
    <w:rsid w:val="004408EC"/>
    <w:rsid w:val="0044099F"/>
    <w:rsid w:val="00441149"/>
    <w:rsid w:val="004414EC"/>
    <w:rsid w:val="0044198F"/>
    <w:rsid w:val="00441B59"/>
    <w:rsid w:val="0044203E"/>
    <w:rsid w:val="004421DB"/>
    <w:rsid w:val="0044287B"/>
    <w:rsid w:val="00442A9A"/>
    <w:rsid w:val="00442AC1"/>
    <w:rsid w:val="00442DF4"/>
    <w:rsid w:val="00442E52"/>
    <w:rsid w:val="0044304E"/>
    <w:rsid w:val="00443080"/>
    <w:rsid w:val="0044316B"/>
    <w:rsid w:val="0044333E"/>
    <w:rsid w:val="004433CD"/>
    <w:rsid w:val="004438C3"/>
    <w:rsid w:val="004439BD"/>
    <w:rsid w:val="0044426C"/>
    <w:rsid w:val="004443A3"/>
    <w:rsid w:val="0044483E"/>
    <w:rsid w:val="00444B85"/>
    <w:rsid w:val="00444EB6"/>
    <w:rsid w:val="00444F65"/>
    <w:rsid w:val="00445293"/>
    <w:rsid w:val="00445368"/>
    <w:rsid w:val="004454B3"/>
    <w:rsid w:val="0044559A"/>
    <w:rsid w:val="004459AF"/>
    <w:rsid w:val="004460B8"/>
    <w:rsid w:val="00446196"/>
    <w:rsid w:val="0044671F"/>
    <w:rsid w:val="00446763"/>
    <w:rsid w:val="00446A46"/>
    <w:rsid w:val="00446F40"/>
    <w:rsid w:val="0044702C"/>
    <w:rsid w:val="0044740C"/>
    <w:rsid w:val="00447A45"/>
    <w:rsid w:val="00447B27"/>
    <w:rsid w:val="00447BEE"/>
    <w:rsid w:val="00447DC3"/>
    <w:rsid w:val="004501BD"/>
    <w:rsid w:val="0045031A"/>
    <w:rsid w:val="00450509"/>
    <w:rsid w:val="00450768"/>
    <w:rsid w:val="004509B0"/>
    <w:rsid w:val="00450B46"/>
    <w:rsid w:val="0045106C"/>
    <w:rsid w:val="00451079"/>
    <w:rsid w:val="0045128D"/>
    <w:rsid w:val="00451340"/>
    <w:rsid w:val="00451859"/>
    <w:rsid w:val="00451B4B"/>
    <w:rsid w:val="00451BAC"/>
    <w:rsid w:val="00452048"/>
    <w:rsid w:val="004521DC"/>
    <w:rsid w:val="00452607"/>
    <w:rsid w:val="0045266C"/>
    <w:rsid w:val="004527E3"/>
    <w:rsid w:val="00452A74"/>
    <w:rsid w:val="00452D67"/>
    <w:rsid w:val="00452E27"/>
    <w:rsid w:val="0045345F"/>
    <w:rsid w:val="0045399C"/>
    <w:rsid w:val="004540B1"/>
    <w:rsid w:val="004540DD"/>
    <w:rsid w:val="004545A2"/>
    <w:rsid w:val="004546B5"/>
    <w:rsid w:val="0045476F"/>
    <w:rsid w:val="00454888"/>
    <w:rsid w:val="00454AFD"/>
    <w:rsid w:val="00454B30"/>
    <w:rsid w:val="00454F61"/>
    <w:rsid w:val="004550B3"/>
    <w:rsid w:val="0045523A"/>
    <w:rsid w:val="0045532B"/>
    <w:rsid w:val="00455614"/>
    <w:rsid w:val="0045569B"/>
    <w:rsid w:val="00455C72"/>
    <w:rsid w:val="00455EE0"/>
    <w:rsid w:val="00456DFF"/>
    <w:rsid w:val="00457174"/>
    <w:rsid w:val="004573D2"/>
    <w:rsid w:val="004577F6"/>
    <w:rsid w:val="004601ED"/>
    <w:rsid w:val="004603E2"/>
    <w:rsid w:val="004608A5"/>
    <w:rsid w:val="00460D63"/>
    <w:rsid w:val="00460FBB"/>
    <w:rsid w:val="00461001"/>
    <w:rsid w:val="00461390"/>
    <w:rsid w:val="0046156C"/>
    <w:rsid w:val="00461667"/>
    <w:rsid w:val="00461752"/>
    <w:rsid w:val="00461949"/>
    <w:rsid w:val="00461C8B"/>
    <w:rsid w:val="00461F1F"/>
    <w:rsid w:val="0046279F"/>
    <w:rsid w:val="004627C5"/>
    <w:rsid w:val="004630A6"/>
    <w:rsid w:val="00463DF7"/>
    <w:rsid w:val="00464B14"/>
    <w:rsid w:val="004652FB"/>
    <w:rsid w:val="00465E66"/>
    <w:rsid w:val="004661D9"/>
    <w:rsid w:val="00466AD2"/>
    <w:rsid w:val="00467ADA"/>
    <w:rsid w:val="0047010B"/>
    <w:rsid w:val="004701F9"/>
    <w:rsid w:val="004702F0"/>
    <w:rsid w:val="00470540"/>
    <w:rsid w:val="0047092D"/>
    <w:rsid w:val="00470A23"/>
    <w:rsid w:val="00470A7B"/>
    <w:rsid w:val="00470B35"/>
    <w:rsid w:val="00470CE9"/>
    <w:rsid w:val="004715FB"/>
    <w:rsid w:val="0047168D"/>
    <w:rsid w:val="0047202E"/>
    <w:rsid w:val="0047218A"/>
    <w:rsid w:val="004722EA"/>
    <w:rsid w:val="00472661"/>
    <w:rsid w:val="00472C83"/>
    <w:rsid w:val="0047321C"/>
    <w:rsid w:val="00473316"/>
    <w:rsid w:val="00473ADC"/>
    <w:rsid w:val="00473BA6"/>
    <w:rsid w:val="00473BCF"/>
    <w:rsid w:val="00473EC6"/>
    <w:rsid w:val="004741BB"/>
    <w:rsid w:val="00474510"/>
    <w:rsid w:val="0047455E"/>
    <w:rsid w:val="0047499C"/>
    <w:rsid w:val="00475546"/>
    <w:rsid w:val="00475DFF"/>
    <w:rsid w:val="00476538"/>
    <w:rsid w:val="00476616"/>
    <w:rsid w:val="0047668B"/>
    <w:rsid w:val="0047673E"/>
    <w:rsid w:val="0047683E"/>
    <w:rsid w:val="00476A90"/>
    <w:rsid w:val="00476EDC"/>
    <w:rsid w:val="00477582"/>
    <w:rsid w:val="004779EA"/>
    <w:rsid w:val="00477F81"/>
    <w:rsid w:val="004800DF"/>
    <w:rsid w:val="00480113"/>
    <w:rsid w:val="004801FC"/>
    <w:rsid w:val="00480A19"/>
    <w:rsid w:val="00480A40"/>
    <w:rsid w:val="00480B2D"/>
    <w:rsid w:val="00480D99"/>
    <w:rsid w:val="004810AF"/>
    <w:rsid w:val="0048155F"/>
    <w:rsid w:val="0048159A"/>
    <w:rsid w:val="00482217"/>
    <w:rsid w:val="00482488"/>
    <w:rsid w:val="00482515"/>
    <w:rsid w:val="0048287F"/>
    <w:rsid w:val="00482AC3"/>
    <w:rsid w:val="00482E4E"/>
    <w:rsid w:val="00483376"/>
    <w:rsid w:val="004838C1"/>
    <w:rsid w:val="00483D0A"/>
    <w:rsid w:val="00483E47"/>
    <w:rsid w:val="004840F7"/>
    <w:rsid w:val="004843FF"/>
    <w:rsid w:val="004847DD"/>
    <w:rsid w:val="00484A5F"/>
    <w:rsid w:val="00485486"/>
    <w:rsid w:val="00485F80"/>
    <w:rsid w:val="0048670C"/>
    <w:rsid w:val="004869F1"/>
    <w:rsid w:val="00486CA7"/>
    <w:rsid w:val="00486CE7"/>
    <w:rsid w:val="00487168"/>
    <w:rsid w:val="004871DF"/>
    <w:rsid w:val="0048755D"/>
    <w:rsid w:val="004876F7"/>
    <w:rsid w:val="00487C31"/>
    <w:rsid w:val="00487C62"/>
    <w:rsid w:val="00487CF6"/>
    <w:rsid w:val="00487D3E"/>
    <w:rsid w:val="0049034E"/>
    <w:rsid w:val="00490459"/>
    <w:rsid w:val="00490637"/>
    <w:rsid w:val="00490941"/>
    <w:rsid w:val="00490B0C"/>
    <w:rsid w:val="00490E99"/>
    <w:rsid w:val="004910B0"/>
    <w:rsid w:val="004915BA"/>
    <w:rsid w:val="004917D0"/>
    <w:rsid w:val="004918E8"/>
    <w:rsid w:val="00491907"/>
    <w:rsid w:val="00491D7E"/>
    <w:rsid w:val="00491F36"/>
    <w:rsid w:val="00492A24"/>
    <w:rsid w:val="00492A8C"/>
    <w:rsid w:val="00493727"/>
    <w:rsid w:val="00493C91"/>
    <w:rsid w:val="00493FCC"/>
    <w:rsid w:val="00494407"/>
    <w:rsid w:val="00494BFB"/>
    <w:rsid w:val="00495308"/>
    <w:rsid w:val="0049530C"/>
    <w:rsid w:val="0049551B"/>
    <w:rsid w:val="0049558D"/>
    <w:rsid w:val="004956D3"/>
    <w:rsid w:val="00495D4D"/>
    <w:rsid w:val="004961F8"/>
    <w:rsid w:val="00496990"/>
    <w:rsid w:val="004971FA"/>
    <w:rsid w:val="0049726F"/>
    <w:rsid w:val="004973EB"/>
    <w:rsid w:val="0049797F"/>
    <w:rsid w:val="00497A27"/>
    <w:rsid w:val="00497EC5"/>
    <w:rsid w:val="004A0184"/>
    <w:rsid w:val="004A0403"/>
    <w:rsid w:val="004A0762"/>
    <w:rsid w:val="004A098D"/>
    <w:rsid w:val="004A0E89"/>
    <w:rsid w:val="004A0EF0"/>
    <w:rsid w:val="004A198C"/>
    <w:rsid w:val="004A1C23"/>
    <w:rsid w:val="004A20A0"/>
    <w:rsid w:val="004A2151"/>
    <w:rsid w:val="004A2366"/>
    <w:rsid w:val="004A3824"/>
    <w:rsid w:val="004A38EA"/>
    <w:rsid w:val="004A3A61"/>
    <w:rsid w:val="004A3AAA"/>
    <w:rsid w:val="004A3B31"/>
    <w:rsid w:val="004A40C0"/>
    <w:rsid w:val="004A417F"/>
    <w:rsid w:val="004A4343"/>
    <w:rsid w:val="004A436F"/>
    <w:rsid w:val="004A47CB"/>
    <w:rsid w:val="004A481C"/>
    <w:rsid w:val="004A4A6F"/>
    <w:rsid w:val="004A4EAA"/>
    <w:rsid w:val="004A51E4"/>
    <w:rsid w:val="004A51F1"/>
    <w:rsid w:val="004A55FC"/>
    <w:rsid w:val="004A5797"/>
    <w:rsid w:val="004A59A2"/>
    <w:rsid w:val="004A5A5D"/>
    <w:rsid w:val="004A5A65"/>
    <w:rsid w:val="004A5B35"/>
    <w:rsid w:val="004A5F9D"/>
    <w:rsid w:val="004A6295"/>
    <w:rsid w:val="004A62CB"/>
    <w:rsid w:val="004A65E4"/>
    <w:rsid w:val="004A6930"/>
    <w:rsid w:val="004A6AFD"/>
    <w:rsid w:val="004A6E3F"/>
    <w:rsid w:val="004A7082"/>
    <w:rsid w:val="004A7451"/>
    <w:rsid w:val="004A7BCF"/>
    <w:rsid w:val="004B017D"/>
    <w:rsid w:val="004B038C"/>
    <w:rsid w:val="004B04DE"/>
    <w:rsid w:val="004B0A41"/>
    <w:rsid w:val="004B0B05"/>
    <w:rsid w:val="004B0D82"/>
    <w:rsid w:val="004B0DD5"/>
    <w:rsid w:val="004B0F90"/>
    <w:rsid w:val="004B0FB2"/>
    <w:rsid w:val="004B116C"/>
    <w:rsid w:val="004B11C0"/>
    <w:rsid w:val="004B157B"/>
    <w:rsid w:val="004B1622"/>
    <w:rsid w:val="004B18CC"/>
    <w:rsid w:val="004B1B0B"/>
    <w:rsid w:val="004B1C63"/>
    <w:rsid w:val="004B1C75"/>
    <w:rsid w:val="004B1E69"/>
    <w:rsid w:val="004B1E73"/>
    <w:rsid w:val="004B2686"/>
    <w:rsid w:val="004B2C2E"/>
    <w:rsid w:val="004B2DD0"/>
    <w:rsid w:val="004B2E60"/>
    <w:rsid w:val="004B3810"/>
    <w:rsid w:val="004B3F5F"/>
    <w:rsid w:val="004B45DD"/>
    <w:rsid w:val="004B4610"/>
    <w:rsid w:val="004B4ADB"/>
    <w:rsid w:val="004B4F11"/>
    <w:rsid w:val="004B528A"/>
    <w:rsid w:val="004B5417"/>
    <w:rsid w:val="004B5BA1"/>
    <w:rsid w:val="004B5EEE"/>
    <w:rsid w:val="004B63FC"/>
    <w:rsid w:val="004B64FF"/>
    <w:rsid w:val="004B71C3"/>
    <w:rsid w:val="004B720B"/>
    <w:rsid w:val="004B722F"/>
    <w:rsid w:val="004B736C"/>
    <w:rsid w:val="004B7478"/>
    <w:rsid w:val="004B75B3"/>
    <w:rsid w:val="004B7902"/>
    <w:rsid w:val="004C0037"/>
    <w:rsid w:val="004C0223"/>
    <w:rsid w:val="004C02FA"/>
    <w:rsid w:val="004C0716"/>
    <w:rsid w:val="004C0C3A"/>
    <w:rsid w:val="004C1401"/>
    <w:rsid w:val="004C1A39"/>
    <w:rsid w:val="004C21DF"/>
    <w:rsid w:val="004C2273"/>
    <w:rsid w:val="004C25D7"/>
    <w:rsid w:val="004C269B"/>
    <w:rsid w:val="004C360E"/>
    <w:rsid w:val="004C377C"/>
    <w:rsid w:val="004C398F"/>
    <w:rsid w:val="004C3ABA"/>
    <w:rsid w:val="004C3E34"/>
    <w:rsid w:val="004C4016"/>
    <w:rsid w:val="004C45C6"/>
    <w:rsid w:val="004C468A"/>
    <w:rsid w:val="004C4971"/>
    <w:rsid w:val="004C4DDE"/>
    <w:rsid w:val="004C546D"/>
    <w:rsid w:val="004C5495"/>
    <w:rsid w:val="004C58D9"/>
    <w:rsid w:val="004C5BDE"/>
    <w:rsid w:val="004C616D"/>
    <w:rsid w:val="004C6655"/>
    <w:rsid w:val="004C68F1"/>
    <w:rsid w:val="004C6E71"/>
    <w:rsid w:val="004C706D"/>
    <w:rsid w:val="004C72CA"/>
    <w:rsid w:val="004C730C"/>
    <w:rsid w:val="004C7336"/>
    <w:rsid w:val="004C751E"/>
    <w:rsid w:val="004C77BF"/>
    <w:rsid w:val="004D0797"/>
    <w:rsid w:val="004D0A4A"/>
    <w:rsid w:val="004D10B5"/>
    <w:rsid w:val="004D1324"/>
    <w:rsid w:val="004D150E"/>
    <w:rsid w:val="004D1794"/>
    <w:rsid w:val="004D1C2E"/>
    <w:rsid w:val="004D1C91"/>
    <w:rsid w:val="004D1CAD"/>
    <w:rsid w:val="004D22E0"/>
    <w:rsid w:val="004D242E"/>
    <w:rsid w:val="004D2621"/>
    <w:rsid w:val="004D27FF"/>
    <w:rsid w:val="004D2969"/>
    <w:rsid w:val="004D3040"/>
    <w:rsid w:val="004D3809"/>
    <w:rsid w:val="004D3866"/>
    <w:rsid w:val="004D3A9C"/>
    <w:rsid w:val="004D401F"/>
    <w:rsid w:val="004D46F9"/>
    <w:rsid w:val="004D477A"/>
    <w:rsid w:val="004D4859"/>
    <w:rsid w:val="004D4D1C"/>
    <w:rsid w:val="004D53B4"/>
    <w:rsid w:val="004D53CF"/>
    <w:rsid w:val="004D54C9"/>
    <w:rsid w:val="004D56E9"/>
    <w:rsid w:val="004D5A2D"/>
    <w:rsid w:val="004D5BFD"/>
    <w:rsid w:val="004D65B1"/>
    <w:rsid w:val="004D680F"/>
    <w:rsid w:val="004D688F"/>
    <w:rsid w:val="004D6E5C"/>
    <w:rsid w:val="004D703A"/>
    <w:rsid w:val="004D73EB"/>
    <w:rsid w:val="004D7476"/>
    <w:rsid w:val="004D772F"/>
    <w:rsid w:val="004E00E2"/>
    <w:rsid w:val="004E019D"/>
    <w:rsid w:val="004E060A"/>
    <w:rsid w:val="004E07E6"/>
    <w:rsid w:val="004E082A"/>
    <w:rsid w:val="004E0B0E"/>
    <w:rsid w:val="004E0B2F"/>
    <w:rsid w:val="004E16B8"/>
    <w:rsid w:val="004E1712"/>
    <w:rsid w:val="004E172F"/>
    <w:rsid w:val="004E1D62"/>
    <w:rsid w:val="004E28D6"/>
    <w:rsid w:val="004E2AA4"/>
    <w:rsid w:val="004E2E6A"/>
    <w:rsid w:val="004E3093"/>
    <w:rsid w:val="004E3511"/>
    <w:rsid w:val="004E37CE"/>
    <w:rsid w:val="004E382C"/>
    <w:rsid w:val="004E3A51"/>
    <w:rsid w:val="004E407D"/>
    <w:rsid w:val="004E58F1"/>
    <w:rsid w:val="004E5945"/>
    <w:rsid w:val="004E5E90"/>
    <w:rsid w:val="004E614A"/>
    <w:rsid w:val="004E6500"/>
    <w:rsid w:val="004E668A"/>
    <w:rsid w:val="004E6824"/>
    <w:rsid w:val="004E684A"/>
    <w:rsid w:val="004E6A84"/>
    <w:rsid w:val="004E74BD"/>
    <w:rsid w:val="004E74D8"/>
    <w:rsid w:val="004E7A37"/>
    <w:rsid w:val="004E7B03"/>
    <w:rsid w:val="004E7F9A"/>
    <w:rsid w:val="004F03F6"/>
    <w:rsid w:val="004F0985"/>
    <w:rsid w:val="004F0AFC"/>
    <w:rsid w:val="004F10BA"/>
    <w:rsid w:val="004F18BB"/>
    <w:rsid w:val="004F1AF7"/>
    <w:rsid w:val="004F1AFD"/>
    <w:rsid w:val="004F1CEC"/>
    <w:rsid w:val="004F23CF"/>
    <w:rsid w:val="004F2717"/>
    <w:rsid w:val="004F272A"/>
    <w:rsid w:val="004F2922"/>
    <w:rsid w:val="004F2A69"/>
    <w:rsid w:val="004F2EDA"/>
    <w:rsid w:val="004F3370"/>
    <w:rsid w:val="004F34CD"/>
    <w:rsid w:val="004F3640"/>
    <w:rsid w:val="004F38A9"/>
    <w:rsid w:val="004F3C8B"/>
    <w:rsid w:val="004F4818"/>
    <w:rsid w:val="004F4AD8"/>
    <w:rsid w:val="004F4CF1"/>
    <w:rsid w:val="004F4F78"/>
    <w:rsid w:val="004F5587"/>
    <w:rsid w:val="004F55FE"/>
    <w:rsid w:val="004F5677"/>
    <w:rsid w:val="004F59CD"/>
    <w:rsid w:val="004F5EA3"/>
    <w:rsid w:val="004F5EE1"/>
    <w:rsid w:val="004F6064"/>
    <w:rsid w:val="004F6225"/>
    <w:rsid w:val="004F6399"/>
    <w:rsid w:val="004F6A16"/>
    <w:rsid w:val="004F7190"/>
    <w:rsid w:val="004F7404"/>
    <w:rsid w:val="004F7AC6"/>
    <w:rsid w:val="004F7F69"/>
    <w:rsid w:val="00500173"/>
    <w:rsid w:val="005005B0"/>
    <w:rsid w:val="00500990"/>
    <w:rsid w:val="005009D5"/>
    <w:rsid w:val="00500E46"/>
    <w:rsid w:val="00500E80"/>
    <w:rsid w:val="00500F98"/>
    <w:rsid w:val="00500FA6"/>
    <w:rsid w:val="00501127"/>
    <w:rsid w:val="00501135"/>
    <w:rsid w:val="00501787"/>
    <w:rsid w:val="005019A2"/>
    <w:rsid w:val="0050223E"/>
    <w:rsid w:val="0050248D"/>
    <w:rsid w:val="005024FC"/>
    <w:rsid w:val="00502597"/>
    <w:rsid w:val="0050294C"/>
    <w:rsid w:val="0050297D"/>
    <w:rsid w:val="00502D27"/>
    <w:rsid w:val="00502F0D"/>
    <w:rsid w:val="00503194"/>
    <w:rsid w:val="005034DF"/>
    <w:rsid w:val="005039D7"/>
    <w:rsid w:val="00503D8F"/>
    <w:rsid w:val="00503F46"/>
    <w:rsid w:val="00504025"/>
    <w:rsid w:val="005043CE"/>
    <w:rsid w:val="0050459A"/>
    <w:rsid w:val="00504D0D"/>
    <w:rsid w:val="005051C9"/>
    <w:rsid w:val="00505565"/>
    <w:rsid w:val="0050636F"/>
    <w:rsid w:val="00506814"/>
    <w:rsid w:val="005068A5"/>
    <w:rsid w:val="0050692E"/>
    <w:rsid w:val="00506E94"/>
    <w:rsid w:val="005070DC"/>
    <w:rsid w:val="0050726B"/>
    <w:rsid w:val="00507654"/>
    <w:rsid w:val="00507E03"/>
    <w:rsid w:val="005105BA"/>
    <w:rsid w:val="0051066E"/>
    <w:rsid w:val="005106A5"/>
    <w:rsid w:val="005109A2"/>
    <w:rsid w:val="00510C45"/>
    <w:rsid w:val="00510CC7"/>
    <w:rsid w:val="005110EC"/>
    <w:rsid w:val="005111BB"/>
    <w:rsid w:val="00511367"/>
    <w:rsid w:val="0051136F"/>
    <w:rsid w:val="00511697"/>
    <w:rsid w:val="00511C34"/>
    <w:rsid w:val="00511F38"/>
    <w:rsid w:val="00512487"/>
    <w:rsid w:val="005125C8"/>
    <w:rsid w:val="0051260D"/>
    <w:rsid w:val="00512946"/>
    <w:rsid w:val="0051348B"/>
    <w:rsid w:val="00513A82"/>
    <w:rsid w:val="005140EA"/>
    <w:rsid w:val="005149DB"/>
    <w:rsid w:val="0051516A"/>
    <w:rsid w:val="005155C7"/>
    <w:rsid w:val="005166B2"/>
    <w:rsid w:val="00516C25"/>
    <w:rsid w:val="00516FE2"/>
    <w:rsid w:val="00516FE5"/>
    <w:rsid w:val="00517579"/>
    <w:rsid w:val="00517DE9"/>
    <w:rsid w:val="00520083"/>
    <w:rsid w:val="00520123"/>
    <w:rsid w:val="00520B65"/>
    <w:rsid w:val="00520D75"/>
    <w:rsid w:val="00520DFE"/>
    <w:rsid w:val="00521356"/>
    <w:rsid w:val="0052168C"/>
    <w:rsid w:val="0052172F"/>
    <w:rsid w:val="00521BDB"/>
    <w:rsid w:val="005225F3"/>
    <w:rsid w:val="00522E2F"/>
    <w:rsid w:val="00522E4B"/>
    <w:rsid w:val="005233FB"/>
    <w:rsid w:val="00523709"/>
    <w:rsid w:val="005237C0"/>
    <w:rsid w:val="00523AD4"/>
    <w:rsid w:val="00524F57"/>
    <w:rsid w:val="005251EC"/>
    <w:rsid w:val="00525394"/>
    <w:rsid w:val="00525767"/>
    <w:rsid w:val="005257BE"/>
    <w:rsid w:val="00525825"/>
    <w:rsid w:val="00525A7F"/>
    <w:rsid w:val="00525CD7"/>
    <w:rsid w:val="00525D48"/>
    <w:rsid w:val="005263C8"/>
    <w:rsid w:val="005268CD"/>
    <w:rsid w:val="00526E9D"/>
    <w:rsid w:val="005270CD"/>
    <w:rsid w:val="00527434"/>
    <w:rsid w:val="0052755A"/>
    <w:rsid w:val="00527FC1"/>
    <w:rsid w:val="00530130"/>
    <w:rsid w:val="00530232"/>
    <w:rsid w:val="005304AE"/>
    <w:rsid w:val="00530587"/>
    <w:rsid w:val="005305CB"/>
    <w:rsid w:val="005305DA"/>
    <w:rsid w:val="00530C69"/>
    <w:rsid w:val="00530F6B"/>
    <w:rsid w:val="005310B3"/>
    <w:rsid w:val="005315C1"/>
    <w:rsid w:val="005318A3"/>
    <w:rsid w:val="00531B82"/>
    <w:rsid w:val="00531CE4"/>
    <w:rsid w:val="00532BAF"/>
    <w:rsid w:val="00532F37"/>
    <w:rsid w:val="005331B2"/>
    <w:rsid w:val="005337C2"/>
    <w:rsid w:val="00533DB8"/>
    <w:rsid w:val="00533EE6"/>
    <w:rsid w:val="00534451"/>
    <w:rsid w:val="0053452C"/>
    <w:rsid w:val="00534697"/>
    <w:rsid w:val="00534714"/>
    <w:rsid w:val="00534A79"/>
    <w:rsid w:val="00534B40"/>
    <w:rsid w:val="00534D7F"/>
    <w:rsid w:val="00535643"/>
    <w:rsid w:val="00535EC5"/>
    <w:rsid w:val="0053611C"/>
    <w:rsid w:val="005364AF"/>
    <w:rsid w:val="00536554"/>
    <w:rsid w:val="00537108"/>
    <w:rsid w:val="00537253"/>
    <w:rsid w:val="0053758A"/>
    <w:rsid w:val="00537B57"/>
    <w:rsid w:val="00537BC2"/>
    <w:rsid w:val="00540214"/>
    <w:rsid w:val="005405E8"/>
    <w:rsid w:val="0054063D"/>
    <w:rsid w:val="00540769"/>
    <w:rsid w:val="00540BA8"/>
    <w:rsid w:val="00540E09"/>
    <w:rsid w:val="005414B7"/>
    <w:rsid w:val="00541C0E"/>
    <w:rsid w:val="005420ED"/>
    <w:rsid w:val="00542682"/>
    <w:rsid w:val="00542FB1"/>
    <w:rsid w:val="00544121"/>
    <w:rsid w:val="005444E2"/>
    <w:rsid w:val="005446F8"/>
    <w:rsid w:val="00544AF9"/>
    <w:rsid w:val="00544D1B"/>
    <w:rsid w:val="00544DB1"/>
    <w:rsid w:val="00545208"/>
    <w:rsid w:val="00545589"/>
    <w:rsid w:val="0054582C"/>
    <w:rsid w:val="00546361"/>
    <w:rsid w:val="00546BC1"/>
    <w:rsid w:val="00546C74"/>
    <w:rsid w:val="005472B2"/>
    <w:rsid w:val="00547371"/>
    <w:rsid w:val="005473A9"/>
    <w:rsid w:val="00547598"/>
    <w:rsid w:val="00547E06"/>
    <w:rsid w:val="00547EA0"/>
    <w:rsid w:val="00550408"/>
    <w:rsid w:val="005509DF"/>
    <w:rsid w:val="0055166C"/>
    <w:rsid w:val="005518E3"/>
    <w:rsid w:val="00551F7F"/>
    <w:rsid w:val="00552553"/>
    <w:rsid w:val="00552B40"/>
    <w:rsid w:val="00552B7D"/>
    <w:rsid w:val="00553244"/>
    <w:rsid w:val="00553AFF"/>
    <w:rsid w:val="00553F55"/>
    <w:rsid w:val="00553F65"/>
    <w:rsid w:val="005540CB"/>
    <w:rsid w:val="005543B3"/>
    <w:rsid w:val="00554719"/>
    <w:rsid w:val="005547C2"/>
    <w:rsid w:val="005547FD"/>
    <w:rsid w:val="00554DCC"/>
    <w:rsid w:val="00554FB9"/>
    <w:rsid w:val="00555185"/>
    <w:rsid w:val="005551F7"/>
    <w:rsid w:val="0055567A"/>
    <w:rsid w:val="00555A72"/>
    <w:rsid w:val="005565F4"/>
    <w:rsid w:val="0055688F"/>
    <w:rsid w:val="00556BF4"/>
    <w:rsid w:val="00556F60"/>
    <w:rsid w:val="00556F8C"/>
    <w:rsid w:val="00557110"/>
    <w:rsid w:val="00557144"/>
    <w:rsid w:val="00560300"/>
    <w:rsid w:val="00560481"/>
    <w:rsid w:val="00560A19"/>
    <w:rsid w:val="00560C21"/>
    <w:rsid w:val="00560F2F"/>
    <w:rsid w:val="00561724"/>
    <w:rsid w:val="00561C53"/>
    <w:rsid w:val="00561F3A"/>
    <w:rsid w:val="0056274D"/>
    <w:rsid w:val="00562756"/>
    <w:rsid w:val="00562C39"/>
    <w:rsid w:val="00563064"/>
    <w:rsid w:val="005631E5"/>
    <w:rsid w:val="00563261"/>
    <w:rsid w:val="0056357A"/>
    <w:rsid w:val="005637A0"/>
    <w:rsid w:val="00563B30"/>
    <w:rsid w:val="00563C22"/>
    <w:rsid w:val="00563C4F"/>
    <w:rsid w:val="00564148"/>
    <w:rsid w:val="00564274"/>
    <w:rsid w:val="0056494E"/>
    <w:rsid w:val="005652BA"/>
    <w:rsid w:val="005655CE"/>
    <w:rsid w:val="005659FE"/>
    <w:rsid w:val="00566286"/>
    <w:rsid w:val="005665BD"/>
    <w:rsid w:val="005667FB"/>
    <w:rsid w:val="00566833"/>
    <w:rsid w:val="005668C2"/>
    <w:rsid w:val="00566C7A"/>
    <w:rsid w:val="00567360"/>
    <w:rsid w:val="00567486"/>
    <w:rsid w:val="00567493"/>
    <w:rsid w:val="00567745"/>
    <w:rsid w:val="00567A4F"/>
    <w:rsid w:val="005704A4"/>
    <w:rsid w:val="0057072D"/>
    <w:rsid w:val="00570975"/>
    <w:rsid w:val="0057104F"/>
    <w:rsid w:val="005712E0"/>
    <w:rsid w:val="00571B17"/>
    <w:rsid w:val="00571C8A"/>
    <w:rsid w:val="00571DB9"/>
    <w:rsid w:val="00571FA3"/>
    <w:rsid w:val="00572462"/>
    <w:rsid w:val="005726B1"/>
    <w:rsid w:val="005726E8"/>
    <w:rsid w:val="005728EC"/>
    <w:rsid w:val="00572AD8"/>
    <w:rsid w:val="005734E3"/>
    <w:rsid w:val="005735BA"/>
    <w:rsid w:val="00573C83"/>
    <w:rsid w:val="00573CE1"/>
    <w:rsid w:val="005740B3"/>
    <w:rsid w:val="0057430A"/>
    <w:rsid w:val="00574454"/>
    <w:rsid w:val="00574638"/>
    <w:rsid w:val="00574C64"/>
    <w:rsid w:val="00574EC6"/>
    <w:rsid w:val="005757FC"/>
    <w:rsid w:val="0057592B"/>
    <w:rsid w:val="00575B76"/>
    <w:rsid w:val="00575CB5"/>
    <w:rsid w:val="00575CC9"/>
    <w:rsid w:val="0057629D"/>
    <w:rsid w:val="005766B6"/>
    <w:rsid w:val="00576898"/>
    <w:rsid w:val="00577016"/>
    <w:rsid w:val="00577065"/>
    <w:rsid w:val="00577099"/>
    <w:rsid w:val="0057754E"/>
    <w:rsid w:val="005776BE"/>
    <w:rsid w:val="00577AC9"/>
    <w:rsid w:val="00577C3F"/>
    <w:rsid w:val="0058004D"/>
    <w:rsid w:val="00580BC4"/>
    <w:rsid w:val="00580BDE"/>
    <w:rsid w:val="00580DDA"/>
    <w:rsid w:val="00580DF7"/>
    <w:rsid w:val="0058150D"/>
    <w:rsid w:val="00581ADB"/>
    <w:rsid w:val="00582020"/>
    <w:rsid w:val="005820B6"/>
    <w:rsid w:val="005827B4"/>
    <w:rsid w:val="00582947"/>
    <w:rsid w:val="00582B8D"/>
    <w:rsid w:val="00582BFC"/>
    <w:rsid w:val="00582C4A"/>
    <w:rsid w:val="00583848"/>
    <w:rsid w:val="005838A7"/>
    <w:rsid w:val="00583E0B"/>
    <w:rsid w:val="005841E2"/>
    <w:rsid w:val="005842BA"/>
    <w:rsid w:val="00584D1B"/>
    <w:rsid w:val="00584F86"/>
    <w:rsid w:val="00585365"/>
    <w:rsid w:val="0058574F"/>
    <w:rsid w:val="00586038"/>
    <w:rsid w:val="0058650E"/>
    <w:rsid w:val="00586A45"/>
    <w:rsid w:val="00586CE3"/>
    <w:rsid w:val="005876E8"/>
    <w:rsid w:val="00587A01"/>
    <w:rsid w:val="00587C0E"/>
    <w:rsid w:val="00590051"/>
    <w:rsid w:val="005900D3"/>
    <w:rsid w:val="00590245"/>
    <w:rsid w:val="00590295"/>
    <w:rsid w:val="005903C9"/>
    <w:rsid w:val="0059042C"/>
    <w:rsid w:val="005905B8"/>
    <w:rsid w:val="00590620"/>
    <w:rsid w:val="00590A42"/>
    <w:rsid w:val="00590C08"/>
    <w:rsid w:val="00590CBC"/>
    <w:rsid w:val="00590E57"/>
    <w:rsid w:val="00590FA9"/>
    <w:rsid w:val="0059116C"/>
    <w:rsid w:val="005914E0"/>
    <w:rsid w:val="00591699"/>
    <w:rsid w:val="00591F90"/>
    <w:rsid w:val="00591FEB"/>
    <w:rsid w:val="005927CD"/>
    <w:rsid w:val="005928EC"/>
    <w:rsid w:val="00592A6A"/>
    <w:rsid w:val="00592AD1"/>
    <w:rsid w:val="005934A9"/>
    <w:rsid w:val="0059368A"/>
    <w:rsid w:val="00593BE9"/>
    <w:rsid w:val="005946AE"/>
    <w:rsid w:val="00595080"/>
    <w:rsid w:val="00595858"/>
    <w:rsid w:val="0059612B"/>
    <w:rsid w:val="0059618C"/>
    <w:rsid w:val="00596280"/>
    <w:rsid w:val="005965C1"/>
    <w:rsid w:val="00596A26"/>
    <w:rsid w:val="00596D01"/>
    <w:rsid w:val="005971E5"/>
    <w:rsid w:val="005A0091"/>
    <w:rsid w:val="005A0413"/>
    <w:rsid w:val="005A0ABE"/>
    <w:rsid w:val="005A0D3C"/>
    <w:rsid w:val="005A15A5"/>
    <w:rsid w:val="005A2514"/>
    <w:rsid w:val="005A26C0"/>
    <w:rsid w:val="005A339D"/>
    <w:rsid w:val="005A34C3"/>
    <w:rsid w:val="005A373A"/>
    <w:rsid w:val="005A49E3"/>
    <w:rsid w:val="005A4CC4"/>
    <w:rsid w:val="005A519F"/>
    <w:rsid w:val="005A56A1"/>
    <w:rsid w:val="005A5975"/>
    <w:rsid w:val="005A5B55"/>
    <w:rsid w:val="005A5F5C"/>
    <w:rsid w:val="005A616C"/>
    <w:rsid w:val="005A61A5"/>
    <w:rsid w:val="005A6397"/>
    <w:rsid w:val="005A64BD"/>
    <w:rsid w:val="005A65FA"/>
    <w:rsid w:val="005A698B"/>
    <w:rsid w:val="005A6A6C"/>
    <w:rsid w:val="005A6AC0"/>
    <w:rsid w:val="005A6AC7"/>
    <w:rsid w:val="005A6CF1"/>
    <w:rsid w:val="005A771E"/>
    <w:rsid w:val="005A7D9B"/>
    <w:rsid w:val="005A7F03"/>
    <w:rsid w:val="005B0E10"/>
    <w:rsid w:val="005B1239"/>
    <w:rsid w:val="005B146F"/>
    <w:rsid w:val="005B155C"/>
    <w:rsid w:val="005B164A"/>
    <w:rsid w:val="005B164D"/>
    <w:rsid w:val="005B1656"/>
    <w:rsid w:val="005B1D48"/>
    <w:rsid w:val="005B1F14"/>
    <w:rsid w:val="005B2167"/>
    <w:rsid w:val="005B285A"/>
    <w:rsid w:val="005B29AB"/>
    <w:rsid w:val="005B2DC3"/>
    <w:rsid w:val="005B2EA0"/>
    <w:rsid w:val="005B2F93"/>
    <w:rsid w:val="005B3094"/>
    <w:rsid w:val="005B3513"/>
    <w:rsid w:val="005B37F3"/>
    <w:rsid w:val="005B3B4C"/>
    <w:rsid w:val="005B4069"/>
    <w:rsid w:val="005B40EF"/>
    <w:rsid w:val="005B422F"/>
    <w:rsid w:val="005B463F"/>
    <w:rsid w:val="005B48C7"/>
    <w:rsid w:val="005B4E6A"/>
    <w:rsid w:val="005B50EE"/>
    <w:rsid w:val="005B569D"/>
    <w:rsid w:val="005B5AF4"/>
    <w:rsid w:val="005B5D74"/>
    <w:rsid w:val="005B5F2C"/>
    <w:rsid w:val="005B6149"/>
    <w:rsid w:val="005B631C"/>
    <w:rsid w:val="005B6663"/>
    <w:rsid w:val="005B6C51"/>
    <w:rsid w:val="005B6CF3"/>
    <w:rsid w:val="005B7016"/>
    <w:rsid w:val="005B757C"/>
    <w:rsid w:val="005B77CF"/>
    <w:rsid w:val="005B7EAA"/>
    <w:rsid w:val="005B7FA2"/>
    <w:rsid w:val="005B7FCD"/>
    <w:rsid w:val="005B7FDD"/>
    <w:rsid w:val="005C02FE"/>
    <w:rsid w:val="005C0479"/>
    <w:rsid w:val="005C0516"/>
    <w:rsid w:val="005C081C"/>
    <w:rsid w:val="005C0DB7"/>
    <w:rsid w:val="005C0F0C"/>
    <w:rsid w:val="005C1321"/>
    <w:rsid w:val="005C15E6"/>
    <w:rsid w:val="005C18C5"/>
    <w:rsid w:val="005C1910"/>
    <w:rsid w:val="005C19B0"/>
    <w:rsid w:val="005C1A3D"/>
    <w:rsid w:val="005C1CD6"/>
    <w:rsid w:val="005C26F7"/>
    <w:rsid w:val="005C27FB"/>
    <w:rsid w:val="005C37A0"/>
    <w:rsid w:val="005C37C3"/>
    <w:rsid w:val="005C3AEC"/>
    <w:rsid w:val="005C3D6D"/>
    <w:rsid w:val="005C4168"/>
    <w:rsid w:val="005C43A4"/>
    <w:rsid w:val="005C4A5D"/>
    <w:rsid w:val="005C52BD"/>
    <w:rsid w:val="005C5810"/>
    <w:rsid w:val="005C589D"/>
    <w:rsid w:val="005C59B0"/>
    <w:rsid w:val="005C5C6F"/>
    <w:rsid w:val="005C63FF"/>
    <w:rsid w:val="005C653B"/>
    <w:rsid w:val="005C65AD"/>
    <w:rsid w:val="005C675E"/>
    <w:rsid w:val="005C7311"/>
    <w:rsid w:val="005C74EE"/>
    <w:rsid w:val="005C76CB"/>
    <w:rsid w:val="005D0056"/>
    <w:rsid w:val="005D0120"/>
    <w:rsid w:val="005D02A8"/>
    <w:rsid w:val="005D05B8"/>
    <w:rsid w:val="005D0618"/>
    <w:rsid w:val="005D0A28"/>
    <w:rsid w:val="005D0B29"/>
    <w:rsid w:val="005D0BE8"/>
    <w:rsid w:val="005D0DA9"/>
    <w:rsid w:val="005D0E6A"/>
    <w:rsid w:val="005D0F41"/>
    <w:rsid w:val="005D0F48"/>
    <w:rsid w:val="005D2184"/>
    <w:rsid w:val="005D2685"/>
    <w:rsid w:val="005D29A8"/>
    <w:rsid w:val="005D2B01"/>
    <w:rsid w:val="005D2B05"/>
    <w:rsid w:val="005D2B7C"/>
    <w:rsid w:val="005D4338"/>
    <w:rsid w:val="005D544B"/>
    <w:rsid w:val="005D54B8"/>
    <w:rsid w:val="005D5568"/>
    <w:rsid w:val="005D57AA"/>
    <w:rsid w:val="005D5D12"/>
    <w:rsid w:val="005D5E5D"/>
    <w:rsid w:val="005D5EAC"/>
    <w:rsid w:val="005D61D3"/>
    <w:rsid w:val="005D65DB"/>
    <w:rsid w:val="005D6864"/>
    <w:rsid w:val="005D6897"/>
    <w:rsid w:val="005D7530"/>
    <w:rsid w:val="005D772E"/>
    <w:rsid w:val="005D77A4"/>
    <w:rsid w:val="005E02F1"/>
    <w:rsid w:val="005E0305"/>
    <w:rsid w:val="005E05ED"/>
    <w:rsid w:val="005E0795"/>
    <w:rsid w:val="005E0FCC"/>
    <w:rsid w:val="005E1373"/>
    <w:rsid w:val="005E1851"/>
    <w:rsid w:val="005E2231"/>
    <w:rsid w:val="005E26A7"/>
    <w:rsid w:val="005E2808"/>
    <w:rsid w:val="005E2A2F"/>
    <w:rsid w:val="005E329B"/>
    <w:rsid w:val="005E33AD"/>
    <w:rsid w:val="005E3BB3"/>
    <w:rsid w:val="005E412B"/>
    <w:rsid w:val="005E4369"/>
    <w:rsid w:val="005E4400"/>
    <w:rsid w:val="005E4584"/>
    <w:rsid w:val="005E4795"/>
    <w:rsid w:val="005E489D"/>
    <w:rsid w:val="005E5247"/>
    <w:rsid w:val="005E57D7"/>
    <w:rsid w:val="005E58BA"/>
    <w:rsid w:val="005E5900"/>
    <w:rsid w:val="005E5A90"/>
    <w:rsid w:val="005E5D53"/>
    <w:rsid w:val="005E5DEE"/>
    <w:rsid w:val="005E5F76"/>
    <w:rsid w:val="005E61F6"/>
    <w:rsid w:val="005E6294"/>
    <w:rsid w:val="005E668A"/>
    <w:rsid w:val="005E6753"/>
    <w:rsid w:val="005E68A2"/>
    <w:rsid w:val="005E6BE4"/>
    <w:rsid w:val="005E7196"/>
    <w:rsid w:val="005E7317"/>
    <w:rsid w:val="005E7DC9"/>
    <w:rsid w:val="005E7F76"/>
    <w:rsid w:val="005F0600"/>
    <w:rsid w:val="005F0F0D"/>
    <w:rsid w:val="005F0F65"/>
    <w:rsid w:val="005F1271"/>
    <w:rsid w:val="005F129C"/>
    <w:rsid w:val="005F177A"/>
    <w:rsid w:val="005F1A17"/>
    <w:rsid w:val="005F1C0E"/>
    <w:rsid w:val="005F2142"/>
    <w:rsid w:val="005F240A"/>
    <w:rsid w:val="005F244A"/>
    <w:rsid w:val="005F2612"/>
    <w:rsid w:val="005F2689"/>
    <w:rsid w:val="005F26F6"/>
    <w:rsid w:val="005F29AF"/>
    <w:rsid w:val="005F2F68"/>
    <w:rsid w:val="005F304D"/>
    <w:rsid w:val="005F398F"/>
    <w:rsid w:val="005F3B12"/>
    <w:rsid w:val="005F3B87"/>
    <w:rsid w:val="005F3C23"/>
    <w:rsid w:val="005F3F91"/>
    <w:rsid w:val="005F45E6"/>
    <w:rsid w:val="005F4AD0"/>
    <w:rsid w:val="005F50B7"/>
    <w:rsid w:val="005F5122"/>
    <w:rsid w:val="005F5229"/>
    <w:rsid w:val="005F61A4"/>
    <w:rsid w:val="005F686B"/>
    <w:rsid w:val="005F69D4"/>
    <w:rsid w:val="005F6B92"/>
    <w:rsid w:val="005F6C99"/>
    <w:rsid w:val="005F6D49"/>
    <w:rsid w:val="005F6D72"/>
    <w:rsid w:val="005F77F8"/>
    <w:rsid w:val="005F7801"/>
    <w:rsid w:val="005F79FB"/>
    <w:rsid w:val="005F7C5B"/>
    <w:rsid w:val="005F7EE0"/>
    <w:rsid w:val="0060019B"/>
    <w:rsid w:val="00600341"/>
    <w:rsid w:val="00600673"/>
    <w:rsid w:val="00600808"/>
    <w:rsid w:val="00600D56"/>
    <w:rsid w:val="00601050"/>
    <w:rsid w:val="0060164B"/>
    <w:rsid w:val="006019CE"/>
    <w:rsid w:val="006020B9"/>
    <w:rsid w:val="006020E4"/>
    <w:rsid w:val="00602261"/>
    <w:rsid w:val="006023A9"/>
    <w:rsid w:val="0060245A"/>
    <w:rsid w:val="0060274C"/>
    <w:rsid w:val="00602C97"/>
    <w:rsid w:val="00602E86"/>
    <w:rsid w:val="0060361A"/>
    <w:rsid w:val="00603623"/>
    <w:rsid w:val="00603A79"/>
    <w:rsid w:val="00603C16"/>
    <w:rsid w:val="0060402F"/>
    <w:rsid w:val="006043B1"/>
    <w:rsid w:val="00604562"/>
    <w:rsid w:val="006049A1"/>
    <w:rsid w:val="00604C13"/>
    <w:rsid w:val="00604F31"/>
    <w:rsid w:val="0060512A"/>
    <w:rsid w:val="006052BB"/>
    <w:rsid w:val="00605623"/>
    <w:rsid w:val="006057FF"/>
    <w:rsid w:val="0060595C"/>
    <w:rsid w:val="00605C46"/>
    <w:rsid w:val="00605C68"/>
    <w:rsid w:val="00605C6C"/>
    <w:rsid w:val="00605F7C"/>
    <w:rsid w:val="0060603D"/>
    <w:rsid w:val="00606251"/>
    <w:rsid w:val="006062B9"/>
    <w:rsid w:val="00606350"/>
    <w:rsid w:val="00606474"/>
    <w:rsid w:val="0060656A"/>
    <w:rsid w:val="0060671B"/>
    <w:rsid w:val="006068A4"/>
    <w:rsid w:val="00606C7A"/>
    <w:rsid w:val="00606DA5"/>
    <w:rsid w:val="00606DFC"/>
    <w:rsid w:val="006079A4"/>
    <w:rsid w:val="00607F9D"/>
    <w:rsid w:val="006106BC"/>
    <w:rsid w:val="0061074B"/>
    <w:rsid w:val="006107D6"/>
    <w:rsid w:val="0061088A"/>
    <w:rsid w:val="0061096E"/>
    <w:rsid w:val="006109D1"/>
    <w:rsid w:val="00610A9F"/>
    <w:rsid w:val="00610BDA"/>
    <w:rsid w:val="00610E0C"/>
    <w:rsid w:val="00611979"/>
    <w:rsid w:val="00611AF0"/>
    <w:rsid w:val="00611CDD"/>
    <w:rsid w:val="00612119"/>
    <w:rsid w:val="00612747"/>
    <w:rsid w:val="0061353D"/>
    <w:rsid w:val="00613565"/>
    <w:rsid w:val="00613B8B"/>
    <w:rsid w:val="00613D08"/>
    <w:rsid w:val="00613D2F"/>
    <w:rsid w:val="00613F53"/>
    <w:rsid w:val="00614665"/>
    <w:rsid w:val="00614E47"/>
    <w:rsid w:val="006153F2"/>
    <w:rsid w:val="0061560E"/>
    <w:rsid w:val="00615CC5"/>
    <w:rsid w:val="00615DC4"/>
    <w:rsid w:val="0061678D"/>
    <w:rsid w:val="006169C6"/>
    <w:rsid w:val="00616AE8"/>
    <w:rsid w:val="006173F3"/>
    <w:rsid w:val="0061744F"/>
    <w:rsid w:val="00617596"/>
    <w:rsid w:val="006179A3"/>
    <w:rsid w:val="00617BD1"/>
    <w:rsid w:val="00620354"/>
    <w:rsid w:val="006206AB"/>
    <w:rsid w:val="0062084C"/>
    <w:rsid w:val="00620A33"/>
    <w:rsid w:val="00620D23"/>
    <w:rsid w:val="00620FCC"/>
    <w:rsid w:val="0062125C"/>
    <w:rsid w:val="0062141A"/>
    <w:rsid w:val="00621814"/>
    <w:rsid w:val="00622434"/>
    <w:rsid w:val="00622841"/>
    <w:rsid w:val="00622915"/>
    <w:rsid w:val="00622A28"/>
    <w:rsid w:val="006236DC"/>
    <w:rsid w:val="006238BB"/>
    <w:rsid w:val="0062395B"/>
    <w:rsid w:val="00623A1F"/>
    <w:rsid w:val="00623D5A"/>
    <w:rsid w:val="006242B4"/>
    <w:rsid w:val="00624EC6"/>
    <w:rsid w:val="00625564"/>
    <w:rsid w:val="00626684"/>
    <w:rsid w:val="00626B1A"/>
    <w:rsid w:val="00626BDE"/>
    <w:rsid w:val="00626DC2"/>
    <w:rsid w:val="00627DC8"/>
    <w:rsid w:val="006304A9"/>
    <w:rsid w:val="00630600"/>
    <w:rsid w:val="00631050"/>
    <w:rsid w:val="00631444"/>
    <w:rsid w:val="006316DD"/>
    <w:rsid w:val="006318FB"/>
    <w:rsid w:val="006320AC"/>
    <w:rsid w:val="0063231B"/>
    <w:rsid w:val="0063240F"/>
    <w:rsid w:val="0063292B"/>
    <w:rsid w:val="00632991"/>
    <w:rsid w:val="006329EC"/>
    <w:rsid w:val="00632D5D"/>
    <w:rsid w:val="00632DBD"/>
    <w:rsid w:val="00632EEC"/>
    <w:rsid w:val="00633718"/>
    <w:rsid w:val="00633B18"/>
    <w:rsid w:val="006345E2"/>
    <w:rsid w:val="0063460B"/>
    <w:rsid w:val="006346BE"/>
    <w:rsid w:val="0063479F"/>
    <w:rsid w:val="00634AE6"/>
    <w:rsid w:val="00634AEA"/>
    <w:rsid w:val="00634E40"/>
    <w:rsid w:val="00634F25"/>
    <w:rsid w:val="00635584"/>
    <w:rsid w:val="0063584E"/>
    <w:rsid w:val="00635993"/>
    <w:rsid w:val="0063699B"/>
    <w:rsid w:val="00636B95"/>
    <w:rsid w:val="00636E5B"/>
    <w:rsid w:val="00636F7C"/>
    <w:rsid w:val="00637094"/>
    <w:rsid w:val="00637A3A"/>
    <w:rsid w:val="00637D8E"/>
    <w:rsid w:val="00637E51"/>
    <w:rsid w:val="0064005D"/>
    <w:rsid w:val="006403A9"/>
    <w:rsid w:val="0064096A"/>
    <w:rsid w:val="00640D9D"/>
    <w:rsid w:val="00640E16"/>
    <w:rsid w:val="00641111"/>
    <w:rsid w:val="00641282"/>
    <w:rsid w:val="00641350"/>
    <w:rsid w:val="006413ED"/>
    <w:rsid w:val="00641616"/>
    <w:rsid w:val="00641A16"/>
    <w:rsid w:val="00642849"/>
    <w:rsid w:val="00643057"/>
    <w:rsid w:val="00643322"/>
    <w:rsid w:val="006439E7"/>
    <w:rsid w:val="006439F7"/>
    <w:rsid w:val="00643AF4"/>
    <w:rsid w:val="00643DC1"/>
    <w:rsid w:val="00643FC5"/>
    <w:rsid w:val="00644728"/>
    <w:rsid w:val="006447DD"/>
    <w:rsid w:val="006449AC"/>
    <w:rsid w:val="00644ED8"/>
    <w:rsid w:val="006450D7"/>
    <w:rsid w:val="00645831"/>
    <w:rsid w:val="00645A84"/>
    <w:rsid w:val="00645CB8"/>
    <w:rsid w:val="00645FAF"/>
    <w:rsid w:val="00646121"/>
    <w:rsid w:val="006463D1"/>
    <w:rsid w:val="0064679D"/>
    <w:rsid w:val="006468A9"/>
    <w:rsid w:val="00646DF5"/>
    <w:rsid w:val="00647002"/>
    <w:rsid w:val="0064740B"/>
    <w:rsid w:val="0064779A"/>
    <w:rsid w:val="006477D2"/>
    <w:rsid w:val="00647804"/>
    <w:rsid w:val="0064786F"/>
    <w:rsid w:val="0065017D"/>
    <w:rsid w:val="006502EC"/>
    <w:rsid w:val="00650326"/>
    <w:rsid w:val="006506C1"/>
    <w:rsid w:val="00650B1D"/>
    <w:rsid w:val="00650DBD"/>
    <w:rsid w:val="0065161E"/>
    <w:rsid w:val="006519E1"/>
    <w:rsid w:val="00651A80"/>
    <w:rsid w:val="0065216D"/>
    <w:rsid w:val="0065223F"/>
    <w:rsid w:val="006528B0"/>
    <w:rsid w:val="006529A7"/>
    <w:rsid w:val="00652ACD"/>
    <w:rsid w:val="00652DF8"/>
    <w:rsid w:val="00652E79"/>
    <w:rsid w:val="00653655"/>
    <w:rsid w:val="006536B7"/>
    <w:rsid w:val="00654062"/>
    <w:rsid w:val="00654566"/>
    <w:rsid w:val="0065488C"/>
    <w:rsid w:val="00654993"/>
    <w:rsid w:val="006557E1"/>
    <w:rsid w:val="00655AEF"/>
    <w:rsid w:val="00656065"/>
    <w:rsid w:val="0065623D"/>
    <w:rsid w:val="0065665A"/>
    <w:rsid w:val="00656D5F"/>
    <w:rsid w:val="00656FDC"/>
    <w:rsid w:val="0065709E"/>
    <w:rsid w:val="00657672"/>
    <w:rsid w:val="00657732"/>
    <w:rsid w:val="00657FBD"/>
    <w:rsid w:val="00660400"/>
    <w:rsid w:val="00660467"/>
    <w:rsid w:val="00660910"/>
    <w:rsid w:val="0066103A"/>
    <w:rsid w:val="0066153A"/>
    <w:rsid w:val="00661BA7"/>
    <w:rsid w:val="00661CFD"/>
    <w:rsid w:val="00662D70"/>
    <w:rsid w:val="006631CC"/>
    <w:rsid w:val="0066381A"/>
    <w:rsid w:val="00663B91"/>
    <w:rsid w:val="00663CD4"/>
    <w:rsid w:val="0066411C"/>
    <w:rsid w:val="00664225"/>
    <w:rsid w:val="00664507"/>
    <w:rsid w:val="006645A9"/>
    <w:rsid w:val="00664A64"/>
    <w:rsid w:val="00664A6F"/>
    <w:rsid w:val="00664B23"/>
    <w:rsid w:val="00665570"/>
    <w:rsid w:val="00665A3B"/>
    <w:rsid w:val="00665A94"/>
    <w:rsid w:val="006660F4"/>
    <w:rsid w:val="0066629E"/>
    <w:rsid w:val="006662EB"/>
    <w:rsid w:val="00666671"/>
    <w:rsid w:val="00666934"/>
    <w:rsid w:val="00666A15"/>
    <w:rsid w:val="00666C28"/>
    <w:rsid w:val="00666EE3"/>
    <w:rsid w:val="00667063"/>
    <w:rsid w:val="00667AB3"/>
    <w:rsid w:val="00667D2D"/>
    <w:rsid w:val="00667D78"/>
    <w:rsid w:val="00667D7A"/>
    <w:rsid w:val="00667E9B"/>
    <w:rsid w:val="00667F9A"/>
    <w:rsid w:val="00667FF3"/>
    <w:rsid w:val="00670489"/>
    <w:rsid w:val="0067050D"/>
    <w:rsid w:val="00670754"/>
    <w:rsid w:val="0067083F"/>
    <w:rsid w:val="00670B5C"/>
    <w:rsid w:val="00671608"/>
    <w:rsid w:val="00671C39"/>
    <w:rsid w:val="00671DE6"/>
    <w:rsid w:val="0067271D"/>
    <w:rsid w:val="00672872"/>
    <w:rsid w:val="00672A88"/>
    <w:rsid w:val="00672F45"/>
    <w:rsid w:val="00672FD6"/>
    <w:rsid w:val="00673108"/>
    <w:rsid w:val="006734F7"/>
    <w:rsid w:val="006735CA"/>
    <w:rsid w:val="00673A62"/>
    <w:rsid w:val="00674218"/>
    <w:rsid w:val="0067451E"/>
    <w:rsid w:val="00674698"/>
    <w:rsid w:val="00674749"/>
    <w:rsid w:val="0067554A"/>
    <w:rsid w:val="0067557B"/>
    <w:rsid w:val="00675662"/>
    <w:rsid w:val="00675951"/>
    <w:rsid w:val="006759E0"/>
    <w:rsid w:val="00675D5A"/>
    <w:rsid w:val="00676485"/>
    <w:rsid w:val="006764A6"/>
    <w:rsid w:val="00676D53"/>
    <w:rsid w:val="00677102"/>
    <w:rsid w:val="00677882"/>
    <w:rsid w:val="00677CCA"/>
    <w:rsid w:val="00680C58"/>
    <w:rsid w:val="00680D0A"/>
    <w:rsid w:val="00680FB1"/>
    <w:rsid w:val="00681379"/>
    <w:rsid w:val="00681E9D"/>
    <w:rsid w:val="00681F1D"/>
    <w:rsid w:val="006820DB"/>
    <w:rsid w:val="006821D9"/>
    <w:rsid w:val="006822B7"/>
    <w:rsid w:val="006822BC"/>
    <w:rsid w:val="00682384"/>
    <w:rsid w:val="0068320B"/>
    <w:rsid w:val="00683428"/>
    <w:rsid w:val="006836B3"/>
    <w:rsid w:val="00683F39"/>
    <w:rsid w:val="00685939"/>
    <w:rsid w:val="00685CAC"/>
    <w:rsid w:val="00686FEB"/>
    <w:rsid w:val="0068713A"/>
    <w:rsid w:val="00687268"/>
    <w:rsid w:val="006878FF"/>
    <w:rsid w:val="006879A7"/>
    <w:rsid w:val="00687A71"/>
    <w:rsid w:val="00687ABD"/>
    <w:rsid w:val="006907E4"/>
    <w:rsid w:val="00690AAB"/>
    <w:rsid w:val="00690EA9"/>
    <w:rsid w:val="00691057"/>
    <w:rsid w:val="006911BC"/>
    <w:rsid w:val="0069149E"/>
    <w:rsid w:val="0069165E"/>
    <w:rsid w:val="00691ACE"/>
    <w:rsid w:val="00691C73"/>
    <w:rsid w:val="006922A1"/>
    <w:rsid w:val="00692DE5"/>
    <w:rsid w:val="0069341B"/>
    <w:rsid w:val="00693B9E"/>
    <w:rsid w:val="00694339"/>
    <w:rsid w:val="00694520"/>
    <w:rsid w:val="006945DE"/>
    <w:rsid w:val="00694807"/>
    <w:rsid w:val="00694A25"/>
    <w:rsid w:val="00694C49"/>
    <w:rsid w:val="006953FF"/>
    <w:rsid w:val="00695401"/>
    <w:rsid w:val="00695580"/>
    <w:rsid w:val="006957BD"/>
    <w:rsid w:val="00695B7B"/>
    <w:rsid w:val="006960C7"/>
    <w:rsid w:val="00696DA6"/>
    <w:rsid w:val="00696FAD"/>
    <w:rsid w:val="006972B3"/>
    <w:rsid w:val="00697328"/>
    <w:rsid w:val="00697591"/>
    <w:rsid w:val="00697BA9"/>
    <w:rsid w:val="00697D28"/>
    <w:rsid w:val="00697F1E"/>
    <w:rsid w:val="00697F8B"/>
    <w:rsid w:val="00697FD8"/>
    <w:rsid w:val="006A0013"/>
    <w:rsid w:val="006A01C0"/>
    <w:rsid w:val="006A0C26"/>
    <w:rsid w:val="006A0C6A"/>
    <w:rsid w:val="006A0E42"/>
    <w:rsid w:val="006A13DA"/>
    <w:rsid w:val="006A1962"/>
    <w:rsid w:val="006A1E09"/>
    <w:rsid w:val="006A1FE0"/>
    <w:rsid w:val="006A215D"/>
    <w:rsid w:val="006A286F"/>
    <w:rsid w:val="006A2BBF"/>
    <w:rsid w:val="006A31D7"/>
    <w:rsid w:val="006A3AE9"/>
    <w:rsid w:val="006A3E10"/>
    <w:rsid w:val="006A40E5"/>
    <w:rsid w:val="006A41B3"/>
    <w:rsid w:val="006A43D4"/>
    <w:rsid w:val="006A457D"/>
    <w:rsid w:val="006A45C9"/>
    <w:rsid w:val="006A51AB"/>
    <w:rsid w:val="006A5649"/>
    <w:rsid w:val="006A5DD0"/>
    <w:rsid w:val="006A5FDB"/>
    <w:rsid w:val="006A6003"/>
    <w:rsid w:val="006A63DA"/>
    <w:rsid w:val="006A6D48"/>
    <w:rsid w:val="006A6FC2"/>
    <w:rsid w:val="006A6FF7"/>
    <w:rsid w:val="006A7159"/>
    <w:rsid w:val="006A7173"/>
    <w:rsid w:val="006A76B8"/>
    <w:rsid w:val="006A7944"/>
    <w:rsid w:val="006A7F5A"/>
    <w:rsid w:val="006B0426"/>
    <w:rsid w:val="006B052F"/>
    <w:rsid w:val="006B075A"/>
    <w:rsid w:val="006B075C"/>
    <w:rsid w:val="006B09AE"/>
    <w:rsid w:val="006B0C0A"/>
    <w:rsid w:val="006B0C75"/>
    <w:rsid w:val="006B0CD6"/>
    <w:rsid w:val="006B166C"/>
    <w:rsid w:val="006B1CDD"/>
    <w:rsid w:val="006B2123"/>
    <w:rsid w:val="006B26D4"/>
    <w:rsid w:val="006B2927"/>
    <w:rsid w:val="006B2C39"/>
    <w:rsid w:val="006B2F47"/>
    <w:rsid w:val="006B3779"/>
    <w:rsid w:val="006B380E"/>
    <w:rsid w:val="006B3955"/>
    <w:rsid w:val="006B3B03"/>
    <w:rsid w:val="006B460A"/>
    <w:rsid w:val="006B4D4E"/>
    <w:rsid w:val="006B4D6D"/>
    <w:rsid w:val="006B4F33"/>
    <w:rsid w:val="006B516B"/>
    <w:rsid w:val="006B5381"/>
    <w:rsid w:val="006B54C8"/>
    <w:rsid w:val="006B5819"/>
    <w:rsid w:val="006B592A"/>
    <w:rsid w:val="006B5BF5"/>
    <w:rsid w:val="006B5E8E"/>
    <w:rsid w:val="006B6046"/>
    <w:rsid w:val="006B60A4"/>
    <w:rsid w:val="006B60E4"/>
    <w:rsid w:val="006B65CD"/>
    <w:rsid w:val="006B68B3"/>
    <w:rsid w:val="006B6AA1"/>
    <w:rsid w:val="006B6AB3"/>
    <w:rsid w:val="006B6B98"/>
    <w:rsid w:val="006B6C99"/>
    <w:rsid w:val="006B7BAC"/>
    <w:rsid w:val="006B7C06"/>
    <w:rsid w:val="006B7C33"/>
    <w:rsid w:val="006B7D3C"/>
    <w:rsid w:val="006C0121"/>
    <w:rsid w:val="006C012D"/>
    <w:rsid w:val="006C014C"/>
    <w:rsid w:val="006C040B"/>
    <w:rsid w:val="006C0482"/>
    <w:rsid w:val="006C0929"/>
    <w:rsid w:val="006C09DC"/>
    <w:rsid w:val="006C1373"/>
    <w:rsid w:val="006C13DA"/>
    <w:rsid w:val="006C154B"/>
    <w:rsid w:val="006C16E5"/>
    <w:rsid w:val="006C1B6D"/>
    <w:rsid w:val="006C21F8"/>
    <w:rsid w:val="006C22B0"/>
    <w:rsid w:val="006C260A"/>
    <w:rsid w:val="006C2BD0"/>
    <w:rsid w:val="006C2E37"/>
    <w:rsid w:val="006C2FD5"/>
    <w:rsid w:val="006C3254"/>
    <w:rsid w:val="006C3330"/>
    <w:rsid w:val="006C3C22"/>
    <w:rsid w:val="006C405F"/>
    <w:rsid w:val="006C4693"/>
    <w:rsid w:val="006C47FE"/>
    <w:rsid w:val="006C4EEA"/>
    <w:rsid w:val="006C5454"/>
    <w:rsid w:val="006C5472"/>
    <w:rsid w:val="006C56CC"/>
    <w:rsid w:val="006C59DD"/>
    <w:rsid w:val="006C5C9D"/>
    <w:rsid w:val="006C66AB"/>
    <w:rsid w:val="006C743D"/>
    <w:rsid w:val="006C75F5"/>
    <w:rsid w:val="006C7B54"/>
    <w:rsid w:val="006C7D03"/>
    <w:rsid w:val="006C7DC9"/>
    <w:rsid w:val="006D0126"/>
    <w:rsid w:val="006D0315"/>
    <w:rsid w:val="006D041B"/>
    <w:rsid w:val="006D04DB"/>
    <w:rsid w:val="006D055E"/>
    <w:rsid w:val="006D0981"/>
    <w:rsid w:val="006D0BDE"/>
    <w:rsid w:val="006D1331"/>
    <w:rsid w:val="006D134A"/>
    <w:rsid w:val="006D1B26"/>
    <w:rsid w:val="006D1D2D"/>
    <w:rsid w:val="006D1F4B"/>
    <w:rsid w:val="006D1F77"/>
    <w:rsid w:val="006D216C"/>
    <w:rsid w:val="006D24C5"/>
    <w:rsid w:val="006D266E"/>
    <w:rsid w:val="006D3539"/>
    <w:rsid w:val="006D38D5"/>
    <w:rsid w:val="006D3CA4"/>
    <w:rsid w:val="006D3E1A"/>
    <w:rsid w:val="006D4134"/>
    <w:rsid w:val="006D4700"/>
    <w:rsid w:val="006D48C6"/>
    <w:rsid w:val="006D49DB"/>
    <w:rsid w:val="006D4A57"/>
    <w:rsid w:val="006D4D2D"/>
    <w:rsid w:val="006D4FF7"/>
    <w:rsid w:val="006D517D"/>
    <w:rsid w:val="006D5620"/>
    <w:rsid w:val="006D56C2"/>
    <w:rsid w:val="006D5950"/>
    <w:rsid w:val="006D5AF2"/>
    <w:rsid w:val="006D6160"/>
    <w:rsid w:val="006D64B7"/>
    <w:rsid w:val="006D6838"/>
    <w:rsid w:val="006D73C4"/>
    <w:rsid w:val="006D7679"/>
    <w:rsid w:val="006D774F"/>
    <w:rsid w:val="006E03AA"/>
    <w:rsid w:val="006E0734"/>
    <w:rsid w:val="006E075F"/>
    <w:rsid w:val="006E0951"/>
    <w:rsid w:val="006E0D31"/>
    <w:rsid w:val="006E0DC3"/>
    <w:rsid w:val="006E145D"/>
    <w:rsid w:val="006E1B08"/>
    <w:rsid w:val="006E1D59"/>
    <w:rsid w:val="006E1E62"/>
    <w:rsid w:val="006E1EA9"/>
    <w:rsid w:val="006E1F2B"/>
    <w:rsid w:val="006E2023"/>
    <w:rsid w:val="006E20EE"/>
    <w:rsid w:val="006E24C2"/>
    <w:rsid w:val="006E2707"/>
    <w:rsid w:val="006E2C39"/>
    <w:rsid w:val="006E31BC"/>
    <w:rsid w:val="006E356D"/>
    <w:rsid w:val="006E3660"/>
    <w:rsid w:val="006E3CA3"/>
    <w:rsid w:val="006E4097"/>
    <w:rsid w:val="006E462F"/>
    <w:rsid w:val="006E476A"/>
    <w:rsid w:val="006E494E"/>
    <w:rsid w:val="006E4CE3"/>
    <w:rsid w:val="006E4DA9"/>
    <w:rsid w:val="006E4F7B"/>
    <w:rsid w:val="006E5195"/>
    <w:rsid w:val="006E5312"/>
    <w:rsid w:val="006E5480"/>
    <w:rsid w:val="006E627D"/>
    <w:rsid w:val="006E6F52"/>
    <w:rsid w:val="006E75A1"/>
    <w:rsid w:val="006E777F"/>
    <w:rsid w:val="006E7A89"/>
    <w:rsid w:val="006E7C45"/>
    <w:rsid w:val="006E7C86"/>
    <w:rsid w:val="006E7CCE"/>
    <w:rsid w:val="006F0268"/>
    <w:rsid w:val="006F058D"/>
    <w:rsid w:val="006F06C8"/>
    <w:rsid w:val="006F0F42"/>
    <w:rsid w:val="006F10A0"/>
    <w:rsid w:val="006F1228"/>
    <w:rsid w:val="006F12D4"/>
    <w:rsid w:val="006F276D"/>
    <w:rsid w:val="006F2E06"/>
    <w:rsid w:val="006F3018"/>
    <w:rsid w:val="006F3BC1"/>
    <w:rsid w:val="006F44F7"/>
    <w:rsid w:val="006F4A46"/>
    <w:rsid w:val="006F4B44"/>
    <w:rsid w:val="006F4E2B"/>
    <w:rsid w:val="006F5735"/>
    <w:rsid w:val="006F5ACD"/>
    <w:rsid w:val="006F5C0E"/>
    <w:rsid w:val="006F5D73"/>
    <w:rsid w:val="006F615B"/>
    <w:rsid w:val="006F6291"/>
    <w:rsid w:val="006F62A8"/>
    <w:rsid w:val="006F665E"/>
    <w:rsid w:val="006F6B84"/>
    <w:rsid w:val="006F6BBA"/>
    <w:rsid w:val="006F7023"/>
    <w:rsid w:val="006F748D"/>
    <w:rsid w:val="007008B0"/>
    <w:rsid w:val="0070119F"/>
    <w:rsid w:val="00701666"/>
    <w:rsid w:val="007017D9"/>
    <w:rsid w:val="007018F7"/>
    <w:rsid w:val="00701D53"/>
    <w:rsid w:val="007020FD"/>
    <w:rsid w:val="0070224B"/>
    <w:rsid w:val="0070254F"/>
    <w:rsid w:val="0070255E"/>
    <w:rsid w:val="0070279E"/>
    <w:rsid w:val="007029E7"/>
    <w:rsid w:val="00703337"/>
    <w:rsid w:val="00703392"/>
    <w:rsid w:val="00703527"/>
    <w:rsid w:val="00703577"/>
    <w:rsid w:val="00704468"/>
    <w:rsid w:val="0070448A"/>
    <w:rsid w:val="007048B4"/>
    <w:rsid w:val="00704A08"/>
    <w:rsid w:val="00704BFA"/>
    <w:rsid w:val="00704DBB"/>
    <w:rsid w:val="00705A3A"/>
    <w:rsid w:val="0070617B"/>
    <w:rsid w:val="00706EA9"/>
    <w:rsid w:val="0070768B"/>
    <w:rsid w:val="007076A9"/>
    <w:rsid w:val="007078BD"/>
    <w:rsid w:val="00707EF9"/>
    <w:rsid w:val="00707FBD"/>
    <w:rsid w:val="007103F8"/>
    <w:rsid w:val="00710466"/>
    <w:rsid w:val="007104D4"/>
    <w:rsid w:val="00710D22"/>
    <w:rsid w:val="00710E24"/>
    <w:rsid w:val="007113C5"/>
    <w:rsid w:val="00711F1F"/>
    <w:rsid w:val="00712086"/>
    <w:rsid w:val="00712521"/>
    <w:rsid w:val="00713022"/>
    <w:rsid w:val="00713045"/>
    <w:rsid w:val="007135D3"/>
    <w:rsid w:val="00713D8B"/>
    <w:rsid w:val="00714144"/>
    <w:rsid w:val="00714340"/>
    <w:rsid w:val="007147DB"/>
    <w:rsid w:val="00714874"/>
    <w:rsid w:val="00714E6A"/>
    <w:rsid w:val="007153B1"/>
    <w:rsid w:val="007153FF"/>
    <w:rsid w:val="007156B5"/>
    <w:rsid w:val="007156CE"/>
    <w:rsid w:val="007157F6"/>
    <w:rsid w:val="00715816"/>
    <w:rsid w:val="00715ADD"/>
    <w:rsid w:val="00715C65"/>
    <w:rsid w:val="00715F88"/>
    <w:rsid w:val="00716110"/>
    <w:rsid w:val="0071627B"/>
    <w:rsid w:val="0071631B"/>
    <w:rsid w:val="00716768"/>
    <w:rsid w:val="00716BC1"/>
    <w:rsid w:val="0071708A"/>
    <w:rsid w:val="00717441"/>
    <w:rsid w:val="007174A1"/>
    <w:rsid w:val="00717E20"/>
    <w:rsid w:val="00717E21"/>
    <w:rsid w:val="00717E73"/>
    <w:rsid w:val="00720359"/>
    <w:rsid w:val="0072076C"/>
    <w:rsid w:val="00720993"/>
    <w:rsid w:val="00720AA0"/>
    <w:rsid w:val="00721584"/>
    <w:rsid w:val="007219F7"/>
    <w:rsid w:val="00721AEA"/>
    <w:rsid w:val="00721BB0"/>
    <w:rsid w:val="00721E67"/>
    <w:rsid w:val="00722206"/>
    <w:rsid w:val="00722458"/>
    <w:rsid w:val="00722474"/>
    <w:rsid w:val="00722569"/>
    <w:rsid w:val="00722E76"/>
    <w:rsid w:val="00723236"/>
    <w:rsid w:val="00723635"/>
    <w:rsid w:val="00723D70"/>
    <w:rsid w:val="00724431"/>
    <w:rsid w:val="00724467"/>
    <w:rsid w:val="00724A73"/>
    <w:rsid w:val="007250A5"/>
    <w:rsid w:val="00725CFC"/>
    <w:rsid w:val="00725FA7"/>
    <w:rsid w:val="00726033"/>
    <w:rsid w:val="00726349"/>
    <w:rsid w:val="007264FE"/>
    <w:rsid w:val="0072678F"/>
    <w:rsid w:val="00726AF2"/>
    <w:rsid w:val="00726C4F"/>
    <w:rsid w:val="00726CB3"/>
    <w:rsid w:val="00726CEA"/>
    <w:rsid w:val="007272D3"/>
    <w:rsid w:val="0072796D"/>
    <w:rsid w:val="00727BBD"/>
    <w:rsid w:val="00727CEA"/>
    <w:rsid w:val="00727D65"/>
    <w:rsid w:val="0073003F"/>
    <w:rsid w:val="007301ED"/>
    <w:rsid w:val="00730678"/>
    <w:rsid w:val="00730A5C"/>
    <w:rsid w:val="00730C80"/>
    <w:rsid w:val="007310E0"/>
    <w:rsid w:val="0073114F"/>
    <w:rsid w:val="00731882"/>
    <w:rsid w:val="00731D4C"/>
    <w:rsid w:val="00731ED2"/>
    <w:rsid w:val="00732019"/>
    <w:rsid w:val="007322B3"/>
    <w:rsid w:val="00732C71"/>
    <w:rsid w:val="00732E39"/>
    <w:rsid w:val="007330B2"/>
    <w:rsid w:val="007333C2"/>
    <w:rsid w:val="007336F7"/>
    <w:rsid w:val="007338C2"/>
    <w:rsid w:val="00733B88"/>
    <w:rsid w:val="00734763"/>
    <w:rsid w:val="00734D40"/>
    <w:rsid w:val="00735111"/>
    <w:rsid w:val="0073517C"/>
    <w:rsid w:val="0073529E"/>
    <w:rsid w:val="007352A8"/>
    <w:rsid w:val="007356FC"/>
    <w:rsid w:val="007358CF"/>
    <w:rsid w:val="00735E11"/>
    <w:rsid w:val="00736297"/>
    <w:rsid w:val="0073645B"/>
    <w:rsid w:val="007366C7"/>
    <w:rsid w:val="0073691A"/>
    <w:rsid w:val="0073697D"/>
    <w:rsid w:val="00736E63"/>
    <w:rsid w:val="00737047"/>
    <w:rsid w:val="007374EF"/>
    <w:rsid w:val="007375D4"/>
    <w:rsid w:val="00737714"/>
    <w:rsid w:val="00737A00"/>
    <w:rsid w:val="00740007"/>
    <w:rsid w:val="00740280"/>
    <w:rsid w:val="007402F6"/>
    <w:rsid w:val="0074075D"/>
    <w:rsid w:val="007410F2"/>
    <w:rsid w:val="007417C4"/>
    <w:rsid w:val="00741827"/>
    <w:rsid w:val="007427F0"/>
    <w:rsid w:val="00742E4B"/>
    <w:rsid w:val="00742E9F"/>
    <w:rsid w:val="00742ECC"/>
    <w:rsid w:val="00743020"/>
    <w:rsid w:val="0074330A"/>
    <w:rsid w:val="00743346"/>
    <w:rsid w:val="00743349"/>
    <w:rsid w:val="00743B43"/>
    <w:rsid w:val="007440B4"/>
    <w:rsid w:val="00744844"/>
    <w:rsid w:val="00744953"/>
    <w:rsid w:val="00744DDF"/>
    <w:rsid w:val="00745307"/>
    <w:rsid w:val="007455F0"/>
    <w:rsid w:val="00745E40"/>
    <w:rsid w:val="00746600"/>
    <w:rsid w:val="00746664"/>
    <w:rsid w:val="00746CC7"/>
    <w:rsid w:val="007474D6"/>
    <w:rsid w:val="00750463"/>
    <w:rsid w:val="007504A7"/>
    <w:rsid w:val="00750E06"/>
    <w:rsid w:val="00751230"/>
    <w:rsid w:val="0075156C"/>
    <w:rsid w:val="00751832"/>
    <w:rsid w:val="00751F6A"/>
    <w:rsid w:val="00751FA2"/>
    <w:rsid w:val="00752099"/>
    <w:rsid w:val="0075216A"/>
    <w:rsid w:val="0075228B"/>
    <w:rsid w:val="00752794"/>
    <w:rsid w:val="00752887"/>
    <w:rsid w:val="007530C3"/>
    <w:rsid w:val="007536DF"/>
    <w:rsid w:val="007537C9"/>
    <w:rsid w:val="00753B77"/>
    <w:rsid w:val="00753DE4"/>
    <w:rsid w:val="00754000"/>
    <w:rsid w:val="007540B1"/>
    <w:rsid w:val="00754AD9"/>
    <w:rsid w:val="00754CC0"/>
    <w:rsid w:val="00754EEB"/>
    <w:rsid w:val="00754EF0"/>
    <w:rsid w:val="00754FA8"/>
    <w:rsid w:val="00754FFC"/>
    <w:rsid w:val="007554ED"/>
    <w:rsid w:val="007555B7"/>
    <w:rsid w:val="007555CA"/>
    <w:rsid w:val="007555DE"/>
    <w:rsid w:val="00755670"/>
    <w:rsid w:val="00755E40"/>
    <w:rsid w:val="0075658F"/>
    <w:rsid w:val="007566AE"/>
    <w:rsid w:val="00756D7E"/>
    <w:rsid w:val="00756FF6"/>
    <w:rsid w:val="007572B9"/>
    <w:rsid w:val="00757384"/>
    <w:rsid w:val="00757C9E"/>
    <w:rsid w:val="00757CDB"/>
    <w:rsid w:val="00757F23"/>
    <w:rsid w:val="007600F5"/>
    <w:rsid w:val="00760797"/>
    <w:rsid w:val="00760A39"/>
    <w:rsid w:val="0076127E"/>
    <w:rsid w:val="007617A9"/>
    <w:rsid w:val="00761B65"/>
    <w:rsid w:val="00762058"/>
    <w:rsid w:val="007621FC"/>
    <w:rsid w:val="0076255A"/>
    <w:rsid w:val="007626C0"/>
    <w:rsid w:val="00762C95"/>
    <w:rsid w:val="00762CB5"/>
    <w:rsid w:val="00762F03"/>
    <w:rsid w:val="00763284"/>
    <w:rsid w:val="00763486"/>
    <w:rsid w:val="00763600"/>
    <w:rsid w:val="00763C2B"/>
    <w:rsid w:val="00763D27"/>
    <w:rsid w:val="00763D5E"/>
    <w:rsid w:val="00763E13"/>
    <w:rsid w:val="00764005"/>
    <w:rsid w:val="007641EC"/>
    <w:rsid w:val="00764613"/>
    <w:rsid w:val="00764969"/>
    <w:rsid w:val="00764CD1"/>
    <w:rsid w:val="00764EFC"/>
    <w:rsid w:val="00765A1C"/>
    <w:rsid w:val="00765D8A"/>
    <w:rsid w:val="0076661A"/>
    <w:rsid w:val="00766C1E"/>
    <w:rsid w:val="00766E15"/>
    <w:rsid w:val="00770537"/>
    <w:rsid w:val="007707C1"/>
    <w:rsid w:val="00770A27"/>
    <w:rsid w:val="007713C0"/>
    <w:rsid w:val="007718A2"/>
    <w:rsid w:val="00771AFE"/>
    <w:rsid w:val="00772A48"/>
    <w:rsid w:val="00772C90"/>
    <w:rsid w:val="0077332E"/>
    <w:rsid w:val="00773542"/>
    <w:rsid w:val="007735A7"/>
    <w:rsid w:val="00773795"/>
    <w:rsid w:val="007737AE"/>
    <w:rsid w:val="007738A7"/>
    <w:rsid w:val="007744CF"/>
    <w:rsid w:val="00774518"/>
    <w:rsid w:val="00774F88"/>
    <w:rsid w:val="0077527D"/>
    <w:rsid w:val="0077549F"/>
    <w:rsid w:val="00775D44"/>
    <w:rsid w:val="007761CE"/>
    <w:rsid w:val="00776294"/>
    <w:rsid w:val="007763EC"/>
    <w:rsid w:val="007766A4"/>
    <w:rsid w:val="00777589"/>
    <w:rsid w:val="00777977"/>
    <w:rsid w:val="00777AD1"/>
    <w:rsid w:val="00777EBD"/>
    <w:rsid w:val="0078078A"/>
    <w:rsid w:val="00780E4C"/>
    <w:rsid w:val="0078116B"/>
    <w:rsid w:val="0078134E"/>
    <w:rsid w:val="00781531"/>
    <w:rsid w:val="00781D65"/>
    <w:rsid w:val="007821B3"/>
    <w:rsid w:val="007826C4"/>
    <w:rsid w:val="007827AB"/>
    <w:rsid w:val="00782E27"/>
    <w:rsid w:val="00782FCA"/>
    <w:rsid w:val="00783175"/>
    <w:rsid w:val="00783841"/>
    <w:rsid w:val="00784067"/>
    <w:rsid w:val="00785924"/>
    <w:rsid w:val="00785ADD"/>
    <w:rsid w:val="007864B9"/>
    <w:rsid w:val="007865DF"/>
    <w:rsid w:val="00786CDA"/>
    <w:rsid w:val="007870B4"/>
    <w:rsid w:val="007873EA"/>
    <w:rsid w:val="0078741E"/>
    <w:rsid w:val="007875F9"/>
    <w:rsid w:val="00787933"/>
    <w:rsid w:val="00787A02"/>
    <w:rsid w:val="00787A32"/>
    <w:rsid w:val="00787EAA"/>
    <w:rsid w:val="00790290"/>
    <w:rsid w:val="00790857"/>
    <w:rsid w:val="00790944"/>
    <w:rsid w:val="00790C79"/>
    <w:rsid w:val="00790C9C"/>
    <w:rsid w:val="007911B8"/>
    <w:rsid w:val="0079144C"/>
    <w:rsid w:val="00791960"/>
    <w:rsid w:val="00791C62"/>
    <w:rsid w:val="007921B1"/>
    <w:rsid w:val="007926C9"/>
    <w:rsid w:val="00792977"/>
    <w:rsid w:val="00793099"/>
    <w:rsid w:val="007933D3"/>
    <w:rsid w:val="007935C7"/>
    <w:rsid w:val="00793709"/>
    <w:rsid w:val="00793F5E"/>
    <w:rsid w:val="007941DA"/>
    <w:rsid w:val="00794436"/>
    <w:rsid w:val="0079477E"/>
    <w:rsid w:val="00794D1D"/>
    <w:rsid w:val="007953B2"/>
    <w:rsid w:val="007958BB"/>
    <w:rsid w:val="00795F94"/>
    <w:rsid w:val="0079671A"/>
    <w:rsid w:val="0079688C"/>
    <w:rsid w:val="00796D36"/>
    <w:rsid w:val="00796E7D"/>
    <w:rsid w:val="007970EE"/>
    <w:rsid w:val="0079773D"/>
    <w:rsid w:val="00797A28"/>
    <w:rsid w:val="00797D62"/>
    <w:rsid w:val="00797EB5"/>
    <w:rsid w:val="007A0054"/>
    <w:rsid w:val="007A008D"/>
    <w:rsid w:val="007A0097"/>
    <w:rsid w:val="007A0A33"/>
    <w:rsid w:val="007A0AF6"/>
    <w:rsid w:val="007A0B25"/>
    <w:rsid w:val="007A0CCA"/>
    <w:rsid w:val="007A0ED9"/>
    <w:rsid w:val="007A0EF0"/>
    <w:rsid w:val="007A1878"/>
    <w:rsid w:val="007A1F90"/>
    <w:rsid w:val="007A24ED"/>
    <w:rsid w:val="007A2735"/>
    <w:rsid w:val="007A2FF3"/>
    <w:rsid w:val="007A3299"/>
    <w:rsid w:val="007A3385"/>
    <w:rsid w:val="007A3694"/>
    <w:rsid w:val="007A3759"/>
    <w:rsid w:val="007A49C3"/>
    <w:rsid w:val="007A4AA3"/>
    <w:rsid w:val="007A4EB9"/>
    <w:rsid w:val="007A51BD"/>
    <w:rsid w:val="007A52EA"/>
    <w:rsid w:val="007A537D"/>
    <w:rsid w:val="007A595F"/>
    <w:rsid w:val="007A59AA"/>
    <w:rsid w:val="007A59FB"/>
    <w:rsid w:val="007A5E61"/>
    <w:rsid w:val="007A661A"/>
    <w:rsid w:val="007A68C7"/>
    <w:rsid w:val="007A6921"/>
    <w:rsid w:val="007A6BC3"/>
    <w:rsid w:val="007A7524"/>
    <w:rsid w:val="007A7537"/>
    <w:rsid w:val="007A7691"/>
    <w:rsid w:val="007A7C2D"/>
    <w:rsid w:val="007A7CC2"/>
    <w:rsid w:val="007B022A"/>
    <w:rsid w:val="007B03C7"/>
    <w:rsid w:val="007B0500"/>
    <w:rsid w:val="007B0663"/>
    <w:rsid w:val="007B0FE4"/>
    <w:rsid w:val="007B1222"/>
    <w:rsid w:val="007B147E"/>
    <w:rsid w:val="007B2213"/>
    <w:rsid w:val="007B2369"/>
    <w:rsid w:val="007B2853"/>
    <w:rsid w:val="007B2A33"/>
    <w:rsid w:val="007B2F86"/>
    <w:rsid w:val="007B3630"/>
    <w:rsid w:val="007B3740"/>
    <w:rsid w:val="007B37B7"/>
    <w:rsid w:val="007B3CDB"/>
    <w:rsid w:val="007B3E60"/>
    <w:rsid w:val="007B4325"/>
    <w:rsid w:val="007B45B0"/>
    <w:rsid w:val="007B4691"/>
    <w:rsid w:val="007B47F1"/>
    <w:rsid w:val="007B481C"/>
    <w:rsid w:val="007B4971"/>
    <w:rsid w:val="007B4B29"/>
    <w:rsid w:val="007B50A2"/>
    <w:rsid w:val="007B524C"/>
    <w:rsid w:val="007B5760"/>
    <w:rsid w:val="007B5AE1"/>
    <w:rsid w:val="007B600E"/>
    <w:rsid w:val="007B6022"/>
    <w:rsid w:val="007B6409"/>
    <w:rsid w:val="007B6AD3"/>
    <w:rsid w:val="007B6B82"/>
    <w:rsid w:val="007B6E37"/>
    <w:rsid w:val="007B775C"/>
    <w:rsid w:val="007B791A"/>
    <w:rsid w:val="007B7B3C"/>
    <w:rsid w:val="007B7F4A"/>
    <w:rsid w:val="007C04A4"/>
    <w:rsid w:val="007C06AF"/>
    <w:rsid w:val="007C0AC1"/>
    <w:rsid w:val="007C0AC3"/>
    <w:rsid w:val="007C0C2E"/>
    <w:rsid w:val="007C0E90"/>
    <w:rsid w:val="007C147E"/>
    <w:rsid w:val="007C14C2"/>
    <w:rsid w:val="007C153A"/>
    <w:rsid w:val="007C1845"/>
    <w:rsid w:val="007C196F"/>
    <w:rsid w:val="007C1A7F"/>
    <w:rsid w:val="007C1B59"/>
    <w:rsid w:val="007C1CE5"/>
    <w:rsid w:val="007C1EB1"/>
    <w:rsid w:val="007C2290"/>
    <w:rsid w:val="007C2307"/>
    <w:rsid w:val="007C28E4"/>
    <w:rsid w:val="007C2D07"/>
    <w:rsid w:val="007C2FBA"/>
    <w:rsid w:val="007C2FC5"/>
    <w:rsid w:val="007C3253"/>
    <w:rsid w:val="007C345C"/>
    <w:rsid w:val="007C3A4D"/>
    <w:rsid w:val="007C3B0E"/>
    <w:rsid w:val="007C454A"/>
    <w:rsid w:val="007C47C2"/>
    <w:rsid w:val="007C4A76"/>
    <w:rsid w:val="007C4C6D"/>
    <w:rsid w:val="007C4CB1"/>
    <w:rsid w:val="007C50BA"/>
    <w:rsid w:val="007C51AC"/>
    <w:rsid w:val="007C5572"/>
    <w:rsid w:val="007C57E2"/>
    <w:rsid w:val="007C5842"/>
    <w:rsid w:val="007C5EA5"/>
    <w:rsid w:val="007C6047"/>
    <w:rsid w:val="007C66E7"/>
    <w:rsid w:val="007C6893"/>
    <w:rsid w:val="007C6E48"/>
    <w:rsid w:val="007D0451"/>
    <w:rsid w:val="007D0662"/>
    <w:rsid w:val="007D06DD"/>
    <w:rsid w:val="007D0706"/>
    <w:rsid w:val="007D0719"/>
    <w:rsid w:val="007D134A"/>
    <w:rsid w:val="007D1BD6"/>
    <w:rsid w:val="007D2184"/>
    <w:rsid w:val="007D2444"/>
    <w:rsid w:val="007D3162"/>
    <w:rsid w:val="007D320E"/>
    <w:rsid w:val="007D3873"/>
    <w:rsid w:val="007D3A80"/>
    <w:rsid w:val="007D3E00"/>
    <w:rsid w:val="007D3F8B"/>
    <w:rsid w:val="007D42E3"/>
    <w:rsid w:val="007D42EC"/>
    <w:rsid w:val="007D44AC"/>
    <w:rsid w:val="007D44CD"/>
    <w:rsid w:val="007D46DC"/>
    <w:rsid w:val="007D4761"/>
    <w:rsid w:val="007D48BC"/>
    <w:rsid w:val="007D4D4A"/>
    <w:rsid w:val="007D53F3"/>
    <w:rsid w:val="007D56A0"/>
    <w:rsid w:val="007D56A9"/>
    <w:rsid w:val="007D59A9"/>
    <w:rsid w:val="007D5EA6"/>
    <w:rsid w:val="007D6A5D"/>
    <w:rsid w:val="007D6BD2"/>
    <w:rsid w:val="007D6C92"/>
    <w:rsid w:val="007D7216"/>
    <w:rsid w:val="007D72D7"/>
    <w:rsid w:val="007D7552"/>
    <w:rsid w:val="007D7C33"/>
    <w:rsid w:val="007D7EAB"/>
    <w:rsid w:val="007E02CC"/>
    <w:rsid w:val="007E0B72"/>
    <w:rsid w:val="007E0C3E"/>
    <w:rsid w:val="007E0E1A"/>
    <w:rsid w:val="007E15EA"/>
    <w:rsid w:val="007E161A"/>
    <w:rsid w:val="007E195B"/>
    <w:rsid w:val="007E1CE6"/>
    <w:rsid w:val="007E1D49"/>
    <w:rsid w:val="007E20FE"/>
    <w:rsid w:val="007E2400"/>
    <w:rsid w:val="007E24FC"/>
    <w:rsid w:val="007E2BC2"/>
    <w:rsid w:val="007E2F34"/>
    <w:rsid w:val="007E2FCE"/>
    <w:rsid w:val="007E3898"/>
    <w:rsid w:val="007E3A49"/>
    <w:rsid w:val="007E3CA2"/>
    <w:rsid w:val="007E3F13"/>
    <w:rsid w:val="007E413D"/>
    <w:rsid w:val="007E4145"/>
    <w:rsid w:val="007E49A3"/>
    <w:rsid w:val="007E4B94"/>
    <w:rsid w:val="007E4DA6"/>
    <w:rsid w:val="007E4EAF"/>
    <w:rsid w:val="007E543A"/>
    <w:rsid w:val="007E583F"/>
    <w:rsid w:val="007E58EB"/>
    <w:rsid w:val="007E5AF7"/>
    <w:rsid w:val="007E5FA9"/>
    <w:rsid w:val="007E6349"/>
    <w:rsid w:val="007E6AC6"/>
    <w:rsid w:val="007E6B35"/>
    <w:rsid w:val="007E6CB0"/>
    <w:rsid w:val="007E6CE1"/>
    <w:rsid w:val="007E6CF8"/>
    <w:rsid w:val="007E6E38"/>
    <w:rsid w:val="007E75EF"/>
    <w:rsid w:val="007E76FA"/>
    <w:rsid w:val="007E7913"/>
    <w:rsid w:val="007F0036"/>
    <w:rsid w:val="007F013E"/>
    <w:rsid w:val="007F017A"/>
    <w:rsid w:val="007F03AF"/>
    <w:rsid w:val="007F099E"/>
    <w:rsid w:val="007F106A"/>
    <w:rsid w:val="007F14D1"/>
    <w:rsid w:val="007F1710"/>
    <w:rsid w:val="007F1B64"/>
    <w:rsid w:val="007F1C61"/>
    <w:rsid w:val="007F1D3D"/>
    <w:rsid w:val="007F1DAD"/>
    <w:rsid w:val="007F241B"/>
    <w:rsid w:val="007F2867"/>
    <w:rsid w:val="007F300B"/>
    <w:rsid w:val="007F363A"/>
    <w:rsid w:val="007F3642"/>
    <w:rsid w:val="007F371C"/>
    <w:rsid w:val="007F3D0E"/>
    <w:rsid w:val="007F4215"/>
    <w:rsid w:val="007F5071"/>
    <w:rsid w:val="007F548F"/>
    <w:rsid w:val="007F5A2F"/>
    <w:rsid w:val="007F5ADF"/>
    <w:rsid w:val="007F61D5"/>
    <w:rsid w:val="007F6222"/>
    <w:rsid w:val="007F6E64"/>
    <w:rsid w:val="007F6F67"/>
    <w:rsid w:val="007F71D1"/>
    <w:rsid w:val="007F72CF"/>
    <w:rsid w:val="007F77A7"/>
    <w:rsid w:val="00800319"/>
    <w:rsid w:val="00801198"/>
    <w:rsid w:val="008012FB"/>
    <w:rsid w:val="008015D9"/>
    <w:rsid w:val="008019AD"/>
    <w:rsid w:val="00801CE1"/>
    <w:rsid w:val="00801DC9"/>
    <w:rsid w:val="0080250A"/>
    <w:rsid w:val="008029D5"/>
    <w:rsid w:val="00802C4A"/>
    <w:rsid w:val="00802E28"/>
    <w:rsid w:val="00802E6D"/>
    <w:rsid w:val="008039E5"/>
    <w:rsid w:val="00803AA4"/>
    <w:rsid w:val="00803D7D"/>
    <w:rsid w:val="00803F71"/>
    <w:rsid w:val="00803F7E"/>
    <w:rsid w:val="00804563"/>
    <w:rsid w:val="008049F8"/>
    <w:rsid w:val="00805085"/>
    <w:rsid w:val="00805250"/>
    <w:rsid w:val="0080558C"/>
    <w:rsid w:val="008056CB"/>
    <w:rsid w:val="00805CA0"/>
    <w:rsid w:val="0080619D"/>
    <w:rsid w:val="008066B3"/>
    <w:rsid w:val="008066EC"/>
    <w:rsid w:val="008069A7"/>
    <w:rsid w:val="00806CAB"/>
    <w:rsid w:val="00806F18"/>
    <w:rsid w:val="00806F40"/>
    <w:rsid w:val="0080764C"/>
    <w:rsid w:val="00807A53"/>
    <w:rsid w:val="00807CB3"/>
    <w:rsid w:val="008100B1"/>
    <w:rsid w:val="00810D85"/>
    <w:rsid w:val="008113F9"/>
    <w:rsid w:val="008117C1"/>
    <w:rsid w:val="00811D06"/>
    <w:rsid w:val="00811F0D"/>
    <w:rsid w:val="00811F56"/>
    <w:rsid w:val="008123A1"/>
    <w:rsid w:val="00812467"/>
    <w:rsid w:val="00812637"/>
    <w:rsid w:val="00812A55"/>
    <w:rsid w:val="00812C10"/>
    <w:rsid w:val="00813114"/>
    <w:rsid w:val="00813227"/>
    <w:rsid w:val="00813271"/>
    <w:rsid w:val="008132DC"/>
    <w:rsid w:val="008133A4"/>
    <w:rsid w:val="008134B2"/>
    <w:rsid w:val="008135F8"/>
    <w:rsid w:val="00813EB8"/>
    <w:rsid w:val="00814059"/>
    <w:rsid w:val="00814250"/>
    <w:rsid w:val="008142FA"/>
    <w:rsid w:val="0081437C"/>
    <w:rsid w:val="00814522"/>
    <w:rsid w:val="00814688"/>
    <w:rsid w:val="00814FFF"/>
    <w:rsid w:val="008152BD"/>
    <w:rsid w:val="008157F5"/>
    <w:rsid w:val="00815FE7"/>
    <w:rsid w:val="0081608B"/>
    <w:rsid w:val="00816585"/>
    <w:rsid w:val="00816D11"/>
    <w:rsid w:val="0081702B"/>
    <w:rsid w:val="008170FB"/>
    <w:rsid w:val="008179D7"/>
    <w:rsid w:val="00817A03"/>
    <w:rsid w:val="00817CDD"/>
    <w:rsid w:val="00817E3B"/>
    <w:rsid w:val="00817EA4"/>
    <w:rsid w:val="00820005"/>
    <w:rsid w:val="00820154"/>
    <w:rsid w:val="00820794"/>
    <w:rsid w:val="00820A14"/>
    <w:rsid w:val="00820A56"/>
    <w:rsid w:val="00820B26"/>
    <w:rsid w:val="00820F32"/>
    <w:rsid w:val="00821570"/>
    <w:rsid w:val="00821642"/>
    <w:rsid w:val="008216F9"/>
    <w:rsid w:val="008217CD"/>
    <w:rsid w:val="00821B49"/>
    <w:rsid w:val="008226AA"/>
    <w:rsid w:val="00822733"/>
    <w:rsid w:val="008229A0"/>
    <w:rsid w:val="00822BBA"/>
    <w:rsid w:val="00822DFB"/>
    <w:rsid w:val="00822F95"/>
    <w:rsid w:val="00822F9E"/>
    <w:rsid w:val="00823461"/>
    <w:rsid w:val="0082372F"/>
    <w:rsid w:val="0082386F"/>
    <w:rsid w:val="00823F6F"/>
    <w:rsid w:val="00824381"/>
    <w:rsid w:val="008243C3"/>
    <w:rsid w:val="00824552"/>
    <w:rsid w:val="0082459B"/>
    <w:rsid w:val="00824643"/>
    <w:rsid w:val="00824CD3"/>
    <w:rsid w:val="008250C7"/>
    <w:rsid w:val="00825AB1"/>
    <w:rsid w:val="00825AD9"/>
    <w:rsid w:val="00825C76"/>
    <w:rsid w:val="00825FD2"/>
    <w:rsid w:val="00826333"/>
    <w:rsid w:val="00826343"/>
    <w:rsid w:val="008264B5"/>
    <w:rsid w:val="00826615"/>
    <w:rsid w:val="00826673"/>
    <w:rsid w:val="008272BF"/>
    <w:rsid w:val="008272F6"/>
    <w:rsid w:val="00827B62"/>
    <w:rsid w:val="00827E74"/>
    <w:rsid w:val="00830249"/>
    <w:rsid w:val="008306DC"/>
    <w:rsid w:val="008307D1"/>
    <w:rsid w:val="00830C36"/>
    <w:rsid w:val="00830E4A"/>
    <w:rsid w:val="00831211"/>
    <w:rsid w:val="0083142D"/>
    <w:rsid w:val="00831497"/>
    <w:rsid w:val="00831D0C"/>
    <w:rsid w:val="00831FD6"/>
    <w:rsid w:val="00832038"/>
    <w:rsid w:val="008322A9"/>
    <w:rsid w:val="008323E9"/>
    <w:rsid w:val="008324BC"/>
    <w:rsid w:val="008329BB"/>
    <w:rsid w:val="00832E0D"/>
    <w:rsid w:val="00832E92"/>
    <w:rsid w:val="00832EE5"/>
    <w:rsid w:val="00833127"/>
    <w:rsid w:val="008331AD"/>
    <w:rsid w:val="00833252"/>
    <w:rsid w:val="00833AB9"/>
    <w:rsid w:val="00833C0C"/>
    <w:rsid w:val="00833C38"/>
    <w:rsid w:val="00833F6A"/>
    <w:rsid w:val="00833FBC"/>
    <w:rsid w:val="008340EF"/>
    <w:rsid w:val="008344A3"/>
    <w:rsid w:val="008344A7"/>
    <w:rsid w:val="00834578"/>
    <w:rsid w:val="00834605"/>
    <w:rsid w:val="0083470E"/>
    <w:rsid w:val="00834FDB"/>
    <w:rsid w:val="00835275"/>
    <w:rsid w:val="00835536"/>
    <w:rsid w:val="00835602"/>
    <w:rsid w:val="008356C2"/>
    <w:rsid w:val="00835808"/>
    <w:rsid w:val="008359B6"/>
    <w:rsid w:val="00835BFF"/>
    <w:rsid w:val="00835E41"/>
    <w:rsid w:val="00835EBA"/>
    <w:rsid w:val="00836291"/>
    <w:rsid w:val="008366E0"/>
    <w:rsid w:val="00836A00"/>
    <w:rsid w:val="00836C29"/>
    <w:rsid w:val="00836E36"/>
    <w:rsid w:val="00837169"/>
    <w:rsid w:val="0083748B"/>
    <w:rsid w:val="0083779A"/>
    <w:rsid w:val="0084018F"/>
    <w:rsid w:val="00840BF0"/>
    <w:rsid w:val="00840CAB"/>
    <w:rsid w:val="0084159C"/>
    <w:rsid w:val="00841742"/>
    <w:rsid w:val="00841F89"/>
    <w:rsid w:val="00842349"/>
    <w:rsid w:val="008423F9"/>
    <w:rsid w:val="00842721"/>
    <w:rsid w:val="008428B0"/>
    <w:rsid w:val="00842D6F"/>
    <w:rsid w:val="00842F05"/>
    <w:rsid w:val="008436F1"/>
    <w:rsid w:val="00843935"/>
    <w:rsid w:val="00843A78"/>
    <w:rsid w:val="00843BDA"/>
    <w:rsid w:val="0084499F"/>
    <w:rsid w:val="00844AB8"/>
    <w:rsid w:val="00844B92"/>
    <w:rsid w:val="00844EF5"/>
    <w:rsid w:val="008451C6"/>
    <w:rsid w:val="00845662"/>
    <w:rsid w:val="008459E8"/>
    <w:rsid w:val="00845A8E"/>
    <w:rsid w:val="00845F8E"/>
    <w:rsid w:val="008462BD"/>
    <w:rsid w:val="008462BF"/>
    <w:rsid w:val="008464F4"/>
    <w:rsid w:val="008468CA"/>
    <w:rsid w:val="00846D60"/>
    <w:rsid w:val="00846D76"/>
    <w:rsid w:val="0084708A"/>
    <w:rsid w:val="00847107"/>
    <w:rsid w:val="008473DC"/>
    <w:rsid w:val="0084787E"/>
    <w:rsid w:val="00847965"/>
    <w:rsid w:val="00847979"/>
    <w:rsid w:val="00847A71"/>
    <w:rsid w:val="00847D7E"/>
    <w:rsid w:val="0085031B"/>
    <w:rsid w:val="008508A7"/>
    <w:rsid w:val="008508EE"/>
    <w:rsid w:val="00850A63"/>
    <w:rsid w:val="00850C61"/>
    <w:rsid w:val="00851077"/>
    <w:rsid w:val="008511F5"/>
    <w:rsid w:val="0085157E"/>
    <w:rsid w:val="0085162F"/>
    <w:rsid w:val="0085199A"/>
    <w:rsid w:val="00851A97"/>
    <w:rsid w:val="00851AA6"/>
    <w:rsid w:val="00852AA3"/>
    <w:rsid w:val="00852C3C"/>
    <w:rsid w:val="00852F3E"/>
    <w:rsid w:val="00852FEB"/>
    <w:rsid w:val="008537AA"/>
    <w:rsid w:val="008538F6"/>
    <w:rsid w:val="0085475B"/>
    <w:rsid w:val="008549D8"/>
    <w:rsid w:val="00854CEC"/>
    <w:rsid w:val="00854F16"/>
    <w:rsid w:val="00855109"/>
    <w:rsid w:val="008555C2"/>
    <w:rsid w:val="008556A2"/>
    <w:rsid w:val="00855AA0"/>
    <w:rsid w:val="0085607B"/>
    <w:rsid w:val="008561BE"/>
    <w:rsid w:val="00856732"/>
    <w:rsid w:val="0085680B"/>
    <w:rsid w:val="0085689A"/>
    <w:rsid w:val="0085718D"/>
    <w:rsid w:val="0085738C"/>
    <w:rsid w:val="008573BF"/>
    <w:rsid w:val="008573CF"/>
    <w:rsid w:val="0085766B"/>
    <w:rsid w:val="008602F7"/>
    <w:rsid w:val="00860A62"/>
    <w:rsid w:val="00860B73"/>
    <w:rsid w:val="00860D4A"/>
    <w:rsid w:val="008613ED"/>
    <w:rsid w:val="00861518"/>
    <w:rsid w:val="0086155D"/>
    <w:rsid w:val="00861ABA"/>
    <w:rsid w:val="00861B15"/>
    <w:rsid w:val="00861EF9"/>
    <w:rsid w:val="0086214C"/>
    <w:rsid w:val="00862384"/>
    <w:rsid w:val="008624C8"/>
    <w:rsid w:val="00862547"/>
    <w:rsid w:val="00862983"/>
    <w:rsid w:val="00862A20"/>
    <w:rsid w:val="00862D5E"/>
    <w:rsid w:val="00862EB6"/>
    <w:rsid w:val="008632D7"/>
    <w:rsid w:val="00863596"/>
    <w:rsid w:val="008635E3"/>
    <w:rsid w:val="00863744"/>
    <w:rsid w:val="00863AF1"/>
    <w:rsid w:val="00864262"/>
    <w:rsid w:val="00864393"/>
    <w:rsid w:val="00864ADE"/>
    <w:rsid w:val="00864FBE"/>
    <w:rsid w:val="00865512"/>
    <w:rsid w:val="008655E4"/>
    <w:rsid w:val="00865A13"/>
    <w:rsid w:val="00866709"/>
    <w:rsid w:val="00866C72"/>
    <w:rsid w:val="0086734B"/>
    <w:rsid w:val="008673C2"/>
    <w:rsid w:val="008674E6"/>
    <w:rsid w:val="0086775C"/>
    <w:rsid w:val="00867CF7"/>
    <w:rsid w:val="00867DF2"/>
    <w:rsid w:val="00867FB0"/>
    <w:rsid w:val="0087029F"/>
    <w:rsid w:val="00870304"/>
    <w:rsid w:val="008705B8"/>
    <w:rsid w:val="00870871"/>
    <w:rsid w:val="00870D06"/>
    <w:rsid w:val="008710AF"/>
    <w:rsid w:val="00871235"/>
    <w:rsid w:val="008716B3"/>
    <w:rsid w:val="008719E1"/>
    <w:rsid w:val="00871A12"/>
    <w:rsid w:val="00871D16"/>
    <w:rsid w:val="00872832"/>
    <w:rsid w:val="00872914"/>
    <w:rsid w:val="00872E40"/>
    <w:rsid w:val="008732DF"/>
    <w:rsid w:val="008734DC"/>
    <w:rsid w:val="00873517"/>
    <w:rsid w:val="008736D2"/>
    <w:rsid w:val="00873723"/>
    <w:rsid w:val="00873B3A"/>
    <w:rsid w:val="00873CAB"/>
    <w:rsid w:val="00873DB8"/>
    <w:rsid w:val="008744D1"/>
    <w:rsid w:val="00874B08"/>
    <w:rsid w:val="00874CA9"/>
    <w:rsid w:val="00874DF6"/>
    <w:rsid w:val="00874F28"/>
    <w:rsid w:val="0087513C"/>
    <w:rsid w:val="008757EC"/>
    <w:rsid w:val="00875953"/>
    <w:rsid w:val="00875D6D"/>
    <w:rsid w:val="00875DE4"/>
    <w:rsid w:val="00876374"/>
    <w:rsid w:val="008765FC"/>
    <w:rsid w:val="00876B7F"/>
    <w:rsid w:val="00876C11"/>
    <w:rsid w:val="008770B2"/>
    <w:rsid w:val="0087729E"/>
    <w:rsid w:val="00877FE0"/>
    <w:rsid w:val="00880065"/>
    <w:rsid w:val="00880261"/>
    <w:rsid w:val="00880B28"/>
    <w:rsid w:val="00880BCA"/>
    <w:rsid w:val="00880BD8"/>
    <w:rsid w:val="00880ECE"/>
    <w:rsid w:val="008811F7"/>
    <w:rsid w:val="008812A1"/>
    <w:rsid w:val="0088172F"/>
    <w:rsid w:val="008817D1"/>
    <w:rsid w:val="00881BBE"/>
    <w:rsid w:val="008824D7"/>
    <w:rsid w:val="00882602"/>
    <w:rsid w:val="00882663"/>
    <w:rsid w:val="00883611"/>
    <w:rsid w:val="0088371D"/>
    <w:rsid w:val="0088382A"/>
    <w:rsid w:val="00883CB9"/>
    <w:rsid w:val="00884399"/>
    <w:rsid w:val="00884EE9"/>
    <w:rsid w:val="00884FA0"/>
    <w:rsid w:val="00884FE3"/>
    <w:rsid w:val="008855A6"/>
    <w:rsid w:val="00885BE2"/>
    <w:rsid w:val="00885BFE"/>
    <w:rsid w:val="008864D4"/>
    <w:rsid w:val="00886D81"/>
    <w:rsid w:val="00886FCF"/>
    <w:rsid w:val="0088709B"/>
    <w:rsid w:val="00887280"/>
    <w:rsid w:val="008874DA"/>
    <w:rsid w:val="008878F9"/>
    <w:rsid w:val="00887B01"/>
    <w:rsid w:val="008908C0"/>
    <w:rsid w:val="0089097F"/>
    <w:rsid w:val="008909C7"/>
    <w:rsid w:val="00891473"/>
    <w:rsid w:val="0089170F"/>
    <w:rsid w:val="00891C76"/>
    <w:rsid w:val="00891D7D"/>
    <w:rsid w:val="00892598"/>
    <w:rsid w:val="008926C9"/>
    <w:rsid w:val="00892915"/>
    <w:rsid w:val="00893021"/>
    <w:rsid w:val="008930AE"/>
    <w:rsid w:val="0089327B"/>
    <w:rsid w:val="00893614"/>
    <w:rsid w:val="008937D9"/>
    <w:rsid w:val="00893F07"/>
    <w:rsid w:val="00894310"/>
    <w:rsid w:val="00894317"/>
    <w:rsid w:val="008945B3"/>
    <w:rsid w:val="0089473A"/>
    <w:rsid w:val="00894A75"/>
    <w:rsid w:val="00894B8B"/>
    <w:rsid w:val="00894C4F"/>
    <w:rsid w:val="00894DC6"/>
    <w:rsid w:val="00894DFA"/>
    <w:rsid w:val="00895809"/>
    <w:rsid w:val="00895AC5"/>
    <w:rsid w:val="00895DAA"/>
    <w:rsid w:val="00895DC3"/>
    <w:rsid w:val="00896796"/>
    <w:rsid w:val="00896BDE"/>
    <w:rsid w:val="00896DB2"/>
    <w:rsid w:val="00896FC3"/>
    <w:rsid w:val="008971A6"/>
    <w:rsid w:val="00897D4D"/>
    <w:rsid w:val="00897E6E"/>
    <w:rsid w:val="008A0331"/>
    <w:rsid w:val="008A0411"/>
    <w:rsid w:val="008A0455"/>
    <w:rsid w:val="008A0708"/>
    <w:rsid w:val="008A0923"/>
    <w:rsid w:val="008A1041"/>
    <w:rsid w:val="008A16EB"/>
    <w:rsid w:val="008A196F"/>
    <w:rsid w:val="008A198F"/>
    <w:rsid w:val="008A1B40"/>
    <w:rsid w:val="008A1BB6"/>
    <w:rsid w:val="008A29A2"/>
    <w:rsid w:val="008A2C13"/>
    <w:rsid w:val="008A2E9E"/>
    <w:rsid w:val="008A38AE"/>
    <w:rsid w:val="008A3A30"/>
    <w:rsid w:val="008A3A7D"/>
    <w:rsid w:val="008A413F"/>
    <w:rsid w:val="008A428B"/>
    <w:rsid w:val="008A47E6"/>
    <w:rsid w:val="008A489A"/>
    <w:rsid w:val="008A4A54"/>
    <w:rsid w:val="008A4BD9"/>
    <w:rsid w:val="008A4EDB"/>
    <w:rsid w:val="008A506D"/>
    <w:rsid w:val="008A5306"/>
    <w:rsid w:val="008A53A4"/>
    <w:rsid w:val="008A5796"/>
    <w:rsid w:val="008A5E2F"/>
    <w:rsid w:val="008A60D5"/>
    <w:rsid w:val="008A6182"/>
    <w:rsid w:val="008A67C8"/>
    <w:rsid w:val="008A69FD"/>
    <w:rsid w:val="008A6A1D"/>
    <w:rsid w:val="008A72A8"/>
    <w:rsid w:val="008A77A2"/>
    <w:rsid w:val="008A7BC7"/>
    <w:rsid w:val="008B0290"/>
    <w:rsid w:val="008B145B"/>
    <w:rsid w:val="008B196F"/>
    <w:rsid w:val="008B1BF3"/>
    <w:rsid w:val="008B1D94"/>
    <w:rsid w:val="008B25F8"/>
    <w:rsid w:val="008B286D"/>
    <w:rsid w:val="008B28D1"/>
    <w:rsid w:val="008B2BB4"/>
    <w:rsid w:val="008B2BD2"/>
    <w:rsid w:val="008B2C02"/>
    <w:rsid w:val="008B2CFC"/>
    <w:rsid w:val="008B2D48"/>
    <w:rsid w:val="008B30A8"/>
    <w:rsid w:val="008B3461"/>
    <w:rsid w:val="008B38F1"/>
    <w:rsid w:val="008B3922"/>
    <w:rsid w:val="008B3A6D"/>
    <w:rsid w:val="008B3C8B"/>
    <w:rsid w:val="008B3FBF"/>
    <w:rsid w:val="008B41E2"/>
    <w:rsid w:val="008B4583"/>
    <w:rsid w:val="008B4C51"/>
    <w:rsid w:val="008B4C8D"/>
    <w:rsid w:val="008B4DDA"/>
    <w:rsid w:val="008B500A"/>
    <w:rsid w:val="008B50DB"/>
    <w:rsid w:val="008B5AC0"/>
    <w:rsid w:val="008B5B53"/>
    <w:rsid w:val="008B5BC1"/>
    <w:rsid w:val="008B61D3"/>
    <w:rsid w:val="008B643A"/>
    <w:rsid w:val="008B65B3"/>
    <w:rsid w:val="008B76EF"/>
    <w:rsid w:val="008B78DD"/>
    <w:rsid w:val="008B7B1E"/>
    <w:rsid w:val="008B7B61"/>
    <w:rsid w:val="008B7CE7"/>
    <w:rsid w:val="008B7FCA"/>
    <w:rsid w:val="008C00EF"/>
    <w:rsid w:val="008C0446"/>
    <w:rsid w:val="008C0635"/>
    <w:rsid w:val="008C0672"/>
    <w:rsid w:val="008C07DF"/>
    <w:rsid w:val="008C0AF4"/>
    <w:rsid w:val="008C0D39"/>
    <w:rsid w:val="008C1611"/>
    <w:rsid w:val="008C17F0"/>
    <w:rsid w:val="008C1A64"/>
    <w:rsid w:val="008C1A9A"/>
    <w:rsid w:val="008C1B72"/>
    <w:rsid w:val="008C1C3A"/>
    <w:rsid w:val="008C1C4A"/>
    <w:rsid w:val="008C2300"/>
    <w:rsid w:val="008C258C"/>
    <w:rsid w:val="008C2AE4"/>
    <w:rsid w:val="008C2B6A"/>
    <w:rsid w:val="008C31EA"/>
    <w:rsid w:val="008C369B"/>
    <w:rsid w:val="008C3782"/>
    <w:rsid w:val="008C3DD6"/>
    <w:rsid w:val="008C45B5"/>
    <w:rsid w:val="008C4B29"/>
    <w:rsid w:val="008C4BB8"/>
    <w:rsid w:val="008C4D17"/>
    <w:rsid w:val="008C5046"/>
    <w:rsid w:val="008C50A3"/>
    <w:rsid w:val="008C50E7"/>
    <w:rsid w:val="008C53A8"/>
    <w:rsid w:val="008C5739"/>
    <w:rsid w:val="008C5835"/>
    <w:rsid w:val="008C5CE5"/>
    <w:rsid w:val="008C5DB3"/>
    <w:rsid w:val="008C60B1"/>
    <w:rsid w:val="008C665A"/>
    <w:rsid w:val="008C677F"/>
    <w:rsid w:val="008C6892"/>
    <w:rsid w:val="008C6BD0"/>
    <w:rsid w:val="008C6BD9"/>
    <w:rsid w:val="008C6D98"/>
    <w:rsid w:val="008C740B"/>
    <w:rsid w:val="008C746C"/>
    <w:rsid w:val="008C7502"/>
    <w:rsid w:val="008C761D"/>
    <w:rsid w:val="008C7B38"/>
    <w:rsid w:val="008C7D5D"/>
    <w:rsid w:val="008D0118"/>
    <w:rsid w:val="008D02A7"/>
    <w:rsid w:val="008D02C0"/>
    <w:rsid w:val="008D0367"/>
    <w:rsid w:val="008D04BD"/>
    <w:rsid w:val="008D0CFE"/>
    <w:rsid w:val="008D1724"/>
    <w:rsid w:val="008D18A2"/>
    <w:rsid w:val="008D1A87"/>
    <w:rsid w:val="008D1DAC"/>
    <w:rsid w:val="008D1E26"/>
    <w:rsid w:val="008D1EFB"/>
    <w:rsid w:val="008D1F3B"/>
    <w:rsid w:val="008D2304"/>
    <w:rsid w:val="008D2422"/>
    <w:rsid w:val="008D24D1"/>
    <w:rsid w:val="008D25CC"/>
    <w:rsid w:val="008D2873"/>
    <w:rsid w:val="008D2EBD"/>
    <w:rsid w:val="008D33E9"/>
    <w:rsid w:val="008D3486"/>
    <w:rsid w:val="008D3619"/>
    <w:rsid w:val="008D3BA0"/>
    <w:rsid w:val="008D3DD9"/>
    <w:rsid w:val="008D40E6"/>
    <w:rsid w:val="008D5265"/>
    <w:rsid w:val="008D5807"/>
    <w:rsid w:val="008D5EEF"/>
    <w:rsid w:val="008D6133"/>
    <w:rsid w:val="008D619C"/>
    <w:rsid w:val="008D67A9"/>
    <w:rsid w:val="008D6946"/>
    <w:rsid w:val="008D6A48"/>
    <w:rsid w:val="008D6BEE"/>
    <w:rsid w:val="008D6E77"/>
    <w:rsid w:val="008D6EA2"/>
    <w:rsid w:val="008D75F7"/>
    <w:rsid w:val="008D78A0"/>
    <w:rsid w:val="008D78D7"/>
    <w:rsid w:val="008D7EF6"/>
    <w:rsid w:val="008E0092"/>
    <w:rsid w:val="008E0262"/>
    <w:rsid w:val="008E05BB"/>
    <w:rsid w:val="008E06DC"/>
    <w:rsid w:val="008E074E"/>
    <w:rsid w:val="008E0AA3"/>
    <w:rsid w:val="008E0CBC"/>
    <w:rsid w:val="008E0CDC"/>
    <w:rsid w:val="008E0FC3"/>
    <w:rsid w:val="008E13EB"/>
    <w:rsid w:val="008E19A4"/>
    <w:rsid w:val="008E1F90"/>
    <w:rsid w:val="008E2493"/>
    <w:rsid w:val="008E254F"/>
    <w:rsid w:val="008E27C3"/>
    <w:rsid w:val="008E2B9E"/>
    <w:rsid w:val="008E2C12"/>
    <w:rsid w:val="008E2E6F"/>
    <w:rsid w:val="008E2FFA"/>
    <w:rsid w:val="008E3865"/>
    <w:rsid w:val="008E3BB0"/>
    <w:rsid w:val="008E3BD1"/>
    <w:rsid w:val="008E4BC4"/>
    <w:rsid w:val="008E4E1A"/>
    <w:rsid w:val="008E5340"/>
    <w:rsid w:val="008E56A0"/>
    <w:rsid w:val="008E5931"/>
    <w:rsid w:val="008E5D7E"/>
    <w:rsid w:val="008E63EA"/>
    <w:rsid w:val="008E6411"/>
    <w:rsid w:val="008E68F1"/>
    <w:rsid w:val="008E6D1C"/>
    <w:rsid w:val="008E6D76"/>
    <w:rsid w:val="008E6EC2"/>
    <w:rsid w:val="008E7054"/>
    <w:rsid w:val="008E7564"/>
    <w:rsid w:val="008E78A6"/>
    <w:rsid w:val="008E7B6E"/>
    <w:rsid w:val="008E7F13"/>
    <w:rsid w:val="008E7FD9"/>
    <w:rsid w:val="008F0A81"/>
    <w:rsid w:val="008F0EE7"/>
    <w:rsid w:val="008F0FAB"/>
    <w:rsid w:val="008F112F"/>
    <w:rsid w:val="008F1B83"/>
    <w:rsid w:val="008F1BAD"/>
    <w:rsid w:val="008F2581"/>
    <w:rsid w:val="008F2944"/>
    <w:rsid w:val="008F2D95"/>
    <w:rsid w:val="008F2D9E"/>
    <w:rsid w:val="008F2E3E"/>
    <w:rsid w:val="008F33CE"/>
    <w:rsid w:val="008F3533"/>
    <w:rsid w:val="008F3873"/>
    <w:rsid w:val="008F3EBA"/>
    <w:rsid w:val="008F3EFE"/>
    <w:rsid w:val="008F49B7"/>
    <w:rsid w:val="008F4AC5"/>
    <w:rsid w:val="008F4BE1"/>
    <w:rsid w:val="008F4D6F"/>
    <w:rsid w:val="008F5373"/>
    <w:rsid w:val="008F548F"/>
    <w:rsid w:val="008F56C3"/>
    <w:rsid w:val="008F56F6"/>
    <w:rsid w:val="008F5963"/>
    <w:rsid w:val="008F5A8B"/>
    <w:rsid w:val="008F60B5"/>
    <w:rsid w:val="008F64D6"/>
    <w:rsid w:val="008F67FE"/>
    <w:rsid w:val="008F68BD"/>
    <w:rsid w:val="008F6BB3"/>
    <w:rsid w:val="008F6D88"/>
    <w:rsid w:val="008F6E8D"/>
    <w:rsid w:val="008F6EFC"/>
    <w:rsid w:val="008F73F2"/>
    <w:rsid w:val="008F78AC"/>
    <w:rsid w:val="008F7900"/>
    <w:rsid w:val="008F7AB3"/>
    <w:rsid w:val="008F7EDF"/>
    <w:rsid w:val="00900445"/>
    <w:rsid w:val="009004FC"/>
    <w:rsid w:val="00900754"/>
    <w:rsid w:val="00900816"/>
    <w:rsid w:val="009009A8"/>
    <w:rsid w:val="009009D3"/>
    <w:rsid w:val="009009F3"/>
    <w:rsid w:val="00900D45"/>
    <w:rsid w:val="00900DFA"/>
    <w:rsid w:val="009010D3"/>
    <w:rsid w:val="00901F0B"/>
    <w:rsid w:val="00902553"/>
    <w:rsid w:val="00902715"/>
    <w:rsid w:val="0090275F"/>
    <w:rsid w:val="00902834"/>
    <w:rsid w:val="00902A6C"/>
    <w:rsid w:val="0090350B"/>
    <w:rsid w:val="009041BA"/>
    <w:rsid w:val="009043AC"/>
    <w:rsid w:val="00904C2E"/>
    <w:rsid w:val="00904CCF"/>
    <w:rsid w:val="0090524A"/>
    <w:rsid w:val="00905589"/>
    <w:rsid w:val="0090628E"/>
    <w:rsid w:val="00906378"/>
    <w:rsid w:val="00906578"/>
    <w:rsid w:val="00906A37"/>
    <w:rsid w:val="00906BD1"/>
    <w:rsid w:val="00906F8D"/>
    <w:rsid w:val="0090729D"/>
    <w:rsid w:val="0090748F"/>
    <w:rsid w:val="00910076"/>
    <w:rsid w:val="009106CF"/>
    <w:rsid w:val="00910857"/>
    <w:rsid w:val="0091088E"/>
    <w:rsid w:val="009108BE"/>
    <w:rsid w:val="00910AE7"/>
    <w:rsid w:val="00910BF2"/>
    <w:rsid w:val="00910E65"/>
    <w:rsid w:val="00911051"/>
    <w:rsid w:val="00911358"/>
    <w:rsid w:val="00911A0A"/>
    <w:rsid w:val="00911B54"/>
    <w:rsid w:val="00911F2F"/>
    <w:rsid w:val="00912C3A"/>
    <w:rsid w:val="00912DA6"/>
    <w:rsid w:val="00912FA5"/>
    <w:rsid w:val="00912FB3"/>
    <w:rsid w:val="0091302F"/>
    <w:rsid w:val="009130D4"/>
    <w:rsid w:val="00913BA9"/>
    <w:rsid w:val="00913DD1"/>
    <w:rsid w:val="009140CB"/>
    <w:rsid w:val="009143CE"/>
    <w:rsid w:val="0091447D"/>
    <w:rsid w:val="0091476C"/>
    <w:rsid w:val="00915A99"/>
    <w:rsid w:val="00915C92"/>
    <w:rsid w:val="00915E7E"/>
    <w:rsid w:val="00916237"/>
    <w:rsid w:val="0091649B"/>
    <w:rsid w:val="0091654A"/>
    <w:rsid w:val="009169F9"/>
    <w:rsid w:val="00916C2C"/>
    <w:rsid w:val="00917440"/>
    <w:rsid w:val="009175BF"/>
    <w:rsid w:val="009175FD"/>
    <w:rsid w:val="0091773C"/>
    <w:rsid w:val="00917D9C"/>
    <w:rsid w:val="00917DEE"/>
    <w:rsid w:val="009204ED"/>
    <w:rsid w:val="00920824"/>
    <w:rsid w:val="00921399"/>
    <w:rsid w:val="00921536"/>
    <w:rsid w:val="0092164B"/>
    <w:rsid w:val="00921873"/>
    <w:rsid w:val="009224C3"/>
    <w:rsid w:val="00922A3B"/>
    <w:rsid w:val="00923200"/>
    <w:rsid w:val="00923261"/>
    <w:rsid w:val="009239FE"/>
    <w:rsid w:val="009241EE"/>
    <w:rsid w:val="009243D6"/>
    <w:rsid w:val="0092442B"/>
    <w:rsid w:val="009245D7"/>
    <w:rsid w:val="00924C28"/>
    <w:rsid w:val="00924F60"/>
    <w:rsid w:val="00925239"/>
    <w:rsid w:val="009256B7"/>
    <w:rsid w:val="00925DC8"/>
    <w:rsid w:val="0092604B"/>
    <w:rsid w:val="00926175"/>
    <w:rsid w:val="009268A9"/>
    <w:rsid w:val="00926AC8"/>
    <w:rsid w:val="00926F10"/>
    <w:rsid w:val="0092700F"/>
    <w:rsid w:val="009270C4"/>
    <w:rsid w:val="00927ABA"/>
    <w:rsid w:val="009303AE"/>
    <w:rsid w:val="0093046A"/>
    <w:rsid w:val="009304A5"/>
    <w:rsid w:val="009305BF"/>
    <w:rsid w:val="00930F01"/>
    <w:rsid w:val="00930F6D"/>
    <w:rsid w:val="0093139D"/>
    <w:rsid w:val="00931BDB"/>
    <w:rsid w:val="00932514"/>
    <w:rsid w:val="009327CC"/>
    <w:rsid w:val="00932816"/>
    <w:rsid w:val="0093287A"/>
    <w:rsid w:val="00932E7F"/>
    <w:rsid w:val="00933110"/>
    <w:rsid w:val="009337C2"/>
    <w:rsid w:val="00933B7F"/>
    <w:rsid w:val="00933E75"/>
    <w:rsid w:val="0093416E"/>
    <w:rsid w:val="00934220"/>
    <w:rsid w:val="0093434D"/>
    <w:rsid w:val="00935763"/>
    <w:rsid w:val="00936625"/>
    <w:rsid w:val="00936B5D"/>
    <w:rsid w:val="00936C26"/>
    <w:rsid w:val="00936FF0"/>
    <w:rsid w:val="009371A1"/>
    <w:rsid w:val="0093745F"/>
    <w:rsid w:val="0093770F"/>
    <w:rsid w:val="00937818"/>
    <w:rsid w:val="00937AD3"/>
    <w:rsid w:val="009400B9"/>
    <w:rsid w:val="0094035B"/>
    <w:rsid w:val="00940895"/>
    <w:rsid w:val="0094121E"/>
    <w:rsid w:val="009414CB"/>
    <w:rsid w:val="00941937"/>
    <w:rsid w:val="00941BF5"/>
    <w:rsid w:val="00941CDB"/>
    <w:rsid w:val="00941FDA"/>
    <w:rsid w:val="00941FDB"/>
    <w:rsid w:val="00942356"/>
    <w:rsid w:val="00942763"/>
    <w:rsid w:val="00942793"/>
    <w:rsid w:val="00942DC7"/>
    <w:rsid w:val="00943281"/>
    <w:rsid w:val="009433E7"/>
    <w:rsid w:val="009434E1"/>
    <w:rsid w:val="009435FB"/>
    <w:rsid w:val="0094385B"/>
    <w:rsid w:val="00943AB4"/>
    <w:rsid w:val="00943D12"/>
    <w:rsid w:val="00943D1E"/>
    <w:rsid w:val="009443F4"/>
    <w:rsid w:val="00944618"/>
    <w:rsid w:val="00944959"/>
    <w:rsid w:val="00944EEF"/>
    <w:rsid w:val="009450DC"/>
    <w:rsid w:val="009457BA"/>
    <w:rsid w:val="00945A57"/>
    <w:rsid w:val="009465CA"/>
    <w:rsid w:val="009466BC"/>
    <w:rsid w:val="00946707"/>
    <w:rsid w:val="00946B40"/>
    <w:rsid w:val="00946EF5"/>
    <w:rsid w:val="00946F0B"/>
    <w:rsid w:val="00947100"/>
    <w:rsid w:val="00947BB3"/>
    <w:rsid w:val="00947C23"/>
    <w:rsid w:val="00947F20"/>
    <w:rsid w:val="0095011C"/>
    <w:rsid w:val="0095014C"/>
    <w:rsid w:val="0095029C"/>
    <w:rsid w:val="009502F2"/>
    <w:rsid w:val="00950360"/>
    <w:rsid w:val="00950C2C"/>
    <w:rsid w:val="00950F37"/>
    <w:rsid w:val="009513CF"/>
    <w:rsid w:val="009515BB"/>
    <w:rsid w:val="00952348"/>
    <w:rsid w:val="00952378"/>
    <w:rsid w:val="00952497"/>
    <w:rsid w:val="00952617"/>
    <w:rsid w:val="00952635"/>
    <w:rsid w:val="00953054"/>
    <w:rsid w:val="00953D87"/>
    <w:rsid w:val="009545F8"/>
    <w:rsid w:val="0095463C"/>
    <w:rsid w:val="00954B18"/>
    <w:rsid w:val="00954D43"/>
    <w:rsid w:val="00954F6B"/>
    <w:rsid w:val="009552D2"/>
    <w:rsid w:val="009553D1"/>
    <w:rsid w:val="00955400"/>
    <w:rsid w:val="00955448"/>
    <w:rsid w:val="0095558E"/>
    <w:rsid w:val="009555FB"/>
    <w:rsid w:val="009556F7"/>
    <w:rsid w:val="00956346"/>
    <w:rsid w:val="009564AC"/>
    <w:rsid w:val="009566AD"/>
    <w:rsid w:val="009566D1"/>
    <w:rsid w:val="00956B7F"/>
    <w:rsid w:val="00957017"/>
    <w:rsid w:val="009570E0"/>
    <w:rsid w:val="00957243"/>
    <w:rsid w:val="0095741B"/>
    <w:rsid w:val="00957446"/>
    <w:rsid w:val="00957B1A"/>
    <w:rsid w:val="00957CB6"/>
    <w:rsid w:val="009606AF"/>
    <w:rsid w:val="009608C6"/>
    <w:rsid w:val="00960D42"/>
    <w:rsid w:val="00960F59"/>
    <w:rsid w:val="0096119C"/>
    <w:rsid w:val="00961445"/>
    <w:rsid w:val="0096163C"/>
    <w:rsid w:val="009616F5"/>
    <w:rsid w:val="00961735"/>
    <w:rsid w:val="00961FF4"/>
    <w:rsid w:val="009622EC"/>
    <w:rsid w:val="00962874"/>
    <w:rsid w:val="0096295E"/>
    <w:rsid w:val="00963599"/>
    <w:rsid w:val="009641DB"/>
    <w:rsid w:val="009645A2"/>
    <w:rsid w:val="0096499A"/>
    <w:rsid w:val="00964A3E"/>
    <w:rsid w:val="00964A63"/>
    <w:rsid w:val="00964A70"/>
    <w:rsid w:val="00964D44"/>
    <w:rsid w:val="00964D80"/>
    <w:rsid w:val="00965073"/>
    <w:rsid w:val="00965361"/>
    <w:rsid w:val="00965A5A"/>
    <w:rsid w:val="00966054"/>
    <w:rsid w:val="009661B0"/>
    <w:rsid w:val="00966354"/>
    <w:rsid w:val="00966690"/>
    <w:rsid w:val="00966AD6"/>
    <w:rsid w:val="0096748A"/>
    <w:rsid w:val="00967D4D"/>
    <w:rsid w:val="00967D52"/>
    <w:rsid w:val="00967EC9"/>
    <w:rsid w:val="0097044A"/>
    <w:rsid w:val="0097053C"/>
    <w:rsid w:val="009708F3"/>
    <w:rsid w:val="00970C7A"/>
    <w:rsid w:val="00970D56"/>
    <w:rsid w:val="00970ED8"/>
    <w:rsid w:val="00970FF6"/>
    <w:rsid w:val="0097111E"/>
    <w:rsid w:val="0097151E"/>
    <w:rsid w:val="009716F8"/>
    <w:rsid w:val="009718DC"/>
    <w:rsid w:val="00971DD3"/>
    <w:rsid w:val="00972199"/>
    <w:rsid w:val="009721DB"/>
    <w:rsid w:val="009725AE"/>
    <w:rsid w:val="009725F3"/>
    <w:rsid w:val="00972B5B"/>
    <w:rsid w:val="00972BA1"/>
    <w:rsid w:val="00972BFA"/>
    <w:rsid w:val="009734D3"/>
    <w:rsid w:val="009736B5"/>
    <w:rsid w:val="00973766"/>
    <w:rsid w:val="0097379D"/>
    <w:rsid w:val="00974206"/>
    <w:rsid w:val="009743B6"/>
    <w:rsid w:val="009746F9"/>
    <w:rsid w:val="00974C0F"/>
    <w:rsid w:val="00974D97"/>
    <w:rsid w:val="00974E84"/>
    <w:rsid w:val="00975716"/>
    <w:rsid w:val="00975800"/>
    <w:rsid w:val="00975E13"/>
    <w:rsid w:val="00976020"/>
    <w:rsid w:val="00976197"/>
    <w:rsid w:val="009762BF"/>
    <w:rsid w:val="0097656F"/>
    <w:rsid w:val="00976682"/>
    <w:rsid w:val="009767AA"/>
    <w:rsid w:val="00976DE7"/>
    <w:rsid w:val="009776E8"/>
    <w:rsid w:val="009779F2"/>
    <w:rsid w:val="00980128"/>
    <w:rsid w:val="00980CCE"/>
    <w:rsid w:val="0098127F"/>
    <w:rsid w:val="00981470"/>
    <w:rsid w:val="00981548"/>
    <w:rsid w:val="00981C10"/>
    <w:rsid w:val="009825C2"/>
    <w:rsid w:val="0098277E"/>
    <w:rsid w:val="00982A26"/>
    <w:rsid w:val="00982B85"/>
    <w:rsid w:val="00983038"/>
    <w:rsid w:val="009835F8"/>
    <w:rsid w:val="00983613"/>
    <w:rsid w:val="00983C29"/>
    <w:rsid w:val="009843C4"/>
    <w:rsid w:val="00984BDC"/>
    <w:rsid w:val="009851A1"/>
    <w:rsid w:val="009856B8"/>
    <w:rsid w:val="009856E9"/>
    <w:rsid w:val="0098572C"/>
    <w:rsid w:val="009858CF"/>
    <w:rsid w:val="00985F46"/>
    <w:rsid w:val="00985FE9"/>
    <w:rsid w:val="009861E0"/>
    <w:rsid w:val="009864BD"/>
    <w:rsid w:val="00986598"/>
    <w:rsid w:val="009865D2"/>
    <w:rsid w:val="009865F0"/>
    <w:rsid w:val="0098695A"/>
    <w:rsid w:val="009869D7"/>
    <w:rsid w:val="00986A5C"/>
    <w:rsid w:val="00987157"/>
    <w:rsid w:val="009873BA"/>
    <w:rsid w:val="0098774E"/>
    <w:rsid w:val="00987774"/>
    <w:rsid w:val="00987AFA"/>
    <w:rsid w:val="00987B70"/>
    <w:rsid w:val="00987BC3"/>
    <w:rsid w:val="00987C14"/>
    <w:rsid w:val="009901C4"/>
    <w:rsid w:val="009904FC"/>
    <w:rsid w:val="0099055F"/>
    <w:rsid w:val="0099082D"/>
    <w:rsid w:val="00991759"/>
    <w:rsid w:val="00991E9B"/>
    <w:rsid w:val="0099236A"/>
    <w:rsid w:val="00992544"/>
    <w:rsid w:val="00993762"/>
    <w:rsid w:val="00993871"/>
    <w:rsid w:val="00993E51"/>
    <w:rsid w:val="009941BB"/>
    <w:rsid w:val="00994653"/>
    <w:rsid w:val="009947E0"/>
    <w:rsid w:val="00994A75"/>
    <w:rsid w:val="00994F49"/>
    <w:rsid w:val="00994F62"/>
    <w:rsid w:val="00994FDC"/>
    <w:rsid w:val="00995638"/>
    <w:rsid w:val="009957E9"/>
    <w:rsid w:val="00995C42"/>
    <w:rsid w:val="0099616F"/>
    <w:rsid w:val="0099648B"/>
    <w:rsid w:val="009965BA"/>
    <w:rsid w:val="0099721F"/>
    <w:rsid w:val="0099759A"/>
    <w:rsid w:val="0099778D"/>
    <w:rsid w:val="00997913"/>
    <w:rsid w:val="00997BEB"/>
    <w:rsid w:val="00997D7D"/>
    <w:rsid w:val="009A0283"/>
    <w:rsid w:val="009A0741"/>
    <w:rsid w:val="009A0AE1"/>
    <w:rsid w:val="009A0D8F"/>
    <w:rsid w:val="009A122A"/>
    <w:rsid w:val="009A18BF"/>
    <w:rsid w:val="009A1B5F"/>
    <w:rsid w:val="009A1C29"/>
    <w:rsid w:val="009A1C6A"/>
    <w:rsid w:val="009A2E16"/>
    <w:rsid w:val="009A2F76"/>
    <w:rsid w:val="009A31C3"/>
    <w:rsid w:val="009A3274"/>
    <w:rsid w:val="009A3624"/>
    <w:rsid w:val="009A3A98"/>
    <w:rsid w:val="009A3B5D"/>
    <w:rsid w:val="009A3D6F"/>
    <w:rsid w:val="009A3FF5"/>
    <w:rsid w:val="009A41CA"/>
    <w:rsid w:val="009A4280"/>
    <w:rsid w:val="009A43BB"/>
    <w:rsid w:val="009A4848"/>
    <w:rsid w:val="009A4904"/>
    <w:rsid w:val="009A4C71"/>
    <w:rsid w:val="009A50E3"/>
    <w:rsid w:val="009A5172"/>
    <w:rsid w:val="009A5E07"/>
    <w:rsid w:val="009A6212"/>
    <w:rsid w:val="009A6388"/>
    <w:rsid w:val="009A6A60"/>
    <w:rsid w:val="009A6CD0"/>
    <w:rsid w:val="009A6D91"/>
    <w:rsid w:val="009A710D"/>
    <w:rsid w:val="009A71A2"/>
    <w:rsid w:val="009A75BB"/>
    <w:rsid w:val="009A7612"/>
    <w:rsid w:val="009A76E1"/>
    <w:rsid w:val="009B058E"/>
    <w:rsid w:val="009B0623"/>
    <w:rsid w:val="009B0A3D"/>
    <w:rsid w:val="009B0CE9"/>
    <w:rsid w:val="009B17A5"/>
    <w:rsid w:val="009B1853"/>
    <w:rsid w:val="009B1C2C"/>
    <w:rsid w:val="009B2197"/>
    <w:rsid w:val="009B225E"/>
    <w:rsid w:val="009B249C"/>
    <w:rsid w:val="009B2F3D"/>
    <w:rsid w:val="009B3C21"/>
    <w:rsid w:val="009B3C8B"/>
    <w:rsid w:val="009B3EB0"/>
    <w:rsid w:val="009B3EDA"/>
    <w:rsid w:val="009B3FA8"/>
    <w:rsid w:val="009B42AD"/>
    <w:rsid w:val="009B4D38"/>
    <w:rsid w:val="009B589B"/>
    <w:rsid w:val="009B59EE"/>
    <w:rsid w:val="009B5FD2"/>
    <w:rsid w:val="009B5FF1"/>
    <w:rsid w:val="009B61EF"/>
    <w:rsid w:val="009B6397"/>
    <w:rsid w:val="009B6535"/>
    <w:rsid w:val="009B6BBD"/>
    <w:rsid w:val="009B6D30"/>
    <w:rsid w:val="009B6F31"/>
    <w:rsid w:val="009B76F5"/>
    <w:rsid w:val="009B79B9"/>
    <w:rsid w:val="009B7D26"/>
    <w:rsid w:val="009C1266"/>
    <w:rsid w:val="009C1431"/>
    <w:rsid w:val="009C1795"/>
    <w:rsid w:val="009C1864"/>
    <w:rsid w:val="009C2479"/>
    <w:rsid w:val="009C2533"/>
    <w:rsid w:val="009C2B19"/>
    <w:rsid w:val="009C2B8E"/>
    <w:rsid w:val="009C2E07"/>
    <w:rsid w:val="009C300A"/>
    <w:rsid w:val="009C37F1"/>
    <w:rsid w:val="009C3969"/>
    <w:rsid w:val="009C396D"/>
    <w:rsid w:val="009C39D0"/>
    <w:rsid w:val="009C3E60"/>
    <w:rsid w:val="009C3F02"/>
    <w:rsid w:val="009C4239"/>
    <w:rsid w:val="009C438A"/>
    <w:rsid w:val="009C4751"/>
    <w:rsid w:val="009C4A78"/>
    <w:rsid w:val="009C513B"/>
    <w:rsid w:val="009C52AB"/>
    <w:rsid w:val="009C544E"/>
    <w:rsid w:val="009C59A1"/>
    <w:rsid w:val="009C5A2C"/>
    <w:rsid w:val="009C5B7D"/>
    <w:rsid w:val="009C5BEB"/>
    <w:rsid w:val="009C5D3B"/>
    <w:rsid w:val="009C61BA"/>
    <w:rsid w:val="009C62D7"/>
    <w:rsid w:val="009C64D5"/>
    <w:rsid w:val="009C650D"/>
    <w:rsid w:val="009C66D0"/>
    <w:rsid w:val="009C6991"/>
    <w:rsid w:val="009C6E96"/>
    <w:rsid w:val="009C6F01"/>
    <w:rsid w:val="009C71D3"/>
    <w:rsid w:val="009C736B"/>
    <w:rsid w:val="009C7615"/>
    <w:rsid w:val="009C7854"/>
    <w:rsid w:val="009C7977"/>
    <w:rsid w:val="009C7CCC"/>
    <w:rsid w:val="009C7CE5"/>
    <w:rsid w:val="009D0153"/>
    <w:rsid w:val="009D06F8"/>
    <w:rsid w:val="009D0820"/>
    <w:rsid w:val="009D0855"/>
    <w:rsid w:val="009D09E5"/>
    <w:rsid w:val="009D0EEF"/>
    <w:rsid w:val="009D134F"/>
    <w:rsid w:val="009D1450"/>
    <w:rsid w:val="009D1456"/>
    <w:rsid w:val="009D150C"/>
    <w:rsid w:val="009D17DE"/>
    <w:rsid w:val="009D1DDE"/>
    <w:rsid w:val="009D2C71"/>
    <w:rsid w:val="009D2DA9"/>
    <w:rsid w:val="009D2F61"/>
    <w:rsid w:val="009D318E"/>
    <w:rsid w:val="009D3734"/>
    <w:rsid w:val="009D3792"/>
    <w:rsid w:val="009D3CD1"/>
    <w:rsid w:val="009D4B8A"/>
    <w:rsid w:val="009D4F3B"/>
    <w:rsid w:val="009D50D3"/>
    <w:rsid w:val="009D519C"/>
    <w:rsid w:val="009D54BE"/>
    <w:rsid w:val="009D57F8"/>
    <w:rsid w:val="009D5869"/>
    <w:rsid w:val="009D5C0F"/>
    <w:rsid w:val="009D5D0E"/>
    <w:rsid w:val="009D60C4"/>
    <w:rsid w:val="009D67AA"/>
    <w:rsid w:val="009D6920"/>
    <w:rsid w:val="009D6C58"/>
    <w:rsid w:val="009D715D"/>
    <w:rsid w:val="009D7238"/>
    <w:rsid w:val="009D73F1"/>
    <w:rsid w:val="009D7583"/>
    <w:rsid w:val="009D768D"/>
    <w:rsid w:val="009D76F7"/>
    <w:rsid w:val="009D77BA"/>
    <w:rsid w:val="009E006B"/>
    <w:rsid w:val="009E0B7B"/>
    <w:rsid w:val="009E0CDC"/>
    <w:rsid w:val="009E1363"/>
    <w:rsid w:val="009E1912"/>
    <w:rsid w:val="009E1975"/>
    <w:rsid w:val="009E2015"/>
    <w:rsid w:val="009E26F2"/>
    <w:rsid w:val="009E29D7"/>
    <w:rsid w:val="009E2A9C"/>
    <w:rsid w:val="009E2FED"/>
    <w:rsid w:val="009E3402"/>
    <w:rsid w:val="009E34BC"/>
    <w:rsid w:val="009E3841"/>
    <w:rsid w:val="009E3A9A"/>
    <w:rsid w:val="009E40C2"/>
    <w:rsid w:val="009E411E"/>
    <w:rsid w:val="009E513E"/>
    <w:rsid w:val="009E51C4"/>
    <w:rsid w:val="009E5552"/>
    <w:rsid w:val="009E55B4"/>
    <w:rsid w:val="009E5970"/>
    <w:rsid w:val="009E5AD8"/>
    <w:rsid w:val="009E5DEB"/>
    <w:rsid w:val="009E5E76"/>
    <w:rsid w:val="009E5EB3"/>
    <w:rsid w:val="009E5FC7"/>
    <w:rsid w:val="009E73AC"/>
    <w:rsid w:val="009E7818"/>
    <w:rsid w:val="009E7CD2"/>
    <w:rsid w:val="009E7D7A"/>
    <w:rsid w:val="009E7E78"/>
    <w:rsid w:val="009E7FE1"/>
    <w:rsid w:val="009F0620"/>
    <w:rsid w:val="009F0B7B"/>
    <w:rsid w:val="009F0EBB"/>
    <w:rsid w:val="009F0F23"/>
    <w:rsid w:val="009F1D1C"/>
    <w:rsid w:val="009F2238"/>
    <w:rsid w:val="009F24F7"/>
    <w:rsid w:val="009F27E7"/>
    <w:rsid w:val="009F292F"/>
    <w:rsid w:val="009F29BB"/>
    <w:rsid w:val="009F2BC5"/>
    <w:rsid w:val="009F309B"/>
    <w:rsid w:val="009F3EBB"/>
    <w:rsid w:val="009F4864"/>
    <w:rsid w:val="009F49BB"/>
    <w:rsid w:val="009F4A50"/>
    <w:rsid w:val="009F4E28"/>
    <w:rsid w:val="009F54CF"/>
    <w:rsid w:val="009F57C6"/>
    <w:rsid w:val="009F5E8D"/>
    <w:rsid w:val="009F66A9"/>
    <w:rsid w:val="009F6707"/>
    <w:rsid w:val="009F6BCD"/>
    <w:rsid w:val="009F6EC5"/>
    <w:rsid w:val="009F7131"/>
    <w:rsid w:val="009F7A2E"/>
    <w:rsid w:val="00A00047"/>
    <w:rsid w:val="00A004C4"/>
    <w:rsid w:val="00A00673"/>
    <w:rsid w:val="00A0084E"/>
    <w:rsid w:val="00A00E5A"/>
    <w:rsid w:val="00A01466"/>
    <w:rsid w:val="00A01C36"/>
    <w:rsid w:val="00A01F30"/>
    <w:rsid w:val="00A020C0"/>
    <w:rsid w:val="00A0215D"/>
    <w:rsid w:val="00A027E3"/>
    <w:rsid w:val="00A02CA5"/>
    <w:rsid w:val="00A02E96"/>
    <w:rsid w:val="00A02EB1"/>
    <w:rsid w:val="00A02EFA"/>
    <w:rsid w:val="00A02F66"/>
    <w:rsid w:val="00A030A5"/>
    <w:rsid w:val="00A03187"/>
    <w:rsid w:val="00A03DBA"/>
    <w:rsid w:val="00A03E36"/>
    <w:rsid w:val="00A03F66"/>
    <w:rsid w:val="00A0400F"/>
    <w:rsid w:val="00A04214"/>
    <w:rsid w:val="00A048F3"/>
    <w:rsid w:val="00A05041"/>
    <w:rsid w:val="00A0547C"/>
    <w:rsid w:val="00A056E7"/>
    <w:rsid w:val="00A058A1"/>
    <w:rsid w:val="00A058CD"/>
    <w:rsid w:val="00A05DFE"/>
    <w:rsid w:val="00A05E47"/>
    <w:rsid w:val="00A06B17"/>
    <w:rsid w:val="00A06E52"/>
    <w:rsid w:val="00A100EE"/>
    <w:rsid w:val="00A1109F"/>
    <w:rsid w:val="00A11A79"/>
    <w:rsid w:val="00A12378"/>
    <w:rsid w:val="00A124B0"/>
    <w:rsid w:val="00A12772"/>
    <w:rsid w:val="00A129F3"/>
    <w:rsid w:val="00A12BBB"/>
    <w:rsid w:val="00A12D74"/>
    <w:rsid w:val="00A131C7"/>
    <w:rsid w:val="00A132A8"/>
    <w:rsid w:val="00A1353F"/>
    <w:rsid w:val="00A138C7"/>
    <w:rsid w:val="00A13DDD"/>
    <w:rsid w:val="00A13F82"/>
    <w:rsid w:val="00A14143"/>
    <w:rsid w:val="00A146CB"/>
    <w:rsid w:val="00A14A00"/>
    <w:rsid w:val="00A15383"/>
    <w:rsid w:val="00A1560D"/>
    <w:rsid w:val="00A1569B"/>
    <w:rsid w:val="00A156D0"/>
    <w:rsid w:val="00A1581E"/>
    <w:rsid w:val="00A15D71"/>
    <w:rsid w:val="00A15E25"/>
    <w:rsid w:val="00A15F10"/>
    <w:rsid w:val="00A15F15"/>
    <w:rsid w:val="00A1604C"/>
    <w:rsid w:val="00A160D1"/>
    <w:rsid w:val="00A163C7"/>
    <w:rsid w:val="00A16429"/>
    <w:rsid w:val="00A16664"/>
    <w:rsid w:val="00A1676F"/>
    <w:rsid w:val="00A170C3"/>
    <w:rsid w:val="00A170D9"/>
    <w:rsid w:val="00A17A54"/>
    <w:rsid w:val="00A208F5"/>
    <w:rsid w:val="00A21330"/>
    <w:rsid w:val="00A21968"/>
    <w:rsid w:val="00A21D82"/>
    <w:rsid w:val="00A22165"/>
    <w:rsid w:val="00A22528"/>
    <w:rsid w:val="00A22605"/>
    <w:rsid w:val="00A226A3"/>
    <w:rsid w:val="00A22E0D"/>
    <w:rsid w:val="00A23732"/>
    <w:rsid w:val="00A240A9"/>
    <w:rsid w:val="00A24512"/>
    <w:rsid w:val="00A24A56"/>
    <w:rsid w:val="00A24FDD"/>
    <w:rsid w:val="00A252EE"/>
    <w:rsid w:val="00A25363"/>
    <w:rsid w:val="00A2546B"/>
    <w:rsid w:val="00A26037"/>
    <w:rsid w:val="00A26073"/>
    <w:rsid w:val="00A26360"/>
    <w:rsid w:val="00A26423"/>
    <w:rsid w:val="00A269BA"/>
    <w:rsid w:val="00A26B9C"/>
    <w:rsid w:val="00A26D01"/>
    <w:rsid w:val="00A27372"/>
    <w:rsid w:val="00A2770A"/>
    <w:rsid w:val="00A300C2"/>
    <w:rsid w:val="00A3022B"/>
    <w:rsid w:val="00A30555"/>
    <w:rsid w:val="00A308B7"/>
    <w:rsid w:val="00A30DEB"/>
    <w:rsid w:val="00A3133E"/>
    <w:rsid w:val="00A316B7"/>
    <w:rsid w:val="00A31B0D"/>
    <w:rsid w:val="00A3214C"/>
    <w:rsid w:val="00A32642"/>
    <w:rsid w:val="00A32AFB"/>
    <w:rsid w:val="00A32B05"/>
    <w:rsid w:val="00A32CC5"/>
    <w:rsid w:val="00A33217"/>
    <w:rsid w:val="00A34230"/>
    <w:rsid w:val="00A34434"/>
    <w:rsid w:val="00A348DB"/>
    <w:rsid w:val="00A34C7A"/>
    <w:rsid w:val="00A357A4"/>
    <w:rsid w:val="00A35EA6"/>
    <w:rsid w:val="00A36055"/>
    <w:rsid w:val="00A36A2B"/>
    <w:rsid w:val="00A36BF8"/>
    <w:rsid w:val="00A3764D"/>
    <w:rsid w:val="00A377E4"/>
    <w:rsid w:val="00A377E5"/>
    <w:rsid w:val="00A378D1"/>
    <w:rsid w:val="00A400AF"/>
    <w:rsid w:val="00A40500"/>
    <w:rsid w:val="00A40866"/>
    <w:rsid w:val="00A40BA8"/>
    <w:rsid w:val="00A40FEB"/>
    <w:rsid w:val="00A4118C"/>
    <w:rsid w:val="00A413EA"/>
    <w:rsid w:val="00A418D6"/>
    <w:rsid w:val="00A41A11"/>
    <w:rsid w:val="00A41C98"/>
    <w:rsid w:val="00A41CCF"/>
    <w:rsid w:val="00A41ED3"/>
    <w:rsid w:val="00A42FC3"/>
    <w:rsid w:val="00A430E9"/>
    <w:rsid w:val="00A4311D"/>
    <w:rsid w:val="00A4318B"/>
    <w:rsid w:val="00A4334A"/>
    <w:rsid w:val="00A43A62"/>
    <w:rsid w:val="00A43B27"/>
    <w:rsid w:val="00A43D8B"/>
    <w:rsid w:val="00A44122"/>
    <w:rsid w:val="00A445EE"/>
    <w:rsid w:val="00A44724"/>
    <w:rsid w:val="00A44AC6"/>
    <w:rsid w:val="00A45149"/>
    <w:rsid w:val="00A45287"/>
    <w:rsid w:val="00A457D2"/>
    <w:rsid w:val="00A45867"/>
    <w:rsid w:val="00A45BE6"/>
    <w:rsid w:val="00A45D4E"/>
    <w:rsid w:val="00A45EAD"/>
    <w:rsid w:val="00A46368"/>
    <w:rsid w:val="00A4657B"/>
    <w:rsid w:val="00A465DC"/>
    <w:rsid w:val="00A46C03"/>
    <w:rsid w:val="00A471FF"/>
    <w:rsid w:val="00A47417"/>
    <w:rsid w:val="00A478DB"/>
    <w:rsid w:val="00A4796C"/>
    <w:rsid w:val="00A47AB5"/>
    <w:rsid w:val="00A47F95"/>
    <w:rsid w:val="00A47FA2"/>
    <w:rsid w:val="00A5145C"/>
    <w:rsid w:val="00A51A7E"/>
    <w:rsid w:val="00A52281"/>
    <w:rsid w:val="00A524C9"/>
    <w:rsid w:val="00A52870"/>
    <w:rsid w:val="00A52C63"/>
    <w:rsid w:val="00A53211"/>
    <w:rsid w:val="00A53430"/>
    <w:rsid w:val="00A53595"/>
    <w:rsid w:val="00A53808"/>
    <w:rsid w:val="00A53DE6"/>
    <w:rsid w:val="00A53ED1"/>
    <w:rsid w:val="00A54291"/>
    <w:rsid w:val="00A542AF"/>
    <w:rsid w:val="00A54323"/>
    <w:rsid w:val="00A544FD"/>
    <w:rsid w:val="00A54544"/>
    <w:rsid w:val="00A54853"/>
    <w:rsid w:val="00A549EC"/>
    <w:rsid w:val="00A54DDA"/>
    <w:rsid w:val="00A55646"/>
    <w:rsid w:val="00A55A09"/>
    <w:rsid w:val="00A55AF5"/>
    <w:rsid w:val="00A55B7A"/>
    <w:rsid w:val="00A55F4F"/>
    <w:rsid w:val="00A56BED"/>
    <w:rsid w:val="00A56D79"/>
    <w:rsid w:val="00A56DE6"/>
    <w:rsid w:val="00A576C6"/>
    <w:rsid w:val="00A579CA"/>
    <w:rsid w:val="00A57C0E"/>
    <w:rsid w:val="00A57E23"/>
    <w:rsid w:val="00A60177"/>
    <w:rsid w:val="00A60BFE"/>
    <w:rsid w:val="00A60FDE"/>
    <w:rsid w:val="00A612B0"/>
    <w:rsid w:val="00A614AB"/>
    <w:rsid w:val="00A617A0"/>
    <w:rsid w:val="00A61945"/>
    <w:rsid w:val="00A61AE4"/>
    <w:rsid w:val="00A61AF7"/>
    <w:rsid w:val="00A61F32"/>
    <w:rsid w:val="00A61F89"/>
    <w:rsid w:val="00A62757"/>
    <w:rsid w:val="00A628B6"/>
    <w:rsid w:val="00A63753"/>
    <w:rsid w:val="00A63B7B"/>
    <w:rsid w:val="00A63CDE"/>
    <w:rsid w:val="00A63DBE"/>
    <w:rsid w:val="00A63E51"/>
    <w:rsid w:val="00A64424"/>
    <w:rsid w:val="00A647E0"/>
    <w:rsid w:val="00A64BA1"/>
    <w:rsid w:val="00A64EA2"/>
    <w:rsid w:val="00A64FBF"/>
    <w:rsid w:val="00A650E5"/>
    <w:rsid w:val="00A65795"/>
    <w:rsid w:val="00A65C3B"/>
    <w:rsid w:val="00A65D38"/>
    <w:rsid w:val="00A66574"/>
    <w:rsid w:val="00A665EA"/>
    <w:rsid w:val="00A667E5"/>
    <w:rsid w:val="00A66FCF"/>
    <w:rsid w:val="00A67346"/>
    <w:rsid w:val="00A6756B"/>
    <w:rsid w:val="00A678AE"/>
    <w:rsid w:val="00A67A93"/>
    <w:rsid w:val="00A67C35"/>
    <w:rsid w:val="00A67CA8"/>
    <w:rsid w:val="00A70043"/>
    <w:rsid w:val="00A70911"/>
    <w:rsid w:val="00A721DC"/>
    <w:rsid w:val="00A7226E"/>
    <w:rsid w:val="00A72329"/>
    <w:rsid w:val="00A737F6"/>
    <w:rsid w:val="00A73943"/>
    <w:rsid w:val="00A73A99"/>
    <w:rsid w:val="00A73C2D"/>
    <w:rsid w:val="00A73D4A"/>
    <w:rsid w:val="00A742BF"/>
    <w:rsid w:val="00A74349"/>
    <w:rsid w:val="00A74462"/>
    <w:rsid w:val="00A748BA"/>
    <w:rsid w:val="00A749EF"/>
    <w:rsid w:val="00A74E90"/>
    <w:rsid w:val="00A74FA3"/>
    <w:rsid w:val="00A751E4"/>
    <w:rsid w:val="00A75200"/>
    <w:rsid w:val="00A7543C"/>
    <w:rsid w:val="00A754CF"/>
    <w:rsid w:val="00A755E7"/>
    <w:rsid w:val="00A7612C"/>
    <w:rsid w:val="00A76598"/>
    <w:rsid w:val="00A769D8"/>
    <w:rsid w:val="00A76C33"/>
    <w:rsid w:val="00A76EE9"/>
    <w:rsid w:val="00A7753E"/>
    <w:rsid w:val="00A77C8E"/>
    <w:rsid w:val="00A805C2"/>
    <w:rsid w:val="00A80604"/>
    <w:rsid w:val="00A80BE6"/>
    <w:rsid w:val="00A812BF"/>
    <w:rsid w:val="00A818FE"/>
    <w:rsid w:val="00A81AEA"/>
    <w:rsid w:val="00A81C81"/>
    <w:rsid w:val="00A82061"/>
    <w:rsid w:val="00A82467"/>
    <w:rsid w:val="00A82605"/>
    <w:rsid w:val="00A82625"/>
    <w:rsid w:val="00A82ADC"/>
    <w:rsid w:val="00A82DD0"/>
    <w:rsid w:val="00A82F60"/>
    <w:rsid w:val="00A83570"/>
    <w:rsid w:val="00A8377C"/>
    <w:rsid w:val="00A83862"/>
    <w:rsid w:val="00A8389C"/>
    <w:rsid w:val="00A83AFD"/>
    <w:rsid w:val="00A83EBC"/>
    <w:rsid w:val="00A83ECB"/>
    <w:rsid w:val="00A83F1E"/>
    <w:rsid w:val="00A84268"/>
    <w:rsid w:val="00A8455E"/>
    <w:rsid w:val="00A84755"/>
    <w:rsid w:val="00A8486C"/>
    <w:rsid w:val="00A84CB8"/>
    <w:rsid w:val="00A84DC3"/>
    <w:rsid w:val="00A84EDF"/>
    <w:rsid w:val="00A8540A"/>
    <w:rsid w:val="00A85469"/>
    <w:rsid w:val="00A854EA"/>
    <w:rsid w:val="00A857AE"/>
    <w:rsid w:val="00A859FB"/>
    <w:rsid w:val="00A85D90"/>
    <w:rsid w:val="00A85FC9"/>
    <w:rsid w:val="00A86038"/>
    <w:rsid w:val="00A861E1"/>
    <w:rsid w:val="00A86971"/>
    <w:rsid w:val="00A870B2"/>
    <w:rsid w:val="00A87802"/>
    <w:rsid w:val="00A90029"/>
    <w:rsid w:val="00A901A2"/>
    <w:rsid w:val="00A9049F"/>
    <w:rsid w:val="00A9199C"/>
    <w:rsid w:val="00A92254"/>
    <w:rsid w:val="00A924FE"/>
    <w:rsid w:val="00A92BD6"/>
    <w:rsid w:val="00A92F06"/>
    <w:rsid w:val="00A93080"/>
    <w:rsid w:val="00A9351F"/>
    <w:rsid w:val="00A936BD"/>
    <w:rsid w:val="00A93E47"/>
    <w:rsid w:val="00A94847"/>
    <w:rsid w:val="00A94D79"/>
    <w:rsid w:val="00A94DF4"/>
    <w:rsid w:val="00A951E7"/>
    <w:rsid w:val="00A95261"/>
    <w:rsid w:val="00A9559D"/>
    <w:rsid w:val="00A95831"/>
    <w:rsid w:val="00A95C24"/>
    <w:rsid w:val="00A95E12"/>
    <w:rsid w:val="00A964EB"/>
    <w:rsid w:val="00A96545"/>
    <w:rsid w:val="00A96702"/>
    <w:rsid w:val="00A96838"/>
    <w:rsid w:val="00A96976"/>
    <w:rsid w:val="00A97BB2"/>
    <w:rsid w:val="00A97C5E"/>
    <w:rsid w:val="00A97DAD"/>
    <w:rsid w:val="00A97EB2"/>
    <w:rsid w:val="00AA0AB2"/>
    <w:rsid w:val="00AA0BB8"/>
    <w:rsid w:val="00AA12F6"/>
    <w:rsid w:val="00AA14A9"/>
    <w:rsid w:val="00AA153A"/>
    <w:rsid w:val="00AA1632"/>
    <w:rsid w:val="00AA19E9"/>
    <w:rsid w:val="00AA1A1B"/>
    <w:rsid w:val="00AA1C80"/>
    <w:rsid w:val="00AA1D58"/>
    <w:rsid w:val="00AA2545"/>
    <w:rsid w:val="00AA2698"/>
    <w:rsid w:val="00AA2AE8"/>
    <w:rsid w:val="00AA2C1F"/>
    <w:rsid w:val="00AA2E6D"/>
    <w:rsid w:val="00AA3648"/>
    <w:rsid w:val="00AA402B"/>
    <w:rsid w:val="00AA42F1"/>
    <w:rsid w:val="00AA4660"/>
    <w:rsid w:val="00AA4693"/>
    <w:rsid w:val="00AA5277"/>
    <w:rsid w:val="00AA5298"/>
    <w:rsid w:val="00AA59B0"/>
    <w:rsid w:val="00AA5F2C"/>
    <w:rsid w:val="00AA5F9B"/>
    <w:rsid w:val="00AA5FBE"/>
    <w:rsid w:val="00AA5FFD"/>
    <w:rsid w:val="00AA60FA"/>
    <w:rsid w:val="00AA6C42"/>
    <w:rsid w:val="00AA6D3C"/>
    <w:rsid w:val="00AA6F39"/>
    <w:rsid w:val="00AA6F55"/>
    <w:rsid w:val="00AA7409"/>
    <w:rsid w:val="00AA78D1"/>
    <w:rsid w:val="00AA7F91"/>
    <w:rsid w:val="00AB00C6"/>
    <w:rsid w:val="00AB0186"/>
    <w:rsid w:val="00AB033C"/>
    <w:rsid w:val="00AB0477"/>
    <w:rsid w:val="00AB0526"/>
    <w:rsid w:val="00AB0674"/>
    <w:rsid w:val="00AB095C"/>
    <w:rsid w:val="00AB0BBB"/>
    <w:rsid w:val="00AB0DFF"/>
    <w:rsid w:val="00AB16CB"/>
    <w:rsid w:val="00AB2164"/>
    <w:rsid w:val="00AB22DB"/>
    <w:rsid w:val="00AB27B4"/>
    <w:rsid w:val="00AB282D"/>
    <w:rsid w:val="00AB2D4F"/>
    <w:rsid w:val="00AB2EA8"/>
    <w:rsid w:val="00AB3425"/>
    <w:rsid w:val="00AB37C6"/>
    <w:rsid w:val="00AB3862"/>
    <w:rsid w:val="00AB38E8"/>
    <w:rsid w:val="00AB3A08"/>
    <w:rsid w:val="00AB4076"/>
    <w:rsid w:val="00AB5B62"/>
    <w:rsid w:val="00AB5DD2"/>
    <w:rsid w:val="00AB64F5"/>
    <w:rsid w:val="00AB72E7"/>
    <w:rsid w:val="00AB73FD"/>
    <w:rsid w:val="00AB751B"/>
    <w:rsid w:val="00AB780A"/>
    <w:rsid w:val="00AC011E"/>
    <w:rsid w:val="00AC10A6"/>
    <w:rsid w:val="00AC13E4"/>
    <w:rsid w:val="00AC156D"/>
    <w:rsid w:val="00AC18B3"/>
    <w:rsid w:val="00AC2497"/>
    <w:rsid w:val="00AC2508"/>
    <w:rsid w:val="00AC2733"/>
    <w:rsid w:val="00AC368B"/>
    <w:rsid w:val="00AC377D"/>
    <w:rsid w:val="00AC390D"/>
    <w:rsid w:val="00AC390F"/>
    <w:rsid w:val="00AC3C68"/>
    <w:rsid w:val="00AC416B"/>
    <w:rsid w:val="00AC4315"/>
    <w:rsid w:val="00AC4669"/>
    <w:rsid w:val="00AC4A8E"/>
    <w:rsid w:val="00AC4C2F"/>
    <w:rsid w:val="00AC568F"/>
    <w:rsid w:val="00AC5A05"/>
    <w:rsid w:val="00AC5E1E"/>
    <w:rsid w:val="00AC5F88"/>
    <w:rsid w:val="00AC665F"/>
    <w:rsid w:val="00AC7093"/>
    <w:rsid w:val="00AC77B3"/>
    <w:rsid w:val="00AD0077"/>
    <w:rsid w:val="00AD00D5"/>
    <w:rsid w:val="00AD0193"/>
    <w:rsid w:val="00AD02F9"/>
    <w:rsid w:val="00AD0550"/>
    <w:rsid w:val="00AD0A52"/>
    <w:rsid w:val="00AD0E69"/>
    <w:rsid w:val="00AD0EDA"/>
    <w:rsid w:val="00AD141D"/>
    <w:rsid w:val="00AD1878"/>
    <w:rsid w:val="00AD1A41"/>
    <w:rsid w:val="00AD1D68"/>
    <w:rsid w:val="00AD239A"/>
    <w:rsid w:val="00AD2BD6"/>
    <w:rsid w:val="00AD2C2E"/>
    <w:rsid w:val="00AD35FC"/>
    <w:rsid w:val="00AD3652"/>
    <w:rsid w:val="00AD42DA"/>
    <w:rsid w:val="00AD4BF5"/>
    <w:rsid w:val="00AD5163"/>
    <w:rsid w:val="00AD5356"/>
    <w:rsid w:val="00AD5EAF"/>
    <w:rsid w:val="00AD6190"/>
    <w:rsid w:val="00AD66F8"/>
    <w:rsid w:val="00AD67C2"/>
    <w:rsid w:val="00AD6B85"/>
    <w:rsid w:val="00AD6DDE"/>
    <w:rsid w:val="00AD6E9B"/>
    <w:rsid w:val="00AD6F37"/>
    <w:rsid w:val="00AD7AA2"/>
    <w:rsid w:val="00AD7C19"/>
    <w:rsid w:val="00AD7C60"/>
    <w:rsid w:val="00AE02BD"/>
    <w:rsid w:val="00AE060B"/>
    <w:rsid w:val="00AE06CA"/>
    <w:rsid w:val="00AE0E55"/>
    <w:rsid w:val="00AE1559"/>
    <w:rsid w:val="00AE1645"/>
    <w:rsid w:val="00AE1ADE"/>
    <w:rsid w:val="00AE1C2A"/>
    <w:rsid w:val="00AE2116"/>
    <w:rsid w:val="00AE2670"/>
    <w:rsid w:val="00AE29DE"/>
    <w:rsid w:val="00AE2A3C"/>
    <w:rsid w:val="00AE2FA4"/>
    <w:rsid w:val="00AE2FDE"/>
    <w:rsid w:val="00AE32E7"/>
    <w:rsid w:val="00AE3448"/>
    <w:rsid w:val="00AE3508"/>
    <w:rsid w:val="00AE3857"/>
    <w:rsid w:val="00AE38F6"/>
    <w:rsid w:val="00AE3A17"/>
    <w:rsid w:val="00AE3AE1"/>
    <w:rsid w:val="00AE3B45"/>
    <w:rsid w:val="00AE3E4F"/>
    <w:rsid w:val="00AE4D83"/>
    <w:rsid w:val="00AE5111"/>
    <w:rsid w:val="00AE5133"/>
    <w:rsid w:val="00AE5664"/>
    <w:rsid w:val="00AE5B5B"/>
    <w:rsid w:val="00AE5BE8"/>
    <w:rsid w:val="00AE6DFC"/>
    <w:rsid w:val="00AE712E"/>
    <w:rsid w:val="00AE7416"/>
    <w:rsid w:val="00AF0560"/>
    <w:rsid w:val="00AF07CA"/>
    <w:rsid w:val="00AF0823"/>
    <w:rsid w:val="00AF08D6"/>
    <w:rsid w:val="00AF09AA"/>
    <w:rsid w:val="00AF0FCF"/>
    <w:rsid w:val="00AF132B"/>
    <w:rsid w:val="00AF1383"/>
    <w:rsid w:val="00AF139F"/>
    <w:rsid w:val="00AF1AA7"/>
    <w:rsid w:val="00AF1B6A"/>
    <w:rsid w:val="00AF20BB"/>
    <w:rsid w:val="00AF2401"/>
    <w:rsid w:val="00AF318F"/>
    <w:rsid w:val="00AF325C"/>
    <w:rsid w:val="00AF3438"/>
    <w:rsid w:val="00AF3787"/>
    <w:rsid w:val="00AF3A49"/>
    <w:rsid w:val="00AF3C39"/>
    <w:rsid w:val="00AF3C3C"/>
    <w:rsid w:val="00AF4151"/>
    <w:rsid w:val="00AF42AD"/>
    <w:rsid w:val="00AF45B0"/>
    <w:rsid w:val="00AF4748"/>
    <w:rsid w:val="00AF4B1D"/>
    <w:rsid w:val="00AF4D99"/>
    <w:rsid w:val="00AF4E63"/>
    <w:rsid w:val="00AF5ACC"/>
    <w:rsid w:val="00AF5DD2"/>
    <w:rsid w:val="00AF5DF4"/>
    <w:rsid w:val="00AF5FB7"/>
    <w:rsid w:val="00AF6053"/>
    <w:rsid w:val="00AF61B8"/>
    <w:rsid w:val="00AF6AB2"/>
    <w:rsid w:val="00AF7CCA"/>
    <w:rsid w:val="00AF7DB2"/>
    <w:rsid w:val="00AF7EB6"/>
    <w:rsid w:val="00AF7ED9"/>
    <w:rsid w:val="00B00139"/>
    <w:rsid w:val="00B001A2"/>
    <w:rsid w:val="00B00991"/>
    <w:rsid w:val="00B00F40"/>
    <w:rsid w:val="00B0106E"/>
    <w:rsid w:val="00B0115A"/>
    <w:rsid w:val="00B0135F"/>
    <w:rsid w:val="00B0162A"/>
    <w:rsid w:val="00B01868"/>
    <w:rsid w:val="00B02027"/>
    <w:rsid w:val="00B02195"/>
    <w:rsid w:val="00B02408"/>
    <w:rsid w:val="00B024EA"/>
    <w:rsid w:val="00B024FC"/>
    <w:rsid w:val="00B02681"/>
    <w:rsid w:val="00B0297E"/>
    <w:rsid w:val="00B02A4E"/>
    <w:rsid w:val="00B02CED"/>
    <w:rsid w:val="00B03255"/>
    <w:rsid w:val="00B033B3"/>
    <w:rsid w:val="00B03DD2"/>
    <w:rsid w:val="00B03F9A"/>
    <w:rsid w:val="00B046C0"/>
    <w:rsid w:val="00B04977"/>
    <w:rsid w:val="00B04D57"/>
    <w:rsid w:val="00B0514A"/>
    <w:rsid w:val="00B052B5"/>
    <w:rsid w:val="00B05E1D"/>
    <w:rsid w:val="00B06210"/>
    <w:rsid w:val="00B06594"/>
    <w:rsid w:val="00B065FD"/>
    <w:rsid w:val="00B06BB1"/>
    <w:rsid w:val="00B06BB6"/>
    <w:rsid w:val="00B06F7C"/>
    <w:rsid w:val="00B0723D"/>
    <w:rsid w:val="00B073A3"/>
    <w:rsid w:val="00B077E4"/>
    <w:rsid w:val="00B07AB4"/>
    <w:rsid w:val="00B102DC"/>
    <w:rsid w:val="00B1041F"/>
    <w:rsid w:val="00B106C0"/>
    <w:rsid w:val="00B108E6"/>
    <w:rsid w:val="00B109D8"/>
    <w:rsid w:val="00B10E5E"/>
    <w:rsid w:val="00B11028"/>
    <w:rsid w:val="00B110AD"/>
    <w:rsid w:val="00B110BB"/>
    <w:rsid w:val="00B114B8"/>
    <w:rsid w:val="00B1167B"/>
    <w:rsid w:val="00B117EE"/>
    <w:rsid w:val="00B118A0"/>
    <w:rsid w:val="00B11A14"/>
    <w:rsid w:val="00B11B15"/>
    <w:rsid w:val="00B12213"/>
    <w:rsid w:val="00B125BD"/>
    <w:rsid w:val="00B12A17"/>
    <w:rsid w:val="00B12AF7"/>
    <w:rsid w:val="00B12B5C"/>
    <w:rsid w:val="00B12C85"/>
    <w:rsid w:val="00B12D26"/>
    <w:rsid w:val="00B12D7A"/>
    <w:rsid w:val="00B1329D"/>
    <w:rsid w:val="00B13537"/>
    <w:rsid w:val="00B13B5D"/>
    <w:rsid w:val="00B146AE"/>
    <w:rsid w:val="00B1472E"/>
    <w:rsid w:val="00B14FC9"/>
    <w:rsid w:val="00B152B7"/>
    <w:rsid w:val="00B1531E"/>
    <w:rsid w:val="00B154BA"/>
    <w:rsid w:val="00B158BC"/>
    <w:rsid w:val="00B15F2D"/>
    <w:rsid w:val="00B15F8B"/>
    <w:rsid w:val="00B16601"/>
    <w:rsid w:val="00B16904"/>
    <w:rsid w:val="00B16BB0"/>
    <w:rsid w:val="00B16FA1"/>
    <w:rsid w:val="00B17A08"/>
    <w:rsid w:val="00B17ACA"/>
    <w:rsid w:val="00B206C6"/>
    <w:rsid w:val="00B20D14"/>
    <w:rsid w:val="00B20FF9"/>
    <w:rsid w:val="00B21A54"/>
    <w:rsid w:val="00B21A68"/>
    <w:rsid w:val="00B21CBA"/>
    <w:rsid w:val="00B21DA1"/>
    <w:rsid w:val="00B220D1"/>
    <w:rsid w:val="00B22657"/>
    <w:rsid w:val="00B22833"/>
    <w:rsid w:val="00B22B93"/>
    <w:rsid w:val="00B22FBE"/>
    <w:rsid w:val="00B233FE"/>
    <w:rsid w:val="00B23593"/>
    <w:rsid w:val="00B236D4"/>
    <w:rsid w:val="00B237AB"/>
    <w:rsid w:val="00B23A30"/>
    <w:rsid w:val="00B23C8B"/>
    <w:rsid w:val="00B240A6"/>
    <w:rsid w:val="00B240D3"/>
    <w:rsid w:val="00B2490E"/>
    <w:rsid w:val="00B24F02"/>
    <w:rsid w:val="00B25594"/>
    <w:rsid w:val="00B2579F"/>
    <w:rsid w:val="00B258BF"/>
    <w:rsid w:val="00B25D71"/>
    <w:rsid w:val="00B2602D"/>
    <w:rsid w:val="00B265CE"/>
    <w:rsid w:val="00B26A02"/>
    <w:rsid w:val="00B26A9B"/>
    <w:rsid w:val="00B26C59"/>
    <w:rsid w:val="00B26CE7"/>
    <w:rsid w:val="00B26E22"/>
    <w:rsid w:val="00B26F0B"/>
    <w:rsid w:val="00B270D1"/>
    <w:rsid w:val="00B2714F"/>
    <w:rsid w:val="00B271BA"/>
    <w:rsid w:val="00B2720C"/>
    <w:rsid w:val="00B310E7"/>
    <w:rsid w:val="00B311E2"/>
    <w:rsid w:val="00B31531"/>
    <w:rsid w:val="00B31AB9"/>
    <w:rsid w:val="00B31DB0"/>
    <w:rsid w:val="00B31DD6"/>
    <w:rsid w:val="00B32358"/>
    <w:rsid w:val="00B323E6"/>
    <w:rsid w:val="00B32E97"/>
    <w:rsid w:val="00B32EFA"/>
    <w:rsid w:val="00B32F12"/>
    <w:rsid w:val="00B332A2"/>
    <w:rsid w:val="00B332AD"/>
    <w:rsid w:val="00B33B2B"/>
    <w:rsid w:val="00B33DD4"/>
    <w:rsid w:val="00B3429E"/>
    <w:rsid w:val="00B359AF"/>
    <w:rsid w:val="00B35CAE"/>
    <w:rsid w:val="00B35D9F"/>
    <w:rsid w:val="00B35E9F"/>
    <w:rsid w:val="00B35FC2"/>
    <w:rsid w:val="00B36596"/>
    <w:rsid w:val="00B36A78"/>
    <w:rsid w:val="00B36ED6"/>
    <w:rsid w:val="00B37266"/>
    <w:rsid w:val="00B3791C"/>
    <w:rsid w:val="00B37B32"/>
    <w:rsid w:val="00B37E0F"/>
    <w:rsid w:val="00B406D9"/>
    <w:rsid w:val="00B40718"/>
    <w:rsid w:val="00B40A4D"/>
    <w:rsid w:val="00B40A90"/>
    <w:rsid w:val="00B41222"/>
    <w:rsid w:val="00B413E6"/>
    <w:rsid w:val="00B41A05"/>
    <w:rsid w:val="00B41C49"/>
    <w:rsid w:val="00B41E25"/>
    <w:rsid w:val="00B42012"/>
    <w:rsid w:val="00B421A2"/>
    <w:rsid w:val="00B424C1"/>
    <w:rsid w:val="00B42558"/>
    <w:rsid w:val="00B42590"/>
    <w:rsid w:val="00B42A24"/>
    <w:rsid w:val="00B42E8E"/>
    <w:rsid w:val="00B42FCE"/>
    <w:rsid w:val="00B43206"/>
    <w:rsid w:val="00B4329A"/>
    <w:rsid w:val="00B43641"/>
    <w:rsid w:val="00B43EEB"/>
    <w:rsid w:val="00B44871"/>
    <w:rsid w:val="00B44C02"/>
    <w:rsid w:val="00B44F10"/>
    <w:rsid w:val="00B45613"/>
    <w:rsid w:val="00B45DE0"/>
    <w:rsid w:val="00B463EE"/>
    <w:rsid w:val="00B46833"/>
    <w:rsid w:val="00B4694C"/>
    <w:rsid w:val="00B47023"/>
    <w:rsid w:val="00B472B8"/>
    <w:rsid w:val="00B47537"/>
    <w:rsid w:val="00B47725"/>
    <w:rsid w:val="00B47780"/>
    <w:rsid w:val="00B47B3D"/>
    <w:rsid w:val="00B47CE2"/>
    <w:rsid w:val="00B47F2A"/>
    <w:rsid w:val="00B50373"/>
    <w:rsid w:val="00B504DD"/>
    <w:rsid w:val="00B50621"/>
    <w:rsid w:val="00B509EC"/>
    <w:rsid w:val="00B50BAD"/>
    <w:rsid w:val="00B5113A"/>
    <w:rsid w:val="00B514B9"/>
    <w:rsid w:val="00B51999"/>
    <w:rsid w:val="00B51A00"/>
    <w:rsid w:val="00B51BD2"/>
    <w:rsid w:val="00B52244"/>
    <w:rsid w:val="00B52515"/>
    <w:rsid w:val="00B52645"/>
    <w:rsid w:val="00B52894"/>
    <w:rsid w:val="00B52B95"/>
    <w:rsid w:val="00B53367"/>
    <w:rsid w:val="00B535BB"/>
    <w:rsid w:val="00B53EC7"/>
    <w:rsid w:val="00B53F18"/>
    <w:rsid w:val="00B5404D"/>
    <w:rsid w:val="00B544FE"/>
    <w:rsid w:val="00B54581"/>
    <w:rsid w:val="00B54778"/>
    <w:rsid w:val="00B55EC8"/>
    <w:rsid w:val="00B560F4"/>
    <w:rsid w:val="00B562B6"/>
    <w:rsid w:val="00B56A4E"/>
    <w:rsid w:val="00B56B9A"/>
    <w:rsid w:val="00B571AF"/>
    <w:rsid w:val="00B5757C"/>
    <w:rsid w:val="00B57648"/>
    <w:rsid w:val="00B57741"/>
    <w:rsid w:val="00B57AC6"/>
    <w:rsid w:val="00B60303"/>
    <w:rsid w:val="00B60701"/>
    <w:rsid w:val="00B608FE"/>
    <w:rsid w:val="00B60ED5"/>
    <w:rsid w:val="00B61814"/>
    <w:rsid w:val="00B61A91"/>
    <w:rsid w:val="00B61AE5"/>
    <w:rsid w:val="00B62C40"/>
    <w:rsid w:val="00B631F0"/>
    <w:rsid w:val="00B632E0"/>
    <w:rsid w:val="00B6347F"/>
    <w:rsid w:val="00B638A3"/>
    <w:rsid w:val="00B63979"/>
    <w:rsid w:val="00B63DD5"/>
    <w:rsid w:val="00B63DED"/>
    <w:rsid w:val="00B63FAB"/>
    <w:rsid w:val="00B6414F"/>
    <w:rsid w:val="00B6460F"/>
    <w:rsid w:val="00B64D98"/>
    <w:rsid w:val="00B64F9B"/>
    <w:rsid w:val="00B652E2"/>
    <w:rsid w:val="00B655FB"/>
    <w:rsid w:val="00B663F6"/>
    <w:rsid w:val="00B663FF"/>
    <w:rsid w:val="00B664E2"/>
    <w:rsid w:val="00B66571"/>
    <w:rsid w:val="00B66A02"/>
    <w:rsid w:val="00B66A9D"/>
    <w:rsid w:val="00B67293"/>
    <w:rsid w:val="00B67691"/>
    <w:rsid w:val="00B6782C"/>
    <w:rsid w:val="00B67A58"/>
    <w:rsid w:val="00B67E25"/>
    <w:rsid w:val="00B67FB3"/>
    <w:rsid w:val="00B7005B"/>
    <w:rsid w:val="00B70329"/>
    <w:rsid w:val="00B7131D"/>
    <w:rsid w:val="00B715DA"/>
    <w:rsid w:val="00B715FB"/>
    <w:rsid w:val="00B71623"/>
    <w:rsid w:val="00B71666"/>
    <w:rsid w:val="00B72075"/>
    <w:rsid w:val="00B724CD"/>
    <w:rsid w:val="00B72713"/>
    <w:rsid w:val="00B72852"/>
    <w:rsid w:val="00B728D8"/>
    <w:rsid w:val="00B72C5E"/>
    <w:rsid w:val="00B72ED4"/>
    <w:rsid w:val="00B72FBD"/>
    <w:rsid w:val="00B735C2"/>
    <w:rsid w:val="00B73BFC"/>
    <w:rsid w:val="00B73D21"/>
    <w:rsid w:val="00B73D5B"/>
    <w:rsid w:val="00B73E80"/>
    <w:rsid w:val="00B74237"/>
    <w:rsid w:val="00B742EA"/>
    <w:rsid w:val="00B74778"/>
    <w:rsid w:val="00B74D24"/>
    <w:rsid w:val="00B7536C"/>
    <w:rsid w:val="00B755EC"/>
    <w:rsid w:val="00B75611"/>
    <w:rsid w:val="00B75693"/>
    <w:rsid w:val="00B75F06"/>
    <w:rsid w:val="00B760BB"/>
    <w:rsid w:val="00B763DD"/>
    <w:rsid w:val="00B7661E"/>
    <w:rsid w:val="00B766A3"/>
    <w:rsid w:val="00B76896"/>
    <w:rsid w:val="00B769C4"/>
    <w:rsid w:val="00B76E3C"/>
    <w:rsid w:val="00B77679"/>
    <w:rsid w:val="00B77762"/>
    <w:rsid w:val="00B777FA"/>
    <w:rsid w:val="00B8053C"/>
    <w:rsid w:val="00B805A0"/>
    <w:rsid w:val="00B8060F"/>
    <w:rsid w:val="00B80773"/>
    <w:rsid w:val="00B80978"/>
    <w:rsid w:val="00B80D19"/>
    <w:rsid w:val="00B80F63"/>
    <w:rsid w:val="00B81B48"/>
    <w:rsid w:val="00B8219B"/>
    <w:rsid w:val="00B8221E"/>
    <w:rsid w:val="00B82DF7"/>
    <w:rsid w:val="00B82F15"/>
    <w:rsid w:val="00B82FCD"/>
    <w:rsid w:val="00B83171"/>
    <w:rsid w:val="00B83388"/>
    <w:rsid w:val="00B83665"/>
    <w:rsid w:val="00B83896"/>
    <w:rsid w:val="00B83A27"/>
    <w:rsid w:val="00B843A1"/>
    <w:rsid w:val="00B844C2"/>
    <w:rsid w:val="00B84521"/>
    <w:rsid w:val="00B84EB0"/>
    <w:rsid w:val="00B854E5"/>
    <w:rsid w:val="00B859BB"/>
    <w:rsid w:val="00B85F2E"/>
    <w:rsid w:val="00B8686A"/>
    <w:rsid w:val="00B86B31"/>
    <w:rsid w:val="00B86DE8"/>
    <w:rsid w:val="00B86E42"/>
    <w:rsid w:val="00B875CC"/>
    <w:rsid w:val="00B87913"/>
    <w:rsid w:val="00B87A00"/>
    <w:rsid w:val="00B87B54"/>
    <w:rsid w:val="00B87C39"/>
    <w:rsid w:val="00B87D54"/>
    <w:rsid w:val="00B9028A"/>
    <w:rsid w:val="00B90C57"/>
    <w:rsid w:val="00B90F4A"/>
    <w:rsid w:val="00B91672"/>
    <w:rsid w:val="00B916C6"/>
    <w:rsid w:val="00B9173E"/>
    <w:rsid w:val="00B91C84"/>
    <w:rsid w:val="00B91F42"/>
    <w:rsid w:val="00B92DF7"/>
    <w:rsid w:val="00B9351B"/>
    <w:rsid w:val="00B93E3A"/>
    <w:rsid w:val="00B93F45"/>
    <w:rsid w:val="00B94218"/>
    <w:rsid w:val="00B944CE"/>
    <w:rsid w:val="00B946FA"/>
    <w:rsid w:val="00B947B5"/>
    <w:rsid w:val="00B947DB"/>
    <w:rsid w:val="00B94D68"/>
    <w:rsid w:val="00B94FB2"/>
    <w:rsid w:val="00B9511E"/>
    <w:rsid w:val="00B95EF6"/>
    <w:rsid w:val="00B9694F"/>
    <w:rsid w:val="00B96B44"/>
    <w:rsid w:val="00B96EEA"/>
    <w:rsid w:val="00B972B2"/>
    <w:rsid w:val="00B973DB"/>
    <w:rsid w:val="00B97807"/>
    <w:rsid w:val="00B97E3B"/>
    <w:rsid w:val="00BA0278"/>
    <w:rsid w:val="00BA02A4"/>
    <w:rsid w:val="00BA060A"/>
    <w:rsid w:val="00BA080C"/>
    <w:rsid w:val="00BA13E5"/>
    <w:rsid w:val="00BA1478"/>
    <w:rsid w:val="00BA178C"/>
    <w:rsid w:val="00BA17B0"/>
    <w:rsid w:val="00BA1A47"/>
    <w:rsid w:val="00BA1A4D"/>
    <w:rsid w:val="00BA1A64"/>
    <w:rsid w:val="00BA1AA4"/>
    <w:rsid w:val="00BA1C87"/>
    <w:rsid w:val="00BA27A0"/>
    <w:rsid w:val="00BA2ACA"/>
    <w:rsid w:val="00BA35BD"/>
    <w:rsid w:val="00BA36D7"/>
    <w:rsid w:val="00BA3A3C"/>
    <w:rsid w:val="00BA3AB4"/>
    <w:rsid w:val="00BA4572"/>
    <w:rsid w:val="00BA4622"/>
    <w:rsid w:val="00BA46F6"/>
    <w:rsid w:val="00BA4E8B"/>
    <w:rsid w:val="00BA51E7"/>
    <w:rsid w:val="00BA5A1C"/>
    <w:rsid w:val="00BA5A91"/>
    <w:rsid w:val="00BA5B8B"/>
    <w:rsid w:val="00BA5B91"/>
    <w:rsid w:val="00BA6090"/>
    <w:rsid w:val="00BA6224"/>
    <w:rsid w:val="00BA62B1"/>
    <w:rsid w:val="00BA68C5"/>
    <w:rsid w:val="00BA6BBC"/>
    <w:rsid w:val="00BA6E57"/>
    <w:rsid w:val="00BA719A"/>
    <w:rsid w:val="00BA78C6"/>
    <w:rsid w:val="00BA7E5C"/>
    <w:rsid w:val="00BB0212"/>
    <w:rsid w:val="00BB04CF"/>
    <w:rsid w:val="00BB0580"/>
    <w:rsid w:val="00BB0AED"/>
    <w:rsid w:val="00BB0F0D"/>
    <w:rsid w:val="00BB0F67"/>
    <w:rsid w:val="00BB0FF2"/>
    <w:rsid w:val="00BB14EF"/>
    <w:rsid w:val="00BB14F8"/>
    <w:rsid w:val="00BB15A2"/>
    <w:rsid w:val="00BB182C"/>
    <w:rsid w:val="00BB236C"/>
    <w:rsid w:val="00BB2A30"/>
    <w:rsid w:val="00BB339A"/>
    <w:rsid w:val="00BB339F"/>
    <w:rsid w:val="00BB394D"/>
    <w:rsid w:val="00BB3B42"/>
    <w:rsid w:val="00BB40A9"/>
    <w:rsid w:val="00BB44A3"/>
    <w:rsid w:val="00BB4A14"/>
    <w:rsid w:val="00BB4A83"/>
    <w:rsid w:val="00BB4BAE"/>
    <w:rsid w:val="00BB4C9F"/>
    <w:rsid w:val="00BB505A"/>
    <w:rsid w:val="00BB524B"/>
    <w:rsid w:val="00BB56F4"/>
    <w:rsid w:val="00BB5998"/>
    <w:rsid w:val="00BB6048"/>
    <w:rsid w:val="00BB6EF8"/>
    <w:rsid w:val="00BB767F"/>
    <w:rsid w:val="00BB79AE"/>
    <w:rsid w:val="00BB7D84"/>
    <w:rsid w:val="00BB7EC5"/>
    <w:rsid w:val="00BC011C"/>
    <w:rsid w:val="00BC0794"/>
    <w:rsid w:val="00BC0AB3"/>
    <w:rsid w:val="00BC0AF6"/>
    <w:rsid w:val="00BC0BE6"/>
    <w:rsid w:val="00BC0D5D"/>
    <w:rsid w:val="00BC1852"/>
    <w:rsid w:val="00BC2327"/>
    <w:rsid w:val="00BC27E6"/>
    <w:rsid w:val="00BC297A"/>
    <w:rsid w:val="00BC29EC"/>
    <w:rsid w:val="00BC2E47"/>
    <w:rsid w:val="00BC32B4"/>
    <w:rsid w:val="00BC3454"/>
    <w:rsid w:val="00BC3641"/>
    <w:rsid w:val="00BC38F7"/>
    <w:rsid w:val="00BC3E2F"/>
    <w:rsid w:val="00BC4218"/>
    <w:rsid w:val="00BC43ED"/>
    <w:rsid w:val="00BC48F8"/>
    <w:rsid w:val="00BC4A63"/>
    <w:rsid w:val="00BC4A70"/>
    <w:rsid w:val="00BC51DA"/>
    <w:rsid w:val="00BC547A"/>
    <w:rsid w:val="00BC5B81"/>
    <w:rsid w:val="00BC5B9C"/>
    <w:rsid w:val="00BC5D3E"/>
    <w:rsid w:val="00BC649F"/>
    <w:rsid w:val="00BC6731"/>
    <w:rsid w:val="00BC6A05"/>
    <w:rsid w:val="00BC6EF3"/>
    <w:rsid w:val="00BC7252"/>
    <w:rsid w:val="00BC751B"/>
    <w:rsid w:val="00BC7A49"/>
    <w:rsid w:val="00BC7A82"/>
    <w:rsid w:val="00BC7BD8"/>
    <w:rsid w:val="00BD037F"/>
    <w:rsid w:val="00BD07C4"/>
    <w:rsid w:val="00BD0C81"/>
    <w:rsid w:val="00BD1069"/>
    <w:rsid w:val="00BD1527"/>
    <w:rsid w:val="00BD164F"/>
    <w:rsid w:val="00BD1745"/>
    <w:rsid w:val="00BD179B"/>
    <w:rsid w:val="00BD1F92"/>
    <w:rsid w:val="00BD237C"/>
    <w:rsid w:val="00BD2600"/>
    <w:rsid w:val="00BD2822"/>
    <w:rsid w:val="00BD327C"/>
    <w:rsid w:val="00BD333E"/>
    <w:rsid w:val="00BD429D"/>
    <w:rsid w:val="00BD4615"/>
    <w:rsid w:val="00BD4D25"/>
    <w:rsid w:val="00BD5C2D"/>
    <w:rsid w:val="00BD5D9E"/>
    <w:rsid w:val="00BD5E1A"/>
    <w:rsid w:val="00BD6478"/>
    <w:rsid w:val="00BD6CBB"/>
    <w:rsid w:val="00BD6F63"/>
    <w:rsid w:val="00BD7388"/>
    <w:rsid w:val="00BD7521"/>
    <w:rsid w:val="00BD766E"/>
    <w:rsid w:val="00BD7DEF"/>
    <w:rsid w:val="00BE00D9"/>
    <w:rsid w:val="00BE0B08"/>
    <w:rsid w:val="00BE0C02"/>
    <w:rsid w:val="00BE1111"/>
    <w:rsid w:val="00BE12A2"/>
    <w:rsid w:val="00BE14AC"/>
    <w:rsid w:val="00BE16C2"/>
    <w:rsid w:val="00BE1798"/>
    <w:rsid w:val="00BE2254"/>
    <w:rsid w:val="00BE2305"/>
    <w:rsid w:val="00BE26BE"/>
    <w:rsid w:val="00BE28D4"/>
    <w:rsid w:val="00BE2A8D"/>
    <w:rsid w:val="00BE2CAC"/>
    <w:rsid w:val="00BE2F68"/>
    <w:rsid w:val="00BE30A2"/>
    <w:rsid w:val="00BE344C"/>
    <w:rsid w:val="00BE38FC"/>
    <w:rsid w:val="00BE3A2E"/>
    <w:rsid w:val="00BE3C81"/>
    <w:rsid w:val="00BE46DA"/>
    <w:rsid w:val="00BE4AC8"/>
    <w:rsid w:val="00BE4AE9"/>
    <w:rsid w:val="00BE51AC"/>
    <w:rsid w:val="00BE59F9"/>
    <w:rsid w:val="00BE665B"/>
    <w:rsid w:val="00BE7139"/>
    <w:rsid w:val="00BE78CF"/>
    <w:rsid w:val="00BE7DEB"/>
    <w:rsid w:val="00BF053A"/>
    <w:rsid w:val="00BF0BC5"/>
    <w:rsid w:val="00BF0D43"/>
    <w:rsid w:val="00BF0DC2"/>
    <w:rsid w:val="00BF101B"/>
    <w:rsid w:val="00BF15E6"/>
    <w:rsid w:val="00BF1B64"/>
    <w:rsid w:val="00BF1D39"/>
    <w:rsid w:val="00BF2442"/>
    <w:rsid w:val="00BF2C9A"/>
    <w:rsid w:val="00BF333E"/>
    <w:rsid w:val="00BF353E"/>
    <w:rsid w:val="00BF354B"/>
    <w:rsid w:val="00BF3BF6"/>
    <w:rsid w:val="00BF3DEE"/>
    <w:rsid w:val="00BF4924"/>
    <w:rsid w:val="00BF493B"/>
    <w:rsid w:val="00BF4C9E"/>
    <w:rsid w:val="00BF52FE"/>
    <w:rsid w:val="00BF53D6"/>
    <w:rsid w:val="00BF592F"/>
    <w:rsid w:val="00BF5C0A"/>
    <w:rsid w:val="00BF631D"/>
    <w:rsid w:val="00BF650B"/>
    <w:rsid w:val="00BF65C9"/>
    <w:rsid w:val="00BF668C"/>
    <w:rsid w:val="00BF6DDB"/>
    <w:rsid w:val="00BF7146"/>
    <w:rsid w:val="00BF725F"/>
    <w:rsid w:val="00BF732C"/>
    <w:rsid w:val="00BF7839"/>
    <w:rsid w:val="00BF7985"/>
    <w:rsid w:val="00BF7E05"/>
    <w:rsid w:val="00BF7FED"/>
    <w:rsid w:val="00C001A4"/>
    <w:rsid w:val="00C002FD"/>
    <w:rsid w:val="00C006A4"/>
    <w:rsid w:val="00C00A1E"/>
    <w:rsid w:val="00C00B50"/>
    <w:rsid w:val="00C01296"/>
    <w:rsid w:val="00C013CE"/>
    <w:rsid w:val="00C01919"/>
    <w:rsid w:val="00C01BEC"/>
    <w:rsid w:val="00C02833"/>
    <w:rsid w:val="00C029D5"/>
    <w:rsid w:val="00C02E14"/>
    <w:rsid w:val="00C032D8"/>
    <w:rsid w:val="00C03309"/>
    <w:rsid w:val="00C03A61"/>
    <w:rsid w:val="00C03C3B"/>
    <w:rsid w:val="00C03C7B"/>
    <w:rsid w:val="00C03EBF"/>
    <w:rsid w:val="00C04124"/>
    <w:rsid w:val="00C04406"/>
    <w:rsid w:val="00C04AD5"/>
    <w:rsid w:val="00C04C2B"/>
    <w:rsid w:val="00C04EE3"/>
    <w:rsid w:val="00C04F17"/>
    <w:rsid w:val="00C0540B"/>
    <w:rsid w:val="00C05502"/>
    <w:rsid w:val="00C05727"/>
    <w:rsid w:val="00C058A1"/>
    <w:rsid w:val="00C058F2"/>
    <w:rsid w:val="00C05A86"/>
    <w:rsid w:val="00C05C02"/>
    <w:rsid w:val="00C062C8"/>
    <w:rsid w:val="00C06A92"/>
    <w:rsid w:val="00C06EBB"/>
    <w:rsid w:val="00C06ED7"/>
    <w:rsid w:val="00C06F1A"/>
    <w:rsid w:val="00C07221"/>
    <w:rsid w:val="00C0742A"/>
    <w:rsid w:val="00C1004E"/>
    <w:rsid w:val="00C10055"/>
    <w:rsid w:val="00C10482"/>
    <w:rsid w:val="00C106CF"/>
    <w:rsid w:val="00C10A11"/>
    <w:rsid w:val="00C10B28"/>
    <w:rsid w:val="00C1176A"/>
    <w:rsid w:val="00C11985"/>
    <w:rsid w:val="00C11DB4"/>
    <w:rsid w:val="00C12A5E"/>
    <w:rsid w:val="00C12C78"/>
    <w:rsid w:val="00C135A0"/>
    <w:rsid w:val="00C146E8"/>
    <w:rsid w:val="00C14A08"/>
    <w:rsid w:val="00C14A7B"/>
    <w:rsid w:val="00C14B38"/>
    <w:rsid w:val="00C14ED3"/>
    <w:rsid w:val="00C162A3"/>
    <w:rsid w:val="00C16624"/>
    <w:rsid w:val="00C16B52"/>
    <w:rsid w:val="00C16CD8"/>
    <w:rsid w:val="00C1718D"/>
    <w:rsid w:val="00C17D7C"/>
    <w:rsid w:val="00C17DBA"/>
    <w:rsid w:val="00C20457"/>
    <w:rsid w:val="00C207C2"/>
    <w:rsid w:val="00C20BEA"/>
    <w:rsid w:val="00C20C04"/>
    <w:rsid w:val="00C20C40"/>
    <w:rsid w:val="00C20D6C"/>
    <w:rsid w:val="00C20E93"/>
    <w:rsid w:val="00C20FCB"/>
    <w:rsid w:val="00C21571"/>
    <w:rsid w:val="00C2176A"/>
    <w:rsid w:val="00C2187C"/>
    <w:rsid w:val="00C21AC3"/>
    <w:rsid w:val="00C229C3"/>
    <w:rsid w:val="00C22A66"/>
    <w:rsid w:val="00C22C4D"/>
    <w:rsid w:val="00C22F92"/>
    <w:rsid w:val="00C23285"/>
    <w:rsid w:val="00C236C1"/>
    <w:rsid w:val="00C239CE"/>
    <w:rsid w:val="00C23B62"/>
    <w:rsid w:val="00C24879"/>
    <w:rsid w:val="00C25011"/>
    <w:rsid w:val="00C25183"/>
    <w:rsid w:val="00C259C1"/>
    <w:rsid w:val="00C25D95"/>
    <w:rsid w:val="00C260E6"/>
    <w:rsid w:val="00C262E1"/>
    <w:rsid w:val="00C264DF"/>
    <w:rsid w:val="00C265A1"/>
    <w:rsid w:val="00C266FD"/>
    <w:rsid w:val="00C26935"/>
    <w:rsid w:val="00C26991"/>
    <w:rsid w:val="00C271AB"/>
    <w:rsid w:val="00C27687"/>
    <w:rsid w:val="00C276B7"/>
    <w:rsid w:val="00C27A01"/>
    <w:rsid w:val="00C27AB9"/>
    <w:rsid w:val="00C27D65"/>
    <w:rsid w:val="00C27D84"/>
    <w:rsid w:val="00C300EC"/>
    <w:rsid w:val="00C302B4"/>
    <w:rsid w:val="00C304C3"/>
    <w:rsid w:val="00C3079F"/>
    <w:rsid w:val="00C30A40"/>
    <w:rsid w:val="00C30C9D"/>
    <w:rsid w:val="00C30E86"/>
    <w:rsid w:val="00C31C4C"/>
    <w:rsid w:val="00C31C7C"/>
    <w:rsid w:val="00C320C9"/>
    <w:rsid w:val="00C32605"/>
    <w:rsid w:val="00C32949"/>
    <w:rsid w:val="00C32DD4"/>
    <w:rsid w:val="00C33B10"/>
    <w:rsid w:val="00C33EC1"/>
    <w:rsid w:val="00C341A0"/>
    <w:rsid w:val="00C3493B"/>
    <w:rsid w:val="00C34E54"/>
    <w:rsid w:val="00C3540C"/>
    <w:rsid w:val="00C354DA"/>
    <w:rsid w:val="00C35634"/>
    <w:rsid w:val="00C3563B"/>
    <w:rsid w:val="00C35F38"/>
    <w:rsid w:val="00C36164"/>
    <w:rsid w:val="00C36398"/>
    <w:rsid w:val="00C36C50"/>
    <w:rsid w:val="00C37360"/>
    <w:rsid w:val="00C37458"/>
    <w:rsid w:val="00C37A92"/>
    <w:rsid w:val="00C401E0"/>
    <w:rsid w:val="00C402A6"/>
    <w:rsid w:val="00C41508"/>
    <w:rsid w:val="00C41D3B"/>
    <w:rsid w:val="00C41EB1"/>
    <w:rsid w:val="00C421AB"/>
    <w:rsid w:val="00C427CE"/>
    <w:rsid w:val="00C43779"/>
    <w:rsid w:val="00C4387D"/>
    <w:rsid w:val="00C438DD"/>
    <w:rsid w:val="00C43927"/>
    <w:rsid w:val="00C43CD1"/>
    <w:rsid w:val="00C4400D"/>
    <w:rsid w:val="00C44574"/>
    <w:rsid w:val="00C44881"/>
    <w:rsid w:val="00C448A1"/>
    <w:rsid w:val="00C448A5"/>
    <w:rsid w:val="00C44A19"/>
    <w:rsid w:val="00C44BBE"/>
    <w:rsid w:val="00C44D3C"/>
    <w:rsid w:val="00C45020"/>
    <w:rsid w:val="00C45248"/>
    <w:rsid w:val="00C45343"/>
    <w:rsid w:val="00C45EF0"/>
    <w:rsid w:val="00C45F3A"/>
    <w:rsid w:val="00C4612E"/>
    <w:rsid w:val="00C461AA"/>
    <w:rsid w:val="00C465CA"/>
    <w:rsid w:val="00C472D6"/>
    <w:rsid w:val="00C47349"/>
    <w:rsid w:val="00C4750B"/>
    <w:rsid w:val="00C47568"/>
    <w:rsid w:val="00C479BD"/>
    <w:rsid w:val="00C47A1D"/>
    <w:rsid w:val="00C47B31"/>
    <w:rsid w:val="00C47FFD"/>
    <w:rsid w:val="00C5022C"/>
    <w:rsid w:val="00C504A7"/>
    <w:rsid w:val="00C5075D"/>
    <w:rsid w:val="00C507A9"/>
    <w:rsid w:val="00C50C30"/>
    <w:rsid w:val="00C513A1"/>
    <w:rsid w:val="00C5184B"/>
    <w:rsid w:val="00C518F0"/>
    <w:rsid w:val="00C51D42"/>
    <w:rsid w:val="00C51DAF"/>
    <w:rsid w:val="00C51F1E"/>
    <w:rsid w:val="00C521F9"/>
    <w:rsid w:val="00C523C2"/>
    <w:rsid w:val="00C52E37"/>
    <w:rsid w:val="00C52E5F"/>
    <w:rsid w:val="00C52F53"/>
    <w:rsid w:val="00C5363F"/>
    <w:rsid w:val="00C53661"/>
    <w:rsid w:val="00C53B3C"/>
    <w:rsid w:val="00C541B1"/>
    <w:rsid w:val="00C54591"/>
    <w:rsid w:val="00C54632"/>
    <w:rsid w:val="00C54760"/>
    <w:rsid w:val="00C54930"/>
    <w:rsid w:val="00C54FEE"/>
    <w:rsid w:val="00C552F9"/>
    <w:rsid w:val="00C552FD"/>
    <w:rsid w:val="00C556B0"/>
    <w:rsid w:val="00C55CEC"/>
    <w:rsid w:val="00C55EB8"/>
    <w:rsid w:val="00C56113"/>
    <w:rsid w:val="00C56A1B"/>
    <w:rsid w:val="00C56D12"/>
    <w:rsid w:val="00C57169"/>
    <w:rsid w:val="00C575D0"/>
    <w:rsid w:val="00C576E5"/>
    <w:rsid w:val="00C57963"/>
    <w:rsid w:val="00C57D53"/>
    <w:rsid w:val="00C60469"/>
    <w:rsid w:val="00C60A25"/>
    <w:rsid w:val="00C60B4C"/>
    <w:rsid w:val="00C60B71"/>
    <w:rsid w:val="00C60C43"/>
    <w:rsid w:val="00C60D0F"/>
    <w:rsid w:val="00C60D97"/>
    <w:rsid w:val="00C61031"/>
    <w:rsid w:val="00C617B1"/>
    <w:rsid w:val="00C619E5"/>
    <w:rsid w:val="00C61DB8"/>
    <w:rsid w:val="00C62632"/>
    <w:rsid w:val="00C626A4"/>
    <w:rsid w:val="00C63280"/>
    <w:rsid w:val="00C63573"/>
    <w:rsid w:val="00C6387C"/>
    <w:rsid w:val="00C64607"/>
    <w:rsid w:val="00C64644"/>
    <w:rsid w:val="00C64E54"/>
    <w:rsid w:val="00C652ED"/>
    <w:rsid w:val="00C6532A"/>
    <w:rsid w:val="00C65A54"/>
    <w:rsid w:val="00C65AB9"/>
    <w:rsid w:val="00C65BE4"/>
    <w:rsid w:val="00C65C60"/>
    <w:rsid w:val="00C6692E"/>
    <w:rsid w:val="00C66B01"/>
    <w:rsid w:val="00C66EBA"/>
    <w:rsid w:val="00C67294"/>
    <w:rsid w:val="00C67E3C"/>
    <w:rsid w:val="00C67F89"/>
    <w:rsid w:val="00C70098"/>
    <w:rsid w:val="00C70495"/>
    <w:rsid w:val="00C70865"/>
    <w:rsid w:val="00C70E68"/>
    <w:rsid w:val="00C7103C"/>
    <w:rsid w:val="00C71103"/>
    <w:rsid w:val="00C7153F"/>
    <w:rsid w:val="00C719D1"/>
    <w:rsid w:val="00C721E8"/>
    <w:rsid w:val="00C7251F"/>
    <w:rsid w:val="00C730B8"/>
    <w:rsid w:val="00C7312B"/>
    <w:rsid w:val="00C738C7"/>
    <w:rsid w:val="00C739F9"/>
    <w:rsid w:val="00C73DBA"/>
    <w:rsid w:val="00C743AB"/>
    <w:rsid w:val="00C75006"/>
    <w:rsid w:val="00C7502F"/>
    <w:rsid w:val="00C751B8"/>
    <w:rsid w:val="00C75622"/>
    <w:rsid w:val="00C75856"/>
    <w:rsid w:val="00C7596C"/>
    <w:rsid w:val="00C75D9A"/>
    <w:rsid w:val="00C7603C"/>
    <w:rsid w:val="00C76254"/>
    <w:rsid w:val="00C762D8"/>
    <w:rsid w:val="00C762F6"/>
    <w:rsid w:val="00C765B7"/>
    <w:rsid w:val="00C7669A"/>
    <w:rsid w:val="00C76772"/>
    <w:rsid w:val="00C76B0B"/>
    <w:rsid w:val="00C76F83"/>
    <w:rsid w:val="00C77175"/>
    <w:rsid w:val="00C77509"/>
    <w:rsid w:val="00C7798D"/>
    <w:rsid w:val="00C77CC4"/>
    <w:rsid w:val="00C77CE7"/>
    <w:rsid w:val="00C80444"/>
    <w:rsid w:val="00C80872"/>
    <w:rsid w:val="00C80974"/>
    <w:rsid w:val="00C80BE1"/>
    <w:rsid w:val="00C81380"/>
    <w:rsid w:val="00C816AB"/>
    <w:rsid w:val="00C81941"/>
    <w:rsid w:val="00C81AEC"/>
    <w:rsid w:val="00C8205C"/>
    <w:rsid w:val="00C823BA"/>
    <w:rsid w:val="00C82900"/>
    <w:rsid w:val="00C82DCB"/>
    <w:rsid w:val="00C8388B"/>
    <w:rsid w:val="00C83895"/>
    <w:rsid w:val="00C83C40"/>
    <w:rsid w:val="00C83CB6"/>
    <w:rsid w:val="00C83D42"/>
    <w:rsid w:val="00C84334"/>
    <w:rsid w:val="00C86029"/>
    <w:rsid w:val="00C864A8"/>
    <w:rsid w:val="00C86519"/>
    <w:rsid w:val="00C8687B"/>
    <w:rsid w:val="00C86DF5"/>
    <w:rsid w:val="00C87066"/>
    <w:rsid w:val="00C8719A"/>
    <w:rsid w:val="00C8755D"/>
    <w:rsid w:val="00C87D48"/>
    <w:rsid w:val="00C9007D"/>
    <w:rsid w:val="00C9016B"/>
    <w:rsid w:val="00C901C2"/>
    <w:rsid w:val="00C9045C"/>
    <w:rsid w:val="00C90532"/>
    <w:rsid w:val="00C908E8"/>
    <w:rsid w:val="00C90D12"/>
    <w:rsid w:val="00C91625"/>
    <w:rsid w:val="00C9168B"/>
    <w:rsid w:val="00C931DE"/>
    <w:rsid w:val="00C931F8"/>
    <w:rsid w:val="00C93553"/>
    <w:rsid w:val="00C937EB"/>
    <w:rsid w:val="00C938DE"/>
    <w:rsid w:val="00C93AAA"/>
    <w:rsid w:val="00C94042"/>
    <w:rsid w:val="00C944FF"/>
    <w:rsid w:val="00C947D4"/>
    <w:rsid w:val="00C94A2F"/>
    <w:rsid w:val="00C94B2C"/>
    <w:rsid w:val="00C94C09"/>
    <w:rsid w:val="00C94D6A"/>
    <w:rsid w:val="00C94F10"/>
    <w:rsid w:val="00C94F9D"/>
    <w:rsid w:val="00C9505E"/>
    <w:rsid w:val="00C956FB"/>
    <w:rsid w:val="00C95B23"/>
    <w:rsid w:val="00C95D8A"/>
    <w:rsid w:val="00C962C7"/>
    <w:rsid w:val="00C9648D"/>
    <w:rsid w:val="00C96A4A"/>
    <w:rsid w:val="00C96B81"/>
    <w:rsid w:val="00C97509"/>
    <w:rsid w:val="00CA069F"/>
    <w:rsid w:val="00CA07BA"/>
    <w:rsid w:val="00CA0857"/>
    <w:rsid w:val="00CA0BDA"/>
    <w:rsid w:val="00CA0C2D"/>
    <w:rsid w:val="00CA0E86"/>
    <w:rsid w:val="00CA0FA9"/>
    <w:rsid w:val="00CA1080"/>
    <w:rsid w:val="00CA205E"/>
    <w:rsid w:val="00CA22C4"/>
    <w:rsid w:val="00CA252E"/>
    <w:rsid w:val="00CA29D3"/>
    <w:rsid w:val="00CA2A72"/>
    <w:rsid w:val="00CA3418"/>
    <w:rsid w:val="00CA35CC"/>
    <w:rsid w:val="00CA372B"/>
    <w:rsid w:val="00CA39C3"/>
    <w:rsid w:val="00CA4445"/>
    <w:rsid w:val="00CA496C"/>
    <w:rsid w:val="00CA4CB6"/>
    <w:rsid w:val="00CA5337"/>
    <w:rsid w:val="00CA53B8"/>
    <w:rsid w:val="00CA5C4A"/>
    <w:rsid w:val="00CA60E8"/>
    <w:rsid w:val="00CA61C5"/>
    <w:rsid w:val="00CA6423"/>
    <w:rsid w:val="00CA6643"/>
    <w:rsid w:val="00CA675E"/>
    <w:rsid w:val="00CA6ABC"/>
    <w:rsid w:val="00CA6C2C"/>
    <w:rsid w:val="00CA7D61"/>
    <w:rsid w:val="00CB01E4"/>
    <w:rsid w:val="00CB036F"/>
    <w:rsid w:val="00CB0CC0"/>
    <w:rsid w:val="00CB0CF4"/>
    <w:rsid w:val="00CB10F7"/>
    <w:rsid w:val="00CB1301"/>
    <w:rsid w:val="00CB173A"/>
    <w:rsid w:val="00CB1BBA"/>
    <w:rsid w:val="00CB2175"/>
    <w:rsid w:val="00CB236D"/>
    <w:rsid w:val="00CB24F8"/>
    <w:rsid w:val="00CB27A3"/>
    <w:rsid w:val="00CB295F"/>
    <w:rsid w:val="00CB307A"/>
    <w:rsid w:val="00CB34AF"/>
    <w:rsid w:val="00CB34E4"/>
    <w:rsid w:val="00CB3DE5"/>
    <w:rsid w:val="00CB3E12"/>
    <w:rsid w:val="00CB3F16"/>
    <w:rsid w:val="00CB43B5"/>
    <w:rsid w:val="00CB4631"/>
    <w:rsid w:val="00CB489C"/>
    <w:rsid w:val="00CB4E1F"/>
    <w:rsid w:val="00CB5250"/>
    <w:rsid w:val="00CB5573"/>
    <w:rsid w:val="00CB56B6"/>
    <w:rsid w:val="00CB57DA"/>
    <w:rsid w:val="00CB5D54"/>
    <w:rsid w:val="00CB6311"/>
    <w:rsid w:val="00CB6518"/>
    <w:rsid w:val="00CB67B4"/>
    <w:rsid w:val="00CB6803"/>
    <w:rsid w:val="00CB698E"/>
    <w:rsid w:val="00CB719A"/>
    <w:rsid w:val="00CB7227"/>
    <w:rsid w:val="00CB723B"/>
    <w:rsid w:val="00CC0126"/>
    <w:rsid w:val="00CC0225"/>
    <w:rsid w:val="00CC0744"/>
    <w:rsid w:val="00CC0A35"/>
    <w:rsid w:val="00CC0D01"/>
    <w:rsid w:val="00CC18D1"/>
    <w:rsid w:val="00CC190D"/>
    <w:rsid w:val="00CC1A2C"/>
    <w:rsid w:val="00CC1DF4"/>
    <w:rsid w:val="00CC1EFD"/>
    <w:rsid w:val="00CC23DA"/>
    <w:rsid w:val="00CC24E3"/>
    <w:rsid w:val="00CC2633"/>
    <w:rsid w:val="00CC28BA"/>
    <w:rsid w:val="00CC28D5"/>
    <w:rsid w:val="00CC2AAC"/>
    <w:rsid w:val="00CC2AE6"/>
    <w:rsid w:val="00CC31B1"/>
    <w:rsid w:val="00CC35C7"/>
    <w:rsid w:val="00CC363B"/>
    <w:rsid w:val="00CC3BB1"/>
    <w:rsid w:val="00CC4029"/>
    <w:rsid w:val="00CC408D"/>
    <w:rsid w:val="00CC4167"/>
    <w:rsid w:val="00CC423C"/>
    <w:rsid w:val="00CC45D0"/>
    <w:rsid w:val="00CC461B"/>
    <w:rsid w:val="00CC498E"/>
    <w:rsid w:val="00CC4B74"/>
    <w:rsid w:val="00CC4C6F"/>
    <w:rsid w:val="00CC4CC1"/>
    <w:rsid w:val="00CC4D46"/>
    <w:rsid w:val="00CC5DA2"/>
    <w:rsid w:val="00CC658D"/>
    <w:rsid w:val="00CC6A31"/>
    <w:rsid w:val="00CC6EE2"/>
    <w:rsid w:val="00CC6FCD"/>
    <w:rsid w:val="00CC72F9"/>
    <w:rsid w:val="00CD02DA"/>
    <w:rsid w:val="00CD0A74"/>
    <w:rsid w:val="00CD0B43"/>
    <w:rsid w:val="00CD0E37"/>
    <w:rsid w:val="00CD10A2"/>
    <w:rsid w:val="00CD1130"/>
    <w:rsid w:val="00CD1539"/>
    <w:rsid w:val="00CD17CA"/>
    <w:rsid w:val="00CD1ACB"/>
    <w:rsid w:val="00CD1C5B"/>
    <w:rsid w:val="00CD1FBD"/>
    <w:rsid w:val="00CD22B9"/>
    <w:rsid w:val="00CD2698"/>
    <w:rsid w:val="00CD2FBA"/>
    <w:rsid w:val="00CD32D7"/>
    <w:rsid w:val="00CD336D"/>
    <w:rsid w:val="00CD33AE"/>
    <w:rsid w:val="00CD35A8"/>
    <w:rsid w:val="00CD3666"/>
    <w:rsid w:val="00CD3743"/>
    <w:rsid w:val="00CD3A60"/>
    <w:rsid w:val="00CD3FF2"/>
    <w:rsid w:val="00CD41B1"/>
    <w:rsid w:val="00CD4845"/>
    <w:rsid w:val="00CD48E2"/>
    <w:rsid w:val="00CD5174"/>
    <w:rsid w:val="00CD55C1"/>
    <w:rsid w:val="00CD56AF"/>
    <w:rsid w:val="00CD5BD3"/>
    <w:rsid w:val="00CD5D1C"/>
    <w:rsid w:val="00CD5E23"/>
    <w:rsid w:val="00CD5F68"/>
    <w:rsid w:val="00CD64A8"/>
    <w:rsid w:val="00CD6806"/>
    <w:rsid w:val="00CD6A20"/>
    <w:rsid w:val="00CD6DDC"/>
    <w:rsid w:val="00CD6E60"/>
    <w:rsid w:val="00CD6F8F"/>
    <w:rsid w:val="00CD7362"/>
    <w:rsid w:val="00CD783C"/>
    <w:rsid w:val="00CD78C6"/>
    <w:rsid w:val="00CD7B44"/>
    <w:rsid w:val="00CD7E12"/>
    <w:rsid w:val="00CE02D7"/>
    <w:rsid w:val="00CE04BD"/>
    <w:rsid w:val="00CE0D45"/>
    <w:rsid w:val="00CE0E2C"/>
    <w:rsid w:val="00CE1096"/>
    <w:rsid w:val="00CE1650"/>
    <w:rsid w:val="00CE1E51"/>
    <w:rsid w:val="00CE1EAD"/>
    <w:rsid w:val="00CE1F73"/>
    <w:rsid w:val="00CE25F3"/>
    <w:rsid w:val="00CE2715"/>
    <w:rsid w:val="00CE2ACE"/>
    <w:rsid w:val="00CE2F8C"/>
    <w:rsid w:val="00CE301D"/>
    <w:rsid w:val="00CE3992"/>
    <w:rsid w:val="00CE3D63"/>
    <w:rsid w:val="00CE3D70"/>
    <w:rsid w:val="00CE3DA7"/>
    <w:rsid w:val="00CE3E3F"/>
    <w:rsid w:val="00CE3EB1"/>
    <w:rsid w:val="00CE4800"/>
    <w:rsid w:val="00CE4F0E"/>
    <w:rsid w:val="00CE4F34"/>
    <w:rsid w:val="00CE5031"/>
    <w:rsid w:val="00CE5608"/>
    <w:rsid w:val="00CE5FE1"/>
    <w:rsid w:val="00CE601A"/>
    <w:rsid w:val="00CE60EF"/>
    <w:rsid w:val="00CE6414"/>
    <w:rsid w:val="00CE64B7"/>
    <w:rsid w:val="00CE65B8"/>
    <w:rsid w:val="00CE6664"/>
    <w:rsid w:val="00CE676C"/>
    <w:rsid w:val="00CE6FA4"/>
    <w:rsid w:val="00CE70EC"/>
    <w:rsid w:val="00CE758A"/>
    <w:rsid w:val="00CE7676"/>
    <w:rsid w:val="00CE7D76"/>
    <w:rsid w:val="00CE7D84"/>
    <w:rsid w:val="00CF0BCA"/>
    <w:rsid w:val="00CF0C0A"/>
    <w:rsid w:val="00CF0CE6"/>
    <w:rsid w:val="00CF0D9B"/>
    <w:rsid w:val="00CF0E12"/>
    <w:rsid w:val="00CF0ED2"/>
    <w:rsid w:val="00CF103B"/>
    <w:rsid w:val="00CF17C7"/>
    <w:rsid w:val="00CF1A1F"/>
    <w:rsid w:val="00CF243E"/>
    <w:rsid w:val="00CF25CB"/>
    <w:rsid w:val="00CF2799"/>
    <w:rsid w:val="00CF2933"/>
    <w:rsid w:val="00CF3097"/>
    <w:rsid w:val="00CF38AB"/>
    <w:rsid w:val="00CF3BA3"/>
    <w:rsid w:val="00CF3E14"/>
    <w:rsid w:val="00CF41CC"/>
    <w:rsid w:val="00CF43A4"/>
    <w:rsid w:val="00CF493F"/>
    <w:rsid w:val="00CF4AB6"/>
    <w:rsid w:val="00CF4DCB"/>
    <w:rsid w:val="00CF4E8F"/>
    <w:rsid w:val="00CF509E"/>
    <w:rsid w:val="00CF522A"/>
    <w:rsid w:val="00CF55B8"/>
    <w:rsid w:val="00CF56E5"/>
    <w:rsid w:val="00CF5DD2"/>
    <w:rsid w:val="00CF5E2C"/>
    <w:rsid w:val="00CF62F0"/>
    <w:rsid w:val="00CF6368"/>
    <w:rsid w:val="00CF68EF"/>
    <w:rsid w:val="00CF7383"/>
    <w:rsid w:val="00CF75CA"/>
    <w:rsid w:val="00CF78F1"/>
    <w:rsid w:val="00CF79C9"/>
    <w:rsid w:val="00CF7B67"/>
    <w:rsid w:val="00CF7DB9"/>
    <w:rsid w:val="00D009B4"/>
    <w:rsid w:val="00D00FD5"/>
    <w:rsid w:val="00D0118D"/>
    <w:rsid w:val="00D01B3D"/>
    <w:rsid w:val="00D01CF0"/>
    <w:rsid w:val="00D01F42"/>
    <w:rsid w:val="00D02CDA"/>
    <w:rsid w:val="00D02F1E"/>
    <w:rsid w:val="00D033AC"/>
    <w:rsid w:val="00D0351E"/>
    <w:rsid w:val="00D03D25"/>
    <w:rsid w:val="00D03DDB"/>
    <w:rsid w:val="00D03E51"/>
    <w:rsid w:val="00D0401C"/>
    <w:rsid w:val="00D0451D"/>
    <w:rsid w:val="00D04646"/>
    <w:rsid w:val="00D04A15"/>
    <w:rsid w:val="00D04C29"/>
    <w:rsid w:val="00D052D7"/>
    <w:rsid w:val="00D055A9"/>
    <w:rsid w:val="00D06093"/>
    <w:rsid w:val="00D062ED"/>
    <w:rsid w:val="00D06593"/>
    <w:rsid w:val="00D067AF"/>
    <w:rsid w:val="00D06A1A"/>
    <w:rsid w:val="00D06B6A"/>
    <w:rsid w:val="00D076DC"/>
    <w:rsid w:val="00D10028"/>
    <w:rsid w:val="00D10267"/>
    <w:rsid w:val="00D102B5"/>
    <w:rsid w:val="00D10BB2"/>
    <w:rsid w:val="00D10DB1"/>
    <w:rsid w:val="00D114DE"/>
    <w:rsid w:val="00D1161F"/>
    <w:rsid w:val="00D11937"/>
    <w:rsid w:val="00D121BB"/>
    <w:rsid w:val="00D12A42"/>
    <w:rsid w:val="00D12B47"/>
    <w:rsid w:val="00D133C6"/>
    <w:rsid w:val="00D136FC"/>
    <w:rsid w:val="00D138D0"/>
    <w:rsid w:val="00D13B36"/>
    <w:rsid w:val="00D13CC7"/>
    <w:rsid w:val="00D14034"/>
    <w:rsid w:val="00D14669"/>
    <w:rsid w:val="00D14B52"/>
    <w:rsid w:val="00D14C4E"/>
    <w:rsid w:val="00D14F18"/>
    <w:rsid w:val="00D14F84"/>
    <w:rsid w:val="00D14FD3"/>
    <w:rsid w:val="00D15002"/>
    <w:rsid w:val="00D1524C"/>
    <w:rsid w:val="00D157B7"/>
    <w:rsid w:val="00D1592B"/>
    <w:rsid w:val="00D16162"/>
    <w:rsid w:val="00D166D8"/>
    <w:rsid w:val="00D16796"/>
    <w:rsid w:val="00D16C32"/>
    <w:rsid w:val="00D16DEF"/>
    <w:rsid w:val="00D1701C"/>
    <w:rsid w:val="00D178E2"/>
    <w:rsid w:val="00D17D56"/>
    <w:rsid w:val="00D20000"/>
    <w:rsid w:val="00D201AA"/>
    <w:rsid w:val="00D20BE7"/>
    <w:rsid w:val="00D21217"/>
    <w:rsid w:val="00D217A5"/>
    <w:rsid w:val="00D21F29"/>
    <w:rsid w:val="00D21F8F"/>
    <w:rsid w:val="00D22137"/>
    <w:rsid w:val="00D2295F"/>
    <w:rsid w:val="00D22BEA"/>
    <w:rsid w:val="00D230D3"/>
    <w:rsid w:val="00D231E2"/>
    <w:rsid w:val="00D2334C"/>
    <w:rsid w:val="00D23560"/>
    <w:rsid w:val="00D239BA"/>
    <w:rsid w:val="00D23B9D"/>
    <w:rsid w:val="00D23BBC"/>
    <w:rsid w:val="00D243BB"/>
    <w:rsid w:val="00D24B4B"/>
    <w:rsid w:val="00D253FB"/>
    <w:rsid w:val="00D254AC"/>
    <w:rsid w:val="00D25A38"/>
    <w:rsid w:val="00D25F21"/>
    <w:rsid w:val="00D2693F"/>
    <w:rsid w:val="00D269C3"/>
    <w:rsid w:val="00D26BBF"/>
    <w:rsid w:val="00D276AF"/>
    <w:rsid w:val="00D27816"/>
    <w:rsid w:val="00D27CE7"/>
    <w:rsid w:val="00D30075"/>
    <w:rsid w:val="00D3017B"/>
    <w:rsid w:val="00D30563"/>
    <w:rsid w:val="00D309AF"/>
    <w:rsid w:val="00D30A6D"/>
    <w:rsid w:val="00D30F4D"/>
    <w:rsid w:val="00D30FA2"/>
    <w:rsid w:val="00D3109C"/>
    <w:rsid w:val="00D31436"/>
    <w:rsid w:val="00D318F0"/>
    <w:rsid w:val="00D31C5B"/>
    <w:rsid w:val="00D32132"/>
    <w:rsid w:val="00D3229C"/>
    <w:rsid w:val="00D32460"/>
    <w:rsid w:val="00D3277C"/>
    <w:rsid w:val="00D32C95"/>
    <w:rsid w:val="00D32E58"/>
    <w:rsid w:val="00D32F99"/>
    <w:rsid w:val="00D33560"/>
    <w:rsid w:val="00D33DD3"/>
    <w:rsid w:val="00D33F3B"/>
    <w:rsid w:val="00D33FB1"/>
    <w:rsid w:val="00D343C2"/>
    <w:rsid w:val="00D3457D"/>
    <w:rsid w:val="00D34CB6"/>
    <w:rsid w:val="00D34D64"/>
    <w:rsid w:val="00D351EE"/>
    <w:rsid w:val="00D35518"/>
    <w:rsid w:val="00D35A9E"/>
    <w:rsid w:val="00D35C28"/>
    <w:rsid w:val="00D368B4"/>
    <w:rsid w:val="00D36B40"/>
    <w:rsid w:val="00D36BA3"/>
    <w:rsid w:val="00D36BE2"/>
    <w:rsid w:val="00D36CDF"/>
    <w:rsid w:val="00D36D99"/>
    <w:rsid w:val="00D37338"/>
    <w:rsid w:val="00D37A66"/>
    <w:rsid w:val="00D37BB3"/>
    <w:rsid w:val="00D37E73"/>
    <w:rsid w:val="00D40091"/>
    <w:rsid w:val="00D404AC"/>
    <w:rsid w:val="00D40670"/>
    <w:rsid w:val="00D40A2B"/>
    <w:rsid w:val="00D40CD1"/>
    <w:rsid w:val="00D4111E"/>
    <w:rsid w:val="00D4156D"/>
    <w:rsid w:val="00D4172B"/>
    <w:rsid w:val="00D41BB7"/>
    <w:rsid w:val="00D421EC"/>
    <w:rsid w:val="00D4266A"/>
    <w:rsid w:val="00D42AF5"/>
    <w:rsid w:val="00D42B7C"/>
    <w:rsid w:val="00D42BF9"/>
    <w:rsid w:val="00D42EFD"/>
    <w:rsid w:val="00D43309"/>
    <w:rsid w:val="00D43789"/>
    <w:rsid w:val="00D437F9"/>
    <w:rsid w:val="00D43B62"/>
    <w:rsid w:val="00D43F60"/>
    <w:rsid w:val="00D447D3"/>
    <w:rsid w:val="00D44BC7"/>
    <w:rsid w:val="00D44C15"/>
    <w:rsid w:val="00D45469"/>
    <w:rsid w:val="00D454C1"/>
    <w:rsid w:val="00D454D8"/>
    <w:rsid w:val="00D45856"/>
    <w:rsid w:val="00D45D4D"/>
    <w:rsid w:val="00D4609D"/>
    <w:rsid w:val="00D46204"/>
    <w:rsid w:val="00D46428"/>
    <w:rsid w:val="00D46A83"/>
    <w:rsid w:val="00D46B1A"/>
    <w:rsid w:val="00D474AD"/>
    <w:rsid w:val="00D47511"/>
    <w:rsid w:val="00D477C9"/>
    <w:rsid w:val="00D47A97"/>
    <w:rsid w:val="00D50330"/>
    <w:rsid w:val="00D5069B"/>
    <w:rsid w:val="00D5099B"/>
    <w:rsid w:val="00D50B71"/>
    <w:rsid w:val="00D510E8"/>
    <w:rsid w:val="00D51703"/>
    <w:rsid w:val="00D518FA"/>
    <w:rsid w:val="00D51C24"/>
    <w:rsid w:val="00D51E52"/>
    <w:rsid w:val="00D51F58"/>
    <w:rsid w:val="00D51FE3"/>
    <w:rsid w:val="00D52086"/>
    <w:rsid w:val="00D52640"/>
    <w:rsid w:val="00D52890"/>
    <w:rsid w:val="00D53752"/>
    <w:rsid w:val="00D537B9"/>
    <w:rsid w:val="00D54103"/>
    <w:rsid w:val="00D547F1"/>
    <w:rsid w:val="00D549CC"/>
    <w:rsid w:val="00D54F5C"/>
    <w:rsid w:val="00D55891"/>
    <w:rsid w:val="00D55B9E"/>
    <w:rsid w:val="00D55D52"/>
    <w:rsid w:val="00D55EA6"/>
    <w:rsid w:val="00D56118"/>
    <w:rsid w:val="00D56A36"/>
    <w:rsid w:val="00D56BA9"/>
    <w:rsid w:val="00D56F68"/>
    <w:rsid w:val="00D5717E"/>
    <w:rsid w:val="00D5750F"/>
    <w:rsid w:val="00D576E6"/>
    <w:rsid w:val="00D602E1"/>
    <w:rsid w:val="00D60335"/>
    <w:rsid w:val="00D606AF"/>
    <w:rsid w:val="00D6071E"/>
    <w:rsid w:val="00D60890"/>
    <w:rsid w:val="00D608E6"/>
    <w:rsid w:val="00D60C2D"/>
    <w:rsid w:val="00D61289"/>
    <w:rsid w:val="00D614FE"/>
    <w:rsid w:val="00D6155E"/>
    <w:rsid w:val="00D61632"/>
    <w:rsid w:val="00D61798"/>
    <w:rsid w:val="00D6188D"/>
    <w:rsid w:val="00D623AB"/>
    <w:rsid w:val="00D62482"/>
    <w:rsid w:val="00D625C4"/>
    <w:rsid w:val="00D62BF7"/>
    <w:rsid w:val="00D635BF"/>
    <w:rsid w:val="00D63670"/>
    <w:rsid w:val="00D638D0"/>
    <w:rsid w:val="00D63912"/>
    <w:rsid w:val="00D63FAA"/>
    <w:rsid w:val="00D6475A"/>
    <w:rsid w:val="00D64907"/>
    <w:rsid w:val="00D64945"/>
    <w:rsid w:val="00D64B3E"/>
    <w:rsid w:val="00D65002"/>
    <w:rsid w:val="00D6526B"/>
    <w:rsid w:val="00D6534A"/>
    <w:rsid w:val="00D65744"/>
    <w:rsid w:val="00D658BC"/>
    <w:rsid w:val="00D65B5E"/>
    <w:rsid w:val="00D65E51"/>
    <w:rsid w:val="00D65E94"/>
    <w:rsid w:val="00D663B6"/>
    <w:rsid w:val="00D66534"/>
    <w:rsid w:val="00D6683E"/>
    <w:rsid w:val="00D66BEF"/>
    <w:rsid w:val="00D66C57"/>
    <w:rsid w:val="00D67336"/>
    <w:rsid w:val="00D67543"/>
    <w:rsid w:val="00D679DF"/>
    <w:rsid w:val="00D67AD7"/>
    <w:rsid w:val="00D67CA3"/>
    <w:rsid w:val="00D67CDD"/>
    <w:rsid w:val="00D67FD1"/>
    <w:rsid w:val="00D7034C"/>
    <w:rsid w:val="00D703A2"/>
    <w:rsid w:val="00D70535"/>
    <w:rsid w:val="00D70A30"/>
    <w:rsid w:val="00D7117E"/>
    <w:rsid w:val="00D717E6"/>
    <w:rsid w:val="00D7197C"/>
    <w:rsid w:val="00D7275B"/>
    <w:rsid w:val="00D72781"/>
    <w:rsid w:val="00D72957"/>
    <w:rsid w:val="00D72DFF"/>
    <w:rsid w:val="00D73768"/>
    <w:rsid w:val="00D73BA7"/>
    <w:rsid w:val="00D74038"/>
    <w:rsid w:val="00D749EC"/>
    <w:rsid w:val="00D74C6A"/>
    <w:rsid w:val="00D74DE8"/>
    <w:rsid w:val="00D750BB"/>
    <w:rsid w:val="00D75377"/>
    <w:rsid w:val="00D76522"/>
    <w:rsid w:val="00D768A9"/>
    <w:rsid w:val="00D76CB2"/>
    <w:rsid w:val="00D76DD6"/>
    <w:rsid w:val="00D76EF0"/>
    <w:rsid w:val="00D76F4D"/>
    <w:rsid w:val="00D77159"/>
    <w:rsid w:val="00D771C9"/>
    <w:rsid w:val="00D77AB8"/>
    <w:rsid w:val="00D801FD"/>
    <w:rsid w:val="00D80401"/>
    <w:rsid w:val="00D805CB"/>
    <w:rsid w:val="00D813AB"/>
    <w:rsid w:val="00D81655"/>
    <w:rsid w:val="00D82666"/>
    <w:rsid w:val="00D82773"/>
    <w:rsid w:val="00D82811"/>
    <w:rsid w:val="00D8287F"/>
    <w:rsid w:val="00D82B31"/>
    <w:rsid w:val="00D8353C"/>
    <w:rsid w:val="00D83A41"/>
    <w:rsid w:val="00D83CF1"/>
    <w:rsid w:val="00D8405A"/>
    <w:rsid w:val="00D8412E"/>
    <w:rsid w:val="00D84207"/>
    <w:rsid w:val="00D84603"/>
    <w:rsid w:val="00D84622"/>
    <w:rsid w:val="00D84841"/>
    <w:rsid w:val="00D84867"/>
    <w:rsid w:val="00D84D98"/>
    <w:rsid w:val="00D84E69"/>
    <w:rsid w:val="00D8519E"/>
    <w:rsid w:val="00D8549A"/>
    <w:rsid w:val="00D85C4D"/>
    <w:rsid w:val="00D86897"/>
    <w:rsid w:val="00D871B7"/>
    <w:rsid w:val="00D87498"/>
    <w:rsid w:val="00D8759C"/>
    <w:rsid w:val="00D87EE1"/>
    <w:rsid w:val="00D90311"/>
    <w:rsid w:val="00D91905"/>
    <w:rsid w:val="00D91908"/>
    <w:rsid w:val="00D91C24"/>
    <w:rsid w:val="00D91D33"/>
    <w:rsid w:val="00D926C5"/>
    <w:rsid w:val="00D92894"/>
    <w:rsid w:val="00D92D7C"/>
    <w:rsid w:val="00D9382D"/>
    <w:rsid w:val="00D93A3E"/>
    <w:rsid w:val="00D93BA9"/>
    <w:rsid w:val="00D93F9A"/>
    <w:rsid w:val="00D941DF"/>
    <w:rsid w:val="00D94217"/>
    <w:rsid w:val="00D942EB"/>
    <w:rsid w:val="00D948A1"/>
    <w:rsid w:val="00D95245"/>
    <w:rsid w:val="00D9623C"/>
    <w:rsid w:val="00D966B4"/>
    <w:rsid w:val="00D96A64"/>
    <w:rsid w:val="00D96D51"/>
    <w:rsid w:val="00D96F6D"/>
    <w:rsid w:val="00D96FC5"/>
    <w:rsid w:val="00D97719"/>
    <w:rsid w:val="00D9778D"/>
    <w:rsid w:val="00D97983"/>
    <w:rsid w:val="00D97FDA"/>
    <w:rsid w:val="00DA02B9"/>
    <w:rsid w:val="00DA03B4"/>
    <w:rsid w:val="00DA0603"/>
    <w:rsid w:val="00DA0CA0"/>
    <w:rsid w:val="00DA0E8F"/>
    <w:rsid w:val="00DA1027"/>
    <w:rsid w:val="00DA1455"/>
    <w:rsid w:val="00DA151C"/>
    <w:rsid w:val="00DA168E"/>
    <w:rsid w:val="00DA1B02"/>
    <w:rsid w:val="00DA209E"/>
    <w:rsid w:val="00DA225B"/>
    <w:rsid w:val="00DA226A"/>
    <w:rsid w:val="00DA29E8"/>
    <w:rsid w:val="00DA2A7B"/>
    <w:rsid w:val="00DA2AA1"/>
    <w:rsid w:val="00DA2D54"/>
    <w:rsid w:val="00DA2DE5"/>
    <w:rsid w:val="00DA3140"/>
    <w:rsid w:val="00DA3188"/>
    <w:rsid w:val="00DA344E"/>
    <w:rsid w:val="00DA3E12"/>
    <w:rsid w:val="00DA3F8D"/>
    <w:rsid w:val="00DA403C"/>
    <w:rsid w:val="00DA41B8"/>
    <w:rsid w:val="00DA4B4E"/>
    <w:rsid w:val="00DA52D2"/>
    <w:rsid w:val="00DA5BDF"/>
    <w:rsid w:val="00DA5E22"/>
    <w:rsid w:val="00DA6583"/>
    <w:rsid w:val="00DA6BED"/>
    <w:rsid w:val="00DA7DED"/>
    <w:rsid w:val="00DA7EEB"/>
    <w:rsid w:val="00DB00CD"/>
    <w:rsid w:val="00DB0EE3"/>
    <w:rsid w:val="00DB1010"/>
    <w:rsid w:val="00DB1213"/>
    <w:rsid w:val="00DB1AC0"/>
    <w:rsid w:val="00DB1B51"/>
    <w:rsid w:val="00DB1CB7"/>
    <w:rsid w:val="00DB1D55"/>
    <w:rsid w:val="00DB1FDD"/>
    <w:rsid w:val="00DB207A"/>
    <w:rsid w:val="00DB23C5"/>
    <w:rsid w:val="00DB2847"/>
    <w:rsid w:val="00DB2980"/>
    <w:rsid w:val="00DB3252"/>
    <w:rsid w:val="00DB3328"/>
    <w:rsid w:val="00DB3398"/>
    <w:rsid w:val="00DB3417"/>
    <w:rsid w:val="00DB36BD"/>
    <w:rsid w:val="00DB3883"/>
    <w:rsid w:val="00DB43E1"/>
    <w:rsid w:val="00DB4640"/>
    <w:rsid w:val="00DB46ED"/>
    <w:rsid w:val="00DB482A"/>
    <w:rsid w:val="00DB4CB1"/>
    <w:rsid w:val="00DB4EA6"/>
    <w:rsid w:val="00DB4FD4"/>
    <w:rsid w:val="00DB5089"/>
    <w:rsid w:val="00DB5968"/>
    <w:rsid w:val="00DB5C09"/>
    <w:rsid w:val="00DB61CF"/>
    <w:rsid w:val="00DB63B4"/>
    <w:rsid w:val="00DB67CE"/>
    <w:rsid w:val="00DB6B4B"/>
    <w:rsid w:val="00DB6BB0"/>
    <w:rsid w:val="00DB6CEA"/>
    <w:rsid w:val="00DB71A0"/>
    <w:rsid w:val="00DB7431"/>
    <w:rsid w:val="00DB75BD"/>
    <w:rsid w:val="00DB7817"/>
    <w:rsid w:val="00DB7E21"/>
    <w:rsid w:val="00DC02B0"/>
    <w:rsid w:val="00DC076A"/>
    <w:rsid w:val="00DC1D40"/>
    <w:rsid w:val="00DC22CF"/>
    <w:rsid w:val="00DC2915"/>
    <w:rsid w:val="00DC2A9E"/>
    <w:rsid w:val="00DC2D3F"/>
    <w:rsid w:val="00DC2FF3"/>
    <w:rsid w:val="00DC3499"/>
    <w:rsid w:val="00DC3557"/>
    <w:rsid w:val="00DC35FF"/>
    <w:rsid w:val="00DC36AB"/>
    <w:rsid w:val="00DC391E"/>
    <w:rsid w:val="00DC3A03"/>
    <w:rsid w:val="00DC3B89"/>
    <w:rsid w:val="00DC3BA8"/>
    <w:rsid w:val="00DC3EEC"/>
    <w:rsid w:val="00DC4B97"/>
    <w:rsid w:val="00DC4D42"/>
    <w:rsid w:val="00DC526A"/>
    <w:rsid w:val="00DC53E7"/>
    <w:rsid w:val="00DC5B48"/>
    <w:rsid w:val="00DC5C84"/>
    <w:rsid w:val="00DC6B8A"/>
    <w:rsid w:val="00DC6BD4"/>
    <w:rsid w:val="00DC6D1E"/>
    <w:rsid w:val="00DC6D20"/>
    <w:rsid w:val="00DC7E1B"/>
    <w:rsid w:val="00DD070C"/>
    <w:rsid w:val="00DD0736"/>
    <w:rsid w:val="00DD0763"/>
    <w:rsid w:val="00DD082A"/>
    <w:rsid w:val="00DD0DDE"/>
    <w:rsid w:val="00DD173A"/>
    <w:rsid w:val="00DD1AB2"/>
    <w:rsid w:val="00DD1B7B"/>
    <w:rsid w:val="00DD1DDC"/>
    <w:rsid w:val="00DD1E54"/>
    <w:rsid w:val="00DD2817"/>
    <w:rsid w:val="00DD2867"/>
    <w:rsid w:val="00DD299E"/>
    <w:rsid w:val="00DD29CE"/>
    <w:rsid w:val="00DD2FA9"/>
    <w:rsid w:val="00DD37BE"/>
    <w:rsid w:val="00DD3B7E"/>
    <w:rsid w:val="00DD3DE1"/>
    <w:rsid w:val="00DD3E6B"/>
    <w:rsid w:val="00DD3EBA"/>
    <w:rsid w:val="00DD42DE"/>
    <w:rsid w:val="00DD4D82"/>
    <w:rsid w:val="00DD4F2B"/>
    <w:rsid w:val="00DD4FD4"/>
    <w:rsid w:val="00DD50FE"/>
    <w:rsid w:val="00DD51BC"/>
    <w:rsid w:val="00DD561A"/>
    <w:rsid w:val="00DD5788"/>
    <w:rsid w:val="00DD5DE2"/>
    <w:rsid w:val="00DD5FF1"/>
    <w:rsid w:val="00DD624C"/>
    <w:rsid w:val="00DD6275"/>
    <w:rsid w:val="00DD64A4"/>
    <w:rsid w:val="00DD67F4"/>
    <w:rsid w:val="00DD6910"/>
    <w:rsid w:val="00DD6ADC"/>
    <w:rsid w:val="00DD6B1A"/>
    <w:rsid w:val="00DD6D38"/>
    <w:rsid w:val="00DD6E1E"/>
    <w:rsid w:val="00DD6F67"/>
    <w:rsid w:val="00DD7045"/>
    <w:rsid w:val="00DD7167"/>
    <w:rsid w:val="00DD74BC"/>
    <w:rsid w:val="00DD7B6E"/>
    <w:rsid w:val="00DD7B84"/>
    <w:rsid w:val="00DD7C4D"/>
    <w:rsid w:val="00DD7CA8"/>
    <w:rsid w:val="00DD7E7A"/>
    <w:rsid w:val="00DE0021"/>
    <w:rsid w:val="00DE0238"/>
    <w:rsid w:val="00DE0615"/>
    <w:rsid w:val="00DE06A2"/>
    <w:rsid w:val="00DE0A52"/>
    <w:rsid w:val="00DE0FAE"/>
    <w:rsid w:val="00DE100D"/>
    <w:rsid w:val="00DE1104"/>
    <w:rsid w:val="00DE1C0E"/>
    <w:rsid w:val="00DE25D6"/>
    <w:rsid w:val="00DE28B7"/>
    <w:rsid w:val="00DE3309"/>
    <w:rsid w:val="00DE34F1"/>
    <w:rsid w:val="00DE35B3"/>
    <w:rsid w:val="00DE3C1B"/>
    <w:rsid w:val="00DE4190"/>
    <w:rsid w:val="00DE42AA"/>
    <w:rsid w:val="00DE46EC"/>
    <w:rsid w:val="00DE4777"/>
    <w:rsid w:val="00DE4BC2"/>
    <w:rsid w:val="00DE4FAB"/>
    <w:rsid w:val="00DE5006"/>
    <w:rsid w:val="00DE50D2"/>
    <w:rsid w:val="00DE5246"/>
    <w:rsid w:val="00DE53E8"/>
    <w:rsid w:val="00DE57BF"/>
    <w:rsid w:val="00DE5A08"/>
    <w:rsid w:val="00DE5AE8"/>
    <w:rsid w:val="00DE5C0D"/>
    <w:rsid w:val="00DE5F4D"/>
    <w:rsid w:val="00DE5F54"/>
    <w:rsid w:val="00DE610C"/>
    <w:rsid w:val="00DE615A"/>
    <w:rsid w:val="00DE6479"/>
    <w:rsid w:val="00DE689E"/>
    <w:rsid w:val="00DE699F"/>
    <w:rsid w:val="00DE6C57"/>
    <w:rsid w:val="00DE7264"/>
    <w:rsid w:val="00DE743C"/>
    <w:rsid w:val="00DE7773"/>
    <w:rsid w:val="00DE7DC7"/>
    <w:rsid w:val="00DE7E0B"/>
    <w:rsid w:val="00DE7E37"/>
    <w:rsid w:val="00DE7FB5"/>
    <w:rsid w:val="00DF045C"/>
    <w:rsid w:val="00DF050C"/>
    <w:rsid w:val="00DF0A31"/>
    <w:rsid w:val="00DF0ECA"/>
    <w:rsid w:val="00DF12BF"/>
    <w:rsid w:val="00DF1E43"/>
    <w:rsid w:val="00DF1F5B"/>
    <w:rsid w:val="00DF23B0"/>
    <w:rsid w:val="00DF2D3B"/>
    <w:rsid w:val="00DF2DDF"/>
    <w:rsid w:val="00DF39E3"/>
    <w:rsid w:val="00DF3A98"/>
    <w:rsid w:val="00DF3B32"/>
    <w:rsid w:val="00DF3CE2"/>
    <w:rsid w:val="00DF3F8D"/>
    <w:rsid w:val="00DF41C6"/>
    <w:rsid w:val="00DF4275"/>
    <w:rsid w:val="00DF4944"/>
    <w:rsid w:val="00DF4D93"/>
    <w:rsid w:val="00DF546A"/>
    <w:rsid w:val="00DF57CF"/>
    <w:rsid w:val="00DF5BF6"/>
    <w:rsid w:val="00DF5D8D"/>
    <w:rsid w:val="00DF5F08"/>
    <w:rsid w:val="00DF6135"/>
    <w:rsid w:val="00DF6256"/>
    <w:rsid w:val="00DF6452"/>
    <w:rsid w:val="00DF6560"/>
    <w:rsid w:val="00DF67AA"/>
    <w:rsid w:val="00DF6827"/>
    <w:rsid w:val="00DF6A8B"/>
    <w:rsid w:val="00DF6AB6"/>
    <w:rsid w:val="00DF7032"/>
    <w:rsid w:val="00DF7447"/>
    <w:rsid w:val="00DF7614"/>
    <w:rsid w:val="00DF7658"/>
    <w:rsid w:val="00DF7898"/>
    <w:rsid w:val="00DF7922"/>
    <w:rsid w:val="00DF79EA"/>
    <w:rsid w:val="00DF7FB7"/>
    <w:rsid w:val="00E00F14"/>
    <w:rsid w:val="00E011B4"/>
    <w:rsid w:val="00E0138E"/>
    <w:rsid w:val="00E01C0E"/>
    <w:rsid w:val="00E01E73"/>
    <w:rsid w:val="00E02060"/>
    <w:rsid w:val="00E02118"/>
    <w:rsid w:val="00E0251A"/>
    <w:rsid w:val="00E02D54"/>
    <w:rsid w:val="00E02FCD"/>
    <w:rsid w:val="00E033B7"/>
    <w:rsid w:val="00E033D9"/>
    <w:rsid w:val="00E037D1"/>
    <w:rsid w:val="00E039AE"/>
    <w:rsid w:val="00E039F0"/>
    <w:rsid w:val="00E03A8E"/>
    <w:rsid w:val="00E03B3B"/>
    <w:rsid w:val="00E03E03"/>
    <w:rsid w:val="00E03F28"/>
    <w:rsid w:val="00E03FA7"/>
    <w:rsid w:val="00E04396"/>
    <w:rsid w:val="00E044A5"/>
    <w:rsid w:val="00E045F5"/>
    <w:rsid w:val="00E049BD"/>
    <w:rsid w:val="00E04CC8"/>
    <w:rsid w:val="00E05153"/>
    <w:rsid w:val="00E05C6E"/>
    <w:rsid w:val="00E05DDF"/>
    <w:rsid w:val="00E05FE7"/>
    <w:rsid w:val="00E06C2F"/>
    <w:rsid w:val="00E0707B"/>
    <w:rsid w:val="00E07097"/>
    <w:rsid w:val="00E070B6"/>
    <w:rsid w:val="00E078D8"/>
    <w:rsid w:val="00E07AC2"/>
    <w:rsid w:val="00E07F0D"/>
    <w:rsid w:val="00E1000C"/>
    <w:rsid w:val="00E102EB"/>
    <w:rsid w:val="00E1053D"/>
    <w:rsid w:val="00E10DE2"/>
    <w:rsid w:val="00E114BA"/>
    <w:rsid w:val="00E11B5C"/>
    <w:rsid w:val="00E11E48"/>
    <w:rsid w:val="00E120C8"/>
    <w:rsid w:val="00E1227E"/>
    <w:rsid w:val="00E12CB1"/>
    <w:rsid w:val="00E132B2"/>
    <w:rsid w:val="00E1338D"/>
    <w:rsid w:val="00E138DC"/>
    <w:rsid w:val="00E141F4"/>
    <w:rsid w:val="00E14310"/>
    <w:rsid w:val="00E1497B"/>
    <w:rsid w:val="00E14B2A"/>
    <w:rsid w:val="00E14F43"/>
    <w:rsid w:val="00E15000"/>
    <w:rsid w:val="00E15494"/>
    <w:rsid w:val="00E154DB"/>
    <w:rsid w:val="00E15656"/>
    <w:rsid w:val="00E15663"/>
    <w:rsid w:val="00E157F2"/>
    <w:rsid w:val="00E15B78"/>
    <w:rsid w:val="00E15C64"/>
    <w:rsid w:val="00E15EA3"/>
    <w:rsid w:val="00E15EFE"/>
    <w:rsid w:val="00E15F2B"/>
    <w:rsid w:val="00E1649D"/>
    <w:rsid w:val="00E164B3"/>
    <w:rsid w:val="00E1679D"/>
    <w:rsid w:val="00E16A38"/>
    <w:rsid w:val="00E175C9"/>
    <w:rsid w:val="00E17B27"/>
    <w:rsid w:val="00E17BA3"/>
    <w:rsid w:val="00E201F6"/>
    <w:rsid w:val="00E20B08"/>
    <w:rsid w:val="00E20B7A"/>
    <w:rsid w:val="00E20DB2"/>
    <w:rsid w:val="00E20E50"/>
    <w:rsid w:val="00E21555"/>
    <w:rsid w:val="00E21ABE"/>
    <w:rsid w:val="00E21C33"/>
    <w:rsid w:val="00E21D1D"/>
    <w:rsid w:val="00E21D4D"/>
    <w:rsid w:val="00E21E42"/>
    <w:rsid w:val="00E229D9"/>
    <w:rsid w:val="00E23D56"/>
    <w:rsid w:val="00E23EC4"/>
    <w:rsid w:val="00E24174"/>
    <w:rsid w:val="00E24320"/>
    <w:rsid w:val="00E24399"/>
    <w:rsid w:val="00E24C45"/>
    <w:rsid w:val="00E251D0"/>
    <w:rsid w:val="00E251E0"/>
    <w:rsid w:val="00E260E2"/>
    <w:rsid w:val="00E26430"/>
    <w:rsid w:val="00E26497"/>
    <w:rsid w:val="00E266BB"/>
    <w:rsid w:val="00E266F6"/>
    <w:rsid w:val="00E26735"/>
    <w:rsid w:val="00E26CDC"/>
    <w:rsid w:val="00E26F72"/>
    <w:rsid w:val="00E274C6"/>
    <w:rsid w:val="00E27665"/>
    <w:rsid w:val="00E2779D"/>
    <w:rsid w:val="00E277DD"/>
    <w:rsid w:val="00E2781A"/>
    <w:rsid w:val="00E279F3"/>
    <w:rsid w:val="00E27A32"/>
    <w:rsid w:val="00E27C92"/>
    <w:rsid w:val="00E27D50"/>
    <w:rsid w:val="00E27DCE"/>
    <w:rsid w:val="00E27EFF"/>
    <w:rsid w:val="00E30235"/>
    <w:rsid w:val="00E30DAF"/>
    <w:rsid w:val="00E30FF4"/>
    <w:rsid w:val="00E3103E"/>
    <w:rsid w:val="00E312DB"/>
    <w:rsid w:val="00E3179C"/>
    <w:rsid w:val="00E31879"/>
    <w:rsid w:val="00E31935"/>
    <w:rsid w:val="00E3224F"/>
    <w:rsid w:val="00E322BD"/>
    <w:rsid w:val="00E32559"/>
    <w:rsid w:val="00E32875"/>
    <w:rsid w:val="00E32922"/>
    <w:rsid w:val="00E32E05"/>
    <w:rsid w:val="00E32E0F"/>
    <w:rsid w:val="00E33064"/>
    <w:rsid w:val="00E334E0"/>
    <w:rsid w:val="00E335E0"/>
    <w:rsid w:val="00E33D59"/>
    <w:rsid w:val="00E3417A"/>
    <w:rsid w:val="00E34438"/>
    <w:rsid w:val="00E3444B"/>
    <w:rsid w:val="00E347A2"/>
    <w:rsid w:val="00E347D4"/>
    <w:rsid w:val="00E349D3"/>
    <w:rsid w:val="00E34B94"/>
    <w:rsid w:val="00E35068"/>
    <w:rsid w:val="00E35460"/>
    <w:rsid w:val="00E354C4"/>
    <w:rsid w:val="00E35550"/>
    <w:rsid w:val="00E36414"/>
    <w:rsid w:val="00E369EE"/>
    <w:rsid w:val="00E37184"/>
    <w:rsid w:val="00E371A1"/>
    <w:rsid w:val="00E3786D"/>
    <w:rsid w:val="00E37A26"/>
    <w:rsid w:val="00E37F17"/>
    <w:rsid w:val="00E40112"/>
    <w:rsid w:val="00E40319"/>
    <w:rsid w:val="00E405E3"/>
    <w:rsid w:val="00E41096"/>
    <w:rsid w:val="00E41233"/>
    <w:rsid w:val="00E412D6"/>
    <w:rsid w:val="00E4130A"/>
    <w:rsid w:val="00E41399"/>
    <w:rsid w:val="00E41833"/>
    <w:rsid w:val="00E41F77"/>
    <w:rsid w:val="00E41FB7"/>
    <w:rsid w:val="00E42628"/>
    <w:rsid w:val="00E42781"/>
    <w:rsid w:val="00E4285A"/>
    <w:rsid w:val="00E42869"/>
    <w:rsid w:val="00E42BCC"/>
    <w:rsid w:val="00E4323A"/>
    <w:rsid w:val="00E43305"/>
    <w:rsid w:val="00E43E0C"/>
    <w:rsid w:val="00E43F55"/>
    <w:rsid w:val="00E440F0"/>
    <w:rsid w:val="00E44546"/>
    <w:rsid w:val="00E449DA"/>
    <w:rsid w:val="00E44EA3"/>
    <w:rsid w:val="00E45302"/>
    <w:rsid w:val="00E459DE"/>
    <w:rsid w:val="00E45AE0"/>
    <w:rsid w:val="00E45CD7"/>
    <w:rsid w:val="00E465C7"/>
    <w:rsid w:val="00E46988"/>
    <w:rsid w:val="00E469C2"/>
    <w:rsid w:val="00E46B3F"/>
    <w:rsid w:val="00E46CD3"/>
    <w:rsid w:val="00E470F7"/>
    <w:rsid w:val="00E47132"/>
    <w:rsid w:val="00E476D1"/>
    <w:rsid w:val="00E4786F"/>
    <w:rsid w:val="00E47CFA"/>
    <w:rsid w:val="00E50026"/>
    <w:rsid w:val="00E50112"/>
    <w:rsid w:val="00E503DD"/>
    <w:rsid w:val="00E51696"/>
    <w:rsid w:val="00E51E0E"/>
    <w:rsid w:val="00E523CA"/>
    <w:rsid w:val="00E52660"/>
    <w:rsid w:val="00E526CF"/>
    <w:rsid w:val="00E52946"/>
    <w:rsid w:val="00E52B3F"/>
    <w:rsid w:val="00E52BFA"/>
    <w:rsid w:val="00E52C8D"/>
    <w:rsid w:val="00E53078"/>
    <w:rsid w:val="00E537C4"/>
    <w:rsid w:val="00E537DC"/>
    <w:rsid w:val="00E53828"/>
    <w:rsid w:val="00E53BEE"/>
    <w:rsid w:val="00E53C7E"/>
    <w:rsid w:val="00E53DA7"/>
    <w:rsid w:val="00E53DAC"/>
    <w:rsid w:val="00E53F89"/>
    <w:rsid w:val="00E54060"/>
    <w:rsid w:val="00E543E6"/>
    <w:rsid w:val="00E544E0"/>
    <w:rsid w:val="00E54B4E"/>
    <w:rsid w:val="00E55335"/>
    <w:rsid w:val="00E558D0"/>
    <w:rsid w:val="00E559E8"/>
    <w:rsid w:val="00E55FBB"/>
    <w:rsid w:val="00E567C9"/>
    <w:rsid w:val="00E57018"/>
    <w:rsid w:val="00E57043"/>
    <w:rsid w:val="00E57057"/>
    <w:rsid w:val="00E57196"/>
    <w:rsid w:val="00E572D3"/>
    <w:rsid w:val="00E5781A"/>
    <w:rsid w:val="00E6016E"/>
    <w:rsid w:val="00E60246"/>
    <w:rsid w:val="00E60823"/>
    <w:rsid w:val="00E613DA"/>
    <w:rsid w:val="00E61890"/>
    <w:rsid w:val="00E61E39"/>
    <w:rsid w:val="00E6250C"/>
    <w:rsid w:val="00E62580"/>
    <w:rsid w:val="00E62BEA"/>
    <w:rsid w:val="00E62E90"/>
    <w:rsid w:val="00E62F4E"/>
    <w:rsid w:val="00E63081"/>
    <w:rsid w:val="00E6322A"/>
    <w:rsid w:val="00E63279"/>
    <w:rsid w:val="00E63587"/>
    <w:rsid w:val="00E63BAB"/>
    <w:rsid w:val="00E63C30"/>
    <w:rsid w:val="00E64666"/>
    <w:rsid w:val="00E64790"/>
    <w:rsid w:val="00E64D7D"/>
    <w:rsid w:val="00E64FFE"/>
    <w:rsid w:val="00E6510D"/>
    <w:rsid w:val="00E65C51"/>
    <w:rsid w:val="00E661CB"/>
    <w:rsid w:val="00E662E2"/>
    <w:rsid w:val="00E66692"/>
    <w:rsid w:val="00E668D7"/>
    <w:rsid w:val="00E66994"/>
    <w:rsid w:val="00E66A24"/>
    <w:rsid w:val="00E66A8A"/>
    <w:rsid w:val="00E66B94"/>
    <w:rsid w:val="00E66D3F"/>
    <w:rsid w:val="00E67037"/>
    <w:rsid w:val="00E672A5"/>
    <w:rsid w:val="00E674BD"/>
    <w:rsid w:val="00E67B55"/>
    <w:rsid w:val="00E67BC8"/>
    <w:rsid w:val="00E67E17"/>
    <w:rsid w:val="00E702E7"/>
    <w:rsid w:val="00E705B9"/>
    <w:rsid w:val="00E705DF"/>
    <w:rsid w:val="00E7089B"/>
    <w:rsid w:val="00E70A84"/>
    <w:rsid w:val="00E70E29"/>
    <w:rsid w:val="00E70FAE"/>
    <w:rsid w:val="00E71016"/>
    <w:rsid w:val="00E7178B"/>
    <w:rsid w:val="00E71850"/>
    <w:rsid w:val="00E7241B"/>
    <w:rsid w:val="00E72593"/>
    <w:rsid w:val="00E726E2"/>
    <w:rsid w:val="00E7289C"/>
    <w:rsid w:val="00E72A75"/>
    <w:rsid w:val="00E72A90"/>
    <w:rsid w:val="00E72D2C"/>
    <w:rsid w:val="00E73731"/>
    <w:rsid w:val="00E737C6"/>
    <w:rsid w:val="00E7395E"/>
    <w:rsid w:val="00E739F6"/>
    <w:rsid w:val="00E73A29"/>
    <w:rsid w:val="00E73A33"/>
    <w:rsid w:val="00E73B3E"/>
    <w:rsid w:val="00E73BFC"/>
    <w:rsid w:val="00E73ECE"/>
    <w:rsid w:val="00E74727"/>
    <w:rsid w:val="00E749B9"/>
    <w:rsid w:val="00E74BD5"/>
    <w:rsid w:val="00E750CA"/>
    <w:rsid w:val="00E752E0"/>
    <w:rsid w:val="00E7553E"/>
    <w:rsid w:val="00E75588"/>
    <w:rsid w:val="00E755C3"/>
    <w:rsid w:val="00E755D2"/>
    <w:rsid w:val="00E7592A"/>
    <w:rsid w:val="00E75AC9"/>
    <w:rsid w:val="00E75AFC"/>
    <w:rsid w:val="00E75F6D"/>
    <w:rsid w:val="00E76287"/>
    <w:rsid w:val="00E764E2"/>
    <w:rsid w:val="00E765B9"/>
    <w:rsid w:val="00E766D9"/>
    <w:rsid w:val="00E76CCC"/>
    <w:rsid w:val="00E77155"/>
    <w:rsid w:val="00E771D9"/>
    <w:rsid w:val="00E775FF"/>
    <w:rsid w:val="00E77760"/>
    <w:rsid w:val="00E77A16"/>
    <w:rsid w:val="00E77DA8"/>
    <w:rsid w:val="00E77EC6"/>
    <w:rsid w:val="00E801EE"/>
    <w:rsid w:val="00E80647"/>
    <w:rsid w:val="00E80D25"/>
    <w:rsid w:val="00E8110B"/>
    <w:rsid w:val="00E81A10"/>
    <w:rsid w:val="00E81A2D"/>
    <w:rsid w:val="00E81A36"/>
    <w:rsid w:val="00E81D11"/>
    <w:rsid w:val="00E8208D"/>
    <w:rsid w:val="00E820FA"/>
    <w:rsid w:val="00E82170"/>
    <w:rsid w:val="00E82444"/>
    <w:rsid w:val="00E82AE9"/>
    <w:rsid w:val="00E82DED"/>
    <w:rsid w:val="00E83128"/>
    <w:rsid w:val="00E8318D"/>
    <w:rsid w:val="00E8337D"/>
    <w:rsid w:val="00E837DA"/>
    <w:rsid w:val="00E839A2"/>
    <w:rsid w:val="00E839DA"/>
    <w:rsid w:val="00E83DC1"/>
    <w:rsid w:val="00E83EB8"/>
    <w:rsid w:val="00E8407B"/>
    <w:rsid w:val="00E846DF"/>
    <w:rsid w:val="00E848DA"/>
    <w:rsid w:val="00E84E29"/>
    <w:rsid w:val="00E8525E"/>
    <w:rsid w:val="00E8599B"/>
    <w:rsid w:val="00E85C4D"/>
    <w:rsid w:val="00E85FBC"/>
    <w:rsid w:val="00E8610F"/>
    <w:rsid w:val="00E86972"/>
    <w:rsid w:val="00E86D63"/>
    <w:rsid w:val="00E86F13"/>
    <w:rsid w:val="00E86FE0"/>
    <w:rsid w:val="00E87152"/>
    <w:rsid w:val="00E877FF"/>
    <w:rsid w:val="00E878EE"/>
    <w:rsid w:val="00E87B72"/>
    <w:rsid w:val="00E87ED4"/>
    <w:rsid w:val="00E906F4"/>
    <w:rsid w:val="00E908D7"/>
    <w:rsid w:val="00E90AA3"/>
    <w:rsid w:val="00E90B4F"/>
    <w:rsid w:val="00E90CFA"/>
    <w:rsid w:val="00E90FAC"/>
    <w:rsid w:val="00E91447"/>
    <w:rsid w:val="00E91475"/>
    <w:rsid w:val="00E915E3"/>
    <w:rsid w:val="00E91F49"/>
    <w:rsid w:val="00E92375"/>
    <w:rsid w:val="00E92773"/>
    <w:rsid w:val="00E92C4E"/>
    <w:rsid w:val="00E92C82"/>
    <w:rsid w:val="00E93897"/>
    <w:rsid w:val="00E93927"/>
    <w:rsid w:val="00E93D4F"/>
    <w:rsid w:val="00E9406A"/>
    <w:rsid w:val="00E943B1"/>
    <w:rsid w:val="00E9474C"/>
    <w:rsid w:val="00E94B36"/>
    <w:rsid w:val="00E94B75"/>
    <w:rsid w:val="00E94DA2"/>
    <w:rsid w:val="00E94FA5"/>
    <w:rsid w:val="00E9512F"/>
    <w:rsid w:val="00E9547A"/>
    <w:rsid w:val="00E9574B"/>
    <w:rsid w:val="00E95E6E"/>
    <w:rsid w:val="00E962BF"/>
    <w:rsid w:val="00E963B5"/>
    <w:rsid w:val="00E968FE"/>
    <w:rsid w:val="00E96D45"/>
    <w:rsid w:val="00E96E8C"/>
    <w:rsid w:val="00E97611"/>
    <w:rsid w:val="00E97673"/>
    <w:rsid w:val="00E97B4B"/>
    <w:rsid w:val="00E97BD9"/>
    <w:rsid w:val="00E97ECA"/>
    <w:rsid w:val="00EA0190"/>
    <w:rsid w:val="00EA05C4"/>
    <w:rsid w:val="00EA0797"/>
    <w:rsid w:val="00EA09F1"/>
    <w:rsid w:val="00EA0C1B"/>
    <w:rsid w:val="00EA0F3E"/>
    <w:rsid w:val="00EA16C8"/>
    <w:rsid w:val="00EA1D7C"/>
    <w:rsid w:val="00EA1E20"/>
    <w:rsid w:val="00EA21CE"/>
    <w:rsid w:val="00EA239D"/>
    <w:rsid w:val="00EA353E"/>
    <w:rsid w:val="00EA36C2"/>
    <w:rsid w:val="00EA371F"/>
    <w:rsid w:val="00EA375F"/>
    <w:rsid w:val="00EA3983"/>
    <w:rsid w:val="00EA39E5"/>
    <w:rsid w:val="00EA3B64"/>
    <w:rsid w:val="00EA3F02"/>
    <w:rsid w:val="00EA44A0"/>
    <w:rsid w:val="00EA45D9"/>
    <w:rsid w:val="00EA4698"/>
    <w:rsid w:val="00EA47B7"/>
    <w:rsid w:val="00EA48B1"/>
    <w:rsid w:val="00EA4CE2"/>
    <w:rsid w:val="00EA51D6"/>
    <w:rsid w:val="00EA52B4"/>
    <w:rsid w:val="00EA5959"/>
    <w:rsid w:val="00EA626B"/>
    <w:rsid w:val="00EA68EF"/>
    <w:rsid w:val="00EA7398"/>
    <w:rsid w:val="00EA742D"/>
    <w:rsid w:val="00EA796E"/>
    <w:rsid w:val="00EA7AEA"/>
    <w:rsid w:val="00EA7E72"/>
    <w:rsid w:val="00EA7F63"/>
    <w:rsid w:val="00EB0CAD"/>
    <w:rsid w:val="00EB0D1D"/>
    <w:rsid w:val="00EB0D92"/>
    <w:rsid w:val="00EB0EF4"/>
    <w:rsid w:val="00EB124C"/>
    <w:rsid w:val="00EB1327"/>
    <w:rsid w:val="00EB13BA"/>
    <w:rsid w:val="00EB14FA"/>
    <w:rsid w:val="00EB18F6"/>
    <w:rsid w:val="00EB1C6A"/>
    <w:rsid w:val="00EB1F74"/>
    <w:rsid w:val="00EB2B2E"/>
    <w:rsid w:val="00EB2EBE"/>
    <w:rsid w:val="00EB3151"/>
    <w:rsid w:val="00EB3692"/>
    <w:rsid w:val="00EB3A14"/>
    <w:rsid w:val="00EB4197"/>
    <w:rsid w:val="00EB41CB"/>
    <w:rsid w:val="00EB42EA"/>
    <w:rsid w:val="00EB4756"/>
    <w:rsid w:val="00EB4856"/>
    <w:rsid w:val="00EB4934"/>
    <w:rsid w:val="00EB4C59"/>
    <w:rsid w:val="00EB4FBF"/>
    <w:rsid w:val="00EB5031"/>
    <w:rsid w:val="00EB5461"/>
    <w:rsid w:val="00EB599F"/>
    <w:rsid w:val="00EB62F4"/>
    <w:rsid w:val="00EB642E"/>
    <w:rsid w:val="00EB683A"/>
    <w:rsid w:val="00EB6949"/>
    <w:rsid w:val="00EB6986"/>
    <w:rsid w:val="00EB6A82"/>
    <w:rsid w:val="00EB6B78"/>
    <w:rsid w:val="00EB6C55"/>
    <w:rsid w:val="00EB6CDE"/>
    <w:rsid w:val="00EB79D0"/>
    <w:rsid w:val="00EB79F2"/>
    <w:rsid w:val="00EB7A24"/>
    <w:rsid w:val="00EB7BF7"/>
    <w:rsid w:val="00EC04D4"/>
    <w:rsid w:val="00EC0713"/>
    <w:rsid w:val="00EC0889"/>
    <w:rsid w:val="00EC08A8"/>
    <w:rsid w:val="00EC0B78"/>
    <w:rsid w:val="00EC0CE2"/>
    <w:rsid w:val="00EC0D8E"/>
    <w:rsid w:val="00EC1701"/>
    <w:rsid w:val="00EC241B"/>
    <w:rsid w:val="00EC2A7F"/>
    <w:rsid w:val="00EC2D9E"/>
    <w:rsid w:val="00EC2E98"/>
    <w:rsid w:val="00EC332C"/>
    <w:rsid w:val="00EC3386"/>
    <w:rsid w:val="00EC343A"/>
    <w:rsid w:val="00EC34F2"/>
    <w:rsid w:val="00EC3E42"/>
    <w:rsid w:val="00EC3EB4"/>
    <w:rsid w:val="00EC4975"/>
    <w:rsid w:val="00EC4AFD"/>
    <w:rsid w:val="00EC4B45"/>
    <w:rsid w:val="00EC4C1A"/>
    <w:rsid w:val="00EC5117"/>
    <w:rsid w:val="00EC52AD"/>
    <w:rsid w:val="00EC573D"/>
    <w:rsid w:val="00EC582B"/>
    <w:rsid w:val="00EC59A9"/>
    <w:rsid w:val="00EC5A58"/>
    <w:rsid w:val="00EC5D33"/>
    <w:rsid w:val="00EC6414"/>
    <w:rsid w:val="00EC6A35"/>
    <w:rsid w:val="00EC7261"/>
    <w:rsid w:val="00EC7918"/>
    <w:rsid w:val="00EC7D90"/>
    <w:rsid w:val="00EC7F53"/>
    <w:rsid w:val="00ED0067"/>
    <w:rsid w:val="00ED0495"/>
    <w:rsid w:val="00ED05DC"/>
    <w:rsid w:val="00ED06E4"/>
    <w:rsid w:val="00ED0DFD"/>
    <w:rsid w:val="00ED0EAA"/>
    <w:rsid w:val="00ED147E"/>
    <w:rsid w:val="00ED15E7"/>
    <w:rsid w:val="00ED199D"/>
    <w:rsid w:val="00ED1C98"/>
    <w:rsid w:val="00ED1EFE"/>
    <w:rsid w:val="00ED25AC"/>
    <w:rsid w:val="00ED27D1"/>
    <w:rsid w:val="00ED2909"/>
    <w:rsid w:val="00ED385D"/>
    <w:rsid w:val="00ED39A0"/>
    <w:rsid w:val="00ED3EA5"/>
    <w:rsid w:val="00ED4499"/>
    <w:rsid w:val="00ED4554"/>
    <w:rsid w:val="00ED4EEC"/>
    <w:rsid w:val="00ED5174"/>
    <w:rsid w:val="00ED5DBA"/>
    <w:rsid w:val="00ED62C3"/>
    <w:rsid w:val="00ED6707"/>
    <w:rsid w:val="00ED67FA"/>
    <w:rsid w:val="00ED6848"/>
    <w:rsid w:val="00ED6AD8"/>
    <w:rsid w:val="00ED6C79"/>
    <w:rsid w:val="00ED72DE"/>
    <w:rsid w:val="00ED73B2"/>
    <w:rsid w:val="00ED7578"/>
    <w:rsid w:val="00ED7C4E"/>
    <w:rsid w:val="00ED7D2B"/>
    <w:rsid w:val="00EE02F4"/>
    <w:rsid w:val="00EE0CC8"/>
    <w:rsid w:val="00EE1028"/>
    <w:rsid w:val="00EE12E4"/>
    <w:rsid w:val="00EE17A9"/>
    <w:rsid w:val="00EE1B88"/>
    <w:rsid w:val="00EE1CC2"/>
    <w:rsid w:val="00EE2342"/>
    <w:rsid w:val="00EE2509"/>
    <w:rsid w:val="00EE2662"/>
    <w:rsid w:val="00EE2B1F"/>
    <w:rsid w:val="00EE2D3C"/>
    <w:rsid w:val="00EE2ED8"/>
    <w:rsid w:val="00EE3015"/>
    <w:rsid w:val="00EE3A0E"/>
    <w:rsid w:val="00EE3D03"/>
    <w:rsid w:val="00EE53BD"/>
    <w:rsid w:val="00EE53CD"/>
    <w:rsid w:val="00EE56D3"/>
    <w:rsid w:val="00EE59DA"/>
    <w:rsid w:val="00EE5A74"/>
    <w:rsid w:val="00EE5F4E"/>
    <w:rsid w:val="00EE6AB5"/>
    <w:rsid w:val="00EE708F"/>
    <w:rsid w:val="00EE7304"/>
    <w:rsid w:val="00EE740D"/>
    <w:rsid w:val="00EE7425"/>
    <w:rsid w:val="00EE78A5"/>
    <w:rsid w:val="00EE7B9F"/>
    <w:rsid w:val="00EF0F97"/>
    <w:rsid w:val="00EF0FB8"/>
    <w:rsid w:val="00EF143A"/>
    <w:rsid w:val="00EF1488"/>
    <w:rsid w:val="00EF1B71"/>
    <w:rsid w:val="00EF1B80"/>
    <w:rsid w:val="00EF1DEC"/>
    <w:rsid w:val="00EF20CF"/>
    <w:rsid w:val="00EF2193"/>
    <w:rsid w:val="00EF2FE1"/>
    <w:rsid w:val="00EF3006"/>
    <w:rsid w:val="00EF3317"/>
    <w:rsid w:val="00EF377A"/>
    <w:rsid w:val="00EF386F"/>
    <w:rsid w:val="00EF480F"/>
    <w:rsid w:val="00EF484E"/>
    <w:rsid w:val="00EF48FC"/>
    <w:rsid w:val="00EF4BC6"/>
    <w:rsid w:val="00EF4C7E"/>
    <w:rsid w:val="00EF4D7E"/>
    <w:rsid w:val="00EF4E54"/>
    <w:rsid w:val="00EF5D49"/>
    <w:rsid w:val="00EF5DA8"/>
    <w:rsid w:val="00EF5FD5"/>
    <w:rsid w:val="00EF6342"/>
    <w:rsid w:val="00EF6637"/>
    <w:rsid w:val="00EF68EC"/>
    <w:rsid w:val="00EF6C59"/>
    <w:rsid w:val="00EF70E7"/>
    <w:rsid w:val="00EF722E"/>
    <w:rsid w:val="00EF77B6"/>
    <w:rsid w:val="00EF7939"/>
    <w:rsid w:val="00F00740"/>
    <w:rsid w:val="00F00A28"/>
    <w:rsid w:val="00F00A64"/>
    <w:rsid w:val="00F00C9B"/>
    <w:rsid w:val="00F00E2C"/>
    <w:rsid w:val="00F011E2"/>
    <w:rsid w:val="00F0146E"/>
    <w:rsid w:val="00F01504"/>
    <w:rsid w:val="00F0166B"/>
    <w:rsid w:val="00F02533"/>
    <w:rsid w:val="00F02574"/>
    <w:rsid w:val="00F02710"/>
    <w:rsid w:val="00F02AE6"/>
    <w:rsid w:val="00F02FF2"/>
    <w:rsid w:val="00F0311D"/>
    <w:rsid w:val="00F03227"/>
    <w:rsid w:val="00F033E8"/>
    <w:rsid w:val="00F0392C"/>
    <w:rsid w:val="00F039DC"/>
    <w:rsid w:val="00F03A40"/>
    <w:rsid w:val="00F03DDE"/>
    <w:rsid w:val="00F03E62"/>
    <w:rsid w:val="00F041C1"/>
    <w:rsid w:val="00F04872"/>
    <w:rsid w:val="00F04D3A"/>
    <w:rsid w:val="00F05060"/>
    <w:rsid w:val="00F050A5"/>
    <w:rsid w:val="00F052D0"/>
    <w:rsid w:val="00F0552A"/>
    <w:rsid w:val="00F05896"/>
    <w:rsid w:val="00F058AF"/>
    <w:rsid w:val="00F05B76"/>
    <w:rsid w:val="00F05BA8"/>
    <w:rsid w:val="00F05EB5"/>
    <w:rsid w:val="00F064E3"/>
    <w:rsid w:val="00F06EEC"/>
    <w:rsid w:val="00F074F5"/>
    <w:rsid w:val="00F07508"/>
    <w:rsid w:val="00F07B96"/>
    <w:rsid w:val="00F10396"/>
    <w:rsid w:val="00F10A66"/>
    <w:rsid w:val="00F10C51"/>
    <w:rsid w:val="00F10FE3"/>
    <w:rsid w:val="00F11ABA"/>
    <w:rsid w:val="00F11B8E"/>
    <w:rsid w:val="00F11FC2"/>
    <w:rsid w:val="00F12080"/>
    <w:rsid w:val="00F125D4"/>
    <w:rsid w:val="00F127CB"/>
    <w:rsid w:val="00F12DA4"/>
    <w:rsid w:val="00F13319"/>
    <w:rsid w:val="00F135B0"/>
    <w:rsid w:val="00F13791"/>
    <w:rsid w:val="00F13C5A"/>
    <w:rsid w:val="00F13F78"/>
    <w:rsid w:val="00F14976"/>
    <w:rsid w:val="00F14A79"/>
    <w:rsid w:val="00F14BDB"/>
    <w:rsid w:val="00F15136"/>
    <w:rsid w:val="00F154AC"/>
    <w:rsid w:val="00F15838"/>
    <w:rsid w:val="00F15C28"/>
    <w:rsid w:val="00F16086"/>
    <w:rsid w:val="00F165DE"/>
    <w:rsid w:val="00F1668B"/>
    <w:rsid w:val="00F16707"/>
    <w:rsid w:val="00F16852"/>
    <w:rsid w:val="00F16C6C"/>
    <w:rsid w:val="00F16CE1"/>
    <w:rsid w:val="00F16E3D"/>
    <w:rsid w:val="00F16F45"/>
    <w:rsid w:val="00F172FC"/>
    <w:rsid w:val="00F17332"/>
    <w:rsid w:val="00F17992"/>
    <w:rsid w:val="00F17A5A"/>
    <w:rsid w:val="00F17C25"/>
    <w:rsid w:val="00F20050"/>
    <w:rsid w:val="00F20CE7"/>
    <w:rsid w:val="00F20D2C"/>
    <w:rsid w:val="00F213D7"/>
    <w:rsid w:val="00F21728"/>
    <w:rsid w:val="00F21C95"/>
    <w:rsid w:val="00F21E1F"/>
    <w:rsid w:val="00F21FF4"/>
    <w:rsid w:val="00F22175"/>
    <w:rsid w:val="00F22873"/>
    <w:rsid w:val="00F22AF2"/>
    <w:rsid w:val="00F22ECC"/>
    <w:rsid w:val="00F2355B"/>
    <w:rsid w:val="00F237E9"/>
    <w:rsid w:val="00F237FB"/>
    <w:rsid w:val="00F2387B"/>
    <w:rsid w:val="00F23F87"/>
    <w:rsid w:val="00F2469A"/>
    <w:rsid w:val="00F247A4"/>
    <w:rsid w:val="00F2485B"/>
    <w:rsid w:val="00F24A3E"/>
    <w:rsid w:val="00F2506C"/>
    <w:rsid w:val="00F25077"/>
    <w:rsid w:val="00F2513E"/>
    <w:rsid w:val="00F25DF4"/>
    <w:rsid w:val="00F266FB"/>
    <w:rsid w:val="00F2677A"/>
    <w:rsid w:val="00F2678B"/>
    <w:rsid w:val="00F267E9"/>
    <w:rsid w:val="00F268D6"/>
    <w:rsid w:val="00F26A6D"/>
    <w:rsid w:val="00F26D9F"/>
    <w:rsid w:val="00F2704C"/>
    <w:rsid w:val="00F2776E"/>
    <w:rsid w:val="00F27BA7"/>
    <w:rsid w:val="00F27D29"/>
    <w:rsid w:val="00F30023"/>
    <w:rsid w:val="00F304BB"/>
    <w:rsid w:val="00F30686"/>
    <w:rsid w:val="00F3071D"/>
    <w:rsid w:val="00F30784"/>
    <w:rsid w:val="00F30B47"/>
    <w:rsid w:val="00F30B5B"/>
    <w:rsid w:val="00F3107D"/>
    <w:rsid w:val="00F315A4"/>
    <w:rsid w:val="00F31EFF"/>
    <w:rsid w:val="00F320C1"/>
    <w:rsid w:val="00F3261D"/>
    <w:rsid w:val="00F32A0E"/>
    <w:rsid w:val="00F32D13"/>
    <w:rsid w:val="00F32FCA"/>
    <w:rsid w:val="00F333AA"/>
    <w:rsid w:val="00F333E9"/>
    <w:rsid w:val="00F34601"/>
    <w:rsid w:val="00F34675"/>
    <w:rsid w:val="00F34A3D"/>
    <w:rsid w:val="00F34AE6"/>
    <w:rsid w:val="00F3507E"/>
    <w:rsid w:val="00F350CC"/>
    <w:rsid w:val="00F35C73"/>
    <w:rsid w:val="00F35F31"/>
    <w:rsid w:val="00F36051"/>
    <w:rsid w:val="00F36186"/>
    <w:rsid w:val="00F361C6"/>
    <w:rsid w:val="00F36353"/>
    <w:rsid w:val="00F3637C"/>
    <w:rsid w:val="00F366C1"/>
    <w:rsid w:val="00F368FA"/>
    <w:rsid w:val="00F36994"/>
    <w:rsid w:val="00F370C4"/>
    <w:rsid w:val="00F37241"/>
    <w:rsid w:val="00F3738A"/>
    <w:rsid w:val="00F374CE"/>
    <w:rsid w:val="00F374E3"/>
    <w:rsid w:val="00F37C8D"/>
    <w:rsid w:val="00F403F0"/>
    <w:rsid w:val="00F40642"/>
    <w:rsid w:val="00F40741"/>
    <w:rsid w:val="00F407C7"/>
    <w:rsid w:val="00F40971"/>
    <w:rsid w:val="00F40A82"/>
    <w:rsid w:val="00F40BB3"/>
    <w:rsid w:val="00F40C32"/>
    <w:rsid w:val="00F40F53"/>
    <w:rsid w:val="00F41092"/>
    <w:rsid w:val="00F41254"/>
    <w:rsid w:val="00F4148B"/>
    <w:rsid w:val="00F41536"/>
    <w:rsid w:val="00F418D5"/>
    <w:rsid w:val="00F41D08"/>
    <w:rsid w:val="00F42430"/>
    <w:rsid w:val="00F42464"/>
    <w:rsid w:val="00F424C9"/>
    <w:rsid w:val="00F42533"/>
    <w:rsid w:val="00F427ED"/>
    <w:rsid w:val="00F43322"/>
    <w:rsid w:val="00F43337"/>
    <w:rsid w:val="00F435A4"/>
    <w:rsid w:val="00F43852"/>
    <w:rsid w:val="00F43D0E"/>
    <w:rsid w:val="00F43D17"/>
    <w:rsid w:val="00F44317"/>
    <w:rsid w:val="00F44712"/>
    <w:rsid w:val="00F44716"/>
    <w:rsid w:val="00F449B3"/>
    <w:rsid w:val="00F44C78"/>
    <w:rsid w:val="00F44CE9"/>
    <w:rsid w:val="00F44D15"/>
    <w:rsid w:val="00F44DE9"/>
    <w:rsid w:val="00F4502F"/>
    <w:rsid w:val="00F453CE"/>
    <w:rsid w:val="00F45579"/>
    <w:rsid w:val="00F45A28"/>
    <w:rsid w:val="00F4609D"/>
    <w:rsid w:val="00F46192"/>
    <w:rsid w:val="00F461F5"/>
    <w:rsid w:val="00F462CD"/>
    <w:rsid w:val="00F465CE"/>
    <w:rsid w:val="00F465E7"/>
    <w:rsid w:val="00F46914"/>
    <w:rsid w:val="00F46B7F"/>
    <w:rsid w:val="00F474C9"/>
    <w:rsid w:val="00F47532"/>
    <w:rsid w:val="00F47559"/>
    <w:rsid w:val="00F50A9F"/>
    <w:rsid w:val="00F51092"/>
    <w:rsid w:val="00F515C4"/>
    <w:rsid w:val="00F515E0"/>
    <w:rsid w:val="00F5187A"/>
    <w:rsid w:val="00F5229A"/>
    <w:rsid w:val="00F52574"/>
    <w:rsid w:val="00F52883"/>
    <w:rsid w:val="00F52E54"/>
    <w:rsid w:val="00F538D8"/>
    <w:rsid w:val="00F541D7"/>
    <w:rsid w:val="00F54314"/>
    <w:rsid w:val="00F54887"/>
    <w:rsid w:val="00F5498F"/>
    <w:rsid w:val="00F54FE3"/>
    <w:rsid w:val="00F55450"/>
    <w:rsid w:val="00F556C7"/>
    <w:rsid w:val="00F55B80"/>
    <w:rsid w:val="00F55F15"/>
    <w:rsid w:val="00F56039"/>
    <w:rsid w:val="00F567BA"/>
    <w:rsid w:val="00F5684C"/>
    <w:rsid w:val="00F56C08"/>
    <w:rsid w:val="00F56D53"/>
    <w:rsid w:val="00F5702C"/>
    <w:rsid w:val="00F57084"/>
    <w:rsid w:val="00F57375"/>
    <w:rsid w:val="00F57978"/>
    <w:rsid w:val="00F579B4"/>
    <w:rsid w:val="00F57BB6"/>
    <w:rsid w:val="00F57FAC"/>
    <w:rsid w:val="00F605FC"/>
    <w:rsid w:val="00F607E5"/>
    <w:rsid w:val="00F60A2D"/>
    <w:rsid w:val="00F60C18"/>
    <w:rsid w:val="00F60F50"/>
    <w:rsid w:val="00F619EE"/>
    <w:rsid w:val="00F622E0"/>
    <w:rsid w:val="00F62522"/>
    <w:rsid w:val="00F6289F"/>
    <w:rsid w:val="00F62AF2"/>
    <w:rsid w:val="00F62E2E"/>
    <w:rsid w:val="00F62FDF"/>
    <w:rsid w:val="00F63274"/>
    <w:rsid w:val="00F635C7"/>
    <w:rsid w:val="00F63781"/>
    <w:rsid w:val="00F63A4D"/>
    <w:rsid w:val="00F63FB8"/>
    <w:rsid w:val="00F6410C"/>
    <w:rsid w:val="00F647BB"/>
    <w:rsid w:val="00F64C15"/>
    <w:rsid w:val="00F654A1"/>
    <w:rsid w:val="00F65544"/>
    <w:rsid w:val="00F65ED1"/>
    <w:rsid w:val="00F65FB3"/>
    <w:rsid w:val="00F66261"/>
    <w:rsid w:val="00F663AD"/>
    <w:rsid w:val="00F66579"/>
    <w:rsid w:val="00F66611"/>
    <w:rsid w:val="00F6672E"/>
    <w:rsid w:val="00F66B41"/>
    <w:rsid w:val="00F67A13"/>
    <w:rsid w:val="00F67B48"/>
    <w:rsid w:val="00F702DD"/>
    <w:rsid w:val="00F70487"/>
    <w:rsid w:val="00F70578"/>
    <w:rsid w:val="00F7083A"/>
    <w:rsid w:val="00F70DAD"/>
    <w:rsid w:val="00F70F92"/>
    <w:rsid w:val="00F70FF3"/>
    <w:rsid w:val="00F71225"/>
    <w:rsid w:val="00F71BA7"/>
    <w:rsid w:val="00F71C78"/>
    <w:rsid w:val="00F71DEE"/>
    <w:rsid w:val="00F72212"/>
    <w:rsid w:val="00F72595"/>
    <w:rsid w:val="00F725C4"/>
    <w:rsid w:val="00F72855"/>
    <w:rsid w:val="00F7299E"/>
    <w:rsid w:val="00F72C6C"/>
    <w:rsid w:val="00F72F0B"/>
    <w:rsid w:val="00F72F69"/>
    <w:rsid w:val="00F73264"/>
    <w:rsid w:val="00F73C82"/>
    <w:rsid w:val="00F73DC6"/>
    <w:rsid w:val="00F74173"/>
    <w:rsid w:val="00F7425A"/>
    <w:rsid w:val="00F74E81"/>
    <w:rsid w:val="00F74F5B"/>
    <w:rsid w:val="00F756B5"/>
    <w:rsid w:val="00F75979"/>
    <w:rsid w:val="00F75E71"/>
    <w:rsid w:val="00F75FE8"/>
    <w:rsid w:val="00F76519"/>
    <w:rsid w:val="00F76675"/>
    <w:rsid w:val="00F76915"/>
    <w:rsid w:val="00F7696A"/>
    <w:rsid w:val="00F77691"/>
    <w:rsid w:val="00F7773B"/>
    <w:rsid w:val="00F77946"/>
    <w:rsid w:val="00F80070"/>
    <w:rsid w:val="00F800A1"/>
    <w:rsid w:val="00F80268"/>
    <w:rsid w:val="00F80554"/>
    <w:rsid w:val="00F81342"/>
    <w:rsid w:val="00F81A4D"/>
    <w:rsid w:val="00F81A9B"/>
    <w:rsid w:val="00F81BCF"/>
    <w:rsid w:val="00F82030"/>
    <w:rsid w:val="00F820F7"/>
    <w:rsid w:val="00F8262E"/>
    <w:rsid w:val="00F827E4"/>
    <w:rsid w:val="00F82A0E"/>
    <w:rsid w:val="00F8342A"/>
    <w:rsid w:val="00F838E7"/>
    <w:rsid w:val="00F83C3D"/>
    <w:rsid w:val="00F84040"/>
    <w:rsid w:val="00F84266"/>
    <w:rsid w:val="00F842DC"/>
    <w:rsid w:val="00F842F6"/>
    <w:rsid w:val="00F843F7"/>
    <w:rsid w:val="00F84D64"/>
    <w:rsid w:val="00F851E3"/>
    <w:rsid w:val="00F853DF"/>
    <w:rsid w:val="00F85844"/>
    <w:rsid w:val="00F858EE"/>
    <w:rsid w:val="00F8594B"/>
    <w:rsid w:val="00F85A7A"/>
    <w:rsid w:val="00F85EC2"/>
    <w:rsid w:val="00F8626F"/>
    <w:rsid w:val="00F86AD5"/>
    <w:rsid w:val="00F86E1A"/>
    <w:rsid w:val="00F86E7D"/>
    <w:rsid w:val="00F8722D"/>
    <w:rsid w:val="00F87365"/>
    <w:rsid w:val="00F873AC"/>
    <w:rsid w:val="00F87AE2"/>
    <w:rsid w:val="00F901B4"/>
    <w:rsid w:val="00F904D9"/>
    <w:rsid w:val="00F90C58"/>
    <w:rsid w:val="00F917B1"/>
    <w:rsid w:val="00F91882"/>
    <w:rsid w:val="00F91946"/>
    <w:rsid w:val="00F91DB8"/>
    <w:rsid w:val="00F91ED8"/>
    <w:rsid w:val="00F92100"/>
    <w:rsid w:val="00F92914"/>
    <w:rsid w:val="00F92B79"/>
    <w:rsid w:val="00F92C18"/>
    <w:rsid w:val="00F92F49"/>
    <w:rsid w:val="00F92F59"/>
    <w:rsid w:val="00F9307C"/>
    <w:rsid w:val="00F931C6"/>
    <w:rsid w:val="00F93472"/>
    <w:rsid w:val="00F93BE1"/>
    <w:rsid w:val="00F94515"/>
    <w:rsid w:val="00F94606"/>
    <w:rsid w:val="00F94621"/>
    <w:rsid w:val="00F94C9C"/>
    <w:rsid w:val="00F95122"/>
    <w:rsid w:val="00F95615"/>
    <w:rsid w:val="00F958B4"/>
    <w:rsid w:val="00F95940"/>
    <w:rsid w:val="00F96113"/>
    <w:rsid w:val="00F96180"/>
    <w:rsid w:val="00F962AC"/>
    <w:rsid w:val="00F9640C"/>
    <w:rsid w:val="00F9658B"/>
    <w:rsid w:val="00F9696E"/>
    <w:rsid w:val="00F970FB"/>
    <w:rsid w:val="00F971A6"/>
    <w:rsid w:val="00F9783F"/>
    <w:rsid w:val="00F97966"/>
    <w:rsid w:val="00F9797C"/>
    <w:rsid w:val="00FA0538"/>
    <w:rsid w:val="00FA07D0"/>
    <w:rsid w:val="00FA0A9C"/>
    <w:rsid w:val="00FA0C31"/>
    <w:rsid w:val="00FA0EEE"/>
    <w:rsid w:val="00FA1AC2"/>
    <w:rsid w:val="00FA1BF6"/>
    <w:rsid w:val="00FA1CDC"/>
    <w:rsid w:val="00FA1CF7"/>
    <w:rsid w:val="00FA26FF"/>
    <w:rsid w:val="00FA2805"/>
    <w:rsid w:val="00FA2A51"/>
    <w:rsid w:val="00FA2A80"/>
    <w:rsid w:val="00FA2DC6"/>
    <w:rsid w:val="00FA2E9B"/>
    <w:rsid w:val="00FA301E"/>
    <w:rsid w:val="00FA33CE"/>
    <w:rsid w:val="00FA34AD"/>
    <w:rsid w:val="00FA3660"/>
    <w:rsid w:val="00FA36F3"/>
    <w:rsid w:val="00FA37F7"/>
    <w:rsid w:val="00FA3A59"/>
    <w:rsid w:val="00FA3B17"/>
    <w:rsid w:val="00FA3D99"/>
    <w:rsid w:val="00FA3E6B"/>
    <w:rsid w:val="00FA42CB"/>
    <w:rsid w:val="00FA49E8"/>
    <w:rsid w:val="00FA54FD"/>
    <w:rsid w:val="00FA64BA"/>
    <w:rsid w:val="00FA68B3"/>
    <w:rsid w:val="00FA6E92"/>
    <w:rsid w:val="00FA71A6"/>
    <w:rsid w:val="00FA733A"/>
    <w:rsid w:val="00FA73FF"/>
    <w:rsid w:val="00FA7668"/>
    <w:rsid w:val="00FA7808"/>
    <w:rsid w:val="00FA7BE3"/>
    <w:rsid w:val="00FA7DE8"/>
    <w:rsid w:val="00FA7EB8"/>
    <w:rsid w:val="00FB006A"/>
    <w:rsid w:val="00FB009E"/>
    <w:rsid w:val="00FB0101"/>
    <w:rsid w:val="00FB04FA"/>
    <w:rsid w:val="00FB06DE"/>
    <w:rsid w:val="00FB092E"/>
    <w:rsid w:val="00FB0CE6"/>
    <w:rsid w:val="00FB1619"/>
    <w:rsid w:val="00FB1A1E"/>
    <w:rsid w:val="00FB1DAE"/>
    <w:rsid w:val="00FB2091"/>
    <w:rsid w:val="00FB22F0"/>
    <w:rsid w:val="00FB240B"/>
    <w:rsid w:val="00FB2437"/>
    <w:rsid w:val="00FB2814"/>
    <w:rsid w:val="00FB2D67"/>
    <w:rsid w:val="00FB3030"/>
    <w:rsid w:val="00FB305B"/>
    <w:rsid w:val="00FB339E"/>
    <w:rsid w:val="00FB39CB"/>
    <w:rsid w:val="00FB3D97"/>
    <w:rsid w:val="00FB3FF6"/>
    <w:rsid w:val="00FB41A3"/>
    <w:rsid w:val="00FB4255"/>
    <w:rsid w:val="00FB46D2"/>
    <w:rsid w:val="00FB4702"/>
    <w:rsid w:val="00FB486B"/>
    <w:rsid w:val="00FB4D39"/>
    <w:rsid w:val="00FB4E4D"/>
    <w:rsid w:val="00FB5AB2"/>
    <w:rsid w:val="00FB7299"/>
    <w:rsid w:val="00FB73C7"/>
    <w:rsid w:val="00FB7549"/>
    <w:rsid w:val="00FB77F0"/>
    <w:rsid w:val="00FB7930"/>
    <w:rsid w:val="00FB7CEF"/>
    <w:rsid w:val="00FC00D7"/>
    <w:rsid w:val="00FC048A"/>
    <w:rsid w:val="00FC0563"/>
    <w:rsid w:val="00FC0979"/>
    <w:rsid w:val="00FC0FB1"/>
    <w:rsid w:val="00FC1264"/>
    <w:rsid w:val="00FC13C8"/>
    <w:rsid w:val="00FC162D"/>
    <w:rsid w:val="00FC165B"/>
    <w:rsid w:val="00FC1804"/>
    <w:rsid w:val="00FC1999"/>
    <w:rsid w:val="00FC1AB9"/>
    <w:rsid w:val="00FC1C82"/>
    <w:rsid w:val="00FC1FFC"/>
    <w:rsid w:val="00FC2148"/>
    <w:rsid w:val="00FC2254"/>
    <w:rsid w:val="00FC25A3"/>
    <w:rsid w:val="00FC2887"/>
    <w:rsid w:val="00FC30DA"/>
    <w:rsid w:val="00FC3285"/>
    <w:rsid w:val="00FC3355"/>
    <w:rsid w:val="00FC40DD"/>
    <w:rsid w:val="00FC4C02"/>
    <w:rsid w:val="00FC4C76"/>
    <w:rsid w:val="00FC4E89"/>
    <w:rsid w:val="00FC4EC9"/>
    <w:rsid w:val="00FC51E0"/>
    <w:rsid w:val="00FC5381"/>
    <w:rsid w:val="00FC54AF"/>
    <w:rsid w:val="00FC54B8"/>
    <w:rsid w:val="00FC5666"/>
    <w:rsid w:val="00FC5A93"/>
    <w:rsid w:val="00FC600C"/>
    <w:rsid w:val="00FC62A2"/>
    <w:rsid w:val="00FC64EE"/>
    <w:rsid w:val="00FC695E"/>
    <w:rsid w:val="00FC6B27"/>
    <w:rsid w:val="00FC6C47"/>
    <w:rsid w:val="00FC6CAA"/>
    <w:rsid w:val="00FC6D1A"/>
    <w:rsid w:val="00FC6D21"/>
    <w:rsid w:val="00FC7066"/>
    <w:rsid w:val="00FC73E0"/>
    <w:rsid w:val="00FC74B2"/>
    <w:rsid w:val="00FC7915"/>
    <w:rsid w:val="00FC7AD8"/>
    <w:rsid w:val="00FC7FA7"/>
    <w:rsid w:val="00FD01A0"/>
    <w:rsid w:val="00FD0D78"/>
    <w:rsid w:val="00FD0E4A"/>
    <w:rsid w:val="00FD11BD"/>
    <w:rsid w:val="00FD1430"/>
    <w:rsid w:val="00FD15CC"/>
    <w:rsid w:val="00FD16A6"/>
    <w:rsid w:val="00FD18E2"/>
    <w:rsid w:val="00FD1AB9"/>
    <w:rsid w:val="00FD1E1E"/>
    <w:rsid w:val="00FD2363"/>
    <w:rsid w:val="00FD2575"/>
    <w:rsid w:val="00FD2B58"/>
    <w:rsid w:val="00FD2F99"/>
    <w:rsid w:val="00FD2FD5"/>
    <w:rsid w:val="00FD3732"/>
    <w:rsid w:val="00FD397C"/>
    <w:rsid w:val="00FD3F01"/>
    <w:rsid w:val="00FD3F5B"/>
    <w:rsid w:val="00FD4268"/>
    <w:rsid w:val="00FD426A"/>
    <w:rsid w:val="00FD42DE"/>
    <w:rsid w:val="00FD4EE1"/>
    <w:rsid w:val="00FD52D7"/>
    <w:rsid w:val="00FD559E"/>
    <w:rsid w:val="00FD55ED"/>
    <w:rsid w:val="00FD5DDD"/>
    <w:rsid w:val="00FD60AC"/>
    <w:rsid w:val="00FD6549"/>
    <w:rsid w:val="00FD6567"/>
    <w:rsid w:val="00FD66DE"/>
    <w:rsid w:val="00FD6886"/>
    <w:rsid w:val="00FD6D6C"/>
    <w:rsid w:val="00FD6E8B"/>
    <w:rsid w:val="00FD71D5"/>
    <w:rsid w:val="00FD7340"/>
    <w:rsid w:val="00FD73D4"/>
    <w:rsid w:val="00FD7406"/>
    <w:rsid w:val="00FD7435"/>
    <w:rsid w:val="00FD7B9F"/>
    <w:rsid w:val="00FD7CD7"/>
    <w:rsid w:val="00FD7EB8"/>
    <w:rsid w:val="00FE0090"/>
    <w:rsid w:val="00FE01F6"/>
    <w:rsid w:val="00FE02D2"/>
    <w:rsid w:val="00FE04A9"/>
    <w:rsid w:val="00FE06A3"/>
    <w:rsid w:val="00FE0D37"/>
    <w:rsid w:val="00FE115F"/>
    <w:rsid w:val="00FE1383"/>
    <w:rsid w:val="00FE1695"/>
    <w:rsid w:val="00FE18E8"/>
    <w:rsid w:val="00FE1A5A"/>
    <w:rsid w:val="00FE1AB8"/>
    <w:rsid w:val="00FE1DA0"/>
    <w:rsid w:val="00FE1DCB"/>
    <w:rsid w:val="00FE1EFD"/>
    <w:rsid w:val="00FE2172"/>
    <w:rsid w:val="00FE2537"/>
    <w:rsid w:val="00FE2D42"/>
    <w:rsid w:val="00FE33B6"/>
    <w:rsid w:val="00FE35AD"/>
    <w:rsid w:val="00FE48F5"/>
    <w:rsid w:val="00FE492B"/>
    <w:rsid w:val="00FE4C3E"/>
    <w:rsid w:val="00FE4CE1"/>
    <w:rsid w:val="00FE4F40"/>
    <w:rsid w:val="00FE5AAE"/>
    <w:rsid w:val="00FE5D17"/>
    <w:rsid w:val="00FE5D30"/>
    <w:rsid w:val="00FE638B"/>
    <w:rsid w:val="00FE708F"/>
    <w:rsid w:val="00FE7413"/>
    <w:rsid w:val="00FE76ED"/>
    <w:rsid w:val="00FE7972"/>
    <w:rsid w:val="00FE7D04"/>
    <w:rsid w:val="00FE7DF7"/>
    <w:rsid w:val="00FF00C8"/>
    <w:rsid w:val="00FF05A3"/>
    <w:rsid w:val="00FF0B3C"/>
    <w:rsid w:val="00FF0D3D"/>
    <w:rsid w:val="00FF0D83"/>
    <w:rsid w:val="00FF1037"/>
    <w:rsid w:val="00FF1260"/>
    <w:rsid w:val="00FF1CB7"/>
    <w:rsid w:val="00FF2139"/>
    <w:rsid w:val="00FF21A7"/>
    <w:rsid w:val="00FF22E4"/>
    <w:rsid w:val="00FF2302"/>
    <w:rsid w:val="00FF2730"/>
    <w:rsid w:val="00FF281E"/>
    <w:rsid w:val="00FF29C7"/>
    <w:rsid w:val="00FF2ABF"/>
    <w:rsid w:val="00FF2B31"/>
    <w:rsid w:val="00FF2D51"/>
    <w:rsid w:val="00FF2DD7"/>
    <w:rsid w:val="00FF2E60"/>
    <w:rsid w:val="00FF3397"/>
    <w:rsid w:val="00FF34AC"/>
    <w:rsid w:val="00FF4137"/>
    <w:rsid w:val="00FF47BA"/>
    <w:rsid w:val="00FF4826"/>
    <w:rsid w:val="00FF4BC9"/>
    <w:rsid w:val="00FF5041"/>
    <w:rsid w:val="00FF5A9D"/>
    <w:rsid w:val="00FF5CF6"/>
    <w:rsid w:val="00FF5D15"/>
    <w:rsid w:val="00FF61B3"/>
    <w:rsid w:val="00FF66EC"/>
    <w:rsid w:val="00FF68F8"/>
    <w:rsid w:val="00FF6A2B"/>
    <w:rsid w:val="00FF7055"/>
    <w:rsid w:val="00FF7491"/>
    <w:rsid w:val="00FF75DE"/>
    <w:rsid w:val="00FF7981"/>
    <w:rsid w:val="00FF7DD1"/>
    <w:rsid w:val="04C1E121"/>
    <w:rsid w:val="05DD392E"/>
    <w:rsid w:val="0D61F8BA"/>
    <w:rsid w:val="103CB4B3"/>
    <w:rsid w:val="1073CE61"/>
    <w:rsid w:val="11503148"/>
    <w:rsid w:val="11618547"/>
    <w:rsid w:val="132EF9DF"/>
    <w:rsid w:val="1464183C"/>
    <w:rsid w:val="17992D65"/>
    <w:rsid w:val="1DB8AEA0"/>
    <w:rsid w:val="1E81D715"/>
    <w:rsid w:val="2C1E3645"/>
    <w:rsid w:val="2E41D1AF"/>
    <w:rsid w:val="2F93BE2A"/>
    <w:rsid w:val="33B34AB4"/>
    <w:rsid w:val="4009BDD4"/>
    <w:rsid w:val="44D08549"/>
    <w:rsid w:val="48E6B29B"/>
    <w:rsid w:val="4CD6363C"/>
    <w:rsid w:val="52A03DEC"/>
    <w:rsid w:val="5B631A4E"/>
    <w:rsid w:val="5BEA3D28"/>
    <w:rsid w:val="612249AC"/>
    <w:rsid w:val="6325426A"/>
    <w:rsid w:val="6433B96B"/>
    <w:rsid w:val="646DE84F"/>
    <w:rsid w:val="6BAF931B"/>
    <w:rsid w:val="70CAA6EA"/>
    <w:rsid w:val="70FA2AD9"/>
    <w:rsid w:val="735CA2B6"/>
    <w:rsid w:val="7F3BA1F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87BA389"/>
  <w15:docId w15:val="{9993D7C0-C920-4545-80A2-E1F81BF1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5" w:unhideWhenUsed="1" w:qFormat="1"/>
    <w:lsdException w:name="annotation text" w:semiHidden="1" w:uiPriority="5" w:unhideWhenUsed="1"/>
    <w:lsdException w:name="header" w:semiHidden="1" w:uiPriority="99" w:unhideWhenUsed="1"/>
    <w:lsdException w:name="footer" w:semiHidden="1" w:uiPriority="4"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qFormat="1"/>
    <w:lsdException w:name="annotation reference" w:semiHidden="1" w:uiPriority="5" w:unhideWhenUsed="1"/>
    <w:lsdException w:name="line number" w:semiHidden="1" w:unhideWhenUsed="1"/>
    <w:lsdException w:name="page number" w:semiHidden="1" w:unhideWhenUsed="1"/>
    <w:lsdException w:name="endnote reference" w:semiHidden="1" w:uiPriority="5" w:unhideWhenUsed="1"/>
    <w:lsdException w:name="endnote text" w:semiHidden="1" w:uiPriority="5"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1B60"/>
    <w:pPr>
      <w:jc w:val="both"/>
    </w:pPr>
    <w:rPr>
      <w:sz w:val="19"/>
      <w:lang w:eastAsia="en-US"/>
    </w:rPr>
  </w:style>
  <w:style w:type="paragraph" w:styleId="Heading1">
    <w:name w:val="heading 1"/>
    <w:basedOn w:val="Normal"/>
    <w:next w:val="Normal"/>
    <w:link w:val="Heading1Char"/>
    <w:uiPriority w:val="9"/>
    <w:qFormat/>
    <w:rsid w:val="003E1900"/>
    <w:pPr>
      <w:keepNext/>
      <w:spacing w:before="400" w:after="200"/>
      <w:jc w:val="left"/>
      <w:outlineLvl w:val="0"/>
    </w:pPr>
    <w:rPr>
      <w:rFonts w:ascii="Arial" w:hAnsi="Arial" w:cs="Arial"/>
      <w:b/>
      <w:bCs/>
      <w:sz w:val="26"/>
      <w:szCs w:val="32"/>
    </w:rPr>
  </w:style>
  <w:style w:type="paragraph" w:styleId="Heading2">
    <w:name w:val="heading 2"/>
    <w:basedOn w:val="Heading1"/>
    <w:next w:val="Normal"/>
    <w:link w:val="Heading2Char"/>
    <w:uiPriority w:val="9"/>
    <w:qFormat/>
    <w:rsid w:val="00895AC5"/>
    <w:pPr>
      <w:pBdr>
        <w:bottom w:val="single" w:sz="4" w:space="1" w:color="auto"/>
      </w:pBdr>
      <w:outlineLvl w:val="1"/>
    </w:pPr>
    <w:rPr>
      <w:bCs w:val="0"/>
      <w:iCs/>
      <w:szCs w:val="28"/>
    </w:rPr>
  </w:style>
  <w:style w:type="paragraph" w:styleId="Heading3">
    <w:name w:val="heading 3"/>
    <w:basedOn w:val="Heading2"/>
    <w:next w:val="Normal"/>
    <w:link w:val="Heading3Char"/>
    <w:uiPriority w:val="1"/>
    <w:qFormat/>
    <w:rsid w:val="00580BC4"/>
    <w:pPr>
      <w:spacing w:before="100"/>
      <w:outlineLvl w:val="2"/>
    </w:pPr>
    <w:rPr>
      <w:bCs/>
      <w:szCs w:val="26"/>
    </w:rPr>
  </w:style>
  <w:style w:type="paragraph" w:styleId="Heading4">
    <w:name w:val="heading 4"/>
    <w:basedOn w:val="Heading3"/>
    <w:next w:val="Normal"/>
    <w:link w:val="Heading4Char"/>
    <w:uiPriority w:val="9"/>
    <w:qFormat/>
    <w:rsid w:val="00580BC4"/>
    <w:pPr>
      <w:pBdr>
        <w:bottom w:val="none" w:sz="0" w:space="0" w:color="auto"/>
      </w:pBdr>
      <w:outlineLvl w:val="3"/>
    </w:pPr>
    <w:rPr>
      <w:bCs w:val="0"/>
      <w:sz w:val="18"/>
      <w:szCs w:val="28"/>
    </w:rPr>
  </w:style>
  <w:style w:type="paragraph" w:styleId="Heading5">
    <w:name w:val="heading 5"/>
    <w:basedOn w:val="Heading4"/>
    <w:next w:val="Normal"/>
    <w:link w:val="Heading5Char"/>
    <w:uiPriority w:val="9"/>
    <w:qFormat/>
    <w:rsid w:val="00580BC4"/>
    <w:pPr>
      <w:outlineLvl w:val="4"/>
    </w:pPr>
    <w:rPr>
      <w:bCs/>
      <w:i/>
      <w:iCs w:val="0"/>
      <w:szCs w:val="26"/>
    </w:rPr>
  </w:style>
  <w:style w:type="paragraph" w:styleId="Heading6">
    <w:name w:val="heading 6"/>
    <w:basedOn w:val="Heading5"/>
    <w:next w:val="Normal"/>
    <w:link w:val="Heading6Char"/>
    <w:uiPriority w:val="9"/>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1,Footnote Text Char3,Footnote Text Char4,Footnote Text Char5,Footnote Text Char6,Footnote Text Char12,Footnote Text Char21,Footnote Text Char31,Footnote New,C,ARM footnote Text,Footnote Text Char1"/>
    <w:basedOn w:val="Normal"/>
    <w:link w:val="FootnoteTextChar"/>
    <w:uiPriority w:val="5"/>
    <w:qFormat/>
    <w:pPr>
      <w:spacing w:line="160" w:lineRule="exact"/>
      <w:ind w:left="340" w:hanging="340"/>
    </w:pPr>
    <w:rPr>
      <w:sz w:val="16"/>
    </w:rPr>
  </w:style>
  <w:style w:type="paragraph" w:customStyle="1" w:styleId="Heading1Italic">
    <w:name w:val="Heading 1 Italic"/>
    <w:basedOn w:val="Heading1"/>
    <w:next w:val="Normal"/>
    <w:rsid w:val="00580BC4"/>
    <w:pPr>
      <w:spacing w:before="240"/>
    </w:pPr>
    <w:rPr>
      <w:i/>
    </w:rPr>
  </w:style>
  <w:style w:type="paragraph" w:customStyle="1" w:styleId="Heading2Indent1">
    <w:name w:val="Heading 2 Indent1"/>
    <w:basedOn w:val="Heading2"/>
    <w:next w:val="Normal"/>
    <w:rsid w:val="00580BC4"/>
    <w:pPr>
      <w:pBdr>
        <w:bottom w:val="none" w:sz="0" w:space="0" w:color="auto"/>
      </w:pBdr>
      <w:spacing w:before="240"/>
      <w:ind w:left="510"/>
    </w:pPr>
  </w:style>
  <w:style w:type="paragraph" w:customStyle="1" w:styleId="Heading3Indent1">
    <w:name w:val="Heading 3 Indent1"/>
    <w:basedOn w:val="Heading3"/>
    <w:next w:val="Normal"/>
    <w:rsid w:val="00FE5D30"/>
    <w:pPr>
      <w:pBdr>
        <w:bottom w:val="none" w:sz="0" w:space="0" w:color="auto"/>
      </w:pBdr>
      <w:ind w:left="782"/>
    </w:pPr>
  </w:style>
  <w:style w:type="paragraph" w:customStyle="1" w:styleId="Heading4Indent1">
    <w:name w:val="Heading 4 Indent1"/>
    <w:basedOn w:val="Heading4"/>
    <w:next w:val="Normal"/>
    <w:rsid w:val="00FE5D30"/>
    <w:pPr>
      <w:ind w:left="782"/>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link w:val="HeaderChar"/>
    <w:uiPriority w:val="99"/>
    <w:rsid w:val="00D74C6A"/>
    <w:pPr>
      <w:tabs>
        <w:tab w:val="center" w:pos="4536"/>
        <w:tab w:val="right" w:pos="9072"/>
      </w:tabs>
    </w:pPr>
  </w:style>
  <w:style w:type="paragraph" w:styleId="Footer">
    <w:name w:val="footer"/>
    <w:basedOn w:val="Normal"/>
    <w:link w:val="FooterChar"/>
    <w:uiPriority w:val="4"/>
    <w:rsid w:val="00D74C6A"/>
    <w:pPr>
      <w:tabs>
        <w:tab w:val="center" w:pos="4536"/>
        <w:tab w:val="right" w:pos="9072"/>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rsid w:val="00B82F15"/>
    <w:pPr>
      <w:tabs>
        <w:tab w:val="left" w:pos="907"/>
      </w:tabs>
    </w:pPr>
  </w:style>
  <w:style w:type="paragraph" w:customStyle="1" w:styleId="CoverLeadPara">
    <w:name w:val="Cover LeadPara"/>
    <w:basedOn w:val="Normal"/>
    <w:next w:val="Normal"/>
    <w:rsid w:val="00F13C5A"/>
    <w:pPr>
      <w:spacing w:after="100"/>
    </w:pPr>
  </w:style>
  <w:style w:type="paragraph" w:customStyle="1" w:styleId="ContentsCapsPlainPg">
    <w:name w:val="Contents CapsPlainPg"/>
    <w:basedOn w:val="Normal"/>
    <w:next w:val="ContentsLevel1"/>
    <w:rsid w:val="00F13C5A"/>
    <w:pPr>
      <w:tabs>
        <w:tab w:val="right" w:pos="6237"/>
      </w:tabs>
      <w:spacing w:after="200"/>
      <w:ind w:left="170" w:right="1134" w:hanging="170"/>
    </w:pPr>
  </w:style>
  <w:style w:type="paragraph" w:customStyle="1" w:styleId="ContentsLevel1">
    <w:name w:val="Contents Level1"/>
    <w:basedOn w:val="Normal"/>
    <w:qFormat/>
    <w:rsid w:val="00E24C45"/>
    <w:pPr>
      <w:tabs>
        <w:tab w:val="right" w:pos="9072"/>
      </w:tabs>
      <w:spacing w:after="60"/>
      <w:ind w:left="170" w:right="1134" w:hanging="170"/>
      <w:jc w:val="left"/>
    </w:pPr>
  </w:style>
  <w:style w:type="paragraph" w:customStyle="1" w:styleId="ContentsCapsBoldPg">
    <w:name w:val="Contents CapsBoldPg"/>
    <w:basedOn w:val="ContentsCapsPlainPg"/>
    <w:next w:val="ContentsLevel1"/>
    <w:rsid w:val="00F13C5A"/>
    <w:rPr>
      <w:b/>
    </w:r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rsid w:val="00972BFA"/>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uiPriority w:val="39"/>
    <w:semiHidden/>
    <w:rsid w:val="00AC4315"/>
  </w:style>
  <w:style w:type="character" w:styleId="Hyperlink">
    <w:name w:val="Hyperlink"/>
    <w:basedOn w:val="DefaultParagraphFont"/>
    <w:uiPriority w:val="99"/>
    <w:rsid w:val="00737714"/>
    <w:rPr>
      <w:color w:val="0000FF"/>
      <w:u w:val="single"/>
    </w:rPr>
  </w:style>
  <w:style w:type="paragraph" w:customStyle="1" w:styleId="NumPlainA">
    <w:name w:val="Num PlainA"/>
    <w:basedOn w:val="Normal"/>
    <w:qFormat/>
    <w:rsid w:val="00580BC4"/>
    <w:pPr>
      <w:numPr>
        <w:numId w:val="25"/>
      </w:numPr>
      <w:spacing w:before="100" w:after="100"/>
    </w:pPr>
  </w:style>
  <w:style w:type="paragraph" w:customStyle="1" w:styleId="NoNumPlain1">
    <w:name w:val="NoNum Plain1"/>
    <w:basedOn w:val="Normal"/>
    <w:uiPriority w:val="2"/>
    <w:qFormat/>
    <w:rsid w:val="00580BC4"/>
    <w:pPr>
      <w:spacing w:before="100" w:after="1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rsid w:val="00580BC4"/>
    <w:pPr>
      <w:spacing w:before="100" w:after="1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uiPriority w:val="2"/>
    <w:qFormat/>
    <w:rsid w:val="00067B06"/>
    <w:pPr>
      <w:numPr>
        <w:numId w:val="1"/>
      </w:numPr>
      <w:spacing w:before="100" w:after="100"/>
    </w:pPr>
  </w:style>
  <w:style w:type="paragraph" w:customStyle="1" w:styleId="NumPlain2">
    <w:name w:val="Num Plain2"/>
    <w:basedOn w:val="NumPlain1"/>
    <w:uiPriority w:val="2"/>
    <w:qFormat/>
    <w:rsid w:val="00067B06"/>
    <w:pPr>
      <w:numPr>
        <w:ilvl w:val="1"/>
      </w:numPr>
    </w:pPr>
  </w:style>
  <w:style w:type="paragraph" w:customStyle="1" w:styleId="NumPlain3">
    <w:name w:val="Num Plain3"/>
    <w:basedOn w:val="NumPlain2"/>
    <w:uiPriority w:val="2"/>
    <w:qFormat/>
    <w:rsid w:val="00426876"/>
    <w:pPr>
      <w:numPr>
        <w:ilvl w:val="2"/>
      </w:numPr>
    </w:pPr>
  </w:style>
  <w:style w:type="paragraph" w:customStyle="1" w:styleId="NumPlain4">
    <w:name w:val="Num Plain4"/>
    <w:basedOn w:val="NumPlain3"/>
    <w:rsid w:val="00F34601"/>
    <w:pPr>
      <w:numPr>
        <w:ilvl w:val="0"/>
        <w:numId w:val="0"/>
      </w:numPr>
      <w:tabs>
        <w:tab w:val="num" w:pos="2041"/>
      </w:tabs>
      <w:ind w:left="2041" w:hanging="510"/>
    </w:pPr>
  </w:style>
  <w:style w:type="paragraph" w:customStyle="1" w:styleId="Bullet1">
    <w:name w:val="Bullet1"/>
    <w:basedOn w:val="Normal"/>
    <w:qFormat/>
    <w:rsid w:val="00580BC4"/>
    <w:pPr>
      <w:numPr>
        <w:numId w:val="4"/>
      </w:numPr>
      <w:spacing w:before="100" w:after="100"/>
      <w:ind w:left="505" w:hanging="505"/>
    </w:pPr>
  </w:style>
  <w:style w:type="paragraph" w:customStyle="1" w:styleId="Bullet2">
    <w:name w:val="Bullet2"/>
    <w:basedOn w:val="Normal"/>
    <w:rsid w:val="00972BFA"/>
    <w:pPr>
      <w:numPr>
        <w:ilvl w:val="1"/>
        <w:numId w:val="4"/>
      </w:numPr>
      <w:spacing w:after="200"/>
      <w:ind w:left="1010" w:hanging="505"/>
    </w:pPr>
  </w:style>
  <w:style w:type="paragraph" w:customStyle="1" w:styleId="Bullet3">
    <w:name w:val="Bullet3"/>
    <w:basedOn w:val="Normal"/>
    <w:rsid w:val="00972BFA"/>
    <w:pPr>
      <w:numPr>
        <w:ilvl w:val="2"/>
        <w:numId w:val="4"/>
      </w:numPr>
      <w:spacing w:after="200"/>
      <w:ind w:left="1514" w:hanging="505"/>
    </w:pPr>
  </w:style>
  <w:style w:type="paragraph" w:customStyle="1" w:styleId="CommentsPage">
    <w:name w:val="CommentsPage"/>
    <w:basedOn w:val="Normal"/>
    <w:next w:val="Normal"/>
  </w:style>
  <w:style w:type="paragraph" w:customStyle="1" w:styleId="Bullet4">
    <w:name w:val="Bullet4"/>
    <w:basedOn w:val="Normal"/>
    <w:rsid w:val="00972BFA"/>
    <w:pPr>
      <w:numPr>
        <w:ilvl w:val="3"/>
        <w:numId w:val="4"/>
      </w:numPr>
      <w:spacing w:after="200"/>
      <w:ind w:left="2019" w:hanging="505"/>
    </w:pPr>
  </w:style>
  <w:style w:type="paragraph" w:customStyle="1" w:styleId="ContentsCapsPlain">
    <w:name w:val="Contents CapsPlain"/>
    <w:basedOn w:val="Normal"/>
    <w:next w:val="ContentsLevel1"/>
    <w:rsid w:val="00F13C5A"/>
    <w:pPr>
      <w:spacing w:after="200"/>
    </w:pPr>
  </w:style>
  <w:style w:type="paragraph" w:customStyle="1" w:styleId="ContentsCapsBold">
    <w:name w:val="Contents CapsBold"/>
    <w:basedOn w:val="ContentsCapsPlain"/>
    <w:next w:val="ContentsLevel1"/>
    <w:rsid w:val="00F13C5A"/>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link w:val="AppendixNoChar"/>
    <w:rsid w:val="000625F2"/>
    <w:pPr>
      <w:keepNext/>
      <w:spacing w:after="200"/>
      <w:jc w:val="left"/>
      <w:outlineLvl w:val="0"/>
    </w:pPr>
    <w:rPr>
      <w:rFonts w:ascii="Arial" w:hAnsi="Arial"/>
      <w:b/>
      <w:sz w:val="26"/>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972BFA"/>
    <w:pPr>
      <w:spacing w:after="200"/>
    </w:pPr>
    <w:rPr>
      <w:i/>
      <w:iCs/>
    </w:rPr>
  </w:style>
  <w:style w:type="paragraph" w:customStyle="1" w:styleId="AppendixText">
    <w:name w:val="AppendixText"/>
    <w:basedOn w:val="Normal"/>
    <w:rsid w:val="00580BC4"/>
    <w:pPr>
      <w:spacing w:before="100" w:after="100"/>
    </w:pPr>
  </w:style>
  <w:style w:type="paragraph" w:customStyle="1" w:styleId="AppendixTitle">
    <w:name w:val="AppendixTitle"/>
    <w:basedOn w:val="Normal"/>
    <w:next w:val="AppendixNote"/>
    <w:rsid w:val="000625F2"/>
    <w:pPr>
      <w:keepNext/>
      <w:spacing w:after="200"/>
      <w:jc w:val="left"/>
      <w:outlineLvl w:val="0"/>
    </w:pPr>
    <w:rPr>
      <w:rFonts w:ascii="Arial" w:hAnsi="Arial"/>
      <w:b/>
      <w:sz w:val="26"/>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580BC4"/>
    <w:pPr>
      <w:numPr>
        <w:numId w:val="2"/>
      </w:numPr>
      <w:spacing w:before="100" w:after="100"/>
    </w:pPr>
  </w:style>
  <w:style w:type="paragraph" w:customStyle="1" w:styleId="NumBold1">
    <w:name w:val="Num Bold1"/>
    <w:basedOn w:val="NumPlain1"/>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F34601"/>
    <w:pPr>
      <w:spacing w:before="100" w:after="100"/>
      <w:ind w:left="782" w:hanging="782"/>
    </w:pPr>
  </w:style>
  <w:style w:type="paragraph" w:customStyle="1" w:styleId="NumBC2">
    <w:name w:val="Num BC2"/>
    <w:basedOn w:val="NumBC1"/>
    <w:rsid w:val="00F34601"/>
    <w:pPr>
      <w:ind w:left="1281" w:hanging="499"/>
    </w:pPr>
  </w:style>
  <w:style w:type="paragraph" w:customStyle="1" w:styleId="NumBC3">
    <w:name w:val="Num BC3"/>
    <w:basedOn w:val="NumBC2"/>
    <w:rsid w:val="00F34601"/>
    <w:pPr>
      <w:ind w:left="2063" w:hanging="782"/>
    </w:pPr>
  </w:style>
  <w:style w:type="paragraph" w:customStyle="1" w:styleId="NumBC4">
    <w:name w:val="Num BC4"/>
    <w:basedOn w:val="NumBC3"/>
    <w:rsid w:val="00F34601"/>
    <w:pPr>
      <w:tabs>
        <w:tab w:val="num" w:pos="2211"/>
      </w:tabs>
      <w:ind w:left="2211" w:hanging="624"/>
    </w:pPr>
  </w:style>
  <w:style w:type="numbering" w:customStyle="1" w:styleId="Bullets">
    <w:name w:val="Bullets"/>
    <w:rsid w:val="00F27D29"/>
    <w:pPr>
      <w:numPr>
        <w:numId w:val="3"/>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rsid w:val="00C0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NumPlain1">
    <w:name w:val="SubNum Plain1"/>
    <w:basedOn w:val="PlainHanging1"/>
    <w:qFormat/>
    <w:rsid w:val="00A96702"/>
    <w:pPr>
      <w:ind w:left="0" w:firstLine="0"/>
    </w:pPr>
  </w:style>
  <w:style w:type="paragraph" w:customStyle="1" w:styleId="SubNumPlain2">
    <w:name w:val="SubNum Plain2"/>
    <w:basedOn w:val="PlainHanging2"/>
    <w:qFormat/>
    <w:rsid w:val="00A96702"/>
    <w:pPr>
      <w:numPr>
        <w:ilvl w:val="1"/>
        <w:numId w:val="6"/>
      </w:numPr>
    </w:pPr>
  </w:style>
  <w:style w:type="paragraph" w:customStyle="1" w:styleId="SubNumPlain3">
    <w:name w:val="SubNum Plain3"/>
    <w:basedOn w:val="PlainHanging3"/>
    <w:qFormat/>
    <w:rsid w:val="00A96702"/>
    <w:pPr>
      <w:numPr>
        <w:ilvl w:val="2"/>
        <w:numId w:val="6"/>
      </w:numPr>
    </w:pPr>
  </w:style>
  <w:style w:type="paragraph" w:customStyle="1" w:styleId="SubNumPlain4">
    <w:name w:val="SubNum Plain4"/>
    <w:basedOn w:val="PlainHanging4"/>
    <w:qFormat/>
    <w:rsid w:val="00A96702"/>
    <w:pPr>
      <w:numPr>
        <w:ilvl w:val="3"/>
        <w:numId w:val="6"/>
      </w:numPr>
    </w:pPr>
  </w:style>
  <w:style w:type="paragraph" w:customStyle="1" w:styleId="SubNumBold1">
    <w:name w:val="SubNum Bold1"/>
    <w:basedOn w:val="BoldHanging1"/>
    <w:qFormat/>
    <w:rsid w:val="00A96702"/>
    <w:pPr>
      <w:numPr>
        <w:numId w:val="7"/>
      </w:numPr>
    </w:pPr>
  </w:style>
  <w:style w:type="paragraph" w:customStyle="1" w:styleId="SubNumBold2">
    <w:name w:val="SubNum Bold2"/>
    <w:basedOn w:val="BoldHanging2"/>
    <w:qFormat/>
    <w:rsid w:val="00A96702"/>
    <w:pPr>
      <w:numPr>
        <w:ilvl w:val="1"/>
        <w:numId w:val="7"/>
      </w:numPr>
    </w:pPr>
  </w:style>
  <w:style w:type="paragraph" w:customStyle="1" w:styleId="SubNumBold3">
    <w:name w:val="SubNum Bold3"/>
    <w:basedOn w:val="BoldHanging3"/>
    <w:qFormat/>
    <w:rsid w:val="00A96702"/>
    <w:pPr>
      <w:numPr>
        <w:ilvl w:val="2"/>
        <w:numId w:val="7"/>
      </w:numPr>
    </w:pPr>
  </w:style>
  <w:style w:type="paragraph" w:customStyle="1" w:styleId="SubNumBold4">
    <w:name w:val="SubNum Bold4"/>
    <w:basedOn w:val="BoldHanging4"/>
    <w:qFormat/>
    <w:rsid w:val="00A96702"/>
    <w:pPr>
      <w:numPr>
        <w:ilvl w:val="3"/>
        <w:numId w:val="7"/>
      </w:numPr>
    </w:pPr>
  </w:style>
  <w:style w:type="numbering" w:customStyle="1" w:styleId="AASBSubNumbers">
    <w:name w:val="AASB SubNumbers"/>
    <w:rsid w:val="00A96702"/>
    <w:pPr>
      <w:numPr>
        <w:numId w:val="5"/>
      </w:numPr>
    </w:pPr>
  </w:style>
  <w:style w:type="numbering" w:customStyle="1" w:styleId="AASBSubNumbersBold">
    <w:name w:val="AASB SubNumbers Bold"/>
    <w:rsid w:val="00A96702"/>
    <w:pPr>
      <w:numPr>
        <w:numId w:val="7"/>
      </w:numPr>
    </w:pPr>
  </w:style>
  <w:style w:type="character" w:customStyle="1" w:styleId="NumPlain1Char">
    <w:name w:val="Num Plain1 Char"/>
    <w:basedOn w:val="DefaultParagraphFont"/>
    <w:link w:val="NumPlain1"/>
    <w:uiPriority w:val="2"/>
    <w:rsid w:val="00067B06"/>
    <w:rPr>
      <w:sz w:val="19"/>
      <w:lang w:eastAsia="en-US"/>
    </w:rPr>
  </w:style>
  <w:style w:type="character" w:customStyle="1" w:styleId="FooterChar">
    <w:name w:val="Footer Char"/>
    <w:basedOn w:val="DefaultParagraphFont"/>
    <w:link w:val="Footer"/>
    <w:uiPriority w:val="4"/>
    <w:rsid w:val="00E05DDF"/>
    <w:rPr>
      <w:sz w:val="19"/>
      <w:lang w:eastAsia="en-US"/>
    </w:rPr>
  </w:style>
  <w:style w:type="character" w:customStyle="1" w:styleId="AppendixNoChar">
    <w:name w:val="AppendixNo Char"/>
    <w:basedOn w:val="DefaultParagraphFont"/>
    <w:link w:val="AppendixNo"/>
    <w:rsid w:val="00E1000C"/>
    <w:rPr>
      <w:rFonts w:ascii="Arial" w:hAnsi="Arial"/>
      <w:b/>
      <w:sz w:val="26"/>
      <w:szCs w:val="28"/>
      <w:lang w:eastAsia="en-US"/>
    </w:rPr>
  </w:style>
  <w:style w:type="paragraph" w:customStyle="1" w:styleId="IASBSectionTitle1NonInd">
    <w:name w:val="IASB Section Title 1 NonInd"/>
    <w:basedOn w:val="Normal"/>
    <w:link w:val="IASBSectionTitle1NonIndChar"/>
    <w:uiPriority w:val="8"/>
    <w:rsid w:val="00D6526B"/>
    <w:pPr>
      <w:keepNext/>
      <w:keepLines/>
      <w:pBdr>
        <w:bottom w:val="single" w:sz="4" w:space="0" w:color="auto"/>
      </w:pBdr>
      <w:spacing w:before="400" w:after="200"/>
      <w:jc w:val="left"/>
      <w:outlineLvl w:val="0"/>
    </w:pPr>
    <w:rPr>
      <w:rFonts w:ascii="Arial" w:hAnsi="Arial" w:cs="Arial"/>
      <w:b/>
      <w:sz w:val="26"/>
    </w:rPr>
  </w:style>
  <w:style w:type="character" w:customStyle="1" w:styleId="IASBSectionTitle1NonIndChar">
    <w:name w:val="IASB Section Title 1 NonInd Char"/>
    <w:basedOn w:val="DefaultParagraphFont"/>
    <w:link w:val="IASBSectionTitle1NonInd"/>
    <w:uiPriority w:val="8"/>
    <w:rsid w:val="00D6526B"/>
    <w:rPr>
      <w:rFonts w:ascii="Arial" w:hAnsi="Arial" w:cs="Arial"/>
      <w:b/>
      <w:sz w:val="26"/>
      <w:lang w:eastAsia="en-US"/>
    </w:rPr>
  </w:style>
  <w:style w:type="paragraph" w:customStyle="1" w:styleId="NumFPlain1">
    <w:name w:val="Num F Plain1"/>
    <w:basedOn w:val="NumPlain1"/>
    <w:qFormat/>
    <w:rsid w:val="00AA5277"/>
    <w:pPr>
      <w:numPr>
        <w:numId w:val="8"/>
      </w:numPr>
    </w:pPr>
  </w:style>
  <w:style w:type="paragraph" w:customStyle="1" w:styleId="NumFPlain2">
    <w:name w:val="Num F Plain2"/>
    <w:basedOn w:val="NumFPlain1"/>
    <w:qFormat/>
    <w:rsid w:val="00067B06"/>
    <w:pPr>
      <w:numPr>
        <w:ilvl w:val="1"/>
      </w:numPr>
    </w:pPr>
  </w:style>
  <w:style w:type="paragraph" w:customStyle="1" w:styleId="NumFPlain3">
    <w:name w:val="Num F Plain3"/>
    <w:basedOn w:val="NumFPlain2"/>
    <w:qFormat/>
    <w:rsid w:val="00067B06"/>
    <w:pPr>
      <w:numPr>
        <w:ilvl w:val="2"/>
      </w:numPr>
    </w:pPr>
  </w:style>
  <w:style w:type="paragraph" w:customStyle="1" w:styleId="IASBSectionTitle2Ind">
    <w:name w:val="IASB Section Title 2 Ind"/>
    <w:basedOn w:val="Normal"/>
    <w:uiPriority w:val="8"/>
    <w:rsid w:val="00354B47"/>
    <w:pPr>
      <w:keepNext/>
      <w:keepLines/>
      <w:spacing w:before="240" w:after="200"/>
      <w:ind w:left="782"/>
      <w:jc w:val="left"/>
      <w:outlineLvl w:val="1"/>
    </w:pPr>
    <w:rPr>
      <w:rFonts w:ascii="Arial" w:hAnsi="Arial" w:cs="Arial"/>
      <w:b/>
      <w:sz w:val="26"/>
    </w:rPr>
  </w:style>
  <w:style w:type="character" w:styleId="FootnoteReference">
    <w:name w:val="footnote reference"/>
    <w:basedOn w:val="DefaultParagraphFont"/>
    <w:uiPriority w:val="5"/>
    <w:qFormat/>
    <w:rsid w:val="00354B47"/>
    <w:rPr>
      <w:vertAlign w:val="superscript"/>
    </w:rPr>
  </w:style>
  <w:style w:type="character" w:customStyle="1" w:styleId="FootnoteTextChar">
    <w:name w:val="Footnote Text Char"/>
    <w:aliases w:val="Footnote Text Char2 Char,Footnote Text Char11 Char,Footnote Text Char3 Char,Footnote Text Char4 Char,Footnote Text Char5 Char,Footnote Text Char6 Char,Footnote Text Char12 Char,Footnote Text Char21 Char,Footnote Text Char31 Char"/>
    <w:basedOn w:val="DefaultParagraphFont"/>
    <w:link w:val="FootnoteText"/>
    <w:uiPriority w:val="5"/>
    <w:rsid w:val="00354B47"/>
    <w:rPr>
      <w:sz w:val="16"/>
      <w:lang w:eastAsia="en-US"/>
    </w:rPr>
  </w:style>
  <w:style w:type="character" w:styleId="CommentReference">
    <w:name w:val="annotation reference"/>
    <w:basedOn w:val="DefaultParagraphFont"/>
    <w:uiPriority w:val="5"/>
    <w:rsid w:val="00354B47"/>
    <w:rPr>
      <w:sz w:val="16"/>
      <w:szCs w:val="16"/>
    </w:rPr>
  </w:style>
  <w:style w:type="paragraph" w:styleId="CommentText">
    <w:name w:val="annotation text"/>
    <w:basedOn w:val="Normal"/>
    <w:link w:val="CommentTextChar"/>
    <w:uiPriority w:val="5"/>
    <w:rsid w:val="00354B47"/>
    <w:pPr>
      <w:jc w:val="left"/>
    </w:pPr>
    <w:rPr>
      <w:sz w:val="20"/>
    </w:rPr>
  </w:style>
  <w:style w:type="character" w:customStyle="1" w:styleId="CommentTextChar">
    <w:name w:val="Comment Text Char"/>
    <w:basedOn w:val="DefaultParagraphFont"/>
    <w:link w:val="CommentText"/>
    <w:uiPriority w:val="5"/>
    <w:rsid w:val="00354B47"/>
    <w:rPr>
      <w:lang w:eastAsia="en-US"/>
    </w:rPr>
  </w:style>
  <w:style w:type="paragraph" w:styleId="BalloonText">
    <w:name w:val="Balloon Text"/>
    <w:basedOn w:val="Normal"/>
    <w:link w:val="BalloonTextChar"/>
    <w:uiPriority w:val="99"/>
    <w:rsid w:val="00354B47"/>
    <w:rPr>
      <w:rFonts w:ascii="Tahoma" w:hAnsi="Tahoma" w:cs="Tahoma"/>
      <w:sz w:val="16"/>
      <w:szCs w:val="16"/>
    </w:rPr>
  </w:style>
  <w:style w:type="character" w:customStyle="1" w:styleId="BalloonTextChar">
    <w:name w:val="Balloon Text Char"/>
    <w:basedOn w:val="DefaultParagraphFont"/>
    <w:link w:val="BalloonText"/>
    <w:uiPriority w:val="99"/>
    <w:rsid w:val="00354B47"/>
    <w:rPr>
      <w:rFonts w:ascii="Tahoma" w:hAnsi="Tahoma" w:cs="Tahoma"/>
      <w:sz w:val="16"/>
      <w:szCs w:val="16"/>
      <w:lang w:eastAsia="en-US"/>
    </w:rPr>
  </w:style>
  <w:style w:type="character" w:customStyle="1" w:styleId="Heading1Char">
    <w:name w:val="Heading 1 Char"/>
    <w:basedOn w:val="DefaultParagraphFont"/>
    <w:link w:val="Heading1"/>
    <w:uiPriority w:val="9"/>
    <w:rsid w:val="004B71C3"/>
    <w:rPr>
      <w:rFonts w:ascii="Arial" w:hAnsi="Arial" w:cs="Arial"/>
      <w:b/>
      <w:bCs/>
      <w:sz w:val="26"/>
      <w:szCs w:val="32"/>
      <w:lang w:eastAsia="en-US"/>
    </w:rPr>
  </w:style>
  <w:style w:type="paragraph" w:styleId="CommentSubject">
    <w:name w:val="annotation subject"/>
    <w:basedOn w:val="CommentText"/>
    <w:next w:val="CommentText"/>
    <w:link w:val="CommentSubjectChar"/>
    <w:uiPriority w:val="99"/>
    <w:rsid w:val="00A857AE"/>
    <w:pPr>
      <w:jc w:val="both"/>
    </w:pPr>
    <w:rPr>
      <w:b/>
      <w:bCs/>
    </w:rPr>
  </w:style>
  <w:style w:type="character" w:customStyle="1" w:styleId="CommentSubjectChar">
    <w:name w:val="Comment Subject Char"/>
    <w:basedOn w:val="CommentTextChar"/>
    <w:link w:val="CommentSubject"/>
    <w:uiPriority w:val="99"/>
    <w:rsid w:val="00A857AE"/>
    <w:rPr>
      <w:b/>
      <w:bCs/>
      <w:lang w:eastAsia="en-US"/>
    </w:rPr>
  </w:style>
  <w:style w:type="table" w:customStyle="1" w:styleId="TableGrid1">
    <w:name w:val="Table Grid1"/>
    <w:basedOn w:val="TableNormal"/>
    <w:next w:val="TableGrid"/>
    <w:uiPriority w:val="59"/>
    <w:rsid w:val="00E2781A"/>
    <w:tblPr/>
  </w:style>
  <w:style w:type="paragraph" w:customStyle="1" w:styleId="NumBPlain1">
    <w:name w:val="Num B Plain 1"/>
    <w:basedOn w:val="Normal"/>
    <w:qFormat/>
    <w:rsid w:val="00C47A1D"/>
    <w:pPr>
      <w:spacing w:after="240"/>
    </w:pPr>
  </w:style>
  <w:style w:type="paragraph" w:customStyle="1" w:styleId="NumBPlain2">
    <w:name w:val="Num B Plain 2"/>
    <w:basedOn w:val="NumBPlain1"/>
    <w:qFormat/>
    <w:rsid w:val="00E2781A"/>
    <w:pPr>
      <w:numPr>
        <w:ilvl w:val="1"/>
      </w:numPr>
      <w:ind w:left="1564" w:hanging="782"/>
    </w:pPr>
  </w:style>
  <w:style w:type="paragraph" w:customStyle="1" w:styleId="NumBPlain3">
    <w:name w:val="Num B Plain 3"/>
    <w:basedOn w:val="NumBPlain2"/>
    <w:qFormat/>
    <w:rsid w:val="00E2781A"/>
    <w:pPr>
      <w:numPr>
        <w:ilvl w:val="2"/>
      </w:numPr>
      <w:ind w:left="2347" w:hanging="782"/>
    </w:pPr>
  </w:style>
  <w:style w:type="table" w:styleId="TableGrid10">
    <w:name w:val="Table Grid 1"/>
    <w:basedOn w:val="TableNormal"/>
    <w:uiPriority w:val="99"/>
    <w:rsid w:val="00E2781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umIEPlain1">
    <w:name w:val="Num IE Plain 1"/>
    <w:basedOn w:val="Normal"/>
    <w:qFormat/>
    <w:rsid w:val="004C0037"/>
    <w:pPr>
      <w:numPr>
        <w:numId w:val="9"/>
      </w:numPr>
      <w:spacing w:after="100"/>
    </w:pPr>
  </w:style>
  <w:style w:type="paragraph" w:customStyle="1" w:styleId="NumIEPlain2">
    <w:name w:val="Num IE Plain 2"/>
    <w:basedOn w:val="NumIEPlain1"/>
    <w:qFormat/>
    <w:rsid w:val="009865F0"/>
    <w:pPr>
      <w:numPr>
        <w:ilvl w:val="1"/>
      </w:numPr>
    </w:pPr>
  </w:style>
  <w:style w:type="paragraph" w:customStyle="1" w:styleId="NumIEPlain3">
    <w:name w:val="Num IE Plain 3"/>
    <w:basedOn w:val="NumIEPlain2"/>
    <w:qFormat/>
    <w:rsid w:val="009865F0"/>
    <w:pPr>
      <w:numPr>
        <w:ilvl w:val="2"/>
      </w:numPr>
    </w:pPr>
  </w:style>
  <w:style w:type="paragraph" w:customStyle="1" w:styleId="IASBSectionTitle3Ind">
    <w:name w:val="IASB Section Title 3 Ind"/>
    <w:basedOn w:val="Normal"/>
    <w:uiPriority w:val="8"/>
    <w:rsid w:val="00346578"/>
    <w:pPr>
      <w:keepNext/>
      <w:keepLines/>
      <w:spacing w:before="240" w:after="200"/>
      <w:ind w:left="782"/>
      <w:jc w:val="left"/>
      <w:outlineLvl w:val="2"/>
    </w:pPr>
    <w:rPr>
      <w:rFonts w:ascii="Arial" w:hAnsi="Arial" w:cs="Arial"/>
      <w:b/>
      <w:sz w:val="22"/>
    </w:rPr>
  </w:style>
  <w:style w:type="paragraph" w:customStyle="1" w:styleId="IASBSectionTitle4Ind">
    <w:name w:val="IASB Section Title 4 Ind"/>
    <w:basedOn w:val="Normal"/>
    <w:uiPriority w:val="8"/>
    <w:rsid w:val="00346578"/>
    <w:pPr>
      <w:keepNext/>
      <w:keepLines/>
      <w:spacing w:before="300" w:after="200"/>
      <w:ind w:left="782"/>
      <w:jc w:val="left"/>
      <w:outlineLvl w:val="3"/>
    </w:pPr>
    <w:rPr>
      <w:rFonts w:ascii="Arial" w:hAnsi="Arial" w:cs="Arial"/>
      <w:i/>
      <w:sz w:val="22"/>
    </w:rPr>
  </w:style>
  <w:style w:type="character" w:customStyle="1" w:styleId="HeaderChar">
    <w:name w:val="Header Char"/>
    <w:link w:val="Header"/>
    <w:uiPriority w:val="99"/>
    <w:rsid w:val="006B052F"/>
    <w:rPr>
      <w:sz w:val="19"/>
      <w:lang w:eastAsia="en-US"/>
    </w:rPr>
  </w:style>
  <w:style w:type="paragraph" w:customStyle="1" w:styleId="IASBNormal">
    <w:name w:val="IASB Normal"/>
    <w:link w:val="IASBNormalChar"/>
    <w:uiPriority w:val="8"/>
    <w:rsid w:val="006B052F"/>
    <w:pPr>
      <w:tabs>
        <w:tab w:val="left" w:pos="4253"/>
      </w:tabs>
      <w:spacing w:before="100" w:after="100"/>
      <w:jc w:val="both"/>
    </w:pPr>
    <w:rPr>
      <w:sz w:val="19"/>
      <w:lang w:eastAsia="en-US"/>
    </w:rPr>
  </w:style>
  <w:style w:type="character" w:customStyle="1" w:styleId="IASBNormalChar">
    <w:name w:val="IASB Normal Char"/>
    <w:basedOn w:val="DefaultParagraphFont"/>
    <w:link w:val="IASBNormal"/>
    <w:uiPriority w:val="8"/>
    <w:rsid w:val="006B052F"/>
    <w:rPr>
      <w:sz w:val="19"/>
      <w:lang w:eastAsia="en-US"/>
    </w:rPr>
  </w:style>
  <w:style w:type="paragraph" w:styleId="ListParagraph">
    <w:name w:val="List Paragraph"/>
    <w:basedOn w:val="Normal"/>
    <w:link w:val="ListParagraphChar"/>
    <w:uiPriority w:val="34"/>
    <w:qFormat/>
    <w:rsid w:val="007F6E64"/>
    <w:pPr>
      <w:numPr>
        <w:numId w:val="14"/>
      </w:numPr>
      <w:pBdr>
        <w:left w:val="single" w:sz="4" w:space="4" w:color="auto"/>
        <w:right w:val="single" w:sz="4" w:space="4" w:color="auto"/>
      </w:pBdr>
      <w:spacing w:after="100"/>
      <w:contextualSpacing/>
      <w:jc w:val="left"/>
    </w:pPr>
  </w:style>
  <w:style w:type="character" w:customStyle="1" w:styleId="Heading2Char">
    <w:name w:val="Heading 2 Char"/>
    <w:basedOn w:val="DefaultParagraphFont"/>
    <w:link w:val="Heading2"/>
    <w:uiPriority w:val="9"/>
    <w:rsid w:val="003D41A0"/>
    <w:rPr>
      <w:rFonts w:ascii="Arial" w:hAnsi="Arial" w:cs="Arial"/>
      <w:b/>
      <w:iCs/>
      <w:sz w:val="26"/>
      <w:szCs w:val="28"/>
      <w:lang w:eastAsia="en-US"/>
    </w:rPr>
  </w:style>
  <w:style w:type="numbering" w:customStyle="1" w:styleId="AASBNumbers">
    <w:name w:val="AASB Numbers"/>
    <w:uiPriority w:val="99"/>
    <w:rsid w:val="003D41A0"/>
    <w:pPr>
      <w:numPr>
        <w:numId w:val="10"/>
      </w:numPr>
    </w:pPr>
  </w:style>
  <w:style w:type="paragraph" w:customStyle="1" w:styleId="NumAG3">
    <w:name w:val="Num AG3"/>
    <w:basedOn w:val="Normal"/>
    <w:rsid w:val="003D41A0"/>
    <w:pPr>
      <w:tabs>
        <w:tab w:val="num" w:pos="1871"/>
      </w:tabs>
      <w:spacing w:after="200" w:line="200" w:lineRule="exact"/>
      <w:ind w:left="1871" w:hanging="624"/>
      <w:jc w:val="left"/>
    </w:pPr>
    <w:rPr>
      <w:sz w:val="20"/>
    </w:rPr>
  </w:style>
  <w:style w:type="paragraph" w:customStyle="1" w:styleId="NumCPlain1">
    <w:name w:val="Num C Plain 1"/>
    <w:basedOn w:val="Normal"/>
    <w:qFormat/>
    <w:rsid w:val="00F34601"/>
    <w:pPr>
      <w:spacing w:before="100" w:after="100"/>
    </w:pPr>
  </w:style>
  <w:style w:type="paragraph" w:customStyle="1" w:styleId="NumCPlain2">
    <w:name w:val="Num C Plain 2"/>
    <w:basedOn w:val="NumCPlain1"/>
    <w:qFormat/>
    <w:rsid w:val="00F34601"/>
    <w:pPr>
      <w:ind w:left="1565" w:hanging="783"/>
    </w:pPr>
  </w:style>
  <w:style w:type="paragraph" w:customStyle="1" w:styleId="NumCPlain3">
    <w:name w:val="Num C Plain 3"/>
    <w:basedOn w:val="NumCPlain2"/>
    <w:qFormat/>
    <w:rsid w:val="00F34601"/>
    <w:pPr>
      <w:ind w:left="2347" w:hanging="782"/>
    </w:pPr>
  </w:style>
  <w:style w:type="paragraph" w:customStyle="1" w:styleId="DLevel1">
    <w:name w:val="DLevel 1"/>
    <w:basedOn w:val="Normal"/>
    <w:uiPriority w:val="1"/>
    <w:qFormat/>
    <w:rsid w:val="0055166C"/>
    <w:pPr>
      <w:numPr>
        <w:numId w:val="12"/>
      </w:numPr>
      <w:spacing w:after="200" w:line="200" w:lineRule="exact"/>
      <w:jc w:val="left"/>
    </w:pPr>
    <w:rPr>
      <w:sz w:val="20"/>
    </w:rPr>
  </w:style>
  <w:style w:type="paragraph" w:customStyle="1" w:styleId="DLevel2">
    <w:name w:val="DLevel 2"/>
    <w:basedOn w:val="Normal"/>
    <w:uiPriority w:val="1"/>
    <w:qFormat/>
    <w:rsid w:val="0055166C"/>
    <w:pPr>
      <w:numPr>
        <w:ilvl w:val="1"/>
        <w:numId w:val="12"/>
      </w:numPr>
      <w:spacing w:after="200" w:line="200" w:lineRule="exact"/>
      <w:jc w:val="left"/>
    </w:pPr>
    <w:rPr>
      <w:sz w:val="20"/>
    </w:rPr>
  </w:style>
  <w:style w:type="paragraph" w:customStyle="1" w:styleId="DLevel3">
    <w:name w:val="DLevel 3"/>
    <w:basedOn w:val="Normal"/>
    <w:uiPriority w:val="1"/>
    <w:qFormat/>
    <w:rsid w:val="0055166C"/>
    <w:pPr>
      <w:numPr>
        <w:ilvl w:val="2"/>
        <w:numId w:val="12"/>
      </w:numPr>
      <w:spacing w:after="200" w:line="200" w:lineRule="exact"/>
      <w:jc w:val="left"/>
    </w:pPr>
    <w:rPr>
      <w:sz w:val="20"/>
    </w:rPr>
  </w:style>
  <w:style w:type="numbering" w:customStyle="1" w:styleId="DNos">
    <w:name w:val="DNos"/>
    <w:rsid w:val="0055166C"/>
    <w:pPr>
      <w:numPr>
        <w:numId w:val="11"/>
      </w:numPr>
    </w:pPr>
  </w:style>
  <w:style w:type="paragraph" w:customStyle="1" w:styleId="AmendmentInstruction">
    <w:name w:val="AmendmentInstruction"/>
    <w:qFormat/>
    <w:rsid w:val="0055166C"/>
    <w:pPr>
      <w:keepNext/>
      <w:pBdr>
        <w:top w:val="single" w:sz="4" w:space="5" w:color="auto"/>
        <w:left w:val="single" w:sz="4" w:space="4" w:color="auto"/>
        <w:bottom w:val="single" w:sz="4" w:space="5" w:color="auto"/>
        <w:right w:val="single" w:sz="4" w:space="4" w:color="auto"/>
      </w:pBdr>
      <w:spacing w:before="120" w:after="240"/>
    </w:pPr>
    <w:rPr>
      <w:rFonts w:ascii="Arial" w:hAnsi="Arial"/>
      <w:sz w:val="18"/>
      <w:lang w:eastAsia="en-US"/>
    </w:rPr>
  </w:style>
  <w:style w:type="paragraph" w:customStyle="1" w:styleId="ConvSectionTitle">
    <w:name w:val="Conv Section Title"/>
    <w:basedOn w:val="IASBSectionTitle1NonInd"/>
    <w:uiPriority w:val="9"/>
    <w:qFormat/>
    <w:rsid w:val="00D66534"/>
    <w:pPr>
      <w:pBdr>
        <w:bottom w:val="none" w:sz="0" w:space="0" w:color="auto"/>
      </w:pBdr>
    </w:pPr>
  </w:style>
  <w:style w:type="paragraph" w:customStyle="1" w:styleId="AppendixBPara">
    <w:name w:val="AppendixB Para"/>
    <w:basedOn w:val="Normal"/>
    <w:qFormat/>
    <w:rsid w:val="00D66534"/>
    <w:pPr>
      <w:numPr>
        <w:numId w:val="13"/>
      </w:numPr>
      <w:spacing w:before="100"/>
      <w:ind w:left="782" w:hanging="782"/>
    </w:pPr>
  </w:style>
  <w:style w:type="paragraph" w:customStyle="1" w:styleId="IEText">
    <w:name w:val="IE Text"/>
    <w:basedOn w:val="Normal"/>
    <w:qFormat/>
    <w:rsid w:val="003D1902"/>
    <w:pPr>
      <w:pBdr>
        <w:top w:val="single" w:sz="4" w:space="5" w:color="auto"/>
        <w:left w:val="single" w:sz="4" w:space="4" w:color="auto"/>
        <w:bottom w:val="single" w:sz="4" w:space="7" w:color="auto"/>
        <w:right w:val="single" w:sz="4" w:space="4" w:color="auto"/>
      </w:pBdr>
      <w:spacing w:after="100"/>
      <w:ind w:left="782"/>
      <w:jc w:val="left"/>
    </w:pPr>
  </w:style>
  <w:style w:type="paragraph" w:customStyle="1" w:styleId="NumDPlain1">
    <w:name w:val="Num D Plain 1"/>
    <w:basedOn w:val="Normal"/>
    <w:qFormat/>
    <w:rsid w:val="00235618"/>
    <w:pPr>
      <w:tabs>
        <w:tab w:val="num" w:pos="782"/>
      </w:tabs>
      <w:spacing w:after="240"/>
      <w:ind w:left="782" w:hanging="782"/>
      <w:jc w:val="left"/>
    </w:pPr>
  </w:style>
  <w:style w:type="paragraph" w:customStyle="1" w:styleId="NumDPlain2">
    <w:name w:val="Num D Plain 2"/>
    <w:basedOn w:val="NumDPlain1"/>
    <w:qFormat/>
    <w:rsid w:val="00235618"/>
    <w:pPr>
      <w:tabs>
        <w:tab w:val="clear" w:pos="782"/>
      </w:tabs>
      <w:ind w:firstLine="0"/>
    </w:pPr>
  </w:style>
  <w:style w:type="paragraph" w:customStyle="1" w:styleId="NumDPlain3">
    <w:name w:val="Num D Plain 3"/>
    <w:basedOn w:val="NumDPlain2"/>
    <w:qFormat/>
    <w:rsid w:val="00235618"/>
    <w:pPr>
      <w:ind w:left="2347" w:hanging="782"/>
    </w:pPr>
  </w:style>
  <w:style w:type="paragraph" w:customStyle="1" w:styleId="PlainNumHang1">
    <w:name w:val="Plain Num Hang 1"/>
    <w:basedOn w:val="Normal"/>
    <w:qFormat/>
    <w:rsid w:val="00235618"/>
    <w:pPr>
      <w:spacing w:after="240"/>
      <w:ind w:left="782" w:hanging="782"/>
      <w:jc w:val="left"/>
    </w:pPr>
  </w:style>
  <w:style w:type="character" w:styleId="PlaceholderText">
    <w:name w:val="Placeholder Text"/>
    <w:basedOn w:val="DefaultParagraphFont"/>
    <w:uiPriority w:val="99"/>
    <w:semiHidden/>
    <w:rsid w:val="00235618"/>
    <w:rPr>
      <w:color w:val="808080"/>
    </w:rPr>
  </w:style>
  <w:style w:type="paragraph" w:styleId="Revision">
    <w:name w:val="Revision"/>
    <w:hidden/>
    <w:uiPriority w:val="99"/>
    <w:semiHidden/>
    <w:rsid w:val="00C44881"/>
    <w:rPr>
      <w:sz w:val="19"/>
      <w:lang w:eastAsia="en-US"/>
    </w:rPr>
  </w:style>
  <w:style w:type="paragraph" w:customStyle="1" w:styleId="IE1">
    <w:name w:val="IE1"/>
    <w:basedOn w:val="Normal"/>
    <w:uiPriority w:val="1"/>
    <w:qFormat/>
    <w:rsid w:val="00BA5A1C"/>
    <w:pPr>
      <w:numPr>
        <w:numId w:val="16"/>
      </w:numPr>
      <w:spacing w:after="200" w:line="200" w:lineRule="exact"/>
      <w:jc w:val="left"/>
    </w:pPr>
    <w:rPr>
      <w:sz w:val="20"/>
    </w:rPr>
  </w:style>
  <w:style w:type="paragraph" w:customStyle="1" w:styleId="IE2">
    <w:name w:val="IE2"/>
    <w:basedOn w:val="Normal"/>
    <w:uiPriority w:val="1"/>
    <w:qFormat/>
    <w:rsid w:val="00BA5A1C"/>
    <w:pPr>
      <w:numPr>
        <w:ilvl w:val="1"/>
        <w:numId w:val="16"/>
      </w:numPr>
      <w:spacing w:after="200" w:line="200" w:lineRule="exact"/>
      <w:jc w:val="left"/>
    </w:pPr>
    <w:rPr>
      <w:sz w:val="20"/>
    </w:rPr>
  </w:style>
  <w:style w:type="paragraph" w:customStyle="1" w:styleId="IE3">
    <w:name w:val="IE3"/>
    <w:basedOn w:val="Normal"/>
    <w:uiPriority w:val="1"/>
    <w:qFormat/>
    <w:rsid w:val="00BA5A1C"/>
    <w:pPr>
      <w:numPr>
        <w:ilvl w:val="2"/>
        <w:numId w:val="16"/>
      </w:numPr>
      <w:spacing w:after="200" w:line="200" w:lineRule="exact"/>
      <w:jc w:val="left"/>
    </w:pPr>
    <w:rPr>
      <w:sz w:val="20"/>
    </w:rPr>
  </w:style>
  <w:style w:type="numbering" w:customStyle="1" w:styleId="IENos">
    <w:name w:val="IENos"/>
    <w:uiPriority w:val="99"/>
    <w:rsid w:val="00BA5A1C"/>
    <w:pPr>
      <w:numPr>
        <w:numId w:val="15"/>
      </w:numPr>
    </w:pPr>
  </w:style>
  <w:style w:type="paragraph" w:customStyle="1" w:styleId="Default">
    <w:name w:val="Default"/>
    <w:rsid w:val="006C154B"/>
    <w:pPr>
      <w:autoSpaceDE w:val="0"/>
      <w:autoSpaceDN w:val="0"/>
      <w:adjustRightInd w:val="0"/>
    </w:pPr>
    <w:rPr>
      <w:color w:val="000000"/>
      <w:sz w:val="24"/>
      <w:szCs w:val="24"/>
    </w:rPr>
  </w:style>
  <w:style w:type="paragraph" w:customStyle="1" w:styleId="Ig">
    <w:name w:val="Ig"/>
    <w:basedOn w:val="NumFPlain1"/>
    <w:rsid w:val="00941CDB"/>
  </w:style>
  <w:style w:type="paragraph" w:customStyle="1" w:styleId="NumBPlain10">
    <w:name w:val="Num B Plain1"/>
    <w:basedOn w:val="NumFPlain1"/>
    <w:rsid w:val="00897E6E"/>
  </w:style>
  <w:style w:type="paragraph" w:customStyle="1" w:styleId="TableRow">
    <w:name w:val="TableRow"/>
    <w:basedOn w:val="Normal"/>
    <w:uiPriority w:val="4"/>
    <w:qFormat/>
    <w:rsid w:val="0062141A"/>
    <w:pPr>
      <w:spacing w:before="60" w:after="60"/>
      <w:jc w:val="left"/>
    </w:pPr>
    <w:rPr>
      <w:sz w:val="24"/>
      <w:szCs w:val="24"/>
      <w:lang w:eastAsia="en-AU"/>
    </w:rPr>
  </w:style>
  <w:style w:type="paragraph" w:styleId="EndnoteText">
    <w:name w:val="endnote text"/>
    <w:basedOn w:val="Normal"/>
    <w:link w:val="EndnoteTextChar"/>
    <w:uiPriority w:val="5"/>
    <w:unhideWhenUsed/>
    <w:rsid w:val="00DD4F2B"/>
    <w:pPr>
      <w:jc w:val="left"/>
    </w:pPr>
    <w:rPr>
      <w:sz w:val="20"/>
    </w:rPr>
  </w:style>
  <w:style w:type="character" w:customStyle="1" w:styleId="EndnoteTextChar">
    <w:name w:val="Endnote Text Char"/>
    <w:basedOn w:val="DefaultParagraphFont"/>
    <w:link w:val="EndnoteText"/>
    <w:uiPriority w:val="5"/>
    <w:rsid w:val="00DD4F2B"/>
    <w:rPr>
      <w:lang w:eastAsia="en-US"/>
    </w:rPr>
  </w:style>
  <w:style w:type="character" w:styleId="EndnoteReference">
    <w:name w:val="endnote reference"/>
    <w:basedOn w:val="DefaultParagraphFont"/>
    <w:uiPriority w:val="5"/>
    <w:semiHidden/>
    <w:unhideWhenUsed/>
    <w:rsid w:val="00836C29"/>
    <w:rPr>
      <w:vertAlign w:val="superscript"/>
    </w:rPr>
  </w:style>
  <w:style w:type="paragraph" w:customStyle="1" w:styleId="Style1">
    <w:name w:val="Style1"/>
    <w:basedOn w:val="Normal"/>
    <w:rsid w:val="0028606C"/>
    <w:pPr>
      <w:numPr>
        <w:numId w:val="17"/>
      </w:numPr>
      <w:spacing w:after="100"/>
    </w:pPr>
    <w:rPr>
      <w:rFonts w:eastAsia="Arial Unicode MS" w:cs="Arial Unicode MS"/>
      <w:color w:val="000000"/>
      <w:szCs w:val="19"/>
      <w:u w:color="000000"/>
      <w:lang w:eastAsia="en-GB"/>
    </w:rPr>
  </w:style>
  <w:style w:type="paragraph" w:customStyle="1" w:styleId="Style3">
    <w:name w:val="Style3"/>
    <w:basedOn w:val="Style1"/>
    <w:rsid w:val="0028606C"/>
    <w:pPr>
      <w:numPr>
        <w:ilvl w:val="1"/>
      </w:numPr>
    </w:pPr>
    <w:rPr>
      <w:rFonts w:ascii="Times" w:hAnsi="Times" w:cs="Times"/>
    </w:rPr>
  </w:style>
  <w:style w:type="paragraph" w:customStyle="1" w:styleId="IEHeading">
    <w:name w:val="IE Heading"/>
    <w:basedOn w:val="Normal"/>
    <w:next w:val="IEText"/>
    <w:qFormat/>
    <w:rsid w:val="0042703C"/>
    <w:pPr>
      <w:keepNext/>
      <w:pBdr>
        <w:top w:val="single" w:sz="4" w:space="5" w:color="auto"/>
        <w:left w:val="single" w:sz="4" w:space="4" w:color="auto"/>
        <w:bottom w:val="single" w:sz="4" w:space="7" w:color="auto"/>
        <w:right w:val="single" w:sz="4" w:space="4" w:color="auto"/>
        <w:between w:val="single" w:sz="4" w:space="5" w:color="auto"/>
      </w:pBdr>
      <w:spacing w:after="60"/>
      <w:ind w:left="782"/>
    </w:pPr>
    <w:rPr>
      <w:b/>
    </w:rPr>
  </w:style>
  <w:style w:type="paragraph" w:customStyle="1" w:styleId="JournalEntry">
    <w:name w:val="Journal Entry"/>
    <w:basedOn w:val="IEText"/>
    <w:rsid w:val="0042703C"/>
    <w:pPr>
      <w:keepNext/>
      <w:pBdr>
        <w:top w:val="none" w:sz="0" w:space="0" w:color="auto"/>
        <w:bottom w:val="none" w:sz="0" w:space="0" w:color="auto"/>
      </w:pBdr>
      <w:tabs>
        <w:tab w:val="left" w:pos="1134"/>
        <w:tab w:val="left" w:pos="1701"/>
        <w:tab w:val="right" w:pos="6804"/>
        <w:tab w:val="right" w:pos="8505"/>
      </w:tabs>
      <w:spacing w:after="0"/>
    </w:pPr>
    <w:rPr>
      <w:szCs w:val="19"/>
    </w:rPr>
  </w:style>
  <w:style w:type="paragraph" w:customStyle="1" w:styleId="JournalLastEntry">
    <w:name w:val="Journal Last Entry"/>
    <w:basedOn w:val="IEText"/>
    <w:rsid w:val="0042703C"/>
    <w:pPr>
      <w:pBdr>
        <w:top w:val="none" w:sz="0" w:space="0" w:color="auto"/>
        <w:bottom w:val="none" w:sz="0" w:space="0" w:color="auto"/>
      </w:pBdr>
      <w:tabs>
        <w:tab w:val="left" w:pos="1701"/>
        <w:tab w:val="right" w:pos="6804"/>
        <w:tab w:val="right" w:pos="8505"/>
      </w:tabs>
    </w:pPr>
  </w:style>
  <w:style w:type="paragraph" w:customStyle="1" w:styleId="JournalHeading">
    <w:name w:val="Journal Heading"/>
    <w:basedOn w:val="IEText"/>
    <w:rsid w:val="0042703C"/>
    <w:pPr>
      <w:keepNext/>
      <w:pBdr>
        <w:top w:val="none" w:sz="0" w:space="0" w:color="auto"/>
        <w:bottom w:val="none" w:sz="0" w:space="0" w:color="auto"/>
      </w:pBdr>
      <w:tabs>
        <w:tab w:val="left" w:pos="1134"/>
        <w:tab w:val="right" w:pos="6804"/>
        <w:tab w:val="right" w:pos="8505"/>
      </w:tabs>
    </w:pPr>
    <w:rPr>
      <w:b/>
      <w:szCs w:val="19"/>
    </w:rPr>
  </w:style>
  <w:style w:type="paragraph" w:customStyle="1" w:styleId="IGpara1">
    <w:name w:val="IG para 1"/>
    <w:basedOn w:val="Normal"/>
    <w:uiPriority w:val="9"/>
    <w:qFormat/>
    <w:rsid w:val="00334ADA"/>
    <w:pPr>
      <w:numPr>
        <w:numId w:val="18"/>
      </w:numPr>
      <w:spacing w:after="100"/>
    </w:pPr>
    <w:rPr>
      <w:szCs w:val="19"/>
    </w:rPr>
  </w:style>
  <w:style w:type="paragraph" w:styleId="NormalWeb">
    <w:name w:val="Normal (Web)"/>
    <w:basedOn w:val="Normal"/>
    <w:uiPriority w:val="99"/>
    <w:semiHidden/>
    <w:rsid w:val="00334ADA"/>
    <w:pPr>
      <w:spacing w:after="240"/>
      <w:jc w:val="left"/>
    </w:pPr>
    <w:rPr>
      <w:sz w:val="24"/>
      <w:szCs w:val="24"/>
      <w:lang w:eastAsia="en-AU"/>
    </w:rPr>
  </w:style>
  <w:style w:type="paragraph" w:customStyle="1" w:styleId="HeaderFooter">
    <w:name w:val="Header &amp; Footer"/>
    <w:rsid w:val="00187A0D"/>
    <w:pPr>
      <w:tabs>
        <w:tab w:val="right" w:pos="9020"/>
      </w:tabs>
    </w:pPr>
    <w:rPr>
      <w:rFonts w:ascii="Helvetica Neue" w:eastAsia="Arial Unicode MS" w:hAnsi="Helvetica Neue" w:cs="Arial Unicode MS"/>
      <w:color w:val="000000"/>
      <w:sz w:val="24"/>
      <w:szCs w:val="24"/>
      <w:lang w:val="en-GB" w:eastAsia="en-GB"/>
    </w:rPr>
  </w:style>
  <w:style w:type="paragraph" w:styleId="BodyText">
    <w:name w:val="Body Text"/>
    <w:basedOn w:val="Normal"/>
    <w:link w:val="BodyTextChar"/>
    <w:uiPriority w:val="99"/>
    <w:unhideWhenUsed/>
    <w:rsid w:val="00270378"/>
    <w:pPr>
      <w:spacing w:after="120"/>
    </w:pPr>
  </w:style>
  <w:style w:type="character" w:customStyle="1" w:styleId="BodyTextChar">
    <w:name w:val="Body Text Char"/>
    <w:basedOn w:val="DefaultParagraphFont"/>
    <w:link w:val="BodyText"/>
    <w:uiPriority w:val="99"/>
    <w:rsid w:val="00270378"/>
    <w:rPr>
      <w:sz w:val="19"/>
      <w:lang w:eastAsia="en-US"/>
    </w:rPr>
  </w:style>
  <w:style w:type="paragraph" w:customStyle="1" w:styleId="TableHeading">
    <w:name w:val="TableHeading"/>
    <w:basedOn w:val="Normal"/>
    <w:uiPriority w:val="4"/>
    <w:qFormat/>
    <w:rsid w:val="00DB3328"/>
    <w:pPr>
      <w:spacing w:before="60" w:after="60"/>
      <w:jc w:val="left"/>
    </w:pPr>
    <w:rPr>
      <w:rFonts w:asciiTheme="minorHAnsi" w:hAnsiTheme="minorHAnsi"/>
      <w:b/>
      <w:sz w:val="24"/>
      <w:szCs w:val="24"/>
      <w:lang w:eastAsia="en-AU"/>
    </w:rPr>
  </w:style>
  <w:style w:type="character" w:customStyle="1" w:styleId="Heading3Char">
    <w:name w:val="Heading 3 Char"/>
    <w:basedOn w:val="DefaultParagraphFont"/>
    <w:link w:val="Heading3"/>
    <w:uiPriority w:val="1"/>
    <w:rsid w:val="00DB3328"/>
    <w:rPr>
      <w:rFonts w:ascii="Arial" w:hAnsi="Arial" w:cs="Arial"/>
      <w:b/>
      <w:bCs/>
      <w:iCs/>
      <w:sz w:val="26"/>
      <w:szCs w:val="26"/>
      <w:lang w:eastAsia="en-US"/>
    </w:rPr>
  </w:style>
  <w:style w:type="character" w:customStyle="1" w:styleId="ListParagraphChar">
    <w:name w:val="List Paragraph Char"/>
    <w:basedOn w:val="DefaultParagraphFont"/>
    <w:link w:val="ListParagraph"/>
    <w:uiPriority w:val="34"/>
    <w:locked/>
    <w:rsid w:val="00D133C6"/>
    <w:rPr>
      <w:sz w:val="19"/>
      <w:lang w:eastAsia="en-US"/>
    </w:rPr>
  </w:style>
  <w:style w:type="paragraph" w:customStyle="1" w:styleId="IASBNormalnpara">
    <w:name w:val="IASB Normal npara"/>
    <w:basedOn w:val="Normal"/>
    <w:rsid w:val="000C6EAA"/>
    <w:pPr>
      <w:spacing w:before="100"/>
      <w:ind w:left="782" w:hanging="782"/>
    </w:pPr>
    <w:rPr>
      <w:lang w:val="en-US"/>
    </w:rPr>
  </w:style>
  <w:style w:type="paragraph" w:customStyle="1" w:styleId="IASBSectionTitle3NonInd">
    <w:name w:val="IASB Section Title 3 NonInd"/>
    <w:basedOn w:val="Normal"/>
    <w:rsid w:val="000C6EAA"/>
    <w:pPr>
      <w:keepNext/>
      <w:keepLines/>
      <w:spacing w:before="300" w:after="200"/>
      <w:jc w:val="left"/>
    </w:pPr>
    <w:rPr>
      <w:rFonts w:ascii="Arial" w:hAnsi="Arial" w:cs="Arial"/>
      <w:b/>
      <w:sz w:val="22"/>
      <w:lang w:val="en-US"/>
    </w:rPr>
  </w:style>
  <w:style w:type="paragraph" w:customStyle="1" w:styleId="IASBNormalnparaL1">
    <w:name w:val="IASB Normal nparaL1"/>
    <w:basedOn w:val="IASBNormalnpara"/>
    <w:rsid w:val="000C6EAA"/>
    <w:pPr>
      <w:ind w:left="1564"/>
    </w:pPr>
  </w:style>
  <w:style w:type="paragraph" w:customStyle="1" w:styleId="IASBNote">
    <w:name w:val="IASB Note"/>
    <w:basedOn w:val="IASBNormal"/>
    <w:uiPriority w:val="8"/>
    <w:rsid w:val="00ED15E7"/>
    <w:rPr>
      <w:i/>
    </w:rPr>
  </w:style>
  <w:style w:type="paragraph" w:customStyle="1" w:styleId="AusG1">
    <w:name w:val="AusG 1"/>
    <w:basedOn w:val="NumFPlain1"/>
    <w:qFormat/>
    <w:rsid w:val="00EE3A0E"/>
    <w:pPr>
      <w:numPr>
        <w:numId w:val="19"/>
      </w:numPr>
    </w:pPr>
  </w:style>
  <w:style w:type="paragraph" w:customStyle="1" w:styleId="Style2">
    <w:name w:val="Style2"/>
    <w:basedOn w:val="AusG1"/>
    <w:qFormat/>
    <w:rsid w:val="00ED15E7"/>
    <w:pPr>
      <w:numPr>
        <w:numId w:val="20"/>
      </w:numPr>
      <w:ind w:left="357" w:hanging="357"/>
    </w:pPr>
  </w:style>
  <w:style w:type="paragraph" w:customStyle="1" w:styleId="AusG2">
    <w:name w:val="AusG 2"/>
    <w:basedOn w:val="AusG1"/>
    <w:qFormat/>
    <w:rsid w:val="00967D4D"/>
    <w:pPr>
      <w:numPr>
        <w:numId w:val="0"/>
      </w:numPr>
      <w:ind w:left="1564" w:hanging="782"/>
    </w:pPr>
  </w:style>
  <w:style w:type="paragraph" w:customStyle="1" w:styleId="AusG3">
    <w:name w:val="AusG 3"/>
    <w:basedOn w:val="AusG2"/>
    <w:qFormat/>
    <w:rsid w:val="002B2C8F"/>
    <w:pPr>
      <w:ind w:left="2347"/>
    </w:pPr>
  </w:style>
  <w:style w:type="paragraph" w:customStyle="1" w:styleId="AusG4">
    <w:name w:val="AusG 4"/>
    <w:basedOn w:val="AusG3"/>
    <w:qFormat/>
    <w:rsid w:val="00041828"/>
    <w:pPr>
      <w:numPr>
        <w:numId w:val="21"/>
      </w:numPr>
      <w:ind w:left="3912" w:hanging="782"/>
    </w:pPr>
  </w:style>
  <w:style w:type="paragraph" w:customStyle="1" w:styleId="IASBNormalnparaL2">
    <w:name w:val="IASB Normal nparaL2"/>
    <w:basedOn w:val="IASBNormalnparaL1"/>
    <w:rsid w:val="00A92254"/>
    <w:pPr>
      <w:ind w:left="2347"/>
    </w:pPr>
  </w:style>
  <w:style w:type="paragraph" w:customStyle="1" w:styleId="NumA">
    <w:name w:val="NumA"/>
    <w:basedOn w:val="NumPlain1"/>
    <w:qFormat/>
    <w:rsid w:val="000D2684"/>
    <w:pPr>
      <w:numPr>
        <w:numId w:val="0"/>
      </w:numPr>
      <w:spacing w:before="0" w:after="240"/>
      <w:ind w:left="720" w:hanging="360"/>
      <w:jc w:val="left"/>
    </w:pPr>
    <w:rPr>
      <w:sz w:val="24"/>
      <w:szCs w:val="24"/>
      <w:lang w:val="en-US" w:eastAsia="en-AU"/>
    </w:rPr>
  </w:style>
  <w:style w:type="character" w:customStyle="1" w:styleId="Heading4Char">
    <w:name w:val="Heading 4 Char"/>
    <w:basedOn w:val="DefaultParagraphFont"/>
    <w:link w:val="Heading4"/>
    <w:uiPriority w:val="9"/>
    <w:locked/>
    <w:rsid w:val="00CD22B9"/>
    <w:rPr>
      <w:rFonts w:ascii="Arial" w:hAnsi="Arial" w:cs="Arial"/>
      <w:b/>
      <w:iCs/>
      <w:sz w:val="18"/>
      <w:szCs w:val="28"/>
      <w:lang w:eastAsia="en-US"/>
    </w:rPr>
  </w:style>
  <w:style w:type="character" w:customStyle="1" w:styleId="Heading5Char">
    <w:name w:val="Heading 5 Char"/>
    <w:basedOn w:val="DefaultParagraphFont"/>
    <w:link w:val="Heading5"/>
    <w:uiPriority w:val="9"/>
    <w:locked/>
    <w:rsid w:val="00CD22B9"/>
    <w:rPr>
      <w:rFonts w:ascii="Arial" w:hAnsi="Arial" w:cs="Arial"/>
      <w:b/>
      <w:bCs/>
      <w:i/>
      <w:sz w:val="18"/>
      <w:szCs w:val="26"/>
      <w:lang w:eastAsia="en-US"/>
    </w:rPr>
  </w:style>
  <w:style w:type="character" w:customStyle="1" w:styleId="Heading6Char">
    <w:name w:val="Heading 6 Char"/>
    <w:basedOn w:val="DefaultParagraphFont"/>
    <w:link w:val="Heading6"/>
    <w:uiPriority w:val="9"/>
    <w:locked/>
    <w:rsid w:val="00CD22B9"/>
    <w:rPr>
      <w:rFonts w:ascii="Arial" w:hAnsi="Arial" w:cs="Arial"/>
      <w:i/>
      <w:sz w:val="18"/>
      <w:szCs w:val="22"/>
      <w:lang w:eastAsia="en-US"/>
    </w:rPr>
  </w:style>
  <w:style w:type="character" w:customStyle="1" w:styleId="DocumentMapChar">
    <w:name w:val="Document Map Char"/>
    <w:basedOn w:val="DefaultParagraphFont"/>
    <w:link w:val="DocumentMap"/>
    <w:uiPriority w:val="99"/>
    <w:semiHidden/>
    <w:locked/>
    <w:rsid w:val="00CD22B9"/>
    <w:rPr>
      <w:rFonts w:ascii="Tahoma" w:hAnsi="Tahoma" w:cs="Tahoma"/>
      <w:sz w:val="19"/>
      <w:shd w:val="clear" w:color="auto" w:fill="000080"/>
      <w:lang w:eastAsia="en-US"/>
    </w:rPr>
  </w:style>
  <w:style w:type="character" w:styleId="FollowedHyperlink">
    <w:name w:val="FollowedHyperlink"/>
    <w:basedOn w:val="DefaultParagraphFont"/>
    <w:uiPriority w:val="99"/>
    <w:semiHidden/>
    <w:unhideWhenUsed/>
    <w:rsid w:val="00CD22B9"/>
    <w:rPr>
      <w:rFonts w:cs="Times New Roman"/>
      <w:color w:val="800080" w:themeColor="followedHyperlink"/>
      <w:u w:val="single"/>
    </w:rPr>
  </w:style>
  <w:style w:type="paragraph" w:customStyle="1" w:styleId="BulletPara1">
    <w:name w:val="Bullet Para 1"/>
    <w:basedOn w:val="Normal"/>
    <w:uiPriority w:val="3"/>
    <w:qFormat/>
    <w:rsid w:val="00CD22B9"/>
    <w:pPr>
      <w:tabs>
        <w:tab w:val="num" w:pos="709"/>
      </w:tabs>
      <w:spacing w:after="240"/>
      <w:ind w:left="709" w:hanging="709"/>
      <w:jc w:val="left"/>
    </w:pPr>
    <w:rPr>
      <w:sz w:val="24"/>
      <w:szCs w:val="24"/>
      <w:lang w:eastAsia="en-AU"/>
    </w:rPr>
  </w:style>
  <w:style w:type="paragraph" w:customStyle="1" w:styleId="BulletPara2">
    <w:name w:val="Bullet Para 2"/>
    <w:basedOn w:val="BulletPara1"/>
    <w:uiPriority w:val="3"/>
    <w:qFormat/>
    <w:rsid w:val="00CD22B9"/>
    <w:pPr>
      <w:tabs>
        <w:tab w:val="clear" w:pos="709"/>
        <w:tab w:val="num" w:pos="1418"/>
      </w:tabs>
      <w:ind w:left="1418"/>
    </w:pPr>
  </w:style>
  <w:style w:type="paragraph" w:customStyle="1" w:styleId="BulletPara3">
    <w:name w:val="Bullet Para 3"/>
    <w:basedOn w:val="BulletPara2"/>
    <w:uiPriority w:val="3"/>
    <w:qFormat/>
    <w:rsid w:val="00CD22B9"/>
    <w:pPr>
      <w:tabs>
        <w:tab w:val="clear" w:pos="1418"/>
        <w:tab w:val="num" w:pos="2126"/>
      </w:tabs>
      <w:ind w:left="2126" w:hanging="708"/>
    </w:pPr>
  </w:style>
  <w:style w:type="numbering" w:customStyle="1" w:styleId="BulletedParas">
    <w:name w:val="Bulleted Paras"/>
    <w:rsid w:val="00CD22B9"/>
    <w:pPr>
      <w:numPr>
        <w:numId w:val="26"/>
      </w:numPr>
    </w:pPr>
  </w:style>
  <w:style w:type="character" w:customStyle="1" w:styleId="sub-title2">
    <w:name w:val="sub-title2"/>
    <w:basedOn w:val="DefaultParagraphFont"/>
    <w:rsid w:val="00BA46F6"/>
    <w:rPr>
      <w:vanish w:val="0"/>
      <w:webHidden w:val="0"/>
      <w:sz w:val="24"/>
      <w:szCs w:val="24"/>
      <w:specVanish w:val="0"/>
    </w:rPr>
  </w:style>
  <w:style w:type="paragraph" w:customStyle="1" w:styleId="Footnote">
    <w:name w:val="Footnote"/>
    <w:basedOn w:val="FootnoteText"/>
    <w:qFormat/>
    <w:rsid w:val="00EE3015"/>
    <w:pPr>
      <w:spacing w:line="240" w:lineRule="auto"/>
      <w:ind w:left="142" w:hanging="142"/>
      <w:jc w:val="left"/>
    </w:pPr>
    <w:rPr>
      <w:rFonts w:ascii="Arial" w:eastAsia="SimSun" w:hAnsi="Arial" w:cs="Arial"/>
      <w:sz w:val="18"/>
      <w:szCs w:val="18"/>
    </w:rPr>
  </w:style>
  <w:style w:type="table" w:styleId="GridTable1Light-Accent2">
    <w:name w:val="Grid Table 1 Light Accent 2"/>
    <w:basedOn w:val="TableNormal"/>
    <w:uiPriority w:val="46"/>
    <w:rsid w:val="00FF2139"/>
    <w:pPr>
      <w:spacing w:after="80"/>
    </w:pPr>
    <w:rPr>
      <w:sz w:val="24"/>
      <w:szCs w:val="24"/>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customStyle="1" w:styleId="StandardPara">
    <w:name w:val="Standard Para"/>
    <w:uiPriority w:val="1"/>
    <w:qFormat/>
    <w:rsid w:val="00816585"/>
    <w:pPr>
      <w:spacing w:after="240"/>
    </w:pPr>
    <w:rPr>
      <w:rFonts w:eastAsia="SimSun"/>
      <w:sz w:val="24"/>
      <w:szCs w:val="24"/>
    </w:rPr>
  </w:style>
  <w:style w:type="paragraph" w:customStyle="1" w:styleId="StandardparaH">
    <w:name w:val="Standard para H"/>
    <w:basedOn w:val="Normal"/>
    <w:uiPriority w:val="1"/>
    <w:qFormat/>
    <w:rsid w:val="000723FB"/>
    <w:pPr>
      <w:tabs>
        <w:tab w:val="left" w:pos="720"/>
      </w:tabs>
      <w:spacing w:before="100" w:after="100"/>
      <w:ind w:left="720" w:hanging="360"/>
      <w:jc w:val="left"/>
    </w:pPr>
    <w:rPr>
      <w:rFonts w:ascii="Calibri" w:eastAsia="SimSun" w:hAnsi="Calibri"/>
      <w:sz w:val="20"/>
    </w:rPr>
  </w:style>
  <w:style w:type="character" w:styleId="Mention">
    <w:name w:val="Mention"/>
    <w:basedOn w:val="DefaultParagraphFont"/>
    <w:uiPriority w:val="99"/>
    <w:unhideWhenUsed/>
    <w:rsid w:val="00C9505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32037">
      <w:bodyDiv w:val="1"/>
      <w:marLeft w:val="0"/>
      <w:marRight w:val="0"/>
      <w:marTop w:val="0"/>
      <w:marBottom w:val="0"/>
      <w:divBdr>
        <w:top w:val="none" w:sz="0" w:space="0" w:color="auto"/>
        <w:left w:val="none" w:sz="0" w:space="0" w:color="auto"/>
        <w:bottom w:val="none" w:sz="0" w:space="0" w:color="auto"/>
        <w:right w:val="none" w:sz="0" w:space="0" w:color="auto"/>
      </w:divBdr>
    </w:div>
    <w:div w:id="279725371">
      <w:bodyDiv w:val="1"/>
      <w:marLeft w:val="0"/>
      <w:marRight w:val="0"/>
      <w:marTop w:val="0"/>
      <w:marBottom w:val="0"/>
      <w:divBdr>
        <w:top w:val="none" w:sz="0" w:space="0" w:color="auto"/>
        <w:left w:val="none" w:sz="0" w:space="0" w:color="auto"/>
        <w:bottom w:val="none" w:sz="0" w:space="0" w:color="auto"/>
        <w:right w:val="none" w:sz="0" w:space="0" w:color="auto"/>
      </w:divBdr>
    </w:div>
    <w:div w:id="375348749">
      <w:bodyDiv w:val="1"/>
      <w:marLeft w:val="0"/>
      <w:marRight w:val="0"/>
      <w:marTop w:val="0"/>
      <w:marBottom w:val="0"/>
      <w:divBdr>
        <w:top w:val="none" w:sz="0" w:space="0" w:color="auto"/>
        <w:left w:val="none" w:sz="0" w:space="0" w:color="auto"/>
        <w:bottom w:val="none" w:sz="0" w:space="0" w:color="auto"/>
        <w:right w:val="none" w:sz="0" w:space="0" w:color="auto"/>
      </w:divBdr>
    </w:div>
    <w:div w:id="583338663">
      <w:bodyDiv w:val="1"/>
      <w:marLeft w:val="0"/>
      <w:marRight w:val="0"/>
      <w:marTop w:val="0"/>
      <w:marBottom w:val="0"/>
      <w:divBdr>
        <w:top w:val="none" w:sz="0" w:space="0" w:color="auto"/>
        <w:left w:val="none" w:sz="0" w:space="0" w:color="auto"/>
        <w:bottom w:val="none" w:sz="0" w:space="0" w:color="auto"/>
        <w:right w:val="none" w:sz="0" w:space="0" w:color="auto"/>
      </w:divBdr>
    </w:div>
    <w:div w:id="656688226">
      <w:bodyDiv w:val="1"/>
      <w:marLeft w:val="0"/>
      <w:marRight w:val="0"/>
      <w:marTop w:val="0"/>
      <w:marBottom w:val="0"/>
      <w:divBdr>
        <w:top w:val="none" w:sz="0" w:space="0" w:color="auto"/>
        <w:left w:val="none" w:sz="0" w:space="0" w:color="auto"/>
        <w:bottom w:val="none" w:sz="0" w:space="0" w:color="auto"/>
        <w:right w:val="none" w:sz="0" w:space="0" w:color="auto"/>
      </w:divBdr>
    </w:div>
    <w:div w:id="707729678">
      <w:bodyDiv w:val="1"/>
      <w:marLeft w:val="0"/>
      <w:marRight w:val="0"/>
      <w:marTop w:val="0"/>
      <w:marBottom w:val="0"/>
      <w:divBdr>
        <w:top w:val="none" w:sz="0" w:space="0" w:color="auto"/>
        <w:left w:val="none" w:sz="0" w:space="0" w:color="auto"/>
        <w:bottom w:val="none" w:sz="0" w:space="0" w:color="auto"/>
        <w:right w:val="none" w:sz="0" w:space="0" w:color="auto"/>
      </w:divBdr>
    </w:div>
    <w:div w:id="726804786">
      <w:bodyDiv w:val="1"/>
      <w:marLeft w:val="0"/>
      <w:marRight w:val="0"/>
      <w:marTop w:val="0"/>
      <w:marBottom w:val="0"/>
      <w:divBdr>
        <w:top w:val="none" w:sz="0" w:space="0" w:color="auto"/>
        <w:left w:val="none" w:sz="0" w:space="0" w:color="auto"/>
        <w:bottom w:val="none" w:sz="0" w:space="0" w:color="auto"/>
        <w:right w:val="none" w:sz="0" w:space="0" w:color="auto"/>
      </w:divBdr>
    </w:div>
    <w:div w:id="820466749">
      <w:bodyDiv w:val="1"/>
      <w:marLeft w:val="0"/>
      <w:marRight w:val="0"/>
      <w:marTop w:val="0"/>
      <w:marBottom w:val="0"/>
      <w:divBdr>
        <w:top w:val="none" w:sz="0" w:space="0" w:color="auto"/>
        <w:left w:val="none" w:sz="0" w:space="0" w:color="auto"/>
        <w:bottom w:val="none" w:sz="0" w:space="0" w:color="auto"/>
        <w:right w:val="none" w:sz="0" w:space="0" w:color="auto"/>
      </w:divBdr>
    </w:div>
    <w:div w:id="834222655">
      <w:bodyDiv w:val="1"/>
      <w:marLeft w:val="0"/>
      <w:marRight w:val="0"/>
      <w:marTop w:val="0"/>
      <w:marBottom w:val="0"/>
      <w:divBdr>
        <w:top w:val="none" w:sz="0" w:space="0" w:color="auto"/>
        <w:left w:val="none" w:sz="0" w:space="0" w:color="auto"/>
        <w:bottom w:val="none" w:sz="0" w:space="0" w:color="auto"/>
        <w:right w:val="none" w:sz="0" w:space="0" w:color="auto"/>
      </w:divBdr>
    </w:div>
    <w:div w:id="1063337014">
      <w:bodyDiv w:val="1"/>
      <w:marLeft w:val="0"/>
      <w:marRight w:val="0"/>
      <w:marTop w:val="0"/>
      <w:marBottom w:val="0"/>
      <w:divBdr>
        <w:top w:val="none" w:sz="0" w:space="0" w:color="auto"/>
        <w:left w:val="none" w:sz="0" w:space="0" w:color="auto"/>
        <w:bottom w:val="none" w:sz="0" w:space="0" w:color="auto"/>
        <w:right w:val="none" w:sz="0" w:space="0" w:color="auto"/>
      </w:divBdr>
    </w:div>
    <w:div w:id="1095711135">
      <w:bodyDiv w:val="1"/>
      <w:marLeft w:val="0"/>
      <w:marRight w:val="0"/>
      <w:marTop w:val="0"/>
      <w:marBottom w:val="0"/>
      <w:divBdr>
        <w:top w:val="none" w:sz="0" w:space="0" w:color="auto"/>
        <w:left w:val="none" w:sz="0" w:space="0" w:color="auto"/>
        <w:bottom w:val="none" w:sz="0" w:space="0" w:color="auto"/>
        <w:right w:val="none" w:sz="0" w:space="0" w:color="auto"/>
      </w:divBdr>
    </w:div>
    <w:div w:id="1100445804">
      <w:bodyDiv w:val="1"/>
      <w:marLeft w:val="0"/>
      <w:marRight w:val="0"/>
      <w:marTop w:val="0"/>
      <w:marBottom w:val="0"/>
      <w:divBdr>
        <w:top w:val="none" w:sz="0" w:space="0" w:color="auto"/>
        <w:left w:val="none" w:sz="0" w:space="0" w:color="auto"/>
        <w:bottom w:val="none" w:sz="0" w:space="0" w:color="auto"/>
        <w:right w:val="none" w:sz="0" w:space="0" w:color="auto"/>
      </w:divBdr>
    </w:div>
    <w:div w:id="1227956113">
      <w:bodyDiv w:val="1"/>
      <w:marLeft w:val="0"/>
      <w:marRight w:val="0"/>
      <w:marTop w:val="0"/>
      <w:marBottom w:val="0"/>
      <w:divBdr>
        <w:top w:val="none" w:sz="0" w:space="0" w:color="auto"/>
        <w:left w:val="none" w:sz="0" w:space="0" w:color="auto"/>
        <w:bottom w:val="none" w:sz="0" w:space="0" w:color="auto"/>
        <w:right w:val="none" w:sz="0" w:space="0" w:color="auto"/>
      </w:divBdr>
    </w:div>
    <w:div w:id="1454445009">
      <w:bodyDiv w:val="1"/>
      <w:marLeft w:val="0"/>
      <w:marRight w:val="0"/>
      <w:marTop w:val="0"/>
      <w:marBottom w:val="0"/>
      <w:divBdr>
        <w:top w:val="none" w:sz="0" w:space="0" w:color="auto"/>
        <w:left w:val="none" w:sz="0" w:space="0" w:color="auto"/>
        <w:bottom w:val="none" w:sz="0" w:space="0" w:color="auto"/>
        <w:right w:val="none" w:sz="0" w:space="0" w:color="auto"/>
      </w:divBdr>
    </w:div>
    <w:div w:id="1522744909">
      <w:bodyDiv w:val="1"/>
      <w:marLeft w:val="0"/>
      <w:marRight w:val="0"/>
      <w:marTop w:val="0"/>
      <w:marBottom w:val="0"/>
      <w:divBdr>
        <w:top w:val="none" w:sz="0" w:space="0" w:color="auto"/>
        <w:left w:val="none" w:sz="0" w:space="0" w:color="auto"/>
        <w:bottom w:val="none" w:sz="0" w:space="0" w:color="auto"/>
        <w:right w:val="none" w:sz="0" w:space="0" w:color="auto"/>
      </w:divBdr>
    </w:div>
    <w:div w:id="1690644545">
      <w:bodyDiv w:val="1"/>
      <w:marLeft w:val="0"/>
      <w:marRight w:val="0"/>
      <w:marTop w:val="0"/>
      <w:marBottom w:val="0"/>
      <w:divBdr>
        <w:top w:val="none" w:sz="0" w:space="0" w:color="auto"/>
        <w:left w:val="none" w:sz="0" w:space="0" w:color="auto"/>
        <w:bottom w:val="none" w:sz="0" w:space="0" w:color="auto"/>
        <w:right w:val="none" w:sz="0" w:space="0" w:color="auto"/>
      </w:divBdr>
    </w:div>
    <w:div w:id="1786851393">
      <w:bodyDiv w:val="1"/>
      <w:marLeft w:val="0"/>
      <w:marRight w:val="0"/>
      <w:marTop w:val="0"/>
      <w:marBottom w:val="0"/>
      <w:divBdr>
        <w:top w:val="none" w:sz="0" w:space="0" w:color="auto"/>
        <w:left w:val="none" w:sz="0" w:space="0" w:color="auto"/>
        <w:bottom w:val="none" w:sz="0" w:space="0" w:color="auto"/>
        <w:right w:val="none" w:sz="0" w:space="0" w:color="auto"/>
      </w:divBdr>
    </w:div>
    <w:div w:id="1837106083">
      <w:bodyDiv w:val="1"/>
      <w:marLeft w:val="0"/>
      <w:marRight w:val="0"/>
      <w:marTop w:val="0"/>
      <w:marBottom w:val="0"/>
      <w:divBdr>
        <w:top w:val="none" w:sz="0" w:space="0" w:color="auto"/>
        <w:left w:val="none" w:sz="0" w:space="0" w:color="auto"/>
        <w:bottom w:val="none" w:sz="0" w:space="0" w:color="auto"/>
        <w:right w:val="none" w:sz="0" w:space="0" w:color="auto"/>
      </w:divBdr>
    </w:div>
    <w:div w:id="1839341038">
      <w:bodyDiv w:val="1"/>
      <w:marLeft w:val="0"/>
      <w:marRight w:val="0"/>
      <w:marTop w:val="0"/>
      <w:marBottom w:val="0"/>
      <w:divBdr>
        <w:top w:val="none" w:sz="0" w:space="0" w:color="auto"/>
        <w:left w:val="none" w:sz="0" w:space="0" w:color="auto"/>
        <w:bottom w:val="none" w:sz="0" w:space="0" w:color="auto"/>
        <w:right w:val="none" w:sz="0" w:space="0" w:color="auto"/>
      </w:divBdr>
    </w:div>
    <w:div w:id="1899441239">
      <w:bodyDiv w:val="1"/>
      <w:marLeft w:val="0"/>
      <w:marRight w:val="0"/>
      <w:marTop w:val="0"/>
      <w:marBottom w:val="0"/>
      <w:divBdr>
        <w:top w:val="none" w:sz="0" w:space="0" w:color="auto"/>
        <w:left w:val="none" w:sz="0" w:space="0" w:color="auto"/>
        <w:bottom w:val="none" w:sz="0" w:space="0" w:color="auto"/>
        <w:right w:val="none" w:sz="0" w:space="0" w:color="auto"/>
      </w:divBdr>
    </w:div>
    <w:div w:id="2025472005">
      <w:bodyDiv w:val="1"/>
      <w:marLeft w:val="0"/>
      <w:marRight w:val="0"/>
      <w:marTop w:val="0"/>
      <w:marBottom w:val="0"/>
      <w:divBdr>
        <w:top w:val="none" w:sz="0" w:space="0" w:color="auto"/>
        <w:left w:val="none" w:sz="0" w:space="0" w:color="auto"/>
        <w:bottom w:val="none" w:sz="0" w:space="0" w:color="auto"/>
        <w:right w:val="none" w:sz="0" w:space="0" w:color="auto"/>
      </w:divBdr>
    </w:div>
    <w:div w:id="2093966487">
      <w:bodyDiv w:val="1"/>
      <w:marLeft w:val="0"/>
      <w:marRight w:val="0"/>
      <w:marTop w:val="0"/>
      <w:marBottom w:val="0"/>
      <w:divBdr>
        <w:top w:val="none" w:sz="0" w:space="0" w:color="auto"/>
        <w:left w:val="none" w:sz="0" w:space="0" w:color="auto"/>
        <w:bottom w:val="none" w:sz="0" w:space="0" w:color="auto"/>
        <w:right w:val="none" w:sz="0" w:space="0" w:color="auto"/>
      </w:divBdr>
      <w:divsChild>
        <w:div w:id="1765492003">
          <w:marLeft w:val="0"/>
          <w:marRight w:val="0"/>
          <w:marTop w:val="0"/>
          <w:marBottom w:val="0"/>
          <w:divBdr>
            <w:top w:val="none" w:sz="0" w:space="0" w:color="auto"/>
            <w:left w:val="none" w:sz="0" w:space="0" w:color="auto"/>
            <w:bottom w:val="none" w:sz="0" w:space="0" w:color="auto"/>
            <w:right w:val="none" w:sz="0" w:space="0" w:color="auto"/>
          </w:divBdr>
          <w:divsChild>
            <w:div w:id="1921981758">
              <w:marLeft w:val="0"/>
              <w:marRight w:val="0"/>
              <w:marTop w:val="0"/>
              <w:marBottom w:val="0"/>
              <w:divBdr>
                <w:top w:val="none" w:sz="0" w:space="0" w:color="auto"/>
                <w:left w:val="none" w:sz="0" w:space="0" w:color="auto"/>
                <w:bottom w:val="none" w:sz="0" w:space="0" w:color="auto"/>
                <w:right w:val="none" w:sz="0" w:space="0" w:color="auto"/>
              </w:divBdr>
              <w:divsChild>
                <w:div w:id="1060711980">
                  <w:marLeft w:val="0"/>
                  <w:marRight w:val="0"/>
                  <w:marTop w:val="0"/>
                  <w:marBottom w:val="0"/>
                  <w:divBdr>
                    <w:top w:val="none" w:sz="0" w:space="0" w:color="auto"/>
                    <w:left w:val="none" w:sz="0" w:space="0" w:color="auto"/>
                    <w:bottom w:val="none" w:sz="0" w:space="0" w:color="auto"/>
                    <w:right w:val="none" w:sz="0" w:space="0" w:color="auto"/>
                  </w:divBdr>
                  <w:divsChild>
                    <w:div w:id="149595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7.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header" Target="header13.xml"/></Relationships>
</file>

<file path=word/_rels/footnotes.xml.rels><?xml version="1.0" encoding="UTF-8" standalone="yes"?>
<Relationships xmlns="http://schemas.openxmlformats.org/package/2006/relationships"><Relationship Id="rId1" Type="http://schemas.openxmlformats.org/officeDocument/2006/relationships/hyperlink" Target="https://www.emerald.com/insight/publication/issn/1030-96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E783DE0C8B6B4D9E83E79277ABEA6F" ma:contentTypeVersion="13" ma:contentTypeDescription="Create a new document." ma:contentTypeScope="" ma:versionID="76157d3ba0c82ecc92a4b5f18f80b960">
  <xsd:schema xmlns:xsd="http://www.w3.org/2001/XMLSchema" xmlns:xs="http://www.w3.org/2001/XMLSchema" xmlns:p="http://schemas.microsoft.com/office/2006/metadata/properties" xmlns:ns3="dacb3ef7-33a4-4aaf-8e2c-a382b35b1891" xmlns:ns4="2fffc6f8-0ce6-4feb-a150-9d1574269ef9" targetNamespace="http://schemas.microsoft.com/office/2006/metadata/properties" ma:root="true" ma:fieldsID="3d0be07be4c545ad0803b7182315c0d8" ns3:_="" ns4:_="">
    <xsd:import namespace="dacb3ef7-33a4-4aaf-8e2c-a382b35b1891"/>
    <xsd:import namespace="2fffc6f8-0ce6-4feb-a150-9d1574269ef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b3ef7-33a4-4aaf-8e2c-a382b35b18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ffc6f8-0ce6-4feb-a150-9d1574269ef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45664-D9B2-465B-B533-DB9A9DAC3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b3ef7-33a4-4aaf-8e2c-a382b35b1891"/>
    <ds:schemaRef ds:uri="2fffc6f8-0ce6-4feb-a150-9d1574269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422AFA-41C4-4529-8FFD-CD46298977C7}">
  <ds:schemaRefs>
    <ds:schemaRef ds:uri="http://schemas.microsoft.com/sharepoint/v3/contenttype/forms"/>
  </ds:schemaRefs>
</ds:datastoreItem>
</file>

<file path=customXml/itemProps3.xml><?xml version="1.0" encoding="utf-8"?>
<ds:datastoreItem xmlns:ds="http://schemas.openxmlformats.org/officeDocument/2006/customXml" ds:itemID="{913D0946-6EAB-4278-AF83-35B09BE2C6C4}">
  <ds:schemaRefs>
    <ds:schemaRef ds:uri="2fffc6f8-0ce6-4feb-a150-9d1574269ef9"/>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http://www.w3.org/XML/1998/namespace"/>
    <ds:schemaRef ds:uri="dacb3ef7-33a4-4aaf-8e2c-a382b35b1891"/>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82B2E938-D7C8-4694-92C3-FB766CAFF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48</Pages>
  <Words>28129</Words>
  <Characters>160341</Characters>
  <Application>Microsoft Office Word</Application>
  <DocSecurity>0</DocSecurity>
  <Lines>1336</Lines>
  <Paragraphs>376</Paragraphs>
  <ScaleCrop>false</ScaleCrop>
  <HeadingPairs>
    <vt:vector size="2" baseType="variant">
      <vt:variant>
        <vt:lpstr>Title</vt:lpstr>
      </vt:variant>
      <vt:variant>
        <vt:i4>1</vt:i4>
      </vt:variant>
    </vt:vector>
  </HeadingPairs>
  <TitlesOfParts>
    <vt:vector size="1" baseType="lpstr">
      <vt:lpstr>Removal of SPFS ED</vt:lpstr>
    </vt:vector>
  </TitlesOfParts>
  <Company>Australian Accounting Standards Board</Company>
  <LinksUpToDate>false</LinksUpToDate>
  <CharactersWithSpaces>188094</CharactersWithSpaces>
  <SharedDoc>false</SharedDoc>
  <HLinks>
    <vt:vector size="6" baseType="variant">
      <vt:variant>
        <vt:i4>6881378</vt:i4>
      </vt:variant>
      <vt:variant>
        <vt:i4>15</vt:i4>
      </vt:variant>
      <vt:variant>
        <vt:i4>0</vt:i4>
      </vt:variant>
      <vt:variant>
        <vt:i4>5</vt:i4>
      </vt:variant>
      <vt:variant>
        <vt:lpwstr>https://www.emerald.com/insight/publication/issn/1030-9616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Amending Standard AASB2020-2</dc:title>
  <dc:subject/>
  <dc:creator>.</dc:creator>
  <cp:keywords/>
  <dc:description/>
  <cp:lastModifiedBy>Kathleen John</cp:lastModifiedBy>
  <cp:revision>3</cp:revision>
  <cp:lastPrinted>2020-03-17T00:28:00Z</cp:lastPrinted>
  <dcterms:created xsi:type="dcterms:W3CDTF">2020-03-16T01:47:00Z</dcterms:created>
  <dcterms:modified xsi:type="dcterms:W3CDTF">2020-03-17T00:30:00Z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0x01010070E783DE0C8B6B4D9E83E79277ABEA6F</vt:lpwstr>
  </property>
  <property fmtid="{D5CDD505-2E9C-101B-9397-08002B2CF9AE}" pid="3" name="TaxKeyword">
    <vt:lpwstr/>
  </property>
  <property fmtid="{D5CDD505-2E9C-101B-9397-08002B2CF9AE}" pid="4" name="Term">
    <vt:lpwstr>142;#Exposure Draft|1cd4d789-fce1-4c28-a618-a55e8f3e5919</vt:lpwstr>
  </property>
  <property fmtid="{D5CDD505-2E9C-101B-9397-08002B2CF9AE}" pid="5" name="_dlc_DocIdItemGuid">
    <vt:lpwstr>754654c1-40ea-4174-ab7d-4da7cd9ff751</vt:lpwstr>
  </property>
  <property fmtid="{D5CDD505-2E9C-101B-9397-08002B2CF9AE}" pid="6" name="_dlc_policyId">
    <vt:lpwstr/>
  </property>
  <property fmtid="{D5CDD505-2E9C-101B-9397-08002B2CF9AE}" pid="7" name="ItemRetentionFormula">
    <vt:lpwstr/>
  </property>
</Properties>
</file>