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BA37D1" w:rsidRDefault="00FA6784" w:rsidP="00FA6784">
      <w:pPr>
        <w:pStyle w:val="H3"/>
        <w:jc w:val="center"/>
        <w:rPr>
          <w:sz w:val="24"/>
          <w:szCs w:val="24"/>
        </w:rPr>
      </w:pPr>
      <w:r w:rsidRPr="00BA37D1">
        <w:rPr>
          <w:sz w:val="24"/>
          <w:szCs w:val="24"/>
        </w:rPr>
        <w:t>EXPLANATORY STATEMENT</w:t>
      </w:r>
    </w:p>
    <w:p w14:paraId="2412D120" w14:textId="77777777" w:rsidR="00FA6784" w:rsidRPr="00BA37D1" w:rsidRDefault="00FA6784" w:rsidP="00FA6784">
      <w:pPr>
        <w:jc w:val="center"/>
        <w:rPr>
          <w:sz w:val="22"/>
          <w:szCs w:val="22"/>
        </w:rPr>
      </w:pPr>
    </w:p>
    <w:p w14:paraId="2412D121" w14:textId="04441B99" w:rsidR="00FA6784" w:rsidRPr="00BA37D1" w:rsidRDefault="00FA6784" w:rsidP="00FA6784">
      <w:pPr>
        <w:jc w:val="center"/>
      </w:pPr>
      <w:r w:rsidRPr="00BA37D1">
        <w:t>Issued by the</w:t>
      </w:r>
      <w:r w:rsidR="0089375C" w:rsidRPr="00BA37D1">
        <w:t xml:space="preserve"> </w:t>
      </w:r>
      <w:r w:rsidRPr="00BA37D1">
        <w:t>Minister for Health</w:t>
      </w:r>
    </w:p>
    <w:p w14:paraId="2412D122" w14:textId="77777777" w:rsidR="00FA6784" w:rsidRPr="00BA37D1" w:rsidRDefault="00FA6784" w:rsidP="00FA6784">
      <w:pPr>
        <w:jc w:val="center"/>
        <w:rPr>
          <w:i/>
          <w:iCs/>
          <w:sz w:val="20"/>
        </w:rPr>
      </w:pPr>
    </w:p>
    <w:p w14:paraId="2412D123" w14:textId="77777777" w:rsidR="00FA6784" w:rsidRPr="00BA37D1" w:rsidRDefault="00FA6784" w:rsidP="00FA6784">
      <w:pPr>
        <w:jc w:val="center"/>
        <w:rPr>
          <w:i/>
          <w:iCs/>
        </w:rPr>
      </w:pPr>
      <w:r w:rsidRPr="00BA37D1">
        <w:rPr>
          <w:i/>
          <w:iCs/>
        </w:rPr>
        <w:t>Health Insurance Act 1973</w:t>
      </w:r>
    </w:p>
    <w:p w14:paraId="2412D124" w14:textId="77777777" w:rsidR="00A1739A" w:rsidRPr="00BA37D1" w:rsidRDefault="00A1739A" w:rsidP="00A1739A">
      <w:pPr>
        <w:rPr>
          <w:szCs w:val="24"/>
          <w:u w:val="single"/>
        </w:rPr>
      </w:pPr>
    </w:p>
    <w:p w14:paraId="2838A7B4" w14:textId="325650B9" w:rsidR="00FD602D" w:rsidRPr="00BA37D1" w:rsidRDefault="00BA37D1" w:rsidP="00961795">
      <w:pPr>
        <w:ind w:right="84"/>
        <w:jc w:val="center"/>
        <w:rPr>
          <w:szCs w:val="24"/>
        </w:rPr>
      </w:pPr>
      <w:r w:rsidRPr="00BA37D1">
        <w:rPr>
          <w:i/>
        </w:rPr>
        <w:t>Health Insurance (Section 3C General Medical Services – GP and Allied Health COVID-19 Services) Amendment Determination No. 3 2020</w:t>
      </w:r>
    </w:p>
    <w:p w14:paraId="052E97C1" w14:textId="77777777" w:rsidR="00164A69" w:rsidRPr="0047484E"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highlight w:val="yellow"/>
          <w:shd w:val="clear" w:color="auto" w:fill="FFFFFF"/>
        </w:rPr>
      </w:pPr>
    </w:p>
    <w:p w14:paraId="30CCE728" w14:textId="5771B6FB" w:rsidR="00164A69" w:rsidRPr="008973B9"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8973B9">
        <w:rPr>
          <w:shd w:val="clear" w:color="auto" w:fill="FFFFFF"/>
        </w:rPr>
        <w:t xml:space="preserve">Subsection 3C(1) of the </w:t>
      </w:r>
      <w:r w:rsidRPr="008973B9">
        <w:rPr>
          <w:i/>
          <w:shd w:val="clear" w:color="auto" w:fill="FFFFFF"/>
        </w:rPr>
        <w:t>Health Insurance Act 1973</w:t>
      </w:r>
      <w:r w:rsidRPr="008973B9">
        <w:rPr>
          <w:shd w:val="clear" w:color="auto" w:fill="FFFFFF"/>
        </w:rPr>
        <w:t xml:space="preserve"> (the Act) </w:t>
      </w:r>
      <w:r w:rsidR="00477C74" w:rsidRPr="008973B9">
        <w:rPr>
          <w:shd w:val="clear" w:color="auto" w:fill="FFFFFF"/>
        </w:rPr>
        <w:t>provide</w:t>
      </w:r>
      <w:r w:rsidR="002E5708" w:rsidRPr="008973B9">
        <w:rPr>
          <w:shd w:val="clear" w:color="auto" w:fill="FFFFFF"/>
        </w:rPr>
        <w:t>s</w:t>
      </w:r>
      <w:r w:rsidR="00477C74" w:rsidRPr="008973B9">
        <w:rPr>
          <w:shd w:val="clear" w:color="auto" w:fill="FFFFFF"/>
        </w:rPr>
        <w:t xml:space="preserve"> that</w:t>
      </w:r>
      <w:r w:rsidRPr="008973B9">
        <w:rPr>
          <w:shd w:val="clear" w:color="auto" w:fill="FFFFFF"/>
        </w:rPr>
        <w:t xml:space="preserve"> the Minister </w:t>
      </w:r>
      <w:r w:rsidR="00477C74" w:rsidRPr="008973B9">
        <w:rPr>
          <w:shd w:val="clear" w:color="auto" w:fill="FFFFFF"/>
        </w:rPr>
        <w:t>may</w:t>
      </w:r>
      <w:r w:rsidRPr="008973B9">
        <w:rPr>
          <w:shd w:val="clear" w:color="auto" w:fill="FFFFFF"/>
        </w:rPr>
        <w:t xml:space="preserve">, by legislative instrument, determine that a health service not specified in an item in the </w:t>
      </w:r>
      <w:r w:rsidR="00231CD0" w:rsidRPr="008973B9">
        <w:rPr>
          <w:shd w:val="clear" w:color="auto" w:fill="FFFFFF"/>
        </w:rPr>
        <w:t>general medical services t</w:t>
      </w:r>
      <w:r w:rsidRPr="008973B9">
        <w:rPr>
          <w:shd w:val="clear" w:color="auto" w:fill="FFFFFF"/>
        </w:rPr>
        <w:t xml:space="preserve">able </w:t>
      </w:r>
      <w:r w:rsidR="00D01D5A" w:rsidRPr="008973B9">
        <w:rPr>
          <w:shd w:val="clear" w:color="auto" w:fill="FFFFFF"/>
        </w:rPr>
        <w:t xml:space="preserve">(the Table) </w:t>
      </w:r>
      <w:r w:rsidRPr="008973B9">
        <w:rPr>
          <w:shd w:val="clear" w:color="auto" w:fill="FFFFFF"/>
        </w:rPr>
        <w:t xml:space="preserve">shall, in specified circumstances and for specified statutory provisions, be treated as if it were specified in the </w:t>
      </w:r>
      <w:r w:rsidR="00D01D5A" w:rsidRPr="008973B9">
        <w:rPr>
          <w:shd w:val="clear" w:color="auto" w:fill="FFFFFF"/>
        </w:rPr>
        <w:t xml:space="preserve">Table. </w:t>
      </w:r>
      <w:r w:rsidRPr="008973B9">
        <w:rPr>
          <w:shd w:val="clear" w:color="auto" w:fill="FFFFFF"/>
        </w:rPr>
        <w:t xml:space="preserve">  </w:t>
      </w:r>
    </w:p>
    <w:p w14:paraId="7DB18649" w14:textId="77777777" w:rsidR="00841EDA" w:rsidRPr="008973B9"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178120CB" w:rsidR="00050623" w:rsidRPr="008973B9"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8973B9">
        <w:t xml:space="preserve">The </w:t>
      </w:r>
      <w:r w:rsidR="00D01D5A" w:rsidRPr="008973B9">
        <w:t>Table</w:t>
      </w:r>
      <w:r w:rsidRPr="008973B9">
        <w:t xml:space="preserve"> is set out in the regulations made under subsection 4(1) of the Act.  The most recent version of the regulations is the </w:t>
      </w:r>
      <w:r w:rsidR="00231CD0" w:rsidRPr="008973B9">
        <w:rPr>
          <w:i/>
        </w:rPr>
        <w:t xml:space="preserve">Health Insurance (General Medical Services Table) Regulations 2019. </w:t>
      </w:r>
      <w:r w:rsidRPr="008973B9">
        <w:rPr>
          <w:i/>
        </w:rPr>
        <w:t xml:space="preserve"> </w:t>
      </w:r>
    </w:p>
    <w:p w14:paraId="2E6FE463" w14:textId="77777777" w:rsidR="00050623" w:rsidRPr="0047484E"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highlight w:val="yellow"/>
        </w:rPr>
      </w:pPr>
    </w:p>
    <w:p w14:paraId="15997618" w14:textId="77777777" w:rsidR="00050623" w:rsidRPr="008973B9"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8973B9">
        <w:t xml:space="preserve">This instrument relies on subsection 33(3) of the </w:t>
      </w:r>
      <w:r w:rsidRPr="008973B9">
        <w:rPr>
          <w:i/>
        </w:rPr>
        <w:t>Acts Interpretation Act 1901</w:t>
      </w:r>
      <w:r w:rsidRPr="008973B9">
        <w:t xml:space="preserve"> (AIA).  Subsection 33(3) of the AIA</w:t>
      </w:r>
      <w:r w:rsidRPr="008973B9">
        <w:rPr>
          <w:i/>
        </w:rPr>
        <w:t xml:space="preserve"> </w:t>
      </w:r>
      <w:r w:rsidRPr="008973B9">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4D3C443A" w:rsidR="008C5F1C" w:rsidRDefault="008C5F1C" w:rsidP="00D33180">
      <w:pPr>
        <w:autoSpaceDE w:val="0"/>
        <w:autoSpaceDN w:val="0"/>
        <w:adjustRightInd w:val="0"/>
        <w:ind w:right="-483"/>
        <w:rPr>
          <w:szCs w:val="24"/>
        </w:rPr>
      </w:pPr>
    </w:p>
    <w:p w14:paraId="1C1242A9" w14:textId="2C520E5B" w:rsidR="008973B9" w:rsidRPr="008973B9" w:rsidRDefault="008973B9" w:rsidP="00D33180">
      <w:pPr>
        <w:autoSpaceDE w:val="0"/>
        <w:autoSpaceDN w:val="0"/>
        <w:adjustRightInd w:val="0"/>
        <w:ind w:right="-483"/>
        <w:rPr>
          <w:b/>
          <w:szCs w:val="24"/>
        </w:rPr>
      </w:pPr>
      <w:r w:rsidRPr="008973B9">
        <w:rPr>
          <w:b/>
          <w:szCs w:val="24"/>
        </w:rPr>
        <w:t>Purpose</w:t>
      </w:r>
    </w:p>
    <w:p w14:paraId="7007E49C" w14:textId="77777777" w:rsidR="00231CD0" w:rsidRPr="008973B9" w:rsidRDefault="00231CD0" w:rsidP="00231CD0">
      <w:pPr>
        <w:ind w:right="84"/>
        <w:rPr>
          <w:iCs/>
        </w:rPr>
      </w:pPr>
      <w:r w:rsidRPr="008973B9">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79DA28E2" w14:textId="77777777" w:rsidR="00231CD0" w:rsidRPr="008973B9" w:rsidRDefault="00231CD0" w:rsidP="00231CD0">
      <w:pPr>
        <w:ind w:right="84"/>
        <w:rPr>
          <w:szCs w:val="24"/>
        </w:rPr>
      </w:pPr>
    </w:p>
    <w:p w14:paraId="415F5BD0" w14:textId="78D4345A" w:rsidR="00231CD0" w:rsidRPr="008973B9" w:rsidRDefault="00231CD0" w:rsidP="00231CD0">
      <w:r w:rsidRPr="008973B9">
        <w:t xml:space="preserve">As part of the package, the Government announced $100 million to fund new Medicare services for people in home isolation or quarantine, as a result </w:t>
      </w:r>
      <w:r w:rsidR="00E319E9" w:rsidRPr="008973B9">
        <w:t xml:space="preserve">of </w:t>
      </w:r>
      <w:r w:rsidRPr="008973B9">
        <w:t>COVID-19, to receive health consultations remotely.</w:t>
      </w:r>
    </w:p>
    <w:p w14:paraId="3ED12552" w14:textId="15DC058F" w:rsidR="00231CD0" w:rsidRPr="0047484E" w:rsidRDefault="00231CD0" w:rsidP="00231CD0">
      <w:pPr>
        <w:rPr>
          <w:highlight w:val="yellow"/>
        </w:rPr>
      </w:pPr>
    </w:p>
    <w:p w14:paraId="3190EF2D" w14:textId="734855C3" w:rsidR="008973B9" w:rsidRDefault="00231CD0" w:rsidP="00231CD0">
      <w:pPr>
        <w:rPr>
          <w:iCs/>
        </w:rPr>
      </w:pPr>
      <w:r w:rsidRPr="008973B9">
        <w:t xml:space="preserve">On 13 March 2020, new </w:t>
      </w:r>
      <w:r w:rsidR="008973B9">
        <w:t xml:space="preserve">Level B to D </w:t>
      </w:r>
      <w:r w:rsidRPr="008973B9">
        <w:t>consultation services provided by GPs, other doctors in general practic</w:t>
      </w:r>
      <w:r w:rsidR="008973B9" w:rsidRPr="008973B9">
        <w:t>e and</w:t>
      </w:r>
      <w:r w:rsidRPr="008973B9">
        <w:t xml:space="preserve"> nurse practitioners were introduced </w:t>
      </w:r>
      <w:r w:rsidRPr="008973B9">
        <w:rPr>
          <w:iCs/>
        </w:rPr>
        <w:t>to provide services remotely</w:t>
      </w:r>
      <w:r w:rsidR="008973B9">
        <w:rPr>
          <w:iCs/>
        </w:rPr>
        <w:t xml:space="preserve"> </w:t>
      </w:r>
      <w:r w:rsidRPr="008973B9">
        <w:rPr>
          <w:iCs/>
        </w:rPr>
        <w:t xml:space="preserve">to patients who have been diagnosed with COVID-19, or who are vulnerable of contracting COVID-19. </w:t>
      </w:r>
    </w:p>
    <w:p w14:paraId="2FC054FF" w14:textId="77777777" w:rsidR="008973B9" w:rsidRDefault="008973B9" w:rsidP="00231CD0">
      <w:pPr>
        <w:rPr>
          <w:iCs/>
        </w:rPr>
      </w:pPr>
    </w:p>
    <w:p w14:paraId="4DF17299" w14:textId="4EBFD0F6" w:rsidR="00231CD0" w:rsidRPr="0047484E" w:rsidRDefault="00231CD0" w:rsidP="00231CD0">
      <w:pPr>
        <w:rPr>
          <w:highlight w:val="yellow"/>
        </w:rPr>
      </w:pPr>
      <w:r w:rsidRPr="008973B9">
        <w:rPr>
          <w:iCs/>
        </w:rPr>
        <w:t xml:space="preserve">The services are also </w:t>
      </w:r>
      <w:r w:rsidR="00FB16BA" w:rsidRPr="008973B9">
        <w:rPr>
          <w:iCs/>
        </w:rPr>
        <w:t>able to be provided by</w:t>
      </w:r>
      <w:r w:rsidRPr="008973B9">
        <w:t xml:space="preserve"> </w:t>
      </w:r>
      <w:r w:rsidR="008973B9" w:rsidRPr="008973B9">
        <w:t>health professionals</w:t>
      </w:r>
      <w:r w:rsidRPr="008973B9">
        <w:t xml:space="preserve"> </w:t>
      </w:r>
      <w:r w:rsidRPr="008973B9">
        <w:rPr>
          <w:iCs/>
        </w:rPr>
        <w:t>who are in isolation for possible COVID-19 infection.</w:t>
      </w:r>
      <w:r w:rsidR="001B02D2" w:rsidRPr="008973B9">
        <w:rPr>
          <w:iCs/>
        </w:rPr>
        <w:t xml:space="preserve"> </w:t>
      </w:r>
      <w:r w:rsidR="008973B9" w:rsidRPr="008973B9">
        <w:rPr>
          <w:iCs/>
        </w:rPr>
        <w:t xml:space="preserve">These items are prescribed in the </w:t>
      </w:r>
      <w:r w:rsidR="008973B9" w:rsidRPr="008973B9">
        <w:rPr>
          <w:i/>
          <w:iCs/>
        </w:rPr>
        <w:t>Health Insurance (Section 3C General Medical Services – GP and Allied Health COVID-19 Services) Determination 2020</w:t>
      </w:r>
      <w:r w:rsidR="008973B9" w:rsidRPr="008973B9">
        <w:rPr>
          <w:iCs/>
        </w:rPr>
        <w:t xml:space="preserve"> (the Principal Determination).</w:t>
      </w:r>
    </w:p>
    <w:p w14:paraId="3B4DEFF0" w14:textId="18D5DA86" w:rsidR="003175A1" w:rsidRPr="0047484E" w:rsidRDefault="003175A1" w:rsidP="00231CD0">
      <w:pPr>
        <w:rPr>
          <w:highlight w:val="yellow"/>
        </w:rPr>
      </w:pPr>
    </w:p>
    <w:p w14:paraId="27B6E26B" w14:textId="3F882D7F" w:rsidR="008973B9" w:rsidRPr="008973B9" w:rsidRDefault="008973B9" w:rsidP="00231CD0">
      <w:pPr>
        <w:rPr>
          <w:iCs/>
        </w:rPr>
      </w:pPr>
      <w:r w:rsidRPr="008973B9">
        <w:rPr>
          <w:iCs/>
        </w:rPr>
        <w:t xml:space="preserve">The purpose of the </w:t>
      </w:r>
      <w:r w:rsidRPr="008973B9">
        <w:rPr>
          <w:i/>
          <w:iCs/>
        </w:rPr>
        <w:t>Health Insurance (Section 3C General Medical Services – GP and Allied Health COVID-19 Services) Amendment Determination No. 3 2020</w:t>
      </w:r>
      <w:r w:rsidR="003215B6">
        <w:rPr>
          <w:i/>
          <w:iCs/>
        </w:rPr>
        <w:t xml:space="preserve"> </w:t>
      </w:r>
      <w:r w:rsidR="003215B6">
        <w:rPr>
          <w:iCs/>
        </w:rPr>
        <w:t>(Amending Determination)</w:t>
      </w:r>
      <w:r>
        <w:rPr>
          <w:i/>
          <w:iCs/>
        </w:rPr>
        <w:t xml:space="preserve"> </w:t>
      </w:r>
      <w:r>
        <w:rPr>
          <w:iCs/>
        </w:rPr>
        <w:t xml:space="preserve">is to amend the Principal Determination to list new Level A consultation services provided by GPs, other doctors in general practice, and nurse practitioners. </w:t>
      </w:r>
      <w:r w:rsidR="00E65230">
        <w:rPr>
          <w:iCs/>
        </w:rPr>
        <w:t xml:space="preserve">These services are to be provided remotely </w:t>
      </w:r>
      <w:r w:rsidR="00E65230">
        <w:rPr>
          <w:iCs/>
        </w:rPr>
        <w:t>(by telehealth or telephone)</w:t>
      </w:r>
      <w:r w:rsidR="00E65230">
        <w:rPr>
          <w:iCs/>
        </w:rPr>
        <w:t xml:space="preserve">. </w:t>
      </w:r>
    </w:p>
    <w:p w14:paraId="5FF33536" w14:textId="59135275" w:rsidR="008973B9" w:rsidRDefault="003C7B75" w:rsidP="008973B9">
      <w:pPr>
        <w:rPr>
          <w:b/>
          <w:highlight w:val="yellow"/>
        </w:rPr>
      </w:pPr>
      <w:r>
        <w:t>The new</w:t>
      </w:r>
      <w:r w:rsidR="00115225" w:rsidRPr="008973B9">
        <w:t xml:space="preserve"> services can only be rendered if the treating </w:t>
      </w:r>
      <w:r w:rsidR="00262230" w:rsidRPr="008973B9">
        <w:t>health professional</w:t>
      </w:r>
      <w:r w:rsidR="00115225" w:rsidRPr="008973B9">
        <w:t xml:space="preserve"> chooses to accept the patient’s Medicare benefit as full payment for the service (otherwise known as ‘bulk-billing’). This will mean there will be no out-of-pocket for patients.</w:t>
      </w:r>
      <w:r w:rsidR="003175A1" w:rsidRPr="0047484E">
        <w:rPr>
          <w:highlight w:val="yellow"/>
        </w:rPr>
        <w:br/>
      </w:r>
    </w:p>
    <w:p w14:paraId="2412D131" w14:textId="6420F8BC" w:rsidR="001865F8" w:rsidRPr="008973B9" w:rsidRDefault="00A1739A" w:rsidP="008973B9">
      <w:pPr>
        <w:rPr>
          <w:rFonts w:ascii="Helvetica Neue" w:hAnsi="Helvetica Neue"/>
          <w:szCs w:val="24"/>
          <w:lang w:val="en-US"/>
        </w:rPr>
      </w:pPr>
      <w:r w:rsidRPr="008973B9">
        <w:rPr>
          <w:b/>
        </w:rPr>
        <w:t>Consultation</w:t>
      </w:r>
    </w:p>
    <w:p w14:paraId="1BC8B631" w14:textId="576A6424" w:rsidR="006B14EC" w:rsidRPr="008973B9" w:rsidRDefault="006B14EC" w:rsidP="006B14EC">
      <w:pPr>
        <w:shd w:val="clear" w:color="auto" w:fill="FFFFFF"/>
        <w:rPr>
          <w:szCs w:val="24"/>
        </w:rPr>
      </w:pPr>
      <w:r w:rsidRPr="008973B9">
        <w:rPr>
          <w:szCs w:val="24"/>
        </w:rPr>
        <w:t xml:space="preserve">On 11 March 2020, the Prime Minister, the Hon. Scott Morrison MP, announced a comprehensive health package to protect all Australians, including vulnerable groups such as the elderly, those with chronic conditions and Indigenous communities, from </w:t>
      </w:r>
      <w:r w:rsidR="00036E2B" w:rsidRPr="008973B9">
        <w:rPr>
          <w:szCs w:val="24"/>
        </w:rPr>
        <w:t>COVID-19</w:t>
      </w:r>
      <w:r w:rsidRPr="008973B9">
        <w:rPr>
          <w:szCs w:val="24"/>
        </w:rPr>
        <w:t xml:space="preserve">. Due to the nature of the emergency and the short timeframe in drafting this legislative instrument to implement this phase of the health package, it was not reasonably practicable to undertake consultation with representatives of persons affected by the instrument. </w:t>
      </w:r>
    </w:p>
    <w:p w14:paraId="02264A85" w14:textId="77777777" w:rsidR="007708B3" w:rsidRPr="008973B9" w:rsidRDefault="007708B3" w:rsidP="002806A1">
      <w:pPr>
        <w:shd w:val="clear" w:color="auto" w:fill="FFFFFF"/>
        <w:rPr>
          <w:szCs w:val="24"/>
        </w:rPr>
      </w:pPr>
    </w:p>
    <w:p w14:paraId="2412D134" w14:textId="77777777" w:rsidR="00967E51" w:rsidRPr="008973B9" w:rsidRDefault="00A1739A" w:rsidP="000337CB">
      <w:pPr>
        <w:rPr>
          <w:szCs w:val="24"/>
        </w:rPr>
      </w:pPr>
      <w:r w:rsidRPr="008973B9">
        <w:rPr>
          <w:szCs w:val="24"/>
        </w:rPr>
        <w:t xml:space="preserve">Details of the </w:t>
      </w:r>
      <w:r w:rsidR="00574E71" w:rsidRPr="008973B9">
        <w:rPr>
          <w:szCs w:val="24"/>
        </w:rPr>
        <w:t>Determination</w:t>
      </w:r>
      <w:r w:rsidRPr="008973B9">
        <w:rPr>
          <w:szCs w:val="24"/>
        </w:rPr>
        <w:t xml:space="preserve"> are set out in the </w:t>
      </w:r>
      <w:r w:rsidRPr="008973B9">
        <w:rPr>
          <w:szCs w:val="24"/>
          <w:u w:val="single"/>
        </w:rPr>
        <w:t>Attachment</w:t>
      </w:r>
      <w:r w:rsidRPr="008973B9">
        <w:rPr>
          <w:szCs w:val="24"/>
        </w:rPr>
        <w:t>.</w:t>
      </w:r>
    </w:p>
    <w:p w14:paraId="07372F0D" w14:textId="77777777" w:rsidR="00234EDC" w:rsidRPr="0047484E" w:rsidRDefault="00234EDC" w:rsidP="00234EDC">
      <w:pPr>
        <w:autoSpaceDE w:val="0"/>
        <w:autoSpaceDN w:val="0"/>
        <w:adjustRightInd w:val="0"/>
        <w:rPr>
          <w:szCs w:val="24"/>
          <w:highlight w:val="yellow"/>
        </w:rPr>
      </w:pPr>
    </w:p>
    <w:p w14:paraId="2412D136" w14:textId="39294211" w:rsidR="00236DF2" w:rsidRPr="003215B6" w:rsidRDefault="008973B9" w:rsidP="00234EDC">
      <w:pPr>
        <w:autoSpaceDE w:val="0"/>
        <w:autoSpaceDN w:val="0"/>
        <w:adjustRightInd w:val="0"/>
        <w:rPr>
          <w:szCs w:val="24"/>
        </w:rPr>
      </w:pPr>
      <w:r w:rsidRPr="003215B6">
        <w:rPr>
          <w:szCs w:val="24"/>
        </w:rPr>
        <w:t xml:space="preserve">The Determination commences immediately after the commencement of </w:t>
      </w:r>
      <w:r w:rsidR="003215B6">
        <w:rPr>
          <w:szCs w:val="24"/>
        </w:rPr>
        <w:t xml:space="preserve">the </w:t>
      </w:r>
      <w:r w:rsidR="003215B6" w:rsidRPr="003215B6">
        <w:rPr>
          <w:szCs w:val="24"/>
        </w:rPr>
        <w:t xml:space="preserve">Schedule to </w:t>
      </w:r>
      <w:r w:rsidRPr="003215B6">
        <w:rPr>
          <w:szCs w:val="24"/>
        </w:rPr>
        <w:t xml:space="preserve">the </w:t>
      </w:r>
      <w:r w:rsidR="003215B6" w:rsidRPr="003215B6">
        <w:rPr>
          <w:i/>
          <w:szCs w:val="24"/>
        </w:rPr>
        <w:t>Health Insurance (Section 3C General Medical Services – GP and Allied Health COVID-19 Servic</w:t>
      </w:r>
      <w:r w:rsidR="003C7B75">
        <w:rPr>
          <w:i/>
          <w:szCs w:val="24"/>
        </w:rPr>
        <w:t>es) Amendment Determination No.</w:t>
      </w:r>
      <w:r w:rsidR="003215B6" w:rsidRPr="003215B6">
        <w:rPr>
          <w:i/>
          <w:szCs w:val="24"/>
        </w:rPr>
        <w:t>1 2020</w:t>
      </w:r>
      <w:r w:rsidR="003215B6" w:rsidRPr="003215B6">
        <w:rPr>
          <w:szCs w:val="24"/>
        </w:rPr>
        <w:t xml:space="preserve">. </w:t>
      </w:r>
      <w:r w:rsidR="003215B6" w:rsidRPr="003215B6">
        <w:rPr>
          <w:iCs/>
        </w:rPr>
        <w:t>This will mean the legislative instrument has retrospective effect</w:t>
      </w:r>
      <w:r w:rsidR="00234EDC" w:rsidRPr="003215B6">
        <w:rPr>
          <w:iCs/>
        </w:rPr>
        <w:t xml:space="preserve"> from 13 March 2020 to enable patients with COVID-19 to access </w:t>
      </w:r>
      <w:r w:rsidR="003215B6" w:rsidRPr="003215B6">
        <w:rPr>
          <w:iCs/>
        </w:rPr>
        <w:t>Level A consultation</w:t>
      </w:r>
      <w:r w:rsidR="00234EDC" w:rsidRPr="003215B6">
        <w:rPr>
          <w:iCs/>
        </w:rPr>
        <w:t xml:space="preserve"> services remotely. Subsection 3C(2) of the Act</w:t>
      </w:r>
      <w:r w:rsidR="00234EDC" w:rsidRPr="003215B6">
        <w:rPr>
          <w:i/>
          <w:iCs/>
        </w:rPr>
        <w:t xml:space="preserve"> </w:t>
      </w:r>
      <w:r w:rsidR="00234EDC" w:rsidRPr="003215B6">
        <w:rPr>
          <w:iCs/>
        </w:rPr>
        <w:t xml:space="preserve">allows for retrospective commencement as it </w:t>
      </w:r>
      <w:r w:rsidR="00234EDC" w:rsidRPr="003215B6">
        <w:t xml:space="preserve">excludes subsection 12(2) of the </w:t>
      </w:r>
      <w:r w:rsidR="00234EDC" w:rsidRPr="003215B6">
        <w:rPr>
          <w:i/>
        </w:rPr>
        <w:t>Legislation Act 2003</w:t>
      </w:r>
      <w:r w:rsidR="00234EDC" w:rsidRPr="003215B6">
        <w:t xml:space="preserve"> from applying to determinations made under section 3C(1) of the </w:t>
      </w:r>
      <w:r w:rsidR="00234EDC" w:rsidRPr="003215B6">
        <w:rPr>
          <w:i/>
        </w:rPr>
        <w:t xml:space="preserve">Health Insurance Act 1973. </w:t>
      </w:r>
      <w:r w:rsidR="00234EDC" w:rsidRPr="003215B6">
        <w:t xml:space="preserve">However, the provision is consistent with subsection 12(2) of the </w:t>
      </w:r>
      <w:r w:rsidR="00234EDC" w:rsidRPr="003215B6">
        <w:rPr>
          <w:i/>
        </w:rPr>
        <w:t>Legislation Act 2003</w:t>
      </w:r>
      <w:r w:rsidR="00234EDC" w:rsidRPr="003215B6">
        <w:t xml:space="preserve"> as it does not disadvantage persons existing entitlements and </w:t>
      </w:r>
      <w:r w:rsidR="00036E2B" w:rsidRPr="003215B6">
        <w:t>only</w:t>
      </w:r>
      <w:r w:rsidR="00234EDC" w:rsidRPr="003215B6">
        <w:t xml:space="preserve"> imposes retrospective liabilities on the Commonwealth. </w:t>
      </w:r>
      <w:r w:rsidR="00234EDC" w:rsidRPr="003215B6">
        <w:rPr>
          <w:iCs/>
        </w:rPr>
        <w:br/>
      </w:r>
    </w:p>
    <w:p w14:paraId="2412D138" w14:textId="65B73875" w:rsidR="00574E71" w:rsidRPr="003215B6" w:rsidRDefault="0002728B" w:rsidP="00DE07E4">
      <w:pPr>
        <w:spacing w:after="200" w:line="276" w:lineRule="auto"/>
        <w:rPr>
          <w:szCs w:val="24"/>
        </w:rPr>
      </w:pPr>
      <w:r w:rsidRPr="003215B6">
        <w:rPr>
          <w:szCs w:val="24"/>
        </w:rPr>
        <w:t>T</w:t>
      </w:r>
      <w:r w:rsidR="00574E71" w:rsidRPr="003215B6">
        <w:rPr>
          <w:szCs w:val="24"/>
        </w:rPr>
        <w:t xml:space="preserve">he Determination is </w:t>
      </w:r>
      <w:r w:rsidR="004417A2" w:rsidRPr="003215B6">
        <w:rPr>
          <w:szCs w:val="24"/>
        </w:rPr>
        <w:t xml:space="preserve">a </w:t>
      </w:r>
      <w:r w:rsidR="00574E71" w:rsidRPr="003215B6">
        <w:rPr>
          <w:szCs w:val="24"/>
        </w:rPr>
        <w:t xml:space="preserve">legislative instrument for the purposes of the </w:t>
      </w:r>
      <w:r w:rsidR="00574E71" w:rsidRPr="003215B6">
        <w:rPr>
          <w:i/>
        </w:rPr>
        <w:t>Legislation Act 2003</w:t>
      </w:r>
      <w:r w:rsidR="00574E71" w:rsidRPr="003215B6">
        <w:rPr>
          <w:szCs w:val="24"/>
        </w:rPr>
        <w:t>.</w:t>
      </w:r>
    </w:p>
    <w:p w14:paraId="2412D139" w14:textId="77777777" w:rsidR="00A1739A" w:rsidRPr="003215B6" w:rsidRDefault="00A1739A" w:rsidP="000337CB">
      <w:pPr>
        <w:ind w:left="6663" w:hanging="3119"/>
        <w:rPr>
          <w:szCs w:val="24"/>
        </w:rPr>
      </w:pPr>
      <w:r w:rsidRPr="003215B6">
        <w:rPr>
          <w:szCs w:val="24"/>
        </w:rPr>
        <w:t xml:space="preserve">           </w:t>
      </w:r>
    </w:p>
    <w:p w14:paraId="2412D13A" w14:textId="77777777" w:rsidR="00A1739A" w:rsidRPr="003215B6" w:rsidRDefault="00A1739A" w:rsidP="000337CB">
      <w:pPr>
        <w:ind w:left="6663" w:hanging="3119"/>
        <w:rPr>
          <w:szCs w:val="24"/>
        </w:rPr>
      </w:pPr>
      <w:r w:rsidRPr="003215B6">
        <w:rPr>
          <w:szCs w:val="24"/>
          <w:u w:val="single"/>
        </w:rPr>
        <w:t>Authority</w:t>
      </w:r>
      <w:r w:rsidR="00967E51" w:rsidRPr="003215B6">
        <w:rPr>
          <w:szCs w:val="24"/>
        </w:rPr>
        <w:t xml:space="preserve">:     Subsection </w:t>
      </w:r>
      <w:r w:rsidRPr="003215B6">
        <w:rPr>
          <w:szCs w:val="24"/>
        </w:rPr>
        <w:t>3</w:t>
      </w:r>
      <w:r w:rsidR="00967E51" w:rsidRPr="003215B6">
        <w:rPr>
          <w:szCs w:val="24"/>
        </w:rPr>
        <w:t>C</w:t>
      </w:r>
      <w:r w:rsidRPr="003215B6">
        <w:rPr>
          <w:szCs w:val="24"/>
        </w:rPr>
        <w:t xml:space="preserve">(1) of the </w:t>
      </w:r>
    </w:p>
    <w:p w14:paraId="2412D13B" w14:textId="0596CD30" w:rsidR="00A1739A" w:rsidRPr="003215B6" w:rsidRDefault="00A1739A" w:rsidP="000337CB">
      <w:pPr>
        <w:tabs>
          <w:tab w:val="left" w:pos="4820"/>
        </w:tabs>
        <w:rPr>
          <w:szCs w:val="24"/>
        </w:rPr>
        <w:sectPr w:rsidR="00A1739A" w:rsidRPr="003215B6" w:rsidSect="00235B6C">
          <w:headerReference w:type="default" r:id="rId11"/>
          <w:pgSz w:w="11906" w:h="16838"/>
          <w:pgMar w:top="1440" w:right="1800" w:bottom="1135" w:left="1800" w:header="708" w:footer="708" w:gutter="0"/>
          <w:pgNumType w:start="1"/>
          <w:cols w:space="708"/>
          <w:docGrid w:linePitch="360"/>
        </w:sectPr>
      </w:pPr>
      <w:r w:rsidRPr="003215B6">
        <w:rPr>
          <w:i/>
          <w:szCs w:val="24"/>
        </w:rPr>
        <w:tab/>
        <w:t>Health Insurance Act 1973</w:t>
      </w:r>
    </w:p>
    <w:p w14:paraId="2412D13D" w14:textId="77777777" w:rsidR="006D5816" w:rsidRPr="003215B6" w:rsidRDefault="006D5816" w:rsidP="000337CB">
      <w:pPr>
        <w:pStyle w:val="BodyText"/>
        <w:jc w:val="right"/>
        <w:rPr>
          <w:szCs w:val="24"/>
        </w:rPr>
      </w:pPr>
      <w:r w:rsidRPr="003215B6">
        <w:rPr>
          <w:szCs w:val="24"/>
        </w:rPr>
        <w:lastRenderedPageBreak/>
        <w:t>ATTACHMENT</w:t>
      </w:r>
    </w:p>
    <w:p w14:paraId="2412D13E" w14:textId="77777777" w:rsidR="006D5816" w:rsidRPr="0047484E" w:rsidRDefault="006D5816" w:rsidP="000337CB">
      <w:pPr>
        <w:pStyle w:val="BodyText"/>
        <w:rPr>
          <w:szCs w:val="24"/>
          <w:highlight w:val="yellow"/>
          <w:u w:val="single"/>
        </w:rPr>
      </w:pPr>
    </w:p>
    <w:p w14:paraId="5B0C808A" w14:textId="4BDB60D4" w:rsidR="00215191" w:rsidRPr="003215B6" w:rsidRDefault="00A41364" w:rsidP="00186752">
      <w:pPr>
        <w:pStyle w:val="BodyText"/>
        <w:rPr>
          <w:i/>
          <w:iCs/>
        </w:rPr>
      </w:pPr>
      <w:r w:rsidRPr="003215B6">
        <w:rPr>
          <w:szCs w:val="24"/>
        </w:rPr>
        <w:t xml:space="preserve">Details of the </w:t>
      </w:r>
      <w:r w:rsidR="006B14EC" w:rsidRPr="003215B6">
        <w:rPr>
          <w:i/>
        </w:rPr>
        <w:t xml:space="preserve">Health </w:t>
      </w:r>
      <w:r w:rsidR="003215B6" w:rsidRPr="003215B6">
        <w:rPr>
          <w:i/>
        </w:rPr>
        <w:t>Insurance (Section 3C General Medical Services – GP and Allied Health COVID-19 Services) Amendment Determination No. 3 2020</w:t>
      </w:r>
    </w:p>
    <w:p w14:paraId="7BBEB147" w14:textId="720F9678" w:rsidR="00E70355" w:rsidRPr="0047484E" w:rsidRDefault="00E70355" w:rsidP="000337CB">
      <w:pPr>
        <w:pStyle w:val="BodyText"/>
        <w:rPr>
          <w:b w:val="0"/>
          <w:i/>
          <w:szCs w:val="24"/>
          <w:highlight w:val="yellow"/>
        </w:rPr>
      </w:pPr>
    </w:p>
    <w:p w14:paraId="2412D141" w14:textId="7C34D5F4" w:rsidR="00FE02C2" w:rsidRPr="003215B6" w:rsidRDefault="001B0111" w:rsidP="000337CB">
      <w:pPr>
        <w:pStyle w:val="BodyText"/>
        <w:rPr>
          <w:b w:val="0"/>
          <w:szCs w:val="24"/>
          <w:u w:val="single"/>
        </w:rPr>
      </w:pPr>
      <w:r w:rsidRPr="003215B6">
        <w:rPr>
          <w:b w:val="0"/>
          <w:szCs w:val="24"/>
          <w:u w:val="single"/>
        </w:rPr>
        <w:t>Section 1 – Name</w:t>
      </w:r>
    </w:p>
    <w:p w14:paraId="2412D142" w14:textId="77777777" w:rsidR="00FE02C2" w:rsidRPr="003215B6" w:rsidRDefault="00FE02C2" w:rsidP="000337CB">
      <w:pPr>
        <w:pStyle w:val="BodyText"/>
        <w:rPr>
          <w:b w:val="0"/>
          <w:szCs w:val="24"/>
          <w:u w:val="single"/>
        </w:rPr>
      </w:pPr>
    </w:p>
    <w:p w14:paraId="2412D144" w14:textId="37512930" w:rsidR="00F83B6F" w:rsidRPr="003215B6" w:rsidRDefault="00BC7397" w:rsidP="00C67BC7">
      <w:pPr>
        <w:pStyle w:val="BodyText"/>
        <w:rPr>
          <w:i/>
          <w:iCs/>
        </w:rPr>
      </w:pPr>
      <w:r w:rsidRPr="003215B6">
        <w:rPr>
          <w:b w:val="0"/>
          <w:szCs w:val="24"/>
        </w:rPr>
        <w:t>S</w:t>
      </w:r>
      <w:r w:rsidR="00FE02C2" w:rsidRPr="003215B6">
        <w:rPr>
          <w:b w:val="0"/>
          <w:szCs w:val="24"/>
        </w:rPr>
        <w:t xml:space="preserve">ection </w:t>
      </w:r>
      <w:r w:rsidRPr="003215B6">
        <w:rPr>
          <w:b w:val="0"/>
          <w:szCs w:val="24"/>
        </w:rPr>
        <w:t xml:space="preserve">1 </w:t>
      </w:r>
      <w:r w:rsidR="00FE02C2" w:rsidRPr="003215B6">
        <w:rPr>
          <w:b w:val="0"/>
          <w:szCs w:val="24"/>
        </w:rPr>
        <w:t>provides</w:t>
      </w:r>
      <w:r w:rsidR="008B683E" w:rsidRPr="003215B6">
        <w:rPr>
          <w:b w:val="0"/>
          <w:szCs w:val="24"/>
        </w:rPr>
        <w:t xml:space="preserve"> for the </w:t>
      </w:r>
      <w:r w:rsidR="008B2094" w:rsidRPr="003215B6">
        <w:rPr>
          <w:b w:val="0"/>
          <w:szCs w:val="24"/>
        </w:rPr>
        <w:t>Determination</w:t>
      </w:r>
      <w:r w:rsidR="00FE02C2" w:rsidRPr="003215B6">
        <w:rPr>
          <w:b w:val="0"/>
          <w:szCs w:val="24"/>
        </w:rPr>
        <w:t xml:space="preserve"> to be referred to as the </w:t>
      </w:r>
      <w:r w:rsidR="006B14EC" w:rsidRPr="003215B6">
        <w:rPr>
          <w:b w:val="0"/>
          <w:i/>
        </w:rPr>
        <w:t xml:space="preserve">Health </w:t>
      </w:r>
      <w:r w:rsidR="003215B6" w:rsidRPr="003215B6">
        <w:rPr>
          <w:b w:val="0"/>
          <w:i/>
        </w:rPr>
        <w:t>Insurance (Section 3C General Medical Services – GP and Allied Health COVID-19 Services) Amendment Determination No. 3 2020</w:t>
      </w:r>
      <w:r w:rsidR="009336C8">
        <w:rPr>
          <w:b w:val="0"/>
          <w:i/>
        </w:rPr>
        <w:t>.</w:t>
      </w:r>
    </w:p>
    <w:p w14:paraId="68DAA207" w14:textId="77777777" w:rsidR="00FD602D" w:rsidRPr="0047484E" w:rsidRDefault="00FD602D" w:rsidP="00FD602D">
      <w:pPr>
        <w:rPr>
          <w:highlight w:val="yellow"/>
        </w:rPr>
      </w:pPr>
    </w:p>
    <w:p w14:paraId="49D1E050" w14:textId="77777777" w:rsidR="007A4089" w:rsidRPr="00F820C0" w:rsidRDefault="00FE02C2" w:rsidP="000337CB">
      <w:pPr>
        <w:pStyle w:val="BodyText"/>
        <w:rPr>
          <w:b w:val="0"/>
          <w:szCs w:val="24"/>
          <w:u w:val="single"/>
        </w:rPr>
      </w:pPr>
      <w:r w:rsidRPr="00F820C0">
        <w:rPr>
          <w:b w:val="0"/>
          <w:szCs w:val="24"/>
          <w:u w:val="single"/>
        </w:rPr>
        <w:t xml:space="preserve">Section 2 – Commencement </w:t>
      </w:r>
    </w:p>
    <w:p w14:paraId="2DCE2ED0" w14:textId="77777777" w:rsidR="007A4089" w:rsidRPr="00F820C0" w:rsidRDefault="007A4089" w:rsidP="000337CB">
      <w:pPr>
        <w:pStyle w:val="BodyText"/>
        <w:rPr>
          <w:b w:val="0"/>
          <w:szCs w:val="24"/>
          <w:u w:val="single"/>
        </w:rPr>
      </w:pPr>
    </w:p>
    <w:p w14:paraId="16C03200" w14:textId="6A5487EF" w:rsidR="007E0017" w:rsidRDefault="00F820C0" w:rsidP="000337CB">
      <w:pPr>
        <w:pStyle w:val="BodyText"/>
        <w:rPr>
          <w:b w:val="0"/>
          <w:szCs w:val="24"/>
        </w:rPr>
      </w:pPr>
      <w:r w:rsidRPr="00F820C0">
        <w:rPr>
          <w:b w:val="0"/>
          <w:szCs w:val="24"/>
        </w:rPr>
        <w:t xml:space="preserve">The Determination commences immediately after the commencement of the Schedule to the </w:t>
      </w:r>
      <w:r w:rsidRPr="00F820C0">
        <w:rPr>
          <w:b w:val="0"/>
          <w:i/>
          <w:szCs w:val="24"/>
        </w:rPr>
        <w:t>Health Insurance (Section 3C General Medical Services – GP and Allied Health COVID-19 Services) Amendm</w:t>
      </w:r>
      <w:r w:rsidR="00D706F8">
        <w:rPr>
          <w:b w:val="0"/>
          <w:i/>
          <w:szCs w:val="24"/>
        </w:rPr>
        <w:t>ent Determination No.</w:t>
      </w:r>
      <w:r w:rsidRPr="00F820C0">
        <w:rPr>
          <w:b w:val="0"/>
          <w:i/>
          <w:szCs w:val="24"/>
        </w:rPr>
        <w:t>1 2020.</w:t>
      </w:r>
    </w:p>
    <w:p w14:paraId="52409296" w14:textId="77777777" w:rsidR="00F820C0" w:rsidRPr="00F820C0" w:rsidRDefault="00F820C0" w:rsidP="000337CB">
      <w:pPr>
        <w:pStyle w:val="BodyText"/>
        <w:rPr>
          <w:b w:val="0"/>
          <w:szCs w:val="24"/>
        </w:rPr>
      </w:pPr>
    </w:p>
    <w:p w14:paraId="005D5660" w14:textId="77777777" w:rsidR="007A4089" w:rsidRPr="00F820C0" w:rsidRDefault="00FE02C2" w:rsidP="000337CB">
      <w:pPr>
        <w:pStyle w:val="BodyText"/>
        <w:rPr>
          <w:b w:val="0"/>
          <w:szCs w:val="24"/>
          <w:u w:val="single"/>
        </w:rPr>
      </w:pPr>
      <w:r w:rsidRPr="00F820C0">
        <w:rPr>
          <w:b w:val="0"/>
          <w:szCs w:val="24"/>
          <w:u w:val="single"/>
        </w:rPr>
        <w:t xml:space="preserve">Section 3 – </w:t>
      </w:r>
      <w:r w:rsidR="00E5798A" w:rsidRPr="00F820C0">
        <w:rPr>
          <w:b w:val="0"/>
          <w:szCs w:val="24"/>
          <w:u w:val="single"/>
        </w:rPr>
        <w:t>Authority</w:t>
      </w:r>
    </w:p>
    <w:p w14:paraId="53BFA098" w14:textId="77777777" w:rsidR="007A4089" w:rsidRPr="00F820C0" w:rsidRDefault="007A4089" w:rsidP="000337CB">
      <w:pPr>
        <w:pStyle w:val="BodyText"/>
        <w:rPr>
          <w:b w:val="0"/>
          <w:szCs w:val="24"/>
          <w:u w:val="single"/>
        </w:rPr>
      </w:pPr>
    </w:p>
    <w:p w14:paraId="2412D14B" w14:textId="60EB4E9C" w:rsidR="00FE02C2" w:rsidRPr="00F820C0" w:rsidRDefault="00F83B6F" w:rsidP="000337CB">
      <w:pPr>
        <w:pStyle w:val="BodyText"/>
        <w:rPr>
          <w:b w:val="0"/>
        </w:rPr>
      </w:pPr>
      <w:r w:rsidRPr="00F820C0">
        <w:rPr>
          <w:b w:val="0"/>
        </w:rPr>
        <w:t xml:space="preserve">Section 3 provides that the </w:t>
      </w:r>
      <w:r w:rsidR="008B2094" w:rsidRPr="00F820C0">
        <w:rPr>
          <w:b w:val="0"/>
          <w:szCs w:val="24"/>
        </w:rPr>
        <w:t xml:space="preserve">Determination </w:t>
      </w:r>
      <w:r w:rsidR="00E5798A" w:rsidRPr="00F820C0">
        <w:rPr>
          <w:b w:val="0"/>
        </w:rPr>
        <w:t xml:space="preserve">is made under </w:t>
      </w:r>
      <w:r w:rsidR="00367440" w:rsidRPr="00F820C0">
        <w:rPr>
          <w:b w:val="0"/>
        </w:rPr>
        <w:t xml:space="preserve">subsection </w:t>
      </w:r>
      <w:r w:rsidR="00E5798A" w:rsidRPr="00F820C0">
        <w:rPr>
          <w:b w:val="0"/>
        </w:rPr>
        <w:t xml:space="preserve">3C(1) of the </w:t>
      </w:r>
      <w:r w:rsidR="00E5798A" w:rsidRPr="00F820C0">
        <w:rPr>
          <w:b w:val="0"/>
          <w:i/>
        </w:rPr>
        <w:t>Health Insurance Act 1973</w:t>
      </w:r>
      <w:r w:rsidR="00E5798A" w:rsidRPr="00F820C0">
        <w:rPr>
          <w:b w:val="0"/>
        </w:rPr>
        <w:t>.</w:t>
      </w:r>
    </w:p>
    <w:p w14:paraId="0DBF1241" w14:textId="77777777" w:rsidR="00E70355" w:rsidRPr="0047484E" w:rsidRDefault="00E70355" w:rsidP="000337CB">
      <w:pPr>
        <w:pStyle w:val="BodyText"/>
        <w:rPr>
          <w:b w:val="0"/>
          <w:highlight w:val="yellow"/>
        </w:rPr>
      </w:pPr>
    </w:p>
    <w:p w14:paraId="20CBF84A" w14:textId="77777777" w:rsidR="00C63FDC" w:rsidRPr="00F820C0" w:rsidRDefault="00C63FDC" w:rsidP="00C63FDC">
      <w:pPr>
        <w:pStyle w:val="BodyText"/>
        <w:rPr>
          <w:b w:val="0"/>
          <w:szCs w:val="24"/>
          <w:u w:val="single"/>
        </w:rPr>
      </w:pPr>
      <w:r w:rsidRPr="00F820C0">
        <w:rPr>
          <w:b w:val="0"/>
          <w:szCs w:val="24"/>
          <w:u w:val="single"/>
        </w:rPr>
        <w:t>Section 4 – Schedules</w:t>
      </w:r>
    </w:p>
    <w:p w14:paraId="4C010161" w14:textId="77777777" w:rsidR="00C63FDC" w:rsidRPr="00F820C0" w:rsidRDefault="00C63FDC" w:rsidP="00C63FDC">
      <w:pPr>
        <w:pStyle w:val="BodyText"/>
        <w:rPr>
          <w:b w:val="0"/>
          <w:szCs w:val="24"/>
          <w:u w:val="single"/>
        </w:rPr>
      </w:pPr>
    </w:p>
    <w:p w14:paraId="5D9EBF8D" w14:textId="77777777" w:rsidR="00C63FDC" w:rsidRPr="00F820C0" w:rsidRDefault="00C63FDC" w:rsidP="00C63FDC">
      <w:pPr>
        <w:pStyle w:val="BodyText"/>
        <w:rPr>
          <w:b w:val="0"/>
          <w:szCs w:val="24"/>
        </w:rPr>
      </w:pPr>
      <w:r w:rsidRPr="00F820C0">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47484E" w:rsidRDefault="007E0017" w:rsidP="00404F11">
      <w:pPr>
        <w:pStyle w:val="BodyText"/>
        <w:rPr>
          <w:b w:val="0"/>
          <w:szCs w:val="24"/>
          <w:highlight w:val="yellow"/>
        </w:rPr>
      </w:pPr>
    </w:p>
    <w:p w14:paraId="768D340E" w14:textId="77777777" w:rsidR="00C63FDC" w:rsidRPr="00F820C0" w:rsidRDefault="00C63FDC" w:rsidP="00C63FDC">
      <w:pPr>
        <w:pStyle w:val="Header"/>
        <w:tabs>
          <w:tab w:val="num" w:pos="1080"/>
        </w:tabs>
        <w:rPr>
          <w:szCs w:val="24"/>
          <w:u w:val="single"/>
        </w:rPr>
      </w:pPr>
      <w:r w:rsidRPr="00F820C0">
        <w:rPr>
          <w:szCs w:val="24"/>
          <w:u w:val="single"/>
        </w:rPr>
        <w:t>Schedule 1 – Amendments</w:t>
      </w:r>
    </w:p>
    <w:p w14:paraId="2212E577" w14:textId="77777777" w:rsidR="00C63FDC" w:rsidRPr="00F820C0" w:rsidRDefault="00C63FDC" w:rsidP="00C63FDC">
      <w:pPr>
        <w:pStyle w:val="Header"/>
        <w:tabs>
          <w:tab w:val="num" w:pos="1080"/>
        </w:tabs>
        <w:rPr>
          <w:szCs w:val="24"/>
          <w:u w:val="single"/>
        </w:rPr>
      </w:pPr>
    </w:p>
    <w:p w14:paraId="13DD68D7" w14:textId="234E1A6E" w:rsidR="00036E2B" w:rsidRPr="00F820C0" w:rsidRDefault="003F40EC" w:rsidP="00C63FDC">
      <w:pPr>
        <w:pStyle w:val="Header"/>
        <w:tabs>
          <w:tab w:val="num" w:pos="1080"/>
        </w:tabs>
      </w:pPr>
      <w:r w:rsidRPr="00F820C0">
        <w:t xml:space="preserve">Schedule 1 will amend the </w:t>
      </w:r>
      <w:r w:rsidRPr="00F820C0">
        <w:rPr>
          <w:i/>
        </w:rPr>
        <w:t xml:space="preserve">Health Insurance (Section 3C General Medical Services – GP and Allied Health COVID-19 Services) Determination 2020 </w:t>
      </w:r>
      <w:r w:rsidRPr="00F820C0">
        <w:t xml:space="preserve">to list new </w:t>
      </w:r>
      <w:r w:rsidR="00F820C0" w:rsidRPr="00F820C0">
        <w:t xml:space="preserve">Level A consultation items </w:t>
      </w:r>
      <w:r w:rsidR="00F820C0" w:rsidRPr="00F820C0">
        <w:br/>
      </w:r>
      <w:r w:rsidRPr="00F820C0">
        <w:t xml:space="preserve">to enable </w:t>
      </w:r>
      <w:r w:rsidR="00036E2B" w:rsidRPr="00F820C0">
        <w:t xml:space="preserve">patients at risk of COVID-19 </w:t>
      </w:r>
      <w:r w:rsidRPr="00F820C0">
        <w:t xml:space="preserve">to access remote </w:t>
      </w:r>
      <w:r w:rsidR="00F820C0" w:rsidRPr="00F820C0">
        <w:t>general practice and nurse practitioner services.</w:t>
      </w:r>
    </w:p>
    <w:p w14:paraId="1EB08A08" w14:textId="3CF65DC3" w:rsidR="00036E2B" w:rsidRDefault="00036E2B" w:rsidP="00C63FDC">
      <w:pPr>
        <w:pStyle w:val="Header"/>
        <w:tabs>
          <w:tab w:val="num" w:pos="1080"/>
        </w:tabs>
      </w:pPr>
    </w:p>
    <w:p w14:paraId="0D2ABA87" w14:textId="6E247989" w:rsidR="00C763FD" w:rsidRPr="00E65230" w:rsidRDefault="00C763FD" w:rsidP="00C763FD">
      <w:pPr>
        <w:pStyle w:val="Header"/>
        <w:tabs>
          <w:tab w:val="num" w:pos="1080"/>
        </w:tabs>
      </w:pPr>
      <w:r>
        <w:t xml:space="preserve">Amendment 1 repeals and substitutes </w:t>
      </w:r>
      <w:r w:rsidRPr="00C763FD">
        <w:t>subclause 1.1.1(1)</w:t>
      </w:r>
      <w:r>
        <w:t xml:space="preserve"> to add the two new regional other medical practitioner items (</w:t>
      </w:r>
      <w:r w:rsidRPr="00C763FD">
        <w:t>91794</w:t>
      </w:r>
      <w:r>
        <w:t xml:space="preserve"> and </w:t>
      </w:r>
      <w:r w:rsidRPr="00C763FD">
        <w:t>91799</w:t>
      </w:r>
      <w:r>
        <w:t xml:space="preserve">). </w:t>
      </w:r>
      <w:r w:rsidR="00E65230">
        <w:t>Subclause 1.1.1(1) incorporates the definition of “</w:t>
      </w:r>
      <w:r w:rsidR="00E65230" w:rsidRPr="00E65230">
        <w:t>eligible area</w:t>
      </w:r>
      <w:r w:rsidR="00E65230">
        <w:t xml:space="preserve">”, as defined in section 4 of the </w:t>
      </w:r>
      <w:r w:rsidR="00E65230" w:rsidRPr="00E65230">
        <w:rPr>
          <w:i/>
        </w:rPr>
        <w:t>Health Insurance (Section 3C General Medical Services – Other Medical Practitioner) Determination 2018</w:t>
      </w:r>
      <w:r w:rsidR="00E65230">
        <w:t xml:space="preserve">, as </w:t>
      </w:r>
      <w:r w:rsidR="00E65230" w:rsidRPr="00E65230">
        <w:t>in force from time to time</w:t>
      </w:r>
      <w:r w:rsidR="00E65230">
        <w:t>.</w:t>
      </w:r>
    </w:p>
    <w:p w14:paraId="68CDD3CB" w14:textId="77777777" w:rsidR="00C763FD" w:rsidRDefault="00C763FD" w:rsidP="00C763FD">
      <w:pPr>
        <w:pStyle w:val="Header"/>
        <w:tabs>
          <w:tab w:val="num" w:pos="1080"/>
        </w:tabs>
      </w:pPr>
    </w:p>
    <w:p w14:paraId="643B27C0" w14:textId="677E068A" w:rsidR="00C763FD" w:rsidRDefault="00F820C0" w:rsidP="00C763FD">
      <w:pPr>
        <w:pStyle w:val="Header"/>
        <w:tabs>
          <w:tab w:val="num" w:pos="1080"/>
        </w:tabs>
      </w:pPr>
      <w:r w:rsidRPr="00C763FD">
        <w:t>Amendments 2 to 7 list six new items 91790, 91792, 91794, 91795, 91797, 91799 that provide an equivalent Level A attendance service</w:t>
      </w:r>
      <w:r w:rsidR="00C763FD">
        <w:t xml:space="preserve"> which can be performed remotely.</w:t>
      </w:r>
      <w:r w:rsidRPr="00C763FD">
        <w:t xml:space="preserve"> </w:t>
      </w:r>
      <w:r w:rsidR="00C763FD" w:rsidRPr="00F820C0">
        <w:t xml:space="preserve">Items 91790 and 91795 </w:t>
      </w:r>
      <w:r w:rsidR="00C763FD">
        <w:t>can be rendered by GPs and</w:t>
      </w:r>
      <w:r w:rsidR="00C763FD" w:rsidRPr="00F820C0">
        <w:t xml:space="preserve"> items 91792, 91794, 91797 and 91799 can be rendered by medical practitioners in general practice.</w:t>
      </w:r>
    </w:p>
    <w:p w14:paraId="51512C79" w14:textId="77777777" w:rsidR="00C763FD" w:rsidRDefault="00C763FD" w:rsidP="00F820C0">
      <w:pPr>
        <w:pStyle w:val="Header"/>
        <w:tabs>
          <w:tab w:val="num" w:pos="1080"/>
        </w:tabs>
      </w:pPr>
    </w:p>
    <w:p w14:paraId="607B4A72" w14:textId="77777777" w:rsidR="00C763FD" w:rsidRDefault="00C763FD" w:rsidP="00C763FD">
      <w:pPr>
        <w:pStyle w:val="Header"/>
        <w:tabs>
          <w:tab w:val="num" w:pos="1080"/>
        </w:tabs>
      </w:pPr>
      <w:r w:rsidRPr="00C763FD">
        <w:t>Amendments 8 and 9</w:t>
      </w:r>
      <w:r w:rsidRPr="00C763FD">
        <w:t xml:space="preserve"> list</w:t>
      </w:r>
      <w:r w:rsidRPr="00C763FD">
        <w:t xml:space="preserve"> two</w:t>
      </w:r>
      <w:r w:rsidRPr="00C763FD">
        <w:t xml:space="preserve"> new items </w:t>
      </w:r>
      <w:r w:rsidRPr="00C763FD">
        <w:t xml:space="preserve">91192 and 91193 </w:t>
      </w:r>
      <w:r w:rsidRPr="00C763FD">
        <w:t xml:space="preserve">that provide an equivalent Level A </w:t>
      </w:r>
      <w:r w:rsidRPr="00C763FD">
        <w:t xml:space="preserve">participating nurse practitioner </w:t>
      </w:r>
      <w:r w:rsidRPr="00C763FD">
        <w:t xml:space="preserve">attendance service which can be performed remotely. </w:t>
      </w:r>
    </w:p>
    <w:p w14:paraId="4ADB73BB" w14:textId="77777777" w:rsidR="00C763FD" w:rsidRDefault="00C763FD" w:rsidP="00C763FD">
      <w:pPr>
        <w:pStyle w:val="Header"/>
        <w:tabs>
          <w:tab w:val="num" w:pos="1080"/>
        </w:tabs>
      </w:pPr>
    </w:p>
    <w:p w14:paraId="30126DBD" w14:textId="24AD0C35" w:rsidR="00C763FD" w:rsidRDefault="00C763FD" w:rsidP="00C763FD">
      <w:pPr>
        <w:pStyle w:val="Header"/>
        <w:tabs>
          <w:tab w:val="num" w:pos="1080"/>
        </w:tabs>
      </w:pPr>
      <w:r w:rsidRPr="00C763FD">
        <w:t>Amendment 8 also makes editorial changes to existing items 91178, 91179 and 91180 to clarify they are Level B to D equivalent services.</w:t>
      </w:r>
      <w:r>
        <w:t xml:space="preserve"> Amendment 9 amends an error in the descriptor of item </w:t>
      </w:r>
      <w:r w:rsidRPr="00C763FD">
        <w:t>91222</w:t>
      </w:r>
      <w:r>
        <w:t xml:space="preserve"> to replace “telehealth” with “phone”, consistent with the policy intent of the item.</w:t>
      </w:r>
    </w:p>
    <w:p w14:paraId="2B14F7A9" w14:textId="396C1395" w:rsidR="00E65230" w:rsidRDefault="00E65230">
      <w:pPr>
        <w:spacing w:after="200" w:line="276" w:lineRule="auto"/>
        <w:rPr>
          <w:b/>
          <w:sz w:val="28"/>
          <w:szCs w:val="28"/>
          <w:highlight w:val="yellow"/>
        </w:rPr>
      </w:pPr>
      <w:r>
        <w:rPr>
          <w:b/>
          <w:sz w:val="28"/>
          <w:szCs w:val="28"/>
          <w:highlight w:val="yellow"/>
        </w:rPr>
        <w:br w:type="page"/>
      </w:r>
    </w:p>
    <w:p w14:paraId="023806A9" w14:textId="77777777" w:rsidR="00F91A58" w:rsidRPr="0047484E" w:rsidRDefault="00F91A58" w:rsidP="00C763FD">
      <w:pPr>
        <w:spacing w:after="200" w:line="276" w:lineRule="auto"/>
        <w:rPr>
          <w:b/>
          <w:sz w:val="28"/>
          <w:szCs w:val="28"/>
          <w:highlight w:val="yellow"/>
        </w:rPr>
      </w:pPr>
      <w:bookmarkStart w:id="0" w:name="_GoBack"/>
      <w:bookmarkEnd w:id="0"/>
    </w:p>
    <w:p w14:paraId="2412D14E" w14:textId="0E613FE8" w:rsidR="00A17F2C" w:rsidRPr="00C763FD" w:rsidRDefault="00A17F2C" w:rsidP="008D136F">
      <w:pPr>
        <w:pStyle w:val="Header"/>
        <w:tabs>
          <w:tab w:val="num" w:pos="1080"/>
        </w:tabs>
        <w:jc w:val="center"/>
        <w:rPr>
          <w:b/>
          <w:sz w:val="28"/>
          <w:szCs w:val="28"/>
        </w:rPr>
      </w:pPr>
      <w:r w:rsidRPr="00C763FD">
        <w:rPr>
          <w:b/>
          <w:sz w:val="28"/>
          <w:szCs w:val="28"/>
        </w:rPr>
        <w:t>Statement of Compatibility with Human Rights</w:t>
      </w:r>
    </w:p>
    <w:p w14:paraId="2412D14F" w14:textId="77777777" w:rsidR="00A17F2C" w:rsidRPr="00C763FD" w:rsidRDefault="00A17F2C" w:rsidP="000337CB">
      <w:pPr>
        <w:spacing w:before="120" w:after="120"/>
        <w:jc w:val="center"/>
        <w:rPr>
          <w:szCs w:val="24"/>
        </w:rPr>
      </w:pPr>
      <w:r w:rsidRPr="00C763FD">
        <w:rPr>
          <w:i/>
          <w:szCs w:val="24"/>
        </w:rPr>
        <w:t>Prepared in accordance with Part 3 of the Human Rights (Parliamentary Scrutiny) Act 2011</w:t>
      </w:r>
    </w:p>
    <w:p w14:paraId="751DE726" w14:textId="77777777" w:rsidR="002A6C77" w:rsidRPr="0047484E" w:rsidRDefault="002A6C77" w:rsidP="000337CB">
      <w:pPr>
        <w:tabs>
          <w:tab w:val="left" w:pos="1418"/>
        </w:tabs>
        <w:ind w:left="851"/>
        <w:jc w:val="center"/>
        <w:rPr>
          <w:b/>
          <w:i/>
          <w:iCs/>
          <w:highlight w:val="yellow"/>
        </w:rPr>
      </w:pPr>
    </w:p>
    <w:p w14:paraId="1BF56C38" w14:textId="7EA6B81C" w:rsidR="007708B3" w:rsidRPr="0047484E" w:rsidRDefault="00C763FD" w:rsidP="000337CB">
      <w:pPr>
        <w:tabs>
          <w:tab w:val="left" w:pos="1418"/>
        </w:tabs>
        <w:ind w:left="851"/>
        <w:jc w:val="center"/>
        <w:rPr>
          <w:b/>
          <w:i/>
          <w:highlight w:val="yellow"/>
        </w:rPr>
      </w:pPr>
      <w:r w:rsidRPr="00C763FD">
        <w:rPr>
          <w:b/>
          <w:i/>
        </w:rPr>
        <w:t>Health Insurance (Section 3C General Medical Services – GP and Allied Health COVID-19 Services) Amendment Determination No. 3 2020</w:t>
      </w:r>
    </w:p>
    <w:p w14:paraId="333D57AA" w14:textId="77777777" w:rsidR="00067581" w:rsidRPr="0047484E" w:rsidRDefault="00067581" w:rsidP="000337CB">
      <w:pPr>
        <w:tabs>
          <w:tab w:val="left" w:pos="1418"/>
        </w:tabs>
        <w:ind w:left="851"/>
        <w:jc w:val="center"/>
        <w:rPr>
          <w:b/>
          <w:i/>
          <w:szCs w:val="24"/>
          <w:highlight w:val="yellow"/>
        </w:rPr>
      </w:pPr>
    </w:p>
    <w:p w14:paraId="2412D153" w14:textId="7AFD921D" w:rsidR="00A17F2C" w:rsidRPr="00C763FD" w:rsidRDefault="00A17F2C" w:rsidP="000337CB">
      <w:pPr>
        <w:jc w:val="center"/>
        <w:rPr>
          <w:szCs w:val="24"/>
        </w:rPr>
      </w:pPr>
      <w:r w:rsidRPr="00C763FD">
        <w:rPr>
          <w:szCs w:val="24"/>
        </w:rPr>
        <w:t xml:space="preserve">This </w:t>
      </w:r>
      <w:r w:rsidR="0046022A" w:rsidRPr="00C763FD">
        <w:rPr>
          <w:szCs w:val="24"/>
        </w:rPr>
        <w:t>instrument</w:t>
      </w:r>
      <w:r w:rsidRPr="00C763FD">
        <w:rPr>
          <w:szCs w:val="24"/>
        </w:rPr>
        <w:t xml:space="preserve"> is compatible with the human rights and freedoms recognised or declared in the international instruments listed in section 3 of the </w:t>
      </w:r>
      <w:r w:rsidRPr="00C763FD">
        <w:rPr>
          <w:i/>
          <w:szCs w:val="24"/>
        </w:rPr>
        <w:t>Human Rights (Parliamentary Scrutiny) Act 2011</w:t>
      </w:r>
      <w:r w:rsidRPr="00C763FD">
        <w:rPr>
          <w:szCs w:val="24"/>
        </w:rPr>
        <w:t>.</w:t>
      </w:r>
    </w:p>
    <w:p w14:paraId="7EDA9098" w14:textId="306A78E1" w:rsidR="006E6BBF" w:rsidRPr="00E65230" w:rsidRDefault="006E6BBF" w:rsidP="008734F5">
      <w:pPr>
        <w:spacing w:before="120" w:after="120"/>
        <w:rPr>
          <w:b/>
          <w:szCs w:val="24"/>
        </w:rPr>
      </w:pPr>
      <w:r w:rsidRPr="00E65230">
        <w:rPr>
          <w:b/>
          <w:szCs w:val="24"/>
        </w:rPr>
        <w:t xml:space="preserve">Overview of the </w:t>
      </w:r>
      <w:r w:rsidR="00B86A9F" w:rsidRPr="00E65230">
        <w:rPr>
          <w:b/>
          <w:szCs w:val="24"/>
        </w:rPr>
        <w:t>Determination</w:t>
      </w:r>
    </w:p>
    <w:p w14:paraId="063432A6" w14:textId="1F7F9D86" w:rsidR="00E65230" w:rsidRPr="00E65230" w:rsidRDefault="00E65230" w:rsidP="00E65230">
      <w:pPr>
        <w:rPr>
          <w:iCs/>
        </w:rPr>
      </w:pPr>
      <w:r w:rsidRPr="00E65230">
        <w:rPr>
          <w:iCs/>
        </w:rPr>
        <w:t xml:space="preserve">The purpose of the </w:t>
      </w:r>
      <w:r w:rsidRPr="00E65230">
        <w:rPr>
          <w:i/>
          <w:iCs/>
        </w:rPr>
        <w:t xml:space="preserve">Health Insurance (Section 3C General Medical Services – GP and Allied Health COVID-19 Services) Amendment Determination No. 3 2020 </w:t>
      </w:r>
      <w:r w:rsidRPr="00E65230">
        <w:rPr>
          <w:iCs/>
        </w:rPr>
        <w:t xml:space="preserve">is to amend the Principal Determination to list new Level A consultation services provided by GPs, other doctors in general practice, and nurse practitioners. </w:t>
      </w:r>
      <w:r w:rsidRPr="00E65230">
        <w:rPr>
          <w:iCs/>
        </w:rPr>
        <w:t>These services are to be provided remotely (by telehealth or telephone).</w:t>
      </w:r>
    </w:p>
    <w:p w14:paraId="31515278" w14:textId="28FBF7FC" w:rsidR="007708B3" w:rsidRPr="00E65230" w:rsidRDefault="007708B3" w:rsidP="002A6C77">
      <w:pPr>
        <w:ind w:right="-482"/>
        <w:rPr>
          <w:iCs/>
        </w:rPr>
      </w:pPr>
    </w:p>
    <w:p w14:paraId="2412D15C" w14:textId="50D38E8B" w:rsidR="00A17F2C" w:rsidRPr="00E65230" w:rsidRDefault="00A17F2C" w:rsidP="00067581">
      <w:pPr>
        <w:keepNext/>
        <w:keepLines/>
        <w:ind w:right="-482"/>
        <w:rPr>
          <w:b/>
          <w:szCs w:val="24"/>
        </w:rPr>
      </w:pPr>
      <w:r w:rsidRPr="00E65230">
        <w:rPr>
          <w:b/>
          <w:szCs w:val="24"/>
        </w:rPr>
        <w:t>Human rights implications</w:t>
      </w:r>
    </w:p>
    <w:p w14:paraId="449665F0" w14:textId="2ED3F54B" w:rsidR="00806020" w:rsidRPr="00E65230" w:rsidRDefault="00806020" w:rsidP="00067581">
      <w:pPr>
        <w:keepNext/>
        <w:keepLines/>
        <w:spacing w:before="120" w:after="120"/>
        <w:rPr>
          <w:szCs w:val="24"/>
        </w:rPr>
      </w:pPr>
      <w:r w:rsidRPr="00E6523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E65230" w:rsidRDefault="00A17F2C" w:rsidP="00806020">
      <w:pPr>
        <w:spacing w:before="120" w:after="120"/>
        <w:rPr>
          <w:i/>
          <w:szCs w:val="24"/>
        </w:rPr>
      </w:pPr>
      <w:r w:rsidRPr="00E65230">
        <w:rPr>
          <w:i/>
          <w:szCs w:val="24"/>
        </w:rPr>
        <w:t>The Right to Health</w:t>
      </w:r>
    </w:p>
    <w:p w14:paraId="2412D15F" w14:textId="77777777" w:rsidR="00A17F2C" w:rsidRPr="00E65230" w:rsidRDefault="00A17F2C" w:rsidP="000337CB">
      <w:pPr>
        <w:spacing w:before="120" w:after="120"/>
        <w:rPr>
          <w:szCs w:val="24"/>
        </w:rPr>
      </w:pPr>
      <w:r w:rsidRPr="00E6523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E65230" w:rsidRDefault="00A17F2C" w:rsidP="000337CB">
      <w:pPr>
        <w:spacing w:before="120" w:after="120"/>
        <w:rPr>
          <w:szCs w:val="24"/>
        </w:rPr>
      </w:pPr>
      <w:r w:rsidRPr="00E65230">
        <w:rPr>
          <w:szCs w:val="24"/>
        </w:rPr>
        <w:t xml:space="preserve">The Committee reports that the </w:t>
      </w:r>
      <w:r w:rsidRPr="00E65230">
        <w:rPr>
          <w:i/>
          <w:szCs w:val="24"/>
        </w:rPr>
        <w:t>‘highest attainable standard of health’</w:t>
      </w:r>
      <w:r w:rsidRPr="00E65230">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E65230" w:rsidRDefault="00A17F2C" w:rsidP="000337CB">
      <w:pPr>
        <w:spacing w:before="120" w:after="120"/>
        <w:rPr>
          <w:i/>
          <w:szCs w:val="24"/>
        </w:rPr>
      </w:pPr>
      <w:r w:rsidRPr="00E65230">
        <w:rPr>
          <w:i/>
          <w:szCs w:val="24"/>
        </w:rPr>
        <w:t xml:space="preserve">The Right to Social Security </w:t>
      </w:r>
    </w:p>
    <w:p w14:paraId="2412D162" w14:textId="77777777" w:rsidR="00A17F2C" w:rsidRPr="00E65230" w:rsidRDefault="00A17F2C" w:rsidP="000337CB">
      <w:pPr>
        <w:spacing w:before="120" w:after="120"/>
        <w:rPr>
          <w:szCs w:val="24"/>
        </w:rPr>
      </w:pPr>
      <w:r w:rsidRPr="00E65230">
        <w:rPr>
          <w:szCs w:val="24"/>
        </w:rPr>
        <w:t>The right to social security is contained in Article 9 of the ICESCR. It requires that a country must, within its maximum available resources, ensure access to a social security scheme that</w:t>
      </w:r>
      <w:r w:rsidR="00BA69CB" w:rsidRPr="00E65230">
        <w:rPr>
          <w:szCs w:val="24"/>
        </w:rPr>
        <w:t xml:space="preserve"> </w:t>
      </w:r>
      <w:r w:rsidRPr="00E65230">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E65230" w:rsidRDefault="00A17F2C" w:rsidP="000337CB">
      <w:pPr>
        <w:spacing w:before="120" w:after="120"/>
        <w:rPr>
          <w:szCs w:val="24"/>
        </w:rPr>
      </w:pPr>
      <w:r w:rsidRPr="00E65230">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E65230" w:rsidRDefault="00A17F2C" w:rsidP="000337CB">
      <w:pPr>
        <w:spacing w:before="120" w:after="120"/>
        <w:rPr>
          <w:szCs w:val="24"/>
          <w:u w:val="single"/>
        </w:rPr>
      </w:pPr>
      <w:r w:rsidRPr="00E65230">
        <w:rPr>
          <w:szCs w:val="24"/>
          <w:u w:val="single"/>
        </w:rPr>
        <w:lastRenderedPageBreak/>
        <w:t xml:space="preserve">Analysis </w:t>
      </w:r>
    </w:p>
    <w:p w14:paraId="4BF9070B" w14:textId="77777777" w:rsidR="00067581" w:rsidRPr="00E65230" w:rsidRDefault="00067581" w:rsidP="00067581">
      <w:pPr>
        <w:rPr>
          <w:szCs w:val="24"/>
        </w:rPr>
      </w:pPr>
      <w:r w:rsidRPr="00E65230">
        <w:rPr>
          <w:szCs w:val="24"/>
        </w:rPr>
        <w:t xml:space="preserve">This instrument advances the right to health and the right to social security by ensuring people who have been affected by </w:t>
      </w:r>
      <w:r w:rsidRPr="00E65230">
        <w:t xml:space="preserve">COVID-19 </w:t>
      </w:r>
      <w:r w:rsidRPr="00E65230">
        <w:rPr>
          <w:szCs w:val="24"/>
        </w:rPr>
        <w:t>can access publicly subsidised health services without the risk of affecting other people or health professionals.</w:t>
      </w:r>
    </w:p>
    <w:p w14:paraId="2412D166" w14:textId="1973400E" w:rsidR="00A17F2C" w:rsidRPr="00E65230" w:rsidRDefault="00A17F2C" w:rsidP="004B7CB9">
      <w:pPr>
        <w:spacing w:before="120" w:after="120" w:line="276" w:lineRule="auto"/>
        <w:rPr>
          <w:rFonts w:eastAsia="Calibri"/>
          <w:b/>
          <w:szCs w:val="24"/>
          <w:lang w:eastAsia="en-US"/>
        </w:rPr>
      </w:pPr>
      <w:r w:rsidRPr="00E65230">
        <w:rPr>
          <w:rFonts w:eastAsia="Calibri"/>
          <w:b/>
          <w:szCs w:val="24"/>
          <w:lang w:eastAsia="en-US"/>
        </w:rPr>
        <w:t xml:space="preserve">Conclusion </w:t>
      </w:r>
    </w:p>
    <w:p w14:paraId="29348805" w14:textId="77777777" w:rsidR="00067581" w:rsidRPr="00E65230" w:rsidRDefault="00067581" w:rsidP="00067581">
      <w:pPr>
        <w:rPr>
          <w:szCs w:val="24"/>
        </w:rPr>
      </w:pPr>
      <w:r w:rsidRPr="00E65230">
        <w:rPr>
          <w:szCs w:val="24"/>
        </w:rPr>
        <w:t xml:space="preserve">This instrument is compatible with human rights as it advances the right to health and the right to social security. </w:t>
      </w:r>
    </w:p>
    <w:p w14:paraId="5F52FC1C" w14:textId="77777777" w:rsidR="00067581" w:rsidRPr="00E65230" w:rsidRDefault="00067581" w:rsidP="00067581">
      <w:pPr>
        <w:rPr>
          <w:rFonts w:eastAsia="Calibri"/>
          <w:szCs w:val="24"/>
          <w:lang w:eastAsia="en-US"/>
        </w:rPr>
      </w:pPr>
    </w:p>
    <w:p w14:paraId="0D9EA547" w14:textId="77777777" w:rsidR="00067581" w:rsidRPr="00E65230" w:rsidRDefault="00067581" w:rsidP="00067581">
      <w:pPr>
        <w:jc w:val="center"/>
        <w:rPr>
          <w:b/>
          <w:bCs/>
        </w:rPr>
      </w:pPr>
    </w:p>
    <w:p w14:paraId="1A3745E0" w14:textId="5F6F072F" w:rsidR="00067581" w:rsidRPr="00E65230" w:rsidRDefault="00E65230" w:rsidP="00067581">
      <w:pPr>
        <w:jc w:val="center"/>
        <w:rPr>
          <w:b/>
        </w:rPr>
      </w:pPr>
      <w:r w:rsidRPr="00E65230">
        <w:rPr>
          <w:b/>
        </w:rPr>
        <w:t>David Weiss</w:t>
      </w:r>
    </w:p>
    <w:p w14:paraId="2412D16E" w14:textId="367C06FE" w:rsidR="00636C51" w:rsidRPr="00E65230" w:rsidRDefault="00E65230" w:rsidP="00E65230">
      <w:pPr>
        <w:jc w:val="center"/>
        <w:rPr>
          <w:b/>
        </w:rPr>
      </w:pPr>
      <w:r w:rsidRPr="00E65230">
        <w:rPr>
          <w:b/>
        </w:rPr>
        <w:t>First Assistant Secretary</w:t>
      </w:r>
    </w:p>
    <w:p w14:paraId="4F251C02" w14:textId="29F872C2" w:rsidR="00E65230" w:rsidRPr="00E65230" w:rsidRDefault="00E65230" w:rsidP="00E65230">
      <w:pPr>
        <w:jc w:val="center"/>
        <w:rPr>
          <w:rFonts w:eastAsia="Calibri"/>
          <w:b/>
          <w:szCs w:val="24"/>
          <w:lang w:eastAsia="en-US"/>
        </w:rPr>
      </w:pPr>
      <w:r w:rsidRPr="00E65230">
        <w:rPr>
          <w:rFonts w:eastAsia="Calibri"/>
          <w:b/>
          <w:szCs w:val="24"/>
          <w:lang w:eastAsia="en-US"/>
        </w:rPr>
        <w:t>Medical Benefits Division</w:t>
      </w:r>
    </w:p>
    <w:p w14:paraId="3B573F2A" w14:textId="47CA841F" w:rsidR="00E65230" w:rsidRPr="00E65230" w:rsidRDefault="00E65230" w:rsidP="00E65230">
      <w:pPr>
        <w:jc w:val="center"/>
        <w:rPr>
          <w:rFonts w:eastAsia="Calibri"/>
          <w:b/>
          <w:szCs w:val="24"/>
          <w:lang w:eastAsia="en-US"/>
        </w:rPr>
      </w:pPr>
      <w:r w:rsidRPr="00E65230">
        <w:rPr>
          <w:rFonts w:eastAsia="Calibri"/>
          <w:b/>
          <w:szCs w:val="24"/>
          <w:lang w:eastAsia="en-US"/>
        </w:rPr>
        <w:t>Health Financing Group</w:t>
      </w:r>
    </w:p>
    <w:p w14:paraId="3F3B8755" w14:textId="014C5EF5" w:rsidR="00E65230" w:rsidRPr="00E65230" w:rsidRDefault="00E65230" w:rsidP="00E65230">
      <w:pPr>
        <w:jc w:val="center"/>
        <w:rPr>
          <w:rFonts w:eastAsia="Calibri"/>
          <w:b/>
          <w:szCs w:val="24"/>
          <w:lang w:eastAsia="en-US"/>
        </w:rPr>
      </w:pPr>
      <w:r w:rsidRPr="00E65230">
        <w:rPr>
          <w:rFonts w:eastAsia="Calibri"/>
          <w:b/>
          <w:szCs w:val="24"/>
          <w:lang w:eastAsia="en-US"/>
        </w:rPr>
        <w:t>Department of Health</w:t>
      </w:r>
    </w:p>
    <w:sectPr w:rsidR="00E65230" w:rsidRPr="00E65230"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7292F68E" w:rsidR="00A1739A" w:rsidRDefault="00A1739A" w:rsidP="00BD6F5F">
    <w:pPr>
      <w:pStyle w:val="Header"/>
      <w:jc w:val="center"/>
    </w:pPr>
    <w:r>
      <w:fldChar w:fldCharType="begin"/>
    </w:r>
    <w:r>
      <w:instrText xml:space="preserve"> PAGE  \* Arabic  \* MERGEFORMAT </w:instrText>
    </w:r>
    <w:r>
      <w:fldChar w:fldCharType="separate"/>
    </w:r>
    <w:r w:rsidR="00E65230">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021C770F" w:rsidR="00E23B6B" w:rsidRDefault="00E23B6B">
        <w:pPr>
          <w:pStyle w:val="Header"/>
          <w:jc w:val="center"/>
        </w:pPr>
        <w:r>
          <w:fldChar w:fldCharType="begin"/>
        </w:r>
        <w:r>
          <w:instrText xml:space="preserve"> PAGE   \* MERGEFORMAT </w:instrText>
        </w:r>
        <w:r>
          <w:fldChar w:fldCharType="separate"/>
        </w:r>
        <w:r w:rsidR="00E65230">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080DF777" w:rsidR="00E23B6B" w:rsidRDefault="00E23B6B">
        <w:pPr>
          <w:pStyle w:val="Header"/>
          <w:jc w:val="center"/>
        </w:pPr>
        <w:r>
          <w:fldChar w:fldCharType="begin"/>
        </w:r>
        <w:r>
          <w:instrText xml:space="preserve"> PAGE   \* MERGEFORMAT </w:instrText>
        </w:r>
        <w:r>
          <w:fldChar w:fldCharType="separate"/>
        </w:r>
        <w:r w:rsidR="00E6523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BF734D"/>
    <w:multiLevelType w:val="hybridMultilevel"/>
    <w:tmpl w:val="6892005A"/>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7125A"/>
    <w:multiLevelType w:val="hybridMultilevel"/>
    <w:tmpl w:val="6B8A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2B22"/>
    <w:multiLevelType w:val="hybridMultilevel"/>
    <w:tmpl w:val="CF94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9"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2"/>
  </w:num>
  <w:num w:numId="4">
    <w:abstractNumId w:val="13"/>
  </w:num>
  <w:num w:numId="5">
    <w:abstractNumId w:val="20"/>
  </w:num>
  <w:num w:numId="6">
    <w:abstractNumId w:val="11"/>
  </w:num>
  <w:num w:numId="7">
    <w:abstractNumId w:val="31"/>
  </w:num>
  <w:num w:numId="8">
    <w:abstractNumId w:val="7"/>
  </w:num>
  <w:num w:numId="9">
    <w:abstractNumId w:val="6"/>
  </w:num>
  <w:num w:numId="10">
    <w:abstractNumId w:val="33"/>
  </w:num>
  <w:num w:numId="11">
    <w:abstractNumId w:val="30"/>
  </w:num>
  <w:num w:numId="12">
    <w:abstractNumId w:val="14"/>
  </w:num>
  <w:num w:numId="13">
    <w:abstractNumId w:val="16"/>
  </w:num>
  <w:num w:numId="14">
    <w:abstractNumId w:val="28"/>
  </w:num>
  <w:num w:numId="15">
    <w:abstractNumId w:val="8"/>
  </w:num>
  <w:num w:numId="16">
    <w:abstractNumId w:val="22"/>
  </w:num>
  <w:num w:numId="17">
    <w:abstractNumId w:val="25"/>
  </w:num>
  <w:num w:numId="18">
    <w:abstractNumId w:val="23"/>
  </w:num>
  <w:num w:numId="19">
    <w:abstractNumId w:val="4"/>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10"/>
  </w:num>
  <w:num w:numId="26">
    <w:abstractNumId w:val="5"/>
  </w:num>
  <w:num w:numId="27">
    <w:abstractNumId w:val="17"/>
  </w:num>
  <w:num w:numId="28">
    <w:abstractNumId w:val="32"/>
  </w:num>
  <w:num w:numId="29">
    <w:abstractNumId w:val="19"/>
  </w:num>
  <w:num w:numId="30">
    <w:abstractNumId w:val="29"/>
  </w:num>
  <w:num w:numId="31">
    <w:abstractNumId w:val="15"/>
  </w:num>
  <w:num w:numId="32">
    <w:abstractNumId w:val="27"/>
  </w:num>
  <w:num w:numId="33">
    <w:abstractNumId w:val="3"/>
  </w:num>
  <w:num w:numId="34">
    <w:abstractNumId w:val="9"/>
  </w:num>
  <w:num w:numId="3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36E2B"/>
    <w:rsid w:val="00041849"/>
    <w:rsid w:val="0004426E"/>
    <w:rsid w:val="00044A2A"/>
    <w:rsid w:val="00047285"/>
    <w:rsid w:val="00050623"/>
    <w:rsid w:val="000509BA"/>
    <w:rsid w:val="0005224B"/>
    <w:rsid w:val="00054F46"/>
    <w:rsid w:val="0005533C"/>
    <w:rsid w:val="00063242"/>
    <w:rsid w:val="000640CF"/>
    <w:rsid w:val="00064BA4"/>
    <w:rsid w:val="00067581"/>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15225"/>
    <w:rsid w:val="00120766"/>
    <w:rsid w:val="00121189"/>
    <w:rsid w:val="00121A66"/>
    <w:rsid w:val="00132087"/>
    <w:rsid w:val="00134B27"/>
    <w:rsid w:val="00134C9A"/>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02D2"/>
    <w:rsid w:val="001B3714"/>
    <w:rsid w:val="001B5ED9"/>
    <w:rsid w:val="001B6095"/>
    <w:rsid w:val="001B66AF"/>
    <w:rsid w:val="001B7092"/>
    <w:rsid w:val="001C1B86"/>
    <w:rsid w:val="001C35BC"/>
    <w:rsid w:val="001C443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1CD0"/>
    <w:rsid w:val="002322A8"/>
    <w:rsid w:val="0023311C"/>
    <w:rsid w:val="00233BEB"/>
    <w:rsid w:val="00234EDC"/>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230"/>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C01"/>
    <w:rsid w:val="00302F5C"/>
    <w:rsid w:val="00304080"/>
    <w:rsid w:val="0031124D"/>
    <w:rsid w:val="003113E4"/>
    <w:rsid w:val="00312ED1"/>
    <w:rsid w:val="00313554"/>
    <w:rsid w:val="003175A1"/>
    <w:rsid w:val="00317B55"/>
    <w:rsid w:val="0032155B"/>
    <w:rsid w:val="003215B6"/>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AF3"/>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C7B75"/>
    <w:rsid w:val="003D0FBD"/>
    <w:rsid w:val="003D2A6D"/>
    <w:rsid w:val="003E005B"/>
    <w:rsid w:val="003E04DA"/>
    <w:rsid w:val="003E1249"/>
    <w:rsid w:val="003E3544"/>
    <w:rsid w:val="003E35A8"/>
    <w:rsid w:val="003E4F2D"/>
    <w:rsid w:val="003E57BE"/>
    <w:rsid w:val="003E77CB"/>
    <w:rsid w:val="003F40EC"/>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2D67"/>
    <w:rsid w:val="0047484E"/>
    <w:rsid w:val="0047494B"/>
    <w:rsid w:val="00475A85"/>
    <w:rsid w:val="00476F13"/>
    <w:rsid w:val="00477C74"/>
    <w:rsid w:val="00480561"/>
    <w:rsid w:val="004806B3"/>
    <w:rsid w:val="00481E5E"/>
    <w:rsid w:val="004828A9"/>
    <w:rsid w:val="00484953"/>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14E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891"/>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981"/>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973B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0F97"/>
    <w:rsid w:val="00921DD1"/>
    <w:rsid w:val="009225FE"/>
    <w:rsid w:val="00923D31"/>
    <w:rsid w:val="00923F94"/>
    <w:rsid w:val="00926DD3"/>
    <w:rsid w:val="009336C8"/>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420A"/>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65ABC"/>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7D1"/>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63FD"/>
    <w:rsid w:val="00C77A1F"/>
    <w:rsid w:val="00C80647"/>
    <w:rsid w:val="00C80836"/>
    <w:rsid w:val="00C84DDE"/>
    <w:rsid w:val="00C85162"/>
    <w:rsid w:val="00C87864"/>
    <w:rsid w:val="00C90EAC"/>
    <w:rsid w:val="00C917FD"/>
    <w:rsid w:val="00C93D01"/>
    <w:rsid w:val="00C94625"/>
    <w:rsid w:val="00C958FA"/>
    <w:rsid w:val="00C96958"/>
    <w:rsid w:val="00C96A6B"/>
    <w:rsid w:val="00CA62C0"/>
    <w:rsid w:val="00CA73CB"/>
    <w:rsid w:val="00CA79BB"/>
    <w:rsid w:val="00CB4161"/>
    <w:rsid w:val="00CB43A2"/>
    <w:rsid w:val="00CB6DE1"/>
    <w:rsid w:val="00CB7730"/>
    <w:rsid w:val="00CC12A0"/>
    <w:rsid w:val="00CC26A8"/>
    <w:rsid w:val="00CC3336"/>
    <w:rsid w:val="00CC4CED"/>
    <w:rsid w:val="00CC6EBB"/>
    <w:rsid w:val="00CD4A21"/>
    <w:rsid w:val="00CD6442"/>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06F8"/>
    <w:rsid w:val="00D712E9"/>
    <w:rsid w:val="00D7566A"/>
    <w:rsid w:val="00D85008"/>
    <w:rsid w:val="00D87426"/>
    <w:rsid w:val="00D8754D"/>
    <w:rsid w:val="00D90291"/>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2898"/>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19E9"/>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5230"/>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44A9"/>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66C49"/>
    <w:rsid w:val="00F70D35"/>
    <w:rsid w:val="00F7546C"/>
    <w:rsid w:val="00F77B00"/>
    <w:rsid w:val="00F820C0"/>
    <w:rsid w:val="00F83B6F"/>
    <w:rsid w:val="00F84470"/>
    <w:rsid w:val="00F857BC"/>
    <w:rsid w:val="00F90273"/>
    <w:rsid w:val="00F90BD0"/>
    <w:rsid w:val="00F91A58"/>
    <w:rsid w:val="00F91A5F"/>
    <w:rsid w:val="00F93ACB"/>
    <w:rsid w:val="00F93C4F"/>
    <w:rsid w:val="00F95581"/>
    <w:rsid w:val="00F95994"/>
    <w:rsid w:val="00FA2611"/>
    <w:rsid w:val="00FA29C9"/>
    <w:rsid w:val="00FA2D81"/>
    <w:rsid w:val="00FA3F17"/>
    <w:rsid w:val="00FA49C5"/>
    <w:rsid w:val="00FA5BD2"/>
    <w:rsid w:val="00FA6175"/>
    <w:rsid w:val="00FA6784"/>
    <w:rsid w:val="00FA7E00"/>
    <w:rsid w:val="00FB16BA"/>
    <w:rsid w:val="00FB1780"/>
    <w:rsid w:val="00FB35C6"/>
    <w:rsid w:val="00FB4C5A"/>
    <w:rsid w:val="00FB5BFA"/>
    <w:rsid w:val="00FB6850"/>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8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7">
    <w:name w:val="ActHead 7"/>
    <w:aliases w:val="ap"/>
    <w:basedOn w:val="Normal"/>
    <w:next w:val="Normal"/>
    <w:qFormat/>
    <w:rsid w:val="00CD6442"/>
    <w:pPr>
      <w:keepNext/>
      <w:keepLines/>
      <w:spacing w:before="280"/>
      <w:ind w:left="1134" w:hanging="1134"/>
      <w:outlineLvl w:val="6"/>
    </w:pPr>
    <w:rPr>
      <w:rFonts w:ascii="Arial" w:hAnsi="Arial"/>
      <w:b/>
      <w:kern w:val="28"/>
      <w:sz w:val="28"/>
    </w:rPr>
  </w:style>
  <w:style w:type="paragraph" w:customStyle="1" w:styleId="subsection">
    <w:name w:val="subsection"/>
    <w:aliases w:val="ss,Subsection"/>
    <w:basedOn w:val="Normal"/>
    <w:link w:val="subsectionChar"/>
    <w:rsid w:val="0006758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067581"/>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99149367">
      <w:bodyDiv w:val="1"/>
      <w:marLeft w:val="0"/>
      <w:marRight w:val="0"/>
      <w:marTop w:val="0"/>
      <w:marBottom w:val="0"/>
      <w:divBdr>
        <w:top w:val="none" w:sz="0" w:space="0" w:color="auto"/>
        <w:left w:val="none" w:sz="0" w:space="0" w:color="auto"/>
        <w:bottom w:val="none" w:sz="0" w:space="0" w:color="auto"/>
        <w:right w:val="none" w:sz="0" w:space="0" w:color="auto"/>
      </w:divBdr>
      <w:divsChild>
        <w:div w:id="1894580322">
          <w:marLeft w:val="0"/>
          <w:marRight w:val="0"/>
          <w:marTop w:val="0"/>
          <w:marBottom w:val="0"/>
          <w:divBdr>
            <w:top w:val="none" w:sz="0" w:space="0" w:color="auto"/>
            <w:left w:val="none" w:sz="0" w:space="0" w:color="auto"/>
            <w:bottom w:val="none" w:sz="0" w:space="0" w:color="auto"/>
            <w:right w:val="none" w:sz="0" w:space="0" w:color="auto"/>
          </w:divBdr>
          <w:divsChild>
            <w:div w:id="157503817">
              <w:marLeft w:val="0"/>
              <w:marRight w:val="0"/>
              <w:marTop w:val="0"/>
              <w:marBottom w:val="0"/>
              <w:divBdr>
                <w:top w:val="none" w:sz="0" w:space="0" w:color="auto"/>
                <w:left w:val="none" w:sz="0" w:space="0" w:color="auto"/>
                <w:bottom w:val="none" w:sz="0" w:space="0" w:color="auto"/>
                <w:right w:val="none" w:sz="0" w:space="0" w:color="auto"/>
              </w:divBdr>
              <w:divsChild>
                <w:div w:id="2142530701">
                  <w:marLeft w:val="0"/>
                  <w:marRight w:val="0"/>
                  <w:marTop w:val="0"/>
                  <w:marBottom w:val="0"/>
                  <w:divBdr>
                    <w:top w:val="none" w:sz="0" w:space="0" w:color="auto"/>
                    <w:left w:val="none" w:sz="0" w:space="0" w:color="auto"/>
                    <w:bottom w:val="none" w:sz="0" w:space="0" w:color="auto"/>
                    <w:right w:val="none" w:sz="0" w:space="0" w:color="auto"/>
                  </w:divBdr>
                  <w:divsChild>
                    <w:div w:id="581989384">
                      <w:marLeft w:val="0"/>
                      <w:marRight w:val="0"/>
                      <w:marTop w:val="0"/>
                      <w:marBottom w:val="0"/>
                      <w:divBdr>
                        <w:top w:val="none" w:sz="0" w:space="0" w:color="auto"/>
                        <w:left w:val="none" w:sz="0" w:space="0" w:color="auto"/>
                        <w:bottom w:val="none" w:sz="0" w:space="0" w:color="auto"/>
                        <w:right w:val="none" w:sz="0" w:space="0" w:color="auto"/>
                      </w:divBdr>
                      <w:divsChild>
                        <w:div w:id="1860507016">
                          <w:marLeft w:val="0"/>
                          <w:marRight w:val="0"/>
                          <w:marTop w:val="0"/>
                          <w:marBottom w:val="0"/>
                          <w:divBdr>
                            <w:top w:val="none" w:sz="0" w:space="0" w:color="auto"/>
                            <w:left w:val="none" w:sz="0" w:space="0" w:color="auto"/>
                            <w:bottom w:val="none" w:sz="0" w:space="0" w:color="auto"/>
                            <w:right w:val="none" w:sz="0" w:space="0" w:color="auto"/>
                          </w:divBdr>
                          <w:divsChild>
                            <w:div w:id="1615214328">
                              <w:marLeft w:val="0"/>
                              <w:marRight w:val="0"/>
                              <w:marTop w:val="0"/>
                              <w:marBottom w:val="0"/>
                              <w:divBdr>
                                <w:top w:val="none" w:sz="0" w:space="0" w:color="auto"/>
                                <w:left w:val="none" w:sz="0" w:space="0" w:color="auto"/>
                                <w:bottom w:val="none" w:sz="0" w:space="0" w:color="auto"/>
                                <w:right w:val="none" w:sz="0" w:space="0" w:color="auto"/>
                              </w:divBdr>
                              <w:divsChild>
                                <w:div w:id="183135162">
                                  <w:marLeft w:val="0"/>
                                  <w:marRight w:val="0"/>
                                  <w:marTop w:val="0"/>
                                  <w:marBottom w:val="0"/>
                                  <w:divBdr>
                                    <w:top w:val="none" w:sz="0" w:space="0" w:color="auto"/>
                                    <w:left w:val="none" w:sz="0" w:space="0" w:color="auto"/>
                                    <w:bottom w:val="none" w:sz="0" w:space="0" w:color="auto"/>
                                    <w:right w:val="none" w:sz="0" w:space="0" w:color="auto"/>
                                  </w:divBdr>
                                  <w:divsChild>
                                    <w:div w:id="1455715123">
                                      <w:marLeft w:val="0"/>
                                      <w:marRight w:val="0"/>
                                      <w:marTop w:val="0"/>
                                      <w:marBottom w:val="0"/>
                                      <w:divBdr>
                                        <w:top w:val="none" w:sz="0" w:space="0" w:color="auto"/>
                                        <w:left w:val="none" w:sz="0" w:space="0" w:color="auto"/>
                                        <w:bottom w:val="none" w:sz="0" w:space="0" w:color="auto"/>
                                        <w:right w:val="none" w:sz="0" w:space="0" w:color="auto"/>
                                      </w:divBdr>
                                      <w:divsChild>
                                        <w:div w:id="682977119">
                                          <w:marLeft w:val="0"/>
                                          <w:marRight w:val="0"/>
                                          <w:marTop w:val="0"/>
                                          <w:marBottom w:val="0"/>
                                          <w:divBdr>
                                            <w:top w:val="none" w:sz="0" w:space="0" w:color="auto"/>
                                            <w:left w:val="none" w:sz="0" w:space="0" w:color="auto"/>
                                            <w:bottom w:val="none" w:sz="0" w:space="0" w:color="auto"/>
                                            <w:right w:val="none" w:sz="0" w:space="0" w:color="auto"/>
                                          </w:divBdr>
                                          <w:divsChild>
                                            <w:div w:id="211232458">
                                              <w:marLeft w:val="0"/>
                                              <w:marRight w:val="0"/>
                                              <w:marTop w:val="0"/>
                                              <w:marBottom w:val="0"/>
                                              <w:divBdr>
                                                <w:top w:val="none" w:sz="0" w:space="0" w:color="auto"/>
                                                <w:left w:val="none" w:sz="0" w:space="0" w:color="auto"/>
                                                <w:bottom w:val="none" w:sz="0" w:space="0" w:color="auto"/>
                                                <w:right w:val="none" w:sz="0" w:space="0" w:color="auto"/>
                                              </w:divBdr>
                                              <w:divsChild>
                                                <w:div w:id="1094787204">
                                                  <w:marLeft w:val="0"/>
                                                  <w:marRight w:val="0"/>
                                                  <w:marTop w:val="0"/>
                                                  <w:marBottom w:val="0"/>
                                                  <w:divBdr>
                                                    <w:top w:val="none" w:sz="0" w:space="0" w:color="auto"/>
                                                    <w:left w:val="none" w:sz="0" w:space="0" w:color="auto"/>
                                                    <w:bottom w:val="none" w:sz="0" w:space="0" w:color="auto"/>
                                                    <w:right w:val="none" w:sz="0" w:space="0" w:color="auto"/>
                                                  </w:divBdr>
                                                  <w:divsChild>
                                                    <w:div w:id="1991641190">
                                                      <w:marLeft w:val="0"/>
                                                      <w:marRight w:val="0"/>
                                                      <w:marTop w:val="0"/>
                                                      <w:marBottom w:val="0"/>
                                                      <w:divBdr>
                                                        <w:top w:val="none" w:sz="0" w:space="0" w:color="auto"/>
                                                        <w:left w:val="none" w:sz="0" w:space="0" w:color="auto"/>
                                                        <w:bottom w:val="none" w:sz="0" w:space="0" w:color="auto"/>
                                                        <w:right w:val="none" w:sz="0" w:space="0" w:color="auto"/>
                                                      </w:divBdr>
                                                      <w:divsChild>
                                                        <w:div w:id="1649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322077">
      <w:bodyDiv w:val="1"/>
      <w:marLeft w:val="0"/>
      <w:marRight w:val="0"/>
      <w:marTop w:val="0"/>
      <w:marBottom w:val="0"/>
      <w:divBdr>
        <w:top w:val="none" w:sz="0" w:space="0" w:color="auto"/>
        <w:left w:val="none" w:sz="0" w:space="0" w:color="auto"/>
        <w:bottom w:val="none" w:sz="0" w:space="0" w:color="auto"/>
        <w:right w:val="none" w:sz="0" w:space="0" w:color="auto"/>
      </w:divBdr>
      <w:divsChild>
        <w:div w:id="1383016053">
          <w:marLeft w:val="0"/>
          <w:marRight w:val="0"/>
          <w:marTop w:val="0"/>
          <w:marBottom w:val="0"/>
          <w:divBdr>
            <w:top w:val="none" w:sz="0" w:space="0" w:color="auto"/>
            <w:left w:val="none" w:sz="0" w:space="0" w:color="auto"/>
            <w:bottom w:val="none" w:sz="0" w:space="0" w:color="auto"/>
            <w:right w:val="none" w:sz="0" w:space="0" w:color="auto"/>
          </w:divBdr>
          <w:divsChild>
            <w:div w:id="669793009">
              <w:marLeft w:val="0"/>
              <w:marRight w:val="0"/>
              <w:marTop w:val="0"/>
              <w:marBottom w:val="0"/>
              <w:divBdr>
                <w:top w:val="none" w:sz="0" w:space="0" w:color="auto"/>
                <w:left w:val="none" w:sz="0" w:space="0" w:color="auto"/>
                <w:bottom w:val="none" w:sz="0" w:space="0" w:color="auto"/>
                <w:right w:val="none" w:sz="0" w:space="0" w:color="auto"/>
              </w:divBdr>
              <w:divsChild>
                <w:div w:id="360085797">
                  <w:marLeft w:val="0"/>
                  <w:marRight w:val="0"/>
                  <w:marTop w:val="0"/>
                  <w:marBottom w:val="0"/>
                  <w:divBdr>
                    <w:top w:val="none" w:sz="0" w:space="0" w:color="auto"/>
                    <w:left w:val="none" w:sz="0" w:space="0" w:color="auto"/>
                    <w:bottom w:val="none" w:sz="0" w:space="0" w:color="auto"/>
                    <w:right w:val="none" w:sz="0" w:space="0" w:color="auto"/>
                  </w:divBdr>
                  <w:divsChild>
                    <w:div w:id="808474557">
                      <w:marLeft w:val="0"/>
                      <w:marRight w:val="0"/>
                      <w:marTop w:val="0"/>
                      <w:marBottom w:val="0"/>
                      <w:divBdr>
                        <w:top w:val="none" w:sz="0" w:space="0" w:color="auto"/>
                        <w:left w:val="none" w:sz="0" w:space="0" w:color="auto"/>
                        <w:bottom w:val="none" w:sz="0" w:space="0" w:color="auto"/>
                        <w:right w:val="none" w:sz="0" w:space="0" w:color="auto"/>
                      </w:divBdr>
                      <w:divsChild>
                        <w:div w:id="355081389">
                          <w:marLeft w:val="0"/>
                          <w:marRight w:val="0"/>
                          <w:marTop w:val="0"/>
                          <w:marBottom w:val="0"/>
                          <w:divBdr>
                            <w:top w:val="none" w:sz="0" w:space="0" w:color="auto"/>
                            <w:left w:val="none" w:sz="0" w:space="0" w:color="auto"/>
                            <w:bottom w:val="none" w:sz="0" w:space="0" w:color="auto"/>
                            <w:right w:val="none" w:sz="0" w:space="0" w:color="auto"/>
                          </w:divBdr>
                          <w:divsChild>
                            <w:div w:id="1007362938">
                              <w:marLeft w:val="0"/>
                              <w:marRight w:val="0"/>
                              <w:marTop w:val="0"/>
                              <w:marBottom w:val="0"/>
                              <w:divBdr>
                                <w:top w:val="none" w:sz="0" w:space="0" w:color="auto"/>
                                <w:left w:val="none" w:sz="0" w:space="0" w:color="auto"/>
                                <w:bottom w:val="none" w:sz="0" w:space="0" w:color="auto"/>
                                <w:right w:val="none" w:sz="0" w:space="0" w:color="auto"/>
                              </w:divBdr>
                              <w:divsChild>
                                <w:div w:id="1378506269">
                                  <w:marLeft w:val="0"/>
                                  <w:marRight w:val="0"/>
                                  <w:marTop w:val="0"/>
                                  <w:marBottom w:val="0"/>
                                  <w:divBdr>
                                    <w:top w:val="none" w:sz="0" w:space="0" w:color="auto"/>
                                    <w:left w:val="none" w:sz="0" w:space="0" w:color="auto"/>
                                    <w:bottom w:val="none" w:sz="0" w:space="0" w:color="auto"/>
                                    <w:right w:val="none" w:sz="0" w:space="0" w:color="auto"/>
                                  </w:divBdr>
                                  <w:divsChild>
                                    <w:div w:id="1986272620">
                                      <w:marLeft w:val="0"/>
                                      <w:marRight w:val="0"/>
                                      <w:marTop w:val="0"/>
                                      <w:marBottom w:val="0"/>
                                      <w:divBdr>
                                        <w:top w:val="none" w:sz="0" w:space="0" w:color="auto"/>
                                        <w:left w:val="none" w:sz="0" w:space="0" w:color="auto"/>
                                        <w:bottom w:val="none" w:sz="0" w:space="0" w:color="auto"/>
                                        <w:right w:val="none" w:sz="0" w:space="0" w:color="auto"/>
                                      </w:divBdr>
                                      <w:divsChild>
                                        <w:div w:id="1997302504">
                                          <w:marLeft w:val="0"/>
                                          <w:marRight w:val="0"/>
                                          <w:marTop w:val="0"/>
                                          <w:marBottom w:val="0"/>
                                          <w:divBdr>
                                            <w:top w:val="none" w:sz="0" w:space="0" w:color="auto"/>
                                            <w:left w:val="none" w:sz="0" w:space="0" w:color="auto"/>
                                            <w:bottom w:val="none" w:sz="0" w:space="0" w:color="auto"/>
                                            <w:right w:val="none" w:sz="0" w:space="0" w:color="auto"/>
                                          </w:divBdr>
                                          <w:divsChild>
                                            <w:div w:id="2110077666">
                                              <w:marLeft w:val="0"/>
                                              <w:marRight w:val="0"/>
                                              <w:marTop w:val="0"/>
                                              <w:marBottom w:val="0"/>
                                              <w:divBdr>
                                                <w:top w:val="none" w:sz="0" w:space="0" w:color="auto"/>
                                                <w:left w:val="none" w:sz="0" w:space="0" w:color="auto"/>
                                                <w:bottom w:val="none" w:sz="0" w:space="0" w:color="auto"/>
                                                <w:right w:val="none" w:sz="0" w:space="0" w:color="auto"/>
                                              </w:divBdr>
                                              <w:divsChild>
                                                <w:div w:id="1748377078">
                                                  <w:marLeft w:val="0"/>
                                                  <w:marRight w:val="0"/>
                                                  <w:marTop w:val="0"/>
                                                  <w:marBottom w:val="0"/>
                                                  <w:divBdr>
                                                    <w:top w:val="none" w:sz="0" w:space="0" w:color="auto"/>
                                                    <w:left w:val="none" w:sz="0" w:space="0" w:color="auto"/>
                                                    <w:bottom w:val="none" w:sz="0" w:space="0" w:color="auto"/>
                                                    <w:right w:val="none" w:sz="0" w:space="0" w:color="auto"/>
                                                  </w:divBdr>
                                                  <w:divsChild>
                                                    <w:div w:id="1382367116">
                                                      <w:marLeft w:val="0"/>
                                                      <w:marRight w:val="0"/>
                                                      <w:marTop w:val="0"/>
                                                      <w:marBottom w:val="0"/>
                                                      <w:divBdr>
                                                        <w:top w:val="none" w:sz="0" w:space="0" w:color="auto"/>
                                                        <w:left w:val="none" w:sz="0" w:space="0" w:color="auto"/>
                                                        <w:bottom w:val="none" w:sz="0" w:space="0" w:color="auto"/>
                                                        <w:right w:val="none" w:sz="0" w:space="0" w:color="auto"/>
                                                      </w:divBdr>
                                                      <w:divsChild>
                                                        <w:div w:id="170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826036">
      <w:bodyDiv w:val="1"/>
      <w:marLeft w:val="0"/>
      <w:marRight w:val="0"/>
      <w:marTop w:val="0"/>
      <w:marBottom w:val="0"/>
      <w:divBdr>
        <w:top w:val="none" w:sz="0" w:space="0" w:color="auto"/>
        <w:left w:val="none" w:sz="0" w:space="0" w:color="auto"/>
        <w:bottom w:val="none" w:sz="0" w:space="0" w:color="auto"/>
        <w:right w:val="none" w:sz="0" w:space="0" w:color="auto"/>
      </w:divBdr>
      <w:divsChild>
        <w:div w:id="1063135928">
          <w:marLeft w:val="0"/>
          <w:marRight w:val="0"/>
          <w:marTop w:val="0"/>
          <w:marBottom w:val="0"/>
          <w:divBdr>
            <w:top w:val="none" w:sz="0" w:space="0" w:color="auto"/>
            <w:left w:val="none" w:sz="0" w:space="0" w:color="auto"/>
            <w:bottom w:val="none" w:sz="0" w:space="0" w:color="auto"/>
            <w:right w:val="none" w:sz="0" w:space="0" w:color="auto"/>
          </w:divBdr>
          <w:divsChild>
            <w:div w:id="878781708">
              <w:marLeft w:val="0"/>
              <w:marRight w:val="0"/>
              <w:marTop w:val="0"/>
              <w:marBottom w:val="0"/>
              <w:divBdr>
                <w:top w:val="none" w:sz="0" w:space="0" w:color="auto"/>
                <w:left w:val="none" w:sz="0" w:space="0" w:color="auto"/>
                <w:bottom w:val="none" w:sz="0" w:space="0" w:color="auto"/>
                <w:right w:val="none" w:sz="0" w:space="0" w:color="auto"/>
              </w:divBdr>
              <w:divsChild>
                <w:div w:id="634870491">
                  <w:marLeft w:val="0"/>
                  <w:marRight w:val="0"/>
                  <w:marTop w:val="0"/>
                  <w:marBottom w:val="0"/>
                  <w:divBdr>
                    <w:top w:val="none" w:sz="0" w:space="0" w:color="auto"/>
                    <w:left w:val="none" w:sz="0" w:space="0" w:color="auto"/>
                    <w:bottom w:val="none" w:sz="0" w:space="0" w:color="auto"/>
                    <w:right w:val="none" w:sz="0" w:space="0" w:color="auto"/>
                  </w:divBdr>
                  <w:divsChild>
                    <w:div w:id="99641025">
                      <w:marLeft w:val="0"/>
                      <w:marRight w:val="0"/>
                      <w:marTop w:val="0"/>
                      <w:marBottom w:val="0"/>
                      <w:divBdr>
                        <w:top w:val="none" w:sz="0" w:space="0" w:color="auto"/>
                        <w:left w:val="none" w:sz="0" w:space="0" w:color="auto"/>
                        <w:bottom w:val="none" w:sz="0" w:space="0" w:color="auto"/>
                        <w:right w:val="none" w:sz="0" w:space="0" w:color="auto"/>
                      </w:divBdr>
                      <w:divsChild>
                        <w:div w:id="1805192320">
                          <w:marLeft w:val="0"/>
                          <w:marRight w:val="0"/>
                          <w:marTop w:val="0"/>
                          <w:marBottom w:val="0"/>
                          <w:divBdr>
                            <w:top w:val="none" w:sz="0" w:space="0" w:color="auto"/>
                            <w:left w:val="none" w:sz="0" w:space="0" w:color="auto"/>
                            <w:bottom w:val="none" w:sz="0" w:space="0" w:color="auto"/>
                            <w:right w:val="none" w:sz="0" w:space="0" w:color="auto"/>
                          </w:divBdr>
                          <w:divsChild>
                            <w:div w:id="1623073961">
                              <w:marLeft w:val="0"/>
                              <w:marRight w:val="0"/>
                              <w:marTop w:val="0"/>
                              <w:marBottom w:val="0"/>
                              <w:divBdr>
                                <w:top w:val="none" w:sz="0" w:space="0" w:color="auto"/>
                                <w:left w:val="none" w:sz="0" w:space="0" w:color="auto"/>
                                <w:bottom w:val="none" w:sz="0" w:space="0" w:color="auto"/>
                                <w:right w:val="none" w:sz="0" w:space="0" w:color="auto"/>
                              </w:divBdr>
                              <w:divsChild>
                                <w:div w:id="364840859">
                                  <w:marLeft w:val="0"/>
                                  <w:marRight w:val="0"/>
                                  <w:marTop w:val="0"/>
                                  <w:marBottom w:val="0"/>
                                  <w:divBdr>
                                    <w:top w:val="none" w:sz="0" w:space="0" w:color="auto"/>
                                    <w:left w:val="none" w:sz="0" w:space="0" w:color="auto"/>
                                    <w:bottom w:val="none" w:sz="0" w:space="0" w:color="auto"/>
                                    <w:right w:val="none" w:sz="0" w:space="0" w:color="auto"/>
                                  </w:divBdr>
                                  <w:divsChild>
                                    <w:div w:id="1642802607">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323006491">
                                              <w:marLeft w:val="0"/>
                                              <w:marRight w:val="0"/>
                                              <w:marTop w:val="0"/>
                                              <w:marBottom w:val="0"/>
                                              <w:divBdr>
                                                <w:top w:val="none" w:sz="0" w:space="0" w:color="auto"/>
                                                <w:left w:val="none" w:sz="0" w:space="0" w:color="auto"/>
                                                <w:bottom w:val="none" w:sz="0" w:space="0" w:color="auto"/>
                                                <w:right w:val="none" w:sz="0" w:space="0" w:color="auto"/>
                                              </w:divBdr>
                                              <w:divsChild>
                                                <w:div w:id="953830878">
                                                  <w:marLeft w:val="0"/>
                                                  <w:marRight w:val="0"/>
                                                  <w:marTop w:val="0"/>
                                                  <w:marBottom w:val="0"/>
                                                  <w:divBdr>
                                                    <w:top w:val="none" w:sz="0" w:space="0" w:color="auto"/>
                                                    <w:left w:val="none" w:sz="0" w:space="0" w:color="auto"/>
                                                    <w:bottom w:val="none" w:sz="0" w:space="0" w:color="auto"/>
                                                    <w:right w:val="none" w:sz="0" w:space="0" w:color="auto"/>
                                                  </w:divBdr>
                                                  <w:divsChild>
                                                    <w:div w:id="1896508575">
                                                      <w:marLeft w:val="0"/>
                                                      <w:marRight w:val="0"/>
                                                      <w:marTop w:val="0"/>
                                                      <w:marBottom w:val="0"/>
                                                      <w:divBdr>
                                                        <w:top w:val="none" w:sz="0" w:space="0" w:color="auto"/>
                                                        <w:left w:val="none" w:sz="0" w:space="0" w:color="auto"/>
                                                        <w:bottom w:val="none" w:sz="0" w:space="0" w:color="auto"/>
                                                        <w:right w:val="none" w:sz="0" w:space="0" w:color="auto"/>
                                                      </w:divBdr>
                                                      <w:divsChild>
                                                        <w:div w:id="18221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91726184">
      <w:bodyDiv w:val="1"/>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sChild>
            <w:div w:id="665209086">
              <w:marLeft w:val="0"/>
              <w:marRight w:val="0"/>
              <w:marTop w:val="0"/>
              <w:marBottom w:val="0"/>
              <w:divBdr>
                <w:top w:val="none" w:sz="0" w:space="0" w:color="auto"/>
                <w:left w:val="none" w:sz="0" w:space="0" w:color="auto"/>
                <w:bottom w:val="none" w:sz="0" w:space="0" w:color="auto"/>
                <w:right w:val="none" w:sz="0" w:space="0" w:color="auto"/>
              </w:divBdr>
              <w:divsChild>
                <w:div w:id="688331982">
                  <w:marLeft w:val="0"/>
                  <w:marRight w:val="0"/>
                  <w:marTop w:val="0"/>
                  <w:marBottom w:val="0"/>
                  <w:divBdr>
                    <w:top w:val="none" w:sz="0" w:space="0" w:color="auto"/>
                    <w:left w:val="none" w:sz="0" w:space="0" w:color="auto"/>
                    <w:bottom w:val="none" w:sz="0" w:space="0" w:color="auto"/>
                    <w:right w:val="none" w:sz="0" w:space="0" w:color="auto"/>
                  </w:divBdr>
                  <w:divsChild>
                    <w:div w:id="915019045">
                      <w:marLeft w:val="0"/>
                      <w:marRight w:val="0"/>
                      <w:marTop w:val="0"/>
                      <w:marBottom w:val="0"/>
                      <w:divBdr>
                        <w:top w:val="none" w:sz="0" w:space="0" w:color="auto"/>
                        <w:left w:val="none" w:sz="0" w:space="0" w:color="auto"/>
                        <w:bottom w:val="none" w:sz="0" w:space="0" w:color="auto"/>
                        <w:right w:val="none" w:sz="0" w:space="0" w:color="auto"/>
                      </w:divBdr>
                      <w:divsChild>
                        <w:div w:id="241109584">
                          <w:marLeft w:val="0"/>
                          <w:marRight w:val="0"/>
                          <w:marTop w:val="0"/>
                          <w:marBottom w:val="0"/>
                          <w:divBdr>
                            <w:top w:val="none" w:sz="0" w:space="0" w:color="auto"/>
                            <w:left w:val="none" w:sz="0" w:space="0" w:color="auto"/>
                            <w:bottom w:val="none" w:sz="0" w:space="0" w:color="auto"/>
                            <w:right w:val="none" w:sz="0" w:space="0" w:color="auto"/>
                          </w:divBdr>
                          <w:divsChild>
                            <w:div w:id="87773113">
                              <w:marLeft w:val="0"/>
                              <w:marRight w:val="0"/>
                              <w:marTop w:val="0"/>
                              <w:marBottom w:val="0"/>
                              <w:divBdr>
                                <w:top w:val="none" w:sz="0" w:space="0" w:color="auto"/>
                                <w:left w:val="none" w:sz="0" w:space="0" w:color="auto"/>
                                <w:bottom w:val="none" w:sz="0" w:space="0" w:color="auto"/>
                                <w:right w:val="none" w:sz="0" w:space="0" w:color="auto"/>
                              </w:divBdr>
                              <w:divsChild>
                                <w:div w:id="982151773">
                                  <w:marLeft w:val="0"/>
                                  <w:marRight w:val="0"/>
                                  <w:marTop w:val="0"/>
                                  <w:marBottom w:val="0"/>
                                  <w:divBdr>
                                    <w:top w:val="none" w:sz="0" w:space="0" w:color="auto"/>
                                    <w:left w:val="none" w:sz="0" w:space="0" w:color="auto"/>
                                    <w:bottom w:val="none" w:sz="0" w:space="0" w:color="auto"/>
                                    <w:right w:val="none" w:sz="0" w:space="0" w:color="auto"/>
                                  </w:divBdr>
                                  <w:divsChild>
                                    <w:div w:id="1054234862">
                                      <w:marLeft w:val="0"/>
                                      <w:marRight w:val="0"/>
                                      <w:marTop w:val="0"/>
                                      <w:marBottom w:val="0"/>
                                      <w:divBdr>
                                        <w:top w:val="none" w:sz="0" w:space="0" w:color="auto"/>
                                        <w:left w:val="none" w:sz="0" w:space="0" w:color="auto"/>
                                        <w:bottom w:val="none" w:sz="0" w:space="0" w:color="auto"/>
                                        <w:right w:val="none" w:sz="0" w:space="0" w:color="auto"/>
                                      </w:divBdr>
                                      <w:divsChild>
                                        <w:div w:id="1140805089">
                                          <w:marLeft w:val="0"/>
                                          <w:marRight w:val="0"/>
                                          <w:marTop w:val="0"/>
                                          <w:marBottom w:val="0"/>
                                          <w:divBdr>
                                            <w:top w:val="none" w:sz="0" w:space="0" w:color="auto"/>
                                            <w:left w:val="none" w:sz="0" w:space="0" w:color="auto"/>
                                            <w:bottom w:val="none" w:sz="0" w:space="0" w:color="auto"/>
                                            <w:right w:val="none" w:sz="0" w:space="0" w:color="auto"/>
                                          </w:divBdr>
                                          <w:divsChild>
                                            <w:div w:id="1011908579">
                                              <w:marLeft w:val="0"/>
                                              <w:marRight w:val="0"/>
                                              <w:marTop w:val="0"/>
                                              <w:marBottom w:val="0"/>
                                              <w:divBdr>
                                                <w:top w:val="none" w:sz="0" w:space="0" w:color="auto"/>
                                                <w:left w:val="none" w:sz="0" w:space="0" w:color="auto"/>
                                                <w:bottom w:val="none" w:sz="0" w:space="0" w:color="auto"/>
                                                <w:right w:val="none" w:sz="0" w:space="0" w:color="auto"/>
                                              </w:divBdr>
                                              <w:divsChild>
                                                <w:div w:id="932786298">
                                                  <w:marLeft w:val="0"/>
                                                  <w:marRight w:val="0"/>
                                                  <w:marTop w:val="0"/>
                                                  <w:marBottom w:val="0"/>
                                                  <w:divBdr>
                                                    <w:top w:val="none" w:sz="0" w:space="0" w:color="auto"/>
                                                    <w:left w:val="none" w:sz="0" w:space="0" w:color="auto"/>
                                                    <w:bottom w:val="none" w:sz="0" w:space="0" w:color="auto"/>
                                                    <w:right w:val="none" w:sz="0" w:space="0" w:color="auto"/>
                                                  </w:divBdr>
                                                  <w:divsChild>
                                                    <w:div w:id="1282759704">
                                                      <w:marLeft w:val="0"/>
                                                      <w:marRight w:val="0"/>
                                                      <w:marTop w:val="0"/>
                                                      <w:marBottom w:val="0"/>
                                                      <w:divBdr>
                                                        <w:top w:val="none" w:sz="0" w:space="0" w:color="auto"/>
                                                        <w:left w:val="none" w:sz="0" w:space="0" w:color="auto"/>
                                                        <w:bottom w:val="none" w:sz="0" w:space="0" w:color="auto"/>
                                                        <w:right w:val="none" w:sz="0" w:space="0" w:color="auto"/>
                                                      </w:divBdr>
                                                      <w:divsChild>
                                                        <w:div w:id="1479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7E152-8437-4F3E-A182-FE444076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GRAYSON, Matthew</cp:lastModifiedBy>
  <cp:revision>7</cp:revision>
  <cp:lastPrinted>2020-03-17T03:53:00Z</cp:lastPrinted>
  <dcterms:created xsi:type="dcterms:W3CDTF">2020-03-17T03:48:00Z</dcterms:created>
  <dcterms:modified xsi:type="dcterms:W3CDTF">2020-03-17T04:15:00Z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