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770FE1" w14:textId="3EB108B1" w:rsidR="006225B8" w:rsidRDefault="006225B8" w:rsidP="006225B8">
      <w:pPr>
        <w:spacing w:after="360"/>
        <w:ind w:right="91"/>
        <w:jc w:val="center"/>
        <w:rPr>
          <w:b/>
          <w:u w:val="single"/>
        </w:rPr>
      </w:pPr>
      <w:bookmarkStart w:id="0" w:name="_GoBack"/>
      <w:bookmarkEnd w:id="0"/>
      <w:r>
        <w:rPr>
          <w:b/>
          <w:u w:val="single"/>
        </w:rPr>
        <w:t xml:space="preserve">NATIONAL WORKPLACE RELATIONS CONSULTATIVE COUNCIL REGULATIONS </w:t>
      </w:r>
      <w:r w:rsidR="00091086">
        <w:rPr>
          <w:b/>
          <w:u w:val="single"/>
        </w:rPr>
        <w:t>2020</w:t>
      </w:r>
    </w:p>
    <w:p w14:paraId="0DA8FEE3" w14:textId="77777777" w:rsidR="00252ECB" w:rsidRDefault="00252ECB" w:rsidP="00252ECB">
      <w:pPr>
        <w:spacing w:before="240" w:after="240"/>
        <w:ind w:right="91"/>
        <w:jc w:val="center"/>
        <w:rPr>
          <w:b/>
          <w:u w:val="single"/>
        </w:rPr>
      </w:pPr>
      <w:r w:rsidRPr="004F100C">
        <w:rPr>
          <w:b/>
          <w:u w:val="single"/>
        </w:rPr>
        <w:t xml:space="preserve">EXPLANATORY </w:t>
      </w:r>
      <w:r>
        <w:rPr>
          <w:b/>
          <w:u w:val="single"/>
        </w:rPr>
        <w:t>STATEMENT</w:t>
      </w:r>
    </w:p>
    <w:p w14:paraId="2746FD45" w14:textId="77777777" w:rsidR="006225B8" w:rsidRDefault="006225B8" w:rsidP="006225B8">
      <w:pPr>
        <w:tabs>
          <w:tab w:val="left" w:pos="993"/>
        </w:tabs>
        <w:ind w:left="1440" w:right="91" w:hanging="1440"/>
        <w:jc w:val="center"/>
      </w:pPr>
    </w:p>
    <w:p w14:paraId="696EF962" w14:textId="0ECB1486" w:rsidR="00252ECB" w:rsidRPr="006225B8" w:rsidRDefault="00252ECB" w:rsidP="006225B8">
      <w:pPr>
        <w:tabs>
          <w:tab w:val="left" w:pos="993"/>
        </w:tabs>
        <w:spacing w:after="240"/>
        <w:ind w:left="1440" w:right="91" w:hanging="1440"/>
        <w:jc w:val="center"/>
      </w:pPr>
      <w:r w:rsidRPr="006225B8">
        <w:t>Issued by the authority of the Mini</w:t>
      </w:r>
      <w:r w:rsidR="00BA575D" w:rsidRPr="006225B8">
        <w:t>ster for Industrial Relations</w:t>
      </w:r>
    </w:p>
    <w:p w14:paraId="61622314" w14:textId="77777777" w:rsidR="006225B8" w:rsidRDefault="006225B8" w:rsidP="006225B8">
      <w:pPr>
        <w:tabs>
          <w:tab w:val="left" w:pos="993"/>
        </w:tabs>
        <w:spacing w:after="120"/>
        <w:ind w:left="1440" w:right="91" w:hanging="1440"/>
        <w:jc w:val="center"/>
        <w:rPr>
          <w:i/>
        </w:rPr>
      </w:pPr>
      <w:r>
        <w:t xml:space="preserve">under section 13 of the </w:t>
      </w:r>
      <w:r>
        <w:rPr>
          <w:i/>
        </w:rPr>
        <w:t>National Workplace Relations Consultative Council Act 2002</w:t>
      </w:r>
    </w:p>
    <w:p w14:paraId="0CE8A77C" w14:textId="77777777" w:rsidR="006225B8" w:rsidRDefault="006225B8" w:rsidP="00371B7A"/>
    <w:p w14:paraId="546E0521" w14:textId="77777777" w:rsidR="006225B8" w:rsidRDefault="006225B8" w:rsidP="00371B7A"/>
    <w:p w14:paraId="1BC7AEF6" w14:textId="77777777" w:rsidR="00371B7A" w:rsidRPr="006225B8" w:rsidRDefault="006225B8" w:rsidP="00371B7A">
      <w:pPr>
        <w:rPr>
          <w:b/>
        </w:rPr>
      </w:pPr>
      <w:r w:rsidRPr="006225B8">
        <w:rPr>
          <w:b/>
        </w:rPr>
        <w:t>PURPOSE AND OPERATION OF THE INSTRUMENT</w:t>
      </w:r>
    </w:p>
    <w:p w14:paraId="568FE364" w14:textId="77777777" w:rsidR="006225B8" w:rsidRDefault="006225B8" w:rsidP="00371B7A"/>
    <w:p w14:paraId="69134CDE" w14:textId="77777777" w:rsidR="00365896" w:rsidRPr="00B1194E" w:rsidRDefault="00365896" w:rsidP="00B1194E">
      <w:pPr>
        <w:spacing w:after="240"/>
        <w:rPr>
          <w:color w:val="000000"/>
          <w:lang w:eastAsia="zh-CN"/>
        </w:rPr>
      </w:pPr>
      <w:r w:rsidRPr="00B1194E">
        <w:rPr>
          <w:color w:val="000000"/>
        </w:rPr>
        <w:t>Section 13 of the </w:t>
      </w:r>
      <w:r w:rsidRPr="00B1194E">
        <w:rPr>
          <w:i/>
          <w:iCs/>
          <w:color w:val="000000"/>
        </w:rPr>
        <w:t>National Workplace Relations Consultative Council Act 2002</w:t>
      </w:r>
      <w:r w:rsidRPr="00B1194E">
        <w:rPr>
          <w:color w:val="000000"/>
        </w:rPr>
        <w:t xml:space="preserve"> (the Act) </w:t>
      </w:r>
      <w:r w:rsidRPr="00B1194E">
        <w:t>provides</w:t>
      </w:r>
      <w:r w:rsidRPr="00B1194E">
        <w:rPr>
          <w:color w:val="000000"/>
        </w:rPr>
        <w:t xml:space="preserve"> that the Governor-General may make regulations prescribing matters required or permitted </w:t>
      </w:r>
      <w:r w:rsidRPr="00B1194E">
        <w:t>by the Act to be prescribed, or necessary or convenient for carrying out or giving effect to the Act.</w:t>
      </w:r>
    </w:p>
    <w:p w14:paraId="2478BCD0" w14:textId="4207001F" w:rsidR="00300681" w:rsidRDefault="00365896" w:rsidP="00300681">
      <w:pPr>
        <w:spacing w:after="240"/>
      </w:pPr>
      <w:r w:rsidRPr="00B1194E">
        <w:t xml:space="preserve">The National Workplace Relations Consultative Council (the Council) is a forum for consultation on workplace relations matters of national concern. </w:t>
      </w:r>
      <w:r w:rsidR="00300681" w:rsidRPr="00B1194E">
        <w:t xml:space="preserve">The Council </w:t>
      </w:r>
      <w:r w:rsidR="001D76DA">
        <w:t>consists of 15 </w:t>
      </w:r>
      <w:r w:rsidR="00300681">
        <w:t xml:space="preserve">members including the relevant Australian Government minister, </w:t>
      </w:r>
      <w:r w:rsidR="001D76DA">
        <w:t>seven</w:t>
      </w:r>
      <w:r w:rsidR="00300681">
        <w:t xml:space="preserve"> members nominated by the Australian Council of Trade Unions and </w:t>
      </w:r>
      <w:r w:rsidR="001D76DA">
        <w:t>seven</w:t>
      </w:r>
      <w:r w:rsidR="00300681">
        <w:t xml:space="preserve"> employer and industry representatives. </w:t>
      </w:r>
    </w:p>
    <w:p w14:paraId="46F03B13" w14:textId="77777777" w:rsidR="00300681" w:rsidRPr="00B1194E" w:rsidRDefault="00300681" w:rsidP="00300681">
      <w:pPr>
        <w:spacing w:after="240"/>
      </w:pPr>
      <w:r>
        <w:t xml:space="preserve">The Council </w:t>
      </w:r>
      <w:r w:rsidRPr="00B1194E">
        <w:t>is required by section 11 of the Act to meet at least twice per year</w:t>
      </w:r>
      <w:r>
        <w:t xml:space="preserve"> and the Council may also establish committees (subsection 12(1)). </w:t>
      </w:r>
      <w:r w:rsidRPr="00B1194E">
        <w:t>Some Council and committee members may need to travel interstate to attend meetings.</w:t>
      </w:r>
    </w:p>
    <w:p w14:paraId="4F00FAC6" w14:textId="59EBD072" w:rsidR="00486F56" w:rsidRDefault="00365896" w:rsidP="00B1194E">
      <w:pPr>
        <w:spacing w:after="240"/>
      </w:pPr>
      <w:r w:rsidRPr="00B1194E">
        <w:t>Subsections 9(1) and 12(2) of the Act state that the regulations may provide for a member of the Council</w:t>
      </w:r>
      <w:r w:rsidR="007F32D5">
        <w:t xml:space="preserve"> </w:t>
      </w:r>
      <w:r w:rsidRPr="00B1194E">
        <w:t>or a member of a committee</w:t>
      </w:r>
      <w:r w:rsidR="007F32D5">
        <w:t xml:space="preserve"> </w:t>
      </w:r>
      <w:r w:rsidRPr="00B1194E">
        <w:t>to receive travelling allowance at a rate specified or identified in the regulations.</w:t>
      </w:r>
      <w:r w:rsidR="007F32D5">
        <w:t xml:space="preserve"> </w:t>
      </w:r>
    </w:p>
    <w:p w14:paraId="557F3E54" w14:textId="28A73290" w:rsidR="00365896" w:rsidRDefault="00365896" w:rsidP="00B1194E">
      <w:pPr>
        <w:spacing w:after="240"/>
      </w:pPr>
      <w:r w:rsidRPr="00B1194E">
        <w:t xml:space="preserve">The purpose of the </w:t>
      </w:r>
      <w:r w:rsidR="00E927D3">
        <w:rPr>
          <w:i/>
        </w:rPr>
        <w:t xml:space="preserve">National Workplace Relations Consultative Council Regulations </w:t>
      </w:r>
      <w:r w:rsidR="00091086">
        <w:rPr>
          <w:i/>
        </w:rPr>
        <w:t xml:space="preserve">2020 </w:t>
      </w:r>
      <w:r w:rsidR="00E927D3">
        <w:t xml:space="preserve">(the </w:t>
      </w:r>
      <w:r w:rsidRPr="00B1194E">
        <w:t>Regulations</w:t>
      </w:r>
      <w:r w:rsidR="00E927D3">
        <w:t>)</w:t>
      </w:r>
      <w:r w:rsidRPr="00B1194E">
        <w:t xml:space="preserve"> is to provide for a member of the Council, and a member of a committee established by the Council, to receive travelling allowance for the purpose of attending Council meetings, Council committee meetings, or where otherwise engaged</w:t>
      </w:r>
      <w:r w:rsidR="00A832FB">
        <w:t xml:space="preserve"> in legitimate Council business.  </w:t>
      </w:r>
      <w:r w:rsidR="004900B6">
        <w:t>They are</w:t>
      </w:r>
      <w:r w:rsidR="00AA6FA0">
        <w:t xml:space="preserve"> substantially the same as </w:t>
      </w:r>
      <w:r w:rsidR="00A832FB">
        <w:t xml:space="preserve">the </w:t>
      </w:r>
      <w:r w:rsidR="00A832FB">
        <w:rPr>
          <w:i/>
        </w:rPr>
        <w:t xml:space="preserve">National Workplace Relations Consultative Council Regulations 2004 </w:t>
      </w:r>
      <w:r w:rsidR="00A832FB">
        <w:t>(the sunsetting Regulation</w:t>
      </w:r>
      <w:r w:rsidR="004900B6">
        <w:t xml:space="preserve">s) which </w:t>
      </w:r>
      <w:r w:rsidR="006A046C">
        <w:t xml:space="preserve">were due to </w:t>
      </w:r>
      <w:r w:rsidR="004900B6">
        <w:t>sunset on 1 April 2020</w:t>
      </w:r>
      <w:r w:rsidR="007F32D5">
        <w:t>. The Regulations</w:t>
      </w:r>
      <w:r w:rsidR="004900B6">
        <w:t xml:space="preserve"> repeal and replace the sunsetting Regulations.</w:t>
      </w:r>
    </w:p>
    <w:p w14:paraId="0D86EE31" w14:textId="77777777" w:rsidR="007F32D5" w:rsidRPr="007F4D88" w:rsidRDefault="007F32D5" w:rsidP="00B1194E">
      <w:pPr>
        <w:spacing w:after="240"/>
      </w:pPr>
      <w:r>
        <w:t xml:space="preserve">The </w:t>
      </w:r>
      <w:r w:rsidRPr="007F4D88">
        <w:t xml:space="preserve">Regulations </w:t>
      </w:r>
      <w:r w:rsidR="007F4D88">
        <w:t xml:space="preserve">expressly </w:t>
      </w:r>
      <w:r w:rsidRPr="007F4D88">
        <w:t xml:space="preserve">provide for travelling allowance to </w:t>
      </w:r>
      <w:r w:rsidR="007F4D88">
        <w:t>be paid to</w:t>
      </w:r>
      <w:r w:rsidRPr="007F4D88">
        <w:t>:</w:t>
      </w:r>
    </w:p>
    <w:p w14:paraId="0C6C80D5" w14:textId="77777777" w:rsidR="007F32D5" w:rsidRPr="006225B8" w:rsidRDefault="007F4D88" w:rsidP="006225B8">
      <w:pPr>
        <w:pStyle w:val="ListParagraph"/>
        <w:numPr>
          <w:ilvl w:val="0"/>
          <w:numId w:val="6"/>
        </w:numPr>
        <w:spacing w:after="240"/>
      </w:pPr>
      <w:r w:rsidRPr="007F4D88">
        <w:rPr>
          <w:rFonts w:ascii="Times New Roman" w:hAnsi="Times New Roman" w:cs="Times New Roman"/>
          <w:sz w:val="24"/>
          <w:szCs w:val="24"/>
        </w:rPr>
        <w:t>m</w:t>
      </w:r>
      <w:r w:rsidR="007F32D5" w:rsidRPr="006225B8">
        <w:rPr>
          <w:rFonts w:ascii="Times New Roman" w:hAnsi="Times New Roman" w:cs="Times New Roman"/>
          <w:sz w:val="24"/>
          <w:szCs w:val="24"/>
        </w:rPr>
        <w:t>embers of the Council (</w:t>
      </w:r>
      <w:r w:rsidR="00777E2D">
        <w:rPr>
          <w:rFonts w:ascii="Times New Roman" w:hAnsi="Times New Roman" w:cs="Times New Roman"/>
          <w:sz w:val="24"/>
          <w:szCs w:val="24"/>
        </w:rPr>
        <w:t>section</w:t>
      </w:r>
      <w:r w:rsidR="00777E2D" w:rsidRPr="006225B8">
        <w:rPr>
          <w:rFonts w:ascii="Times New Roman" w:hAnsi="Times New Roman" w:cs="Times New Roman"/>
          <w:sz w:val="24"/>
          <w:szCs w:val="24"/>
        </w:rPr>
        <w:t xml:space="preserve"> </w:t>
      </w:r>
      <w:r w:rsidR="007F32D5" w:rsidRPr="006225B8">
        <w:rPr>
          <w:rFonts w:ascii="Times New Roman" w:hAnsi="Times New Roman" w:cs="Times New Roman"/>
          <w:sz w:val="24"/>
          <w:szCs w:val="24"/>
        </w:rPr>
        <w:t>6)</w:t>
      </w:r>
    </w:p>
    <w:p w14:paraId="3997133E" w14:textId="66CAE14E" w:rsidR="007F32D5" w:rsidRPr="006225B8" w:rsidRDefault="007F4D88" w:rsidP="006225B8">
      <w:pPr>
        <w:pStyle w:val="ListParagraph"/>
        <w:numPr>
          <w:ilvl w:val="0"/>
          <w:numId w:val="6"/>
        </w:numPr>
        <w:spacing w:after="240"/>
      </w:pPr>
      <w:r w:rsidRPr="006225B8">
        <w:rPr>
          <w:rFonts w:ascii="Times New Roman" w:hAnsi="Times New Roman" w:cs="Times New Roman"/>
          <w:sz w:val="24"/>
          <w:szCs w:val="24"/>
        </w:rPr>
        <w:t>a</w:t>
      </w:r>
      <w:r w:rsidR="007F32D5" w:rsidRPr="006225B8">
        <w:rPr>
          <w:rFonts w:ascii="Times New Roman" w:hAnsi="Times New Roman" w:cs="Times New Roman"/>
          <w:sz w:val="24"/>
          <w:szCs w:val="24"/>
        </w:rPr>
        <w:t xml:space="preserve"> person nominated under subsection 10(1) or (2) of the Act to attended a meeting of the Council in place of a member (</w:t>
      </w:r>
      <w:r w:rsidR="00777E2D">
        <w:rPr>
          <w:rFonts w:ascii="Times New Roman" w:hAnsi="Times New Roman" w:cs="Times New Roman"/>
          <w:sz w:val="24"/>
          <w:szCs w:val="24"/>
        </w:rPr>
        <w:t>section</w:t>
      </w:r>
      <w:r w:rsidR="00777E2D" w:rsidRPr="006225B8">
        <w:rPr>
          <w:rFonts w:ascii="Times New Roman" w:hAnsi="Times New Roman" w:cs="Times New Roman"/>
          <w:sz w:val="24"/>
          <w:szCs w:val="24"/>
        </w:rPr>
        <w:t xml:space="preserve"> </w:t>
      </w:r>
      <w:r w:rsidR="007F32D5" w:rsidRPr="006225B8">
        <w:rPr>
          <w:rFonts w:ascii="Times New Roman" w:hAnsi="Times New Roman" w:cs="Times New Roman"/>
          <w:sz w:val="24"/>
          <w:szCs w:val="24"/>
        </w:rPr>
        <w:t>7)</w:t>
      </w:r>
    </w:p>
    <w:p w14:paraId="73C9FD46" w14:textId="324660CA" w:rsidR="007F32D5" w:rsidRPr="006225B8" w:rsidRDefault="007F4D88" w:rsidP="006225B8">
      <w:pPr>
        <w:pStyle w:val="ListParagraph"/>
        <w:numPr>
          <w:ilvl w:val="0"/>
          <w:numId w:val="6"/>
        </w:numPr>
        <w:spacing w:after="240"/>
      </w:pPr>
      <w:r w:rsidRPr="006225B8">
        <w:rPr>
          <w:rFonts w:ascii="Times New Roman" w:hAnsi="Times New Roman" w:cs="Times New Roman"/>
          <w:sz w:val="24"/>
          <w:szCs w:val="24"/>
        </w:rPr>
        <w:t>a</w:t>
      </w:r>
      <w:r w:rsidR="001D76DA">
        <w:rPr>
          <w:rFonts w:ascii="Times New Roman" w:hAnsi="Times New Roman" w:cs="Times New Roman"/>
          <w:sz w:val="24"/>
          <w:szCs w:val="24"/>
        </w:rPr>
        <w:t xml:space="preserve"> member of a c</w:t>
      </w:r>
      <w:r w:rsidR="007F32D5" w:rsidRPr="006225B8">
        <w:rPr>
          <w:rFonts w:ascii="Times New Roman" w:hAnsi="Times New Roman" w:cs="Times New Roman"/>
          <w:sz w:val="24"/>
          <w:szCs w:val="24"/>
        </w:rPr>
        <w:t>ommittee established by the Council (</w:t>
      </w:r>
      <w:r w:rsidR="00777E2D">
        <w:rPr>
          <w:rFonts w:ascii="Times New Roman" w:hAnsi="Times New Roman" w:cs="Times New Roman"/>
          <w:sz w:val="24"/>
          <w:szCs w:val="24"/>
        </w:rPr>
        <w:t>section</w:t>
      </w:r>
      <w:r w:rsidR="00777E2D" w:rsidRPr="006225B8">
        <w:rPr>
          <w:rFonts w:ascii="Times New Roman" w:hAnsi="Times New Roman" w:cs="Times New Roman"/>
          <w:sz w:val="24"/>
          <w:szCs w:val="24"/>
        </w:rPr>
        <w:t xml:space="preserve"> </w:t>
      </w:r>
      <w:r w:rsidR="007F32D5" w:rsidRPr="006225B8">
        <w:rPr>
          <w:rFonts w:ascii="Times New Roman" w:hAnsi="Times New Roman" w:cs="Times New Roman"/>
          <w:sz w:val="24"/>
          <w:szCs w:val="24"/>
        </w:rPr>
        <w:t>8)</w:t>
      </w:r>
      <w:r w:rsidR="003406C5">
        <w:rPr>
          <w:rFonts w:ascii="Times New Roman" w:hAnsi="Times New Roman" w:cs="Times New Roman"/>
          <w:sz w:val="24"/>
          <w:szCs w:val="24"/>
        </w:rPr>
        <w:t>.</w:t>
      </w:r>
    </w:p>
    <w:p w14:paraId="270658C6" w14:textId="061B11C3" w:rsidR="00365896" w:rsidRPr="00B1194E" w:rsidRDefault="00365896" w:rsidP="00B1194E">
      <w:pPr>
        <w:spacing w:after="240"/>
      </w:pPr>
      <w:r w:rsidRPr="00B1194E">
        <w:t>In addition, section 10A of the Act provides that the Minister may</w:t>
      </w:r>
      <w:r w:rsidR="002430F5">
        <w:t>, after consulting the members of the Council,</w:t>
      </w:r>
      <w:r w:rsidRPr="00B1194E">
        <w:t xml:space="preserve"> invite a person</w:t>
      </w:r>
      <w:r w:rsidR="00680966">
        <w:t xml:space="preserve"> </w:t>
      </w:r>
      <w:r w:rsidRPr="00B1194E">
        <w:t xml:space="preserve">to attend a meeting </w:t>
      </w:r>
      <w:r w:rsidR="00680966">
        <w:t xml:space="preserve">or meetings </w:t>
      </w:r>
      <w:r w:rsidRPr="00B1194E">
        <w:t>of the Council</w:t>
      </w:r>
      <w:r w:rsidR="00680966">
        <w:t>,</w:t>
      </w:r>
      <w:r w:rsidRPr="00B1194E">
        <w:t xml:space="preserve"> and that such a person is entitled to travelling allowance as if he or she was a member.</w:t>
      </w:r>
      <w:r w:rsidR="00E80AAF">
        <w:t xml:space="preserve"> </w:t>
      </w:r>
      <w:r w:rsidRPr="00B1194E">
        <w:t xml:space="preserve">Travelling </w:t>
      </w:r>
      <w:r w:rsidRPr="00B1194E">
        <w:lastRenderedPageBreak/>
        <w:t xml:space="preserve">allowance for such persons </w:t>
      </w:r>
      <w:r w:rsidR="007F32D5">
        <w:t xml:space="preserve">is </w:t>
      </w:r>
      <w:r w:rsidRPr="00B1194E">
        <w:t>provided for by the Regulations relating to members of the Council</w:t>
      </w:r>
      <w:r w:rsidR="007F4D88">
        <w:t xml:space="preserve"> (</w:t>
      </w:r>
      <w:r w:rsidR="00777E2D">
        <w:t xml:space="preserve">section </w:t>
      </w:r>
      <w:r w:rsidR="007F4D88">
        <w:t>6)</w:t>
      </w:r>
      <w:r w:rsidRPr="00B1194E">
        <w:t>.</w:t>
      </w:r>
    </w:p>
    <w:p w14:paraId="3FA1F60A" w14:textId="314B83FF" w:rsidR="00365896" w:rsidRPr="00E80AAF" w:rsidRDefault="00365896" w:rsidP="00E80AAF">
      <w:pPr>
        <w:spacing w:after="240"/>
      </w:pPr>
      <w:r w:rsidRPr="00E80AAF">
        <w:t xml:space="preserve">The Regulations set the rate of travelling allowance for members of the Council, persons invited to attend meetings and committee members at the </w:t>
      </w:r>
      <w:r w:rsidR="005B20F6">
        <w:t xml:space="preserve">rate applicable to a </w:t>
      </w:r>
      <w:r w:rsidRPr="00E80AAF">
        <w:t xml:space="preserve">Tier 2 </w:t>
      </w:r>
      <w:r w:rsidR="005B20F6">
        <w:t xml:space="preserve">office holder </w:t>
      </w:r>
      <w:r w:rsidRPr="00E80AAF">
        <w:t xml:space="preserve">in the </w:t>
      </w:r>
      <w:r w:rsidR="00777E2D">
        <w:t>‘official travel determination’</w:t>
      </w:r>
      <w:r w:rsidR="00CF1A98">
        <w:t>.</w:t>
      </w:r>
      <w:r w:rsidR="005B20F6">
        <w:t xml:space="preserve"> </w:t>
      </w:r>
      <w:r w:rsidRPr="00E80AAF">
        <w:t xml:space="preserve">Initially, the relevant rate is that specified in the </w:t>
      </w:r>
      <w:r w:rsidR="00E80AAF" w:rsidRPr="00796DAF">
        <w:rPr>
          <w:i/>
        </w:rPr>
        <w:t xml:space="preserve">Remuneration Tribunal (Official Travel) Determination </w:t>
      </w:r>
      <w:r w:rsidR="00091086">
        <w:rPr>
          <w:i/>
        </w:rPr>
        <w:t>2019</w:t>
      </w:r>
      <w:r w:rsidRPr="00E80AAF">
        <w:t xml:space="preserve">. The </w:t>
      </w:r>
      <w:r w:rsidR="007F32D5">
        <w:t xml:space="preserve">applicable </w:t>
      </w:r>
      <w:r w:rsidRPr="00E80AAF">
        <w:t>rate</w:t>
      </w:r>
      <w:r w:rsidR="007F32D5">
        <w:t xml:space="preserve"> will be adjusted over time by</w:t>
      </w:r>
      <w:r w:rsidRPr="00E80AAF">
        <w:t xml:space="preserve"> determinations </w:t>
      </w:r>
      <w:r w:rsidR="001E1638">
        <w:t>that</w:t>
      </w:r>
      <w:r w:rsidR="001E1638" w:rsidRPr="00E80AAF">
        <w:t xml:space="preserve"> </w:t>
      </w:r>
      <w:r w:rsidRPr="00E80AAF">
        <w:t xml:space="preserve">supersede </w:t>
      </w:r>
      <w:r w:rsidR="00E80AAF">
        <w:t>it</w:t>
      </w:r>
      <w:r w:rsidRPr="00E80AAF">
        <w:t>. For each payment, the applicable determination is the determination that was in force at the time of travelling.</w:t>
      </w:r>
    </w:p>
    <w:p w14:paraId="4368AB09" w14:textId="77777777" w:rsidR="00365896" w:rsidRPr="00E80AAF" w:rsidRDefault="00365896" w:rsidP="00E80AAF">
      <w:pPr>
        <w:spacing w:after="240"/>
      </w:pPr>
      <w:r w:rsidRPr="00E80AAF">
        <w:t xml:space="preserve">The Remuneration Tribunal Tier 2 rate is equivalent to the rate members received </w:t>
      </w:r>
      <w:r w:rsidR="00D47BAF">
        <w:t>under the sunsetting Regulations</w:t>
      </w:r>
      <w:r w:rsidRPr="00E80AAF">
        <w:t>.</w:t>
      </w:r>
    </w:p>
    <w:p w14:paraId="21764419" w14:textId="77777777" w:rsidR="00E927D3" w:rsidRDefault="00E927D3" w:rsidP="008E6823">
      <w:pPr>
        <w:pStyle w:val="Heading2"/>
        <w:spacing w:before="0" w:after="0"/>
        <w:rPr>
          <w:rFonts w:ascii="Times New Roman" w:hAnsi="Times New Roman"/>
          <w:i w:val="0"/>
          <w:sz w:val="24"/>
          <w:szCs w:val="24"/>
        </w:rPr>
      </w:pPr>
    </w:p>
    <w:p w14:paraId="511F4607" w14:textId="77777777" w:rsidR="00FD72E1" w:rsidRDefault="00FD72E1" w:rsidP="008E6823">
      <w:pPr>
        <w:pStyle w:val="Heading2"/>
        <w:spacing w:before="0" w:after="0"/>
        <w:rPr>
          <w:rFonts w:ascii="Times New Roman" w:hAnsi="Times New Roman"/>
          <w:i w:val="0"/>
          <w:sz w:val="24"/>
          <w:szCs w:val="24"/>
        </w:rPr>
      </w:pPr>
    </w:p>
    <w:p w14:paraId="37CE574E" w14:textId="77777777" w:rsidR="00252ECB" w:rsidRPr="00C52089" w:rsidRDefault="008E6823" w:rsidP="00727AAD">
      <w:pPr>
        <w:pStyle w:val="Heading2"/>
        <w:spacing w:before="0" w:after="180"/>
        <w:rPr>
          <w:rFonts w:ascii="Times New Roman" w:hAnsi="Times New Roman"/>
          <w:i w:val="0"/>
          <w:sz w:val="24"/>
          <w:szCs w:val="24"/>
        </w:rPr>
      </w:pPr>
      <w:r>
        <w:rPr>
          <w:rFonts w:ascii="Times New Roman" w:hAnsi="Times New Roman"/>
          <w:i w:val="0"/>
          <w:sz w:val="24"/>
          <w:szCs w:val="24"/>
        </w:rPr>
        <w:t>CONSULTATION</w:t>
      </w:r>
    </w:p>
    <w:p w14:paraId="01F8203C" w14:textId="61CCAA31" w:rsidR="000022D3" w:rsidRDefault="00252ECB" w:rsidP="006225B8">
      <w:pPr>
        <w:pStyle w:val="Celltext"/>
        <w:spacing w:after="120"/>
        <w:rPr>
          <w:szCs w:val="24"/>
        </w:rPr>
      </w:pPr>
      <w:r w:rsidRPr="00CE0577">
        <w:t xml:space="preserve">Section 17 of the </w:t>
      </w:r>
      <w:r w:rsidRPr="00FD72E1">
        <w:rPr>
          <w:i/>
        </w:rPr>
        <w:t>Legislation Act</w:t>
      </w:r>
      <w:r w:rsidR="00FD72E1" w:rsidRPr="00FD72E1">
        <w:rPr>
          <w:i/>
        </w:rPr>
        <w:t xml:space="preserve"> 2003</w:t>
      </w:r>
      <w:r w:rsidRPr="00D16011">
        <w:t xml:space="preserve"> </w:t>
      </w:r>
      <w:r w:rsidR="00BF5EA8">
        <w:t>requires the Governor-General</w:t>
      </w:r>
      <w:r w:rsidRPr="00CE0577">
        <w:t xml:space="preserve"> to be satisfied that any consultation </w:t>
      </w:r>
      <w:r w:rsidRPr="00A326F9">
        <w:t>considered to be appropriate, and that is reasonably practicable to undertake, has been undertaken before making the Regulation.</w:t>
      </w:r>
      <w:r w:rsidR="001D76DA">
        <w:t xml:space="preserve"> </w:t>
      </w:r>
      <w:r w:rsidR="000022D3" w:rsidRPr="000022D3">
        <w:rPr>
          <w:szCs w:val="24"/>
        </w:rPr>
        <w:t>The Secretariat of the Council w</w:t>
      </w:r>
      <w:r w:rsidR="000022D3" w:rsidRPr="007F4D88">
        <w:rPr>
          <w:szCs w:val="24"/>
        </w:rPr>
        <w:t xml:space="preserve">as consulted </w:t>
      </w:r>
      <w:r w:rsidR="00BF5EA8">
        <w:rPr>
          <w:szCs w:val="24"/>
        </w:rPr>
        <w:t xml:space="preserve">about the </w:t>
      </w:r>
      <w:r w:rsidR="000022D3" w:rsidRPr="007F4D88">
        <w:rPr>
          <w:szCs w:val="24"/>
        </w:rPr>
        <w:t>Regulations</w:t>
      </w:r>
      <w:r w:rsidR="000022D3" w:rsidRPr="00BA2E52">
        <w:rPr>
          <w:szCs w:val="24"/>
        </w:rPr>
        <w:t xml:space="preserve"> </w:t>
      </w:r>
      <w:r w:rsidR="000022D3" w:rsidRPr="000022D3">
        <w:rPr>
          <w:szCs w:val="24"/>
        </w:rPr>
        <w:t>and no issues</w:t>
      </w:r>
      <w:r w:rsidR="008E6823">
        <w:rPr>
          <w:szCs w:val="24"/>
        </w:rPr>
        <w:t xml:space="preserve"> were</w:t>
      </w:r>
      <w:r w:rsidR="000022D3" w:rsidRPr="000022D3">
        <w:rPr>
          <w:szCs w:val="24"/>
        </w:rPr>
        <w:t xml:space="preserve"> raised. </w:t>
      </w:r>
      <w:r w:rsidR="00091086">
        <w:rPr>
          <w:szCs w:val="24"/>
        </w:rPr>
        <w:t>As</w:t>
      </w:r>
      <w:r w:rsidR="00091086" w:rsidRPr="000022D3">
        <w:rPr>
          <w:szCs w:val="24"/>
        </w:rPr>
        <w:t xml:space="preserve"> </w:t>
      </w:r>
      <w:r w:rsidR="00BF5EA8">
        <w:rPr>
          <w:szCs w:val="24"/>
        </w:rPr>
        <w:t xml:space="preserve">the </w:t>
      </w:r>
      <w:r w:rsidR="000022D3" w:rsidRPr="000022D3">
        <w:rPr>
          <w:szCs w:val="24"/>
        </w:rPr>
        <w:t>Regulations maintain the status quo</w:t>
      </w:r>
      <w:r w:rsidR="00091086">
        <w:rPr>
          <w:szCs w:val="24"/>
        </w:rPr>
        <w:t>, no</w:t>
      </w:r>
      <w:r w:rsidR="000022D3" w:rsidRPr="000022D3">
        <w:rPr>
          <w:szCs w:val="24"/>
        </w:rPr>
        <w:t xml:space="preserve"> further consultation was considered necessary.</w:t>
      </w:r>
    </w:p>
    <w:p w14:paraId="26F9498F" w14:textId="77777777" w:rsidR="008E6823" w:rsidRDefault="008E6823" w:rsidP="008E6823">
      <w:pPr>
        <w:pStyle w:val="Celltext"/>
        <w:spacing w:before="0"/>
        <w:rPr>
          <w:szCs w:val="24"/>
        </w:rPr>
      </w:pPr>
    </w:p>
    <w:p w14:paraId="4487A96D" w14:textId="77777777" w:rsidR="008E6823" w:rsidRPr="006225B8" w:rsidRDefault="008E6823" w:rsidP="008E6823">
      <w:pPr>
        <w:pStyle w:val="Celltext"/>
        <w:spacing w:before="0"/>
      </w:pPr>
    </w:p>
    <w:p w14:paraId="237B871A" w14:textId="750AF340" w:rsidR="00252ECB" w:rsidRPr="008E6823" w:rsidRDefault="00091086" w:rsidP="00727AAD">
      <w:pPr>
        <w:pStyle w:val="Heading2"/>
        <w:spacing w:before="0" w:after="180"/>
        <w:rPr>
          <w:rFonts w:ascii="Times New Roman" w:hAnsi="Times New Roman"/>
          <w:i w:val="0"/>
          <w:sz w:val="24"/>
          <w:szCs w:val="24"/>
        </w:rPr>
      </w:pPr>
      <w:r>
        <w:rPr>
          <w:rFonts w:ascii="Times New Roman" w:hAnsi="Times New Roman"/>
          <w:i w:val="0"/>
          <w:sz w:val="24"/>
          <w:szCs w:val="24"/>
        </w:rPr>
        <w:t>REGULATION</w:t>
      </w:r>
      <w:r w:rsidRPr="008E6823">
        <w:rPr>
          <w:rFonts w:ascii="Times New Roman" w:hAnsi="Times New Roman"/>
          <w:i w:val="0"/>
          <w:sz w:val="24"/>
          <w:szCs w:val="24"/>
        </w:rPr>
        <w:t xml:space="preserve"> </w:t>
      </w:r>
      <w:r w:rsidR="008E6823" w:rsidRPr="008E6823">
        <w:rPr>
          <w:rFonts w:ascii="Times New Roman" w:hAnsi="Times New Roman"/>
          <w:i w:val="0"/>
          <w:sz w:val="24"/>
          <w:szCs w:val="24"/>
        </w:rPr>
        <w:t>IMPACT STATEMENT</w:t>
      </w:r>
    </w:p>
    <w:p w14:paraId="54FAB561" w14:textId="77777777" w:rsidR="008E6823" w:rsidRPr="00796DAF" w:rsidRDefault="00252ECB" w:rsidP="00796DAF">
      <w:pPr>
        <w:pStyle w:val="Celltext"/>
        <w:spacing w:after="120"/>
        <w:rPr>
          <w:szCs w:val="24"/>
        </w:rPr>
      </w:pPr>
      <w:r w:rsidRPr="00796DAF">
        <w:rPr>
          <w:szCs w:val="24"/>
        </w:rPr>
        <w:t xml:space="preserve">The Office of Best Practice and Regulation (OBPR) has </w:t>
      </w:r>
      <w:r w:rsidR="00A326F9" w:rsidRPr="00796DAF">
        <w:rPr>
          <w:szCs w:val="24"/>
        </w:rPr>
        <w:t xml:space="preserve">advised that a Regulation Impact Statement is not required. </w:t>
      </w:r>
      <w:r w:rsidRPr="00796DAF">
        <w:rPr>
          <w:szCs w:val="24"/>
        </w:rPr>
        <w:t xml:space="preserve">The OBPR reference is </w:t>
      </w:r>
      <w:r w:rsidR="008E6823" w:rsidRPr="00796DAF">
        <w:rPr>
          <w:szCs w:val="24"/>
        </w:rPr>
        <w:t>ID 25428.</w:t>
      </w:r>
    </w:p>
    <w:p w14:paraId="310D2846" w14:textId="77777777" w:rsidR="008E6823" w:rsidRDefault="008E6823" w:rsidP="008E6823">
      <w:pPr>
        <w:pStyle w:val="Heading2"/>
        <w:spacing w:before="0"/>
        <w:rPr>
          <w:rFonts w:ascii="Times New Roman" w:hAnsi="Times New Roman"/>
          <w:i w:val="0"/>
          <w:sz w:val="24"/>
          <w:szCs w:val="24"/>
        </w:rPr>
      </w:pPr>
    </w:p>
    <w:p w14:paraId="60CEDDB2" w14:textId="77777777" w:rsidR="008E6823" w:rsidRPr="008E6823" w:rsidRDefault="008E6823" w:rsidP="008E6823"/>
    <w:p w14:paraId="7B1BCE73" w14:textId="77777777" w:rsidR="008E6823" w:rsidRPr="00C52089" w:rsidRDefault="008E6823" w:rsidP="00727AAD">
      <w:pPr>
        <w:pStyle w:val="Heading2"/>
        <w:spacing w:before="0" w:after="180"/>
        <w:rPr>
          <w:rFonts w:ascii="Times New Roman" w:hAnsi="Times New Roman"/>
          <w:b w:val="0"/>
          <w:i w:val="0"/>
          <w:sz w:val="24"/>
          <w:szCs w:val="24"/>
        </w:rPr>
      </w:pPr>
      <w:r>
        <w:rPr>
          <w:rFonts w:ascii="Times New Roman" w:hAnsi="Times New Roman"/>
          <w:i w:val="0"/>
          <w:sz w:val="24"/>
          <w:szCs w:val="24"/>
        </w:rPr>
        <w:t>OTHER DETAILS</w:t>
      </w:r>
    </w:p>
    <w:p w14:paraId="74CC1B58" w14:textId="77777777" w:rsidR="008E6823" w:rsidRDefault="008E6823" w:rsidP="008E6823">
      <w:pPr>
        <w:spacing w:after="120"/>
        <w:rPr>
          <w:rFonts w:eastAsia="Calibri"/>
        </w:rPr>
      </w:pPr>
      <w:r w:rsidRPr="008C51C1">
        <w:rPr>
          <w:rFonts w:eastAsia="Calibri"/>
        </w:rPr>
        <w:t xml:space="preserve">This instrument is a legislative instrument for the purposes of the </w:t>
      </w:r>
      <w:r w:rsidRPr="008C51C1">
        <w:rPr>
          <w:rFonts w:eastAsia="Calibri"/>
          <w:i/>
        </w:rPr>
        <w:t>Legislation Act 2003</w:t>
      </w:r>
      <w:r>
        <w:rPr>
          <w:rFonts w:eastAsia="Calibri"/>
        </w:rPr>
        <w:t>.</w:t>
      </w:r>
    </w:p>
    <w:p w14:paraId="5541EBB0" w14:textId="77777777" w:rsidR="008E6823" w:rsidRPr="00E80AAF" w:rsidRDefault="008E6823" w:rsidP="008E6823">
      <w:pPr>
        <w:spacing w:after="120"/>
      </w:pPr>
      <w:r w:rsidRPr="00E80AAF">
        <w:t>The Act specifies no conditions that need to be met before the power to make the Regulations may be exercised.</w:t>
      </w:r>
    </w:p>
    <w:p w14:paraId="5CFBAE5B" w14:textId="77777777" w:rsidR="00824C6C" w:rsidRDefault="00824C6C" w:rsidP="00824C6C">
      <w:pPr>
        <w:spacing w:before="120" w:after="120"/>
      </w:pPr>
      <w:r w:rsidRPr="00544177">
        <w:t>The Regulation</w:t>
      </w:r>
      <w:r>
        <w:t>s</w:t>
      </w:r>
      <w:r w:rsidRPr="00544177">
        <w:t xml:space="preserve"> commence </w:t>
      </w:r>
      <w:r w:rsidRPr="00D37F20">
        <w:t>on the day after they are registered on the Federal Register of Legislation.</w:t>
      </w:r>
    </w:p>
    <w:p w14:paraId="3E5CB6B8" w14:textId="77777777" w:rsidR="00824C6C" w:rsidRDefault="00824C6C" w:rsidP="00824C6C">
      <w:pPr>
        <w:spacing w:before="120" w:after="120"/>
      </w:pPr>
      <w:r>
        <w:t xml:space="preserve">Details of the Regulations are at </w:t>
      </w:r>
      <w:r>
        <w:rPr>
          <w:b/>
        </w:rPr>
        <w:t>Attachment A</w:t>
      </w:r>
      <w:r>
        <w:t xml:space="preserve">.  </w:t>
      </w:r>
    </w:p>
    <w:p w14:paraId="05DA8CA3" w14:textId="77777777" w:rsidR="008E6823" w:rsidRDefault="008E6823" w:rsidP="00796DAF">
      <w:pPr>
        <w:spacing w:before="120" w:after="120"/>
        <w:rPr>
          <w:i/>
        </w:rPr>
      </w:pPr>
      <w:r>
        <w:t xml:space="preserve">A statement of compatibility under subsection 9(1) of the </w:t>
      </w:r>
      <w:r>
        <w:rPr>
          <w:i/>
        </w:rPr>
        <w:t xml:space="preserve">Human Rights (Parliamentary Scrutiny) Act 2011 </w:t>
      </w:r>
      <w:r>
        <w:t xml:space="preserve">is at </w:t>
      </w:r>
      <w:r w:rsidR="003F1B18">
        <w:rPr>
          <w:b/>
        </w:rPr>
        <w:t xml:space="preserve">Attachment </w:t>
      </w:r>
      <w:r w:rsidR="00824C6C">
        <w:rPr>
          <w:b/>
        </w:rPr>
        <w:t>B</w:t>
      </w:r>
      <w:r>
        <w:t>.</w:t>
      </w:r>
    </w:p>
    <w:p w14:paraId="2C51E9E3" w14:textId="77777777" w:rsidR="000237D5" w:rsidRDefault="00252ECB" w:rsidP="000237D5">
      <w:pPr>
        <w:spacing w:before="120"/>
        <w:contextualSpacing/>
      </w:pPr>
      <w:r w:rsidRPr="00DA286C">
        <w:rPr>
          <w:highlight w:val="yellow"/>
        </w:rPr>
        <w:br w:type="page"/>
      </w:r>
    </w:p>
    <w:p w14:paraId="5D86646F" w14:textId="77777777" w:rsidR="00824C6C" w:rsidRDefault="00824C6C" w:rsidP="00824C6C">
      <w:pPr>
        <w:spacing w:before="120"/>
        <w:contextualSpacing/>
        <w:jc w:val="right"/>
        <w:rPr>
          <w:b/>
        </w:rPr>
      </w:pPr>
      <w:r w:rsidRPr="000237D5">
        <w:rPr>
          <w:b/>
        </w:rPr>
        <w:lastRenderedPageBreak/>
        <w:t xml:space="preserve">Attachment </w:t>
      </w:r>
      <w:r>
        <w:rPr>
          <w:b/>
        </w:rPr>
        <w:t>A</w:t>
      </w:r>
    </w:p>
    <w:p w14:paraId="07C7CE4B" w14:textId="77777777" w:rsidR="00824C6C" w:rsidRDefault="00824C6C" w:rsidP="00824C6C">
      <w:pPr>
        <w:spacing w:line="276" w:lineRule="auto"/>
        <w:rPr>
          <w:b/>
        </w:rPr>
      </w:pPr>
    </w:p>
    <w:p w14:paraId="1741D02A" w14:textId="77777777" w:rsidR="00824C6C" w:rsidRDefault="00824C6C">
      <w:pPr>
        <w:spacing w:after="200" w:line="276" w:lineRule="auto"/>
        <w:rPr>
          <w:b/>
        </w:rPr>
      </w:pPr>
      <w:r>
        <w:rPr>
          <w:b/>
        </w:rPr>
        <w:t>NOTES ON SECTIONS</w:t>
      </w:r>
    </w:p>
    <w:p w14:paraId="52DBA895" w14:textId="77777777" w:rsidR="001067D8" w:rsidRPr="001067D8" w:rsidRDefault="001067D8" w:rsidP="001067D8">
      <w:pPr>
        <w:spacing w:before="360" w:after="180" w:line="276" w:lineRule="auto"/>
        <w:rPr>
          <w:u w:val="single"/>
        </w:rPr>
      </w:pPr>
      <w:r w:rsidRPr="001067D8">
        <w:rPr>
          <w:u w:val="single"/>
        </w:rPr>
        <w:t>Section 1 – Name</w:t>
      </w:r>
    </w:p>
    <w:p w14:paraId="4FDF475A" w14:textId="4022D3AA" w:rsidR="001067D8" w:rsidRDefault="001067D8" w:rsidP="001067D8">
      <w:pPr>
        <w:spacing w:after="200" w:line="276" w:lineRule="auto"/>
      </w:pPr>
      <w:r>
        <w:t xml:space="preserve">This section provides that the title of the instrument is the </w:t>
      </w:r>
      <w:r>
        <w:rPr>
          <w:i/>
        </w:rPr>
        <w:t xml:space="preserve">National Workplace Relations Consultative Council Regulations </w:t>
      </w:r>
      <w:r w:rsidR="00091086">
        <w:rPr>
          <w:i/>
        </w:rPr>
        <w:t>2020</w:t>
      </w:r>
      <w:r>
        <w:t>.</w:t>
      </w:r>
    </w:p>
    <w:p w14:paraId="43C11EC3" w14:textId="77777777" w:rsidR="001067D8" w:rsidRPr="001067D8" w:rsidRDefault="001067D8" w:rsidP="001067D8">
      <w:pPr>
        <w:spacing w:before="360" w:after="180" w:line="276" w:lineRule="auto"/>
        <w:rPr>
          <w:u w:val="single"/>
        </w:rPr>
      </w:pPr>
      <w:r>
        <w:rPr>
          <w:u w:val="single"/>
        </w:rPr>
        <w:t xml:space="preserve">Section 2 – Commencement </w:t>
      </w:r>
    </w:p>
    <w:p w14:paraId="62C5FB3A" w14:textId="77777777" w:rsidR="001067D8" w:rsidRDefault="001067D8" w:rsidP="001067D8">
      <w:pPr>
        <w:spacing w:after="200" w:line="276" w:lineRule="auto"/>
      </w:pPr>
      <w:r>
        <w:t>This section provides for the instrument to commence on the day after it is registered on the Federal Register of Legislation.</w:t>
      </w:r>
    </w:p>
    <w:p w14:paraId="6043B87C" w14:textId="77777777" w:rsidR="001067D8" w:rsidRPr="001067D8" w:rsidRDefault="001067D8" w:rsidP="001067D8">
      <w:pPr>
        <w:spacing w:before="360" w:after="180" w:line="276" w:lineRule="auto"/>
        <w:rPr>
          <w:u w:val="single"/>
        </w:rPr>
      </w:pPr>
      <w:r>
        <w:rPr>
          <w:u w:val="single"/>
        </w:rPr>
        <w:t>Section 3 – Authority</w:t>
      </w:r>
    </w:p>
    <w:p w14:paraId="210953C7" w14:textId="77777777" w:rsidR="001067D8" w:rsidRPr="001067D8" w:rsidRDefault="001067D8" w:rsidP="001067D8">
      <w:pPr>
        <w:spacing w:after="200" w:line="276" w:lineRule="auto"/>
      </w:pPr>
      <w:r>
        <w:t xml:space="preserve">This section provides that the instrument is made under the </w:t>
      </w:r>
      <w:r>
        <w:rPr>
          <w:i/>
        </w:rPr>
        <w:t>National Workplace Relations Consultative Council Act 2002</w:t>
      </w:r>
      <w:r>
        <w:t>.</w:t>
      </w:r>
    </w:p>
    <w:p w14:paraId="7DDFADE4" w14:textId="77777777" w:rsidR="001067D8" w:rsidRPr="001067D8" w:rsidRDefault="001067D8" w:rsidP="001067D8">
      <w:pPr>
        <w:spacing w:before="360" w:after="180" w:line="276" w:lineRule="auto"/>
        <w:rPr>
          <w:u w:val="single"/>
        </w:rPr>
      </w:pPr>
      <w:r>
        <w:rPr>
          <w:u w:val="single"/>
        </w:rPr>
        <w:t xml:space="preserve">Section 4 – Schedules   </w:t>
      </w:r>
    </w:p>
    <w:p w14:paraId="091EF14D" w14:textId="77777777" w:rsidR="001067D8" w:rsidRDefault="001067D8" w:rsidP="001067D8">
      <w:pPr>
        <w:spacing w:after="200" w:line="276" w:lineRule="auto"/>
      </w:pPr>
      <w:r>
        <w:t>This section provides that each instrument that is specified in a Schedule to the instrument is amended or repealed according to the terms set out in the Schedule, and any other item in a Schedule to the instrument has effect according to its terms.</w:t>
      </w:r>
    </w:p>
    <w:p w14:paraId="031BD8FD" w14:textId="77777777" w:rsidR="001067D8" w:rsidRPr="001067D8" w:rsidRDefault="001067D8" w:rsidP="001067D8">
      <w:pPr>
        <w:spacing w:before="360" w:after="180" w:line="276" w:lineRule="auto"/>
        <w:rPr>
          <w:u w:val="single"/>
        </w:rPr>
      </w:pPr>
      <w:r>
        <w:rPr>
          <w:u w:val="single"/>
        </w:rPr>
        <w:t xml:space="preserve">Section 5 </w:t>
      </w:r>
      <w:r w:rsidR="00112922">
        <w:rPr>
          <w:u w:val="single"/>
        </w:rPr>
        <w:t>–</w:t>
      </w:r>
      <w:r>
        <w:rPr>
          <w:u w:val="single"/>
        </w:rPr>
        <w:t xml:space="preserve"> Definitions</w:t>
      </w:r>
      <w:r w:rsidR="00112922">
        <w:rPr>
          <w:u w:val="single"/>
        </w:rPr>
        <w:t xml:space="preserve"> </w:t>
      </w:r>
    </w:p>
    <w:p w14:paraId="5E60165C" w14:textId="77777777" w:rsidR="001067D8" w:rsidRDefault="001067D8" w:rsidP="001067D8">
      <w:pPr>
        <w:spacing w:after="200" w:line="276" w:lineRule="auto"/>
      </w:pPr>
      <w:r>
        <w:t xml:space="preserve">This section defines certain terms used in the </w:t>
      </w:r>
      <w:r w:rsidR="00112922">
        <w:t>instrument</w:t>
      </w:r>
      <w:r>
        <w:t>.</w:t>
      </w:r>
    </w:p>
    <w:p w14:paraId="2746A6F6" w14:textId="319B808F" w:rsidR="005B20F6" w:rsidRPr="005B20F6" w:rsidRDefault="005B20F6" w:rsidP="001067D8">
      <w:pPr>
        <w:spacing w:after="200" w:line="276" w:lineRule="auto"/>
      </w:pPr>
      <w:r>
        <w:t>‘</w:t>
      </w:r>
      <w:r w:rsidR="00091086">
        <w:t xml:space="preserve">Official </w:t>
      </w:r>
      <w:r>
        <w:t xml:space="preserve">travel determination’ means the </w:t>
      </w:r>
      <w:r w:rsidRPr="005F048A">
        <w:rPr>
          <w:i/>
        </w:rPr>
        <w:t xml:space="preserve">Remuneration Tribunal (Official Travel) Determination </w:t>
      </w:r>
      <w:r w:rsidR="00091086">
        <w:rPr>
          <w:i/>
        </w:rPr>
        <w:t xml:space="preserve">2019 </w:t>
      </w:r>
      <w:r w:rsidRPr="00796DAF">
        <w:t xml:space="preserve">on commencement and </w:t>
      </w:r>
      <w:r>
        <w:t xml:space="preserve">subsequently </w:t>
      </w:r>
      <w:r w:rsidRPr="00796DAF">
        <w:t>any determination that supersedes it. This ensures the rates are adjusted appropriately over time.</w:t>
      </w:r>
    </w:p>
    <w:p w14:paraId="5C7FE62F" w14:textId="77777777" w:rsidR="00112922" w:rsidRPr="001067D8" w:rsidRDefault="00112922" w:rsidP="00112922">
      <w:pPr>
        <w:spacing w:before="360" w:after="180" w:line="276" w:lineRule="auto"/>
        <w:rPr>
          <w:u w:val="single"/>
        </w:rPr>
      </w:pPr>
      <w:r>
        <w:rPr>
          <w:u w:val="single"/>
        </w:rPr>
        <w:t>Section 6 – Travelling allowance for member</w:t>
      </w:r>
    </w:p>
    <w:p w14:paraId="31AE8978" w14:textId="77777777" w:rsidR="00112922" w:rsidRDefault="00112922" w:rsidP="00112922">
      <w:pPr>
        <w:spacing w:after="200" w:line="276" w:lineRule="auto"/>
      </w:pPr>
      <w:r>
        <w:t xml:space="preserve">This section provides </w:t>
      </w:r>
      <w:r w:rsidR="0060106E">
        <w:t>that a Council member is authorised to receive travelling allowance for travel to attend a Council meeting or other travel related to the purposes of the Council.</w:t>
      </w:r>
    </w:p>
    <w:p w14:paraId="0FDC85C1" w14:textId="77777777" w:rsidR="00112922" w:rsidRDefault="00112922" w:rsidP="00112922">
      <w:pPr>
        <w:spacing w:after="200" w:line="276" w:lineRule="auto"/>
      </w:pPr>
      <w:r>
        <w:t>The rate of travelling allowance is equal to the rate payable to a tier 2 office holder under the official travel determination when the travel takes place.</w:t>
      </w:r>
    </w:p>
    <w:p w14:paraId="1A0409B1" w14:textId="77777777" w:rsidR="00112922" w:rsidRPr="001067D8" w:rsidRDefault="00112922" w:rsidP="00112922">
      <w:pPr>
        <w:spacing w:before="360" w:after="180" w:line="276" w:lineRule="auto"/>
        <w:rPr>
          <w:u w:val="single"/>
        </w:rPr>
      </w:pPr>
      <w:r>
        <w:rPr>
          <w:u w:val="single"/>
        </w:rPr>
        <w:t>Section 7 – Travelling allowance for persons nominated to attend meetings</w:t>
      </w:r>
    </w:p>
    <w:p w14:paraId="27F49734" w14:textId="77777777" w:rsidR="0060106E" w:rsidRDefault="0060106E" w:rsidP="00112922">
      <w:pPr>
        <w:spacing w:after="200" w:line="276" w:lineRule="auto"/>
      </w:pPr>
      <w:r>
        <w:t>This section provides that a person nominated to attend a meeting of the Council in place of a member is authorised to receive travelling allowance for travel to attend the meeting.</w:t>
      </w:r>
    </w:p>
    <w:p w14:paraId="6D597FCD" w14:textId="77777777" w:rsidR="00112922" w:rsidRDefault="00112922" w:rsidP="00112922">
      <w:pPr>
        <w:spacing w:after="200" w:line="276" w:lineRule="auto"/>
      </w:pPr>
      <w:r>
        <w:t>The rate of travelling allowance is equal to the rate payable to a tier 2 office holder under the official travel determination when the travel takes place.</w:t>
      </w:r>
    </w:p>
    <w:p w14:paraId="1D88DA7B" w14:textId="77777777" w:rsidR="00112922" w:rsidRPr="001067D8" w:rsidRDefault="00112922" w:rsidP="00112922">
      <w:pPr>
        <w:spacing w:before="360" w:after="180" w:line="276" w:lineRule="auto"/>
        <w:rPr>
          <w:u w:val="single"/>
        </w:rPr>
      </w:pPr>
      <w:r>
        <w:rPr>
          <w:u w:val="single"/>
        </w:rPr>
        <w:t>Section 8 – Travelling allowance for members of committees</w:t>
      </w:r>
    </w:p>
    <w:p w14:paraId="26324FAA" w14:textId="77777777" w:rsidR="0060106E" w:rsidRDefault="0060106E" w:rsidP="0060106E">
      <w:pPr>
        <w:spacing w:after="200" w:line="276" w:lineRule="auto"/>
      </w:pPr>
      <w:r>
        <w:t>This section provides that a member of a committee constituted under subsection 12</w:t>
      </w:r>
      <w:r w:rsidR="003406C5">
        <w:t>(1)</w:t>
      </w:r>
      <w:r>
        <w:t xml:space="preserve"> of the Act is authorised to receive travelling allowance for travel to attend a committee meeting or other travel related to the purposes of the committee.</w:t>
      </w:r>
    </w:p>
    <w:p w14:paraId="73270253" w14:textId="77777777" w:rsidR="00112922" w:rsidRDefault="00112922" w:rsidP="00112922">
      <w:pPr>
        <w:spacing w:after="200" w:line="276" w:lineRule="auto"/>
      </w:pPr>
      <w:r>
        <w:t>The rate of travelling allowance is equal to the rate payable to a tier 2 office holder under the official travel determination when the travel takes place.</w:t>
      </w:r>
    </w:p>
    <w:p w14:paraId="3A9114A0" w14:textId="77777777" w:rsidR="008E14BD" w:rsidRPr="001067D8" w:rsidRDefault="008E14BD" w:rsidP="008E14BD">
      <w:pPr>
        <w:spacing w:before="360" w:after="180" w:line="276" w:lineRule="auto"/>
        <w:rPr>
          <w:u w:val="single"/>
        </w:rPr>
      </w:pPr>
      <w:r>
        <w:rPr>
          <w:u w:val="single"/>
        </w:rPr>
        <w:t>Section 9 – Claims for travelling allowance</w:t>
      </w:r>
    </w:p>
    <w:p w14:paraId="6AD11C4F" w14:textId="359FC278" w:rsidR="008E14BD" w:rsidRDefault="008E14BD" w:rsidP="008E14BD">
      <w:pPr>
        <w:spacing w:after="200" w:line="276" w:lineRule="auto"/>
      </w:pPr>
      <w:r>
        <w:t>This section provides the mechanism for a person entitled to receive travelling allowance under this instrument to make a claim for the allowance.</w:t>
      </w:r>
    </w:p>
    <w:p w14:paraId="7337E8E6" w14:textId="77777777" w:rsidR="008E14BD" w:rsidRPr="001067D8" w:rsidRDefault="008E14BD" w:rsidP="008E14BD">
      <w:pPr>
        <w:spacing w:before="360" w:after="180" w:line="276" w:lineRule="auto"/>
        <w:rPr>
          <w:u w:val="single"/>
        </w:rPr>
      </w:pPr>
      <w:r>
        <w:rPr>
          <w:u w:val="single"/>
        </w:rPr>
        <w:t xml:space="preserve">Schedule 1 – Repeals </w:t>
      </w:r>
    </w:p>
    <w:p w14:paraId="42EEB677" w14:textId="77777777" w:rsidR="008E14BD" w:rsidRPr="008E14BD" w:rsidRDefault="008E14BD" w:rsidP="008E14BD">
      <w:pPr>
        <w:spacing w:after="200" w:line="276" w:lineRule="auto"/>
      </w:pPr>
      <w:r>
        <w:t>Schedule 1 repeals</w:t>
      </w:r>
      <w:r w:rsidR="003406C5">
        <w:t xml:space="preserve"> </w:t>
      </w:r>
      <w:r>
        <w:t xml:space="preserve">the </w:t>
      </w:r>
      <w:r>
        <w:rPr>
          <w:i/>
        </w:rPr>
        <w:t>National Workplace Relations Consultative Council Regulations 2004</w:t>
      </w:r>
      <w:r>
        <w:t>, which the new Regulations will replace.</w:t>
      </w:r>
    </w:p>
    <w:p w14:paraId="5ADAD742" w14:textId="77777777" w:rsidR="008E14BD" w:rsidRDefault="008E14BD" w:rsidP="008E14BD">
      <w:pPr>
        <w:spacing w:after="200" w:line="276" w:lineRule="auto"/>
      </w:pPr>
    </w:p>
    <w:p w14:paraId="1880EBA0" w14:textId="77777777" w:rsidR="001067D8" w:rsidRDefault="001067D8" w:rsidP="001067D8">
      <w:pPr>
        <w:spacing w:after="200" w:line="276" w:lineRule="auto"/>
      </w:pPr>
    </w:p>
    <w:p w14:paraId="24DC1B24" w14:textId="77777777" w:rsidR="001067D8" w:rsidRDefault="001067D8" w:rsidP="001067D8">
      <w:pPr>
        <w:spacing w:after="200" w:line="276" w:lineRule="auto"/>
      </w:pPr>
    </w:p>
    <w:p w14:paraId="2B09E888" w14:textId="77777777" w:rsidR="001067D8" w:rsidRPr="001067D8" w:rsidRDefault="001067D8">
      <w:pPr>
        <w:spacing w:after="200" w:line="276" w:lineRule="auto"/>
      </w:pPr>
      <w:r>
        <w:t xml:space="preserve"> </w:t>
      </w:r>
    </w:p>
    <w:p w14:paraId="362A6294" w14:textId="77777777" w:rsidR="00824C6C" w:rsidRDefault="00824C6C">
      <w:pPr>
        <w:spacing w:after="200" w:line="276" w:lineRule="auto"/>
        <w:rPr>
          <w:b/>
        </w:rPr>
      </w:pPr>
      <w:r>
        <w:rPr>
          <w:b/>
        </w:rPr>
        <w:br w:type="page"/>
      </w:r>
    </w:p>
    <w:p w14:paraId="131491F3" w14:textId="77777777" w:rsidR="000237D5" w:rsidRDefault="000237D5" w:rsidP="000237D5">
      <w:pPr>
        <w:spacing w:before="120"/>
        <w:contextualSpacing/>
        <w:jc w:val="right"/>
        <w:rPr>
          <w:b/>
        </w:rPr>
      </w:pPr>
      <w:r w:rsidRPr="000237D5">
        <w:rPr>
          <w:b/>
        </w:rPr>
        <w:t xml:space="preserve">Attachment </w:t>
      </w:r>
      <w:r w:rsidR="00824C6C">
        <w:rPr>
          <w:b/>
        </w:rPr>
        <w:t>B</w:t>
      </w:r>
    </w:p>
    <w:p w14:paraId="172FC403" w14:textId="77777777" w:rsidR="000237D5" w:rsidRPr="000237D5" w:rsidRDefault="000237D5" w:rsidP="000237D5">
      <w:pPr>
        <w:spacing w:before="120"/>
        <w:contextualSpacing/>
        <w:jc w:val="right"/>
        <w:rPr>
          <w:b/>
        </w:rPr>
      </w:pPr>
    </w:p>
    <w:p w14:paraId="1E7F6B6D" w14:textId="77777777" w:rsidR="002636E4" w:rsidRPr="00B47118" w:rsidRDefault="002636E4" w:rsidP="000237D5">
      <w:pPr>
        <w:spacing w:before="120"/>
        <w:contextualSpacing/>
        <w:jc w:val="center"/>
      </w:pPr>
      <w:r w:rsidRPr="00B47118">
        <w:t>S</w:t>
      </w:r>
      <w:r w:rsidRPr="00B47118">
        <w:rPr>
          <w:b/>
          <w:bCs/>
        </w:rPr>
        <w:t>tatement of Compatibility with Human Rights</w:t>
      </w:r>
    </w:p>
    <w:p w14:paraId="19490141" w14:textId="77777777" w:rsidR="002636E4" w:rsidRPr="00B47118" w:rsidRDefault="002636E4" w:rsidP="002636E4">
      <w:pPr>
        <w:shd w:val="clear" w:color="auto" w:fill="FFFFFF"/>
        <w:spacing w:before="100" w:beforeAutospacing="1" w:after="220"/>
        <w:contextualSpacing/>
        <w:jc w:val="center"/>
      </w:pPr>
    </w:p>
    <w:p w14:paraId="20C1C71F" w14:textId="304888F9" w:rsidR="002636E4" w:rsidRPr="00B47118" w:rsidRDefault="002636E4" w:rsidP="002636E4">
      <w:pPr>
        <w:shd w:val="clear" w:color="auto" w:fill="FFFFFF"/>
        <w:spacing w:before="100" w:beforeAutospacing="1" w:after="220"/>
        <w:contextualSpacing/>
        <w:jc w:val="center"/>
        <w:rPr>
          <w:lang w:val="en-US"/>
        </w:rPr>
      </w:pPr>
      <w:r w:rsidRPr="00B47118">
        <w:t xml:space="preserve">Issued by </w:t>
      </w:r>
      <w:r w:rsidRPr="003406C5">
        <w:t xml:space="preserve">the </w:t>
      </w:r>
      <w:r w:rsidRPr="003406C5">
        <w:rPr>
          <w:lang w:val="en"/>
        </w:rPr>
        <w:t>Minister for Industrial Relations</w:t>
      </w:r>
    </w:p>
    <w:p w14:paraId="4500C60E" w14:textId="77777777" w:rsidR="002636E4" w:rsidRPr="00B47118" w:rsidRDefault="002636E4" w:rsidP="002636E4">
      <w:pPr>
        <w:shd w:val="clear" w:color="auto" w:fill="FFFFFF"/>
        <w:spacing w:before="100" w:beforeAutospacing="1" w:after="100" w:afterAutospacing="1"/>
        <w:contextualSpacing/>
        <w:jc w:val="center"/>
        <w:rPr>
          <w:b/>
          <w:bCs/>
        </w:rPr>
      </w:pPr>
    </w:p>
    <w:p w14:paraId="49BAE01A" w14:textId="77777777" w:rsidR="002636E4" w:rsidRDefault="002636E4" w:rsidP="002636E4">
      <w:pPr>
        <w:jc w:val="center"/>
        <w:rPr>
          <w:i/>
        </w:rPr>
      </w:pPr>
      <w:r w:rsidRPr="00B47118">
        <w:rPr>
          <w:i/>
        </w:rPr>
        <w:t>Prepared in accordance with Part 3 of the Human Rights (Parliamentary Scrutiny) Act 2011</w:t>
      </w:r>
    </w:p>
    <w:p w14:paraId="21341732" w14:textId="77777777" w:rsidR="002636E4" w:rsidRPr="00B47118" w:rsidRDefault="002636E4" w:rsidP="002636E4">
      <w:pPr>
        <w:jc w:val="center"/>
        <w:rPr>
          <w:i/>
        </w:rPr>
      </w:pPr>
    </w:p>
    <w:p w14:paraId="666A9328" w14:textId="4CF44B3C" w:rsidR="002636E4" w:rsidRDefault="00365896" w:rsidP="00365896">
      <w:pPr>
        <w:spacing w:after="220"/>
        <w:contextualSpacing/>
        <w:jc w:val="center"/>
        <w:rPr>
          <w:b/>
          <w:bCs/>
          <w:i/>
        </w:rPr>
      </w:pPr>
      <w:r w:rsidRPr="00365896">
        <w:rPr>
          <w:b/>
          <w:bCs/>
          <w:i/>
        </w:rPr>
        <w:t xml:space="preserve">National Workplace Relations Consultative Council Regulations </w:t>
      </w:r>
      <w:r w:rsidR="00091086">
        <w:rPr>
          <w:b/>
          <w:bCs/>
          <w:i/>
        </w:rPr>
        <w:t>2020</w:t>
      </w:r>
    </w:p>
    <w:p w14:paraId="219C5600" w14:textId="77777777" w:rsidR="00365896" w:rsidRPr="00B47118" w:rsidRDefault="00365896" w:rsidP="002636E4">
      <w:pPr>
        <w:spacing w:after="220"/>
        <w:contextualSpacing/>
      </w:pPr>
    </w:p>
    <w:p w14:paraId="059C0A22" w14:textId="77777777" w:rsidR="002636E4" w:rsidRPr="00B47118" w:rsidRDefault="002636E4" w:rsidP="002636E4">
      <w:pPr>
        <w:spacing w:after="220"/>
        <w:contextualSpacing/>
      </w:pPr>
      <w:r w:rsidRPr="00B47118">
        <w:t xml:space="preserve">This legislative instrument is compatible with the human rights and freedoms recognised or declared by the international instruments listed in section 3 of the </w:t>
      </w:r>
      <w:r w:rsidRPr="00B47118">
        <w:rPr>
          <w:i/>
          <w:iCs/>
        </w:rPr>
        <w:t>Human Rights (Parliamentary Scrutiny) Act 2011</w:t>
      </w:r>
      <w:r w:rsidRPr="00B47118">
        <w:t>.</w:t>
      </w:r>
    </w:p>
    <w:p w14:paraId="4E3D5C72" w14:textId="77777777" w:rsidR="002636E4" w:rsidRDefault="002636E4" w:rsidP="00252ECB">
      <w:pPr>
        <w:jc w:val="center"/>
        <w:rPr>
          <w:b/>
        </w:rPr>
      </w:pPr>
    </w:p>
    <w:p w14:paraId="23104DB1" w14:textId="77777777" w:rsidR="002636E4" w:rsidRDefault="002636E4" w:rsidP="00252ECB">
      <w:pPr>
        <w:jc w:val="center"/>
        <w:rPr>
          <w:b/>
        </w:rPr>
      </w:pPr>
    </w:p>
    <w:p w14:paraId="438155B1" w14:textId="77777777" w:rsidR="002636E4" w:rsidRPr="002636E4" w:rsidRDefault="002636E4" w:rsidP="002636E4">
      <w:pPr>
        <w:rPr>
          <w:b/>
        </w:rPr>
      </w:pPr>
      <w:r w:rsidRPr="002636E4">
        <w:rPr>
          <w:b/>
        </w:rPr>
        <w:t xml:space="preserve">Overview of the Legislative Instrument </w:t>
      </w:r>
    </w:p>
    <w:p w14:paraId="53C151B3" w14:textId="77777777" w:rsidR="002636E4" w:rsidRPr="007C40DB" w:rsidRDefault="002636E4" w:rsidP="002636E4">
      <w:pPr>
        <w:rPr>
          <w:lang w:eastAsia="en-US"/>
        </w:rPr>
      </w:pPr>
    </w:p>
    <w:p w14:paraId="3A68172B" w14:textId="43042B8C" w:rsidR="00300681" w:rsidRDefault="002C2E04" w:rsidP="007F4D88">
      <w:pPr>
        <w:spacing w:after="240"/>
      </w:pPr>
      <w:r w:rsidRPr="00B1194E">
        <w:t>The National Workplace Relations Consultative Council (the Council) is a forum</w:t>
      </w:r>
      <w:r>
        <w:t xml:space="preserve"> established under the</w:t>
      </w:r>
      <w:r w:rsidRPr="00B1194E">
        <w:t xml:space="preserve"> </w:t>
      </w:r>
      <w:r w:rsidRPr="00365896">
        <w:rPr>
          <w:i/>
        </w:rPr>
        <w:t xml:space="preserve">National Workplace Relations Consultative Council </w:t>
      </w:r>
      <w:r w:rsidRPr="009F6066">
        <w:rPr>
          <w:i/>
        </w:rPr>
        <w:t>Act 20</w:t>
      </w:r>
      <w:r>
        <w:rPr>
          <w:i/>
        </w:rPr>
        <w:t>02</w:t>
      </w:r>
      <w:r>
        <w:t xml:space="preserve"> (the Act) </w:t>
      </w:r>
      <w:r w:rsidRPr="00B1194E">
        <w:t xml:space="preserve">for consultation on workplace relations matters of national concern. </w:t>
      </w:r>
      <w:r w:rsidR="007F4D88" w:rsidRPr="00B1194E">
        <w:t xml:space="preserve">The Council </w:t>
      </w:r>
      <w:r w:rsidR="003406C5">
        <w:t>consists of 15 members</w:t>
      </w:r>
      <w:r w:rsidR="00300681">
        <w:t xml:space="preserve"> including the relevant Australian Government minister, </w:t>
      </w:r>
      <w:r w:rsidR="001D76DA">
        <w:t>seven</w:t>
      </w:r>
      <w:r w:rsidR="00300681">
        <w:t xml:space="preserve"> members nominated by the Australian Council of Trade Unions and </w:t>
      </w:r>
      <w:r w:rsidR="001D76DA">
        <w:t>seven</w:t>
      </w:r>
      <w:r w:rsidR="00300681">
        <w:t xml:space="preserve"> employer and industry representatives. </w:t>
      </w:r>
    </w:p>
    <w:p w14:paraId="464DAFFA" w14:textId="77777777" w:rsidR="007F4D88" w:rsidRPr="00B1194E" w:rsidRDefault="00300681" w:rsidP="007F4D88">
      <w:pPr>
        <w:spacing w:after="240"/>
      </w:pPr>
      <w:r>
        <w:t xml:space="preserve">The Council </w:t>
      </w:r>
      <w:r w:rsidR="007F4D88" w:rsidRPr="00B1194E">
        <w:t>is required by section 11 of the Act to meet at least twice per year</w:t>
      </w:r>
      <w:r>
        <w:t xml:space="preserve"> and t</w:t>
      </w:r>
      <w:r w:rsidR="007F4D88">
        <w:t xml:space="preserve">he Council may also establish committees (subsection 12(1)). </w:t>
      </w:r>
      <w:r w:rsidR="007F4D88" w:rsidRPr="00B1194E">
        <w:t>Some Council and committee members may need to travel interstate to attend meetings.</w:t>
      </w:r>
    </w:p>
    <w:p w14:paraId="2D64DE1E" w14:textId="28CCF56A" w:rsidR="00FB40C3" w:rsidRPr="00B1194E" w:rsidRDefault="002636E4" w:rsidP="00FB40C3">
      <w:pPr>
        <w:spacing w:after="240"/>
      </w:pPr>
      <w:r>
        <w:t xml:space="preserve">The </w:t>
      </w:r>
      <w:r w:rsidR="00365896" w:rsidRPr="00365896">
        <w:rPr>
          <w:i/>
        </w:rPr>
        <w:t xml:space="preserve">National Workplace Relations Consultative Council Regulations </w:t>
      </w:r>
      <w:r w:rsidR="00091086">
        <w:rPr>
          <w:i/>
        </w:rPr>
        <w:t>2020</w:t>
      </w:r>
      <w:r w:rsidR="00091086">
        <w:t xml:space="preserve"> </w:t>
      </w:r>
      <w:r>
        <w:t>(the Regulation</w:t>
      </w:r>
      <w:r w:rsidR="00365896">
        <w:t>s</w:t>
      </w:r>
      <w:r w:rsidR="00FB40C3">
        <w:t>)</w:t>
      </w:r>
      <w:r w:rsidR="00FB40C3" w:rsidRPr="00B1194E">
        <w:t xml:space="preserve"> provide for a member of the </w:t>
      </w:r>
      <w:r w:rsidR="00B623E0">
        <w:t xml:space="preserve">National Workplace Relations Consultative Council (the </w:t>
      </w:r>
      <w:r w:rsidR="00FB40C3" w:rsidRPr="00B1194E">
        <w:t>Council</w:t>
      </w:r>
      <w:r w:rsidR="00B623E0">
        <w:t>)</w:t>
      </w:r>
      <w:r w:rsidR="00FB40C3" w:rsidRPr="00B1194E">
        <w:t>, and a member of a committee established by the Council, to receive travelling allowance for the purpose of attending Council meetings, Council committee meetings, or where otherwise engaged in legitimate Council business.</w:t>
      </w:r>
      <w:r w:rsidR="002C2E04">
        <w:t xml:space="preserve">  </w:t>
      </w:r>
    </w:p>
    <w:p w14:paraId="11A9E5A4" w14:textId="77777777" w:rsidR="00FB40C3" w:rsidRDefault="009F2D78" w:rsidP="002636E4">
      <w:pPr>
        <w:spacing w:after="240"/>
      </w:pPr>
      <w:r>
        <w:t xml:space="preserve">This legislative instrument replaces and is substantially the same as the </w:t>
      </w:r>
      <w:r>
        <w:rPr>
          <w:i/>
        </w:rPr>
        <w:t xml:space="preserve">National Workplace Relations Consultative Council Regulations 2004 </w:t>
      </w:r>
      <w:r>
        <w:t xml:space="preserve">(the sunsetting Regulations) which </w:t>
      </w:r>
      <w:r w:rsidR="006A046C">
        <w:t xml:space="preserve">were due to </w:t>
      </w:r>
      <w:r>
        <w:t>sunset on 1 April 2020.</w:t>
      </w:r>
    </w:p>
    <w:p w14:paraId="3DDB75A8" w14:textId="77777777" w:rsidR="002636E4" w:rsidRDefault="002636E4" w:rsidP="002636E4">
      <w:pPr>
        <w:rPr>
          <w:b/>
        </w:rPr>
      </w:pPr>
    </w:p>
    <w:p w14:paraId="273D86E6" w14:textId="77777777" w:rsidR="002636E4" w:rsidRPr="002636E4" w:rsidRDefault="002636E4" w:rsidP="002636E4">
      <w:pPr>
        <w:rPr>
          <w:b/>
        </w:rPr>
      </w:pPr>
      <w:r w:rsidRPr="002636E4">
        <w:rPr>
          <w:b/>
        </w:rPr>
        <w:t>Human Rights Implications</w:t>
      </w:r>
    </w:p>
    <w:p w14:paraId="7E6CE95C" w14:textId="77777777" w:rsidR="00450002" w:rsidRDefault="00450002" w:rsidP="002636E4"/>
    <w:p w14:paraId="33417D63" w14:textId="77777777" w:rsidR="0020120A" w:rsidRDefault="0020120A" w:rsidP="002636E4">
      <w:pPr>
        <w:spacing w:after="240"/>
      </w:pPr>
      <w:r>
        <w:t>Article 7 of the International Covenant on Economic, Social and Cultural Rights (ICESCR) provides that everyone has the right to the ‘enjoyment of just and favourable conditions of work, which ensure, in particular:</w:t>
      </w:r>
    </w:p>
    <w:p w14:paraId="72740851" w14:textId="77777777" w:rsidR="0020120A" w:rsidRDefault="0020120A" w:rsidP="0020120A">
      <w:pPr>
        <w:ind w:left="426" w:hanging="426"/>
      </w:pPr>
      <w:r>
        <w:t xml:space="preserve">(a) </w:t>
      </w:r>
      <w:r>
        <w:tab/>
        <w:t xml:space="preserve">Remuneration which provides all workers, as a minimum, with: </w:t>
      </w:r>
    </w:p>
    <w:p w14:paraId="687004F5" w14:textId="77777777" w:rsidR="0020120A" w:rsidRDefault="0020120A" w:rsidP="0020120A">
      <w:pPr>
        <w:ind w:left="852" w:hanging="426"/>
      </w:pPr>
      <w:r>
        <w:t xml:space="preserve">(i) </w:t>
      </w:r>
      <w:r>
        <w:tab/>
        <w:t xml:space="preserve">Fair wages and equal remuneration for work of equal value without distinction of any kind, in particular women being guaranteed conditions of work not inferior to those enjoyed by men, with equal pay for equal work; </w:t>
      </w:r>
    </w:p>
    <w:p w14:paraId="2C7B1CD2" w14:textId="77777777" w:rsidR="0020120A" w:rsidRDefault="0020120A" w:rsidP="0020120A">
      <w:pPr>
        <w:ind w:left="852" w:hanging="426"/>
      </w:pPr>
      <w:r>
        <w:t xml:space="preserve">(ii) </w:t>
      </w:r>
      <w:r>
        <w:tab/>
        <w:t xml:space="preserve">A decent living for themselves and their families in accordance with the provisions of the present Covenant; </w:t>
      </w:r>
    </w:p>
    <w:p w14:paraId="0A0D7AC3" w14:textId="77777777" w:rsidR="0020120A" w:rsidRDefault="0020120A" w:rsidP="0020120A">
      <w:pPr>
        <w:ind w:left="426" w:hanging="426"/>
      </w:pPr>
      <w:r>
        <w:t xml:space="preserve">(b) </w:t>
      </w:r>
      <w:r>
        <w:tab/>
        <w:t xml:space="preserve">Safe and healthy working conditions; </w:t>
      </w:r>
    </w:p>
    <w:p w14:paraId="422B2F7B" w14:textId="77777777" w:rsidR="0020120A" w:rsidRDefault="0020120A" w:rsidP="0020120A">
      <w:pPr>
        <w:ind w:left="426" w:hanging="426"/>
      </w:pPr>
      <w:r>
        <w:t xml:space="preserve">(c) </w:t>
      </w:r>
      <w:r>
        <w:tab/>
        <w:t xml:space="preserve">Equal opportunity for everyone to be promoted in his employment to an appropriate higher level, subject to no considerations other than those of seniority and competence; </w:t>
      </w:r>
    </w:p>
    <w:p w14:paraId="0DC954B5" w14:textId="77777777" w:rsidR="0020120A" w:rsidRDefault="0020120A" w:rsidP="0020120A">
      <w:pPr>
        <w:ind w:left="426" w:hanging="426"/>
      </w:pPr>
      <w:r>
        <w:t xml:space="preserve">(d) </w:t>
      </w:r>
      <w:r>
        <w:tab/>
        <w:t>Rest, leisure and reasonable limitation of working hours and periodic holidays with pay, as well as remuneration for public holidays.</w:t>
      </w:r>
    </w:p>
    <w:p w14:paraId="7FC3611E" w14:textId="77777777" w:rsidR="0020120A" w:rsidRDefault="0020120A" w:rsidP="002636E4">
      <w:pPr>
        <w:spacing w:after="240"/>
      </w:pPr>
    </w:p>
    <w:p w14:paraId="0571B30A" w14:textId="4233941B" w:rsidR="00472362" w:rsidRDefault="0020120A" w:rsidP="0020120A">
      <w:pPr>
        <w:spacing w:after="240"/>
      </w:pPr>
      <w:r>
        <w:t>Australia principally complies with its obligation under Article 7</w:t>
      </w:r>
      <w:r w:rsidR="00DB4A1D">
        <w:t xml:space="preserve"> </w:t>
      </w:r>
      <w:r>
        <w:t xml:space="preserve">of the ICESCR through the </w:t>
      </w:r>
      <w:r w:rsidR="00472362">
        <w:t>workplace relations legislative framework underpinned by the</w:t>
      </w:r>
      <w:r w:rsidR="00472362">
        <w:rPr>
          <w:i/>
        </w:rPr>
        <w:t xml:space="preserve"> </w:t>
      </w:r>
      <w:r>
        <w:rPr>
          <w:i/>
        </w:rPr>
        <w:t>Fair Work Act</w:t>
      </w:r>
      <w:r w:rsidR="004C2097">
        <w:rPr>
          <w:i/>
        </w:rPr>
        <w:t xml:space="preserve"> 2009</w:t>
      </w:r>
      <w:r w:rsidR="007F4D88">
        <w:t xml:space="preserve"> and a system of </w:t>
      </w:r>
      <w:r w:rsidR="00BA2E52">
        <w:t xml:space="preserve">Commonwealth, state and territory </w:t>
      </w:r>
      <w:r w:rsidR="007F4D88">
        <w:t>work health and safety laws</w:t>
      </w:r>
      <w:r w:rsidR="001D76DA">
        <w:t xml:space="preserve">. </w:t>
      </w:r>
      <w:r>
        <w:t xml:space="preserve">The Council </w:t>
      </w:r>
      <w:r w:rsidR="004C2097">
        <w:t>functions as</w:t>
      </w:r>
      <w:r>
        <w:t xml:space="preserve"> a forum for tripartite engagement on national </w:t>
      </w:r>
      <w:r w:rsidR="00BF6E73">
        <w:t xml:space="preserve">workplace relations policy, its members being the </w:t>
      </w:r>
      <w:r w:rsidR="00091086">
        <w:t xml:space="preserve">relevant Australian Government minister </w:t>
      </w:r>
      <w:r w:rsidR="00BF6E73">
        <w:t>(as chair) and representatives from employer and employee groups</w:t>
      </w:r>
      <w:r>
        <w:t xml:space="preserve">. The importance of tripartite engagement is reflected in </w:t>
      </w:r>
      <w:r w:rsidR="00472362">
        <w:t xml:space="preserve">a number of </w:t>
      </w:r>
      <w:r>
        <w:t>International Labour Organization</w:t>
      </w:r>
      <w:r w:rsidR="00472362">
        <w:t xml:space="preserve"> conventions which require</w:t>
      </w:r>
      <w:r>
        <w:t xml:space="preserve"> state</w:t>
      </w:r>
      <w:r w:rsidR="00BF5EA8">
        <w:t>s</w:t>
      </w:r>
      <w:r>
        <w:t xml:space="preserve"> parties to demonstrate that representatives of workers and business are actively engaged </w:t>
      </w:r>
      <w:r w:rsidR="00472362">
        <w:t>and consulted in the development of workplace relations policy</w:t>
      </w:r>
      <w:r>
        <w:t xml:space="preserve">. </w:t>
      </w:r>
    </w:p>
    <w:p w14:paraId="75EE32EA" w14:textId="77777777" w:rsidR="005C0237" w:rsidRDefault="00472362" w:rsidP="002636E4">
      <w:pPr>
        <w:spacing w:after="240"/>
      </w:pPr>
      <w:r>
        <w:t xml:space="preserve">This legislative instrument facilitates the functioning of the Council and </w:t>
      </w:r>
      <w:r w:rsidR="00DB4A1D">
        <w:t>thus indirectly promotes the right to the enjoyment of just and favourable conditions of work stipulated in the ICESCR.</w:t>
      </w:r>
    </w:p>
    <w:p w14:paraId="4E242242" w14:textId="77777777" w:rsidR="003E6CFD" w:rsidRDefault="003E6CFD" w:rsidP="002636E4">
      <w:pPr>
        <w:spacing w:after="240"/>
      </w:pPr>
    </w:p>
    <w:p w14:paraId="5B432381" w14:textId="77777777" w:rsidR="002636E4" w:rsidRPr="00077993" w:rsidRDefault="002636E4" w:rsidP="002636E4">
      <w:pPr>
        <w:spacing w:after="240"/>
        <w:rPr>
          <w:b/>
        </w:rPr>
      </w:pPr>
      <w:r w:rsidRPr="00077993">
        <w:rPr>
          <w:b/>
        </w:rPr>
        <w:t>Conclusion</w:t>
      </w:r>
    </w:p>
    <w:p w14:paraId="39B5EA6C" w14:textId="77777777" w:rsidR="002636E4" w:rsidRPr="00077993" w:rsidRDefault="002636E4" w:rsidP="002636E4">
      <w:pPr>
        <w:spacing w:after="240"/>
      </w:pPr>
      <w:r w:rsidRPr="00077993">
        <w:t xml:space="preserve">This </w:t>
      </w:r>
      <w:r w:rsidR="009F2D78">
        <w:t>legislative instrument</w:t>
      </w:r>
      <w:r w:rsidRPr="00077993">
        <w:t xml:space="preserve"> </w:t>
      </w:r>
      <w:r w:rsidR="005C0237">
        <w:t>is compatible with human rights.</w:t>
      </w:r>
    </w:p>
    <w:p w14:paraId="12EF13EB" w14:textId="77777777" w:rsidR="00380A6B" w:rsidRDefault="00380A6B"/>
    <w:sectPr w:rsidR="00380A6B" w:rsidSect="00DF18FB">
      <w:headerReference w:type="default" r:id="rId11"/>
      <w:pgSz w:w="11906" w:h="16838" w:code="9"/>
      <w:pgMar w:top="1276" w:right="1440" w:bottom="1440" w:left="1440"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C47AB1" w14:textId="77777777" w:rsidR="00B70437" w:rsidRDefault="00B70437">
      <w:r>
        <w:separator/>
      </w:r>
    </w:p>
  </w:endnote>
  <w:endnote w:type="continuationSeparator" w:id="0">
    <w:p w14:paraId="626BBB72" w14:textId="77777777" w:rsidR="00B70437" w:rsidRDefault="00B70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Segoe U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D04075" w14:textId="77777777" w:rsidR="00B70437" w:rsidRDefault="00B70437">
      <w:r>
        <w:separator/>
      </w:r>
    </w:p>
  </w:footnote>
  <w:footnote w:type="continuationSeparator" w:id="0">
    <w:p w14:paraId="3816624F" w14:textId="77777777" w:rsidR="00B70437" w:rsidRDefault="00B704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70AE9E" w14:textId="77777777" w:rsidR="007F559C" w:rsidRDefault="00980379">
    <w:pPr>
      <w:pStyle w:val="Header"/>
      <w:jc w:val="center"/>
    </w:pPr>
  </w:p>
  <w:p w14:paraId="03E7B839" w14:textId="77777777" w:rsidR="007F559C" w:rsidRDefault="0098037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B94C6E"/>
    <w:multiLevelType w:val="hybridMultilevel"/>
    <w:tmpl w:val="BBE6DB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7C02777"/>
    <w:multiLevelType w:val="hybridMultilevel"/>
    <w:tmpl w:val="67B647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81D1869"/>
    <w:multiLevelType w:val="hybridMultilevel"/>
    <w:tmpl w:val="44CCDBB4"/>
    <w:lvl w:ilvl="0" w:tplc="B4DE576E">
      <w:start w:val="1"/>
      <w:numFmt w:val="decimal"/>
      <w:pStyle w:val="ACMANumberedList"/>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96B1663"/>
    <w:multiLevelType w:val="hybridMultilevel"/>
    <w:tmpl w:val="063227B6"/>
    <w:lvl w:ilvl="0" w:tplc="BA80779C">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71B4C5F"/>
    <w:multiLevelType w:val="hybridMultilevel"/>
    <w:tmpl w:val="5D70F65C"/>
    <w:lvl w:ilvl="0" w:tplc="4AE6EAC0">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492A1552"/>
    <w:multiLevelType w:val="hybridMultilevel"/>
    <w:tmpl w:val="4044FA82"/>
    <w:lvl w:ilvl="0" w:tplc="37CE29F0">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5"/>
  </w:num>
  <w:num w:numId="3">
    <w:abstractNumId w:val="1"/>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ECB"/>
    <w:rsid w:val="000022D3"/>
    <w:rsid w:val="000237D5"/>
    <w:rsid w:val="00091086"/>
    <w:rsid w:val="000C3472"/>
    <w:rsid w:val="001056A9"/>
    <w:rsid w:val="001067D8"/>
    <w:rsid w:val="00112922"/>
    <w:rsid w:val="00197BB8"/>
    <w:rsid w:val="001D76DA"/>
    <w:rsid w:val="001E1638"/>
    <w:rsid w:val="0020120A"/>
    <w:rsid w:val="002024F7"/>
    <w:rsid w:val="002143CC"/>
    <w:rsid w:val="002430F5"/>
    <w:rsid w:val="00252ECB"/>
    <w:rsid w:val="002636E4"/>
    <w:rsid w:val="0026553F"/>
    <w:rsid w:val="002C2E04"/>
    <w:rsid w:val="00300681"/>
    <w:rsid w:val="00331BF5"/>
    <w:rsid w:val="003406C5"/>
    <w:rsid w:val="00365896"/>
    <w:rsid w:val="00371B7A"/>
    <w:rsid w:val="00380A6B"/>
    <w:rsid w:val="003C06EA"/>
    <w:rsid w:val="003D3086"/>
    <w:rsid w:val="003E6CFD"/>
    <w:rsid w:val="003F1B18"/>
    <w:rsid w:val="004036C1"/>
    <w:rsid w:val="00434C49"/>
    <w:rsid w:val="00437AB8"/>
    <w:rsid w:val="00450002"/>
    <w:rsid w:val="00472362"/>
    <w:rsid w:val="0047680A"/>
    <w:rsid w:val="004829D3"/>
    <w:rsid w:val="00482B63"/>
    <w:rsid w:val="00486F56"/>
    <w:rsid w:val="004900B6"/>
    <w:rsid w:val="004A3447"/>
    <w:rsid w:val="004C2097"/>
    <w:rsid w:val="004C5CB9"/>
    <w:rsid w:val="004E2C49"/>
    <w:rsid w:val="005105CE"/>
    <w:rsid w:val="00520D3F"/>
    <w:rsid w:val="005B20F6"/>
    <w:rsid w:val="005C0237"/>
    <w:rsid w:val="005F0292"/>
    <w:rsid w:val="0060106E"/>
    <w:rsid w:val="006225B8"/>
    <w:rsid w:val="006407F6"/>
    <w:rsid w:val="006546F7"/>
    <w:rsid w:val="00680966"/>
    <w:rsid w:val="006A046C"/>
    <w:rsid w:val="006C56A7"/>
    <w:rsid w:val="006D7B43"/>
    <w:rsid w:val="007035B4"/>
    <w:rsid w:val="00727AAD"/>
    <w:rsid w:val="00777E2D"/>
    <w:rsid w:val="00786BB8"/>
    <w:rsid w:val="00795E86"/>
    <w:rsid w:val="00796DAF"/>
    <w:rsid w:val="007F223B"/>
    <w:rsid w:val="007F32D5"/>
    <w:rsid w:val="007F4D88"/>
    <w:rsid w:val="00824C6C"/>
    <w:rsid w:val="00846008"/>
    <w:rsid w:val="00882652"/>
    <w:rsid w:val="008A6E14"/>
    <w:rsid w:val="008E14BD"/>
    <w:rsid w:val="008E6823"/>
    <w:rsid w:val="00945087"/>
    <w:rsid w:val="00975514"/>
    <w:rsid w:val="00980379"/>
    <w:rsid w:val="009D7BF3"/>
    <w:rsid w:val="009E7BB3"/>
    <w:rsid w:val="009F2D78"/>
    <w:rsid w:val="00A326F9"/>
    <w:rsid w:val="00A416D1"/>
    <w:rsid w:val="00A832FB"/>
    <w:rsid w:val="00A8401E"/>
    <w:rsid w:val="00A8697F"/>
    <w:rsid w:val="00AA6FA0"/>
    <w:rsid w:val="00AE330C"/>
    <w:rsid w:val="00B02BBF"/>
    <w:rsid w:val="00B1194E"/>
    <w:rsid w:val="00B162D0"/>
    <w:rsid w:val="00B623E0"/>
    <w:rsid w:val="00B70437"/>
    <w:rsid w:val="00B944B6"/>
    <w:rsid w:val="00BA2E52"/>
    <w:rsid w:val="00BA575D"/>
    <w:rsid w:val="00BE7E6B"/>
    <w:rsid w:val="00BF5EA8"/>
    <w:rsid w:val="00BF6E73"/>
    <w:rsid w:val="00C077BE"/>
    <w:rsid w:val="00C34BD8"/>
    <w:rsid w:val="00C46B2D"/>
    <w:rsid w:val="00CA364F"/>
    <w:rsid w:val="00CC0312"/>
    <w:rsid w:val="00CE5A42"/>
    <w:rsid w:val="00CF1A98"/>
    <w:rsid w:val="00D04280"/>
    <w:rsid w:val="00D44AD6"/>
    <w:rsid w:val="00D47BAF"/>
    <w:rsid w:val="00D94E55"/>
    <w:rsid w:val="00DB4A1D"/>
    <w:rsid w:val="00DC6C5D"/>
    <w:rsid w:val="00DD2B8E"/>
    <w:rsid w:val="00DF18FB"/>
    <w:rsid w:val="00DF51FB"/>
    <w:rsid w:val="00E0480E"/>
    <w:rsid w:val="00E073CC"/>
    <w:rsid w:val="00E80AAF"/>
    <w:rsid w:val="00E927D3"/>
    <w:rsid w:val="00F1141B"/>
    <w:rsid w:val="00F221D6"/>
    <w:rsid w:val="00F75D3E"/>
    <w:rsid w:val="00F844C8"/>
    <w:rsid w:val="00FA19AC"/>
    <w:rsid w:val="00FB40C3"/>
    <w:rsid w:val="00FD72E1"/>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6C16E"/>
  <w15:chartTrackingRefBased/>
  <w15:docId w15:val="{D06F91CE-D398-42EF-B0C2-5737651B2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ECB"/>
    <w:pPr>
      <w:spacing w:after="0" w:line="240" w:lineRule="auto"/>
    </w:pPr>
    <w:rPr>
      <w:rFonts w:ascii="Times New Roman" w:eastAsia="Times New Roman" w:hAnsi="Times New Roman" w:cs="Times New Roman"/>
      <w:sz w:val="24"/>
      <w:szCs w:val="24"/>
      <w:lang w:eastAsia="en-AU"/>
    </w:rPr>
  </w:style>
  <w:style w:type="paragraph" w:styleId="Heading2">
    <w:name w:val="heading 2"/>
    <w:basedOn w:val="Normal"/>
    <w:next w:val="Normal"/>
    <w:link w:val="Heading2Char"/>
    <w:uiPriority w:val="9"/>
    <w:unhideWhenUsed/>
    <w:qFormat/>
    <w:rsid w:val="00252ECB"/>
    <w:pPr>
      <w:keepNext/>
      <w:autoSpaceDE w:val="0"/>
      <w:autoSpaceDN w:val="0"/>
      <w:adjustRightInd w:val="0"/>
      <w:spacing w:before="240" w:after="60"/>
      <w:outlineLvl w:val="1"/>
    </w:pPr>
    <w:rPr>
      <w:rFonts w:asciiTheme="majorHAnsi" w:eastAsiaTheme="majorEastAsia" w:hAnsiTheme="majorHAns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52ECB"/>
    <w:rPr>
      <w:rFonts w:asciiTheme="majorHAnsi" w:eastAsiaTheme="majorEastAsia" w:hAnsiTheme="majorHAnsi" w:cs="Times New Roman"/>
      <w:b/>
      <w:bCs/>
      <w:i/>
      <w:iCs/>
      <w:sz w:val="28"/>
      <w:szCs w:val="28"/>
      <w:lang w:eastAsia="en-AU"/>
    </w:rPr>
  </w:style>
  <w:style w:type="paragraph" w:styleId="Header">
    <w:name w:val="header"/>
    <w:basedOn w:val="Normal"/>
    <w:link w:val="HeaderChar"/>
    <w:uiPriority w:val="99"/>
    <w:rsid w:val="00252ECB"/>
    <w:pPr>
      <w:tabs>
        <w:tab w:val="center" w:pos="4513"/>
        <w:tab w:val="right" w:pos="9026"/>
      </w:tabs>
    </w:pPr>
  </w:style>
  <w:style w:type="character" w:customStyle="1" w:styleId="HeaderChar">
    <w:name w:val="Header Char"/>
    <w:basedOn w:val="DefaultParagraphFont"/>
    <w:link w:val="Header"/>
    <w:uiPriority w:val="99"/>
    <w:rsid w:val="00252ECB"/>
    <w:rPr>
      <w:rFonts w:ascii="Times New Roman" w:eastAsia="Times New Roman" w:hAnsi="Times New Roman" w:cs="Times New Roman"/>
      <w:sz w:val="24"/>
      <w:szCs w:val="24"/>
      <w:lang w:eastAsia="en-AU"/>
    </w:rPr>
  </w:style>
  <w:style w:type="character" w:styleId="CommentReference">
    <w:name w:val="annotation reference"/>
    <w:basedOn w:val="DefaultParagraphFont"/>
    <w:rsid w:val="00252ECB"/>
    <w:rPr>
      <w:sz w:val="16"/>
      <w:szCs w:val="16"/>
    </w:rPr>
  </w:style>
  <w:style w:type="paragraph" w:styleId="CommentText">
    <w:name w:val="annotation text"/>
    <w:basedOn w:val="Normal"/>
    <w:link w:val="CommentTextChar"/>
    <w:rsid w:val="00252ECB"/>
    <w:rPr>
      <w:sz w:val="20"/>
      <w:szCs w:val="20"/>
    </w:rPr>
  </w:style>
  <w:style w:type="character" w:customStyle="1" w:styleId="CommentTextChar">
    <w:name w:val="Comment Text Char"/>
    <w:basedOn w:val="DefaultParagraphFont"/>
    <w:link w:val="CommentText"/>
    <w:rsid w:val="00252ECB"/>
    <w:rPr>
      <w:rFonts w:ascii="Times New Roman" w:eastAsia="Times New Roman" w:hAnsi="Times New Roman" w:cs="Times New Roman"/>
      <w:sz w:val="20"/>
      <w:szCs w:val="20"/>
      <w:lang w:eastAsia="en-AU"/>
    </w:rPr>
  </w:style>
  <w:style w:type="paragraph" w:styleId="ListParagraph">
    <w:name w:val="List Paragraph"/>
    <w:aliases w:val="Numbered paragraph"/>
    <w:basedOn w:val="Normal"/>
    <w:link w:val="ListParagraphChar"/>
    <w:uiPriority w:val="34"/>
    <w:qFormat/>
    <w:rsid w:val="00252ECB"/>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ACMANumberedList">
    <w:name w:val="ACMA Numbered List"/>
    <w:rsid w:val="00252ECB"/>
    <w:pPr>
      <w:numPr>
        <w:numId w:val="1"/>
      </w:numPr>
      <w:spacing w:before="20" w:after="20" w:line="240" w:lineRule="auto"/>
    </w:pPr>
    <w:rPr>
      <w:rFonts w:ascii="Times New Roman" w:eastAsiaTheme="minorEastAsia" w:hAnsi="Times New Roman" w:cs="Times New Roman"/>
      <w:sz w:val="24"/>
      <w:szCs w:val="20"/>
    </w:rPr>
  </w:style>
  <w:style w:type="character" w:customStyle="1" w:styleId="CharSectno">
    <w:name w:val="CharSectno"/>
    <w:rsid w:val="00252ECB"/>
  </w:style>
  <w:style w:type="character" w:styleId="Hyperlink">
    <w:name w:val="Hyperlink"/>
    <w:basedOn w:val="DefaultParagraphFont"/>
    <w:uiPriority w:val="99"/>
    <w:unhideWhenUsed/>
    <w:rsid w:val="00252ECB"/>
    <w:rPr>
      <w:color w:val="0000FF"/>
      <w:u w:val="single"/>
    </w:rPr>
  </w:style>
  <w:style w:type="paragraph" w:customStyle="1" w:styleId="subsection">
    <w:name w:val="subsection"/>
    <w:aliases w:val="ss"/>
    <w:basedOn w:val="Normal"/>
    <w:link w:val="subsectionChar"/>
    <w:rsid w:val="00252ECB"/>
    <w:pPr>
      <w:tabs>
        <w:tab w:val="right" w:pos="1021"/>
      </w:tabs>
      <w:spacing w:before="180"/>
      <w:ind w:left="1134" w:hanging="1134"/>
    </w:pPr>
    <w:rPr>
      <w:sz w:val="22"/>
      <w:szCs w:val="20"/>
    </w:rPr>
  </w:style>
  <w:style w:type="character" w:customStyle="1" w:styleId="subsectionChar">
    <w:name w:val="subsection Char"/>
    <w:aliases w:val="ss Char"/>
    <w:link w:val="subsection"/>
    <w:locked/>
    <w:rsid w:val="00252ECB"/>
    <w:rPr>
      <w:rFonts w:ascii="Times New Roman" w:eastAsia="Times New Roman" w:hAnsi="Times New Roman" w:cs="Times New Roman"/>
      <w:szCs w:val="20"/>
      <w:lang w:eastAsia="en-AU"/>
    </w:rPr>
  </w:style>
  <w:style w:type="paragraph" w:styleId="BalloonText">
    <w:name w:val="Balloon Text"/>
    <w:basedOn w:val="Normal"/>
    <w:link w:val="BalloonTextChar"/>
    <w:uiPriority w:val="99"/>
    <w:semiHidden/>
    <w:unhideWhenUsed/>
    <w:rsid w:val="00252E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2ECB"/>
    <w:rPr>
      <w:rFonts w:ascii="Segoe UI" w:eastAsia="Times New Roman" w:hAnsi="Segoe UI" w:cs="Segoe UI"/>
      <w:sz w:val="18"/>
      <w:szCs w:val="18"/>
      <w:lang w:eastAsia="en-AU"/>
    </w:rPr>
  </w:style>
  <w:style w:type="character" w:customStyle="1" w:styleId="ListParagraphChar">
    <w:name w:val="List Paragraph Char"/>
    <w:aliases w:val="Numbered paragraph Char"/>
    <w:basedOn w:val="DefaultParagraphFont"/>
    <w:link w:val="ListParagraph"/>
    <w:uiPriority w:val="34"/>
    <w:locked/>
    <w:rsid w:val="00371B7A"/>
  </w:style>
  <w:style w:type="paragraph" w:styleId="Footer">
    <w:name w:val="footer"/>
    <w:basedOn w:val="Normal"/>
    <w:link w:val="FooterChar"/>
    <w:uiPriority w:val="99"/>
    <w:unhideWhenUsed/>
    <w:rsid w:val="002636E4"/>
    <w:pPr>
      <w:tabs>
        <w:tab w:val="center" w:pos="4513"/>
        <w:tab w:val="right" w:pos="9026"/>
      </w:tabs>
    </w:pPr>
  </w:style>
  <w:style w:type="character" w:customStyle="1" w:styleId="FooterChar">
    <w:name w:val="Footer Char"/>
    <w:basedOn w:val="DefaultParagraphFont"/>
    <w:link w:val="Footer"/>
    <w:uiPriority w:val="99"/>
    <w:rsid w:val="002636E4"/>
    <w:rPr>
      <w:rFonts w:ascii="Times New Roman" w:eastAsia="Times New Roman" w:hAnsi="Times New Roman" w:cs="Times New Roman"/>
      <w:sz w:val="24"/>
      <w:szCs w:val="24"/>
      <w:lang w:eastAsia="en-AU"/>
    </w:rPr>
  </w:style>
  <w:style w:type="paragraph" w:styleId="Caption">
    <w:name w:val="caption"/>
    <w:aliases w:val="Division (heading)"/>
    <w:basedOn w:val="Normal"/>
    <w:next w:val="Normal"/>
    <w:uiPriority w:val="99"/>
    <w:qFormat/>
    <w:rsid w:val="002636E4"/>
    <w:pPr>
      <w:spacing w:after="200" w:line="276" w:lineRule="auto"/>
    </w:pPr>
    <w:rPr>
      <w:rFonts w:eastAsiaTheme="minorHAnsi"/>
      <w:b/>
      <w:sz w:val="28"/>
      <w:szCs w:val="28"/>
      <w:lang w:eastAsia="en-US"/>
    </w:rPr>
  </w:style>
  <w:style w:type="paragraph" w:styleId="FootnoteText">
    <w:name w:val="footnote text"/>
    <w:basedOn w:val="Normal"/>
    <w:link w:val="FootnoteTextChar"/>
    <w:uiPriority w:val="99"/>
    <w:rsid w:val="002636E4"/>
    <w:pPr>
      <w:tabs>
        <w:tab w:val="left" w:pos="284"/>
      </w:tabs>
      <w:kinsoku w:val="0"/>
      <w:overflowPunct w:val="0"/>
      <w:autoSpaceDE w:val="0"/>
      <w:autoSpaceDN w:val="0"/>
      <w:adjustRightInd w:val="0"/>
      <w:snapToGrid w:val="0"/>
      <w:spacing w:before="80" w:after="80"/>
      <w:ind w:left="227" w:hanging="227"/>
    </w:pPr>
    <w:rPr>
      <w:rFonts w:ascii="Arial" w:hAnsi="Arial" w:cs="Arial"/>
      <w:sz w:val="14"/>
      <w:szCs w:val="21"/>
      <w:lang w:eastAsia="en-US"/>
    </w:rPr>
  </w:style>
  <w:style w:type="character" w:customStyle="1" w:styleId="FootnoteTextChar">
    <w:name w:val="Footnote Text Char"/>
    <w:basedOn w:val="DefaultParagraphFont"/>
    <w:link w:val="FootnoteText"/>
    <w:uiPriority w:val="99"/>
    <w:rsid w:val="002636E4"/>
    <w:rPr>
      <w:rFonts w:ascii="Arial" w:eastAsia="Times New Roman" w:hAnsi="Arial" w:cs="Arial"/>
      <w:sz w:val="14"/>
      <w:szCs w:val="21"/>
    </w:rPr>
  </w:style>
  <w:style w:type="character" w:styleId="FootnoteReference">
    <w:name w:val="footnote reference"/>
    <w:basedOn w:val="DefaultParagraphFont"/>
    <w:uiPriority w:val="99"/>
    <w:rsid w:val="002636E4"/>
    <w:rPr>
      <w:rFonts w:ascii="Arial" w:hAnsi="Arial" w:cs="Arial"/>
      <w:sz w:val="21"/>
      <w:vertAlign w:val="superscript"/>
    </w:rPr>
  </w:style>
  <w:style w:type="paragraph" w:styleId="NormalWeb">
    <w:name w:val="Normal (Web)"/>
    <w:basedOn w:val="Normal"/>
    <w:uiPriority w:val="99"/>
    <w:semiHidden/>
    <w:unhideWhenUsed/>
    <w:rsid w:val="00365896"/>
    <w:pPr>
      <w:spacing w:before="100" w:beforeAutospacing="1" w:after="100" w:afterAutospacing="1"/>
    </w:pPr>
    <w:rPr>
      <w:lang w:eastAsia="zh-CN"/>
    </w:rPr>
  </w:style>
  <w:style w:type="paragraph" w:customStyle="1" w:styleId="Celltext">
    <w:name w:val="Cell text"/>
    <w:basedOn w:val="Normal"/>
    <w:rsid w:val="000022D3"/>
    <w:pPr>
      <w:spacing w:before="120"/>
    </w:pPr>
    <w:rPr>
      <w:szCs w:val="20"/>
    </w:rPr>
  </w:style>
  <w:style w:type="paragraph" w:styleId="CommentSubject">
    <w:name w:val="annotation subject"/>
    <w:basedOn w:val="CommentText"/>
    <w:next w:val="CommentText"/>
    <w:link w:val="CommentSubjectChar"/>
    <w:uiPriority w:val="99"/>
    <w:semiHidden/>
    <w:unhideWhenUsed/>
    <w:rsid w:val="007F4D88"/>
    <w:rPr>
      <w:b/>
      <w:bCs/>
    </w:rPr>
  </w:style>
  <w:style w:type="character" w:customStyle="1" w:styleId="CommentSubjectChar">
    <w:name w:val="Comment Subject Char"/>
    <w:basedOn w:val="CommentTextChar"/>
    <w:link w:val="CommentSubject"/>
    <w:uiPriority w:val="99"/>
    <w:semiHidden/>
    <w:rsid w:val="007F4D88"/>
    <w:rPr>
      <w:rFonts w:ascii="Times New Roman" w:eastAsia="Times New Roman" w:hAnsi="Times New Roman" w:cs="Times New Roman"/>
      <w:b/>
      <w:bCs/>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263484">
      <w:bodyDiv w:val="1"/>
      <w:marLeft w:val="0"/>
      <w:marRight w:val="0"/>
      <w:marTop w:val="0"/>
      <w:marBottom w:val="0"/>
      <w:divBdr>
        <w:top w:val="none" w:sz="0" w:space="0" w:color="auto"/>
        <w:left w:val="none" w:sz="0" w:space="0" w:color="auto"/>
        <w:bottom w:val="none" w:sz="0" w:space="0" w:color="auto"/>
        <w:right w:val="none" w:sz="0" w:space="0" w:color="auto"/>
      </w:divBdr>
    </w:div>
    <w:div w:id="621814525">
      <w:bodyDiv w:val="1"/>
      <w:marLeft w:val="0"/>
      <w:marRight w:val="0"/>
      <w:marTop w:val="0"/>
      <w:marBottom w:val="0"/>
      <w:divBdr>
        <w:top w:val="none" w:sz="0" w:space="0" w:color="auto"/>
        <w:left w:val="none" w:sz="0" w:space="0" w:color="auto"/>
        <w:bottom w:val="none" w:sz="0" w:space="0" w:color="auto"/>
        <w:right w:val="none" w:sz="0" w:space="0" w:color="auto"/>
      </w:divBdr>
    </w:div>
    <w:div w:id="676424682">
      <w:bodyDiv w:val="1"/>
      <w:marLeft w:val="0"/>
      <w:marRight w:val="0"/>
      <w:marTop w:val="0"/>
      <w:marBottom w:val="0"/>
      <w:divBdr>
        <w:top w:val="none" w:sz="0" w:space="0" w:color="auto"/>
        <w:left w:val="none" w:sz="0" w:space="0" w:color="auto"/>
        <w:bottom w:val="none" w:sz="0" w:space="0" w:color="auto"/>
        <w:right w:val="none" w:sz="0" w:space="0" w:color="auto"/>
      </w:divBdr>
    </w:div>
    <w:div w:id="1593708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17FFBD24-E688-4B1D-98FA-093066CD140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62F24E92F3E550429D4FB34419F6053C" ma:contentTypeVersion="" ma:contentTypeDescription="PDMS Document Site Content Type" ma:contentTypeScope="" ma:versionID="b421acc8207954c3efcc2ca71439fa73">
  <xsd:schema xmlns:xsd="http://www.w3.org/2001/XMLSchema" xmlns:xs="http://www.w3.org/2001/XMLSchema" xmlns:p="http://schemas.microsoft.com/office/2006/metadata/properties" xmlns:ns2="17FFBD24-E688-4B1D-98FA-093066CD1407" targetNamespace="http://schemas.microsoft.com/office/2006/metadata/properties" ma:root="true" ma:fieldsID="7011d7d3594c7f083c6bf11f44688e7b" ns2:_="">
    <xsd:import namespace="17FFBD24-E688-4B1D-98FA-093066CD1407"/>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FFBD24-E688-4B1D-98FA-093066CD1407"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D95364-98E4-40E4-97AC-A523A1818D98}">
  <ds:schemaRefs>
    <ds:schemaRef ds:uri="17FFBD24-E688-4B1D-98FA-093066CD1407"/>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DCBB351E-2307-4D74-81EA-E8F2503378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FFBD24-E688-4B1D-98FA-093066CD14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C95870-289B-41EA-A592-60027FA3C1DA}">
  <ds:schemaRefs>
    <ds:schemaRef ds:uri="http://schemas.microsoft.com/sharepoint/v3/contenttype/forms"/>
  </ds:schemaRefs>
</ds:datastoreItem>
</file>

<file path=customXml/itemProps4.xml><?xml version="1.0" encoding="utf-8"?>
<ds:datastoreItem xmlns:ds="http://schemas.openxmlformats.org/officeDocument/2006/customXml" ds:itemID="{7691C2ED-6B65-4957-B9EB-D19EB5893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1637</Words>
  <Characters>9333</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10949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McFarlane, Kate</dc:creator>
  <cp:keywords/>
  <dc:description/>
  <cp:lastModifiedBy>McFarlane, Kate</cp:lastModifiedBy>
  <cp:revision>2</cp:revision>
  <cp:lastPrinted>2018-11-20T00:08:00Z</cp:lastPrinted>
  <dcterms:created xsi:type="dcterms:W3CDTF">2020-03-02T01:00:00Z</dcterms:created>
  <dcterms:modified xsi:type="dcterms:W3CDTF">2020-03-02T01:00:00Z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0x010100266966F133664895A6EE3632470D45F50062F24E92F3E550429D4FB34419F6053C</vt:lpwstr>
  </property>
</Properties>
</file>