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Default="008A2696" w:rsidP="00F037CC">
      <w:pPr>
        <w:pStyle w:val="Heading1"/>
        <w:jc w:val="center"/>
        <w:rPr>
          <w:caps w:val="0"/>
        </w:rPr>
      </w:pPr>
      <w:r w:rsidRPr="005E3766">
        <w:rPr>
          <w:caps w:val="0"/>
        </w:rPr>
        <w:t xml:space="preserve">Agricultural and Veterinary Chemicals Code </w:t>
      </w:r>
      <w:r w:rsidR="0045502F" w:rsidRPr="005E3766">
        <w:rPr>
          <w:caps w:val="0"/>
        </w:rPr>
        <w:t>(MRL</w:t>
      </w:r>
      <w:r w:rsidR="00CC61A3" w:rsidRPr="005E3766">
        <w:rPr>
          <w:caps w:val="0"/>
        </w:rPr>
        <w:t> S</w:t>
      </w:r>
      <w:r w:rsidR="0045502F" w:rsidRPr="005E3766">
        <w:rPr>
          <w:caps w:val="0"/>
        </w:rPr>
        <w:t>tandard)</w:t>
      </w:r>
      <w:r w:rsidRPr="005E3766">
        <w:rPr>
          <w:caps w:val="0"/>
        </w:rPr>
        <w:t xml:space="preserve"> </w:t>
      </w:r>
      <w:r w:rsidR="00CC61A3" w:rsidRPr="005E3766">
        <w:rPr>
          <w:caps w:val="0"/>
        </w:rPr>
        <w:t>Amend</w:t>
      </w:r>
      <w:r w:rsidR="002119E3" w:rsidRPr="005E3766">
        <w:rPr>
          <w:caps w:val="0"/>
        </w:rPr>
        <w:t xml:space="preserve">ment </w:t>
      </w:r>
      <w:r w:rsidRPr="005E3766">
        <w:rPr>
          <w:caps w:val="0"/>
        </w:rPr>
        <w:t xml:space="preserve">Instrument </w:t>
      </w:r>
      <w:r w:rsidR="00B7406F" w:rsidRPr="005E3766">
        <w:rPr>
          <w:caps w:val="0"/>
        </w:rPr>
        <w:t>(No. 2</w:t>
      </w:r>
      <w:r w:rsidR="00CC61A3" w:rsidRPr="005E3766">
        <w:rPr>
          <w:caps w:val="0"/>
        </w:rPr>
        <w:t xml:space="preserve">) </w:t>
      </w:r>
      <w:r w:rsidRPr="005E3766">
        <w:rPr>
          <w:caps w:val="0"/>
        </w:rPr>
        <w:t>20</w:t>
      </w:r>
      <w:r w:rsidR="00B7406F" w:rsidRPr="005E3766">
        <w:rPr>
          <w:caps w:val="0"/>
        </w:rPr>
        <w:t>20</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A56B6"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Pr>
          <w:rFonts w:eastAsia="Times New Roman" w:cs="Times New Roman"/>
        </w:rPr>
        <w:t>.  Its functions and powers include administering the national system for regulation of agricultural and veterinary chemicals</w:t>
      </w:r>
      <w:r w:rsidR="00AE78F3">
        <w:rPr>
          <w:rFonts w:eastAsia="Times New Roman" w:cs="Times New Roman"/>
        </w:rPr>
        <w:t>,</w:t>
      </w:r>
      <w:r w:rsidR="00707D83">
        <w:rPr>
          <w:rFonts w:eastAsia="Times New Roman" w:cs="Times New Roman"/>
        </w:rPr>
        <w:t xml:space="preserve"> and</w:t>
      </w:r>
      <w:r>
        <w:rPr>
          <w:rFonts w:eastAsia="Times New Roman" w:cs="Times New Roman"/>
        </w:rPr>
        <w:t xml:space="preserve"> exercising the powers and functions conferred on it by the Agricultural and Veterinary Chemicals Code, as scheduled to the </w:t>
      </w:r>
      <w:r>
        <w:rPr>
          <w:rFonts w:eastAsia="Times New Roman" w:cs="Times New Roman"/>
          <w:i/>
        </w:rPr>
        <w:t xml:space="preserve">Agricultural and Veterinary Chemicals Code Act 1994 </w:t>
      </w:r>
      <w:r>
        <w:rPr>
          <w:rFonts w:eastAsia="Times New Roman" w:cs="Times New Roman"/>
        </w:rPr>
        <w:t>(</w:t>
      </w:r>
      <w:r>
        <w:rPr>
          <w:rFonts w:eastAsia="Times New Roman" w:cs="Times New Roman"/>
          <w:b/>
        </w:rPr>
        <w:t>Code</w:t>
      </w:r>
      <w:r>
        <w:rPr>
          <w:rFonts w:eastAsia="Times New Roman" w:cs="Times New Roman"/>
        </w:rPr>
        <w:t>).</w:t>
      </w:r>
    </w:p>
    <w:p w:rsidR="00E957C2" w:rsidRDefault="00F115AD" w:rsidP="00C031A1">
      <w:pPr>
        <w:rPr>
          <w:rFonts w:eastAsia="Times New Roman" w:cs="Times New Roman"/>
        </w:rPr>
      </w:pPr>
      <w:r>
        <w:rPr>
          <w:rFonts w:eastAsia="Times New Roman" w:cs="Times New Roman"/>
        </w:rPr>
        <w:t>A 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rsidR="003654D8" w:rsidRDefault="003654D8" w:rsidP="00C031A1">
      <w:pPr>
        <w:rPr>
          <w:rFonts w:eastAsia="Times New Roman" w:cs="Times New Roman"/>
        </w:rPr>
      </w:pPr>
      <w:r>
        <w:rPr>
          <w:rFonts w:eastAsia="Times New Roman" w:cs="Times New Roman"/>
        </w:rPr>
        <w:t>Subsection 5A(3)(b) provides a number of matters to which the APVMA may have regard for the purpose of being satisfied as to whether a chemical pro</w:t>
      </w:r>
      <w:r w:rsidR="005E3766">
        <w:rPr>
          <w:rFonts w:eastAsia="Times New Roman" w:cs="Times New Roman"/>
        </w:rPr>
        <w:t xml:space="preserve">duct meets the safety criteria. </w:t>
      </w:r>
      <w:r>
        <w:rPr>
          <w:rFonts w:eastAsia="Times New Roman" w:cs="Times New Roman"/>
        </w:rPr>
        <w:t>Those include (at subparagraph (iii))—</w:t>
      </w:r>
    </w:p>
    <w:p w:rsidR="00E957C2" w:rsidRPr="003654D8" w:rsidRDefault="003654D8" w:rsidP="003654D8">
      <w:pPr>
        <w:ind w:left="720"/>
        <w:rPr>
          <w:color w:val="000000"/>
          <w:sz w:val="20"/>
          <w:shd w:val="clear" w:color="auto" w:fill="FFFFFF"/>
        </w:rPr>
      </w:pPr>
      <w:proofErr w:type="gramStart"/>
      <w:r w:rsidRPr="003654D8">
        <w:rPr>
          <w:color w:val="000000"/>
          <w:sz w:val="20"/>
          <w:shd w:val="clear" w:color="auto" w:fill="FFFFFF"/>
        </w:rPr>
        <w:t>whether</w:t>
      </w:r>
      <w:proofErr w:type="gramEnd"/>
      <w:r w:rsidRPr="003654D8">
        <w:rPr>
          <w:color w:val="000000"/>
          <w:sz w:val="20"/>
          <w:shd w:val="clear" w:color="auto" w:fill="FFFFFF"/>
        </w:rPr>
        <w:t xml:space="preserve">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rsidR="003654D8" w:rsidRDefault="003037D2" w:rsidP="00C031A1">
      <w:pPr>
        <w:rPr>
          <w:rFonts w:eastAsia="Times New Roman" w:cs="Times New Roman"/>
        </w:rPr>
      </w:pPr>
      <w:r>
        <w:rPr>
          <w:rFonts w:eastAsia="Times New Roman" w:cs="Times New Roman"/>
        </w:rPr>
        <w:t>Section 6 provides that if a provision of the Code makes reference to an approval or other thing done by the APVMA, and no other provision of the Code expressly authorises the APVMA to give such an approval or do such a thing, the APVMA is authorised to give such an approval or do such a thing either unconditionally or subject to conditions.</w:t>
      </w:r>
    </w:p>
    <w:p w:rsidR="0077128E" w:rsidRDefault="00F46406" w:rsidP="00C031A1">
      <w:pPr>
        <w:rPr>
          <w:rFonts w:eastAsia="Times New Roman" w:cs="Times New Roman"/>
        </w:rPr>
      </w:pPr>
      <w:r>
        <w:rPr>
          <w:rFonts w:eastAsia="Times New Roman" w:cs="Times New Roman"/>
        </w:rPr>
        <w:t>This instrument relies on subsection 6(2) of the Code, which permits the APVMA to vary an approval given under subsection (1).</w:t>
      </w:r>
    </w:p>
    <w:p w:rsidR="000609E6" w:rsidRDefault="000609E6" w:rsidP="000609E6">
      <w:pPr>
        <w:pStyle w:val="Heading2"/>
        <w:rPr>
          <w:rFonts w:eastAsia="Times New Roman" w:cs="Times New Roman"/>
        </w:rPr>
      </w:pPr>
      <w:r>
        <w:rPr>
          <w:rFonts w:eastAsia="Times New Roman" w:cs="Times New Roman"/>
        </w:rPr>
        <w:t>How the maximum residues limits are determined</w:t>
      </w:r>
    </w:p>
    <w:p w:rsidR="000609E6" w:rsidRPr="000609E6" w:rsidRDefault="000609E6" w:rsidP="000609E6">
      <w:pPr>
        <w:rPr>
          <w:rFonts w:eastAsia="Times New Roman" w:cs="Times New Roman"/>
        </w:rPr>
      </w:pPr>
      <w:r w:rsidRPr="000609E6">
        <w:rPr>
          <w:rFonts w:eastAsia="Times New Roman" w:cs="Times New Roman"/>
        </w:rPr>
        <w:t>As part of its consideration in deciding whether or not to register a chemical product, the APVMA</w:t>
      </w:r>
      <w:r>
        <w:rPr>
          <w:rFonts w:eastAsia="Times New Roman" w:cs="Times New Roman"/>
        </w:rPr>
        <w:t xml:space="preserve"> </w:t>
      </w:r>
      <w:r w:rsidRPr="000609E6">
        <w:rPr>
          <w:rFonts w:eastAsia="Times New Roman" w:cs="Times New Roman"/>
        </w:rPr>
        <w:t>undertakes a comprehensive health and safety assessment.</w:t>
      </w:r>
      <w:r w:rsidR="00F60F3F">
        <w:rPr>
          <w:rFonts w:eastAsia="Times New Roman" w:cs="Times New Roman"/>
        </w:rPr>
        <w:t xml:space="preserve"> </w:t>
      </w:r>
      <w:r w:rsidRPr="000609E6">
        <w:rPr>
          <w:rFonts w:eastAsia="Times New Roman" w:cs="Times New Roman"/>
        </w:rPr>
        <w:t xml:space="preserve"> An essential part of this is a residue risk</w:t>
      </w:r>
      <w:r>
        <w:rPr>
          <w:rFonts w:eastAsia="Times New Roman" w:cs="Times New Roman"/>
        </w:rPr>
        <w:t xml:space="preserve"> </w:t>
      </w:r>
      <w:r w:rsidRPr="000609E6">
        <w:rPr>
          <w:rFonts w:eastAsia="Times New Roman" w:cs="Times New Roman"/>
        </w:rPr>
        <w:t xml:space="preserve">assessment by the APVMA, which includes a dietary risk assessment. </w:t>
      </w:r>
      <w:r w:rsidR="00F60F3F">
        <w:rPr>
          <w:rFonts w:eastAsia="Times New Roman" w:cs="Times New Roman"/>
        </w:rPr>
        <w:t xml:space="preserve"> </w:t>
      </w:r>
      <w:r w:rsidRPr="000609E6">
        <w:rPr>
          <w:rFonts w:eastAsia="Times New Roman" w:cs="Times New Roman"/>
        </w:rPr>
        <w:t>A key outcome of these</w:t>
      </w:r>
      <w:r>
        <w:rPr>
          <w:rFonts w:eastAsia="Times New Roman" w:cs="Times New Roman"/>
        </w:rPr>
        <w:t xml:space="preserve"> </w:t>
      </w:r>
      <w:r w:rsidRPr="000609E6">
        <w:rPr>
          <w:rFonts w:eastAsia="Times New Roman" w:cs="Times New Roman"/>
        </w:rPr>
        <w:t>assessments is the setting of a maximum residue limit (MRL) for a particular chemical in relation to</w:t>
      </w:r>
      <w:r>
        <w:rPr>
          <w:rFonts w:eastAsia="Times New Roman" w:cs="Times New Roman"/>
        </w:rPr>
        <w:t xml:space="preserve"> </w:t>
      </w:r>
      <w:r w:rsidRPr="000609E6">
        <w:rPr>
          <w:rFonts w:eastAsia="Times New Roman" w:cs="Times New Roman"/>
        </w:rPr>
        <w:t>nominated crops and animals.</w:t>
      </w:r>
      <w:r w:rsidR="00380BDA">
        <w:rPr>
          <w:rFonts w:eastAsia="Times New Roman" w:cs="Times New Roman"/>
        </w:rPr>
        <w:t xml:space="preserve"> </w:t>
      </w:r>
      <w:r w:rsidRPr="000609E6">
        <w:rPr>
          <w:rFonts w:eastAsia="Times New Roman" w:cs="Times New Roman"/>
        </w:rPr>
        <w:t xml:space="preserve"> An MRL is the maximum amount of a residue which would be expected if</w:t>
      </w:r>
      <w:r>
        <w:rPr>
          <w:rFonts w:eastAsia="Times New Roman" w:cs="Times New Roman"/>
        </w:rPr>
        <w:t xml:space="preserve"> </w:t>
      </w:r>
      <w:r w:rsidRPr="000609E6">
        <w:rPr>
          <w:rFonts w:eastAsia="Times New Roman" w:cs="Times New Roman"/>
        </w:rPr>
        <w:t xml:space="preserve">the </w:t>
      </w:r>
      <w:proofErr w:type="spellStart"/>
      <w:r w:rsidRPr="000609E6">
        <w:rPr>
          <w:rFonts w:eastAsia="Times New Roman" w:cs="Times New Roman"/>
        </w:rPr>
        <w:t>agvet</w:t>
      </w:r>
      <w:proofErr w:type="spellEnd"/>
      <w:r w:rsidRPr="000609E6">
        <w:rPr>
          <w:rFonts w:eastAsia="Times New Roman" w:cs="Times New Roman"/>
        </w:rPr>
        <w:t xml:space="preserve"> chemical product was used according to its label instructions approved by the APVMA.</w:t>
      </w:r>
    </w:p>
    <w:p w:rsidR="000609E6" w:rsidRPr="00E957C2" w:rsidRDefault="000609E6" w:rsidP="000609E6">
      <w:pPr>
        <w:rPr>
          <w:rFonts w:eastAsia="Times New Roman" w:cs="Times New Roman"/>
        </w:rPr>
      </w:pPr>
      <w:r w:rsidRPr="000609E6">
        <w:rPr>
          <w:rFonts w:eastAsia="Times New Roman" w:cs="Times New Roman"/>
        </w:rPr>
        <w:t>The setting of an MRL by the APVMA is a science-based outcome arising from these regulatory decisions</w:t>
      </w:r>
      <w:r>
        <w:rPr>
          <w:rFonts w:eastAsia="Times New Roman" w:cs="Times New Roman"/>
        </w:rPr>
        <w:t xml:space="preserve"> </w:t>
      </w:r>
      <w:r w:rsidRPr="000609E6">
        <w:rPr>
          <w:rFonts w:eastAsia="Times New Roman" w:cs="Times New Roman"/>
        </w:rPr>
        <w:t>and for which there is only limited discretion on the part of the APVMA decision-maker.</w:t>
      </w:r>
    </w:p>
    <w:p w:rsidR="00153D4C" w:rsidRDefault="00153D4C" w:rsidP="00153D4C">
      <w:pPr>
        <w:pStyle w:val="Heading1"/>
      </w:pPr>
      <w:r>
        <w:lastRenderedPageBreak/>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D745E">
        <w:t>25328</w:t>
      </w:r>
      <w:r>
        <w:t>).</w:t>
      </w:r>
    </w:p>
    <w:p w:rsidR="00153D4C" w:rsidRDefault="00CB21E5" w:rsidP="00CB21E5">
      <w:r>
        <w:t xml:space="preserve">On the basis of the information </w:t>
      </w:r>
      <w:r w:rsidR="00660211">
        <w:t>provided, OBPR considered that the principal</w:t>
      </w:r>
      <w:r>
        <w:t xml:space="preserve"> instrument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E96EA1">
        <w:t xml:space="preserve"> for the principal instrument</w:t>
      </w:r>
      <w:r w:rsidR="00660211">
        <w:t xml:space="preserve"> or any subsequent amendments</w:t>
      </w:r>
      <w:r>
        <w:t>.</w:t>
      </w:r>
    </w:p>
    <w:p w:rsidR="00153D4C" w:rsidRDefault="00153D4C" w:rsidP="00153D4C">
      <w:pPr>
        <w:pStyle w:val="Heading2"/>
      </w:pPr>
      <w:r>
        <w:t>Consultation before making</w:t>
      </w:r>
    </w:p>
    <w:p w:rsidR="006B6F75" w:rsidRDefault="005E77BD" w:rsidP="00153D4C">
      <w:r>
        <w:t>No public consultation further to that which ordinarily occurs through the evaluation process of applications for registration and approval, which ultimat</w:t>
      </w:r>
      <w:r w:rsidR="000C7E69">
        <w:t>ely informs the maximum residue</w:t>
      </w:r>
      <w:r>
        <w:t xml:space="preserve"> limits, was undertaken prior to making this instrument.</w:t>
      </w:r>
    </w:p>
    <w:p w:rsidR="005E77BD" w:rsidRDefault="005E77BD" w:rsidP="00153D4C">
      <w:r>
        <w:t xml:space="preserve">During evaluation of a proposed chemical product or active constituent, </w:t>
      </w:r>
      <w:r>
        <w:rPr>
          <w:color w:val="000000"/>
          <w:shd w:val="clear" w:color="auto" w:fill="FFFFFF"/>
        </w:rPr>
        <w:t>any person may comment or raise concerns about any relevant aspect of the intended registration, sale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rsidR="00153D4C" w:rsidRDefault="00153D4C" w:rsidP="00153D4C">
      <w:pPr>
        <w:pStyle w:val="Heading2"/>
      </w:pPr>
      <w:r>
        <w:t>Statement of compatibility with human rights obligations</w:t>
      </w:r>
    </w:p>
    <w:p w:rsidR="00227314" w:rsidRDefault="00196DBA" w:rsidP="00153D4C">
      <w:r>
        <w:t xml:space="preserve">A statement of compatibility has been prepared and is at </w:t>
      </w:r>
      <w:r>
        <w:rPr>
          <w:u w:val="single"/>
        </w:rPr>
        <w:t>Attachment A</w:t>
      </w:r>
      <w:r>
        <w:t>.</w:t>
      </w:r>
    </w:p>
    <w:p w:rsidR="009A7448" w:rsidRDefault="009A7448" w:rsidP="009A7448">
      <w:pPr>
        <w:pStyle w:val="Heading2"/>
      </w:pPr>
      <w:r>
        <w:t>Disallowance</w:t>
      </w:r>
      <w:r w:rsidR="00BE6B54">
        <w:t xml:space="preserve"> and </w:t>
      </w:r>
      <w:proofErr w:type="spellStart"/>
      <w:r w:rsidR="00BE6B54">
        <w:t>Sunsetting</w:t>
      </w:r>
      <w:proofErr w:type="spellEnd"/>
    </w:p>
    <w:p w:rsidR="00BE6B54" w:rsidRDefault="00BE6B54" w:rsidP="00BE6B54">
      <w:r w:rsidRPr="00B83585">
        <w:t xml:space="preserve">Although the </w:t>
      </w:r>
      <w:r w:rsidRPr="00B83585">
        <w:rPr>
          <w:iCs/>
        </w:rPr>
        <w:t>MRL Standard</w:t>
      </w:r>
      <w:r w:rsidRPr="00B83585">
        <w:t xml:space="preserve"> is a legislative inst</w:t>
      </w:r>
      <w:r>
        <w:t xml:space="preserve">rument for the purposes of the </w:t>
      </w:r>
      <w:r w:rsidRPr="00B83585">
        <w:rPr>
          <w:i/>
          <w:iCs/>
        </w:rPr>
        <w:t>Legislation Act 2003</w:t>
      </w:r>
      <w:r w:rsidRPr="00B83585">
        <w:t>, pu</w:t>
      </w:r>
      <w:r>
        <w:t xml:space="preserve">rsuant to subsection 54(1) it is not subject to </w:t>
      </w:r>
      <w:proofErr w:type="spellStart"/>
      <w:r>
        <w:t>sunsetting</w:t>
      </w:r>
      <w:proofErr w:type="spellEnd"/>
      <w:r>
        <w:t xml:space="preserve">. The </w:t>
      </w:r>
      <w:r w:rsidRPr="00B83585">
        <w:t xml:space="preserve">Code is part of a co-operative scheme involving the Commonwealth and all States and Territories; and the </w:t>
      </w:r>
      <w:r w:rsidRPr="00B83585">
        <w:rPr>
          <w:iCs/>
        </w:rPr>
        <w:t>MRL Standard</w:t>
      </w:r>
      <w:r>
        <w:t xml:space="preserve"> is authorised by the </w:t>
      </w:r>
      <w:r w:rsidRPr="00B83585">
        <w:t>Code</w:t>
      </w:r>
      <w:r>
        <w:t>.</w:t>
      </w:r>
      <w:r w:rsidRPr="00B83585">
        <w:t xml:space="preserve"> </w:t>
      </w:r>
    </w:p>
    <w:p w:rsidR="00BE6B54" w:rsidRPr="00B83585" w:rsidRDefault="00BE6B54" w:rsidP="00BE6B54">
      <w:r w:rsidRPr="00B83585">
        <w:t xml:space="preserve">This instrument is made subject to disallowance pursuant to section 42 of the </w:t>
      </w:r>
      <w:r w:rsidRPr="00B83585">
        <w:rPr>
          <w:i/>
        </w:rPr>
        <w:t>Legislation Act 2003</w:t>
      </w:r>
      <w:r w:rsidRPr="00B83585">
        <w:t>, because of the operation of section 163A of the Code.</w:t>
      </w:r>
    </w:p>
    <w:p w:rsidR="00F13057" w:rsidRDefault="00F13057" w:rsidP="00F13057">
      <w:pPr>
        <w:pStyle w:val="Heading1"/>
      </w:pPr>
      <w:r>
        <w:t>Other issues</w:t>
      </w:r>
    </w:p>
    <w:p w:rsidR="00F13057" w:rsidRDefault="00F13057" w:rsidP="00F13057">
      <w:pPr>
        <w:pStyle w:val="Heading2"/>
      </w:pPr>
      <w:r>
        <w:t>Matter incorporated by reference</w:t>
      </w:r>
    </w:p>
    <w:p w:rsidR="00BE6B54" w:rsidRPr="00EB0BEC" w:rsidRDefault="00BE6B54" w:rsidP="00BE6B54">
      <w:r w:rsidRPr="00B83585">
        <w:t>This instrument incorporates the Australian Standard SAA 2706-2003 (Standard) by reference. The Standard sets out procedures for the rounding of numbers in circumstances where figures beyond the number of significant figures can be rejected and the relevant adjustment made to the last retained figure.</w:t>
      </w:r>
    </w:p>
    <w:p w:rsidR="00BE6B54" w:rsidRPr="00EB0BEC" w:rsidRDefault="00BE6B54" w:rsidP="00BE6B54">
      <w:r w:rsidRPr="00B83585">
        <w:t>The Standard is available for viewing at the APVMA offices, during business hours. For details of locations and hours, please visit https://apvma.gov.au/. The Standard is subject to copyright. The terms of the copyright preclude the ability to make free copies and limit the amount of handwritten notes a person viewing it can make of material contained in it to a maximum of 10% (e.g. 1.5 pages if the Standard is 15 pages). Full details of the viewing conditions will be provided upon attending the office.</w:t>
      </w:r>
    </w:p>
    <w:p w:rsidR="00BE6B54" w:rsidRDefault="00BE6B54" w:rsidP="00BE6B54">
      <w:r w:rsidRPr="00B83585">
        <w:t xml:space="preserve">The Standard can also be accessed via the Standards Australia website for a fee (see https://www.standards.org.au/standards-catalogue/sa-snz/publicsafety/me-071/as--2706-2003). </w:t>
      </w:r>
    </w:p>
    <w:p w:rsidR="00F13057" w:rsidRDefault="00F13057" w:rsidP="00F13057">
      <w:pPr>
        <w:pStyle w:val="Heading2"/>
      </w:pPr>
      <w:r>
        <w:lastRenderedPageBreak/>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196DBA" w:rsidRPr="00196DBA" w:rsidRDefault="00196DBA" w:rsidP="00196DBA">
      <w:pPr>
        <w:pStyle w:val="Heading2"/>
        <w:rPr>
          <w:lang w:val="en-US"/>
        </w:rPr>
      </w:pPr>
      <w:r w:rsidRPr="00196DBA">
        <w:rPr>
          <w:lang w:val="en-US"/>
        </w:rPr>
        <w:t>Agricultural and Veterinary Chemicals Code (</w:t>
      </w:r>
      <w:r w:rsidR="0045502F">
        <w:rPr>
          <w:lang w:val="en-US"/>
        </w:rPr>
        <w:t>MRL Standard</w:t>
      </w:r>
      <w:r w:rsidRPr="00196DBA">
        <w:rPr>
          <w:lang w:val="en-US"/>
        </w:rPr>
        <w:t>) Instrument 2019</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196DBA" w:rsidRPr="00196DBA" w:rsidRDefault="00196DBA" w:rsidP="00196DBA">
      <w:pPr>
        <w:pStyle w:val="Heading2"/>
      </w:pPr>
      <w:r w:rsidRPr="00196DBA">
        <w:t>Overview of the Legislative Instrument</w:t>
      </w:r>
    </w:p>
    <w:p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rsidR="00196DBA" w:rsidRPr="00196DBA" w:rsidRDefault="00885A98" w:rsidP="00196DBA">
      <w:pPr>
        <w:pStyle w:val="Heading2"/>
      </w:pPr>
      <w:r>
        <w:t>Human rights implications</w:t>
      </w:r>
    </w:p>
    <w:p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In particular, it engages the imperative on the States Parties to take steps for the improvement of all aspects of environmental and industrial hygiene (article 12.2(b)).</w:t>
      </w:r>
    </w:p>
    <w:p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rsidR="00196DBA" w:rsidRPr="00196DBA" w:rsidRDefault="00196DBA" w:rsidP="00196DBA">
      <w:pPr>
        <w:pStyle w:val="Heading2"/>
      </w:pPr>
      <w:r w:rsidRPr="00196DBA">
        <w:t>Conclusion</w:t>
      </w:r>
    </w:p>
    <w:p w:rsidR="00196DBA" w:rsidRDefault="008B00CD" w:rsidP="00196DBA">
      <w:pPr>
        <w:sectPr w:rsidR="00196DBA">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37396D" w:rsidRDefault="00F613DC" w:rsidP="00F613DC">
      <w:r w:rsidRPr="009C4E52">
        <w:t xml:space="preserve">This item provides for the Instrument to be </w:t>
      </w:r>
      <w:bookmarkStart w:id="0" w:name="_GoBack"/>
      <w:bookmarkEnd w:id="0"/>
      <w:r w:rsidRPr="0037396D">
        <w:t xml:space="preserve">named as the </w:t>
      </w:r>
      <w:r w:rsidRPr="0037396D">
        <w:rPr>
          <w:i/>
        </w:rPr>
        <w:t xml:space="preserve">Agricultural and Veterinary Chemicals Code </w:t>
      </w:r>
      <w:r w:rsidR="00E62C91" w:rsidRPr="0037396D">
        <w:rPr>
          <w:i/>
        </w:rPr>
        <w:t xml:space="preserve">(MRL Standard) </w:t>
      </w:r>
      <w:r w:rsidR="00B7406F" w:rsidRPr="0037396D">
        <w:rPr>
          <w:i/>
        </w:rPr>
        <w:t>Amendment Instrument (No. 2</w:t>
      </w:r>
      <w:r w:rsidR="00660211" w:rsidRPr="0037396D">
        <w:rPr>
          <w:i/>
        </w:rPr>
        <w:t>)</w:t>
      </w:r>
      <w:r w:rsidRPr="0037396D">
        <w:rPr>
          <w:i/>
        </w:rPr>
        <w:t xml:space="preserve"> 20</w:t>
      </w:r>
      <w:r w:rsidR="00B7406F" w:rsidRPr="0037396D">
        <w:rPr>
          <w:i/>
        </w:rPr>
        <w:t>20</w:t>
      </w:r>
      <w:r w:rsidRPr="0037396D">
        <w:t>.</w:t>
      </w:r>
    </w:p>
    <w:p w:rsidR="00F613DC" w:rsidRPr="009C4E52" w:rsidRDefault="00F613DC" w:rsidP="00F613DC">
      <w:pPr>
        <w:pStyle w:val="Heading2"/>
      </w:pPr>
      <w:r w:rsidRPr="0037396D">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191A94" w:rsidRDefault="00191A94" w:rsidP="00191A94">
      <w:r w:rsidRPr="009C4E52">
        <w:t xml:space="preserve">This item provides that the Instrument is made under </w:t>
      </w:r>
      <w:r w:rsidR="00E62C91">
        <w:t>s</w:t>
      </w:r>
      <w:r w:rsidR="00660211">
        <w:t>ubsection 6(2</w:t>
      </w:r>
      <w:r w:rsidR="00E62C91">
        <w:t>) for the purposes of subparagraph </w:t>
      </w:r>
      <w:proofErr w:type="gramStart"/>
      <w:r w:rsidR="00E62C91">
        <w:t>5A(</w:t>
      </w:r>
      <w:proofErr w:type="gramEnd"/>
      <w:r w:rsidR="00E62C91">
        <w:t>3)(b)(iii)</w:t>
      </w:r>
      <w:r w:rsidR="00CF7784">
        <w:t xml:space="preserve"> </w:t>
      </w:r>
      <w:r w:rsidRPr="009C4E52">
        <w:t xml:space="preserve">of the Agricultural and Veterinary Chemicals Code, as scheduled to the </w:t>
      </w:r>
      <w:r w:rsidRPr="009C4E52">
        <w:rPr>
          <w:i/>
        </w:rPr>
        <w:t>Agricultural an</w:t>
      </w:r>
      <w:r w:rsidR="00856BB8" w:rsidRPr="009C4E52">
        <w:rPr>
          <w:i/>
        </w:rPr>
        <w:t xml:space="preserve">d Veterinary Chemicals Code </w:t>
      </w:r>
      <w:r w:rsidRPr="009C4E52">
        <w:rPr>
          <w:i/>
        </w:rPr>
        <w:t>Act 1994</w:t>
      </w:r>
      <w:r w:rsidR="00415EB1" w:rsidRPr="009C4E52">
        <w:rPr>
          <w:i/>
        </w:rPr>
        <w:t xml:space="preserve"> </w:t>
      </w:r>
      <w:r w:rsidR="00415EB1" w:rsidRPr="009C4E52">
        <w:t>(Code)</w:t>
      </w:r>
      <w:r w:rsidRPr="009C4E52">
        <w:t>.</w:t>
      </w:r>
    </w:p>
    <w:p w:rsidR="00660211" w:rsidRDefault="00660211" w:rsidP="00191A94">
      <w:r>
        <w:t xml:space="preserve">This instrument relies on the power contained in subsection 6(2) to vary an approval given by the APVMA under subsection 6(1).  It is considered that the approval referred to in subparagraph </w:t>
      </w:r>
      <w:proofErr w:type="gramStart"/>
      <w:r>
        <w:t>5A(</w:t>
      </w:r>
      <w:proofErr w:type="gramEnd"/>
      <w:r>
        <w:t>3)(b)(iii) does not expressly confer a power on the APVMA to give it.</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46274"/>
    <w:rsid w:val="000609E6"/>
    <w:rsid w:val="00067138"/>
    <w:rsid w:val="000B47DE"/>
    <w:rsid w:val="000C7E69"/>
    <w:rsid w:val="000D745E"/>
    <w:rsid w:val="000E01BC"/>
    <w:rsid w:val="00153D4C"/>
    <w:rsid w:val="00191A94"/>
    <w:rsid w:val="00196DBA"/>
    <w:rsid w:val="001E7FA1"/>
    <w:rsid w:val="002119E3"/>
    <w:rsid w:val="00226CFC"/>
    <w:rsid w:val="00227314"/>
    <w:rsid w:val="002371A7"/>
    <w:rsid w:val="002F5971"/>
    <w:rsid w:val="003037D2"/>
    <w:rsid w:val="003113FE"/>
    <w:rsid w:val="00323306"/>
    <w:rsid w:val="003458A1"/>
    <w:rsid w:val="00360D47"/>
    <w:rsid w:val="003654D8"/>
    <w:rsid w:val="0037396D"/>
    <w:rsid w:val="00380BDA"/>
    <w:rsid w:val="003939FD"/>
    <w:rsid w:val="003C5D83"/>
    <w:rsid w:val="003C7605"/>
    <w:rsid w:val="003D6705"/>
    <w:rsid w:val="003F25AD"/>
    <w:rsid w:val="00415EB1"/>
    <w:rsid w:val="00426115"/>
    <w:rsid w:val="0045502F"/>
    <w:rsid w:val="004930B4"/>
    <w:rsid w:val="004A0571"/>
    <w:rsid w:val="004A56B6"/>
    <w:rsid w:val="004D2C06"/>
    <w:rsid w:val="005049D5"/>
    <w:rsid w:val="0057190F"/>
    <w:rsid w:val="005B05D9"/>
    <w:rsid w:val="005B40AF"/>
    <w:rsid w:val="005D29E0"/>
    <w:rsid w:val="005D34C5"/>
    <w:rsid w:val="005E3766"/>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A7448"/>
    <w:rsid w:val="009B7A3D"/>
    <w:rsid w:val="009C4E52"/>
    <w:rsid w:val="009C75FE"/>
    <w:rsid w:val="00A5713C"/>
    <w:rsid w:val="00A9676D"/>
    <w:rsid w:val="00AB7E6C"/>
    <w:rsid w:val="00AE78F3"/>
    <w:rsid w:val="00AF5BD5"/>
    <w:rsid w:val="00B12ED3"/>
    <w:rsid w:val="00B63620"/>
    <w:rsid w:val="00B7406F"/>
    <w:rsid w:val="00B94F5A"/>
    <w:rsid w:val="00B95D02"/>
    <w:rsid w:val="00BE6B54"/>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F7660"/>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170a17a8a19d46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A1678351</value>
    </field>
    <field name="Objective-Title">
      <value order="0">Amending Instrument Explanatory Statement  - 2019 APVMA MRL Standard (No. 2) 2020</value>
    </field>
    <field name="Objective-Description">
      <value order="0"/>
    </field>
    <field name="Objective-CreationStamp">
      <value order="0">2019-08-28T03:29:04Z</value>
    </field>
    <field name="Objective-IsApproved">
      <value order="0">false</value>
    </field>
    <field name="Objective-IsPublished">
      <value order="0">false</value>
    </field>
    <field name="Objective-DatePublished">
      <value order="0"/>
    </field>
    <field name="Objective-ModificationStamp">
      <value order="0">2020-03-02T01:46:26Z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02 28 February 2020</value>
    </field>
    <field name="Objective-Parent">
      <value order="0">2020 APVMA 2020 02 28 February 2020</value>
    </field>
    <field name="Objective-State">
      <value order="0">Being Drafted</value>
    </field>
    <field name="Objective-VersionId">
      <value order="0">vA2669998</value>
    </field>
    <field name="Objective-Version">
      <value order="0">1.7</value>
    </field>
    <field name="Objective-VersionNumber">
      <value order="0">8</value>
    </field>
    <field name="Objective-VersionComment">
      <value order="0"/>
    </field>
    <field name="Objective-FileNumber">
      <value order="0">2020\0735</value>
    </field>
    <field name="Objective-Classification">
      <value order="0">Sensitive (AgVet Code)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FD009D1-16B8-4C31-896C-DCB700A4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56CF009F.dotm</Template>
  <TotalTime>219</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15</cp:revision>
  <dcterms:created xsi:type="dcterms:W3CDTF">2019-08-19T01:48:00Z</dcterms:created>
  <dcterms:modified xsi:type="dcterms:W3CDTF">2020-02-27T22:21:00Z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A1678351</vt:lpwstr>
  </property>
  <property fmtid="{D5CDD505-2E9C-101B-9397-08002B2CF9AE}" pid="4" name="Objective-Title">
    <vt:lpwstr>Amending Instrument Explanatory Statement  - 2019 APVMA MRL Standard (No. 2) 2020</vt:lpwstr>
  </property>
  <property fmtid="{D5CDD505-2E9C-101B-9397-08002B2CF9AE}" pid="5" name="Objective-Description">
    <vt:lpwstr/>
  </property>
  <property fmtid="{D5CDD505-2E9C-101B-9397-08002B2CF9AE}" pid="6" name="Objective-CreationStamp">
    <vt:filetime>2020-02-02T22:15:52Z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2020-03-02T01:46:26Z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- 2020:2020 APVMA 2020 02 28 February 2020:</vt:lpwstr>
  </property>
  <property fmtid="{D5CDD505-2E9C-101B-9397-08002B2CF9AE}" pid="13" name="Objective-Parent">
    <vt:lpwstr>2020 APVMA 2020 02 28 February 2020</vt:lpwstr>
  </property>
  <property fmtid="{D5CDD505-2E9C-101B-9397-08002B2CF9AE}" pid="14" name="Objective-State">
    <vt:lpwstr>Being Drafted</vt:lpwstr>
  </property>
  <property fmtid="{D5CDD505-2E9C-101B-9397-08002B2CF9AE}" pid="15" name="Objective-VersionId">
    <vt:lpwstr>vA2669998</vt:lpwstr>
  </property>
  <property fmtid="{D5CDD505-2E9C-101B-9397-08002B2CF9AE}" pid="16" name="Objective-Version">
    <vt:lpwstr>1.7</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