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B9B0C" w14:textId="77777777" w:rsidR="00C07FE4" w:rsidRPr="00E549CD" w:rsidRDefault="00C07FE4" w:rsidP="001B0D2B">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8958"/>
        </w:tabs>
        <w:spacing w:line="276" w:lineRule="auto"/>
        <w:rPr>
          <w:b/>
          <w:vanish/>
          <w:sz w:val="28"/>
          <w:szCs w:val="28"/>
          <w:u w:val="none"/>
          <w:specVanish/>
        </w:rPr>
      </w:pPr>
      <w:bookmarkStart w:id="0" w:name="_GoBack"/>
      <w:bookmarkEnd w:id="0"/>
      <w:r w:rsidRPr="00E44934">
        <w:rPr>
          <w:b/>
          <w:sz w:val="28"/>
          <w:szCs w:val="28"/>
          <w:u w:val="none"/>
        </w:rPr>
        <w:t>EXPLANATORY STATEMENT</w:t>
      </w:r>
    </w:p>
    <w:p w14:paraId="1FDB9B0D" w14:textId="77777777" w:rsidR="00CC1F2D" w:rsidRDefault="00E549CD" w:rsidP="001B0D2B">
      <w:pPr>
        <w:spacing w:before="120" w:line="276" w:lineRule="auto"/>
        <w:jc w:val="center"/>
        <w:rPr>
          <w:b/>
        </w:rPr>
      </w:pPr>
      <w:r>
        <w:rPr>
          <w:b/>
        </w:rPr>
        <w:t xml:space="preserve"> </w:t>
      </w:r>
    </w:p>
    <w:p w14:paraId="1FDB9B0E" w14:textId="77777777" w:rsidR="00C07FE4" w:rsidRPr="00E44934" w:rsidRDefault="00C07FE4" w:rsidP="001B0D2B">
      <w:pPr>
        <w:spacing w:before="120" w:line="276" w:lineRule="auto"/>
        <w:jc w:val="center"/>
        <w:rPr>
          <w:b/>
        </w:rPr>
      </w:pPr>
      <w:r w:rsidRPr="00E44934">
        <w:rPr>
          <w:b/>
        </w:rPr>
        <w:t xml:space="preserve">Issued by the authority of the Minister for Finance </w:t>
      </w:r>
    </w:p>
    <w:p w14:paraId="1FDB9B0F" w14:textId="77777777" w:rsidR="002A0BFE" w:rsidRDefault="00E44934" w:rsidP="001B0D2B">
      <w:pPr>
        <w:pStyle w:val="Heading8"/>
        <w:spacing w:before="120" w:after="120" w:line="276" w:lineRule="auto"/>
        <w:jc w:val="center"/>
        <w:rPr>
          <w:iCs/>
          <w:sz w:val="24"/>
        </w:rPr>
      </w:pPr>
      <w:r w:rsidRPr="00E44934">
        <w:rPr>
          <w:iCs/>
          <w:sz w:val="24"/>
        </w:rPr>
        <w:t>Public Governance, Performance and Accountability Act 2013</w:t>
      </w:r>
    </w:p>
    <w:p w14:paraId="1FDB9B10" w14:textId="77777777" w:rsidR="00E44934" w:rsidRDefault="00E44934" w:rsidP="001B0D2B">
      <w:pPr>
        <w:spacing w:line="276" w:lineRule="auto"/>
        <w:jc w:val="center"/>
        <w:rPr>
          <w:i/>
        </w:rPr>
      </w:pPr>
      <w:r w:rsidRPr="008E60E1">
        <w:rPr>
          <w:i/>
        </w:rPr>
        <w:t>Public Governance, Performance and Accountability</w:t>
      </w:r>
    </w:p>
    <w:p w14:paraId="1FDB9B11" w14:textId="77777777" w:rsidR="00E44934" w:rsidRDefault="00E44934" w:rsidP="001B0D2B">
      <w:pPr>
        <w:spacing w:line="276" w:lineRule="auto"/>
        <w:jc w:val="center"/>
        <w:rPr>
          <w:i/>
        </w:rPr>
      </w:pPr>
      <w:r>
        <w:rPr>
          <w:i/>
        </w:rPr>
        <w:t xml:space="preserve">(Financial Reporting) </w:t>
      </w:r>
      <w:r w:rsidR="00D100FA">
        <w:rPr>
          <w:i/>
        </w:rPr>
        <w:t>Amendment</w:t>
      </w:r>
      <w:r w:rsidR="006B3DB7">
        <w:rPr>
          <w:i/>
        </w:rPr>
        <w:t xml:space="preserve"> (2020 Measures No.1)</w:t>
      </w:r>
      <w:r w:rsidR="00F24D3A">
        <w:rPr>
          <w:i/>
        </w:rPr>
        <w:t xml:space="preserve"> </w:t>
      </w:r>
      <w:r w:rsidRPr="008E60E1">
        <w:rPr>
          <w:i/>
        </w:rPr>
        <w:t>Rule</w:t>
      </w:r>
      <w:r w:rsidR="00F24D3A">
        <w:rPr>
          <w:i/>
        </w:rPr>
        <w:t>s</w:t>
      </w:r>
      <w:r w:rsidRPr="008E60E1">
        <w:rPr>
          <w:i/>
        </w:rPr>
        <w:t xml:space="preserve"> 20</w:t>
      </w:r>
      <w:r w:rsidR="006B3DB7">
        <w:rPr>
          <w:i/>
        </w:rPr>
        <w:t>20</w:t>
      </w:r>
    </w:p>
    <w:p w14:paraId="1FDB9B12" w14:textId="77777777" w:rsidR="00E44934" w:rsidRPr="00407B73" w:rsidRDefault="00E44934" w:rsidP="001B0D2B">
      <w:pPr>
        <w:spacing w:line="276" w:lineRule="auto"/>
        <w:jc w:val="center"/>
      </w:pPr>
    </w:p>
    <w:p w14:paraId="1FDB9B13" w14:textId="77777777" w:rsidR="00E44934" w:rsidRDefault="00804FB8" w:rsidP="001B0D2B">
      <w:pPr>
        <w:spacing w:line="276" w:lineRule="auto"/>
      </w:pPr>
      <w:r>
        <w:t>Section 101 of t</w:t>
      </w:r>
      <w:r w:rsidR="00E44934" w:rsidRPr="00F95FE8">
        <w:t xml:space="preserve">he </w:t>
      </w:r>
      <w:r w:rsidR="00E44934" w:rsidRPr="00F95FE8">
        <w:rPr>
          <w:i/>
        </w:rPr>
        <w:t>Public Governance, Performance and Accountability Act 2013</w:t>
      </w:r>
      <w:r w:rsidR="00E44934" w:rsidRPr="00F95FE8">
        <w:t xml:space="preserve"> (PGPA Act) </w:t>
      </w:r>
      <w:r w:rsidR="00E44934">
        <w:t>provides that the Finance Minister may make rules by legislative instrument to prescribe matters giving effect to th</w:t>
      </w:r>
      <w:r w:rsidR="006B3DB7">
        <w:t>is</w:t>
      </w:r>
      <w:r w:rsidR="00E44934">
        <w:t xml:space="preserve"> Act. </w:t>
      </w:r>
    </w:p>
    <w:p w14:paraId="1FDB9B14" w14:textId="77777777" w:rsidR="00E44934" w:rsidRDefault="00E44934" w:rsidP="001B0D2B">
      <w:pPr>
        <w:spacing w:line="276" w:lineRule="auto"/>
      </w:pPr>
    </w:p>
    <w:p w14:paraId="1FDB9B15" w14:textId="77777777" w:rsidR="00E44934" w:rsidRDefault="00A956FA" w:rsidP="001B0D2B">
      <w:pPr>
        <w:spacing w:line="276" w:lineRule="auto"/>
      </w:pPr>
      <w:r>
        <w:t xml:space="preserve">The </w:t>
      </w:r>
      <w:r w:rsidRPr="00A956FA">
        <w:rPr>
          <w:i/>
        </w:rPr>
        <w:t xml:space="preserve">Public Governance, Performance and Accountability (Financial Reporting) Amendment </w:t>
      </w:r>
      <w:r w:rsidR="00F24D3A">
        <w:rPr>
          <w:i/>
        </w:rPr>
        <w:t>(20</w:t>
      </w:r>
      <w:r w:rsidR="006B3DB7">
        <w:rPr>
          <w:i/>
        </w:rPr>
        <w:t>20</w:t>
      </w:r>
      <w:r w:rsidR="00F24D3A">
        <w:rPr>
          <w:i/>
        </w:rPr>
        <w:t xml:space="preserve"> Measures No. 1) Rules </w:t>
      </w:r>
      <w:r w:rsidRPr="00A956FA">
        <w:rPr>
          <w:i/>
        </w:rPr>
        <w:t>20</w:t>
      </w:r>
      <w:r w:rsidR="006B3DB7">
        <w:rPr>
          <w:i/>
        </w:rPr>
        <w:t>20</w:t>
      </w:r>
      <w:r w:rsidR="00B31D91">
        <w:rPr>
          <w:i/>
        </w:rPr>
        <w:t xml:space="preserve"> </w:t>
      </w:r>
      <w:r>
        <w:t xml:space="preserve">amends the </w:t>
      </w:r>
      <w:r w:rsidR="00E44934" w:rsidRPr="00A479B1">
        <w:rPr>
          <w:i/>
        </w:rPr>
        <w:t>Public G</w:t>
      </w:r>
      <w:r w:rsidR="00E44934" w:rsidRPr="008E60E1">
        <w:rPr>
          <w:i/>
        </w:rPr>
        <w:t>overnance, Performance and Accountability</w:t>
      </w:r>
      <w:r w:rsidR="00E44934">
        <w:rPr>
          <w:i/>
        </w:rPr>
        <w:t xml:space="preserve"> (Financial Reporting) </w:t>
      </w:r>
      <w:r w:rsidR="00E44934" w:rsidRPr="008E60E1">
        <w:rPr>
          <w:i/>
        </w:rPr>
        <w:t>Rule 201</w:t>
      </w:r>
      <w:r w:rsidR="00E44934">
        <w:rPr>
          <w:i/>
        </w:rPr>
        <w:t xml:space="preserve">5 </w:t>
      </w:r>
      <w:r w:rsidR="00E44934" w:rsidRPr="004226F4">
        <w:t>(</w:t>
      </w:r>
      <w:r w:rsidR="00E44934" w:rsidRPr="00E959B7">
        <w:t>FRR</w:t>
      </w:r>
      <w:r w:rsidR="00E44934" w:rsidRPr="004226F4">
        <w:t>)</w:t>
      </w:r>
      <w:r>
        <w:t xml:space="preserve">. Both rules are </w:t>
      </w:r>
      <w:r w:rsidR="00E44934" w:rsidRPr="00706F2A">
        <w:t>legisla</w:t>
      </w:r>
      <w:r w:rsidR="00E44934">
        <w:t>tive instrument</w:t>
      </w:r>
      <w:r>
        <w:t>s</w:t>
      </w:r>
      <w:r w:rsidR="00E44934">
        <w:t xml:space="preserve"> for the purpose</w:t>
      </w:r>
      <w:r w:rsidR="00E44934" w:rsidRPr="00706F2A">
        <w:t xml:space="preserve"> of the</w:t>
      </w:r>
      <w:r w:rsidR="00E44934" w:rsidRPr="00706F2A">
        <w:rPr>
          <w:i/>
        </w:rPr>
        <w:t xml:space="preserve"> Legislative Instruments Act</w:t>
      </w:r>
      <w:r w:rsidR="00E44934">
        <w:rPr>
          <w:i/>
        </w:rPr>
        <w:t> </w:t>
      </w:r>
      <w:r w:rsidR="00E44934" w:rsidRPr="00706F2A">
        <w:rPr>
          <w:i/>
        </w:rPr>
        <w:t>2003.</w:t>
      </w:r>
    </w:p>
    <w:p w14:paraId="1FDB9B16" w14:textId="77777777" w:rsidR="00E44934" w:rsidRPr="00B87FAD" w:rsidRDefault="00E44934" w:rsidP="001B0D2B">
      <w:pPr>
        <w:spacing w:line="276" w:lineRule="auto"/>
      </w:pPr>
    </w:p>
    <w:p w14:paraId="1FDB9B17" w14:textId="77777777" w:rsidR="00E44934" w:rsidRPr="00F70A7B" w:rsidRDefault="00E44934" w:rsidP="001B0D2B">
      <w:pPr>
        <w:tabs>
          <w:tab w:val="left" w:pos="4536"/>
        </w:tabs>
        <w:spacing w:after="120" w:line="276" w:lineRule="auto"/>
        <w:rPr>
          <w:b/>
          <w:bCs/>
          <w:specVanish/>
        </w:rPr>
      </w:pPr>
      <w:r w:rsidRPr="00F70A7B">
        <w:rPr>
          <w:b/>
          <w:bCs/>
        </w:rPr>
        <w:t>Other Legislative Provisions</w:t>
      </w:r>
    </w:p>
    <w:p w14:paraId="1FDB9B18" w14:textId="77777777" w:rsidR="00E44934" w:rsidRDefault="00E44934" w:rsidP="001B0D2B">
      <w:pPr>
        <w:tabs>
          <w:tab w:val="left" w:pos="4536"/>
        </w:tabs>
        <w:spacing w:line="276" w:lineRule="auto"/>
      </w:pPr>
      <w:r>
        <w:t>The FRR sets out the requirements for preparation of financial statements under the following legislative provisions:</w:t>
      </w:r>
    </w:p>
    <w:p w14:paraId="1FDB9B19" w14:textId="77777777" w:rsidR="00C73CEC" w:rsidRDefault="00F608B0" w:rsidP="001B0D2B">
      <w:pPr>
        <w:pStyle w:val="ListParagraph"/>
        <w:numPr>
          <w:ilvl w:val="0"/>
          <w:numId w:val="9"/>
        </w:numPr>
        <w:spacing w:line="276" w:lineRule="auto"/>
        <w:jc w:val="both"/>
      </w:pPr>
      <w:r>
        <w:t>S</w:t>
      </w:r>
      <w:r w:rsidR="00E44934" w:rsidRPr="009C5606">
        <w:t>ubsection 42(2) of the</w:t>
      </w:r>
      <w:r w:rsidR="00E07CC9">
        <w:t xml:space="preserve"> </w:t>
      </w:r>
      <w:r w:rsidR="002D2CF8">
        <w:t>PGPA Act</w:t>
      </w:r>
      <w:r w:rsidR="00EB1833">
        <w:t xml:space="preserve"> </w:t>
      </w:r>
      <w:r w:rsidR="004B385F">
        <w:t xml:space="preserve">prescribes that </w:t>
      </w:r>
      <w:r w:rsidR="00EB1833">
        <w:t>annual financial statements must</w:t>
      </w:r>
      <w:r w:rsidR="00C73CEC">
        <w:t>:</w:t>
      </w:r>
    </w:p>
    <w:p w14:paraId="1FDB9B1A" w14:textId="77777777" w:rsidR="00C73CEC" w:rsidRDefault="00EB1833" w:rsidP="00DF6107">
      <w:pPr>
        <w:pStyle w:val="ListParagraph"/>
        <w:numPr>
          <w:ilvl w:val="1"/>
          <w:numId w:val="9"/>
        </w:numPr>
        <w:spacing w:line="276" w:lineRule="auto"/>
        <w:jc w:val="both"/>
      </w:pPr>
      <w:r>
        <w:t>comply with accounting standards and any other requirements prescribed by the rules</w:t>
      </w:r>
      <w:r w:rsidR="00C73CEC">
        <w:t>; and</w:t>
      </w:r>
    </w:p>
    <w:p w14:paraId="1FDB9B1B" w14:textId="77777777" w:rsidR="00E44934" w:rsidRPr="009C5606" w:rsidRDefault="004B385F" w:rsidP="00DF6107">
      <w:pPr>
        <w:pStyle w:val="ListParagraph"/>
        <w:numPr>
          <w:ilvl w:val="1"/>
          <w:numId w:val="9"/>
        </w:numPr>
        <w:spacing w:line="276" w:lineRule="auto"/>
        <w:jc w:val="both"/>
      </w:pPr>
      <w:r>
        <w:t>present fairly the entity’s financial position, financial performance and cash flows</w:t>
      </w:r>
      <w:r w:rsidR="00C73CEC">
        <w:t>.</w:t>
      </w:r>
      <w:r w:rsidR="00E44934" w:rsidRPr="009C5606">
        <w:t xml:space="preserve"> </w:t>
      </w:r>
    </w:p>
    <w:p w14:paraId="1FDB9B1C" w14:textId="77777777" w:rsidR="00E44934" w:rsidRPr="009C5606" w:rsidRDefault="00F608B0" w:rsidP="001B0D2B">
      <w:pPr>
        <w:pStyle w:val="ListParagraph"/>
        <w:numPr>
          <w:ilvl w:val="0"/>
          <w:numId w:val="9"/>
        </w:numPr>
        <w:spacing w:line="276" w:lineRule="auto"/>
        <w:jc w:val="both"/>
      </w:pPr>
      <w:r>
        <w:t>S</w:t>
      </w:r>
      <w:r w:rsidR="00E44934" w:rsidRPr="009C5606">
        <w:t xml:space="preserve">ubsection 47(1) of the </w:t>
      </w:r>
      <w:r w:rsidR="00E44934" w:rsidRPr="0071547F">
        <w:rPr>
          <w:i/>
        </w:rPr>
        <w:t>High Court of Australia Act 1979</w:t>
      </w:r>
      <w:r w:rsidR="00E44934" w:rsidRPr="009C5606">
        <w:t xml:space="preserve"> </w:t>
      </w:r>
      <w:r w:rsidR="00047DE0">
        <w:t xml:space="preserve"> prescribes the financial statements reporting requirements of </w:t>
      </w:r>
      <w:r w:rsidR="00EB1833">
        <w:t>the High Court of Australia;</w:t>
      </w:r>
    </w:p>
    <w:p w14:paraId="1FDB9B1D" w14:textId="77777777" w:rsidR="00E44934" w:rsidRPr="009C5606" w:rsidRDefault="0015715F" w:rsidP="001F35A6">
      <w:pPr>
        <w:pStyle w:val="ListParagraph"/>
        <w:numPr>
          <w:ilvl w:val="0"/>
          <w:numId w:val="9"/>
        </w:numPr>
        <w:spacing w:line="276" w:lineRule="auto"/>
        <w:jc w:val="both"/>
      </w:pPr>
      <w:r>
        <w:t>S</w:t>
      </w:r>
      <w:r w:rsidR="00E44934" w:rsidRPr="009C5606">
        <w:t xml:space="preserve">ubsections 50B(2) and (4) of the </w:t>
      </w:r>
      <w:r w:rsidR="00E44934" w:rsidRPr="001F35A6">
        <w:rPr>
          <w:i/>
        </w:rPr>
        <w:t>Defence Service Homes Act 1918</w:t>
      </w:r>
      <w:r w:rsidR="00E44934" w:rsidRPr="009C5606">
        <w:t xml:space="preserve"> </w:t>
      </w:r>
      <w:r w:rsidR="00047DE0">
        <w:t>prescribe the financial statements reporting requirements of</w:t>
      </w:r>
      <w:r w:rsidR="00E44934" w:rsidRPr="009C5606">
        <w:t xml:space="preserve"> the Defence Service Homes Corporation; and </w:t>
      </w:r>
    </w:p>
    <w:p w14:paraId="1FDB9B1E" w14:textId="77777777" w:rsidR="00E44934" w:rsidRPr="009C5606" w:rsidRDefault="0015715F" w:rsidP="001B0D2B">
      <w:pPr>
        <w:pStyle w:val="ListParagraph"/>
        <w:numPr>
          <w:ilvl w:val="0"/>
          <w:numId w:val="9"/>
        </w:numPr>
        <w:spacing w:line="276" w:lineRule="auto"/>
        <w:jc w:val="both"/>
      </w:pPr>
      <w:r>
        <w:t>S</w:t>
      </w:r>
      <w:r w:rsidR="00E44934" w:rsidRPr="009C5606">
        <w:t xml:space="preserve">ubsections 43(1) and (3) of the </w:t>
      </w:r>
      <w:r w:rsidR="00E44934" w:rsidRPr="0071547F">
        <w:rPr>
          <w:i/>
        </w:rPr>
        <w:t>Natural Heritage Trust of Australia Act 1997</w:t>
      </w:r>
      <w:r w:rsidR="00E44934" w:rsidRPr="009C5606">
        <w:t xml:space="preserve"> </w:t>
      </w:r>
      <w:r w:rsidR="00047DE0">
        <w:t>prescribe the financial statements reporting requirements of</w:t>
      </w:r>
      <w:r w:rsidR="00E44934" w:rsidRPr="009C5606">
        <w:t xml:space="preserve"> the Natural Heritage Trust of Australia Account. </w:t>
      </w:r>
    </w:p>
    <w:p w14:paraId="1FDB9B1F" w14:textId="77777777" w:rsidR="00E44934" w:rsidRDefault="00E44934" w:rsidP="001B0D2B">
      <w:pPr>
        <w:spacing w:line="276" w:lineRule="auto"/>
      </w:pPr>
    </w:p>
    <w:p w14:paraId="1FDB9B20" w14:textId="77777777" w:rsidR="00E44934" w:rsidRDefault="00E44934" w:rsidP="001B0D2B">
      <w:pPr>
        <w:spacing w:line="276" w:lineRule="auto"/>
      </w:pPr>
      <w:r>
        <w:t xml:space="preserve">Some provisions </w:t>
      </w:r>
      <w:r w:rsidR="0015715F">
        <w:t xml:space="preserve">of the FRR are made </w:t>
      </w:r>
      <w:r w:rsidR="00EB0CA7">
        <w:t>for the purpose of</w:t>
      </w:r>
      <w:r w:rsidR="0015715F">
        <w:t xml:space="preserve"> S</w:t>
      </w:r>
      <w:r w:rsidR="0044515B">
        <w:t>ubsection 102(1)(b) of the PGPA </w:t>
      </w:r>
      <w:r>
        <w:t>Act.</w:t>
      </w:r>
    </w:p>
    <w:p w14:paraId="1FDB9B21" w14:textId="77777777" w:rsidR="00AF493A" w:rsidRDefault="00AF493A" w:rsidP="001B0D2B">
      <w:pPr>
        <w:spacing w:line="276" w:lineRule="auto"/>
        <w:rPr>
          <w:b/>
        </w:rPr>
      </w:pPr>
    </w:p>
    <w:p w14:paraId="1FDB9B22" w14:textId="77777777" w:rsidR="003C52D4" w:rsidRPr="002F5E89" w:rsidRDefault="00504407" w:rsidP="00863415">
      <w:pPr>
        <w:spacing w:after="120" w:line="276" w:lineRule="auto"/>
        <w:rPr>
          <w:b/>
        </w:rPr>
      </w:pPr>
      <w:r w:rsidRPr="002F5E89">
        <w:rPr>
          <w:b/>
        </w:rPr>
        <w:t>201</w:t>
      </w:r>
      <w:r w:rsidR="00E35E59" w:rsidRPr="002F5E89">
        <w:rPr>
          <w:b/>
        </w:rPr>
        <w:t xml:space="preserve">9-20 </w:t>
      </w:r>
      <w:r w:rsidR="00A365D1" w:rsidRPr="002F5E89">
        <w:rPr>
          <w:b/>
        </w:rPr>
        <w:t>A</w:t>
      </w:r>
      <w:r w:rsidR="003C52D4" w:rsidRPr="002F5E89">
        <w:rPr>
          <w:b/>
        </w:rPr>
        <w:t>mendments</w:t>
      </w:r>
    </w:p>
    <w:p w14:paraId="1FDB9B23" w14:textId="77777777" w:rsidR="002D2CF8" w:rsidRDefault="002D2CF8" w:rsidP="001B0D2B">
      <w:pPr>
        <w:spacing w:after="160" w:line="276" w:lineRule="auto"/>
      </w:pPr>
      <w:r w:rsidRPr="002F5E89">
        <w:t>Subsection 3(2) of the FRR has been amended to align with the d</w:t>
      </w:r>
      <w:r w:rsidR="009A5C41" w:rsidRPr="002F5E89">
        <w:t>efinition of reporting period defined in</w:t>
      </w:r>
      <w:r w:rsidRPr="002F5E89">
        <w:t xml:space="preserve"> Section 8 of the PGPA Act</w:t>
      </w:r>
      <w:r w:rsidR="006008BF" w:rsidRPr="002F5E89">
        <w:t>.</w:t>
      </w:r>
    </w:p>
    <w:p w14:paraId="1FDB9B24" w14:textId="77777777" w:rsidR="003D7534" w:rsidRDefault="00D30195" w:rsidP="001B0D2B">
      <w:pPr>
        <w:spacing w:after="160" w:line="276" w:lineRule="auto"/>
      </w:pPr>
      <w:r>
        <w:t>The amendments represent changes to financial reporting policy that</w:t>
      </w:r>
      <w:r w:rsidR="009A5C41">
        <w:t xml:space="preserve"> have arisen</w:t>
      </w:r>
      <w:r>
        <w:t xml:space="preserve"> from the</w:t>
      </w:r>
      <w:r w:rsidR="009A5C41">
        <w:t>:</w:t>
      </w:r>
    </w:p>
    <w:p w14:paraId="1FDB9B25" w14:textId="77777777" w:rsidR="00D30195" w:rsidRPr="002F5E89" w:rsidRDefault="006A7E5D" w:rsidP="001B0D2B">
      <w:pPr>
        <w:pStyle w:val="ListParagraph"/>
        <w:numPr>
          <w:ilvl w:val="0"/>
          <w:numId w:val="13"/>
        </w:numPr>
        <w:spacing w:after="160" w:line="276" w:lineRule="auto"/>
      </w:pPr>
      <w:r w:rsidRPr="002F5E89">
        <w:lastRenderedPageBreak/>
        <w:t>a</w:t>
      </w:r>
      <w:r w:rsidR="00D30195" w:rsidRPr="002F5E89">
        <w:t>pplication of Australian Accounting Standards</w:t>
      </w:r>
      <w:r w:rsidR="00491A26" w:rsidRPr="002F5E89">
        <w:t>, AASB 16</w:t>
      </w:r>
      <w:r w:rsidR="00F24D3A" w:rsidRPr="002F5E89">
        <w:t xml:space="preserve"> </w:t>
      </w:r>
      <w:r w:rsidR="00491A26" w:rsidRPr="002F5E89">
        <w:rPr>
          <w:i/>
        </w:rPr>
        <w:t>Leases</w:t>
      </w:r>
      <w:r w:rsidR="002F5E89" w:rsidRPr="002F5E89">
        <w:t>.</w:t>
      </w:r>
    </w:p>
    <w:p w14:paraId="1FDB9B26" w14:textId="77777777" w:rsidR="00AB283A" w:rsidRPr="002F5E89" w:rsidRDefault="00AB283A" w:rsidP="001B0D2B">
      <w:pPr>
        <w:pStyle w:val="ListParagraph"/>
        <w:numPr>
          <w:ilvl w:val="0"/>
          <w:numId w:val="13"/>
        </w:numPr>
        <w:spacing w:after="160" w:line="276" w:lineRule="auto"/>
      </w:pPr>
      <w:r w:rsidRPr="002F5E89">
        <w:t xml:space="preserve">amendment to the list of entities </w:t>
      </w:r>
      <w:r w:rsidR="00E91E0D">
        <w:t>that</w:t>
      </w:r>
      <w:r w:rsidR="00E91E0D" w:rsidRPr="002F5E89">
        <w:t xml:space="preserve"> </w:t>
      </w:r>
      <w:r w:rsidRPr="002F5E89">
        <w:t>are required to prepare full disclosures at Tier 1 level</w:t>
      </w:r>
      <w:r w:rsidR="002F5E89" w:rsidRPr="002F5E89">
        <w:t>.</w:t>
      </w:r>
      <w:r w:rsidRPr="002F5E89">
        <w:t xml:space="preserve"> </w:t>
      </w:r>
    </w:p>
    <w:p w14:paraId="1FDB9B27" w14:textId="77777777" w:rsidR="00D100FA" w:rsidRPr="002F5E89" w:rsidRDefault="006A7E5D" w:rsidP="001B0D2B">
      <w:pPr>
        <w:pStyle w:val="ListParagraph"/>
        <w:numPr>
          <w:ilvl w:val="0"/>
          <w:numId w:val="13"/>
        </w:numPr>
        <w:spacing w:after="160" w:line="276" w:lineRule="auto"/>
      </w:pPr>
      <w:r w:rsidRPr="002F5E89">
        <w:t>a</w:t>
      </w:r>
      <w:r w:rsidR="00D100FA" w:rsidRPr="002F5E89">
        <w:t xml:space="preserve">mendments to the list of entities </w:t>
      </w:r>
      <w:r w:rsidR="00E91E0D">
        <w:t>that</w:t>
      </w:r>
      <w:r w:rsidR="00E91E0D" w:rsidRPr="002F5E89">
        <w:t xml:space="preserve"> </w:t>
      </w:r>
      <w:r w:rsidR="00D100FA" w:rsidRPr="002F5E89">
        <w:t xml:space="preserve">are required to prepare </w:t>
      </w:r>
      <w:r w:rsidR="00491A26" w:rsidRPr="002F5E89">
        <w:t>disclosure note</w:t>
      </w:r>
      <w:r w:rsidR="00E24B5E">
        <w:t>s</w:t>
      </w:r>
      <w:r w:rsidR="00491A26" w:rsidRPr="002F5E89">
        <w:t xml:space="preserve"> at </w:t>
      </w:r>
      <w:r w:rsidR="00E24B5E">
        <w:t xml:space="preserve">the </w:t>
      </w:r>
      <w:r w:rsidR="00491A26" w:rsidRPr="002F5E89">
        <w:t xml:space="preserve">Tier 1 level, and </w:t>
      </w:r>
      <w:r w:rsidR="00E91E0D">
        <w:t>that</w:t>
      </w:r>
      <w:r w:rsidR="00E91E0D" w:rsidRPr="002F5E89">
        <w:t xml:space="preserve"> </w:t>
      </w:r>
      <w:r w:rsidR="00491A26" w:rsidRPr="002F5E89">
        <w:t xml:space="preserve">are required to prepare </w:t>
      </w:r>
      <w:r w:rsidR="00C616E6" w:rsidRPr="002F5E89">
        <w:t xml:space="preserve">additional </w:t>
      </w:r>
      <w:r w:rsidR="00D100FA" w:rsidRPr="002F5E89">
        <w:t>disclosure notes at Tie</w:t>
      </w:r>
      <w:r w:rsidR="002F5E89" w:rsidRPr="002F5E89">
        <w:t>r 1 level for the listed matter.</w:t>
      </w:r>
    </w:p>
    <w:p w14:paraId="1FDB9B28" w14:textId="77777777" w:rsidR="00D30195" w:rsidRPr="002F5E89" w:rsidRDefault="00D30195" w:rsidP="001B0D2B">
      <w:pPr>
        <w:pStyle w:val="ListParagraph"/>
        <w:numPr>
          <w:ilvl w:val="0"/>
          <w:numId w:val="13"/>
        </w:numPr>
        <w:spacing w:after="160" w:line="276" w:lineRule="auto"/>
      </w:pPr>
      <w:r w:rsidRPr="002F5E89">
        <w:t xml:space="preserve">minor changes to </w:t>
      </w:r>
      <w:r w:rsidR="00F24D3A" w:rsidRPr="002F5E89">
        <w:t xml:space="preserve">clarify the </w:t>
      </w:r>
      <w:r w:rsidR="00491A26" w:rsidRPr="002F5E89">
        <w:t>exclusion of superannuation additional lump sum amount from the Key Personnel Management Remuneration</w:t>
      </w:r>
      <w:r w:rsidR="00E24B5E">
        <w:t xml:space="preserve"> (KMP)</w:t>
      </w:r>
      <w:r w:rsidR="00491A26" w:rsidRPr="002F5E89">
        <w:t xml:space="preserve"> disclosure note. </w:t>
      </w:r>
    </w:p>
    <w:p w14:paraId="1FDB9B29" w14:textId="77777777" w:rsidR="0072275C" w:rsidRPr="00407B73" w:rsidRDefault="00921AAE" w:rsidP="00863415">
      <w:pPr>
        <w:spacing w:after="120" w:line="276" w:lineRule="auto"/>
        <w:rPr>
          <w:b/>
        </w:rPr>
      </w:pPr>
      <w:r w:rsidRPr="00407B73">
        <w:rPr>
          <w:b/>
        </w:rPr>
        <w:t>Retrospectivity</w:t>
      </w:r>
      <w:r w:rsidR="002E02B6">
        <w:rPr>
          <w:b/>
        </w:rPr>
        <w:t xml:space="preserve"> and Timing</w:t>
      </w:r>
    </w:p>
    <w:p w14:paraId="1FDB9B2A" w14:textId="77777777" w:rsidR="00E6511D" w:rsidRPr="00407B73" w:rsidRDefault="00921AAE" w:rsidP="001B0D2B">
      <w:pPr>
        <w:pStyle w:val="Paragraph"/>
        <w:spacing w:before="0" w:line="276" w:lineRule="auto"/>
        <w:rPr>
          <w:szCs w:val="24"/>
        </w:rPr>
      </w:pPr>
      <w:r w:rsidRPr="00407B73">
        <w:rPr>
          <w:szCs w:val="24"/>
        </w:rPr>
        <w:t>The retrospective commencement date of this legislative instrument does not adversely affect the rights of persons or otherwise impose liabilities, other than onto the Commonwealth</w:t>
      </w:r>
      <w:r w:rsidR="002E02B6">
        <w:rPr>
          <w:szCs w:val="24"/>
        </w:rPr>
        <w:t xml:space="preserve"> or Australian Government entities</w:t>
      </w:r>
      <w:r w:rsidRPr="00407B73">
        <w:rPr>
          <w:szCs w:val="24"/>
        </w:rPr>
        <w:t>, an</w:t>
      </w:r>
      <w:r w:rsidR="00774787">
        <w:rPr>
          <w:szCs w:val="24"/>
        </w:rPr>
        <w:t>d as such, does not contravene S</w:t>
      </w:r>
      <w:r w:rsidRPr="00407B73">
        <w:rPr>
          <w:szCs w:val="24"/>
        </w:rPr>
        <w:t xml:space="preserve">ubsection 12(2) of the </w:t>
      </w:r>
      <w:r w:rsidRPr="00407B73">
        <w:rPr>
          <w:i/>
          <w:szCs w:val="24"/>
        </w:rPr>
        <w:t>Legislative Instruments Act 2003</w:t>
      </w:r>
      <w:r w:rsidRPr="00407B73">
        <w:rPr>
          <w:szCs w:val="24"/>
        </w:rPr>
        <w:t>.</w:t>
      </w:r>
      <w:r w:rsidR="0072275C" w:rsidRPr="00407B73">
        <w:rPr>
          <w:szCs w:val="24"/>
        </w:rPr>
        <w:br/>
      </w:r>
    </w:p>
    <w:p w14:paraId="1FDB9B2B" w14:textId="77777777" w:rsidR="003F1486" w:rsidRDefault="00FF2F93" w:rsidP="001B0D2B">
      <w:pPr>
        <w:pStyle w:val="Paragraph"/>
        <w:spacing w:before="0" w:line="276" w:lineRule="auto"/>
        <w:rPr>
          <w:szCs w:val="24"/>
        </w:rPr>
      </w:pPr>
      <w:r w:rsidRPr="00407B73">
        <w:rPr>
          <w:szCs w:val="24"/>
        </w:rPr>
        <w:t>A</w:t>
      </w:r>
      <w:r w:rsidR="00EB68DA" w:rsidRPr="00407B73">
        <w:rPr>
          <w:szCs w:val="24"/>
        </w:rPr>
        <w:t xml:space="preserve"> retrospective commencement date </w:t>
      </w:r>
      <w:r w:rsidR="00BE10C4" w:rsidRPr="00407B73">
        <w:rPr>
          <w:szCs w:val="24"/>
        </w:rPr>
        <w:t xml:space="preserve">has </w:t>
      </w:r>
      <w:r w:rsidR="00E959B7">
        <w:rPr>
          <w:szCs w:val="24"/>
        </w:rPr>
        <w:t>historically</w:t>
      </w:r>
      <w:r w:rsidR="00BE10C4" w:rsidRPr="00407B73">
        <w:rPr>
          <w:szCs w:val="24"/>
        </w:rPr>
        <w:t xml:space="preserve"> been</w:t>
      </w:r>
      <w:r w:rsidRPr="00407B73">
        <w:rPr>
          <w:szCs w:val="24"/>
        </w:rPr>
        <w:t xml:space="preserve"> used </w:t>
      </w:r>
      <w:r w:rsidR="00957770">
        <w:rPr>
          <w:szCs w:val="24"/>
        </w:rPr>
        <w:t xml:space="preserve">for financial reporting purposes </w:t>
      </w:r>
      <w:r w:rsidR="00EB68DA" w:rsidRPr="00407B73">
        <w:rPr>
          <w:szCs w:val="24"/>
        </w:rPr>
        <w:t xml:space="preserve">as this ensures </w:t>
      </w:r>
      <w:r w:rsidRPr="00407B73">
        <w:rPr>
          <w:szCs w:val="24"/>
        </w:rPr>
        <w:t xml:space="preserve">that </w:t>
      </w:r>
      <w:r w:rsidR="007E7DC5" w:rsidRPr="00407B73">
        <w:rPr>
          <w:szCs w:val="24"/>
        </w:rPr>
        <w:t xml:space="preserve">changes are applicable in the same </w:t>
      </w:r>
      <w:r w:rsidR="00957770">
        <w:rPr>
          <w:szCs w:val="24"/>
        </w:rPr>
        <w:t xml:space="preserve">reporting </w:t>
      </w:r>
      <w:r w:rsidR="007E7DC5" w:rsidRPr="00407B73">
        <w:rPr>
          <w:szCs w:val="24"/>
        </w:rPr>
        <w:t>period in which the</w:t>
      </w:r>
      <w:r w:rsidRPr="00407B73">
        <w:rPr>
          <w:szCs w:val="24"/>
        </w:rPr>
        <w:t xml:space="preserve"> </w:t>
      </w:r>
      <w:r w:rsidR="007E7DC5" w:rsidRPr="00407B73">
        <w:rPr>
          <w:szCs w:val="24"/>
        </w:rPr>
        <w:t>amendments are made</w:t>
      </w:r>
      <w:r w:rsidRPr="00407B73">
        <w:rPr>
          <w:szCs w:val="24"/>
        </w:rPr>
        <w:t>.</w:t>
      </w:r>
    </w:p>
    <w:p w14:paraId="1FDB9B2C" w14:textId="77777777" w:rsidR="002E02B6" w:rsidRDefault="002E02B6" w:rsidP="001B0D2B">
      <w:pPr>
        <w:pStyle w:val="Paragraph"/>
        <w:spacing w:before="0" w:line="276" w:lineRule="auto"/>
        <w:rPr>
          <w:szCs w:val="24"/>
        </w:rPr>
      </w:pPr>
    </w:p>
    <w:p w14:paraId="1FDB9B2D" w14:textId="77777777" w:rsidR="002E02B6" w:rsidRPr="00407B73" w:rsidRDefault="002E02B6" w:rsidP="001B0D2B">
      <w:pPr>
        <w:pStyle w:val="Paragraph"/>
        <w:spacing w:before="0" w:line="276" w:lineRule="auto"/>
        <w:rPr>
          <w:szCs w:val="24"/>
        </w:rPr>
      </w:pPr>
      <w:r>
        <w:rPr>
          <w:szCs w:val="24"/>
        </w:rPr>
        <w:t xml:space="preserve">For reporting periods </w:t>
      </w:r>
      <w:r w:rsidR="00D4305E">
        <w:rPr>
          <w:szCs w:val="24"/>
        </w:rPr>
        <w:t>commencing</w:t>
      </w:r>
      <w:r w:rsidR="00E07CC9">
        <w:rPr>
          <w:szCs w:val="24"/>
        </w:rPr>
        <w:t xml:space="preserve"> </w:t>
      </w:r>
      <w:r w:rsidR="00957770" w:rsidRPr="00D4305E">
        <w:rPr>
          <w:szCs w:val="24"/>
        </w:rPr>
        <w:t>befo</w:t>
      </w:r>
      <w:r w:rsidRPr="00D4305E">
        <w:rPr>
          <w:szCs w:val="24"/>
        </w:rPr>
        <w:t>re 1 July 201</w:t>
      </w:r>
      <w:r w:rsidR="00385C62" w:rsidRPr="00D4305E">
        <w:rPr>
          <w:szCs w:val="24"/>
        </w:rPr>
        <w:t>9</w:t>
      </w:r>
      <w:r w:rsidRPr="00D4305E">
        <w:rPr>
          <w:szCs w:val="24"/>
        </w:rPr>
        <w:t>,</w:t>
      </w:r>
      <w:r>
        <w:rPr>
          <w:szCs w:val="24"/>
        </w:rPr>
        <w:t xml:space="preserve"> these amendments to </w:t>
      </w:r>
      <w:r w:rsidR="006B4D64">
        <w:rPr>
          <w:szCs w:val="24"/>
        </w:rPr>
        <w:t xml:space="preserve">the </w:t>
      </w:r>
      <w:r w:rsidR="006B4D64" w:rsidRPr="00AF493A">
        <w:rPr>
          <w:i/>
          <w:szCs w:val="24"/>
        </w:rPr>
        <w:t>Public Governance, Performance and Accountability (Financial Reporting) Rule</w:t>
      </w:r>
      <w:r w:rsidR="00EB1833">
        <w:rPr>
          <w:i/>
          <w:szCs w:val="24"/>
        </w:rPr>
        <w:t> </w:t>
      </w:r>
      <w:r w:rsidR="006B4D64" w:rsidRPr="00AF493A">
        <w:rPr>
          <w:i/>
          <w:szCs w:val="24"/>
        </w:rPr>
        <w:t>2015</w:t>
      </w:r>
      <w:r w:rsidR="006B4D64">
        <w:rPr>
          <w:szCs w:val="24"/>
        </w:rPr>
        <w:t xml:space="preserve"> </w:t>
      </w:r>
      <w:r>
        <w:rPr>
          <w:szCs w:val="24"/>
        </w:rPr>
        <w:t>are not applicable.</w:t>
      </w:r>
    </w:p>
    <w:p w14:paraId="1FDB9B2E" w14:textId="77777777" w:rsidR="006B4D64" w:rsidRPr="00407B73" w:rsidRDefault="006B4D64" w:rsidP="001B0D2B">
      <w:pPr>
        <w:pStyle w:val="Paragraph"/>
        <w:spacing w:before="0" w:line="276" w:lineRule="auto"/>
        <w:rPr>
          <w:szCs w:val="24"/>
        </w:rPr>
      </w:pPr>
    </w:p>
    <w:p w14:paraId="1FDB9B2F" w14:textId="77777777" w:rsidR="00C07FE4" w:rsidRPr="00407B73" w:rsidRDefault="00C07FE4" w:rsidP="001B0D2B">
      <w:pPr>
        <w:pStyle w:val="Heading7"/>
        <w:spacing w:after="120" w:line="276" w:lineRule="auto"/>
        <w:ind w:left="0"/>
        <w:rPr>
          <w:i w:val="0"/>
          <w:iCs/>
          <w:sz w:val="24"/>
          <w:szCs w:val="24"/>
        </w:rPr>
      </w:pPr>
      <w:r w:rsidRPr="00407B73">
        <w:rPr>
          <w:i w:val="0"/>
          <w:iCs/>
          <w:sz w:val="24"/>
          <w:szCs w:val="24"/>
        </w:rPr>
        <w:t>Consultation</w:t>
      </w:r>
    </w:p>
    <w:p w14:paraId="1FDB9B30" w14:textId="77777777" w:rsidR="00E87790" w:rsidRPr="00407B73" w:rsidRDefault="00634A51" w:rsidP="001B0D2B">
      <w:pPr>
        <w:spacing w:line="276" w:lineRule="auto"/>
        <w:rPr>
          <w:lang w:val="en-GB"/>
        </w:rPr>
      </w:pPr>
      <w:r w:rsidRPr="00407B73">
        <w:rPr>
          <w:lang w:val="en-GB"/>
        </w:rPr>
        <w:t xml:space="preserve">In accordance with </w:t>
      </w:r>
      <w:r w:rsidR="00774787">
        <w:rPr>
          <w:iCs/>
        </w:rPr>
        <w:t>S</w:t>
      </w:r>
      <w:r w:rsidRPr="00407B73">
        <w:rPr>
          <w:iCs/>
        </w:rPr>
        <w:t xml:space="preserve">ection 17 of the </w:t>
      </w:r>
      <w:r w:rsidRPr="00407B73">
        <w:rPr>
          <w:i/>
          <w:iCs/>
        </w:rPr>
        <w:t>Legislative Instruments Act 2003</w:t>
      </w:r>
      <w:r w:rsidRPr="00407B73">
        <w:rPr>
          <w:iCs/>
        </w:rPr>
        <w:t xml:space="preserve">, </w:t>
      </w:r>
      <w:r w:rsidR="00100D03" w:rsidRPr="00407B73">
        <w:t xml:space="preserve">all </w:t>
      </w:r>
      <w:r w:rsidR="003E7DE2">
        <w:t>Australian Government</w:t>
      </w:r>
      <w:r w:rsidR="00100D03" w:rsidRPr="00407B73">
        <w:t xml:space="preserve"> entities required to apply the</w:t>
      </w:r>
      <w:r w:rsidR="00AF493A">
        <w:t xml:space="preserve"> amendments to the </w:t>
      </w:r>
      <w:r w:rsidR="00AF493A" w:rsidRPr="00AF493A">
        <w:rPr>
          <w:i/>
        </w:rPr>
        <w:t>Public Governance, Performance and Accountability (Financial Reporting) Rule 2015</w:t>
      </w:r>
      <w:r w:rsidR="00100D03" w:rsidRPr="00407B73">
        <w:t xml:space="preserve">, including the Australian National Audit Office, </w:t>
      </w:r>
      <w:r w:rsidR="006B3DB7">
        <w:t>were</w:t>
      </w:r>
      <w:r w:rsidR="00100D03" w:rsidRPr="00407B73">
        <w:t xml:space="preserve"> consulted</w:t>
      </w:r>
      <w:r w:rsidR="006B3DB7">
        <w:t xml:space="preserve"> </w:t>
      </w:r>
      <w:r w:rsidR="00100D03" w:rsidRPr="00407B73">
        <w:t xml:space="preserve">on the </w:t>
      </w:r>
      <w:r w:rsidR="00EB1833">
        <w:t>d</w:t>
      </w:r>
      <w:r w:rsidR="00D4338D">
        <w:t>raft amendments</w:t>
      </w:r>
      <w:r w:rsidR="006B3DB7">
        <w:t>.</w:t>
      </w:r>
      <w:r w:rsidR="00100D03" w:rsidRPr="00407B73">
        <w:t xml:space="preserve"> </w:t>
      </w:r>
    </w:p>
    <w:p w14:paraId="1FDB9B31" w14:textId="77777777" w:rsidR="00C07FE4" w:rsidRPr="00407B73" w:rsidRDefault="00C07FE4" w:rsidP="001B0D2B">
      <w:pPr>
        <w:spacing w:line="276" w:lineRule="auto"/>
      </w:pPr>
    </w:p>
    <w:p w14:paraId="1FDB9B32" w14:textId="77777777" w:rsidR="007329EA" w:rsidRPr="00407B73" w:rsidRDefault="006B4D64" w:rsidP="001B0D2B">
      <w:pPr>
        <w:pStyle w:val="BodyText3"/>
        <w:spacing w:before="0" w:line="276" w:lineRule="auto"/>
        <w:rPr>
          <w:b/>
          <w:sz w:val="24"/>
        </w:rPr>
      </w:pPr>
      <w:r>
        <w:rPr>
          <w:b/>
          <w:sz w:val="24"/>
        </w:rPr>
        <w:t>Attachments</w:t>
      </w:r>
    </w:p>
    <w:p w14:paraId="1FDB9B33" w14:textId="77777777" w:rsidR="002B5761" w:rsidRPr="002B5761" w:rsidRDefault="003D5520" w:rsidP="001B0D2B">
      <w:pPr>
        <w:spacing w:after="160" w:line="276" w:lineRule="auto"/>
      </w:pPr>
      <w:r w:rsidRPr="003D5520">
        <w:t>Details of the amendments to reporting requirements for the reporting period</w:t>
      </w:r>
      <w:r w:rsidR="00385C62">
        <w:t>s</w:t>
      </w:r>
      <w:r w:rsidR="006B3DB7">
        <w:t xml:space="preserve"> commencing on</w:t>
      </w:r>
      <w:r w:rsidR="00D4338D">
        <w:t xml:space="preserve"> </w:t>
      </w:r>
      <w:r w:rsidR="00385C62">
        <w:t>or after 1 July 2019</w:t>
      </w:r>
      <w:r w:rsidR="004A0F8A">
        <w:t xml:space="preserve"> are provided at</w:t>
      </w:r>
      <w:r w:rsidRPr="003D5520">
        <w:t xml:space="preserve"> </w:t>
      </w:r>
      <w:r w:rsidRPr="003D5520">
        <w:rPr>
          <w:u w:val="single"/>
        </w:rPr>
        <w:t>Attachment A</w:t>
      </w:r>
      <w:r w:rsidR="002B5761">
        <w:t>.</w:t>
      </w:r>
    </w:p>
    <w:p w14:paraId="1FDB9B34" w14:textId="77777777" w:rsidR="00802A29" w:rsidRPr="00407B73" w:rsidRDefault="00802A29" w:rsidP="001B0D2B">
      <w:pPr>
        <w:spacing w:line="276" w:lineRule="auto"/>
      </w:pPr>
      <w:r w:rsidRPr="00407B73">
        <w:rPr>
          <w:lang w:val="en-GB"/>
        </w:rPr>
        <w:t xml:space="preserve">The Statement of Compatibility with Human Rights as required by the </w:t>
      </w:r>
      <w:r w:rsidRPr="00407B73">
        <w:rPr>
          <w:i/>
          <w:lang w:val="en-GB"/>
        </w:rPr>
        <w:t>Human Rights (Parliamentary Scrutiny) Act 2011</w:t>
      </w:r>
      <w:r w:rsidR="004A0F8A">
        <w:rPr>
          <w:lang w:val="en-GB"/>
        </w:rPr>
        <w:t xml:space="preserve"> is provided at</w:t>
      </w:r>
      <w:r w:rsidRPr="00407B73">
        <w:rPr>
          <w:lang w:val="en-GB"/>
        </w:rPr>
        <w:t xml:space="preserve"> </w:t>
      </w:r>
      <w:r w:rsidRPr="00407B73">
        <w:rPr>
          <w:u w:val="single"/>
          <w:lang w:val="en-GB"/>
        </w:rPr>
        <w:t xml:space="preserve">Attachment </w:t>
      </w:r>
      <w:r w:rsidR="00D30195">
        <w:rPr>
          <w:u w:val="single"/>
          <w:lang w:val="en-GB"/>
        </w:rPr>
        <w:t>B</w:t>
      </w:r>
      <w:r w:rsidRPr="00407B73">
        <w:rPr>
          <w:lang w:val="en-GB"/>
        </w:rPr>
        <w:t>.</w:t>
      </w:r>
    </w:p>
    <w:p w14:paraId="1FDB9B35" w14:textId="77777777" w:rsidR="007329EA" w:rsidRPr="00407B73" w:rsidRDefault="007329EA" w:rsidP="001B0D2B">
      <w:pPr>
        <w:pStyle w:val="BodyText3"/>
        <w:spacing w:line="276" w:lineRule="auto"/>
        <w:rPr>
          <w:sz w:val="24"/>
        </w:rPr>
      </w:pPr>
    </w:p>
    <w:p w14:paraId="1FDB9B36" w14:textId="77777777" w:rsidR="00AE0023" w:rsidRPr="00407B73" w:rsidRDefault="00AE0023" w:rsidP="00397D8B">
      <w:pPr>
        <w:pStyle w:val="Heading1"/>
        <w:rPr>
          <w:lang w:val="en-AU"/>
        </w:rPr>
      </w:pPr>
    </w:p>
    <w:p w14:paraId="1FDB9B37" w14:textId="77777777" w:rsidR="007329EA" w:rsidRPr="00407B73" w:rsidRDefault="007329EA" w:rsidP="007329EA">
      <w:pPr>
        <w:sectPr w:rsidR="007329EA" w:rsidRPr="00407B73" w:rsidSect="001F35A6">
          <w:headerReference w:type="default" r:id="rId13"/>
          <w:footerReference w:type="default" r:id="rId14"/>
          <w:footerReference w:type="first" r:id="rId15"/>
          <w:pgSz w:w="11907" w:h="16840" w:code="9"/>
          <w:pgMar w:top="1135" w:right="1797" w:bottom="1440" w:left="1797" w:header="720" w:footer="209" w:gutter="0"/>
          <w:cols w:space="720"/>
          <w:docGrid w:linePitch="326"/>
        </w:sectPr>
      </w:pPr>
    </w:p>
    <w:p w14:paraId="1FDB9B38" w14:textId="77777777" w:rsidR="001F35A6" w:rsidRDefault="001F35A6" w:rsidP="001F35A6">
      <w:pPr>
        <w:pStyle w:val="Heading1"/>
        <w:spacing w:after="200" w:line="276" w:lineRule="auto"/>
        <w:jc w:val="right"/>
        <w:rPr>
          <w:u w:val="single"/>
          <w:lang w:val="en-AU"/>
        </w:rPr>
      </w:pPr>
      <w:r>
        <w:rPr>
          <w:u w:val="single"/>
          <w:lang w:val="en-AU"/>
        </w:rPr>
        <w:lastRenderedPageBreak/>
        <w:t>Attachment A</w:t>
      </w:r>
    </w:p>
    <w:p w14:paraId="1FDB9B39" w14:textId="77777777" w:rsidR="00F53ADE" w:rsidRPr="001F35A6" w:rsidRDefault="00A4668E" w:rsidP="00BA10FA">
      <w:pPr>
        <w:pStyle w:val="Heading1"/>
        <w:spacing w:after="200" w:line="276" w:lineRule="auto"/>
        <w:rPr>
          <w:i/>
          <w:u w:val="single"/>
          <w:lang w:val="en-AU"/>
        </w:rPr>
      </w:pPr>
      <w:r>
        <w:rPr>
          <w:u w:val="single"/>
          <w:lang w:val="en-AU"/>
        </w:rPr>
        <w:t xml:space="preserve">Details of the </w:t>
      </w:r>
      <w:r w:rsidR="006008BF" w:rsidRPr="00DF6107">
        <w:rPr>
          <w:u w:val="single"/>
          <w:lang w:val="en-AU"/>
        </w:rPr>
        <w:t>Public Governance, Performance and Accountability (F</w:t>
      </w:r>
      <w:r w:rsidR="00BA10FA" w:rsidRPr="00DF6107">
        <w:rPr>
          <w:u w:val="single"/>
          <w:lang w:val="en-AU"/>
        </w:rPr>
        <w:t xml:space="preserve">inancial </w:t>
      </w:r>
      <w:r w:rsidR="006008BF" w:rsidRPr="00DF6107">
        <w:rPr>
          <w:u w:val="single"/>
          <w:lang w:val="en-AU"/>
        </w:rPr>
        <w:t xml:space="preserve">Reporting) </w:t>
      </w:r>
      <w:r w:rsidR="001F35A6" w:rsidRPr="00DF6107">
        <w:rPr>
          <w:u w:val="single"/>
          <w:lang w:val="en-AU"/>
        </w:rPr>
        <w:t>Amendment (2020 Measures No. 1) Rules 2020</w:t>
      </w:r>
    </w:p>
    <w:p w14:paraId="1FDB9B3A" w14:textId="77777777" w:rsidR="003D5520" w:rsidRDefault="003D5520" w:rsidP="00AE52D8">
      <w:pPr>
        <w:spacing w:after="200" w:line="276" w:lineRule="auto"/>
        <w:jc w:val="both"/>
      </w:pPr>
      <w:r w:rsidRPr="00407B73">
        <w:t>This attachment summarises the</w:t>
      </w:r>
      <w:r>
        <w:t xml:space="preserve"> </w:t>
      </w:r>
      <w:r w:rsidRPr="00407B73">
        <w:t xml:space="preserve">amendments to </w:t>
      </w:r>
      <w:r>
        <w:t xml:space="preserve">the </w:t>
      </w:r>
      <w:r w:rsidRPr="00E44934">
        <w:rPr>
          <w:i/>
        </w:rPr>
        <w:t>Public Governance, Performance and Accountability (Financial Reporting) Rule 2015</w:t>
      </w:r>
      <w:r>
        <w:t xml:space="preserve"> </w:t>
      </w:r>
      <w:r w:rsidR="001F35A6">
        <w:t>that guide</w:t>
      </w:r>
      <w:r w:rsidRPr="00407B73">
        <w:t xml:space="preserve"> the preparation of financial statements for reporting periods </w:t>
      </w:r>
      <w:r w:rsidR="006B3DB7">
        <w:t>commencing</w:t>
      </w:r>
      <w:r w:rsidRPr="00407B73">
        <w:t xml:space="preserve"> on or after 1 July 201</w:t>
      </w:r>
      <w:r w:rsidR="00385C62">
        <w:t xml:space="preserve">9 </w:t>
      </w:r>
      <w:r w:rsidRPr="00407B73">
        <w:t xml:space="preserve">for </w:t>
      </w:r>
      <w:r>
        <w:t>Commonwealth entities</w:t>
      </w:r>
      <w:r w:rsidRPr="00407B73">
        <w:t>.</w:t>
      </w:r>
    </w:p>
    <w:p w14:paraId="1FDB9B3B" w14:textId="77777777" w:rsidR="00EA32C8" w:rsidRPr="00637578" w:rsidRDefault="00EA32C8" w:rsidP="00AE52D8">
      <w:pPr>
        <w:pStyle w:val="ListParagraph"/>
        <w:keepNext/>
        <w:numPr>
          <w:ilvl w:val="0"/>
          <w:numId w:val="7"/>
        </w:numPr>
        <w:spacing w:after="200" w:line="276" w:lineRule="auto"/>
        <w:ind w:left="351" w:right="-340" w:hanging="357"/>
        <w:contextualSpacing w:val="0"/>
        <w:jc w:val="both"/>
      </w:pPr>
      <w:r w:rsidRPr="00637578">
        <w:rPr>
          <w:i/>
          <w:u w:val="single"/>
        </w:rPr>
        <w:t xml:space="preserve">Part 1, Division </w:t>
      </w:r>
      <w:r>
        <w:rPr>
          <w:i/>
          <w:u w:val="single"/>
        </w:rPr>
        <w:t>1 - S</w:t>
      </w:r>
      <w:r w:rsidR="004430C7">
        <w:rPr>
          <w:i/>
          <w:u w:val="single"/>
        </w:rPr>
        <w:t>ubs</w:t>
      </w:r>
      <w:r>
        <w:rPr>
          <w:i/>
          <w:u w:val="single"/>
        </w:rPr>
        <w:t>ection</w:t>
      </w:r>
      <w:r w:rsidRPr="00637578">
        <w:rPr>
          <w:i/>
          <w:u w:val="single"/>
        </w:rPr>
        <w:t xml:space="preserve"> 3</w:t>
      </w:r>
      <w:r w:rsidR="004430C7">
        <w:rPr>
          <w:i/>
          <w:u w:val="single"/>
        </w:rPr>
        <w:t>(2)</w:t>
      </w:r>
      <w:r w:rsidRPr="00637578">
        <w:rPr>
          <w:i/>
          <w:u w:val="single"/>
        </w:rPr>
        <w:t xml:space="preserve"> Authority</w:t>
      </w:r>
      <w:r w:rsidRPr="00637578">
        <w:t xml:space="preserve"> </w:t>
      </w:r>
    </w:p>
    <w:p w14:paraId="1FDB9B3C" w14:textId="77777777" w:rsidR="00BA10FA" w:rsidRPr="00A6517B" w:rsidRDefault="00A6517B" w:rsidP="00AE52D8">
      <w:pPr>
        <w:spacing w:after="200" w:line="276" w:lineRule="auto"/>
        <w:jc w:val="both"/>
      </w:pPr>
      <w:r w:rsidRPr="00A6517B">
        <w:t xml:space="preserve">The </w:t>
      </w:r>
      <w:r w:rsidR="00855C7F">
        <w:t xml:space="preserve">reporting period of the FRR has been amended to align with the definition of the reporting period </w:t>
      </w:r>
      <w:r w:rsidR="00000DBF">
        <w:t xml:space="preserve">defined </w:t>
      </w:r>
      <w:r w:rsidR="00855C7F">
        <w:t>in Section 8 of the PGPA Act.</w:t>
      </w:r>
    </w:p>
    <w:p w14:paraId="1FDB9B3D" w14:textId="77777777" w:rsidR="00D572AF" w:rsidRPr="001F35A6" w:rsidRDefault="00D572AF" w:rsidP="001F35A6">
      <w:pPr>
        <w:pStyle w:val="ListParagraph"/>
        <w:numPr>
          <w:ilvl w:val="0"/>
          <w:numId w:val="7"/>
        </w:numPr>
        <w:spacing w:after="200" w:line="276" w:lineRule="auto"/>
        <w:jc w:val="both"/>
      </w:pPr>
      <w:r>
        <w:rPr>
          <w:i/>
          <w:u w:val="single"/>
        </w:rPr>
        <w:t xml:space="preserve">Part 1, Division 1 – Subsection 3(2)(c) </w:t>
      </w:r>
      <w:r w:rsidR="005948A9">
        <w:rPr>
          <w:i/>
          <w:u w:val="single"/>
        </w:rPr>
        <w:t>Authority</w:t>
      </w:r>
    </w:p>
    <w:p w14:paraId="1FDB9B3E" w14:textId="77777777" w:rsidR="009A5C41" w:rsidRDefault="005948A9" w:rsidP="00D572AF">
      <w:pPr>
        <w:spacing w:after="200" w:line="276" w:lineRule="auto"/>
        <w:jc w:val="both"/>
      </w:pPr>
      <w:r w:rsidRPr="001F35A6">
        <w:t xml:space="preserve">Subsection 3(2)(c) has been </w:t>
      </w:r>
      <w:r w:rsidR="009A5C41" w:rsidRPr="001F35A6">
        <w:t>repealed</w:t>
      </w:r>
      <w:r w:rsidRPr="001F35A6">
        <w:t xml:space="preserve"> as the </w:t>
      </w:r>
      <w:r w:rsidR="003C2B98" w:rsidRPr="001F35A6">
        <w:t xml:space="preserve">Aboriginal and Torres Strait Islander </w:t>
      </w:r>
      <w:r w:rsidRPr="001F35A6">
        <w:t>Land Account</w:t>
      </w:r>
      <w:r w:rsidR="003C2B98" w:rsidRPr="001F35A6">
        <w:t xml:space="preserve"> (Land Account)</w:t>
      </w:r>
      <w:r w:rsidR="00317CFC">
        <w:t xml:space="preserve"> is no longer in operation, and its successor, the Aboriginal and Torres Strait Islander Land and Sea Future Fund, operates under different arrangements</w:t>
      </w:r>
      <w:r w:rsidR="00D4338D" w:rsidRPr="001F35A6">
        <w:t>.</w:t>
      </w:r>
    </w:p>
    <w:p w14:paraId="1FDB9B3F" w14:textId="77777777" w:rsidR="00FE25F2" w:rsidRPr="00FE25F2" w:rsidRDefault="00FE25F2" w:rsidP="00FE25F2">
      <w:pPr>
        <w:pStyle w:val="ListParagraph"/>
        <w:keepNext/>
        <w:numPr>
          <w:ilvl w:val="0"/>
          <w:numId w:val="7"/>
        </w:numPr>
        <w:spacing w:after="200" w:line="276" w:lineRule="auto"/>
        <w:ind w:left="351" w:right="-340" w:hanging="357"/>
        <w:contextualSpacing w:val="0"/>
        <w:jc w:val="both"/>
        <w:rPr>
          <w:i/>
          <w:u w:val="single"/>
        </w:rPr>
      </w:pPr>
      <w:r w:rsidRPr="00FE25F2">
        <w:rPr>
          <w:i/>
          <w:u w:val="single"/>
        </w:rPr>
        <w:t>Part 3, Section 17 Valuation of non-financial assets (AASB 16 Leases, AASB 116 Property, Plant and Equipment, AASB 138 Intangible Assets or AASB 140 Investment Property)</w:t>
      </w:r>
    </w:p>
    <w:p w14:paraId="1FDB9B40" w14:textId="77777777" w:rsidR="00FE25F2" w:rsidRDefault="001203F5" w:rsidP="00FE25F2">
      <w:pPr>
        <w:keepNext/>
        <w:spacing w:after="200" w:line="276" w:lineRule="auto"/>
        <w:ind w:right="-340"/>
        <w:jc w:val="both"/>
      </w:pPr>
      <w:r>
        <w:t>C</w:t>
      </w:r>
      <w:r w:rsidR="00FE25F2">
        <w:t xml:space="preserve">hanges are made to section 17 and subsection 17(1) to reflect the implementation of </w:t>
      </w:r>
      <w:r w:rsidR="00E24B5E">
        <w:br/>
      </w:r>
      <w:r w:rsidR="00FE25F2">
        <w:t xml:space="preserve">AASB 16 </w:t>
      </w:r>
      <w:r w:rsidR="00FE25F2" w:rsidRPr="00FE25F2">
        <w:rPr>
          <w:i/>
        </w:rPr>
        <w:t>Leases</w:t>
      </w:r>
      <w:r w:rsidR="00FE25F2">
        <w:t>.</w:t>
      </w:r>
    </w:p>
    <w:p w14:paraId="1FDB9B41" w14:textId="77777777" w:rsidR="009F2BFC" w:rsidRDefault="00DC63E5" w:rsidP="00FE25F2">
      <w:pPr>
        <w:keepNext/>
        <w:spacing w:after="200" w:line="276" w:lineRule="auto"/>
        <w:ind w:right="-340"/>
        <w:jc w:val="both"/>
      </w:pPr>
      <w:r>
        <w:t>S</w:t>
      </w:r>
      <w:r w:rsidR="00FE25F2">
        <w:t xml:space="preserve">ubsection (2A) has been created to </w:t>
      </w:r>
      <w:r w:rsidR="000B1BBF">
        <w:t>require</w:t>
      </w:r>
      <w:r w:rsidR="00FE25F2">
        <w:t xml:space="preserve"> </w:t>
      </w:r>
      <w:r w:rsidR="009F2BFC">
        <w:t xml:space="preserve">lessee reporting entities to value right-of-use (ROU) assets recognised under AASB 16 that relate to a class of property, plant and equipment to use the cost model in AASB 16 after initial recognition. </w:t>
      </w:r>
    </w:p>
    <w:p w14:paraId="1FDB9B42" w14:textId="77777777" w:rsidR="00D4433E" w:rsidRPr="00AE52D8" w:rsidRDefault="00AA5B23" w:rsidP="00AE52D8">
      <w:pPr>
        <w:pStyle w:val="ListParagraph"/>
        <w:keepNext/>
        <w:numPr>
          <w:ilvl w:val="0"/>
          <w:numId w:val="7"/>
        </w:numPr>
        <w:spacing w:after="200" w:line="276" w:lineRule="auto"/>
        <w:ind w:left="351" w:right="-340" w:hanging="357"/>
        <w:contextualSpacing w:val="0"/>
        <w:jc w:val="both"/>
        <w:rPr>
          <w:i/>
          <w:u w:val="single"/>
        </w:rPr>
      </w:pPr>
      <w:r w:rsidRPr="00D4433E">
        <w:rPr>
          <w:i/>
          <w:u w:val="single"/>
        </w:rPr>
        <w:t xml:space="preserve">Part 3, Section 18 AASB 1053 Application of Tiers of Australian Accounting Standards </w:t>
      </w:r>
    </w:p>
    <w:p w14:paraId="1FDB9B43" w14:textId="77777777" w:rsidR="00385C62" w:rsidRPr="001F35A6" w:rsidRDefault="00385C62" w:rsidP="00AE52D8">
      <w:pPr>
        <w:spacing w:after="200" w:line="276" w:lineRule="auto"/>
        <w:jc w:val="both"/>
      </w:pPr>
      <w:r w:rsidRPr="001F35A6">
        <w:t xml:space="preserve">One entity has been added to the schedule in </w:t>
      </w:r>
      <w:r w:rsidR="009F6FCF" w:rsidRPr="001F35A6">
        <w:t>S</w:t>
      </w:r>
      <w:r w:rsidRPr="001F35A6">
        <w:t xml:space="preserve">ubsection (2). This entity will be required to prepare full financial statement disclosures under Tier 1. This amendment will ensure those entities with complex financial instruments to present a full disclosure </w:t>
      </w:r>
      <w:r w:rsidR="00E24B5E">
        <w:t xml:space="preserve">of these instruments </w:t>
      </w:r>
      <w:r w:rsidRPr="001F35A6">
        <w:t>in their financial statements.</w:t>
      </w:r>
    </w:p>
    <w:p w14:paraId="1FDB9B44" w14:textId="77777777" w:rsidR="00A9466C" w:rsidRDefault="00A9466C" w:rsidP="00A9466C">
      <w:pPr>
        <w:keepNext/>
        <w:spacing w:after="200" w:line="276" w:lineRule="auto"/>
        <w:ind w:right="-340"/>
        <w:jc w:val="both"/>
      </w:pPr>
      <w:r>
        <w:t>One entity</w:t>
      </w:r>
      <w:r w:rsidR="00422BF3">
        <w:t xml:space="preserve"> has been removed from the table in Subsection (3) as </w:t>
      </w:r>
      <w:r w:rsidRPr="00F45B04">
        <w:t>a result of the Administrative Arrangements Order that came into effect on 1 February 2020</w:t>
      </w:r>
      <w:r w:rsidR="00422BF3">
        <w:t xml:space="preserve"> abolishing that entity.</w:t>
      </w:r>
    </w:p>
    <w:p w14:paraId="1FDB9B45" w14:textId="77777777" w:rsidR="00A9466C" w:rsidRPr="00F45B04" w:rsidRDefault="00A9466C" w:rsidP="00A9466C">
      <w:pPr>
        <w:keepNext/>
        <w:spacing w:after="200" w:line="276" w:lineRule="auto"/>
        <w:ind w:right="-340"/>
        <w:jc w:val="both"/>
      </w:pPr>
      <w:r w:rsidRPr="00F45B04">
        <w:t xml:space="preserve">Four entities listed </w:t>
      </w:r>
      <w:r w:rsidR="00422BF3">
        <w:t>in the table in Subsection (3)</w:t>
      </w:r>
      <w:r w:rsidRPr="00F45B04">
        <w:t xml:space="preserve"> have been amended to reflect the administrative changes resulting from the Administrative Arrangements Order that came into effect on 1 February 2020. The Listed Matter and Listed A</w:t>
      </w:r>
      <w:r w:rsidR="00E24B5E">
        <w:t>ustralian Accounting Standards (AAS)</w:t>
      </w:r>
      <w:r w:rsidRPr="00F45B04">
        <w:t xml:space="preserve"> for these entities remain unchanged. </w:t>
      </w:r>
    </w:p>
    <w:p w14:paraId="1FDB9B46" w14:textId="77777777" w:rsidR="00AD1F88" w:rsidRPr="00AD1F88" w:rsidRDefault="00AD1F88" w:rsidP="00AE52D8">
      <w:pPr>
        <w:pStyle w:val="ListParagraph"/>
        <w:keepNext/>
        <w:numPr>
          <w:ilvl w:val="0"/>
          <w:numId w:val="7"/>
        </w:numPr>
        <w:spacing w:after="200" w:line="276" w:lineRule="auto"/>
        <w:ind w:left="357" w:right="-340"/>
        <w:contextualSpacing w:val="0"/>
        <w:jc w:val="both"/>
        <w:rPr>
          <w:i/>
          <w:u w:val="single"/>
        </w:rPr>
      </w:pPr>
      <w:r w:rsidRPr="00AD1F88">
        <w:rPr>
          <w:i/>
          <w:u w:val="single"/>
        </w:rPr>
        <w:t xml:space="preserve">Part 5, </w:t>
      </w:r>
      <w:r w:rsidR="00503295">
        <w:rPr>
          <w:i/>
          <w:u w:val="single"/>
        </w:rPr>
        <w:t>Section 25</w:t>
      </w:r>
      <w:r w:rsidR="00CC4F3F" w:rsidRPr="00CC4F3F">
        <w:rPr>
          <w:i/>
          <w:u w:val="single"/>
        </w:rPr>
        <w:t xml:space="preserve"> </w:t>
      </w:r>
      <w:r w:rsidR="00503295">
        <w:rPr>
          <w:i/>
          <w:u w:val="single"/>
        </w:rPr>
        <w:t>Measurement and disclosure of post employment plans</w:t>
      </w:r>
    </w:p>
    <w:p w14:paraId="1FDB9B47" w14:textId="77777777" w:rsidR="003D5520" w:rsidRDefault="00CC4F3F" w:rsidP="003172F3">
      <w:pPr>
        <w:pStyle w:val="ListParagraph"/>
        <w:spacing w:after="200" w:line="276" w:lineRule="auto"/>
        <w:ind w:left="0"/>
        <w:contextualSpacing w:val="0"/>
        <w:jc w:val="both"/>
      </w:pPr>
      <w:r>
        <w:t>Minor amendment</w:t>
      </w:r>
      <w:r w:rsidR="00AD1F88">
        <w:t xml:space="preserve"> to r</w:t>
      </w:r>
      <w:r w:rsidR="00503295">
        <w:t>eflect the accounting disclosure requirement of KMP remuneration that the superannuation additional lump sum payment is not an individual employee benefit and thus should be excluded from the KMP remuneration disclosure note</w:t>
      </w:r>
      <w:r w:rsidR="00AD1F88">
        <w:t>.</w:t>
      </w:r>
    </w:p>
    <w:p w14:paraId="1FDB9B48" w14:textId="77777777" w:rsidR="00D9091D" w:rsidRPr="001F35A6" w:rsidRDefault="005948A9" w:rsidP="001F35A6">
      <w:pPr>
        <w:spacing w:line="276" w:lineRule="auto"/>
        <w:ind w:right="91"/>
        <w:jc w:val="right"/>
        <w:rPr>
          <w:b/>
          <w:u w:val="single"/>
        </w:rPr>
      </w:pPr>
      <w:r>
        <w:rPr>
          <w:u w:val="single"/>
        </w:rPr>
        <w:br w:type="page"/>
      </w:r>
      <w:r w:rsidR="00D9091D" w:rsidRPr="001F35A6">
        <w:rPr>
          <w:b/>
          <w:u w:val="single"/>
        </w:rPr>
        <w:lastRenderedPageBreak/>
        <w:t>Attachment B</w:t>
      </w:r>
    </w:p>
    <w:p w14:paraId="1FDB9B49" w14:textId="77777777" w:rsidR="00D9091D" w:rsidRDefault="00D9091D" w:rsidP="001F35A6">
      <w:pPr>
        <w:spacing w:line="276" w:lineRule="auto"/>
        <w:ind w:right="91"/>
        <w:jc w:val="right"/>
        <w:rPr>
          <w:b/>
        </w:rPr>
      </w:pPr>
    </w:p>
    <w:p w14:paraId="1FDB9B4A" w14:textId="77777777" w:rsidR="00BA129C" w:rsidRPr="001F35A6" w:rsidRDefault="00BA129C" w:rsidP="00D9091D">
      <w:pPr>
        <w:spacing w:line="276" w:lineRule="auto"/>
        <w:ind w:right="91"/>
        <w:jc w:val="center"/>
        <w:rPr>
          <w:b/>
        </w:rPr>
      </w:pPr>
      <w:r w:rsidRPr="001F35A6">
        <w:rPr>
          <w:b/>
        </w:rPr>
        <w:t>Statement of Compatibility with Human Rights</w:t>
      </w:r>
    </w:p>
    <w:p w14:paraId="1FDB9B4B" w14:textId="77777777" w:rsidR="00D9091D" w:rsidRDefault="00D9091D" w:rsidP="00D9091D">
      <w:pPr>
        <w:spacing w:line="276" w:lineRule="auto"/>
        <w:ind w:right="91"/>
        <w:jc w:val="center"/>
      </w:pPr>
    </w:p>
    <w:p w14:paraId="1FDB9B4C" w14:textId="77777777" w:rsidR="00BA129C" w:rsidRPr="001D6819" w:rsidRDefault="00BA129C" w:rsidP="001F35A6">
      <w:pPr>
        <w:spacing w:line="276" w:lineRule="auto"/>
        <w:ind w:right="-1"/>
        <w:rPr>
          <w:i/>
        </w:rPr>
      </w:pPr>
      <w:r w:rsidRPr="001D6819">
        <w:t>Prepared in accordance with</w:t>
      </w:r>
      <w:r w:rsidRPr="001D6819">
        <w:rPr>
          <w:i/>
        </w:rPr>
        <w:t xml:space="preserve"> </w:t>
      </w:r>
      <w:r w:rsidRPr="001D6819">
        <w:t>Part 3 of the</w:t>
      </w:r>
      <w:r w:rsidRPr="001D6819">
        <w:rPr>
          <w:i/>
        </w:rPr>
        <w:t xml:space="preserve"> Human Rights (Parliamentary Scrutiny) Act 2011</w:t>
      </w:r>
      <w:r w:rsidR="00091CF8" w:rsidRPr="001F35A6">
        <w:t xml:space="preserve">, </w:t>
      </w:r>
      <w:r w:rsidR="00D923C1" w:rsidRPr="001F35A6">
        <w:t>S</w:t>
      </w:r>
      <w:r w:rsidR="00091CF8" w:rsidRPr="001F35A6">
        <w:t>ection 9</w:t>
      </w:r>
      <w:r w:rsidR="00D9091D">
        <w:t>.</w:t>
      </w:r>
    </w:p>
    <w:p w14:paraId="1FDB9B4D" w14:textId="77777777" w:rsidR="00BA129C" w:rsidRDefault="00BA129C" w:rsidP="001F35A6">
      <w:pPr>
        <w:spacing w:line="276" w:lineRule="auto"/>
        <w:ind w:right="91"/>
        <w:rPr>
          <w:i/>
        </w:rPr>
      </w:pPr>
    </w:p>
    <w:p w14:paraId="1FDB9B4E" w14:textId="77777777" w:rsidR="00BA129C" w:rsidRPr="001F35A6" w:rsidRDefault="0043071F" w:rsidP="001F35A6">
      <w:pPr>
        <w:spacing w:line="276" w:lineRule="auto"/>
        <w:ind w:right="91"/>
        <w:rPr>
          <w:b/>
        </w:rPr>
      </w:pPr>
      <w:r w:rsidRPr="001F35A6">
        <w:rPr>
          <w:b/>
          <w:i/>
        </w:rPr>
        <w:t xml:space="preserve">Public Governance, Performance and Accountability (Financial Reporting) </w:t>
      </w:r>
      <w:r w:rsidR="00150320" w:rsidRPr="001F35A6">
        <w:rPr>
          <w:b/>
          <w:i/>
        </w:rPr>
        <w:t xml:space="preserve">Amendment </w:t>
      </w:r>
      <w:r w:rsidR="002D2CF8" w:rsidRPr="001F35A6">
        <w:rPr>
          <w:b/>
          <w:i/>
        </w:rPr>
        <w:t xml:space="preserve">(2020 Measures No. 1) </w:t>
      </w:r>
      <w:r w:rsidRPr="001F35A6">
        <w:rPr>
          <w:b/>
          <w:i/>
        </w:rPr>
        <w:t>Rule</w:t>
      </w:r>
      <w:r w:rsidR="002D2CF8" w:rsidRPr="001F35A6">
        <w:rPr>
          <w:b/>
          <w:i/>
        </w:rPr>
        <w:t>s</w:t>
      </w:r>
      <w:r w:rsidRPr="001F35A6">
        <w:rPr>
          <w:b/>
          <w:i/>
        </w:rPr>
        <w:t xml:space="preserve"> 20</w:t>
      </w:r>
      <w:r w:rsidR="002D2CF8" w:rsidRPr="001F35A6">
        <w:rPr>
          <w:b/>
          <w:i/>
        </w:rPr>
        <w:t>20</w:t>
      </w:r>
    </w:p>
    <w:p w14:paraId="1FDB9B4F" w14:textId="77777777" w:rsidR="004430C7" w:rsidRDefault="004430C7" w:rsidP="00D9091D">
      <w:pPr>
        <w:spacing w:line="276" w:lineRule="auto"/>
        <w:ind w:right="91"/>
      </w:pPr>
    </w:p>
    <w:p w14:paraId="1FDB9B50" w14:textId="77777777" w:rsidR="00D9091D" w:rsidRPr="001F35A6" w:rsidRDefault="00D9091D" w:rsidP="001F35A6">
      <w:pPr>
        <w:spacing w:after="120" w:line="276" w:lineRule="auto"/>
        <w:ind w:right="91"/>
        <w:rPr>
          <w:i/>
        </w:rPr>
      </w:pPr>
      <w:r w:rsidRPr="001F35A6">
        <w:rPr>
          <w:i/>
        </w:rPr>
        <w:t>Overview of the legislative instrument</w:t>
      </w:r>
    </w:p>
    <w:p w14:paraId="1FDB9B51" w14:textId="77777777" w:rsidR="004430C7" w:rsidRDefault="004430C7" w:rsidP="00D9091D">
      <w:pPr>
        <w:spacing w:line="276" w:lineRule="auto"/>
        <w:ind w:right="91"/>
      </w:pPr>
      <w:r>
        <w:t>Section 101 of t</w:t>
      </w:r>
      <w:r w:rsidRPr="00F95FE8">
        <w:t xml:space="preserve">he </w:t>
      </w:r>
      <w:r w:rsidRPr="00F95FE8">
        <w:rPr>
          <w:i/>
        </w:rPr>
        <w:t>Public Governance, Performance and Accountability Act 2013</w:t>
      </w:r>
      <w:r w:rsidRPr="00F95FE8">
        <w:t xml:space="preserve"> (PGPA Act) </w:t>
      </w:r>
      <w:r>
        <w:t xml:space="preserve">provides that the Finance Minister may make rules by legislative instrument to prescribe matters giving effect to this Act. </w:t>
      </w:r>
    </w:p>
    <w:p w14:paraId="1FDB9B52" w14:textId="77777777" w:rsidR="004430C7" w:rsidRDefault="004430C7" w:rsidP="00D9091D">
      <w:pPr>
        <w:spacing w:line="276" w:lineRule="auto"/>
        <w:ind w:right="91"/>
      </w:pPr>
    </w:p>
    <w:p w14:paraId="1FDB9B53" w14:textId="77777777" w:rsidR="004430C7" w:rsidRDefault="004430C7" w:rsidP="00D9091D">
      <w:pPr>
        <w:spacing w:line="276" w:lineRule="auto"/>
        <w:ind w:right="91"/>
      </w:pPr>
      <w:r>
        <w:t xml:space="preserve">The </w:t>
      </w:r>
      <w:r w:rsidRPr="00A956FA">
        <w:rPr>
          <w:i/>
        </w:rPr>
        <w:t xml:space="preserve">Public Governance, Performance and Accountability (Financial Reporting) Amendment </w:t>
      </w:r>
      <w:r>
        <w:rPr>
          <w:i/>
        </w:rPr>
        <w:t xml:space="preserve">(2020 Measures No. 1) Rules </w:t>
      </w:r>
      <w:r w:rsidRPr="00A956FA">
        <w:rPr>
          <w:i/>
        </w:rPr>
        <w:t>20</w:t>
      </w:r>
      <w:r>
        <w:rPr>
          <w:i/>
        </w:rPr>
        <w:t xml:space="preserve">20 </w:t>
      </w:r>
      <w:r>
        <w:t xml:space="preserve">amends the </w:t>
      </w:r>
      <w:r w:rsidRPr="00A479B1">
        <w:rPr>
          <w:i/>
        </w:rPr>
        <w:t>Public G</w:t>
      </w:r>
      <w:r w:rsidRPr="008E60E1">
        <w:rPr>
          <w:i/>
        </w:rPr>
        <w:t>overnance, Performance and Accountability</w:t>
      </w:r>
      <w:r>
        <w:rPr>
          <w:i/>
        </w:rPr>
        <w:t xml:space="preserve"> (Financial Reporting) </w:t>
      </w:r>
      <w:r w:rsidRPr="008E60E1">
        <w:rPr>
          <w:i/>
        </w:rPr>
        <w:t>Rule 201</w:t>
      </w:r>
      <w:r>
        <w:rPr>
          <w:i/>
        </w:rPr>
        <w:t xml:space="preserve">5 </w:t>
      </w:r>
      <w:r w:rsidRPr="004226F4">
        <w:t>(</w:t>
      </w:r>
      <w:r w:rsidRPr="00E959B7">
        <w:t>FRR</w:t>
      </w:r>
      <w:r w:rsidRPr="004226F4">
        <w:t>)</w:t>
      </w:r>
      <w:r>
        <w:t xml:space="preserve">. Both rules are </w:t>
      </w:r>
      <w:r w:rsidRPr="00706F2A">
        <w:t>legisla</w:t>
      </w:r>
      <w:r>
        <w:t>tive instruments for the purpose</w:t>
      </w:r>
      <w:r w:rsidRPr="00706F2A">
        <w:t xml:space="preserve"> of the</w:t>
      </w:r>
      <w:r w:rsidRPr="00706F2A">
        <w:rPr>
          <w:i/>
        </w:rPr>
        <w:t xml:space="preserve"> Legislative Instruments Act</w:t>
      </w:r>
      <w:r>
        <w:rPr>
          <w:i/>
        </w:rPr>
        <w:t> </w:t>
      </w:r>
      <w:r w:rsidRPr="00706F2A">
        <w:rPr>
          <w:i/>
        </w:rPr>
        <w:t>2003.</w:t>
      </w:r>
    </w:p>
    <w:p w14:paraId="1FDB9B54" w14:textId="77777777" w:rsidR="0043071F" w:rsidRPr="001F35A6" w:rsidRDefault="0043071F" w:rsidP="00D9091D">
      <w:pPr>
        <w:spacing w:line="276" w:lineRule="auto"/>
        <w:ind w:right="91"/>
        <w:rPr>
          <w:b/>
        </w:rPr>
      </w:pPr>
    </w:p>
    <w:p w14:paraId="1FDB9B55" w14:textId="77777777" w:rsidR="004430C7" w:rsidRPr="001F35A6" w:rsidRDefault="008B4064" w:rsidP="001F35A6">
      <w:pPr>
        <w:tabs>
          <w:tab w:val="left" w:pos="4536"/>
        </w:tabs>
        <w:spacing w:after="120" w:line="276" w:lineRule="auto"/>
        <w:ind w:right="91"/>
        <w:rPr>
          <w:bCs/>
          <w:i/>
          <w:specVanish/>
        </w:rPr>
      </w:pPr>
      <w:r w:rsidRPr="001F35A6">
        <w:rPr>
          <w:bCs/>
          <w:i/>
        </w:rPr>
        <w:t>Other l</w:t>
      </w:r>
      <w:r w:rsidR="004430C7" w:rsidRPr="001F35A6">
        <w:rPr>
          <w:bCs/>
          <w:i/>
        </w:rPr>
        <w:t xml:space="preserve">egislative </w:t>
      </w:r>
      <w:r>
        <w:rPr>
          <w:bCs/>
          <w:i/>
        </w:rPr>
        <w:t>p</w:t>
      </w:r>
      <w:r w:rsidR="004430C7" w:rsidRPr="001F35A6">
        <w:rPr>
          <w:bCs/>
          <w:i/>
        </w:rPr>
        <w:t>rovisions</w:t>
      </w:r>
    </w:p>
    <w:p w14:paraId="1FDB9B56" w14:textId="77777777" w:rsidR="004430C7" w:rsidRDefault="004430C7" w:rsidP="00D9091D">
      <w:pPr>
        <w:tabs>
          <w:tab w:val="left" w:pos="4536"/>
        </w:tabs>
        <w:spacing w:line="276" w:lineRule="auto"/>
        <w:ind w:right="91"/>
      </w:pPr>
      <w:r>
        <w:t>The FRR sets out the requirements for preparation of financial statements under the following legislative provisions:</w:t>
      </w:r>
    </w:p>
    <w:p w14:paraId="1FDB9B57" w14:textId="77777777" w:rsidR="006741D7" w:rsidRDefault="006741D7" w:rsidP="006741D7">
      <w:pPr>
        <w:pStyle w:val="ListParagraph"/>
        <w:numPr>
          <w:ilvl w:val="0"/>
          <w:numId w:val="9"/>
        </w:numPr>
        <w:spacing w:line="276" w:lineRule="auto"/>
        <w:jc w:val="both"/>
      </w:pPr>
      <w:r>
        <w:t>S</w:t>
      </w:r>
      <w:r w:rsidRPr="009C5606">
        <w:t>ubsection 42(2) of the</w:t>
      </w:r>
      <w:r>
        <w:t xml:space="preserve"> PGPA Act prescribes that annual financial statements must:</w:t>
      </w:r>
    </w:p>
    <w:p w14:paraId="1FDB9B58" w14:textId="77777777" w:rsidR="006741D7" w:rsidRDefault="006741D7" w:rsidP="006741D7">
      <w:pPr>
        <w:pStyle w:val="ListParagraph"/>
        <w:numPr>
          <w:ilvl w:val="1"/>
          <w:numId w:val="9"/>
        </w:numPr>
        <w:spacing w:line="276" w:lineRule="auto"/>
        <w:jc w:val="both"/>
      </w:pPr>
      <w:r>
        <w:t>comply with accounting standards and any other requirements prescribed by the rules; and</w:t>
      </w:r>
    </w:p>
    <w:p w14:paraId="1FDB9B59" w14:textId="77777777" w:rsidR="006741D7" w:rsidRPr="009C5606" w:rsidRDefault="006741D7" w:rsidP="006741D7">
      <w:pPr>
        <w:pStyle w:val="ListParagraph"/>
        <w:numPr>
          <w:ilvl w:val="1"/>
          <w:numId w:val="9"/>
        </w:numPr>
        <w:spacing w:line="276" w:lineRule="auto"/>
        <w:jc w:val="both"/>
      </w:pPr>
      <w:r>
        <w:t>present fairly the entity’s financial position, financial performance and cash flows.</w:t>
      </w:r>
      <w:r w:rsidRPr="009C5606">
        <w:t xml:space="preserve"> </w:t>
      </w:r>
    </w:p>
    <w:p w14:paraId="1FDB9B5A" w14:textId="77777777" w:rsidR="006741D7" w:rsidRPr="009C5606" w:rsidRDefault="006741D7" w:rsidP="006741D7">
      <w:pPr>
        <w:pStyle w:val="ListParagraph"/>
        <w:numPr>
          <w:ilvl w:val="0"/>
          <w:numId w:val="9"/>
        </w:numPr>
        <w:spacing w:line="276" w:lineRule="auto"/>
        <w:jc w:val="both"/>
      </w:pPr>
      <w:r>
        <w:t>S</w:t>
      </w:r>
      <w:r w:rsidRPr="009C5606">
        <w:t xml:space="preserve">ubsection 47(1) of the </w:t>
      </w:r>
      <w:r w:rsidRPr="0071547F">
        <w:rPr>
          <w:i/>
        </w:rPr>
        <w:t>High Court of Australia Act 1979</w:t>
      </w:r>
      <w:r w:rsidRPr="009C5606">
        <w:t xml:space="preserve"> </w:t>
      </w:r>
      <w:r>
        <w:t xml:space="preserve"> prescribes the financial statements reporting requirements of the High Court of Australia;</w:t>
      </w:r>
    </w:p>
    <w:p w14:paraId="1FDB9B5B" w14:textId="77777777" w:rsidR="006741D7" w:rsidRPr="009C5606" w:rsidRDefault="006741D7" w:rsidP="006741D7">
      <w:pPr>
        <w:pStyle w:val="ListParagraph"/>
        <w:numPr>
          <w:ilvl w:val="0"/>
          <w:numId w:val="9"/>
        </w:numPr>
        <w:spacing w:line="276" w:lineRule="auto"/>
        <w:jc w:val="both"/>
      </w:pPr>
      <w:r>
        <w:t>S</w:t>
      </w:r>
      <w:r w:rsidRPr="009C5606">
        <w:t xml:space="preserve">ubsections 50B(2) and (4) of the </w:t>
      </w:r>
      <w:r w:rsidRPr="001F35A6">
        <w:rPr>
          <w:i/>
        </w:rPr>
        <w:t>Defence Service Homes Act 1918</w:t>
      </w:r>
      <w:r w:rsidRPr="009C5606">
        <w:t xml:space="preserve"> </w:t>
      </w:r>
      <w:r>
        <w:t>prescribe the financial statements reporting requirements of</w:t>
      </w:r>
      <w:r w:rsidRPr="009C5606">
        <w:t xml:space="preserve"> the Defence Service Homes Corporation; and </w:t>
      </w:r>
    </w:p>
    <w:p w14:paraId="1FDB9B5C" w14:textId="77777777" w:rsidR="006741D7" w:rsidRPr="009C5606" w:rsidRDefault="006741D7" w:rsidP="006741D7">
      <w:pPr>
        <w:pStyle w:val="ListParagraph"/>
        <w:numPr>
          <w:ilvl w:val="0"/>
          <w:numId w:val="9"/>
        </w:numPr>
        <w:spacing w:line="276" w:lineRule="auto"/>
        <w:jc w:val="both"/>
      </w:pPr>
      <w:r>
        <w:t>S</w:t>
      </w:r>
      <w:r w:rsidRPr="009C5606">
        <w:t xml:space="preserve">ubsections 43(1) and (3) of the </w:t>
      </w:r>
      <w:r w:rsidRPr="0071547F">
        <w:rPr>
          <w:i/>
        </w:rPr>
        <w:t>Natural Heritage Trust of Australia Act 1997</w:t>
      </w:r>
      <w:r w:rsidRPr="009C5606">
        <w:t xml:space="preserve"> </w:t>
      </w:r>
      <w:r>
        <w:t>prescribe the financial statements reporting requirements of</w:t>
      </w:r>
      <w:r w:rsidRPr="009C5606">
        <w:t xml:space="preserve"> the Natural Heritage Trust of Australia Account. </w:t>
      </w:r>
    </w:p>
    <w:p w14:paraId="1FDB9B5D" w14:textId="77777777" w:rsidR="006741D7" w:rsidRDefault="006741D7" w:rsidP="006741D7">
      <w:pPr>
        <w:spacing w:line="276" w:lineRule="auto"/>
      </w:pPr>
    </w:p>
    <w:p w14:paraId="1FDB9B5E" w14:textId="77777777" w:rsidR="004430C7" w:rsidRDefault="004430C7" w:rsidP="00D9091D">
      <w:pPr>
        <w:spacing w:line="276" w:lineRule="auto"/>
        <w:ind w:right="91"/>
      </w:pPr>
      <w:r>
        <w:t>Some provisions of the FRR are made for the purpose of Subsection 102(1)(b) of the PGPA Act.</w:t>
      </w:r>
    </w:p>
    <w:p w14:paraId="1FDB9B5F" w14:textId="77777777" w:rsidR="004430C7" w:rsidRPr="001F35A6" w:rsidRDefault="004430C7" w:rsidP="00D9091D">
      <w:pPr>
        <w:spacing w:line="276" w:lineRule="auto"/>
        <w:ind w:right="91"/>
        <w:rPr>
          <w:b/>
        </w:rPr>
      </w:pPr>
    </w:p>
    <w:p w14:paraId="1FDB9B60" w14:textId="77777777" w:rsidR="00B92E35" w:rsidRPr="001F35A6" w:rsidRDefault="001D6819" w:rsidP="00D9091D">
      <w:pPr>
        <w:spacing w:line="276" w:lineRule="auto"/>
        <w:ind w:right="91"/>
        <w:rPr>
          <w:i/>
        </w:rPr>
      </w:pPr>
      <w:r w:rsidRPr="001F35A6">
        <w:rPr>
          <w:i/>
        </w:rPr>
        <w:t>Human rights implications</w:t>
      </w:r>
    </w:p>
    <w:p w14:paraId="1FDB9B61" w14:textId="77777777" w:rsidR="00E835FF" w:rsidRPr="00662BFB" w:rsidRDefault="00F53ADE" w:rsidP="00D9091D">
      <w:pPr>
        <w:pStyle w:val="ListParagraph"/>
        <w:numPr>
          <w:ilvl w:val="0"/>
          <w:numId w:val="6"/>
        </w:numPr>
        <w:spacing w:before="120" w:after="120" w:line="276" w:lineRule="auto"/>
        <w:ind w:right="91"/>
        <w:rPr>
          <w:rFonts w:ascii="Calibri" w:eastAsiaTheme="minorHAnsi" w:hAnsi="Calibri"/>
        </w:rPr>
      </w:pPr>
      <w:r w:rsidRPr="00662BFB">
        <w:t xml:space="preserve">The amendments do not engage any of the applicable rights or freedoms outlined in the </w:t>
      </w:r>
      <w:r w:rsidRPr="00662BFB">
        <w:rPr>
          <w:i/>
          <w:iCs/>
        </w:rPr>
        <w:t>Human Rights (Parliamentary Scrutiny) Act 2011</w:t>
      </w:r>
      <w:r w:rsidRPr="00662BFB">
        <w:t xml:space="preserve">, such as encompassed in the </w:t>
      </w:r>
      <w:r w:rsidRPr="00662BFB">
        <w:rPr>
          <w:i/>
          <w:iCs/>
        </w:rPr>
        <w:t>International Covenant on Civil and Political Rights</w:t>
      </w:r>
      <w:r w:rsidRPr="00662BFB">
        <w:t>.</w:t>
      </w:r>
    </w:p>
    <w:p w14:paraId="1FDB9B62" w14:textId="77777777" w:rsidR="00E835FF" w:rsidRPr="00662BFB" w:rsidRDefault="00F53ADE" w:rsidP="00D9091D">
      <w:pPr>
        <w:pStyle w:val="ListParagraph"/>
        <w:numPr>
          <w:ilvl w:val="0"/>
          <w:numId w:val="6"/>
        </w:numPr>
        <w:spacing w:before="120" w:after="120" w:line="276" w:lineRule="auto"/>
        <w:ind w:right="91"/>
        <w:rPr>
          <w:rFonts w:ascii="Calibri" w:eastAsiaTheme="minorHAnsi" w:hAnsi="Calibri"/>
        </w:rPr>
      </w:pPr>
      <w:r w:rsidRPr="00662BFB">
        <w:lastRenderedPageBreak/>
        <w:t xml:space="preserve">The proposed amendments do not limit any human rights, nor propose any offences or penalties.  </w:t>
      </w:r>
    </w:p>
    <w:p w14:paraId="1FDB9B63" w14:textId="77777777" w:rsidR="00F53ADE" w:rsidRPr="00662BFB" w:rsidRDefault="00F53ADE" w:rsidP="00D9091D">
      <w:pPr>
        <w:pStyle w:val="ListParagraph"/>
        <w:numPr>
          <w:ilvl w:val="0"/>
          <w:numId w:val="6"/>
        </w:numPr>
        <w:spacing w:before="120" w:after="120" w:line="276" w:lineRule="auto"/>
        <w:ind w:right="91"/>
        <w:rPr>
          <w:rFonts w:ascii="Calibri" w:eastAsiaTheme="minorHAnsi" w:hAnsi="Calibri"/>
        </w:rPr>
      </w:pPr>
      <w:r w:rsidRPr="00662BFB">
        <w:t xml:space="preserve">This legislative instrument is therefore compatible with the human rights and freedoms recognised or declared in the international instruments listed in </w:t>
      </w:r>
      <w:r w:rsidR="008B4064">
        <w:t>Su</w:t>
      </w:r>
      <w:r w:rsidRPr="00662BFB">
        <w:t xml:space="preserve">bsection 3(1) of the </w:t>
      </w:r>
      <w:r w:rsidRPr="00662BFB">
        <w:rPr>
          <w:i/>
          <w:iCs/>
        </w:rPr>
        <w:t xml:space="preserve">Human Rights (Parliamentary Scrutiny) Act </w:t>
      </w:r>
      <w:r w:rsidRPr="00091CF8">
        <w:rPr>
          <w:i/>
          <w:iCs/>
        </w:rPr>
        <w:t>2011</w:t>
      </w:r>
      <w:r w:rsidRPr="00091CF8">
        <w:rPr>
          <w:bCs/>
        </w:rPr>
        <w:t>.</w:t>
      </w:r>
    </w:p>
    <w:p w14:paraId="1FDB9B64" w14:textId="77777777" w:rsidR="00B3043B" w:rsidRDefault="00B3043B" w:rsidP="00D9091D">
      <w:pPr>
        <w:spacing w:after="100" w:line="276" w:lineRule="auto"/>
        <w:ind w:left="360" w:right="91"/>
      </w:pPr>
    </w:p>
    <w:p w14:paraId="1FDB9B65" w14:textId="77777777" w:rsidR="00D9091D" w:rsidRDefault="00091CF8" w:rsidP="001F35A6">
      <w:pPr>
        <w:spacing w:line="276" w:lineRule="auto"/>
        <w:ind w:right="91"/>
        <w:jc w:val="center"/>
        <w:rPr>
          <w:b/>
        </w:rPr>
      </w:pPr>
      <w:r>
        <w:rPr>
          <w:b/>
        </w:rPr>
        <w:t xml:space="preserve">Senator the Honourable </w:t>
      </w:r>
      <w:r w:rsidR="00504407">
        <w:rPr>
          <w:b/>
        </w:rPr>
        <w:t>Mathias Cormann</w:t>
      </w:r>
    </w:p>
    <w:p w14:paraId="1FDB9B66" w14:textId="77777777" w:rsidR="002A4F19" w:rsidRPr="00552752" w:rsidRDefault="00BA129C" w:rsidP="001F35A6">
      <w:pPr>
        <w:spacing w:line="276" w:lineRule="auto"/>
        <w:ind w:right="91"/>
        <w:jc w:val="center"/>
        <w:rPr>
          <w:sz w:val="22"/>
          <w:szCs w:val="22"/>
          <w:highlight w:val="yellow"/>
        </w:rPr>
      </w:pPr>
      <w:r w:rsidRPr="00933F1E">
        <w:rPr>
          <w:b/>
        </w:rPr>
        <w:t xml:space="preserve">Minister for Finance </w:t>
      </w:r>
    </w:p>
    <w:sectPr w:rsidR="002A4F19" w:rsidRPr="00552752" w:rsidSect="001F35A6">
      <w:pgSz w:w="11907" w:h="16840" w:code="9"/>
      <w:pgMar w:top="993" w:right="1701" w:bottom="567" w:left="15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B9B69" w14:textId="77777777" w:rsidR="00154A28" w:rsidRDefault="00154A28">
      <w:r>
        <w:separator/>
      </w:r>
    </w:p>
  </w:endnote>
  <w:endnote w:type="continuationSeparator" w:id="0">
    <w:p w14:paraId="1FDB9B6A" w14:textId="77777777" w:rsidR="00154A28" w:rsidRDefault="0015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647" w:type="dxa"/>
      <w:tblInd w:w="-426" w:type="dxa"/>
      <w:tblLook w:val="04A0" w:firstRow="1" w:lastRow="0" w:firstColumn="1" w:lastColumn="0" w:noHBand="0" w:noVBand="1"/>
    </w:tblPr>
    <w:tblGrid>
      <w:gridCol w:w="284"/>
      <w:gridCol w:w="7655"/>
      <w:gridCol w:w="708"/>
    </w:tblGrid>
    <w:tr w:rsidR="00E14925" w14:paraId="1FDB9B70" w14:textId="77777777" w:rsidTr="001F35A6">
      <w:tc>
        <w:tcPr>
          <w:tcW w:w="284" w:type="dxa"/>
          <w:tcBorders>
            <w:left w:val="nil"/>
            <w:bottom w:val="nil"/>
            <w:right w:val="nil"/>
          </w:tcBorders>
        </w:tcPr>
        <w:p w14:paraId="1FDB9B6C" w14:textId="77777777" w:rsidR="00E14925" w:rsidRPr="006B1927" w:rsidRDefault="00E14925" w:rsidP="00557BB0">
          <w:pPr>
            <w:pStyle w:val="Footer"/>
            <w:rPr>
              <w:rFonts w:ascii="Arial" w:hAnsi="Arial" w:cs="Arial"/>
              <w:sz w:val="18"/>
            </w:rPr>
          </w:pPr>
        </w:p>
      </w:tc>
      <w:tc>
        <w:tcPr>
          <w:tcW w:w="7655" w:type="dxa"/>
          <w:tcBorders>
            <w:left w:val="nil"/>
            <w:bottom w:val="nil"/>
            <w:right w:val="nil"/>
          </w:tcBorders>
        </w:tcPr>
        <w:p w14:paraId="1FDB9B6D" w14:textId="77777777" w:rsidR="00E14925" w:rsidRPr="00E219C7" w:rsidRDefault="00E14925" w:rsidP="008F774A">
          <w:pPr>
            <w:pStyle w:val="Footer"/>
            <w:jc w:val="center"/>
          </w:pPr>
          <w:r w:rsidRPr="001F35A6">
            <w:rPr>
              <w:i/>
              <w:sz w:val="18"/>
            </w:rPr>
            <w:t>Explanatory Statement to the Public Governance, Performance and Accountability (Financial Reporting) Amendment</w:t>
          </w:r>
          <w:r w:rsidR="002D2CF8" w:rsidRPr="001F35A6">
            <w:rPr>
              <w:i/>
              <w:sz w:val="18"/>
            </w:rPr>
            <w:t xml:space="preserve"> (2020 Measures No.1)</w:t>
          </w:r>
          <w:r w:rsidR="008D36B9" w:rsidRPr="001F35A6">
            <w:rPr>
              <w:i/>
              <w:sz w:val="18"/>
            </w:rPr>
            <w:t xml:space="preserve"> </w:t>
          </w:r>
          <w:r w:rsidRPr="001F35A6">
            <w:rPr>
              <w:i/>
              <w:sz w:val="18"/>
            </w:rPr>
            <w:t>Rule</w:t>
          </w:r>
          <w:r w:rsidR="00601329">
            <w:rPr>
              <w:i/>
              <w:sz w:val="18"/>
            </w:rPr>
            <w:t>s</w:t>
          </w:r>
          <w:r w:rsidRPr="001F35A6">
            <w:rPr>
              <w:i/>
              <w:sz w:val="18"/>
            </w:rPr>
            <w:t xml:space="preserve"> 20</w:t>
          </w:r>
          <w:r w:rsidR="002D2CF8" w:rsidRPr="001F35A6">
            <w:rPr>
              <w:i/>
              <w:sz w:val="18"/>
            </w:rPr>
            <w:t>20</w:t>
          </w:r>
        </w:p>
        <w:p w14:paraId="1FDB9B6E" w14:textId="77777777" w:rsidR="00E14925" w:rsidRDefault="00E14925" w:rsidP="008E1EF8">
          <w:pPr>
            <w:pStyle w:val="Footer"/>
          </w:pPr>
        </w:p>
      </w:tc>
      <w:tc>
        <w:tcPr>
          <w:tcW w:w="708" w:type="dxa"/>
          <w:tcBorders>
            <w:left w:val="nil"/>
            <w:bottom w:val="nil"/>
            <w:right w:val="nil"/>
          </w:tcBorders>
        </w:tcPr>
        <w:p w14:paraId="1FDB9B6F" w14:textId="78472744" w:rsidR="00E14925" w:rsidRPr="001F35A6" w:rsidRDefault="00E14925" w:rsidP="008E1EF8">
          <w:pPr>
            <w:pStyle w:val="Footer"/>
            <w:rPr>
              <w:sz w:val="18"/>
              <w:szCs w:val="18"/>
            </w:rPr>
          </w:pPr>
          <w:r w:rsidRPr="001F35A6">
            <w:rPr>
              <w:rStyle w:val="PageNumber"/>
              <w:sz w:val="18"/>
              <w:szCs w:val="18"/>
            </w:rPr>
            <w:fldChar w:fldCharType="begin"/>
          </w:r>
          <w:r w:rsidRPr="001F35A6">
            <w:rPr>
              <w:rStyle w:val="PageNumber"/>
              <w:sz w:val="18"/>
              <w:szCs w:val="18"/>
            </w:rPr>
            <w:instrText xml:space="preserve"> PAGE </w:instrText>
          </w:r>
          <w:r w:rsidRPr="001F35A6">
            <w:rPr>
              <w:rStyle w:val="PageNumber"/>
              <w:sz w:val="18"/>
              <w:szCs w:val="18"/>
            </w:rPr>
            <w:fldChar w:fldCharType="separate"/>
          </w:r>
          <w:r w:rsidR="00317E11">
            <w:rPr>
              <w:rStyle w:val="PageNumber"/>
              <w:noProof/>
              <w:sz w:val="18"/>
              <w:szCs w:val="18"/>
            </w:rPr>
            <w:t>2</w:t>
          </w:r>
          <w:r w:rsidRPr="001F35A6">
            <w:rPr>
              <w:rStyle w:val="PageNumber"/>
              <w:sz w:val="18"/>
              <w:szCs w:val="18"/>
            </w:rPr>
            <w:fldChar w:fldCharType="end"/>
          </w:r>
        </w:p>
      </w:tc>
    </w:tr>
  </w:tbl>
  <w:p w14:paraId="1FDB9B71" w14:textId="77777777" w:rsidR="00E14925" w:rsidRDefault="00E14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675"/>
      <w:gridCol w:w="5954"/>
      <w:gridCol w:w="673"/>
    </w:tblGrid>
    <w:tr w:rsidR="00E14925" w:rsidRPr="001F35A6" w14:paraId="1FDB9B75" w14:textId="77777777" w:rsidTr="008E1EF8">
      <w:tc>
        <w:tcPr>
          <w:tcW w:w="675" w:type="dxa"/>
          <w:tcBorders>
            <w:left w:val="nil"/>
            <w:bottom w:val="nil"/>
            <w:right w:val="nil"/>
          </w:tcBorders>
        </w:tcPr>
        <w:p w14:paraId="1FDB9B72" w14:textId="77777777" w:rsidR="00E14925" w:rsidRPr="001F35A6" w:rsidRDefault="00E14925" w:rsidP="001F35A6">
          <w:pPr>
            <w:pStyle w:val="Footer"/>
            <w:jc w:val="center"/>
            <w:rPr>
              <w:sz w:val="18"/>
              <w:szCs w:val="18"/>
            </w:rPr>
          </w:pPr>
        </w:p>
      </w:tc>
      <w:tc>
        <w:tcPr>
          <w:tcW w:w="5954" w:type="dxa"/>
          <w:tcBorders>
            <w:left w:val="nil"/>
            <w:bottom w:val="nil"/>
            <w:right w:val="nil"/>
          </w:tcBorders>
        </w:tcPr>
        <w:p w14:paraId="1FDB9B73" w14:textId="77777777" w:rsidR="00E14925" w:rsidRPr="001F35A6" w:rsidRDefault="00E14925" w:rsidP="001F35A6">
          <w:pPr>
            <w:pStyle w:val="Footer"/>
            <w:jc w:val="center"/>
            <w:rPr>
              <w:sz w:val="18"/>
              <w:szCs w:val="18"/>
            </w:rPr>
          </w:pPr>
          <w:r w:rsidRPr="001F35A6">
            <w:rPr>
              <w:i/>
              <w:sz w:val="18"/>
              <w:szCs w:val="18"/>
            </w:rPr>
            <w:t>Explanatory Statement to the Public Governance, Performance and Accountability (Financial Reporting) Amendment</w:t>
          </w:r>
          <w:r w:rsidR="002D2CF8" w:rsidRPr="001F35A6">
            <w:rPr>
              <w:i/>
              <w:sz w:val="18"/>
              <w:szCs w:val="18"/>
            </w:rPr>
            <w:t xml:space="preserve"> (2020 Measures No.1)</w:t>
          </w:r>
          <w:r w:rsidR="00D30195" w:rsidRPr="001F35A6">
            <w:rPr>
              <w:i/>
              <w:sz w:val="18"/>
              <w:szCs w:val="18"/>
            </w:rPr>
            <w:t xml:space="preserve"> </w:t>
          </w:r>
          <w:r w:rsidRPr="001F35A6">
            <w:rPr>
              <w:i/>
              <w:sz w:val="18"/>
              <w:szCs w:val="18"/>
            </w:rPr>
            <w:t>Rule</w:t>
          </w:r>
          <w:r w:rsidR="00601329" w:rsidRPr="001F35A6">
            <w:rPr>
              <w:i/>
              <w:sz w:val="18"/>
              <w:szCs w:val="18"/>
            </w:rPr>
            <w:t>s</w:t>
          </w:r>
          <w:r w:rsidRPr="001F35A6">
            <w:rPr>
              <w:i/>
              <w:sz w:val="18"/>
              <w:szCs w:val="18"/>
            </w:rPr>
            <w:t xml:space="preserve"> 20</w:t>
          </w:r>
          <w:r w:rsidR="002D2CF8" w:rsidRPr="001F35A6">
            <w:rPr>
              <w:i/>
              <w:sz w:val="18"/>
              <w:szCs w:val="18"/>
            </w:rPr>
            <w:t>20</w:t>
          </w:r>
        </w:p>
      </w:tc>
      <w:tc>
        <w:tcPr>
          <w:tcW w:w="673" w:type="dxa"/>
          <w:tcBorders>
            <w:left w:val="nil"/>
            <w:bottom w:val="nil"/>
            <w:right w:val="nil"/>
          </w:tcBorders>
        </w:tcPr>
        <w:p w14:paraId="1FDB9B74" w14:textId="4BFA386D" w:rsidR="00E14925" w:rsidRPr="001F35A6" w:rsidRDefault="00E14925" w:rsidP="001F35A6">
          <w:pPr>
            <w:pStyle w:val="Footer"/>
            <w:jc w:val="center"/>
            <w:rPr>
              <w:sz w:val="18"/>
              <w:szCs w:val="18"/>
            </w:rPr>
          </w:pPr>
          <w:r w:rsidRPr="001F35A6">
            <w:rPr>
              <w:rStyle w:val="PageNumber"/>
              <w:sz w:val="18"/>
              <w:szCs w:val="18"/>
            </w:rPr>
            <w:fldChar w:fldCharType="begin"/>
          </w:r>
          <w:r w:rsidRPr="001F35A6">
            <w:rPr>
              <w:rStyle w:val="PageNumber"/>
              <w:sz w:val="18"/>
              <w:szCs w:val="18"/>
            </w:rPr>
            <w:instrText xml:space="preserve"> PAGE </w:instrText>
          </w:r>
          <w:r w:rsidRPr="001F35A6">
            <w:rPr>
              <w:rStyle w:val="PageNumber"/>
              <w:sz w:val="18"/>
              <w:szCs w:val="18"/>
            </w:rPr>
            <w:fldChar w:fldCharType="separate"/>
          </w:r>
          <w:r w:rsidR="00317E11">
            <w:rPr>
              <w:rStyle w:val="PageNumber"/>
              <w:noProof/>
              <w:sz w:val="18"/>
              <w:szCs w:val="18"/>
            </w:rPr>
            <w:t>3</w:t>
          </w:r>
          <w:r w:rsidRPr="001F35A6">
            <w:rPr>
              <w:rStyle w:val="PageNumber"/>
              <w:sz w:val="18"/>
              <w:szCs w:val="18"/>
            </w:rPr>
            <w:fldChar w:fldCharType="end"/>
          </w:r>
        </w:p>
      </w:tc>
    </w:tr>
  </w:tbl>
  <w:p w14:paraId="1FDB9B76" w14:textId="77777777" w:rsidR="00E14925" w:rsidRPr="001F35A6" w:rsidRDefault="00E14925" w:rsidP="001F35A6">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B9B67" w14:textId="77777777" w:rsidR="00154A28" w:rsidRDefault="00154A28">
      <w:r>
        <w:separator/>
      </w:r>
    </w:p>
  </w:footnote>
  <w:footnote w:type="continuationSeparator" w:id="0">
    <w:p w14:paraId="1FDB9B68" w14:textId="77777777" w:rsidR="00154A28" w:rsidRDefault="00154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B9B6B" w14:textId="77777777" w:rsidR="00E14925" w:rsidRDefault="00E14925">
    <w:pPr>
      <w:pStyle w:val="Header"/>
      <w:pBdr>
        <w:between w:val="single" w:sz="12"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181"/>
    <w:multiLevelType w:val="hybridMultilevel"/>
    <w:tmpl w:val="AC84F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D420AB"/>
    <w:multiLevelType w:val="hybridMultilevel"/>
    <w:tmpl w:val="D1228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249D7"/>
    <w:multiLevelType w:val="multilevel"/>
    <w:tmpl w:val="1DD006AA"/>
    <w:lvl w:ilvl="0">
      <w:start w:val="1"/>
      <w:numFmt w:val="bullet"/>
      <w:pStyle w:val="Bullet"/>
      <w:lvlText w:val=""/>
      <w:lvlJc w:val="left"/>
      <w:pPr>
        <w:tabs>
          <w:tab w:val="num" w:pos="680"/>
        </w:tabs>
        <w:ind w:left="680" w:hanging="680"/>
      </w:pPr>
      <w:rPr>
        <w:rFonts w:ascii="Symbol" w:hAnsi="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2268"/>
        </w:tabs>
        <w:ind w:left="2268" w:hanging="567"/>
      </w:pPr>
      <w:rPr>
        <w:rFonts w:ascii="Symbol" w:hAnsi="Symbol" w:cs="Symbol" w:hint="default"/>
      </w:rPr>
    </w:lvl>
    <w:lvl w:ilvl="7">
      <w:start w:val="1"/>
      <w:numFmt w:val="bullet"/>
      <w:lvlText w:val=""/>
      <w:lvlJc w:val="left"/>
      <w:pPr>
        <w:tabs>
          <w:tab w:val="num" w:pos="2835"/>
        </w:tabs>
        <w:ind w:left="2835" w:hanging="567"/>
      </w:pPr>
      <w:rPr>
        <w:rFonts w:ascii="Symbol" w:hAnsi="Symbol" w:cs="Symbol" w:hint="default"/>
      </w:rPr>
    </w:lvl>
    <w:lvl w:ilvl="8">
      <w:start w:val="1"/>
      <w:numFmt w:val="bullet"/>
      <w:lvlText w:val=""/>
      <w:lvlJc w:val="left"/>
      <w:pPr>
        <w:tabs>
          <w:tab w:val="num" w:pos="3402"/>
        </w:tabs>
        <w:ind w:left="3402" w:hanging="567"/>
      </w:pPr>
      <w:rPr>
        <w:rFonts w:ascii="Symbol" w:hAnsi="Symbol" w:cs="Symbol" w:hint="default"/>
      </w:rPr>
    </w:lvl>
  </w:abstractNum>
  <w:abstractNum w:abstractNumId="3" w15:restartNumberingAfterBreak="0">
    <w:nsid w:val="22ED0DF7"/>
    <w:multiLevelType w:val="hybridMultilevel"/>
    <w:tmpl w:val="99524468"/>
    <w:lvl w:ilvl="0" w:tplc="D48451A8">
      <w:start w:val="1"/>
      <w:numFmt w:val="bullet"/>
      <w:pStyle w:val="StyleNew"/>
      <w:lvlText w:val=""/>
      <w:lvlJc w:val="left"/>
      <w:pPr>
        <w:tabs>
          <w:tab w:val="num" w:pos="720"/>
        </w:tabs>
        <w:ind w:left="340" w:hanging="340"/>
      </w:pPr>
      <w:rPr>
        <w:rFonts w:ascii="Symbol" w:hAnsi="Symbol" w:hint="default"/>
      </w:rPr>
    </w:lvl>
    <w:lvl w:ilvl="1" w:tplc="F294D27C">
      <w:start w:val="1"/>
      <w:numFmt w:val="bullet"/>
      <w:lvlText w:val="o"/>
      <w:lvlJc w:val="left"/>
      <w:pPr>
        <w:tabs>
          <w:tab w:val="num" w:pos="927"/>
        </w:tabs>
        <w:ind w:left="907" w:hanging="340"/>
      </w:pPr>
      <w:rPr>
        <w:rFonts w:ascii="Courier New" w:hAnsi="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53F9B"/>
    <w:multiLevelType w:val="hybridMultilevel"/>
    <w:tmpl w:val="0BD65B2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AE1601"/>
    <w:multiLevelType w:val="hybridMultilevel"/>
    <w:tmpl w:val="83E2FF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E353FD"/>
    <w:multiLevelType w:val="hybridMultilevel"/>
    <w:tmpl w:val="F6E08226"/>
    <w:lvl w:ilvl="0" w:tplc="CAA24094">
      <w:start w:val="2"/>
      <w:numFmt w:val="decimal"/>
      <w:pStyle w:val="NumberedParagraph"/>
      <w:lvlText w:val="%1."/>
      <w:lvlJc w:val="left"/>
      <w:pPr>
        <w:tabs>
          <w:tab w:val="num" w:pos="680"/>
        </w:tabs>
        <w:ind w:left="680" w:hanging="68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 w15:restartNumberingAfterBreak="0">
    <w:nsid w:val="3A951A0B"/>
    <w:multiLevelType w:val="hybridMultilevel"/>
    <w:tmpl w:val="F11AFA8E"/>
    <w:lvl w:ilvl="0" w:tplc="B442E3F0">
      <w:start w:val="1"/>
      <w:numFmt w:val="decimal"/>
      <w:lvlText w:val="%1."/>
      <w:lvlJc w:val="left"/>
      <w:pPr>
        <w:ind w:left="360" w:hanging="360"/>
      </w:pPr>
      <w:rPr>
        <w:rFonts w:ascii="Times New Roman" w:hAnsi="Times New Roman"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72453FF"/>
    <w:multiLevelType w:val="hybridMultilevel"/>
    <w:tmpl w:val="3D72ADDC"/>
    <w:lvl w:ilvl="0" w:tplc="518600FA">
      <w:start w:val="1"/>
      <w:numFmt w:val="lowerLetter"/>
      <w:lvlText w:val="(%1)"/>
      <w:lvlJc w:val="left"/>
      <w:pPr>
        <w:tabs>
          <w:tab w:val="num" w:pos="1080"/>
        </w:tabs>
        <w:ind w:left="1080" w:hanging="360"/>
      </w:pPr>
      <w:rPr>
        <w:rFonts w:hint="default"/>
      </w:rPr>
    </w:lvl>
    <w:lvl w:ilvl="1" w:tplc="BCCA3CF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4AAE8450">
      <w:start w:val="1"/>
      <w:numFmt w:val="lowerLetter"/>
      <w:pStyle w:val="AmendmentHeading"/>
      <w:lvlText w:val="(%4)"/>
      <w:lvlJc w:val="left"/>
      <w:pPr>
        <w:tabs>
          <w:tab w:val="num" w:pos="3240"/>
        </w:tabs>
        <w:ind w:left="3240" w:hanging="360"/>
      </w:pPr>
      <w:rPr>
        <w:rFonts w:hint="default"/>
      </w:rPr>
    </w:lvl>
    <w:lvl w:ilvl="4" w:tplc="93CA2846">
      <w:start w:val="1"/>
      <w:numFmt w:val="bullet"/>
      <w:lvlText w:val=""/>
      <w:lvlJc w:val="left"/>
      <w:pPr>
        <w:tabs>
          <w:tab w:val="num" w:pos="3960"/>
        </w:tabs>
        <w:ind w:left="3960" w:hanging="360"/>
      </w:pPr>
      <w:rPr>
        <w:rFonts w:ascii="Symbol" w:hAnsi="Symbol" w:hint="default"/>
      </w:r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0" w15:restartNumberingAfterBreak="0">
    <w:nsid w:val="5E815138"/>
    <w:multiLevelType w:val="multilevel"/>
    <w:tmpl w:val="1578179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96C116A"/>
    <w:multiLevelType w:val="hybridMultilevel"/>
    <w:tmpl w:val="9EC6B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38338E"/>
    <w:multiLevelType w:val="singleLevel"/>
    <w:tmpl w:val="2922866A"/>
    <w:lvl w:ilvl="0">
      <w:start w:val="1"/>
      <w:numFmt w:val="bullet"/>
      <w:pStyle w:val="Colon"/>
      <w:lvlText w:val=""/>
      <w:lvlJc w:val="left"/>
      <w:pPr>
        <w:tabs>
          <w:tab w:val="num" w:pos="360"/>
        </w:tabs>
        <w:ind w:left="360" w:hanging="360"/>
      </w:pPr>
      <w:rPr>
        <w:rFonts w:ascii="Symbol" w:hAnsi="Symbol" w:cs="Times New Roman" w:hint="default"/>
      </w:rPr>
    </w:lvl>
  </w:abstractNum>
  <w:abstractNum w:abstractNumId="13" w15:restartNumberingAfterBreak="0">
    <w:nsid w:val="6A7E2E8A"/>
    <w:multiLevelType w:val="hybridMultilevel"/>
    <w:tmpl w:val="4DCCDC9C"/>
    <w:lvl w:ilvl="0" w:tplc="7288685A">
      <w:start w:val="2"/>
      <w:numFmt w:val="decimal"/>
      <w:lvlText w:val="%1."/>
      <w:lvlJc w:val="left"/>
      <w:pPr>
        <w:ind w:left="360" w:hanging="360"/>
      </w:pPr>
      <w:rPr>
        <w:rFonts w:hint="default"/>
        <w:b w:val="0"/>
        <w:color w:val="auto"/>
      </w:rPr>
    </w:lvl>
    <w:lvl w:ilvl="1" w:tplc="823CB3F4">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D3B47F6"/>
    <w:multiLevelType w:val="hybridMultilevel"/>
    <w:tmpl w:val="E55A30A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2"/>
  </w:num>
  <w:num w:numId="3">
    <w:abstractNumId w:val="2"/>
  </w:num>
  <w:num w:numId="4">
    <w:abstractNumId w:val="3"/>
  </w:num>
  <w:num w:numId="5">
    <w:abstractNumId w:val="6"/>
  </w:num>
  <w:num w:numId="6">
    <w:abstractNumId w:val="7"/>
  </w:num>
  <w:num w:numId="7">
    <w:abstractNumId w:val="10"/>
  </w:num>
  <w:num w:numId="8">
    <w:abstractNumId w:val="9"/>
  </w:num>
  <w:num w:numId="9">
    <w:abstractNumId w:val="1"/>
  </w:num>
  <w:num w:numId="10">
    <w:abstractNumId w:val="13"/>
  </w:num>
  <w:num w:numId="11">
    <w:abstractNumId w:val="4"/>
  </w:num>
  <w:num w:numId="12">
    <w:abstractNumId w:val="14"/>
  </w:num>
  <w:num w:numId="13">
    <w:abstractNumId w:val="0"/>
  </w:num>
  <w:num w:numId="14">
    <w:abstractNumId w:val="11"/>
  </w:num>
  <w:num w:numId="1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71"/>
    <w:rsid w:val="000006AD"/>
    <w:rsid w:val="00000DBF"/>
    <w:rsid w:val="00002A76"/>
    <w:rsid w:val="00005B1F"/>
    <w:rsid w:val="0000674E"/>
    <w:rsid w:val="000225FF"/>
    <w:rsid w:val="00025A18"/>
    <w:rsid w:val="00026225"/>
    <w:rsid w:val="00027A4F"/>
    <w:rsid w:val="000359A8"/>
    <w:rsid w:val="00037F5D"/>
    <w:rsid w:val="00037F9E"/>
    <w:rsid w:val="000431C7"/>
    <w:rsid w:val="000466D2"/>
    <w:rsid w:val="00046DF4"/>
    <w:rsid w:val="00047DE0"/>
    <w:rsid w:val="00047EC3"/>
    <w:rsid w:val="00051243"/>
    <w:rsid w:val="00052605"/>
    <w:rsid w:val="00061CFC"/>
    <w:rsid w:val="00067854"/>
    <w:rsid w:val="0007348C"/>
    <w:rsid w:val="00080103"/>
    <w:rsid w:val="00080BD7"/>
    <w:rsid w:val="00080F3C"/>
    <w:rsid w:val="000828E6"/>
    <w:rsid w:val="00082AF0"/>
    <w:rsid w:val="0008325B"/>
    <w:rsid w:val="00084263"/>
    <w:rsid w:val="000849FA"/>
    <w:rsid w:val="00086BCA"/>
    <w:rsid w:val="000877BA"/>
    <w:rsid w:val="00087D74"/>
    <w:rsid w:val="00091CF8"/>
    <w:rsid w:val="000922BC"/>
    <w:rsid w:val="00092773"/>
    <w:rsid w:val="000929A9"/>
    <w:rsid w:val="000936D4"/>
    <w:rsid w:val="000A154D"/>
    <w:rsid w:val="000A2D37"/>
    <w:rsid w:val="000A5D30"/>
    <w:rsid w:val="000B0097"/>
    <w:rsid w:val="000B1BBF"/>
    <w:rsid w:val="000B5C59"/>
    <w:rsid w:val="000C0C22"/>
    <w:rsid w:val="000D5BC6"/>
    <w:rsid w:val="000D6AA8"/>
    <w:rsid w:val="000E1F9A"/>
    <w:rsid w:val="000E4D75"/>
    <w:rsid w:val="000F0D7E"/>
    <w:rsid w:val="000F357C"/>
    <w:rsid w:val="000F39BE"/>
    <w:rsid w:val="000F54DA"/>
    <w:rsid w:val="000F611B"/>
    <w:rsid w:val="000F61FD"/>
    <w:rsid w:val="00100533"/>
    <w:rsid w:val="00100D03"/>
    <w:rsid w:val="001025A9"/>
    <w:rsid w:val="00107D09"/>
    <w:rsid w:val="001153CB"/>
    <w:rsid w:val="001203F5"/>
    <w:rsid w:val="00120B88"/>
    <w:rsid w:val="00131A52"/>
    <w:rsid w:val="001342BC"/>
    <w:rsid w:val="00136DC3"/>
    <w:rsid w:val="00147057"/>
    <w:rsid w:val="00150320"/>
    <w:rsid w:val="00152759"/>
    <w:rsid w:val="00152F75"/>
    <w:rsid w:val="00154A28"/>
    <w:rsid w:val="0015715F"/>
    <w:rsid w:val="00157755"/>
    <w:rsid w:val="00157C20"/>
    <w:rsid w:val="00162D25"/>
    <w:rsid w:val="00165423"/>
    <w:rsid w:val="00166809"/>
    <w:rsid w:val="00171AE6"/>
    <w:rsid w:val="00172AAE"/>
    <w:rsid w:val="00186884"/>
    <w:rsid w:val="00187921"/>
    <w:rsid w:val="00191A88"/>
    <w:rsid w:val="00192834"/>
    <w:rsid w:val="00192B28"/>
    <w:rsid w:val="0019390A"/>
    <w:rsid w:val="00194265"/>
    <w:rsid w:val="001975F4"/>
    <w:rsid w:val="001A1BDE"/>
    <w:rsid w:val="001A5228"/>
    <w:rsid w:val="001A5CE0"/>
    <w:rsid w:val="001B0D2B"/>
    <w:rsid w:val="001B3EE8"/>
    <w:rsid w:val="001D03C3"/>
    <w:rsid w:val="001D2D11"/>
    <w:rsid w:val="001D2E78"/>
    <w:rsid w:val="001D3594"/>
    <w:rsid w:val="001D6154"/>
    <w:rsid w:val="001D6819"/>
    <w:rsid w:val="001E0E7C"/>
    <w:rsid w:val="001E451E"/>
    <w:rsid w:val="001F3301"/>
    <w:rsid w:val="001F35A6"/>
    <w:rsid w:val="001F4437"/>
    <w:rsid w:val="001F63DC"/>
    <w:rsid w:val="0020394A"/>
    <w:rsid w:val="00205DBF"/>
    <w:rsid w:val="0020795E"/>
    <w:rsid w:val="00211941"/>
    <w:rsid w:val="00214EBB"/>
    <w:rsid w:val="00216EBA"/>
    <w:rsid w:val="002256D1"/>
    <w:rsid w:val="00244804"/>
    <w:rsid w:val="00246B5F"/>
    <w:rsid w:val="0025231B"/>
    <w:rsid w:val="0025262A"/>
    <w:rsid w:val="002559F4"/>
    <w:rsid w:val="00260C0B"/>
    <w:rsid w:val="002619D9"/>
    <w:rsid w:val="00264B34"/>
    <w:rsid w:val="00265A2D"/>
    <w:rsid w:val="00272419"/>
    <w:rsid w:val="00280BE8"/>
    <w:rsid w:val="0028188A"/>
    <w:rsid w:val="00282A93"/>
    <w:rsid w:val="00283A8B"/>
    <w:rsid w:val="00283EB3"/>
    <w:rsid w:val="002873F3"/>
    <w:rsid w:val="002914C7"/>
    <w:rsid w:val="00291940"/>
    <w:rsid w:val="00291AF2"/>
    <w:rsid w:val="0029530D"/>
    <w:rsid w:val="002975FE"/>
    <w:rsid w:val="002A0BFE"/>
    <w:rsid w:val="002A1AC4"/>
    <w:rsid w:val="002A2256"/>
    <w:rsid w:val="002A4F19"/>
    <w:rsid w:val="002B0ECE"/>
    <w:rsid w:val="002B2A8F"/>
    <w:rsid w:val="002B519F"/>
    <w:rsid w:val="002B5761"/>
    <w:rsid w:val="002C2376"/>
    <w:rsid w:val="002C61CF"/>
    <w:rsid w:val="002D2CF8"/>
    <w:rsid w:val="002D46B0"/>
    <w:rsid w:val="002D5FBC"/>
    <w:rsid w:val="002D7154"/>
    <w:rsid w:val="002E02B6"/>
    <w:rsid w:val="002E5296"/>
    <w:rsid w:val="002E56A4"/>
    <w:rsid w:val="002E6107"/>
    <w:rsid w:val="002E6FC0"/>
    <w:rsid w:val="002F07C0"/>
    <w:rsid w:val="002F413D"/>
    <w:rsid w:val="002F5E89"/>
    <w:rsid w:val="003016FA"/>
    <w:rsid w:val="00312B00"/>
    <w:rsid w:val="00313323"/>
    <w:rsid w:val="0031543F"/>
    <w:rsid w:val="00316808"/>
    <w:rsid w:val="00316FEA"/>
    <w:rsid w:val="003172F3"/>
    <w:rsid w:val="00317818"/>
    <w:rsid w:val="00317CFC"/>
    <w:rsid w:val="00317E11"/>
    <w:rsid w:val="003278E3"/>
    <w:rsid w:val="00334843"/>
    <w:rsid w:val="0034240F"/>
    <w:rsid w:val="00342FE2"/>
    <w:rsid w:val="003442C2"/>
    <w:rsid w:val="0035006A"/>
    <w:rsid w:val="00377742"/>
    <w:rsid w:val="00377E45"/>
    <w:rsid w:val="00380F37"/>
    <w:rsid w:val="0038364B"/>
    <w:rsid w:val="003846EF"/>
    <w:rsid w:val="00385C62"/>
    <w:rsid w:val="0039160A"/>
    <w:rsid w:val="00393A73"/>
    <w:rsid w:val="00397D8B"/>
    <w:rsid w:val="003A158A"/>
    <w:rsid w:val="003A7F2B"/>
    <w:rsid w:val="003B0BCD"/>
    <w:rsid w:val="003B4FC4"/>
    <w:rsid w:val="003B6541"/>
    <w:rsid w:val="003B7D2E"/>
    <w:rsid w:val="003C2B98"/>
    <w:rsid w:val="003C2BD1"/>
    <w:rsid w:val="003C3115"/>
    <w:rsid w:val="003C52C7"/>
    <w:rsid w:val="003C52D4"/>
    <w:rsid w:val="003D3B28"/>
    <w:rsid w:val="003D5520"/>
    <w:rsid w:val="003D7534"/>
    <w:rsid w:val="003D7C22"/>
    <w:rsid w:val="003E1B8D"/>
    <w:rsid w:val="003E2256"/>
    <w:rsid w:val="003E4D0F"/>
    <w:rsid w:val="003E590E"/>
    <w:rsid w:val="003E6864"/>
    <w:rsid w:val="003E7A7B"/>
    <w:rsid w:val="003E7DE2"/>
    <w:rsid w:val="003F1486"/>
    <w:rsid w:val="003F4C4C"/>
    <w:rsid w:val="00401667"/>
    <w:rsid w:val="00402FEF"/>
    <w:rsid w:val="004063CE"/>
    <w:rsid w:val="004079A5"/>
    <w:rsid w:val="00407B73"/>
    <w:rsid w:val="00414B72"/>
    <w:rsid w:val="00415CC5"/>
    <w:rsid w:val="00420E32"/>
    <w:rsid w:val="00421053"/>
    <w:rsid w:val="00421949"/>
    <w:rsid w:val="00422BF3"/>
    <w:rsid w:val="0043008C"/>
    <w:rsid w:val="0043071F"/>
    <w:rsid w:val="00433E04"/>
    <w:rsid w:val="004350D7"/>
    <w:rsid w:val="00436E66"/>
    <w:rsid w:val="004373D6"/>
    <w:rsid w:val="004430C7"/>
    <w:rsid w:val="004437CA"/>
    <w:rsid w:val="004450C3"/>
    <w:rsid w:val="0044515B"/>
    <w:rsid w:val="00447B1D"/>
    <w:rsid w:val="00460056"/>
    <w:rsid w:val="004636B2"/>
    <w:rsid w:val="00463A94"/>
    <w:rsid w:val="00471C6A"/>
    <w:rsid w:val="0047360F"/>
    <w:rsid w:val="00474D61"/>
    <w:rsid w:val="004810EA"/>
    <w:rsid w:val="00483742"/>
    <w:rsid w:val="00485048"/>
    <w:rsid w:val="00490663"/>
    <w:rsid w:val="00491A26"/>
    <w:rsid w:val="00492354"/>
    <w:rsid w:val="00493A05"/>
    <w:rsid w:val="00497A1E"/>
    <w:rsid w:val="004A0C36"/>
    <w:rsid w:val="004A0F8A"/>
    <w:rsid w:val="004A6B99"/>
    <w:rsid w:val="004A7FBD"/>
    <w:rsid w:val="004B385F"/>
    <w:rsid w:val="004B3C3B"/>
    <w:rsid w:val="004B6DC8"/>
    <w:rsid w:val="004C2E3F"/>
    <w:rsid w:val="004D0284"/>
    <w:rsid w:val="004D0C5F"/>
    <w:rsid w:val="004D32CD"/>
    <w:rsid w:val="004D44EF"/>
    <w:rsid w:val="004D50FB"/>
    <w:rsid w:val="004D6E83"/>
    <w:rsid w:val="004D783B"/>
    <w:rsid w:val="004E2414"/>
    <w:rsid w:val="004E43F1"/>
    <w:rsid w:val="004E4B77"/>
    <w:rsid w:val="004E5045"/>
    <w:rsid w:val="004E6863"/>
    <w:rsid w:val="004F37C4"/>
    <w:rsid w:val="004F5A0F"/>
    <w:rsid w:val="0050039A"/>
    <w:rsid w:val="00500498"/>
    <w:rsid w:val="005006C2"/>
    <w:rsid w:val="00503295"/>
    <w:rsid w:val="00504407"/>
    <w:rsid w:val="00504894"/>
    <w:rsid w:val="00506090"/>
    <w:rsid w:val="005106EC"/>
    <w:rsid w:val="0051188E"/>
    <w:rsid w:val="00513C8F"/>
    <w:rsid w:val="005158CA"/>
    <w:rsid w:val="00517ECC"/>
    <w:rsid w:val="00521E95"/>
    <w:rsid w:val="00524B43"/>
    <w:rsid w:val="00526615"/>
    <w:rsid w:val="00527733"/>
    <w:rsid w:val="00532337"/>
    <w:rsid w:val="005344EA"/>
    <w:rsid w:val="0053606E"/>
    <w:rsid w:val="0054303D"/>
    <w:rsid w:val="00544DC1"/>
    <w:rsid w:val="00551C43"/>
    <w:rsid w:val="00552752"/>
    <w:rsid w:val="00557BB0"/>
    <w:rsid w:val="00560BB8"/>
    <w:rsid w:val="0056220C"/>
    <w:rsid w:val="0056441E"/>
    <w:rsid w:val="00565BEB"/>
    <w:rsid w:val="00567AF8"/>
    <w:rsid w:val="00571147"/>
    <w:rsid w:val="00574A5F"/>
    <w:rsid w:val="00576107"/>
    <w:rsid w:val="0057752C"/>
    <w:rsid w:val="005775C2"/>
    <w:rsid w:val="00580AA7"/>
    <w:rsid w:val="0058371C"/>
    <w:rsid w:val="00592ED3"/>
    <w:rsid w:val="005948A9"/>
    <w:rsid w:val="00595DB7"/>
    <w:rsid w:val="00595EE8"/>
    <w:rsid w:val="00596521"/>
    <w:rsid w:val="005A24B2"/>
    <w:rsid w:val="005A32F6"/>
    <w:rsid w:val="005A428A"/>
    <w:rsid w:val="005A65AF"/>
    <w:rsid w:val="005B171F"/>
    <w:rsid w:val="005D0626"/>
    <w:rsid w:val="005D07D3"/>
    <w:rsid w:val="005D0E5E"/>
    <w:rsid w:val="005D1255"/>
    <w:rsid w:val="005D54B7"/>
    <w:rsid w:val="005D561B"/>
    <w:rsid w:val="005E014D"/>
    <w:rsid w:val="005E34F3"/>
    <w:rsid w:val="005E55DD"/>
    <w:rsid w:val="005E597D"/>
    <w:rsid w:val="005E6DE6"/>
    <w:rsid w:val="005E6FAE"/>
    <w:rsid w:val="005E7724"/>
    <w:rsid w:val="005F0A83"/>
    <w:rsid w:val="005F421E"/>
    <w:rsid w:val="006008BF"/>
    <w:rsid w:val="00601329"/>
    <w:rsid w:val="00602012"/>
    <w:rsid w:val="006023D2"/>
    <w:rsid w:val="0060489C"/>
    <w:rsid w:val="00612E1E"/>
    <w:rsid w:val="00622F4E"/>
    <w:rsid w:val="00634A51"/>
    <w:rsid w:val="0063500A"/>
    <w:rsid w:val="006353FC"/>
    <w:rsid w:val="00637578"/>
    <w:rsid w:val="00637C60"/>
    <w:rsid w:val="00637DC3"/>
    <w:rsid w:val="00643CC6"/>
    <w:rsid w:val="00645069"/>
    <w:rsid w:val="00647838"/>
    <w:rsid w:val="00653198"/>
    <w:rsid w:val="00655AEE"/>
    <w:rsid w:val="00656569"/>
    <w:rsid w:val="0065659E"/>
    <w:rsid w:val="0066001B"/>
    <w:rsid w:val="00660391"/>
    <w:rsid w:val="0066197A"/>
    <w:rsid w:val="00662BFB"/>
    <w:rsid w:val="006633A0"/>
    <w:rsid w:val="00663FC9"/>
    <w:rsid w:val="00664B4F"/>
    <w:rsid w:val="00666856"/>
    <w:rsid w:val="006726F2"/>
    <w:rsid w:val="00673FA9"/>
    <w:rsid w:val="006741D7"/>
    <w:rsid w:val="006743F7"/>
    <w:rsid w:val="00676D14"/>
    <w:rsid w:val="00676E5B"/>
    <w:rsid w:val="00686983"/>
    <w:rsid w:val="00691088"/>
    <w:rsid w:val="006938EF"/>
    <w:rsid w:val="00693D80"/>
    <w:rsid w:val="006A025B"/>
    <w:rsid w:val="006A7E5D"/>
    <w:rsid w:val="006B0350"/>
    <w:rsid w:val="006B075B"/>
    <w:rsid w:val="006B07DA"/>
    <w:rsid w:val="006B16ED"/>
    <w:rsid w:val="006B3BED"/>
    <w:rsid w:val="006B3DB7"/>
    <w:rsid w:val="006B49EA"/>
    <w:rsid w:val="006B4D64"/>
    <w:rsid w:val="006B4FBC"/>
    <w:rsid w:val="006C0D5B"/>
    <w:rsid w:val="006C1849"/>
    <w:rsid w:val="006C2972"/>
    <w:rsid w:val="006C3B1E"/>
    <w:rsid w:val="006D0AE0"/>
    <w:rsid w:val="006D6AEE"/>
    <w:rsid w:val="006E1B49"/>
    <w:rsid w:val="006E2ABE"/>
    <w:rsid w:val="006E4996"/>
    <w:rsid w:val="007011A9"/>
    <w:rsid w:val="00704BCD"/>
    <w:rsid w:val="00706138"/>
    <w:rsid w:val="007107BA"/>
    <w:rsid w:val="0071140C"/>
    <w:rsid w:val="007142DC"/>
    <w:rsid w:val="00714300"/>
    <w:rsid w:val="0072275C"/>
    <w:rsid w:val="00722F61"/>
    <w:rsid w:val="0072401B"/>
    <w:rsid w:val="00726491"/>
    <w:rsid w:val="00726697"/>
    <w:rsid w:val="00732580"/>
    <w:rsid w:val="007329EA"/>
    <w:rsid w:val="007334F8"/>
    <w:rsid w:val="007356CC"/>
    <w:rsid w:val="007357E3"/>
    <w:rsid w:val="00735F58"/>
    <w:rsid w:val="00737756"/>
    <w:rsid w:val="007415A3"/>
    <w:rsid w:val="0074667E"/>
    <w:rsid w:val="007510B4"/>
    <w:rsid w:val="00753CD8"/>
    <w:rsid w:val="00770FCA"/>
    <w:rsid w:val="00774787"/>
    <w:rsid w:val="00781368"/>
    <w:rsid w:val="007816D7"/>
    <w:rsid w:val="00781CF3"/>
    <w:rsid w:val="00782EF0"/>
    <w:rsid w:val="00783638"/>
    <w:rsid w:val="00783963"/>
    <w:rsid w:val="00784361"/>
    <w:rsid w:val="0078564E"/>
    <w:rsid w:val="00792494"/>
    <w:rsid w:val="00792E4C"/>
    <w:rsid w:val="007A5E36"/>
    <w:rsid w:val="007B19C1"/>
    <w:rsid w:val="007B2238"/>
    <w:rsid w:val="007C186E"/>
    <w:rsid w:val="007C424A"/>
    <w:rsid w:val="007C43FC"/>
    <w:rsid w:val="007C559A"/>
    <w:rsid w:val="007D036E"/>
    <w:rsid w:val="007E4038"/>
    <w:rsid w:val="007E6787"/>
    <w:rsid w:val="007E704C"/>
    <w:rsid w:val="007E7DC5"/>
    <w:rsid w:val="007F01FA"/>
    <w:rsid w:val="007F1E8F"/>
    <w:rsid w:val="007F4300"/>
    <w:rsid w:val="00800BFF"/>
    <w:rsid w:val="00801B54"/>
    <w:rsid w:val="00802A29"/>
    <w:rsid w:val="00804FB8"/>
    <w:rsid w:val="008063B7"/>
    <w:rsid w:val="008068CF"/>
    <w:rsid w:val="0080745A"/>
    <w:rsid w:val="0081126F"/>
    <w:rsid w:val="0081179F"/>
    <w:rsid w:val="00820235"/>
    <w:rsid w:val="00822284"/>
    <w:rsid w:val="008228F4"/>
    <w:rsid w:val="00826F2F"/>
    <w:rsid w:val="0083136D"/>
    <w:rsid w:val="0083205F"/>
    <w:rsid w:val="008325BE"/>
    <w:rsid w:val="00833243"/>
    <w:rsid w:val="00833D5B"/>
    <w:rsid w:val="008356AC"/>
    <w:rsid w:val="00846FCB"/>
    <w:rsid w:val="00850535"/>
    <w:rsid w:val="00851C50"/>
    <w:rsid w:val="00852AF7"/>
    <w:rsid w:val="00855C7F"/>
    <w:rsid w:val="00856212"/>
    <w:rsid w:val="00863415"/>
    <w:rsid w:val="008658C0"/>
    <w:rsid w:val="008669DE"/>
    <w:rsid w:val="00867E15"/>
    <w:rsid w:val="00877539"/>
    <w:rsid w:val="00883EF9"/>
    <w:rsid w:val="00885099"/>
    <w:rsid w:val="008921CA"/>
    <w:rsid w:val="0089329B"/>
    <w:rsid w:val="00894B98"/>
    <w:rsid w:val="008968B4"/>
    <w:rsid w:val="008A00E5"/>
    <w:rsid w:val="008A1BDA"/>
    <w:rsid w:val="008A6315"/>
    <w:rsid w:val="008A7621"/>
    <w:rsid w:val="008A7AAF"/>
    <w:rsid w:val="008B23D0"/>
    <w:rsid w:val="008B4064"/>
    <w:rsid w:val="008C0198"/>
    <w:rsid w:val="008C15F5"/>
    <w:rsid w:val="008D0219"/>
    <w:rsid w:val="008D1087"/>
    <w:rsid w:val="008D36B9"/>
    <w:rsid w:val="008D4E91"/>
    <w:rsid w:val="008D5ED9"/>
    <w:rsid w:val="008E144D"/>
    <w:rsid w:val="008E1EF8"/>
    <w:rsid w:val="008E64A4"/>
    <w:rsid w:val="008F0FE1"/>
    <w:rsid w:val="008F48A3"/>
    <w:rsid w:val="008F631D"/>
    <w:rsid w:val="008F774A"/>
    <w:rsid w:val="009004C4"/>
    <w:rsid w:val="00903BC5"/>
    <w:rsid w:val="00920E7B"/>
    <w:rsid w:val="009212D5"/>
    <w:rsid w:val="00921AAE"/>
    <w:rsid w:val="009301EC"/>
    <w:rsid w:val="00932D06"/>
    <w:rsid w:val="00933FDE"/>
    <w:rsid w:val="00935A56"/>
    <w:rsid w:val="0093607D"/>
    <w:rsid w:val="00946A32"/>
    <w:rsid w:val="00947296"/>
    <w:rsid w:val="009565DD"/>
    <w:rsid w:val="00957770"/>
    <w:rsid w:val="00957B20"/>
    <w:rsid w:val="00962C2B"/>
    <w:rsid w:val="009646B1"/>
    <w:rsid w:val="00966042"/>
    <w:rsid w:val="00966BE4"/>
    <w:rsid w:val="00973D8F"/>
    <w:rsid w:val="009743A6"/>
    <w:rsid w:val="009766BD"/>
    <w:rsid w:val="009873C4"/>
    <w:rsid w:val="009900EE"/>
    <w:rsid w:val="009A03BF"/>
    <w:rsid w:val="009A158E"/>
    <w:rsid w:val="009A40AB"/>
    <w:rsid w:val="009A51A2"/>
    <w:rsid w:val="009A5C41"/>
    <w:rsid w:val="009A6ACB"/>
    <w:rsid w:val="009A7188"/>
    <w:rsid w:val="009B558C"/>
    <w:rsid w:val="009B5ABE"/>
    <w:rsid w:val="009C6DA8"/>
    <w:rsid w:val="009D0F0F"/>
    <w:rsid w:val="009D2058"/>
    <w:rsid w:val="009D2CB0"/>
    <w:rsid w:val="009D3BA7"/>
    <w:rsid w:val="009D42C3"/>
    <w:rsid w:val="009D50F8"/>
    <w:rsid w:val="009E2A6F"/>
    <w:rsid w:val="009E3AC5"/>
    <w:rsid w:val="009E4155"/>
    <w:rsid w:val="009E5297"/>
    <w:rsid w:val="009F2BFC"/>
    <w:rsid w:val="009F4285"/>
    <w:rsid w:val="009F6FCF"/>
    <w:rsid w:val="00A02879"/>
    <w:rsid w:val="00A03E9B"/>
    <w:rsid w:val="00A04381"/>
    <w:rsid w:val="00A04C8D"/>
    <w:rsid w:val="00A06501"/>
    <w:rsid w:val="00A13A6F"/>
    <w:rsid w:val="00A13C0C"/>
    <w:rsid w:val="00A14A22"/>
    <w:rsid w:val="00A15936"/>
    <w:rsid w:val="00A175A1"/>
    <w:rsid w:val="00A17E7E"/>
    <w:rsid w:val="00A22631"/>
    <w:rsid w:val="00A242F8"/>
    <w:rsid w:val="00A25B03"/>
    <w:rsid w:val="00A26C80"/>
    <w:rsid w:val="00A34B42"/>
    <w:rsid w:val="00A365D1"/>
    <w:rsid w:val="00A36BEF"/>
    <w:rsid w:val="00A36EDF"/>
    <w:rsid w:val="00A37F70"/>
    <w:rsid w:val="00A40D51"/>
    <w:rsid w:val="00A444FC"/>
    <w:rsid w:val="00A453BF"/>
    <w:rsid w:val="00A4668E"/>
    <w:rsid w:val="00A515D7"/>
    <w:rsid w:val="00A54AC3"/>
    <w:rsid w:val="00A5730B"/>
    <w:rsid w:val="00A6517B"/>
    <w:rsid w:val="00A66004"/>
    <w:rsid w:val="00A72962"/>
    <w:rsid w:val="00A74B02"/>
    <w:rsid w:val="00A75307"/>
    <w:rsid w:val="00A813A7"/>
    <w:rsid w:val="00A82581"/>
    <w:rsid w:val="00A87691"/>
    <w:rsid w:val="00A9217D"/>
    <w:rsid w:val="00A92C78"/>
    <w:rsid w:val="00A9466C"/>
    <w:rsid w:val="00A956FA"/>
    <w:rsid w:val="00AA3B70"/>
    <w:rsid w:val="00AA5B23"/>
    <w:rsid w:val="00AB283A"/>
    <w:rsid w:val="00AB3E8B"/>
    <w:rsid w:val="00AB49DF"/>
    <w:rsid w:val="00AC3C71"/>
    <w:rsid w:val="00AC4724"/>
    <w:rsid w:val="00AC6E54"/>
    <w:rsid w:val="00AC7E87"/>
    <w:rsid w:val="00AD1F88"/>
    <w:rsid w:val="00AD23B9"/>
    <w:rsid w:val="00AD7668"/>
    <w:rsid w:val="00AD782F"/>
    <w:rsid w:val="00AE000F"/>
    <w:rsid w:val="00AE0023"/>
    <w:rsid w:val="00AE316C"/>
    <w:rsid w:val="00AE52D8"/>
    <w:rsid w:val="00AF00A4"/>
    <w:rsid w:val="00AF1341"/>
    <w:rsid w:val="00AF493A"/>
    <w:rsid w:val="00AF4F1F"/>
    <w:rsid w:val="00AF5175"/>
    <w:rsid w:val="00AF6CC3"/>
    <w:rsid w:val="00B001C2"/>
    <w:rsid w:val="00B00F76"/>
    <w:rsid w:val="00B03931"/>
    <w:rsid w:val="00B04180"/>
    <w:rsid w:val="00B04D05"/>
    <w:rsid w:val="00B05B69"/>
    <w:rsid w:val="00B0703A"/>
    <w:rsid w:val="00B12D7B"/>
    <w:rsid w:val="00B1303F"/>
    <w:rsid w:val="00B14E83"/>
    <w:rsid w:val="00B163FC"/>
    <w:rsid w:val="00B2178C"/>
    <w:rsid w:val="00B23E29"/>
    <w:rsid w:val="00B3043B"/>
    <w:rsid w:val="00B31D91"/>
    <w:rsid w:val="00B33711"/>
    <w:rsid w:val="00B3474A"/>
    <w:rsid w:val="00B400D9"/>
    <w:rsid w:val="00B403FC"/>
    <w:rsid w:val="00B40BF9"/>
    <w:rsid w:val="00B546C3"/>
    <w:rsid w:val="00B57F74"/>
    <w:rsid w:val="00B60189"/>
    <w:rsid w:val="00B60A92"/>
    <w:rsid w:val="00B6108D"/>
    <w:rsid w:val="00B6687F"/>
    <w:rsid w:val="00B66C72"/>
    <w:rsid w:val="00B77B86"/>
    <w:rsid w:val="00B8228D"/>
    <w:rsid w:val="00B83BCD"/>
    <w:rsid w:val="00B8691D"/>
    <w:rsid w:val="00B92945"/>
    <w:rsid w:val="00B92E35"/>
    <w:rsid w:val="00BA0F45"/>
    <w:rsid w:val="00BA10FA"/>
    <w:rsid w:val="00BA129C"/>
    <w:rsid w:val="00BA3775"/>
    <w:rsid w:val="00BA4BD5"/>
    <w:rsid w:val="00BB1181"/>
    <w:rsid w:val="00BB2BFB"/>
    <w:rsid w:val="00BC3AA2"/>
    <w:rsid w:val="00BC79C3"/>
    <w:rsid w:val="00BE10C4"/>
    <w:rsid w:val="00BE1461"/>
    <w:rsid w:val="00BE2929"/>
    <w:rsid w:val="00BF1257"/>
    <w:rsid w:val="00BF642F"/>
    <w:rsid w:val="00C04EDA"/>
    <w:rsid w:val="00C07FE4"/>
    <w:rsid w:val="00C1173D"/>
    <w:rsid w:val="00C1317F"/>
    <w:rsid w:val="00C1372C"/>
    <w:rsid w:val="00C16078"/>
    <w:rsid w:val="00C20B32"/>
    <w:rsid w:val="00C21AFD"/>
    <w:rsid w:val="00C23646"/>
    <w:rsid w:val="00C26185"/>
    <w:rsid w:val="00C42242"/>
    <w:rsid w:val="00C435EA"/>
    <w:rsid w:val="00C458F6"/>
    <w:rsid w:val="00C45A5C"/>
    <w:rsid w:val="00C5251E"/>
    <w:rsid w:val="00C5393C"/>
    <w:rsid w:val="00C54B34"/>
    <w:rsid w:val="00C57046"/>
    <w:rsid w:val="00C616E6"/>
    <w:rsid w:val="00C61AB9"/>
    <w:rsid w:val="00C61CF4"/>
    <w:rsid w:val="00C62D1C"/>
    <w:rsid w:val="00C65E72"/>
    <w:rsid w:val="00C73CEC"/>
    <w:rsid w:val="00C748B2"/>
    <w:rsid w:val="00C74DEE"/>
    <w:rsid w:val="00C759D1"/>
    <w:rsid w:val="00C80021"/>
    <w:rsid w:val="00C8629C"/>
    <w:rsid w:val="00C904A3"/>
    <w:rsid w:val="00C94F6C"/>
    <w:rsid w:val="00C95FFD"/>
    <w:rsid w:val="00C97DDA"/>
    <w:rsid w:val="00CA1AB8"/>
    <w:rsid w:val="00CA4E0E"/>
    <w:rsid w:val="00CB0429"/>
    <w:rsid w:val="00CB165A"/>
    <w:rsid w:val="00CB2978"/>
    <w:rsid w:val="00CB2A31"/>
    <w:rsid w:val="00CC12B3"/>
    <w:rsid w:val="00CC1F2D"/>
    <w:rsid w:val="00CC4F3F"/>
    <w:rsid w:val="00CC6493"/>
    <w:rsid w:val="00CD5987"/>
    <w:rsid w:val="00CE37D8"/>
    <w:rsid w:val="00CE5717"/>
    <w:rsid w:val="00CE67B8"/>
    <w:rsid w:val="00CF1AE9"/>
    <w:rsid w:val="00CF2286"/>
    <w:rsid w:val="00CF60E2"/>
    <w:rsid w:val="00CF6BBF"/>
    <w:rsid w:val="00D0245E"/>
    <w:rsid w:val="00D07826"/>
    <w:rsid w:val="00D100FA"/>
    <w:rsid w:val="00D104A4"/>
    <w:rsid w:val="00D17F28"/>
    <w:rsid w:val="00D30195"/>
    <w:rsid w:val="00D344F8"/>
    <w:rsid w:val="00D37ED2"/>
    <w:rsid w:val="00D4305E"/>
    <w:rsid w:val="00D4338D"/>
    <w:rsid w:val="00D4433E"/>
    <w:rsid w:val="00D46A63"/>
    <w:rsid w:val="00D5036C"/>
    <w:rsid w:val="00D515B1"/>
    <w:rsid w:val="00D56281"/>
    <w:rsid w:val="00D572AF"/>
    <w:rsid w:val="00D65880"/>
    <w:rsid w:val="00D65941"/>
    <w:rsid w:val="00D72A20"/>
    <w:rsid w:val="00D75DC3"/>
    <w:rsid w:val="00D76FA2"/>
    <w:rsid w:val="00D8231E"/>
    <w:rsid w:val="00D82A3C"/>
    <w:rsid w:val="00D84F5A"/>
    <w:rsid w:val="00D8500D"/>
    <w:rsid w:val="00D90200"/>
    <w:rsid w:val="00D9091D"/>
    <w:rsid w:val="00D923C1"/>
    <w:rsid w:val="00D95A58"/>
    <w:rsid w:val="00DA003F"/>
    <w:rsid w:val="00DA3305"/>
    <w:rsid w:val="00DA47EA"/>
    <w:rsid w:val="00DA74CD"/>
    <w:rsid w:val="00DB1F1C"/>
    <w:rsid w:val="00DB29DB"/>
    <w:rsid w:val="00DC52F8"/>
    <w:rsid w:val="00DC63E5"/>
    <w:rsid w:val="00DC6916"/>
    <w:rsid w:val="00DC6B86"/>
    <w:rsid w:val="00DD1D67"/>
    <w:rsid w:val="00DE0F68"/>
    <w:rsid w:val="00DE288F"/>
    <w:rsid w:val="00DF6107"/>
    <w:rsid w:val="00DF632B"/>
    <w:rsid w:val="00E02A89"/>
    <w:rsid w:val="00E061F0"/>
    <w:rsid w:val="00E07CC9"/>
    <w:rsid w:val="00E13AED"/>
    <w:rsid w:val="00E14925"/>
    <w:rsid w:val="00E15E81"/>
    <w:rsid w:val="00E219C7"/>
    <w:rsid w:val="00E21A41"/>
    <w:rsid w:val="00E21BFF"/>
    <w:rsid w:val="00E22740"/>
    <w:rsid w:val="00E23480"/>
    <w:rsid w:val="00E24B5E"/>
    <w:rsid w:val="00E259A1"/>
    <w:rsid w:val="00E33B33"/>
    <w:rsid w:val="00E35E59"/>
    <w:rsid w:val="00E44659"/>
    <w:rsid w:val="00E44934"/>
    <w:rsid w:val="00E46F82"/>
    <w:rsid w:val="00E50935"/>
    <w:rsid w:val="00E5242E"/>
    <w:rsid w:val="00E53E2D"/>
    <w:rsid w:val="00E549CD"/>
    <w:rsid w:val="00E62438"/>
    <w:rsid w:val="00E62FE3"/>
    <w:rsid w:val="00E6511D"/>
    <w:rsid w:val="00E65551"/>
    <w:rsid w:val="00E717FC"/>
    <w:rsid w:val="00E725EC"/>
    <w:rsid w:val="00E76533"/>
    <w:rsid w:val="00E835FF"/>
    <w:rsid w:val="00E8558E"/>
    <w:rsid w:val="00E87790"/>
    <w:rsid w:val="00E91E0D"/>
    <w:rsid w:val="00E959B7"/>
    <w:rsid w:val="00E9733F"/>
    <w:rsid w:val="00EA32C8"/>
    <w:rsid w:val="00EB0CA7"/>
    <w:rsid w:val="00EB1833"/>
    <w:rsid w:val="00EB4978"/>
    <w:rsid w:val="00EB6217"/>
    <w:rsid w:val="00EB68DA"/>
    <w:rsid w:val="00EC07FE"/>
    <w:rsid w:val="00EC1E9C"/>
    <w:rsid w:val="00EC5207"/>
    <w:rsid w:val="00EC6984"/>
    <w:rsid w:val="00ED0BE6"/>
    <w:rsid w:val="00EE2330"/>
    <w:rsid w:val="00EE4401"/>
    <w:rsid w:val="00EF3971"/>
    <w:rsid w:val="00EF773E"/>
    <w:rsid w:val="00F011CD"/>
    <w:rsid w:val="00F03DE8"/>
    <w:rsid w:val="00F04C95"/>
    <w:rsid w:val="00F04CC3"/>
    <w:rsid w:val="00F05198"/>
    <w:rsid w:val="00F054B3"/>
    <w:rsid w:val="00F056B8"/>
    <w:rsid w:val="00F07E6C"/>
    <w:rsid w:val="00F12FAB"/>
    <w:rsid w:val="00F20000"/>
    <w:rsid w:val="00F20DD3"/>
    <w:rsid w:val="00F2202A"/>
    <w:rsid w:val="00F24D3A"/>
    <w:rsid w:val="00F275C6"/>
    <w:rsid w:val="00F27848"/>
    <w:rsid w:val="00F33A42"/>
    <w:rsid w:val="00F3635A"/>
    <w:rsid w:val="00F42690"/>
    <w:rsid w:val="00F458E0"/>
    <w:rsid w:val="00F46D6E"/>
    <w:rsid w:val="00F473CA"/>
    <w:rsid w:val="00F478C5"/>
    <w:rsid w:val="00F52747"/>
    <w:rsid w:val="00F52BB0"/>
    <w:rsid w:val="00F53ADE"/>
    <w:rsid w:val="00F607F1"/>
    <w:rsid w:val="00F608B0"/>
    <w:rsid w:val="00F64AD5"/>
    <w:rsid w:val="00F658F6"/>
    <w:rsid w:val="00F67AD6"/>
    <w:rsid w:val="00F7060C"/>
    <w:rsid w:val="00F74DBB"/>
    <w:rsid w:val="00F7561A"/>
    <w:rsid w:val="00F816BD"/>
    <w:rsid w:val="00F81B25"/>
    <w:rsid w:val="00F95328"/>
    <w:rsid w:val="00FA5D6D"/>
    <w:rsid w:val="00FB03C1"/>
    <w:rsid w:val="00FB1304"/>
    <w:rsid w:val="00FB34CC"/>
    <w:rsid w:val="00FB77AF"/>
    <w:rsid w:val="00FC13D9"/>
    <w:rsid w:val="00FC2768"/>
    <w:rsid w:val="00FD22CD"/>
    <w:rsid w:val="00FD286F"/>
    <w:rsid w:val="00FE1447"/>
    <w:rsid w:val="00FE25F2"/>
    <w:rsid w:val="00FE3F5B"/>
    <w:rsid w:val="00FE3FB9"/>
    <w:rsid w:val="00FF063C"/>
    <w:rsid w:val="00FF1E80"/>
    <w:rsid w:val="00FF2F93"/>
    <w:rsid w:val="00FF544E"/>
    <w:rsid w:val="00FF56D2"/>
    <w:rsid w:val="00FF5E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DB9B0C"/>
  <w15:docId w15:val="{77528ED5-1D6D-493C-8D1C-7493D8D0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6D2"/>
    <w:rPr>
      <w:sz w:val="24"/>
      <w:szCs w:val="24"/>
      <w:lang w:eastAsia="en-US"/>
    </w:rPr>
  </w:style>
  <w:style w:type="paragraph" w:styleId="Heading1">
    <w:name w:val="heading 1"/>
    <w:aliases w:val="Attribute Heading 1,h1,Attribute Heading 11,Attribute Heading 12,Attribute Heading 13,Attribute Heading 14,Attribute Heading 15,Attribute Heading 16,Attribute Heading 17,Attribute Heading 18,Attribute Heading 111,Attribute Heading 121"/>
    <w:basedOn w:val="Normal"/>
    <w:next w:val="Normal"/>
    <w:qFormat/>
    <w:rsid w:val="00FF56D2"/>
    <w:pPr>
      <w:keepNext/>
      <w:outlineLvl w:val="0"/>
    </w:pPr>
    <w:rPr>
      <w:b/>
      <w:bCs/>
      <w:lang w:val="en-US"/>
    </w:rPr>
  </w:style>
  <w:style w:type="paragraph" w:styleId="Heading2">
    <w:name w:val="heading 2"/>
    <w:basedOn w:val="Normal"/>
    <w:next w:val="Normal"/>
    <w:qFormat/>
    <w:rsid w:val="00FF56D2"/>
    <w:pPr>
      <w:keepNext/>
      <w:spacing w:before="240" w:after="60"/>
      <w:outlineLvl w:val="1"/>
    </w:pPr>
    <w:rPr>
      <w:rFonts w:ascii="Arial" w:hAnsi="Arial" w:cs="Arial"/>
      <w:b/>
      <w:bCs/>
      <w:i/>
      <w:iCs/>
      <w:sz w:val="28"/>
      <w:szCs w:val="28"/>
    </w:rPr>
  </w:style>
  <w:style w:type="paragraph" w:styleId="Heading3">
    <w:name w:val="heading 3"/>
    <w:aliases w:val="h3,3,l3,Level 3 Head,HeadSmall,h31,31,l31,Level 3 Head1,H31,HeadSmall1,h32,32,l32,Level 3 Head2,H32,HeadSmall2,h33,33,l33,Level 3 Head3,H33,HeadSmall3,heading 31,Level 1 - 1,C Sub-Sub/Italic,h34,34,l34,Level 3 Head4,H34,heading 3,HeadSmall4"/>
    <w:basedOn w:val="Normal"/>
    <w:next w:val="Normal"/>
    <w:qFormat/>
    <w:rsid w:val="00FF56D2"/>
    <w:pPr>
      <w:keepNext/>
      <w:spacing w:before="240" w:after="60"/>
      <w:outlineLvl w:val="2"/>
    </w:pPr>
  </w:style>
  <w:style w:type="paragraph" w:styleId="Heading4">
    <w:name w:val="heading 4"/>
    <w:aliases w:val="Map Title"/>
    <w:basedOn w:val="Normal"/>
    <w:next w:val="Normal"/>
    <w:qFormat/>
    <w:rsid w:val="00FF56D2"/>
    <w:pPr>
      <w:keepNext/>
      <w:spacing w:before="240" w:after="60"/>
      <w:outlineLvl w:val="3"/>
    </w:pPr>
    <w:rPr>
      <w:b/>
      <w:bCs/>
      <w:sz w:val="28"/>
      <w:szCs w:val="28"/>
    </w:rPr>
  </w:style>
  <w:style w:type="paragraph" w:styleId="Heading5">
    <w:name w:val="heading 5"/>
    <w:basedOn w:val="Normal"/>
    <w:next w:val="Normal"/>
    <w:qFormat/>
    <w:rsid w:val="00FF56D2"/>
    <w:pPr>
      <w:keepLines/>
      <w:spacing w:before="120"/>
      <w:ind w:left="1985"/>
      <w:outlineLvl w:val="4"/>
    </w:pPr>
    <w:rPr>
      <w:b/>
      <w:bCs/>
      <w:i/>
      <w:iCs/>
      <w:sz w:val="22"/>
      <w:szCs w:val="22"/>
      <w:lang w:val="en-GB"/>
    </w:rPr>
  </w:style>
  <w:style w:type="paragraph" w:styleId="Heading6">
    <w:name w:val="heading 6"/>
    <w:basedOn w:val="Normal"/>
    <w:next w:val="Normal"/>
    <w:qFormat/>
    <w:rsid w:val="00FF56D2"/>
    <w:pPr>
      <w:spacing w:before="240" w:after="60"/>
      <w:outlineLvl w:val="5"/>
    </w:pPr>
    <w:rPr>
      <w:b/>
      <w:bCs/>
      <w:sz w:val="22"/>
      <w:szCs w:val="22"/>
    </w:rPr>
  </w:style>
  <w:style w:type="paragraph" w:styleId="Heading7">
    <w:name w:val="heading 7"/>
    <w:basedOn w:val="Normal"/>
    <w:next w:val="Normal"/>
    <w:qFormat/>
    <w:rsid w:val="00FF56D2"/>
    <w:pPr>
      <w:keepNext/>
      <w:ind w:left="851"/>
      <w:outlineLvl w:val="6"/>
    </w:pPr>
    <w:rPr>
      <w:b/>
      <w:i/>
      <w:sz w:val="22"/>
      <w:szCs w:val="20"/>
      <w:lang w:val="en-GB"/>
    </w:rPr>
  </w:style>
  <w:style w:type="paragraph" w:styleId="Heading8">
    <w:name w:val="heading 8"/>
    <w:basedOn w:val="Normal"/>
    <w:next w:val="Normal"/>
    <w:qFormat/>
    <w:rsid w:val="00FF56D2"/>
    <w:pPr>
      <w:keepNext/>
      <w:outlineLvl w:val="7"/>
    </w:pPr>
    <w:rPr>
      <w:i/>
      <w:sz w:val="18"/>
    </w:rPr>
  </w:style>
  <w:style w:type="paragraph" w:styleId="Heading9">
    <w:name w:val="heading 9"/>
    <w:basedOn w:val="Normal"/>
    <w:next w:val="Normal"/>
    <w:qFormat/>
    <w:rsid w:val="00FF56D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56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pPr>
    <w:rPr>
      <w:snapToGrid w:val="0"/>
      <w:color w:val="000000"/>
      <w:szCs w:val="20"/>
      <w:u w:val="single"/>
    </w:rPr>
  </w:style>
  <w:style w:type="paragraph" w:styleId="BodyText2">
    <w:name w:val="Body Text 2"/>
    <w:basedOn w:val="Normal"/>
    <w:rsid w:val="00FF56D2"/>
    <w:pPr>
      <w:spacing w:before="120" w:after="120"/>
      <w:jc w:val="center"/>
    </w:pPr>
    <w:rPr>
      <w:sz w:val="22"/>
      <w:lang w:val="en-US"/>
    </w:rPr>
  </w:style>
  <w:style w:type="paragraph" w:customStyle="1" w:styleId="ParaNumbering">
    <w:name w:val="Para Numbering"/>
    <w:basedOn w:val="Normal"/>
    <w:rsid w:val="00FF56D2"/>
    <w:pPr>
      <w:tabs>
        <w:tab w:val="left" w:pos="567"/>
      </w:tabs>
      <w:spacing w:after="200"/>
    </w:pPr>
    <w:rPr>
      <w:szCs w:val="20"/>
    </w:rPr>
  </w:style>
  <w:style w:type="paragraph" w:customStyle="1" w:styleId="ExplanatoryGuidance">
    <w:name w:val="Explanatory Guidance"/>
    <w:basedOn w:val="Normal"/>
    <w:rsid w:val="00FF56D2"/>
    <w:pPr>
      <w:keepNext/>
      <w:spacing w:before="200"/>
    </w:pPr>
    <w:rPr>
      <w:rFonts w:ascii="Arial" w:hAnsi="Arial"/>
      <w:szCs w:val="20"/>
      <w:lang w:val="en-GB"/>
    </w:rPr>
  </w:style>
  <w:style w:type="paragraph" w:customStyle="1" w:styleId="AmendmentHeading">
    <w:name w:val="Amendment Heading"/>
    <w:basedOn w:val="Normal"/>
    <w:rsid w:val="00FF56D2"/>
    <w:pPr>
      <w:numPr>
        <w:ilvl w:val="3"/>
        <w:numId w:val="1"/>
      </w:numPr>
      <w:tabs>
        <w:tab w:val="clear" w:pos="3240"/>
        <w:tab w:val="num" w:pos="800"/>
      </w:tabs>
      <w:spacing w:before="120"/>
      <w:ind w:left="499" w:hanging="357"/>
    </w:pPr>
    <w:rPr>
      <w:b/>
      <w:bCs/>
    </w:rPr>
  </w:style>
  <w:style w:type="paragraph" w:customStyle="1" w:styleId="Year">
    <w:name w:val="Year"/>
    <w:basedOn w:val="Normal"/>
    <w:rsid w:val="00FF56D2"/>
    <w:pPr>
      <w:keepNext/>
      <w:keepLines/>
      <w:pBdr>
        <w:bottom w:val="single" w:sz="6" w:space="3" w:color="auto"/>
      </w:pBdr>
      <w:tabs>
        <w:tab w:val="left" w:pos="454"/>
        <w:tab w:val="left" w:pos="907"/>
        <w:tab w:val="left" w:pos="1361"/>
        <w:tab w:val="left" w:pos="1814"/>
        <w:tab w:val="left" w:pos="2268"/>
        <w:tab w:val="right" w:leader="dot" w:pos="7938"/>
      </w:tabs>
      <w:spacing w:before="240"/>
    </w:pPr>
    <w:rPr>
      <w:i/>
      <w:iCs/>
      <w:sz w:val="22"/>
      <w:szCs w:val="22"/>
      <w:lang w:val="en-GB"/>
    </w:rPr>
  </w:style>
  <w:style w:type="paragraph" w:customStyle="1" w:styleId="BlackLetterText">
    <w:name w:val="Black Letter Text"/>
    <w:basedOn w:val="Heading2"/>
    <w:rsid w:val="00FF56D2"/>
    <w:pPr>
      <w:numPr>
        <w:ilvl w:val="1"/>
      </w:numPr>
      <w:spacing w:before="120" w:after="120"/>
      <w:ind w:left="720" w:hanging="720"/>
      <w:jc w:val="both"/>
    </w:pPr>
    <w:rPr>
      <w:rFonts w:ascii="Times New Roman" w:hAnsi="Times New Roman" w:cs="Times New Roman"/>
      <w:i w:val="0"/>
      <w:iCs w:val="0"/>
      <w:kern w:val="28"/>
      <w:sz w:val="22"/>
      <w:szCs w:val="22"/>
      <w:lang w:val="en-GB"/>
    </w:rPr>
  </w:style>
  <w:style w:type="paragraph" w:customStyle="1" w:styleId="Policy">
    <w:name w:val="Policy"/>
    <w:basedOn w:val="Heading9"/>
    <w:rsid w:val="00FF56D2"/>
    <w:pPr>
      <w:keepNext/>
      <w:spacing w:before="200" w:after="0"/>
    </w:pPr>
    <w:rPr>
      <w:b/>
      <w:bCs/>
      <w:sz w:val="24"/>
      <w:szCs w:val="24"/>
      <w:lang w:val="en-GB"/>
    </w:rPr>
  </w:style>
  <w:style w:type="paragraph" w:customStyle="1" w:styleId="BlackLetterBP">
    <w:name w:val="Black Letter BP"/>
    <w:basedOn w:val="Heading4"/>
    <w:rsid w:val="00FF56D2"/>
    <w:pPr>
      <w:keepNext w:val="0"/>
      <w:keepLines/>
      <w:tabs>
        <w:tab w:val="num" w:pos="1440"/>
      </w:tabs>
      <w:spacing w:before="120" w:after="0"/>
      <w:ind w:left="1440" w:hanging="720"/>
      <w:jc w:val="both"/>
    </w:pPr>
    <w:rPr>
      <w:sz w:val="22"/>
      <w:szCs w:val="22"/>
    </w:rPr>
  </w:style>
  <w:style w:type="paragraph" w:customStyle="1" w:styleId="41">
    <w:name w:val="4.1"/>
    <w:basedOn w:val="Normal"/>
    <w:rsid w:val="00FF56D2"/>
    <w:rPr>
      <w:b/>
      <w:bCs/>
    </w:rPr>
  </w:style>
  <w:style w:type="paragraph" w:customStyle="1" w:styleId="SC1">
    <w:name w:val="SC1"/>
    <w:basedOn w:val="Normal"/>
    <w:rsid w:val="00FF56D2"/>
    <w:pPr>
      <w:keepNext/>
      <w:tabs>
        <w:tab w:val="left" w:pos="454"/>
      </w:tabs>
      <w:spacing w:after="60"/>
      <w:outlineLvl w:val="5"/>
    </w:pPr>
    <w:rPr>
      <w:rFonts w:ascii="Arial" w:hAnsi="Arial" w:cs="Arial"/>
      <w:b/>
      <w:bCs/>
      <w:caps/>
      <w:kern w:val="28"/>
      <w:sz w:val="28"/>
      <w:szCs w:val="28"/>
    </w:rPr>
  </w:style>
  <w:style w:type="paragraph" w:styleId="FootnoteText">
    <w:name w:val="footnote text"/>
    <w:basedOn w:val="Normal"/>
    <w:semiHidden/>
    <w:rsid w:val="00FF56D2"/>
    <w:rPr>
      <w:sz w:val="20"/>
      <w:szCs w:val="20"/>
    </w:rPr>
  </w:style>
  <w:style w:type="character" w:styleId="FootnoteReference">
    <w:name w:val="footnote reference"/>
    <w:basedOn w:val="DefaultParagraphFont"/>
    <w:semiHidden/>
    <w:rsid w:val="00FF56D2"/>
    <w:rPr>
      <w:vertAlign w:val="superscript"/>
    </w:rPr>
  </w:style>
  <w:style w:type="paragraph" w:customStyle="1" w:styleId="Colon">
    <w:name w:val="Colon"/>
    <w:basedOn w:val="Normal"/>
    <w:rsid w:val="00FF56D2"/>
    <w:pPr>
      <w:numPr>
        <w:numId w:val="2"/>
      </w:numPr>
      <w:spacing w:line="240" w:lineRule="atLeast"/>
      <w:ind w:left="0" w:firstLine="0"/>
    </w:pPr>
  </w:style>
  <w:style w:type="paragraph" w:customStyle="1" w:styleId="Tabletext">
    <w:name w:val="Table text"/>
    <w:basedOn w:val="Normal"/>
    <w:rsid w:val="00FF56D2"/>
    <w:pPr>
      <w:spacing w:before="60" w:after="60"/>
    </w:pPr>
    <w:rPr>
      <w:sz w:val="18"/>
      <w:szCs w:val="18"/>
      <w:lang w:val="en-GB"/>
    </w:rPr>
  </w:style>
  <w:style w:type="paragraph" w:customStyle="1" w:styleId="H6">
    <w:name w:val="H6"/>
    <w:basedOn w:val="Heading6"/>
    <w:rsid w:val="00FF56D2"/>
    <w:pPr>
      <w:keepNext/>
      <w:tabs>
        <w:tab w:val="left" w:pos="454"/>
      </w:tabs>
      <w:spacing w:before="0"/>
    </w:pPr>
    <w:rPr>
      <w:i/>
      <w:iCs/>
      <w:sz w:val="20"/>
      <w:szCs w:val="20"/>
    </w:rPr>
  </w:style>
  <w:style w:type="paragraph" w:customStyle="1" w:styleId="BlackLetterSubBullet">
    <w:name w:val="Black Letter Sub Bullet"/>
    <w:basedOn w:val="Heading2"/>
    <w:rsid w:val="00FF56D2"/>
    <w:pPr>
      <w:numPr>
        <w:ilvl w:val="1"/>
      </w:numPr>
      <w:tabs>
        <w:tab w:val="left" w:pos="3570"/>
      </w:tabs>
      <w:spacing w:before="120" w:after="120"/>
      <w:ind w:left="2160" w:hanging="720"/>
      <w:jc w:val="both"/>
    </w:pPr>
    <w:rPr>
      <w:rFonts w:ascii="Times New Roman" w:hAnsi="Times New Roman" w:cs="Times New Roman"/>
      <w:i w:val="0"/>
      <w:iCs w:val="0"/>
      <w:kern w:val="28"/>
      <w:sz w:val="22"/>
      <w:szCs w:val="22"/>
      <w:lang w:val="en-GB"/>
    </w:rPr>
  </w:style>
  <w:style w:type="paragraph" w:styleId="Header">
    <w:name w:val="header"/>
    <w:basedOn w:val="Normal"/>
    <w:rsid w:val="00FF56D2"/>
    <w:pPr>
      <w:tabs>
        <w:tab w:val="center" w:pos="4153"/>
        <w:tab w:val="right" w:pos="8306"/>
      </w:tabs>
    </w:pPr>
  </w:style>
  <w:style w:type="paragraph" w:styleId="BodyText">
    <w:name w:val="Body Text"/>
    <w:basedOn w:val="Normal"/>
    <w:rsid w:val="00FF56D2"/>
    <w:pPr>
      <w:spacing w:before="120" w:after="120"/>
      <w:jc w:val="center"/>
    </w:pPr>
    <w:rPr>
      <w:i/>
      <w:iCs/>
      <w:sz w:val="22"/>
    </w:rPr>
  </w:style>
  <w:style w:type="paragraph" w:styleId="BodyText3">
    <w:name w:val="Body Text 3"/>
    <w:basedOn w:val="Normal"/>
    <w:rsid w:val="00FF56D2"/>
    <w:pPr>
      <w:spacing w:before="120" w:after="120"/>
    </w:pPr>
    <w:rPr>
      <w:sz w:val="22"/>
    </w:rPr>
  </w:style>
  <w:style w:type="paragraph" w:customStyle="1" w:styleId="H3">
    <w:name w:val="H3"/>
    <w:basedOn w:val="Normal"/>
    <w:next w:val="Normal"/>
    <w:rsid w:val="00FF56D2"/>
    <w:pPr>
      <w:keepNext/>
      <w:spacing w:before="100" w:after="100"/>
      <w:outlineLvl w:val="3"/>
    </w:pPr>
    <w:rPr>
      <w:b/>
      <w:bCs/>
      <w:sz w:val="28"/>
      <w:szCs w:val="28"/>
    </w:rPr>
  </w:style>
  <w:style w:type="paragraph" w:styleId="BodyTextIndent2">
    <w:name w:val="Body Text Indent 2"/>
    <w:basedOn w:val="Normal"/>
    <w:rsid w:val="00FF56D2"/>
    <w:pPr>
      <w:ind w:left="720" w:hanging="720"/>
      <w:jc w:val="both"/>
    </w:pPr>
    <w:rPr>
      <w:b/>
      <w:bCs/>
    </w:rPr>
  </w:style>
  <w:style w:type="paragraph" w:customStyle="1" w:styleId="TextboxDot">
    <w:name w:val="Text box Dot"/>
    <w:basedOn w:val="Textbox"/>
    <w:rsid w:val="00FF56D2"/>
    <w:pPr>
      <w:tabs>
        <w:tab w:val="num" w:pos="814"/>
      </w:tabs>
      <w:ind w:left="737" w:hanging="283"/>
    </w:pPr>
  </w:style>
  <w:style w:type="paragraph" w:customStyle="1" w:styleId="Textbox">
    <w:name w:val="Text box"/>
    <w:basedOn w:val="Normal"/>
    <w:rsid w:val="00FF56D2"/>
    <w:pPr>
      <w:spacing w:before="60"/>
      <w:jc w:val="center"/>
    </w:pPr>
    <w:rPr>
      <w:sz w:val="20"/>
      <w:szCs w:val="20"/>
      <w:lang w:val="en-GB"/>
    </w:rPr>
  </w:style>
  <w:style w:type="paragraph" w:customStyle="1" w:styleId="Style2">
    <w:name w:val="Style2"/>
    <w:basedOn w:val="Normal"/>
    <w:rsid w:val="00FF56D2"/>
    <w:pPr>
      <w:tabs>
        <w:tab w:val="num" w:pos="1701"/>
      </w:tabs>
      <w:spacing w:before="240"/>
      <w:ind w:left="1701" w:hanging="283"/>
    </w:pPr>
    <w:rPr>
      <w:b/>
      <w:bCs/>
      <w:sz w:val="22"/>
      <w:szCs w:val="22"/>
      <w:lang w:val="en-GB"/>
    </w:rPr>
  </w:style>
  <w:style w:type="paragraph" w:customStyle="1" w:styleId="Group">
    <w:name w:val="Group"/>
    <w:basedOn w:val="Normal"/>
    <w:rsid w:val="00FF56D2"/>
    <w:pPr>
      <w:keepNext/>
      <w:tabs>
        <w:tab w:val="num" w:pos="720"/>
      </w:tabs>
      <w:ind w:left="567" w:hanging="567"/>
      <w:outlineLvl w:val="0"/>
    </w:pPr>
    <w:rPr>
      <w:rFonts w:ascii="Arial" w:hAnsi="Arial" w:cs="Arial"/>
      <w:b/>
      <w:bCs/>
      <w:sz w:val="32"/>
      <w:szCs w:val="32"/>
    </w:rPr>
  </w:style>
  <w:style w:type="paragraph" w:customStyle="1" w:styleId="ABRM2">
    <w:name w:val="ABRM 2"/>
    <w:basedOn w:val="Normal"/>
    <w:rsid w:val="00FF56D2"/>
    <w:pPr>
      <w:tabs>
        <w:tab w:val="num" w:pos="720"/>
        <w:tab w:val="left" w:pos="851"/>
      </w:tabs>
      <w:spacing w:before="120" w:after="120"/>
      <w:ind w:left="851" w:hanging="851"/>
    </w:pPr>
    <w:rPr>
      <w:b/>
      <w:bCs/>
      <w:lang w:val="en-GB"/>
    </w:rPr>
  </w:style>
  <w:style w:type="paragraph" w:customStyle="1" w:styleId="Year1">
    <w:name w:val="Year1"/>
    <w:basedOn w:val="Year"/>
    <w:rsid w:val="00FF56D2"/>
    <w:pPr>
      <w:spacing w:before="60" w:after="60"/>
    </w:pPr>
    <w:rPr>
      <w:sz w:val="20"/>
      <w:szCs w:val="20"/>
    </w:rPr>
  </w:style>
  <w:style w:type="paragraph" w:customStyle="1" w:styleId="Tot">
    <w:name w:val="Tot"/>
    <w:basedOn w:val="Total"/>
    <w:rsid w:val="00FF56D2"/>
    <w:pPr>
      <w:tabs>
        <w:tab w:val="clear" w:pos="454"/>
        <w:tab w:val="clear" w:pos="907"/>
        <w:tab w:val="clear" w:pos="1361"/>
        <w:tab w:val="clear" w:pos="1814"/>
        <w:tab w:val="clear" w:pos="2268"/>
        <w:tab w:val="right" w:pos="6521"/>
        <w:tab w:val="right" w:pos="7938"/>
      </w:tabs>
    </w:pPr>
  </w:style>
  <w:style w:type="paragraph" w:customStyle="1" w:styleId="Total">
    <w:name w:val="Total"/>
    <w:basedOn w:val="Normal"/>
    <w:rsid w:val="00FF56D2"/>
    <w:pPr>
      <w:keepNext/>
      <w:keepLines/>
      <w:tabs>
        <w:tab w:val="left" w:pos="454"/>
        <w:tab w:val="left" w:pos="907"/>
        <w:tab w:val="left" w:pos="1361"/>
        <w:tab w:val="left" w:pos="1814"/>
        <w:tab w:val="left" w:pos="2268"/>
        <w:tab w:val="right" w:leader="dot" w:pos="7938"/>
      </w:tabs>
      <w:spacing w:before="60"/>
      <w:jc w:val="both"/>
    </w:pPr>
    <w:rPr>
      <w:b/>
      <w:bCs/>
      <w:sz w:val="18"/>
      <w:szCs w:val="18"/>
      <w:lang w:val="en-GB"/>
    </w:rPr>
  </w:style>
  <w:style w:type="paragraph" w:customStyle="1" w:styleId="GreyLetterText">
    <w:name w:val="Grey Letter Text"/>
    <w:basedOn w:val="Heading4"/>
    <w:rsid w:val="00FF56D2"/>
    <w:pPr>
      <w:keepNext w:val="0"/>
      <w:keepLines/>
      <w:numPr>
        <w:ilvl w:val="2"/>
      </w:numPr>
      <w:spacing w:before="120" w:after="0"/>
      <w:ind w:left="720" w:hanging="720"/>
      <w:jc w:val="both"/>
    </w:pPr>
    <w:rPr>
      <w:b w:val="0"/>
      <w:bCs w:val="0"/>
      <w:sz w:val="22"/>
      <w:szCs w:val="22"/>
    </w:rPr>
  </w:style>
  <w:style w:type="paragraph" w:customStyle="1" w:styleId="H5">
    <w:name w:val="H5"/>
    <w:basedOn w:val="Normal"/>
    <w:next w:val="Normal"/>
    <w:rsid w:val="00FF56D2"/>
    <w:pPr>
      <w:keepNext/>
      <w:spacing w:before="100" w:after="100"/>
      <w:outlineLvl w:val="5"/>
    </w:pPr>
    <w:rPr>
      <w:b/>
      <w:bCs/>
      <w:sz w:val="20"/>
      <w:szCs w:val="20"/>
    </w:rPr>
  </w:style>
  <w:style w:type="paragraph" w:customStyle="1" w:styleId="Classy">
    <w:name w:val="Classy"/>
    <w:basedOn w:val="Class"/>
    <w:rsid w:val="00FF56D2"/>
    <w:pPr>
      <w:spacing w:before="0"/>
      <w:jc w:val="left"/>
    </w:pPr>
  </w:style>
  <w:style w:type="paragraph" w:customStyle="1" w:styleId="Class">
    <w:name w:val="Class"/>
    <w:basedOn w:val="Normal"/>
    <w:rsid w:val="00FF56D2"/>
    <w:pPr>
      <w:keepLines/>
      <w:tabs>
        <w:tab w:val="left" w:pos="454"/>
        <w:tab w:val="left" w:pos="907"/>
        <w:tab w:val="left" w:pos="1361"/>
        <w:tab w:val="left" w:pos="1814"/>
        <w:tab w:val="left" w:pos="2268"/>
        <w:tab w:val="right" w:leader="dot" w:pos="7938"/>
      </w:tabs>
      <w:spacing w:before="240"/>
      <w:ind w:left="454"/>
      <w:jc w:val="both"/>
    </w:pPr>
    <w:rPr>
      <w:sz w:val="18"/>
      <w:szCs w:val="18"/>
      <w:lang w:val="en-GB"/>
    </w:rPr>
  </w:style>
  <w:style w:type="paragraph" w:customStyle="1" w:styleId="BlackLetterSubheadings">
    <w:name w:val="Black Letter Subheadings"/>
    <w:basedOn w:val="BlackLetterText"/>
    <w:rsid w:val="00FF56D2"/>
    <w:rPr>
      <w:i/>
      <w:iCs/>
    </w:rPr>
  </w:style>
  <w:style w:type="paragraph" w:customStyle="1" w:styleId="GreyLetterBP">
    <w:name w:val="Grey Letter BP"/>
    <w:basedOn w:val="Normal"/>
    <w:rsid w:val="00FF56D2"/>
    <w:pPr>
      <w:tabs>
        <w:tab w:val="left" w:pos="1442"/>
      </w:tabs>
      <w:spacing w:before="120"/>
      <w:ind w:left="1440" w:hanging="712"/>
      <w:jc w:val="both"/>
    </w:pPr>
    <w:rPr>
      <w:sz w:val="22"/>
      <w:szCs w:val="22"/>
      <w:lang w:val="en-GB"/>
    </w:rPr>
  </w:style>
  <w:style w:type="paragraph" w:styleId="Footer">
    <w:name w:val="footer"/>
    <w:basedOn w:val="Normal"/>
    <w:link w:val="FooterChar"/>
    <w:uiPriority w:val="99"/>
    <w:rsid w:val="00FF56D2"/>
    <w:pPr>
      <w:tabs>
        <w:tab w:val="center" w:pos="4153"/>
        <w:tab w:val="right" w:pos="8306"/>
      </w:tabs>
    </w:pPr>
  </w:style>
  <w:style w:type="character" w:styleId="PageNumber">
    <w:name w:val="page number"/>
    <w:basedOn w:val="DefaultParagraphFont"/>
    <w:rsid w:val="00FF56D2"/>
  </w:style>
  <w:style w:type="paragraph" w:styleId="BodyTextIndent">
    <w:name w:val="Body Text Indent"/>
    <w:basedOn w:val="Normal"/>
    <w:rsid w:val="00FF56D2"/>
    <w:pPr>
      <w:ind w:left="720" w:hanging="720"/>
    </w:pPr>
    <w:rPr>
      <w:sz w:val="22"/>
    </w:rPr>
  </w:style>
  <w:style w:type="paragraph" w:customStyle="1" w:styleId="Item">
    <w:name w:val="Item"/>
    <w:aliases w:val="i"/>
    <w:basedOn w:val="Class"/>
    <w:rsid w:val="00FF56D2"/>
    <w:pPr>
      <w:spacing w:before="60"/>
      <w:jc w:val="left"/>
    </w:pPr>
    <w:rPr>
      <w:b/>
      <w:bCs/>
    </w:rPr>
  </w:style>
  <w:style w:type="paragraph" w:customStyle="1" w:styleId="Class2">
    <w:name w:val="Class 2"/>
    <w:basedOn w:val="Class"/>
    <w:rsid w:val="00FF56D2"/>
    <w:pPr>
      <w:spacing w:before="0"/>
      <w:ind w:left="907"/>
      <w:jc w:val="left"/>
    </w:pPr>
  </w:style>
  <w:style w:type="paragraph" w:customStyle="1" w:styleId="ABRMHEAD1">
    <w:name w:val="ABRM HEAD1"/>
    <w:basedOn w:val="Heading1"/>
    <w:rsid w:val="00FF56D2"/>
    <w:pPr>
      <w:tabs>
        <w:tab w:val="num" w:pos="720"/>
      </w:tabs>
      <w:spacing w:after="240"/>
      <w:ind w:left="720" w:hanging="720"/>
    </w:pPr>
    <w:rPr>
      <w:b w:val="0"/>
      <w:bCs w:val="0"/>
      <w:sz w:val="28"/>
      <w:szCs w:val="28"/>
    </w:rPr>
  </w:style>
  <w:style w:type="paragraph" w:customStyle="1" w:styleId="ABRMHEAD2">
    <w:name w:val="ABRM HEAD2"/>
    <w:basedOn w:val="Normal"/>
    <w:rsid w:val="00FF56D2"/>
    <w:pPr>
      <w:tabs>
        <w:tab w:val="num" w:pos="360"/>
      </w:tabs>
      <w:spacing w:before="120" w:after="240"/>
    </w:pPr>
    <w:rPr>
      <w:b/>
      <w:bCs/>
    </w:rPr>
  </w:style>
  <w:style w:type="paragraph" w:customStyle="1" w:styleId="ABRMHEAD3">
    <w:name w:val="ABRM HEAD 3"/>
    <w:basedOn w:val="Normal"/>
    <w:rsid w:val="00FF56D2"/>
    <w:pPr>
      <w:tabs>
        <w:tab w:val="num" w:pos="720"/>
      </w:tabs>
      <w:spacing w:before="120" w:after="240"/>
      <w:ind w:left="720" w:hanging="720"/>
    </w:pPr>
  </w:style>
  <w:style w:type="paragraph" w:customStyle="1" w:styleId="Heading">
    <w:name w:val="Heading"/>
    <w:basedOn w:val="Normal"/>
    <w:autoRedefine/>
    <w:rsid w:val="00FF56D2"/>
    <w:pPr>
      <w:spacing w:before="120"/>
      <w:ind w:right="45"/>
    </w:pPr>
    <w:rPr>
      <w:b/>
      <w:bCs/>
      <w:caps/>
      <w:sz w:val="28"/>
      <w:szCs w:val="22"/>
    </w:rPr>
  </w:style>
  <w:style w:type="paragraph" w:customStyle="1" w:styleId="ChapterTitles">
    <w:name w:val="Chapter Titles"/>
    <w:basedOn w:val="Heading1"/>
    <w:rsid w:val="00FF56D2"/>
    <w:pPr>
      <w:spacing w:before="200" w:after="40"/>
      <w:ind w:left="2200" w:hanging="600"/>
    </w:pPr>
    <w:rPr>
      <w:kern w:val="28"/>
      <w:sz w:val="28"/>
      <w:szCs w:val="28"/>
      <w:lang w:val="en-GB"/>
    </w:rPr>
  </w:style>
  <w:style w:type="paragraph" w:customStyle="1" w:styleId="CHead1">
    <w:name w:val="C Head 1"/>
    <w:basedOn w:val="Normal"/>
    <w:rsid w:val="00FF56D2"/>
    <w:rPr>
      <w:b/>
      <w:bCs/>
      <w:sz w:val="22"/>
    </w:rPr>
  </w:style>
  <w:style w:type="paragraph" w:customStyle="1" w:styleId="H1">
    <w:name w:val="H1"/>
    <w:basedOn w:val="Normal"/>
    <w:next w:val="Normal"/>
    <w:rsid w:val="00FF56D2"/>
    <w:pPr>
      <w:keepNext/>
      <w:spacing w:before="100" w:after="100"/>
      <w:outlineLvl w:val="1"/>
    </w:pPr>
    <w:rPr>
      <w:b/>
      <w:bCs/>
      <w:kern w:val="36"/>
      <w:sz w:val="48"/>
      <w:szCs w:val="48"/>
    </w:rPr>
  </w:style>
  <w:style w:type="paragraph" w:customStyle="1" w:styleId="H2">
    <w:name w:val="H2"/>
    <w:basedOn w:val="Normal"/>
    <w:next w:val="Normal"/>
    <w:rsid w:val="00FF56D2"/>
    <w:pPr>
      <w:keepNext/>
      <w:spacing w:before="100" w:after="100"/>
      <w:outlineLvl w:val="2"/>
    </w:pPr>
    <w:rPr>
      <w:b/>
      <w:bCs/>
      <w:sz w:val="36"/>
      <w:szCs w:val="36"/>
    </w:rPr>
  </w:style>
  <w:style w:type="paragraph" w:customStyle="1" w:styleId="Ross1">
    <w:name w:val="Ross1"/>
    <w:basedOn w:val="Heading3"/>
    <w:rsid w:val="00FF56D2"/>
    <w:pPr>
      <w:keepNext w:val="0"/>
      <w:keepLines/>
      <w:spacing w:before="200" w:after="0"/>
      <w:ind w:left="851"/>
    </w:pPr>
    <w:rPr>
      <w:b/>
      <w:bCs/>
      <w:sz w:val="22"/>
      <w:szCs w:val="22"/>
    </w:rPr>
  </w:style>
  <w:style w:type="paragraph" w:customStyle="1" w:styleId="Heading20">
    <w:name w:val="Heading2"/>
    <w:basedOn w:val="Normal"/>
    <w:rsid w:val="00FF56D2"/>
    <w:pPr>
      <w:spacing w:before="240"/>
    </w:pPr>
    <w:rPr>
      <w:b/>
      <w:bCs/>
      <w:sz w:val="22"/>
      <w:szCs w:val="22"/>
      <w:lang w:val="en-GB"/>
    </w:rPr>
  </w:style>
  <w:style w:type="paragraph" w:customStyle="1" w:styleId="Class3">
    <w:name w:val="Class 3"/>
    <w:basedOn w:val="Class2"/>
    <w:rsid w:val="00FF56D2"/>
    <w:pPr>
      <w:ind w:left="1361"/>
    </w:pPr>
  </w:style>
  <w:style w:type="paragraph" w:customStyle="1" w:styleId="Heading1A">
    <w:name w:val="Heading 1A"/>
    <w:basedOn w:val="Heading1"/>
    <w:rsid w:val="00FF56D2"/>
    <w:pPr>
      <w:spacing w:after="40"/>
      <w:ind w:left="567"/>
    </w:pPr>
    <w:rPr>
      <w:kern w:val="28"/>
      <w:sz w:val="26"/>
      <w:szCs w:val="26"/>
      <w:lang w:val="en-GB"/>
    </w:rPr>
  </w:style>
  <w:style w:type="paragraph" w:customStyle="1" w:styleId="H7">
    <w:name w:val="H7"/>
    <w:basedOn w:val="H6"/>
    <w:rsid w:val="00FF56D2"/>
    <w:pPr>
      <w:keepNext w:val="0"/>
      <w:keepLines/>
      <w:spacing w:before="300" w:after="40"/>
      <w:outlineLvl w:val="0"/>
    </w:pPr>
  </w:style>
  <w:style w:type="paragraph" w:customStyle="1" w:styleId="H4">
    <w:name w:val="H4"/>
    <w:basedOn w:val="H3"/>
    <w:rsid w:val="00FF56D2"/>
    <w:rPr>
      <w:sz w:val="20"/>
      <w:szCs w:val="20"/>
    </w:rPr>
  </w:style>
  <w:style w:type="paragraph" w:customStyle="1" w:styleId="ForwardBullet">
    <w:name w:val="ForwardBullet"/>
    <w:basedOn w:val="Normal"/>
    <w:rsid w:val="00FF56D2"/>
    <w:pPr>
      <w:tabs>
        <w:tab w:val="num" w:pos="720"/>
        <w:tab w:val="num" w:pos="1134"/>
      </w:tabs>
      <w:spacing w:before="120"/>
      <w:ind w:left="1134" w:hanging="567"/>
    </w:pPr>
    <w:rPr>
      <w:sz w:val="22"/>
      <w:szCs w:val="20"/>
      <w:lang w:val="en-GB"/>
    </w:rPr>
  </w:style>
  <w:style w:type="character" w:customStyle="1" w:styleId="EmailStyle71">
    <w:name w:val="EmailStyle71"/>
    <w:basedOn w:val="DefaultParagraphFont"/>
    <w:rsid w:val="00FF56D2"/>
    <w:rPr>
      <w:rFonts w:ascii="Arial" w:hAnsi="Arial" w:cs="Arial"/>
      <w:color w:val="000000"/>
      <w:sz w:val="20"/>
      <w:szCs w:val="20"/>
    </w:rPr>
  </w:style>
  <w:style w:type="paragraph" w:customStyle="1" w:styleId="FMO">
    <w:name w:val="FMO"/>
    <w:basedOn w:val="Normal"/>
    <w:rsid w:val="00FF56D2"/>
    <w:pPr>
      <w:ind w:left="700" w:hanging="700"/>
    </w:pPr>
    <w:rPr>
      <w:sz w:val="22"/>
      <w:szCs w:val="22"/>
    </w:rPr>
  </w:style>
  <w:style w:type="paragraph" w:customStyle="1" w:styleId="DefnSubpoint1">
    <w:name w:val="Defn Subpoint1"/>
    <w:basedOn w:val="Normal"/>
    <w:rsid w:val="00FF56D2"/>
    <w:pPr>
      <w:spacing w:after="200" w:line="200" w:lineRule="exact"/>
      <w:ind w:left="1587" w:hanging="510"/>
    </w:pPr>
    <w:rPr>
      <w:b/>
      <w:sz w:val="20"/>
      <w:szCs w:val="20"/>
    </w:rPr>
  </w:style>
  <w:style w:type="paragraph" w:customStyle="1" w:styleId="DefnSubpoint2">
    <w:name w:val="Defn Subpoint2"/>
    <w:basedOn w:val="DefnSubpoint1"/>
    <w:rsid w:val="00FF56D2"/>
    <w:pPr>
      <w:ind w:left="2098"/>
    </w:pPr>
  </w:style>
  <w:style w:type="paragraph" w:styleId="BodyTextIndent3">
    <w:name w:val="Body Text Indent 3"/>
    <w:basedOn w:val="Normal"/>
    <w:rsid w:val="00FF56D2"/>
    <w:pPr>
      <w:ind w:left="360"/>
    </w:pPr>
    <w:rPr>
      <w:b/>
      <w:bCs/>
    </w:rPr>
  </w:style>
  <w:style w:type="paragraph" w:styleId="BalloonText">
    <w:name w:val="Balloon Text"/>
    <w:basedOn w:val="Normal"/>
    <w:semiHidden/>
    <w:rsid w:val="00C97DDA"/>
    <w:rPr>
      <w:rFonts w:ascii="Tahoma" w:hAnsi="Tahoma" w:cs="Tahoma"/>
      <w:sz w:val="16"/>
      <w:szCs w:val="16"/>
    </w:rPr>
  </w:style>
  <w:style w:type="table" w:styleId="TableGrid">
    <w:name w:val="Table Grid"/>
    <w:basedOn w:val="TableNormal"/>
    <w:rsid w:val="00686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179F"/>
    <w:rPr>
      <w:color w:val="0000FF"/>
      <w:u w:val="single"/>
    </w:rPr>
  </w:style>
  <w:style w:type="paragraph" w:styleId="NormalWeb">
    <w:name w:val="Normal (Web)"/>
    <w:basedOn w:val="Normal"/>
    <w:rsid w:val="00C95FFD"/>
    <w:pPr>
      <w:spacing w:before="100" w:beforeAutospacing="1" w:after="100" w:afterAutospacing="1"/>
    </w:pPr>
    <w:rPr>
      <w:lang w:eastAsia="en-AU"/>
    </w:rPr>
  </w:style>
  <w:style w:type="paragraph" w:styleId="DocumentMap">
    <w:name w:val="Document Map"/>
    <w:basedOn w:val="Normal"/>
    <w:semiHidden/>
    <w:rsid w:val="005E597D"/>
    <w:pPr>
      <w:shd w:val="clear" w:color="auto" w:fill="000080"/>
    </w:pPr>
    <w:rPr>
      <w:rFonts w:ascii="Tahoma" w:hAnsi="Tahoma" w:cs="Tahoma"/>
      <w:sz w:val="20"/>
      <w:szCs w:val="20"/>
    </w:rPr>
  </w:style>
  <w:style w:type="paragraph" w:customStyle="1" w:styleId="CharCharCharCharChar">
    <w:name w:val="Char Char Char Char Char"/>
    <w:basedOn w:val="Normal"/>
    <w:rsid w:val="00E23480"/>
    <w:rPr>
      <w:rFonts w:ascii="Arial" w:hAnsi="Arial" w:cs="Arial"/>
      <w:sz w:val="22"/>
      <w:szCs w:val="22"/>
    </w:rPr>
  </w:style>
  <w:style w:type="character" w:customStyle="1" w:styleId="HelpText">
    <w:name w:val="Help Text"/>
    <w:basedOn w:val="DefaultParagraphFont"/>
    <w:rsid w:val="00885099"/>
    <w:rPr>
      <w:color w:val="808080"/>
    </w:rPr>
  </w:style>
  <w:style w:type="paragraph" w:customStyle="1" w:styleId="Bullet">
    <w:name w:val="Bullet"/>
    <w:basedOn w:val="Normal"/>
    <w:rsid w:val="00885099"/>
    <w:pPr>
      <w:numPr>
        <w:numId w:val="3"/>
      </w:numPr>
      <w:spacing w:after="240" w:line="240" w:lineRule="atLeast"/>
    </w:pPr>
  </w:style>
  <w:style w:type="paragraph" w:customStyle="1" w:styleId="Bulletsinglespaced">
    <w:name w:val="Bullet (single spaced)"/>
    <w:basedOn w:val="Bullet"/>
    <w:rsid w:val="00885099"/>
    <w:pPr>
      <w:spacing w:after="0"/>
    </w:pPr>
  </w:style>
  <w:style w:type="character" w:styleId="CommentReference">
    <w:name w:val="annotation reference"/>
    <w:basedOn w:val="DefaultParagraphFont"/>
    <w:rsid w:val="00F458E0"/>
    <w:rPr>
      <w:sz w:val="16"/>
      <w:szCs w:val="16"/>
    </w:rPr>
  </w:style>
  <w:style w:type="paragraph" w:styleId="CommentText">
    <w:name w:val="annotation text"/>
    <w:basedOn w:val="Normal"/>
    <w:link w:val="CommentTextChar"/>
    <w:uiPriority w:val="99"/>
    <w:rsid w:val="00F458E0"/>
    <w:rPr>
      <w:sz w:val="20"/>
      <w:szCs w:val="20"/>
    </w:rPr>
  </w:style>
  <w:style w:type="character" w:customStyle="1" w:styleId="CommentTextChar">
    <w:name w:val="Comment Text Char"/>
    <w:basedOn w:val="DefaultParagraphFont"/>
    <w:link w:val="CommentText"/>
    <w:uiPriority w:val="99"/>
    <w:rsid w:val="00F458E0"/>
    <w:rPr>
      <w:lang w:eastAsia="en-US"/>
    </w:rPr>
  </w:style>
  <w:style w:type="paragraph" w:styleId="CommentSubject">
    <w:name w:val="annotation subject"/>
    <w:basedOn w:val="CommentText"/>
    <w:next w:val="CommentText"/>
    <w:link w:val="CommentSubjectChar"/>
    <w:rsid w:val="00F458E0"/>
    <w:rPr>
      <w:b/>
      <w:bCs/>
    </w:rPr>
  </w:style>
  <w:style w:type="character" w:customStyle="1" w:styleId="CommentSubjectChar">
    <w:name w:val="Comment Subject Char"/>
    <w:basedOn w:val="CommentTextChar"/>
    <w:link w:val="CommentSubject"/>
    <w:rsid w:val="00F458E0"/>
    <w:rPr>
      <w:b/>
      <w:bCs/>
      <w:lang w:eastAsia="en-US"/>
    </w:rPr>
  </w:style>
  <w:style w:type="paragraph" w:customStyle="1" w:styleId="Paragraph">
    <w:name w:val="Paragraph"/>
    <w:basedOn w:val="Normal"/>
    <w:rsid w:val="0072275C"/>
    <w:pPr>
      <w:numPr>
        <w:ilvl w:val="12"/>
      </w:numPr>
      <w:spacing w:before="240"/>
    </w:pPr>
    <w:rPr>
      <w:szCs w:val="20"/>
      <w:lang w:eastAsia="en-AU"/>
    </w:rPr>
  </w:style>
  <w:style w:type="paragraph" w:styleId="ListParagraph">
    <w:name w:val="List Paragraph"/>
    <w:aliases w:val="NFP GP Bulleted List,List Paragraph1,Recommendation,List Paragraph11"/>
    <w:basedOn w:val="Normal"/>
    <w:link w:val="ListParagraphChar"/>
    <w:uiPriority w:val="34"/>
    <w:qFormat/>
    <w:rsid w:val="00753CD8"/>
    <w:pPr>
      <w:ind w:left="720"/>
      <w:contextualSpacing/>
    </w:pPr>
  </w:style>
  <w:style w:type="paragraph" w:customStyle="1" w:styleId="StyleNew">
    <w:name w:val="Style_New"/>
    <w:basedOn w:val="Normal"/>
    <w:qFormat/>
    <w:rsid w:val="00377E45"/>
    <w:pPr>
      <w:numPr>
        <w:numId w:val="4"/>
      </w:numPr>
    </w:pPr>
    <w:rPr>
      <w:color w:val="76923C" w:themeColor="accent3" w:themeShade="BF"/>
      <w:sz w:val="22"/>
      <w:szCs w:val="22"/>
    </w:rPr>
  </w:style>
  <w:style w:type="paragraph" w:customStyle="1" w:styleId="NumberedParagraph">
    <w:name w:val="Numbered Paragraph"/>
    <w:basedOn w:val="Normal"/>
    <w:rsid w:val="00DA47EA"/>
    <w:pPr>
      <w:numPr>
        <w:numId w:val="5"/>
      </w:numPr>
      <w:spacing w:after="240" w:line="240" w:lineRule="atLeast"/>
    </w:pPr>
  </w:style>
  <w:style w:type="paragraph" w:customStyle="1" w:styleId="NumberList">
    <w:name w:val="Number List"/>
    <w:basedOn w:val="Normal"/>
    <w:rsid w:val="00407B73"/>
    <w:pPr>
      <w:numPr>
        <w:numId w:val="8"/>
      </w:numPr>
      <w:tabs>
        <w:tab w:val="left" w:pos="1985"/>
      </w:tabs>
      <w:spacing w:before="240" w:line="240" w:lineRule="atLeast"/>
    </w:pPr>
  </w:style>
  <w:style w:type="paragraph" w:customStyle="1" w:styleId="NumberListSub">
    <w:name w:val="Number List Sub"/>
    <w:basedOn w:val="NumberList"/>
    <w:rsid w:val="00407B73"/>
    <w:pPr>
      <w:numPr>
        <w:ilvl w:val="1"/>
      </w:numPr>
      <w:tabs>
        <w:tab w:val="left" w:pos="2552"/>
      </w:tabs>
    </w:pPr>
  </w:style>
  <w:style w:type="character" w:customStyle="1" w:styleId="FooterChar">
    <w:name w:val="Footer Char"/>
    <w:basedOn w:val="DefaultParagraphFont"/>
    <w:link w:val="Footer"/>
    <w:uiPriority w:val="99"/>
    <w:rsid w:val="0029530D"/>
    <w:rPr>
      <w:sz w:val="24"/>
      <w:szCs w:val="24"/>
      <w:lang w:eastAsia="en-US"/>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E44934"/>
    <w:rPr>
      <w:sz w:val="24"/>
      <w:szCs w:val="24"/>
      <w:lang w:eastAsia="en-US"/>
    </w:rPr>
  </w:style>
  <w:style w:type="paragraph" w:styleId="Index2">
    <w:name w:val="index 2"/>
    <w:basedOn w:val="Normal"/>
    <w:next w:val="Normal"/>
    <w:autoRedefine/>
    <w:uiPriority w:val="99"/>
    <w:semiHidden/>
    <w:unhideWhenUsed/>
    <w:rsid w:val="00551C43"/>
    <w:pPr>
      <w:ind w:left="440" w:hanging="220"/>
    </w:pPr>
    <w:rPr>
      <w:rFonts w:asciiTheme="minorHAnsi" w:eastAsiaTheme="minorEastAsia" w:hAnsiTheme="minorHAnsi" w:cstheme="minorBidi"/>
      <w:sz w:val="22"/>
      <w:szCs w:val="22"/>
      <w:lang w:eastAsia="en-AU"/>
    </w:rPr>
  </w:style>
  <w:style w:type="character" w:customStyle="1" w:styleId="CharPartText">
    <w:name w:val="CharPartText"/>
    <w:basedOn w:val="DefaultParagraphFont"/>
    <w:uiPriority w:val="1"/>
    <w:qFormat/>
    <w:rsid w:val="00AB3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269638">
      <w:bodyDiv w:val="1"/>
      <w:marLeft w:val="0"/>
      <w:marRight w:val="0"/>
      <w:marTop w:val="0"/>
      <w:marBottom w:val="0"/>
      <w:divBdr>
        <w:top w:val="none" w:sz="0" w:space="0" w:color="auto"/>
        <w:left w:val="none" w:sz="0" w:space="0" w:color="auto"/>
        <w:bottom w:val="none" w:sz="0" w:space="0" w:color="auto"/>
        <w:right w:val="none" w:sz="0" w:space="0" w:color="auto"/>
      </w:divBdr>
    </w:div>
    <w:div w:id="1619532866">
      <w:bodyDiv w:val="1"/>
      <w:marLeft w:val="0"/>
      <w:marRight w:val="0"/>
      <w:marTop w:val="0"/>
      <w:marBottom w:val="0"/>
      <w:divBdr>
        <w:top w:val="none" w:sz="0" w:space="0" w:color="auto"/>
        <w:left w:val="none" w:sz="0" w:space="0" w:color="auto"/>
        <w:bottom w:val="none" w:sz="0" w:space="0" w:color="auto"/>
        <w:right w:val="none" w:sz="0" w:space="0" w:color="auto"/>
      </w:divBdr>
    </w:div>
    <w:div w:id="17585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UNCLASSIFIED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Admin and Public Law</TermName>
          <TermId xmlns="http://schemas.microsoft.com/office/infopath/2007/PartnerControls">5202c132-9c9f-436f-a5ca-abd69606100b</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67a709a9-7539-4d0f-aed5-94eb6312c732">FIN201933931-22883953-73278</_dlc_DocId>
    <_dlc_DocIdUrl xmlns="67a709a9-7539-4d0f-aed5-94eb6312c732">
      <Url>https://f1.prdmgd.finance.gov.au/sites/50033931/_layouts/15/DocIdRedir.aspx?ID=FIN201933931-22883953-73278</Url>
      <Description>FIN201933931-22883953-73278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Finance Word Document" ma:contentTypeID="0x010100B321FEA60C5BA343A52BC94EC00ABC9E070100266755EB5612C54A92FEC68EDC39B1A1" ma:contentTypeVersion="62" ma:contentTypeDescription="Finance Word Document" ma:contentTypeScope="" ma:versionID="f2cec0a02b6e5cd80bc22d0789d456b2">
  <xsd:schema xmlns:xsd="http://www.w3.org/2001/XMLSchema" xmlns:xs="http://www.w3.org/2001/XMLSchema" xmlns:p="http://schemas.microsoft.com/office/2006/metadata/properties" xmlns:ns1="http://schemas.microsoft.com/sharepoint/v3" xmlns:ns2="82ff9d9b-d3fc-4aad-bc42-9949ee83b815" xmlns:ns3="67a709a9-7539-4d0f-aed5-94eb6312c732" targetNamespace="http://schemas.microsoft.com/office/2006/metadata/properties" ma:root="true" ma:fieldsID="69b30c91cffdc447e3e1700086efc2c7" ns1:_="" ns2:_="" ns3:_="">
    <xsd:import namespace="http://schemas.microsoft.com/sharepoint/v3"/>
    <xsd:import namespace="82ff9d9b-d3fc-4aad-bc42-9949ee83b815"/>
    <xsd:import namespace="67a709a9-7539-4d0f-aed5-94eb6312c732"/>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UNCLASSIFIED" ma:description="Security Classification" ma:format="Dropdown" ma:internalName="SecClass" ma:readOnly="false">
      <xsd:simpleType>
        <xsd:restriction base="dms:Choice">
          <xsd:enumeration value="UNOFFICIAL"/>
          <xsd:enumeration value="UNCLASSIFIED"/>
          <xsd:enumeration value="UNCLASSIFIED - Sensitive: Personal"/>
          <xsd:enumeration value="UNCLASSIFIED - Sensitive: Legal"/>
          <xsd:enumeration value="UNCLASSIFIED - Sensitive"/>
          <xsd:enumeration value="For Official Use Only"/>
          <xsd:enumeration value="PROTECTED"/>
          <xsd:enumeration value="PROTECTED - Sensitive: Cabinet"/>
          <xsd:enumeration value="PROTECTED - Sensitive: Personal"/>
          <xsd:enumeration value="PROTECTED - Sensitive: Legal"/>
          <xsd:enumeration value="PROTECTED - Sensitive"/>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779774a-81c2-4628-9acf-756ad12964f4}" ma:internalName="TaxCatchAll" ma:showField="CatchAllData"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779774a-81c2-4628-9acf-756ad12964f4}" ma:internalName="TaxCatchAllLabel" ma:readOnly="true" ma:showField="CatchAllDataLabel" ma:web="67a709a9-7539-4d0f-aed5-94eb6312c7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a709a9-7539-4d0f-aed5-94eb6312c732"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5fb5116-7131-45fb-9d92-926478776364" ContentTypeId="0x010100B321FEA60C5BA343A52BC94EC00ABC9E07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FA34C-42C3-47F5-96B4-374A93678D2F}">
  <ds:schemaRefs>
    <ds:schemaRef ds:uri="http://schemas.microsoft.com/sharepoint/v3/contenttype/forms"/>
  </ds:schemaRefs>
</ds:datastoreItem>
</file>

<file path=customXml/itemProps2.xml><?xml version="1.0" encoding="utf-8"?>
<ds:datastoreItem xmlns:ds="http://schemas.openxmlformats.org/officeDocument/2006/customXml" ds:itemID="{AB19D9D9-FF1F-43CF-9FBF-ECBCBF0FB112}">
  <ds:schemaRefs>
    <ds:schemaRef ds:uri="http://purl.org/dc/terms/"/>
    <ds:schemaRef ds:uri="82ff9d9b-d3fc-4aad-bc42-9949ee83b81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67a709a9-7539-4d0f-aed5-94eb6312c732"/>
    <ds:schemaRef ds:uri="http://www.w3.org/XML/1998/namespace"/>
    <ds:schemaRef ds:uri="http://purl.org/dc/dcmitype/"/>
  </ds:schemaRefs>
</ds:datastoreItem>
</file>

<file path=customXml/itemProps3.xml><?xml version="1.0" encoding="utf-8"?>
<ds:datastoreItem xmlns:ds="http://schemas.openxmlformats.org/officeDocument/2006/customXml" ds:itemID="{C66BA884-BC61-44E5-9D66-667FB596A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67a709a9-7539-4d0f-aed5-94eb6312c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1CE66-75FD-4646-A4C7-6DB7F22DE4BC}">
  <ds:schemaRefs>
    <ds:schemaRef ds:uri="Microsoft.SharePoint.Taxonomy.ContentTypeSync"/>
  </ds:schemaRefs>
</ds:datastoreItem>
</file>

<file path=customXml/itemProps5.xml><?xml version="1.0" encoding="utf-8"?>
<ds:datastoreItem xmlns:ds="http://schemas.openxmlformats.org/officeDocument/2006/customXml" ds:itemID="{712092A7-E798-4935-8F8C-A85EB29ED80A}">
  <ds:schemaRefs>
    <ds:schemaRef ds:uri="http://schemas.microsoft.com/sharepoint/events"/>
  </ds:schemaRefs>
</ds:datastoreItem>
</file>

<file path=customXml/itemProps6.xml><?xml version="1.0" encoding="utf-8"?>
<ds:datastoreItem xmlns:ds="http://schemas.openxmlformats.org/officeDocument/2006/customXml" ds:itemID="{D2962622-5D2D-48FE-A499-F66F433E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8900FD06</Template>
  <TotalTime>1</TotalTime>
  <Pages>5</Pages>
  <Words>1321</Words>
  <Characters>7690</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EXPLANATORY STATEMENT</vt:lpstr>
    </vt:vector>
  </TitlesOfParts>
  <Manager>Leslie Macdonald</Manager>
  <Company>Finance</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Tony Rose</dc:creator>
  <cp:lastModifiedBy>Morgan, Katrina</cp:lastModifiedBy>
  <cp:revision>2</cp:revision>
  <cp:lastPrinted>2020-02-20T21:33:00Z</cp:lastPrinted>
  <dcterms:created xsi:type="dcterms:W3CDTF">2020-03-03T03:59:00Z</dcterms:created>
  <dcterms:modified xsi:type="dcterms:W3CDTF">2020-03-03T03:59:00Z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0x010100B321FEA60C5BA343A52BC94EC00ABC9E070100266755EB5612C54A92FEC68EDC39B1A1</vt:lpwstr>
  </property>
  <property fmtid="{D5CDD505-2E9C-101B-9397-08002B2CF9AE}" pid="3" name="TaxKeyword">
    <vt:lpwstr/>
  </property>
  <property fmtid="{D5CDD505-2E9C-101B-9397-08002B2CF9AE}" pid="4" name="Function and Activity">
    <vt:lpwstr/>
  </property>
  <property fmtid="{D5CDD505-2E9C-101B-9397-08002B2CF9AE}" pid="5" name="AbtEntity">
    <vt:lpwstr>1;#Department of Finance|fd660e8f-8f31-49bd-92a3-d31d4da31afe</vt:lpwstr>
  </property>
  <property fmtid="{D5CDD505-2E9C-101B-9397-08002B2CF9AE}" pid="6" name="OrgUnit">
    <vt:lpwstr>2;#Admin and Public Law|5202c132-9c9f-436f-a5ca-abd69606100b</vt:lpwstr>
  </property>
  <property fmtid="{D5CDD505-2E9C-101B-9397-08002B2CF9AE}" pid="7" name="InitiatingEntity">
    <vt:lpwstr>1;#Department of Finance|fd660e8f-8f31-49bd-92a3-d31d4da31afe</vt:lpwstr>
  </property>
  <property fmtid="{D5CDD505-2E9C-101B-9397-08002B2CF9AE}" pid="8" name="_dlc_DocIdItemGuid">
    <vt:lpwstr>3e71a369-8f92-421f-b2c9-d54c844a0c47</vt:lpwstr>
  </property>
</Properties>
</file>