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0B396254" w:rsidR="00703828" w:rsidRPr="00E318F7" w:rsidRDefault="00D17007" w:rsidP="00703828">
      <w:pPr>
        <w:pStyle w:val="ShortT"/>
      </w:pPr>
      <w:bookmarkStart w:id="0" w:name="_Hlk23769693"/>
      <w:r>
        <w:t>Telecommunications (Mobile Number Pre-Porting Additional Identity Verification) Industry Standard 2020</w:t>
      </w:r>
      <w:bookmarkEnd w:id="0"/>
    </w:p>
    <w:p w14:paraId="65784851" w14:textId="77777777" w:rsidR="00703828" w:rsidRPr="00E318F7" w:rsidRDefault="00703828" w:rsidP="00703828">
      <w:pPr>
        <w:pStyle w:val="SignCoverPageStart"/>
        <w:spacing w:before="0" w:line="240" w:lineRule="auto"/>
        <w:rPr>
          <w:szCs w:val="22"/>
        </w:rPr>
      </w:pPr>
    </w:p>
    <w:p w14:paraId="527B4662" w14:textId="2BF0155A"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D17007">
        <w:rPr>
          <w:szCs w:val="22"/>
        </w:rPr>
        <w:t>Standard</w:t>
      </w:r>
      <w:r w:rsidR="001E45EA" w:rsidRPr="001E45EA">
        <w:rPr>
          <w:szCs w:val="22"/>
        </w:rPr>
        <w:t xml:space="preserve"> </w:t>
      </w:r>
      <w:r w:rsidR="001E45EA">
        <w:rPr>
          <w:szCs w:val="22"/>
        </w:rPr>
        <w:t xml:space="preserve">under </w:t>
      </w:r>
      <w:r w:rsidR="00D17007">
        <w:t>subsection 125AA(1)</w:t>
      </w:r>
      <w:r w:rsidR="001E45EA">
        <w:t xml:space="preserve"> of the </w:t>
      </w:r>
      <w:r w:rsidR="00D17007">
        <w:rPr>
          <w:i/>
        </w:rPr>
        <w:t>Telecommunications Act 1997</w:t>
      </w:r>
      <w:r w:rsidR="001E45EA">
        <w:t>.</w:t>
      </w:r>
    </w:p>
    <w:p w14:paraId="5E47FA36" w14:textId="3F235A02"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1" w:name="BKCheck15B_1"/>
      <w:bookmarkEnd w:id="1"/>
      <w:r w:rsidRPr="00E318F7">
        <w:rPr>
          <w:rFonts w:ascii="Times New Roman" w:hAnsi="Times New Roman" w:cs="Times New Roman"/>
        </w:rPr>
        <w:t>:</w:t>
      </w:r>
      <w:r w:rsidR="00D3073F">
        <w:rPr>
          <w:rFonts w:ascii="Times New Roman" w:hAnsi="Times New Roman" w:cs="Times New Roman"/>
        </w:rPr>
        <w:t xml:space="preserve"> 27 February 2020</w:t>
      </w:r>
    </w:p>
    <w:p w14:paraId="0C4540C4" w14:textId="13974913" w:rsidR="00F82F42" w:rsidRDefault="00F82F42" w:rsidP="00F82F42">
      <w:pPr>
        <w:tabs>
          <w:tab w:val="left" w:pos="3119"/>
        </w:tabs>
        <w:spacing w:before="120" w:after="0" w:line="200" w:lineRule="atLeast"/>
        <w:ind w:right="374"/>
        <w:jc w:val="right"/>
        <w:rPr>
          <w:rFonts w:ascii="Times New Roman" w:hAnsi="Times New Roman" w:cs="Times New Roman"/>
        </w:rPr>
      </w:pPr>
      <w:r>
        <w:rPr>
          <w:rFonts w:ascii="Times New Roman" w:hAnsi="Times New Roman" w:cs="Times New Roman"/>
        </w:rPr>
        <w:t>Nerida O’Loughlin</w:t>
      </w:r>
    </w:p>
    <w:p w14:paraId="3B1C6A7C" w14:textId="779710FD" w:rsidR="00F82F42" w:rsidRDefault="00F82F42" w:rsidP="00F82F42">
      <w:pPr>
        <w:tabs>
          <w:tab w:val="left" w:pos="3119"/>
        </w:tabs>
        <w:spacing w:before="120" w:after="0" w:line="200" w:lineRule="atLeast"/>
        <w:ind w:right="374"/>
        <w:jc w:val="right"/>
        <w:rPr>
          <w:rFonts w:ascii="Times New Roman" w:hAnsi="Times New Roman" w:cs="Times New Roman"/>
        </w:rPr>
      </w:pPr>
      <w:r>
        <w:rPr>
          <w:rFonts w:ascii="Times New Roman" w:hAnsi="Times New Roman" w:cs="Times New Roman"/>
        </w:rPr>
        <w:t>[signed]</w:t>
      </w:r>
    </w:p>
    <w:p w14:paraId="0A56D6F1" w14:textId="073E4835" w:rsidR="00703828" w:rsidRDefault="00703828" w:rsidP="00F82F42">
      <w:pPr>
        <w:tabs>
          <w:tab w:val="left" w:pos="3119"/>
        </w:tabs>
        <w:spacing w:before="120" w:after="0" w:line="200" w:lineRule="atLeast"/>
        <w:ind w:right="374"/>
        <w:jc w:val="right"/>
        <w:rPr>
          <w:rFonts w:ascii="Times New Roman" w:hAnsi="Times New Roman" w:cs="Times New Roman"/>
        </w:rPr>
      </w:pPr>
      <w:r w:rsidRPr="00E318F7">
        <w:rPr>
          <w:rFonts w:ascii="Times New Roman" w:hAnsi="Times New Roman" w:cs="Times New Roman"/>
        </w:rPr>
        <w:t>Member</w:t>
      </w:r>
      <w:bookmarkStart w:id="2" w:name="Minister"/>
    </w:p>
    <w:p w14:paraId="7B64D8DD" w14:textId="12D728F9" w:rsidR="00F82F42" w:rsidRDefault="00F82F42" w:rsidP="00F82F42">
      <w:pPr>
        <w:tabs>
          <w:tab w:val="left" w:pos="3119"/>
        </w:tabs>
        <w:spacing w:before="120" w:after="0" w:line="200" w:lineRule="atLeast"/>
        <w:ind w:right="374"/>
        <w:jc w:val="right"/>
        <w:rPr>
          <w:rFonts w:ascii="Times New Roman" w:hAnsi="Times New Roman" w:cs="Times New Roman"/>
        </w:rPr>
      </w:pPr>
    </w:p>
    <w:p w14:paraId="634B8F87" w14:textId="2C8017FA" w:rsidR="00F82F42" w:rsidRDefault="00BA349C" w:rsidP="00F82F42">
      <w:pPr>
        <w:tabs>
          <w:tab w:val="left" w:pos="3119"/>
        </w:tabs>
        <w:spacing w:before="120" w:after="0" w:line="200" w:lineRule="atLeast"/>
        <w:ind w:right="374"/>
        <w:jc w:val="right"/>
        <w:rPr>
          <w:rFonts w:ascii="Times New Roman" w:hAnsi="Times New Roman" w:cs="Times New Roman"/>
        </w:rPr>
      </w:pPr>
      <w:r>
        <w:rPr>
          <w:rFonts w:ascii="Times New Roman" w:hAnsi="Times New Roman" w:cs="Times New Roman"/>
        </w:rPr>
        <w:t>Chris Jose</w:t>
      </w:r>
    </w:p>
    <w:p w14:paraId="31D71788" w14:textId="4D18DA13" w:rsidR="00F82F42" w:rsidRPr="00E318F7" w:rsidRDefault="00BA349C" w:rsidP="00F82F42">
      <w:pPr>
        <w:tabs>
          <w:tab w:val="left" w:pos="3119"/>
        </w:tabs>
        <w:spacing w:before="120" w:after="0" w:line="200" w:lineRule="atLeast"/>
        <w:ind w:right="374"/>
        <w:jc w:val="right"/>
        <w:rPr>
          <w:rFonts w:ascii="Times New Roman" w:hAnsi="Times New Roman" w:cs="Times New Roman"/>
        </w:rPr>
      </w:pPr>
      <w:r>
        <w:rPr>
          <w:rFonts w:ascii="Times New Roman" w:hAnsi="Times New Roman" w:cs="Times New Roman"/>
        </w:rPr>
        <w:t>[signed]</w:t>
      </w:r>
    </w:p>
    <w:p w14:paraId="40808F8D" w14:textId="01B502EE" w:rsidR="00703828" w:rsidRPr="00E318F7" w:rsidRDefault="0081244E" w:rsidP="00F82F42">
      <w:pPr>
        <w:tabs>
          <w:tab w:val="left" w:pos="3119"/>
        </w:tabs>
        <w:spacing w:before="120" w:after="0" w:line="200" w:lineRule="atLeast"/>
        <w:ind w:right="374"/>
        <w:jc w:val="right"/>
        <w:rPr>
          <w:rFonts w:ascii="Times New Roman" w:hAnsi="Times New Roman" w:cs="Times New Roman"/>
        </w:rPr>
      </w:pPr>
      <w:r>
        <w:rPr>
          <w:rFonts w:ascii="Times New Roman" w:hAnsi="Times New Roman" w:cs="Times New Roman"/>
        </w:rPr>
        <w:t>Member</w:t>
      </w:r>
      <w:r w:rsidR="00703828" w:rsidRPr="00E318F7">
        <w:rPr>
          <w:rFonts w:ascii="Times New Roman" w:hAnsi="Times New Roman" w:cs="Times New Roman"/>
        </w:rPr>
        <w:t>/</w:t>
      </w:r>
      <w:bookmarkStart w:id="3" w:name="_GoBack"/>
      <w:r w:rsidR="00703828" w:rsidRPr="00C953AC">
        <w:rPr>
          <w:rFonts w:ascii="Times New Roman" w:hAnsi="Times New Roman" w:cs="Times New Roman"/>
          <w:strike/>
        </w:rPr>
        <w:t>General Manager</w:t>
      </w:r>
      <w:bookmarkEnd w:id="2"/>
      <w:bookmarkEnd w:id="3"/>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66532F">
          <w:headerReference w:type="default" r:id="rId13"/>
          <w:headerReference w:type="first" r:id="rId14"/>
          <w:footerReference w:type="first" r:id="rId15"/>
          <w:pgSz w:w="11906" w:h="16838"/>
          <w:pgMar w:top="1440" w:right="1440" w:bottom="1440" w:left="1440" w:header="708" w:footer="708" w:gutter="0"/>
          <w:pgNumType w:start="1"/>
          <w:cols w:space="708"/>
          <w:docGrid w:linePitch="360"/>
        </w:sectPr>
      </w:pPr>
    </w:p>
    <w:p w14:paraId="56D83C93" w14:textId="5BF0963F" w:rsidR="00B7359B" w:rsidRPr="006D3742" w:rsidRDefault="00B7359B" w:rsidP="006D3742">
      <w:pPr>
        <w:rPr>
          <w:rFonts w:ascii="Times New Roman" w:hAnsi="Times New Roman" w:cs="Times New Roman"/>
          <w:b/>
          <w:bCs/>
          <w:sz w:val="36"/>
          <w:szCs w:val="36"/>
        </w:rPr>
      </w:pPr>
      <w:bookmarkStart w:id="4" w:name="_Toc444596031"/>
      <w:r w:rsidRPr="006D3742">
        <w:rPr>
          <w:rFonts w:ascii="Times New Roman" w:hAnsi="Times New Roman" w:cs="Times New Roman"/>
          <w:b/>
          <w:bCs/>
          <w:sz w:val="36"/>
          <w:szCs w:val="36"/>
        </w:rPr>
        <w:lastRenderedPageBreak/>
        <w:t>Part 1—Preliminary</w:t>
      </w:r>
    </w:p>
    <w:p w14:paraId="5B3FCD21" w14:textId="77777777" w:rsidR="00F31EC9" w:rsidRPr="008E3E51" w:rsidRDefault="00F31EC9" w:rsidP="00F31EC9">
      <w:pPr>
        <w:pStyle w:val="ActHead5"/>
      </w:pPr>
      <w:r w:rsidRPr="001A4208">
        <w:rPr>
          <w:rStyle w:val="CharSectno"/>
        </w:rPr>
        <w:t>1</w:t>
      </w:r>
      <w:r w:rsidRPr="008E3E51">
        <w:t xml:space="preserve">  Name</w:t>
      </w:r>
    </w:p>
    <w:p w14:paraId="39AD4640" w14:textId="2585A7D9" w:rsidR="00F31EC9" w:rsidRPr="008E3E51" w:rsidRDefault="00F31EC9" w:rsidP="00F31EC9">
      <w:pPr>
        <w:pStyle w:val="subsection"/>
      </w:pPr>
      <w:r w:rsidRPr="008E3E51">
        <w:tab/>
      </w:r>
      <w:r w:rsidRPr="008E3E51">
        <w:tab/>
        <w:t>This is the</w:t>
      </w:r>
      <w:r w:rsidR="00D17007">
        <w:t xml:space="preserve"> </w:t>
      </w:r>
      <w:r w:rsidR="00D17007" w:rsidRPr="00D17007">
        <w:rPr>
          <w:i/>
          <w:iCs/>
        </w:rPr>
        <w:t>Telecommunications (Mobile Number Pre-Porting Additional Identity Verification) Industry Standard 2020</w:t>
      </w:r>
      <w:r w:rsidR="00D17007">
        <w:rPr>
          <w:i/>
        </w:rPr>
        <w:t>.</w:t>
      </w:r>
    </w:p>
    <w:p w14:paraId="476CE83B" w14:textId="77777777" w:rsidR="00F31EC9" w:rsidRPr="008E3E51" w:rsidRDefault="00F31EC9" w:rsidP="00F31EC9">
      <w:pPr>
        <w:pStyle w:val="ActHead5"/>
      </w:pPr>
      <w:bookmarkStart w:id="5" w:name="_Toc444596032"/>
      <w:r w:rsidRPr="008E3E51">
        <w:rPr>
          <w:rStyle w:val="CharSectno"/>
        </w:rPr>
        <w:t>2</w:t>
      </w:r>
      <w:r w:rsidRPr="008E3E51">
        <w:t xml:space="preserve">  Commencement</w:t>
      </w:r>
      <w:bookmarkEnd w:id="5"/>
    </w:p>
    <w:p w14:paraId="3815F740" w14:textId="6B80694F" w:rsidR="00F31EC9" w:rsidRDefault="00F31EC9" w:rsidP="00F31EC9">
      <w:pPr>
        <w:pStyle w:val="subsection"/>
      </w:pPr>
      <w:r>
        <w:tab/>
      </w:r>
      <w:r w:rsidRPr="008E3E51">
        <w:tab/>
        <w:t xml:space="preserve">This </w:t>
      </w:r>
      <w:r w:rsidR="006A7EC4">
        <w:t xml:space="preserve">industry standard </w:t>
      </w:r>
      <w:r>
        <w:t xml:space="preserve">commences </w:t>
      </w:r>
      <w:r w:rsidR="00D17007">
        <w:t>on 30 April 2020</w:t>
      </w:r>
      <w:r>
        <w:t>.</w:t>
      </w:r>
    </w:p>
    <w:p w14:paraId="4FEAC7C9" w14:textId="77777777" w:rsidR="00F31EC9" w:rsidRPr="008E3E51" w:rsidRDefault="00F31EC9" w:rsidP="00F31EC9">
      <w:pPr>
        <w:pStyle w:val="ActHead5"/>
      </w:pPr>
      <w:bookmarkStart w:id="6" w:name="_Toc444596033"/>
      <w:r w:rsidRPr="008E3E51">
        <w:rPr>
          <w:rStyle w:val="CharSectno"/>
        </w:rPr>
        <w:t>3</w:t>
      </w:r>
      <w:r w:rsidRPr="008E3E51">
        <w:t xml:space="preserve">  Authority</w:t>
      </w:r>
      <w:bookmarkEnd w:id="6"/>
    </w:p>
    <w:p w14:paraId="7CFF547D" w14:textId="5CF7CCF2" w:rsidR="00F31EC9" w:rsidRPr="008E3E51" w:rsidRDefault="00F31EC9" w:rsidP="00F31EC9">
      <w:pPr>
        <w:pStyle w:val="subsection"/>
      </w:pPr>
      <w:r w:rsidRPr="008E3E51">
        <w:tab/>
      </w:r>
      <w:r w:rsidRPr="008E3E51">
        <w:tab/>
        <w:t xml:space="preserve">This </w:t>
      </w:r>
      <w:r w:rsidR="006A7EC4">
        <w:t xml:space="preserve">industry standard </w:t>
      </w:r>
      <w:r>
        <w:t xml:space="preserve">is made under </w:t>
      </w:r>
      <w:r w:rsidR="00D17007">
        <w:t>subsection 125AA</w:t>
      </w:r>
      <w:r w:rsidR="000643A5">
        <w:t>(1)</w:t>
      </w:r>
      <w:r>
        <w:t xml:space="preserve"> of the </w:t>
      </w:r>
      <w:r w:rsidR="001A1A53" w:rsidRPr="003E7BF2">
        <w:rPr>
          <w:iCs/>
        </w:rPr>
        <w:t>Act</w:t>
      </w:r>
      <w:r w:rsidR="001A1A53">
        <w:rPr>
          <w:i/>
        </w:rPr>
        <w:t xml:space="preserve"> </w:t>
      </w:r>
      <w:r w:rsidR="000643A5">
        <w:rPr>
          <w:iCs/>
        </w:rPr>
        <w:t xml:space="preserve">and in accordance with the </w:t>
      </w:r>
      <w:r w:rsidR="000643A5" w:rsidRPr="00D17007">
        <w:rPr>
          <w:i/>
          <w:iCs/>
        </w:rPr>
        <w:t>Telecommunications (</w:t>
      </w:r>
      <w:r w:rsidR="000643A5">
        <w:rPr>
          <w:i/>
          <w:iCs/>
        </w:rPr>
        <w:t xml:space="preserve">Industry Standard for </w:t>
      </w:r>
      <w:r w:rsidR="000643A5" w:rsidRPr="00D17007">
        <w:rPr>
          <w:i/>
          <w:iCs/>
        </w:rPr>
        <w:t xml:space="preserve">Mobile Number Pre-Porting Additional Identity Verification) </w:t>
      </w:r>
      <w:r w:rsidR="000643A5">
        <w:rPr>
          <w:i/>
          <w:iCs/>
        </w:rPr>
        <w:t>Direction 2019</w:t>
      </w:r>
      <w:r>
        <w:t>.</w:t>
      </w:r>
    </w:p>
    <w:p w14:paraId="02B31E8A" w14:textId="50F61A42" w:rsidR="00D17007" w:rsidRDefault="00D17007" w:rsidP="00F31EC9">
      <w:pPr>
        <w:pStyle w:val="ActHead5"/>
        <w:rPr>
          <w:rStyle w:val="CharSectno"/>
        </w:rPr>
      </w:pPr>
      <w:bookmarkStart w:id="7" w:name="_Toc444596034"/>
      <w:r>
        <w:rPr>
          <w:rStyle w:val="CharSectno"/>
        </w:rPr>
        <w:t>4  Application</w:t>
      </w:r>
    </w:p>
    <w:p w14:paraId="0C5A3570" w14:textId="15CD0ACC" w:rsidR="00D17007" w:rsidRDefault="00D17007" w:rsidP="00D17007">
      <w:pPr>
        <w:pStyle w:val="subsection"/>
      </w:pPr>
      <w:r>
        <w:tab/>
      </w:r>
      <w:r>
        <w:tab/>
        <w:t xml:space="preserve">For the purposes of subsection 125AA(1) of the Act: </w:t>
      </w:r>
    </w:p>
    <w:p w14:paraId="3C7406F2" w14:textId="5B8BAC9A" w:rsidR="00A205A1" w:rsidRDefault="00D17007" w:rsidP="00CB59CF">
      <w:pPr>
        <w:pStyle w:val="subsection"/>
        <w:numPr>
          <w:ilvl w:val="0"/>
          <w:numId w:val="8"/>
        </w:numPr>
        <w:spacing w:before="120"/>
        <w:ind w:left="1560" w:hanging="427"/>
      </w:pPr>
      <w:r>
        <w:t>this industry standard applies to</w:t>
      </w:r>
      <w:r w:rsidR="001A1A53">
        <w:t>;</w:t>
      </w:r>
    </w:p>
    <w:p w14:paraId="7623EB8E" w14:textId="526E200C" w:rsidR="00D17007" w:rsidRDefault="00D17007" w:rsidP="00CB59CF">
      <w:pPr>
        <w:pStyle w:val="subsection"/>
        <w:numPr>
          <w:ilvl w:val="0"/>
          <w:numId w:val="24"/>
        </w:numPr>
        <w:tabs>
          <w:tab w:val="clear" w:pos="1021"/>
        </w:tabs>
        <w:spacing w:before="120"/>
        <w:ind w:left="1985" w:hanging="425"/>
      </w:pPr>
      <w:bookmarkStart w:id="8" w:name="_Hlk26447962"/>
      <w:r>
        <w:t xml:space="preserve">the section of the telecommunications industry consisting of </w:t>
      </w:r>
      <w:r w:rsidRPr="000C3E23">
        <w:t xml:space="preserve">mobile </w:t>
      </w:r>
      <w:r>
        <w:t>carriage service providers</w:t>
      </w:r>
      <w:r w:rsidR="00CE4CF7">
        <w:t xml:space="preserve"> who supply or arrange for the supply of public mobile telecommunications services</w:t>
      </w:r>
      <w:bookmarkEnd w:id="8"/>
      <w:r>
        <w:t>; and</w:t>
      </w:r>
    </w:p>
    <w:p w14:paraId="0D9EE8D1" w14:textId="297E45F8" w:rsidR="00A205A1" w:rsidRDefault="00A205A1" w:rsidP="00CB59CF">
      <w:pPr>
        <w:pStyle w:val="subsection"/>
        <w:tabs>
          <w:tab w:val="clear" w:pos="1021"/>
        </w:tabs>
        <w:spacing w:before="120"/>
        <w:ind w:left="1985" w:hanging="425"/>
      </w:pPr>
      <w:r>
        <w:t>(ii)</w:t>
      </w:r>
      <w:r>
        <w:tab/>
        <w:t>every port of a mobile service number</w:t>
      </w:r>
      <w:r w:rsidR="001A1A53">
        <w:t>;</w:t>
      </w:r>
      <w:r>
        <w:t xml:space="preserve"> </w:t>
      </w:r>
      <w:r w:rsidR="00192B91">
        <w:t>and</w:t>
      </w:r>
    </w:p>
    <w:p w14:paraId="1D3B69BB" w14:textId="5ED46F59" w:rsidR="00D17007" w:rsidRDefault="00D17007" w:rsidP="00A5186D">
      <w:pPr>
        <w:pStyle w:val="subsection"/>
        <w:numPr>
          <w:ilvl w:val="0"/>
          <w:numId w:val="8"/>
        </w:numPr>
        <w:ind w:left="1560" w:hanging="426"/>
      </w:pPr>
      <w:r>
        <w:t>the content of this industry standard deal</w:t>
      </w:r>
      <w:r w:rsidR="0055575B">
        <w:t>s</w:t>
      </w:r>
      <w:r>
        <w:t xml:space="preserve"> with </w:t>
      </w:r>
      <w:r w:rsidR="0055575B">
        <w:t xml:space="preserve">placing </w:t>
      </w:r>
      <w:r w:rsidR="00DF7DAE">
        <w:t>additional identity verification requirements on mobile carriage service providers to</w:t>
      </w:r>
      <w:r w:rsidR="0055575B">
        <w:t xml:space="preserve"> meet the objectives described in section 5.</w:t>
      </w:r>
    </w:p>
    <w:p w14:paraId="16C08A97" w14:textId="3BAF45C0" w:rsidR="00327A3A" w:rsidRDefault="00327A3A" w:rsidP="002E6CA8">
      <w:pPr>
        <w:pStyle w:val="subsection"/>
        <w:tabs>
          <w:tab w:val="clear" w:pos="1021"/>
        </w:tabs>
        <w:spacing w:before="120"/>
        <w:ind w:left="1701" w:hanging="568"/>
        <w:rPr>
          <w:sz w:val="18"/>
          <w:szCs w:val="16"/>
        </w:rPr>
      </w:pPr>
      <w:r w:rsidRPr="00327A3A">
        <w:rPr>
          <w:sz w:val="18"/>
          <w:szCs w:val="16"/>
        </w:rPr>
        <w:t>Note</w:t>
      </w:r>
      <w:r w:rsidR="002E6CA8">
        <w:rPr>
          <w:sz w:val="18"/>
          <w:szCs w:val="16"/>
        </w:rPr>
        <w:t xml:space="preserve"> 1</w:t>
      </w:r>
      <w:bookmarkStart w:id="9" w:name="_Hlk32250320"/>
      <w:r w:rsidRPr="00327A3A">
        <w:rPr>
          <w:sz w:val="18"/>
          <w:szCs w:val="16"/>
        </w:rPr>
        <w:t>:</w:t>
      </w:r>
      <w:r w:rsidR="00CB59CF">
        <w:rPr>
          <w:sz w:val="18"/>
          <w:szCs w:val="16"/>
        </w:rPr>
        <w:t xml:space="preserve"> </w:t>
      </w:r>
      <w:r>
        <w:rPr>
          <w:sz w:val="18"/>
          <w:szCs w:val="16"/>
        </w:rPr>
        <w:t xml:space="preserve">The pre-porting </w:t>
      </w:r>
      <w:r w:rsidR="001A1A53">
        <w:rPr>
          <w:sz w:val="18"/>
          <w:szCs w:val="16"/>
        </w:rPr>
        <w:t xml:space="preserve">identity </w:t>
      </w:r>
      <w:r>
        <w:rPr>
          <w:sz w:val="18"/>
          <w:szCs w:val="16"/>
        </w:rPr>
        <w:t xml:space="preserve">verification obligations in this industry standard are in addition to customer authorisation requirements in the </w:t>
      </w:r>
      <w:r w:rsidR="00690A82">
        <w:rPr>
          <w:i/>
          <w:iCs/>
          <w:sz w:val="18"/>
          <w:szCs w:val="16"/>
        </w:rPr>
        <w:t xml:space="preserve">Industry Code - </w:t>
      </w:r>
      <w:r w:rsidRPr="00690A82">
        <w:rPr>
          <w:i/>
          <w:iCs/>
          <w:sz w:val="18"/>
          <w:szCs w:val="16"/>
        </w:rPr>
        <w:t>Mobile Number Portability Code</w:t>
      </w:r>
      <w:r w:rsidR="00690A82">
        <w:rPr>
          <w:i/>
          <w:iCs/>
          <w:sz w:val="18"/>
          <w:szCs w:val="16"/>
        </w:rPr>
        <w:t xml:space="preserve"> </w:t>
      </w:r>
      <w:r w:rsidR="006B0C54">
        <w:rPr>
          <w:i/>
          <w:iCs/>
          <w:sz w:val="18"/>
          <w:szCs w:val="16"/>
        </w:rPr>
        <w:t>–</w:t>
      </w:r>
      <w:r w:rsidR="00690A82">
        <w:rPr>
          <w:i/>
          <w:iCs/>
          <w:sz w:val="18"/>
          <w:szCs w:val="16"/>
        </w:rPr>
        <w:t xml:space="preserve"> </w:t>
      </w:r>
      <w:r w:rsidR="006B0C54">
        <w:rPr>
          <w:i/>
          <w:iCs/>
          <w:sz w:val="18"/>
          <w:szCs w:val="16"/>
        </w:rPr>
        <w:t>C570:2009</w:t>
      </w:r>
      <w:r w:rsidR="00E61378">
        <w:rPr>
          <w:i/>
          <w:iCs/>
          <w:sz w:val="18"/>
          <w:szCs w:val="16"/>
        </w:rPr>
        <w:t xml:space="preserve"> </w:t>
      </w:r>
      <w:r w:rsidR="00E61378">
        <w:rPr>
          <w:sz w:val="18"/>
          <w:szCs w:val="16"/>
        </w:rPr>
        <w:t xml:space="preserve">and in the </w:t>
      </w:r>
      <w:r w:rsidR="00E61378">
        <w:rPr>
          <w:i/>
          <w:iCs/>
          <w:sz w:val="18"/>
          <w:szCs w:val="16"/>
        </w:rPr>
        <w:t>Customer Authorisation Industry Guideline (G651:201</w:t>
      </w:r>
      <w:r w:rsidR="00F2096A">
        <w:rPr>
          <w:i/>
          <w:iCs/>
          <w:sz w:val="18"/>
          <w:szCs w:val="16"/>
        </w:rPr>
        <w:t>7</w:t>
      </w:r>
      <w:r w:rsidR="00E61378">
        <w:rPr>
          <w:i/>
          <w:iCs/>
          <w:sz w:val="18"/>
          <w:szCs w:val="16"/>
        </w:rPr>
        <w:t>)</w:t>
      </w:r>
      <w:r w:rsidR="00E61378">
        <w:rPr>
          <w:sz w:val="18"/>
          <w:szCs w:val="16"/>
        </w:rPr>
        <w:t>.</w:t>
      </w:r>
    </w:p>
    <w:bookmarkEnd w:id="9"/>
    <w:p w14:paraId="3B2B127B" w14:textId="57DA50C7" w:rsidR="002E6CA8" w:rsidRPr="00ED591D" w:rsidRDefault="002E6CA8" w:rsidP="00ED591D">
      <w:pPr>
        <w:autoSpaceDE w:val="0"/>
        <w:autoSpaceDN w:val="0"/>
        <w:adjustRightInd w:val="0"/>
        <w:spacing w:before="120" w:after="0" w:line="240" w:lineRule="auto"/>
        <w:ind w:left="1701" w:hanging="567"/>
        <w:rPr>
          <w:rFonts w:ascii="Times New Roman" w:hAnsi="Times New Roman" w:cs="CIDFont+F1"/>
          <w:sz w:val="18"/>
        </w:rPr>
      </w:pPr>
      <w:r w:rsidRPr="003832DC">
        <w:rPr>
          <w:rFonts w:ascii="Times New Roman" w:hAnsi="Times New Roman" w:cs="CIDFont+F1"/>
          <w:sz w:val="18"/>
        </w:rPr>
        <w:t>Note</w:t>
      </w:r>
      <w:r>
        <w:rPr>
          <w:rFonts w:ascii="Times New Roman" w:hAnsi="Times New Roman" w:cs="CIDFont+F1"/>
          <w:sz w:val="18"/>
        </w:rPr>
        <w:t xml:space="preserve"> 2</w:t>
      </w:r>
      <w:r w:rsidRPr="003832DC">
        <w:rPr>
          <w:rFonts w:ascii="Times New Roman" w:hAnsi="Times New Roman" w:cs="CIDFont+F1"/>
          <w:sz w:val="18"/>
        </w:rPr>
        <w:t xml:space="preserve">: Section 116A of the </w:t>
      </w:r>
      <w:r w:rsidRPr="003832DC">
        <w:rPr>
          <w:rFonts w:ascii="Times New Roman" w:hAnsi="Times New Roman" w:cs="CIDFont+F5"/>
          <w:sz w:val="18"/>
        </w:rPr>
        <w:t xml:space="preserve">Act </w:t>
      </w:r>
      <w:r w:rsidRPr="003832DC">
        <w:rPr>
          <w:rFonts w:ascii="Times New Roman" w:hAnsi="Times New Roman" w:cs="CIDFont+F1"/>
          <w:sz w:val="18"/>
        </w:rPr>
        <w:t>provides that neither an</w:t>
      </w:r>
      <w:r>
        <w:rPr>
          <w:rFonts w:ascii="Times New Roman" w:hAnsi="Times New Roman" w:cs="CIDFont+F1"/>
          <w:sz w:val="18"/>
        </w:rPr>
        <w:t xml:space="preserve"> </w:t>
      </w:r>
      <w:r w:rsidRPr="003832DC">
        <w:rPr>
          <w:rFonts w:ascii="Times New Roman" w:hAnsi="Times New Roman" w:cs="CIDFont+F1"/>
          <w:sz w:val="18"/>
        </w:rPr>
        <w:t>industry code nor an industry</w:t>
      </w:r>
      <w:r>
        <w:rPr>
          <w:rFonts w:ascii="Times New Roman" w:hAnsi="Times New Roman" w:cs="CIDFont+F1"/>
          <w:sz w:val="18"/>
        </w:rPr>
        <w:t xml:space="preserve"> </w:t>
      </w:r>
      <w:r w:rsidRPr="003832DC">
        <w:rPr>
          <w:rFonts w:ascii="Times New Roman" w:hAnsi="Times New Roman" w:cs="CIDFont+F1"/>
          <w:sz w:val="18"/>
        </w:rPr>
        <w:t>standard derogates from a requirement made by or</w:t>
      </w:r>
      <w:r>
        <w:rPr>
          <w:rFonts w:ascii="Times New Roman" w:hAnsi="Times New Roman" w:cs="CIDFont+F1"/>
          <w:sz w:val="18"/>
        </w:rPr>
        <w:t xml:space="preserve"> </w:t>
      </w:r>
      <w:r w:rsidRPr="003832DC">
        <w:rPr>
          <w:rFonts w:ascii="Times New Roman" w:hAnsi="Times New Roman" w:cs="CIDFont+F1"/>
          <w:sz w:val="18"/>
        </w:rPr>
        <w:t xml:space="preserve">under the </w:t>
      </w:r>
      <w:r w:rsidRPr="003832DC">
        <w:rPr>
          <w:rFonts w:ascii="Times New Roman" w:hAnsi="Times New Roman" w:cs="CIDFont+F5"/>
          <w:sz w:val="18"/>
        </w:rPr>
        <w:t>Privacy Act 1988</w:t>
      </w:r>
      <w:r w:rsidRPr="003832DC">
        <w:rPr>
          <w:rFonts w:ascii="Times New Roman" w:hAnsi="Times New Roman" w:cs="CIDFont+F1"/>
          <w:sz w:val="18"/>
        </w:rPr>
        <w:t>.</w:t>
      </w:r>
    </w:p>
    <w:p w14:paraId="66FBCB46" w14:textId="6F7AFAA9" w:rsidR="0055575B" w:rsidRPr="0055575B" w:rsidRDefault="0055575B" w:rsidP="0055575B">
      <w:pPr>
        <w:pStyle w:val="ActHead5"/>
        <w:rPr>
          <w:rStyle w:val="CharSectno"/>
        </w:rPr>
      </w:pPr>
      <w:r w:rsidRPr="0055575B">
        <w:rPr>
          <w:rStyle w:val="CharSectno"/>
        </w:rPr>
        <w:t>5  Objectives</w:t>
      </w:r>
    </w:p>
    <w:p w14:paraId="0D5785FB" w14:textId="39920C4A" w:rsidR="0055575B" w:rsidRPr="00527CE6" w:rsidRDefault="0055575B" w:rsidP="0055575B">
      <w:pPr>
        <w:pStyle w:val="subsection"/>
      </w:pPr>
      <w:r>
        <w:tab/>
      </w:r>
      <w:r>
        <w:tab/>
      </w:r>
      <w:r w:rsidRPr="00527CE6">
        <w:t>The objectives of this industry standard are, without limitation, to:</w:t>
      </w:r>
    </w:p>
    <w:p w14:paraId="317B7E18" w14:textId="3F0D1ACF" w:rsidR="00DF7DAE" w:rsidRPr="00527CE6" w:rsidRDefault="00DF7DAE" w:rsidP="00CB59CF">
      <w:pPr>
        <w:pStyle w:val="subsection"/>
        <w:numPr>
          <w:ilvl w:val="0"/>
          <w:numId w:val="9"/>
        </w:numPr>
        <w:tabs>
          <w:tab w:val="clear" w:pos="1021"/>
        </w:tabs>
        <w:spacing w:before="120"/>
        <w:ind w:left="1560" w:hanging="426"/>
      </w:pPr>
      <w:r w:rsidRPr="00527CE6">
        <w:t xml:space="preserve">prevent the unauthorised porting of mobile service numbers; </w:t>
      </w:r>
    </w:p>
    <w:p w14:paraId="55393C23" w14:textId="353F6D21" w:rsidR="00DF7DAE" w:rsidRPr="00527CE6" w:rsidRDefault="00DF7DAE" w:rsidP="00CB59CF">
      <w:pPr>
        <w:pStyle w:val="subsection"/>
        <w:numPr>
          <w:ilvl w:val="0"/>
          <w:numId w:val="9"/>
        </w:numPr>
        <w:tabs>
          <w:tab w:val="clear" w:pos="1021"/>
        </w:tabs>
        <w:spacing w:before="120"/>
        <w:ind w:left="1560" w:hanging="426"/>
      </w:pPr>
      <w:r w:rsidRPr="00527CE6">
        <w:t>reduce harm to customers from the unauthorised porting of mobile service numbers</w:t>
      </w:r>
      <w:r w:rsidR="00F07D00" w:rsidRPr="00527CE6">
        <w:t>; and</w:t>
      </w:r>
    </w:p>
    <w:p w14:paraId="5888863F" w14:textId="6C4EFDB4" w:rsidR="00393A24" w:rsidRPr="00527CE6" w:rsidRDefault="00C92BBE" w:rsidP="00393A24">
      <w:pPr>
        <w:pStyle w:val="subsection"/>
        <w:numPr>
          <w:ilvl w:val="0"/>
          <w:numId w:val="9"/>
        </w:numPr>
        <w:tabs>
          <w:tab w:val="clear" w:pos="1021"/>
        </w:tabs>
        <w:spacing w:before="120"/>
        <w:ind w:left="1560" w:hanging="426"/>
      </w:pPr>
      <w:r w:rsidRPr="00527CE6">
        <w:t xml:space="preserve">require </w:t>
      </w:r>
      <w:r w:rsidR="001A1A53" w:rsidRPr="00527CE6">
        <w:t>gaining carriage service provider</w:t>
      </w:r>
      <w:r w:rsidRPr="00527CE6">
        <w:t xml:space="preserve">s to </w:t>
      </w:r>
      <w:r w:rsidR="00EE3232" w:rsidRPr="00527CE6">
        <w:t xml:space="preserve">take reasonable steps to confirm </w:t>
      </w:r>
      <w:r w:rsidR="00393A24" w:rsidRPr="00527CE6">
        <w:t>that the person requesting a port</w:t>
      </w:r>
      <w:bookmarkStart w:id="10" w:name="_Hlk26448560"/>
      <w:r w:rsidR="00393A24" w:rsidRPr="00527CE6">
        <w:t>:</w:t>
      </w:r>
    </w:p>
    <w:p w14:paraId="4A96614F" w14:textId="026D356D" w:rsidR="00393A24" w:rsidRPr="00527CE6" w:rsidRDefault="00491620" w:rsidP="00C43D87">
      <w:pPr>
        <w:pStyle w:val="subsection"/>
        <w:tabs>
          <w:tab w:val="clear" w:pos="1021"/>
        </w:tabs>
        <w:spacing w:before="120"/>
        <w:ind w:left="2268" w:hanging="567"/>
      </w:pPr>
      <w:r w:rsidRPr="00527CE6">
        <w:t>(i)</w:t>
      </w:r>
      <w:r w:rsidR="00C43D87" w:rsidRPr="00527CE6">
        <w:tab/>
      </w:r>
      <w:r w:rsidR="00F07D00" w:rsidRPr="00527CE6">
        <w:t xml:space="preserve">is the rights of use holder </w:t>
      </w:r>
      <w:r w:rsidR="00C92BBE" w:rsidRPr="00527CE6">
        <w:t xml:space="preserve">of </w:t>
      </w:r>
      <w:r w:rsidR="00375868" w:rsidRPr="00527CE6">
        <w:t xml:space="preserve">the mobile service number to be ported; and </w:t>
      </w:r>
    </w:p>
    <w:p w14:paraId="64FF0B5C" w14:textId="32A73D69" w:rsidR="00F07D00" w:rsidRPr="00527CE6" w:rsidRDefault="00F20F8D" w:rsidP="00C43D87">
      <w:pPr>
        <w:pStyle w:val="subsection"/>
        <w:tabs>
          <w:tab w:val="clear" w:pos="1021"/>
        </w:tabs>
        <w:spacing w:before="120"/>
        <w:ind w:left="2268" w:hanging="567"/>
      </w:pPr>
      <w:r w:rsidRPr="00527CE6">
        <w:t>(ii)</w:t>
      </w:r>
      <w:r w:rsidR="00C43D87" w:rsidRPr="00527CE6">
        <w:tab/>
      </w:r>
      <w:r w:rsidR="00375868" w:rsidRPr="00527CE6">
        <w:t xml:space="preserve">has </w:t>
      </w:r>
      <w:r w:rsidR="001F2BA0" w:rsidRPr="00527CE6">
        <w:t>direct and immediate</w:t>
      </w:r>
      <w:r w:rsidR="00F07D00" w:rsidRPr="00527CE6">
        <w:t xml:space="preserve"> access</w:t>
      </w:r>
      <w:r w:rsidR="00375868" w:rsidRPr="00527CE6">
        <w:t xml:space="preserve"> to </w:t>
      </w:r>
      <w:r w:rsidR="00B40793" w:rsidRPr="00527CE6">
        <w:t>a</w:t>
      </w:r>
      <w:r w:rsidR="00375868" w:rsidRPr="00527CE6">
        <w:t xml:space="preserve"> mobile device associated with</w:t>
      </w:r>
      <w:r w:rsidR="00F07D00" w:rsidRPr="00527CE6">
        <w:t xml:space="preserve"> </w:t>
      </w:r>
      <w:r w:rsidR="00C55D30" w:rsidRPr="00527CE6">
        <w:t>that</w:t>
      </w:r>
      <w:r w:rsidR="00F07D00" w:rsidRPr="00527CE6">
        <w:t xml:space="preserve"> mobile service number.</w:t>
      </w:r>
    </w:p>
    <w:bookmarkEnd w:id="10"/>
    <w:p w14:paraId="4FBF1CA6" w14:textId="55D90C21" w:rsidR="00F31EC9" w:rsidRPr="00527CE6" w:rsidRDefault="00F31EC9" w:rsidP="00737FCC">
      <w:pPr>
        <w:pStyle w:val="ActHead5"/>
      </w:pPr>
      <w:r w:rsidRPr="00527CE6">
        <w:rPr>
          <w:rStyle w:val="CharSectno"/>
        </w:rPr>
        <w:lastRenderedPageBreak/>
        <w:t>6</w:t>
      </w:r>
      <w:r w:rsidRPr="00527CE6">
        <w:t xml:space="preserve">  Definitions</w:t>
      </w:r>
      <w:bookmarkEnd w:id="7"/>
    </w:p>
    <w:p w14:paraId="71BADECC" w14:textId="38F3F410" w:rsidR="00F31EC9" w:rsidRPr="00527CE6" w:rsidRDefault="00F31EC9" w:rsidP="00737FCC">
      <w:pPr>
        <w:pStyle w:val="subsection"/>
        <w:keepNext/>
      </w:pPr>
      <w:r w:rsidRPr="00527CE6">
        <w:tab/>
      </w:r>
      <w:r w:rsidRPr="00527CE6">
        <w:tab/>
        <w:t xml:space="preserve">In this </w:t>
      </w:r>
      <w:r w:rsidR="00D25192" w:rsidRPr="00527CE6">
        <w:t>industry standard</w:t>
      </w:r>
      <w:r w:rsidRPr="00527CE6">
        <w:t>:</w:t>
      </w:r>
    </w:p>
    <w:p w14:paraId="76F3FF4D" w14:textId="77777777" w:rsidR="00027AFE" w:rsidRDefault="00027AFE" w:rsidP="00737FCC">
      <w:pPr>
        <w:pStyle w:val="Definition"/>
        <w:keepNext/>
        <w:spacing w:before="120"/>
        <w:rPr>
          <w:color w:val="000000"/>
          <w:shd w:val="clear" w:color="auto" w:fill="FFFFFF"/>
        </w:rPr>
      </w:pPr>
      <w:r>
        <w:rPr>
          <w:b/>
          <w:bCs/>
          <w:i/>
          <w:iCs/>
          <w:color w:val="000000"/>
          <w:shd w:val="clear" w:color="auto" w:fill="FFFFFF"/>
        </w:rPr>
        <w:t>access-controlled defence site</w:t>
      </w:r>
      <w:r>
        <w:rPr>
          <w:color w:val="000000"/>
          <w:shd w:val="clear" w:color="auto" w:fill="FFFFFF"/>
        </w:rPr>
        <w:t> means defence premises which can only be accessed through a defence access control point.</w:t>
      </w:r>
    </w:p>
    <w:p w14:paraId="290237CA" w14:textId="47D16194" w:rsidR="00F31EC9" w:rsidRPr="00527CE6" w:rsidRDefault="00F31EC9" w:rsidP="006D3742">
      <w:pPr>
        <w:pStyle w:val="Definition"/>
        <w:spacing w:before="120"/>
      </w:pPr>
      <w:r w:rsidRPr="00527CE6">
        <w:rPr>
          <w:b/>
          <w:i/>
        </w:rPr>
        <w:t>Act</w:t>
      </w:r>
      <w:r w:rsidRPr="00527CE6">
        <w:t xml:space="preserve"> means </w:t>
      </w:r>
      <w:r w:rsidR="0055575B" w:rsidRPr="00527CE6">
        <w:rPr>
          <w:iCs/>
        </w:rPr>
        <w:t xml:space="preserve">the </w:t>
      </w:r>
      <w:r w:rsidR="0055575B" w:rsidRPr="00527CE6">
        <w:rPr>
          <w:i/>
        </w:rPr>
        <w:t>Telecommunications Act 1997</w:t>
      </w:r>
      <w:r w:rsidRPr="00527CE6">
        <w:t>.</w:t>
      </w:r>
    </w:p>
    <w:p w14:paraId="6F707880" w14:textId="1A4C7EE6" w:rsidR="00370C2E" w:rsidRPr="00527CE6" w:rsidRDefault="00370C2E" w:rsidP="00370C2E">
      <w:pPr>
        <w:pStyle w:val="Definition"/>
        <w:spacing w:before="120"/>
        <w:rPr>
          <w:iCs/>
        </w:rPr>
      </w:pPr>
      <w:r w:rsidRPr="00527CE6">
        <w:rPr>
          <w:b/>
          <w:bCs/>
          <w:i/>
        </w:rPr>
        <w:t xml:space="preserve">additional identity verification process </w:t>
      </w:r>
      <w:r w:rsidRPr="00527CE6">
        <w:rPr>
          <w:iCs/>
        </w:rPr>
        <w:t>means a process described in subsection</w:t>
      </w:r>
      <w:r w:rsidR="00255DE4" w:rsidRPr="00527CE6">
        <w:rPr>
          <w:iCs/>
        </w:rPr>
        <w:t>s</w:t>
      </w:r>
      <w:r w:rsidRPr="00527CE6">
        <w:rPr>
          <w:iCs/>
        </w:rPr>
        <w:t xml:space="preserve"> </w:t>
      </w:r>
      <w:r w:rsidRPr="00D14532">
        <w:rPr>
          <w:iCs/>
        </w:rPr>
        <w:t>8(2)</w:t>
      </w:r>
      <w:r w:rsidR="00255DE4" w:rsidRPr="00D14532">
        <w:rPr>
          <w:iCs/>
        </w:rPr>
        <w:t xml:space="preserve"> </w:t>
      </w:r>
      <w:r w:rsidR="00F0329B" w:rsidRPr="00D14532">
        <w:rPr>
          <w:iCs/>
        </w:rPr>
        <w:t xml:space="preserve">or </w:t>
      </w:r>
      <w:r w:rsidR="00255DE4" w:rsidRPr="00D14532">
        <w:rPr>
          <w:iCs/>
        </w:rPr>
        <w:t>8(3)</w:t>
      </w:r>
      <w:r w:rsidRPr="00D14532">
        <w:rPr>
          <w:iCs/>
        </w:rPr>
        <w:t>.</w:t>
      </w:r>
    </w:p>
    <w:p w14:paraId="2E7BD3CF" w14:textId="6EF36E04" w:rsidR="00F11ACD" w:rsidRPr="00527CE6" w:rsidRDefault="00F11ACD" w:rsidP="006D3742">
      <w:pPr>
        <w:pStyle w:val="Definition"/>
        <w:spacing w:before="120"/>
      </w:pPr>
      <w:r w:rsidRPr="00527CE6">
        <w:rPr>
          <w:b/>
          <w:bCs/>
          <w:i/>
        </w:rPr>
        <w:t>authorised representative</w:t>
      </w:r>
      <w:r w:rsidR="002D211A" w:rsidRPr="00527CE6">
        <w:t xml:space="preserve"> means the person who has authority from a </w:t>
      </w:r>
      <w:r w:rsidR="00F41DF4" w:rsidRPr="00527CE6">
        <w:t xml:space="preserve">customer </w:t>
      </w:r>
      <w:r w:rsidR="002D211A" w:rsidRPr="00527CE6">
        <w:t xml:space="preserve">to deal with a mobile carriage service provider on behalf of that </w:t>
      </w:r>
      <w:r w:rsidR="00F41DF4" w:rsidRPr="00527CE6">
        <w:t>customer</w:t>
      </w:r>
      <w:r w:rsidR="00E61378" w:rsidRPr="00527CE6">
        <w:t xml:space="preserve"> as their authorised agent</w:t>
      </w:r>
      <w:r w:rsidR="004052B4" w:rsidRPr="00527CE6">
        <w:t>.</w:t>
      </w:r>
    </w:p>
    <w:p w14:paraId="77043257" w14:textId="35572C49" w:rsidR="00517DF6" w:rsidRPr="00527CE6" w:rsidRDefault="00517DF6" w:rsidP="00D21D18">
      <w:pPr>
        <w:pStyle w:val="Definition"/>
        <w:spacing w:before="120"/>
        <w:rPr>
          <w:iCs/>
        </w:rPr>
      </w:pPr>
      <w:r w:rsidRPr="00527CE6">
        <w:rPr>
          <w:b/>
          <w:bCs/>
          <w:i/>
        </w:rPr>
        <w:t xml:space="preserve">biometric data </w:t>
      </w:r>
      <w:r w:rsidRPr="00527CE6">
        <w:rPr>
          <w:iCs/>
        </w:rPr>
        <w:t xml:space="preserve">means </w:t>
      </w:r>
      <w:r w:rsidR="00D21D18" w:rsidRPr="00527CE6">
        <w:rPr>
          <w:iCs/>
        </w:rPr>
        <w:t>information about any measurable biological or behavioural characteristics of an individual that can be used to verify the identity of the individual, such as</w:t>
      </w:r>
      <w:r w:rsidR="00D05865" w:rsidRPr="00527CE6">
        <w:rPr>
          <w:iCs/>
        </w:rPr>
        <w:t xml:space="preserve"> their</w:t>
      </w:r>
      <w:r w:rsidR="00D21D18" w:rsidRPr="00527CE6">
        <w:rPr>
          <w:iCs/>
        </w:rPr>
        <w:t xml:space="preserve"> face, fingerprints and voice.</w:t>
      </w:r>
    </w:p>
    <w:p w14:paraId="0622FC36" w14:textId="0B04B078" w:rsidR="00253AB8" w:rsidRPr="00527CE6" w:rsidRDefault="00253AB8" w:rsidP="00253AB8">
      <w:pPr>
        <w:pStyle w:val="definition0"/>
        <w:spacing w:before="120"/>
        <w:ind w:left="1134"/>
        <w:rPr>
          <w:sz w:val="22"/>
        </w:rPr>
      </w:pPr>
      <w:r w:rsidRPr="00527CE6">
        <w:rPr>
          <w:b/>
          <w:bCs/>
          <w:i/>
          <w:iCs/>
          <w:sz w:val="22"/>
        </w:rPr>
        <w:t>category A document</w:t>
      </w:r>
      <w:r w:rsidRPr="00527CE6">
        <w:rPr>
          <w:sz w:val="22"/>
        </w:rPr>
        <w:t xml:space="preserve"> means a document mentioned in Table 1 in Schedule 1</w:t>
      </w:r>
      <w:r w:rsidR="00C43D87" w:rsidRPr="00527CE6">
        <w:rPr>
          <w:sz w:val="22"/>
        </w:rPr>
        <w:t>.</w:t>
      </w:r>
    </w:p>
    <w:p w14:paraId="1C7FEC23" w14:textId="2D25B9AB" w:rsidR="003F2765" w:rsidRPr="00527CE6" w:rsidRDefault="00253AB8" w:rsidP="00253AB8">
      <w:pPr>
        <w:pStyle w:val="Definition"/>
        <w:spacing w:before="120"/>
      </w:pPr>
      <w:r w:rsidRPr="00527CE6">
        <w:rPr>
          <w:b/>
          <w:bCs/>
          <w:i/>
          <w:iCs/>
        </w:rPr>
        <w:t xml:space="preserve">category B document </w:t>
      </w:r>
      <w:r w:rsidRPr="00527CE6">
        <w:t xml:space="preserve">means a document mentioned in Table </w:t>
      </w:r>
      <w:r w:rsidR="00E10461" w:rsidRPr="00527CE6">
        <w:t>2</w:t>
      </w:r>
      <w:r w:rsidRPr="00527CE6">
        <w:t xml:space="preserve"> in Schedule 1.</w:t>
      </w:r>
    </w:p>
    <w:p w14:paraId="5D29752F" w14:textId="65F35589" w:rsidR="00621304" w:rsidRPr="00527CE6" w:rsidRDefault="00F11ACD" w:rsidP="006D3742">
      <w:pPr>
        <w:pStyle w:val="Definition"/>
        <w:spacing w:before="120"/>
        <w:rPr>
          <w:iCs/>
        </w:rPr>
      </w:pPr>
      <w:r w:rsidRPr="00527CE6">
        <w:rPr>
          <w:b/>
          <w:bCs/>
          <w:i/>
        </w:rPr>
        <w:t>c</w:t>
      </w:r>
      <w:r w:rsidR="00621304" w:rsidRPr="00527CE6">
        <w:rPr>
          <w:b/>
          <w:bCs/>
          <w:i/>
        </w:rPr>
        <w:t xml:space="preserve">ustomer </w:t>
      </w:r>
      <w:r w:rsidR="00621304" w:rsidRPr="00527CE6">
        <w:rPr>
          <w:iCs/>
        </w:rPr>
        <w:t xml:space="preserve">means </w:t>
      </w:r>
      <w:r w:rsidR="00327E59" w:rsidRPr="00527CE6">
        <w:rPr>
          <w:iCs/>
        </w:rPr>
        <w:t xml:space="preserve">a person with a contractual relationship with a carriage service provider and </w:t>
      </w:r>
      <w:r w:rsidR="00854241" w:rsidRPr="00527CE6">
        <w:rPr>
          <w:iCs/>
        </w:rPr>
        <w:t xml:space="preserve">to whom the carriage service provider has issued </w:t>
      </w:r>
      <w:r w:rsidR="00327E59" w:rsidRPr="00527CE6">
        <w:rPr>
          <w:iCs/>
        </w:rPr>
        <w:t>a mobile service number</w:t>
      </w:r>
      <w:r w:rsidR="000C3E23" w:rsidRPr="00527CE6">
        <w:rPr>
          <w:iCs/>
        </w:rPr>
        <w:t>.</w:t>
      </w:r>
    </w:p>
    <w:p w14:paraId="43256513" w14:textId="6857426B" w:rsidR="00BE1F3F" w:rsidRPr="00527CE6" w:rsidRDefault="00BE1F3F" w:rsidP="006D3742">
      <w:pPr>
        <w:pStyle w:val="Definition"/>
        <w:spacing w:before="120"/>
        <w:rPr>
          <w:iCs/>
        </w:rPr>
      </w:pPr>
      <w:r w:rsidRPr="00D14532">
        <w:rPr>
          <w:iCs/>
        </w:rPr>
        <w:t>A reference to a customer includes a large business customer.</w:t>
      </w:r>
    </w:p>
    <w:p w14:paraId="7A7D07DB" w14:textId="06B2343C" w:rsidR="009A68D2" w:rsidRPr="00527CE6" w:rsidRDefault="009A68D2" w:rsidP="005A1289">
      <w:pPr>
        <w:pStyle w:val="Definition"/>
        <w:spacing w:before="120"/>
        <w:ind w:left="1701" w:hanging="567"/>
        <w:rPr>
          <w:iCs/>
          <w:sz w:val="18"/>
          <w:szCs w:val="16"/>
        </w:rPr>
      </w:pPr>
      <w:r w:rsidRPr="00527CE6">
        <w:rPr>
          <w:iCs/>
          <w:sz w:val="18"/>
          <w:szCs w:val="16"/>
        </w:rPr>
        <w:t xml:space="preserve">Note: </w:t>
      </w:r>
      <w:r w:rsidR="005A1289" w:rsidRPr="00527CE6">
        <w:rPr>
          <w:iCs/>
          <w:sz w:val="18"/>
          <w:szCs w:val="16"/>
        </w:rPr>
        <w:tab/>
      </w:r>
      <w:r w:rsidR="00400751" w:rsidRPr="00527CE6">
        <w:rPr>
          <w:iCs/>
          <w:sz w:val="18"/>
          <w:szCs w:val="16"/>
        </w:rPr>
        <w:t xml:space="preserve">A </w:t>
      </w:r>
      <w:r w:rsidR="00236AC1" w:rsidRPr="00527CE6">
        <w:rPr>
          <w:iCs/>
          <w:sz w:val="18"/>
          <w:szCs w:val="16"/>
        </w:rPr>
        <w:t xml:space="preserve">mobile carriage service provider </w:t>
      </w:r>
      <w:r w:rsidR="0000598E" w:rsidRPr="00527CE6">
        <w:rPr>
          <w:iCs/>
          <w:sz w:val="18"/>
          <w:szCs w:val="16"/>
        </w:rPr>
        <w:t xml:space="preserve">may </w:t>
      </w:r>
      <w:r w:rsidR="00236AC1" w:rsidRPr="00527CE6">
        <w:rPr>
          <w:iCs/>
          <w:sz w:val="18"/>
          <w:szCs w:val="16"/>
        </w:rPr>
        <w:t xml:space="preserve">have obligations in relation to a </w:t>
      </w:r>
      <w:r w:rsidR="0000598E" w:rsidRPr="00527CE6">
        <w:rPr>
          <w:iCs/>
          <w:sz w:val="18"/>
          <w:szCs w:val="16"/>
        </w:rPr>
        <w:t>person</w:t>
      </w:r>
      <w:r w:rsidR="00400751" w:rsidRPr="00527CE6">
        <w:rPr>
          <w:iCs/>
          <w:sz w:val="18"/>
          <w:szCs w:val="16"/>
        </w:rPr>
        <w:t xml:space="preserve"> </w:t>
      </w:r>
      <w:r w:rsidR="00236AC1" w:rsidRPr="00527CE6">
        <w:rPr>
          <w:iCs/>
          <w:sz w:val="18"/>
          <w:szCs w:val="16"/>
        </w:rPr>
        <w:t xml:space="preserve">under this industry standard even if the person does not have a </w:t>
      </w:r>
      <w:r w:rsidRPr="00527CE6">
        <w:rPr>
          <w:iCs/>
          <w:sz w:val="18"/>
          <w:szCs w:val="16"/>
        </w:rPr>
        <w:t xml:space="preserve">contractual relationship with </w:t>
      </w:r>
      <w:r w:rsidR="00236AC1" w:rsidRPr="00527CE6">
        <w:rPr>
          <w:iCs/>
          <w:sz w:val="18"/>
          <w:szCs w:val="16"/>
        </w:rPr>
        <w:t xml:space="preserve">the mobile </w:t>
      </w:r>
      <w:r w:rsidRPr="00527CE6">
        <w:rPr>
          <w:iCs/>
          <w:sz w:val="18"/>
          <w:szCs w:val="16"/>
        </w:rPr>
        <w:t>carriage service provider</w:t>
      </w:r>
      <w:r w:rsidR="00236AC1" w:rsidRPr="00527CE6">
        <w:rPr>
          <w:iCs/>
          <w:sz w:val="18"/>
          <w:szCs w:val="16"/>
        </w:rPr>
        <w:t>, as long as the person has a contractual relationship with some other mobile carriage service provider and the person has rights of use to a mobile service number.</w:t>
      </w:r>
    </w:p>
    <w:p w14:paraId="6192A206" w14:textId="1B6169F7" w:rsidR="00BE7591" w:rsidRPr="00527CE6" w:rsidRDefault="00FC6219" w:rsidP="00123056">
      <w:pPr>
        <w:pStyle w:val="Definition"/>
        <w:spacing w:before="120"/>
        <w:rPr>
          <w:color w:val="000000"/>
          <w:shd w:val="clear" w:color="auto" w:fill="FFFFFF"/>
        </w:rPr>
      </w:pPr>
      <w:r w:rsidRPr="00527CE6">
        <w:rPr>
          <w:b/>
          <w:bCs/>
          <w:i/>
          <w:iCs/>
          <w:color w:val="000000"/>
          <w:shd w:val="clear" w:color="auto" w:fill="FFFFFF"/>
        </w:rPr>
        <w:t>customer</w:t>
      </w:r>
      <w:r w:rsidR="00BE7591" w:rsidRPr="00527CE6">
        <w:rPr>
          <w:b/>
          <w:bCs/>
          <w:i/>
          <w:iCs/>
          <w:color w:val="000000"/>
          <w:shd w:val="clear" w:color="auto" w:fill="FFFFFF"/>
        </w:rPr>
        <w:t xml:space="preserve"> contract </w:t>
      </w:r>
      <w:r w:rsidR="00BE7591" w:rsidRPr="00527CE6">
        <w:rPr>
          <w:color w:val="000000"/>
          <w:shd w:val="clear" w:color="auto" w:fill="FFFFFF"/>
        </w:rPr>
        <w:t xml:space="preserve">means an arrangement or agreement between a </w:t>
      </w:r>
      <w:r w:rsidRPr="00527CE6">
        <w:rPr>
          <w:color w:val="000000"/>
          <w:shd w:val="clear" w:color="auto" w:fill="FFFFFF"/>
        </w:rPr>
        <w:t xml:space="preserve">mobile </w:t>
      </w:r>
      <w:r w:rsidR="00BE7591" w:rsidRPr="00527CE6">
        <w:rPr>
          <w:color w:val="000000"/>
          <w:shd w:val="clear" w:color="auto" w:fill="FFFFFF"/>
        </w:rPr>
        <w:t xml:space="preserve">carriage service provider and a </w:t>
      </w:r>
      <w:r w:rsidRPr="00527CE6">
        <w:rPr>
          <w:color w:val="000000"/>
          <w:shd w:val="clear" w:color="auto" w:fill="FFFFFF"/>
        </w:rPr>
        <w:t xml:space="preserve">customer </w:t>
      </w:r>
      <w:r w:rsidR="00BE7591" w:rsidRPr="00527CE6">
        <w:rPr>
          <w:color w:val="000000"/>
          <w:shd w:val="clear" w:color="auto" w:fill="FFFFFF"/>
        </w:rPr>
        <w:t xml:space="preserve">for the supply of a </w:t>
      </w:r>
      <w:r w:rsidR="00D77173" w:rsidRPr="00527CE6">
        <w:rPr>
          <w:color w:val="000000"/>
          <w:shd w:val="clear" w:color="auto" w:fill="FFFFFF"/>
        </w:rPr>
        <w:t xml:space="preserve">mobile service number </w:t>
      </w:r>
      <w:r w:rsidR="00BE7591" w:rsidRPr="00527CE6">
        <w:rPr>
          <w:color w:val="000000"/>
          <w:shd w:val="clear" w:color="auto" w:fill="FFFFFF"/>
        </w:rPr>
        <w:t xml:space="preserve">to that </w:t>
      </w:r>
      <w:r w:rsidR="00D77173" w:rsidRPr="00527CE6">
        <w:rPr>
          <w:color w:val="000000"/>
          <w:shd w:val="clear" w:color="auto" w:fill="FFFFFF"/>
        </w:rPr>
        <w:t>customer</w:t>
      </w:r>
      <w:r w:rsidRPr="00527CE6">
        <w:rPr>
          <w:color w:val="000000"/>
          <w:shd w:val="clear" w:color="auto" w:fill="FFFFFF"/>
        </w:rPr>
        <w:t xml:space="preserve">, </w:t>
      </w:r>
      <w:r w:rsidR="00BE7591" w:rsidRPr="00527CE6">
        <w:rPr>
          <w:color w:val="000000"/>
          <w:shd w:val="clear" w:color="auto" w:fill="FFFFFF"/>
        </w:rPr>
        <w:t>and includes a standard form of agreement formulated by a</w:t>
      </w:r>
      <w:r w:rsidR="00D77173" w:rsidRPr="00527CE6">
        <w:rPr>
          <w:color w:val="000000"/>
          <w:shd w:val="clear" w:color="auto" w:fill="FFFFFF"/>
        </w:rPr>
        <w:t xml:space="preserve"> mobile</w:t>
      </w:r>
      <w:r w:rsidR="00BE7591" w:rsidRPr="00527CE6">
        <w:rPr>
          <w:color w:val="000000"/>
          <w:shd w:val="clear" w:color="auto" w:fill="FFFFFF"/>
        </w:rPr>
        <w:t xml:space="preserve"> carriage service provider for the purposes of section 479 of the Act.</w:t>
      </w:r>
    </w:p>
    <w:p w14:paraId="5CB62234" w14:textId="541916F5" w:rsidR="00123056" w:rsidRPr="00527CE6" w:rsidRDefault="00123056" w:rsidP="00123056">
      <w:pPr>
        <w:pStyle w:val="Definition"/>
        <w:spacing w:before="120"/>
        <w:rPr>
          <w:iCs/>
        </w:rPr>
      </w:pPr>
      <w:r w:rsidRPr="00527CE6">
        <w:rPr>
          <w:b/>
          <w:bCs/>
          <w:i/>
        </w:rPr>
        <w:t xml:space="preserve">defence access control point </w:t>
      </w:r>
      <w:r w:rsidRPr="00527CE6">
        <w:rPr>
          <w:iCs/>
        </w:rPr>
        <w:t>and</w:t>
      </w:r>
      <w:r w:rsidRPr="00527CE6">
        <w:rPr>
          <w:b/>
          <w:bCs/>
          <w:i/>
        </w:rPr>
        <w:t xml:space="preserve"> defence premises </w:t>
      </w:r>
      <w:r w:rsidRPr="00527CE6">
        <w:rPr>
          <w:iCs/>
        </w:rPr>
        <w:t xml:space="preserve">have the same meanings as in section 71A of the </w:t>
      </w:r>
      <w:r w:rsidRPr="00527CE6">
        <w:rPr>
          <w:i/>
        </w:rPr>
        <w:t>Defence Act 1903</w:t>
      </w:r>
      <w:r w:rsidRPr="00527CE6">
        <w:rPr>
          <w:iCs/>
        </w:rPr>
        <w:t>.</w:t>
      </w:r>
    </w:p>
    <w:p w14:paraId="3A778964" w14:textId="56F6FF89" w:rsidR="000643A5" w:rsidRPr="00527CE6" w:rsidRDefault="00F11ACD" w:rsidP="006D3742">
      <w:pPr>
        <w:pStyle w:val="Definition"/>
        <w:spacing w:before="120"/>
        <w:rPr>
          <w:iCs/>
        </w:rPr>
      </w:pPr>
      <w:r w:rsidRPr="00527CE6">
        <w:rPr>
          <w:b/>
          <w:bCs/>
          <w:i/>
        </w:rPr>
        <w:t>d</w:t>
      </w:r>
      <w:r w:rsidR="00621304" w:rsidRPr="00527CE6">
        <w:rPr>
          <w:b/>
          <w:bCs/>
          <w:i/>
        </w:rPr>
        <w:t xml:space="preserve">igital mobile number </w:t>
      </w:r>
      <w:r w:rsidR="00621304" w:rsidRPr="00527CE6">
        <w:rPr>
          <w:iCs/>
        </w:rPr>
        <w:t xml:space="preserve">means </w:t>
      </w:r>
      <w:r w:rsidR="000643A5" w:rsidRPr="00527CE6">
        <w:rPr>
          <w:iCs/>
        </w:rPr>
        <w:t xml:space="preserve">a special services number specified in Schedule 5 of the </w:t>
      </w:r>
      <w:r w:rsidR="000643A5" w:rsidRPr="00527CE6">
        <w:rPr>
          <w:i/>
        </w:rPr>
        <w:t>Telecommunications Numbering Plan 2015</w:t>
      </w:r>
      <w:r w:rsidR="000643A5" w:rsidRPr="00527CE6">
        <w:rPr>
          <w:iCs/>
        </w:rPr>
        <w:t xml:space="preserve"> for use with a digital mobile service</w:t>
      </w:r>
      <w:r w:rsidR="00331E48" w:rsidRPr="00527CE6">
        <w:rPr>
          <w:iCs/>
        </w:rPr>
        <w:t>.</w:t>
      </w:r>
    </w:p>
    <w:p w14:paraId="12BACCF5" w14:textId="54F8ACE0" w:rsidR="00661D44" w:rsidRPr="00527CE6" w:rsidRDefault="00F11ACD" w:rsidP="00904D6A">
      <w:pPr>
        <w:pStyle w:val="Definition"/>
        <w:spacing w:before="120"/>
        <w:rPr>
          <w:iCs/>
          <w:color w:val="70AD47" w:themeColor="accent6"/>
        </w:rPr>
      </w:pPr>
      <w:r w:rsidRPr="00527CE6">
        <w:rPr>
          <w:b/>
          <w:bCs/>
          <w:i/>
        </w:rPr>
        <w:t>d</w:t>
      </w:r>
      <w:r w:rsidR="000643A5" w:rsidRPr="00527CE6">
        <w:rPr>
          <w:b/>
          <w:bCs/>
          <w:i/>
        </w:rPr>
        <w:t xml:space="preserve">igital mobile service </w:t>
      </w:r>
      <w:r w:rsidR="000643A5" w:rsidRPr="00527CE6">
        <w:rPr>
          <w:iCs/>
        </w:rPr>
        <w:t>means a public mobile telecommunications service supplied by a network using digital modulation techniques</w:t>
      </w:r>
      <w:r w:rsidR="000C3E23" w:rsidRPr="00527CE6">
        <w:rPr>
          <w:iCs/>
        </w:rPr>
        <w:t>.</w:t>
      </w:r>
    </w:p>
    <w:p w14:paraId="6A65193F" w14:textId="2F2BD112" w:rsidR="00621304" w:rsidRPr="00527CE6" w:rsidRDefault="001A1A53" w:rsidP="006D3742">
      <w:pPr>
        <w:pStyle w:val="Definition"/>
        <w:spacing w:before="120"/>
        <w:rPr>
          <w:iCs/>
        </w:rPr>
      </w:pPr>
      <w:r w:rsidRPr="00527CE6">
        <w:rPr>
          <w:b/>
          <w:bCs/>
          <w:i/>
        </w:rPr>
        <w:t>gaining carriage service provider</w:t>
      </w:r>
      <w:r w:rsidR="00621304" w:rsidRPr="00527CE6">
        <w:rPr>
          <w:b/>
          <w:bCs/>
          <w:i/>
        </w:rPr>
        <w:t xml:space="preserve"> </w:t>
      </w:r>
      <w:r w:rsidR="00621304" w:rsidRPr="00527CE6">
        <w:rPr>
          <w:iCs/>
        </w:rPr>
        <w:t xml:space="preserve">means </w:t>
      </w:r>
      <w:r w:rsidR="00047CA0" w:rsidRPr="00527CE6">
        <w:rPr>
          <w:iCs/>
        </w:rPr>
        <w:t xml:space="preserve">the </w:t>
      </w:r>
      <w:r w:rsidRPr="00527CE6">
        <w:rPr>
          <w:iCs/>
        </w:rPr>
        <w:t xml:space="preserve">mobile </w:t>
      </w:r>
      <w:r w:rsidR="00047CA0" w:rsidRPr="00527CE6">
        <w:rPr>
          <w:iCs/>
        </w:rPr>
        <w:t>carriage service provider to which a mobile service number has been or is to be ported</w:t>
      </w:r>
      <w:r w:rsidR="000C3E23" w:rsidRPr="00527CE6">
        <w:rPr>
          <w:iCs/>
        </w:rPr>
        <w:t>.</w:t>
      </w:r>
    </w:p>
    <w:p w14:paraId="4269388D" w14:textId="263AF6C9" w:rsidR="00585D37" w:rsidRPr="00527CE6" w:rsidRDefault="00585D37" w:rsidP="003E7BF2">
      <w:pPr>
        <w:pStyle w:val="zr1"/>
        <w:shd w:val="clear" w:color="auto" w:fill="FFFFFF"/>
        <w:spacing w:before="120" w:beforeAutospacing="0" w:after="0" w:afterAutospacing="0" w:line="260" w:lineRule="atLeast"/>
        <w:ind w:left="1134"/>
        <w:rPr>
          <w:color w:val="000000"/>
          <w:sz w:val="22"/>
        </w:rPr>
      </w:pPr>
      <w:r w:rsidRPr="00527CE6">
        <w:rPr>
          <w:b/>
          <w:bCs/>
          <w:i/>
          <w:iCs/>
          <w:color w:val="000000"/>
          <w:sz w:val="22"/>
        </w:rPr>
        <w:t>government document</w:t>
      </w:r>
      <w:r w:rsidRPr="00527CE6">
        <w:rPr>
          <w:color w:val="000000"/>
          <w:sz w:val="22"/>
        </w:rPr>
        <w:t> means a document that is issued by the Commonwealth or a State or Territory that is evidence of the person’s identity in Australia or use of that identity in Australia. </w:t>
      </w:r>
    </w:p>
    <w:p w14:paraId="59AB553C" w14:textId="14959CA6" w:rsidR="00585D37" w:rsidRPr="00527CE6" w:rsidRDefault="00585D37" w:rsidP="003E7BF2">
      <w:pPr>
        <w:pStyle w:val="note"/>
        <w:shd w:val="clear" w:color="auto" w:fill="FFFFFF"/>
        <w:spacing w:before="120" w:beforeAutospacing="0" w:after="0" w:afterAutospacing="0" w:line="220" w:lineRule="atLeast"/>
        <w:ind w:left="1701" w:hanging="567"/>
        <w:rPr>
          <w:color w:val="000000"/>
          <w:sz w:val="18"/>
          <w:szCs w:val="20"/>
        </w:rPr>
      </w:pPr>
      <w:r w:rsidRPr="00527CE6">
        <w:rPr>
          <w:color w:val="000000"/>
          <w:sz w:val="18"/>
          <w:szCs w:val="20"/>
        </w:rPr>
        <w:t xml:space="preserve">Note:   Examples of government documents include a current </w:t>
      </w:r>
      <w:r w:rsidRPr="00D14532">
        <w:rPr>
          <w:color w:val="000000"/>
          <w:sz w:val="18"/>
          <w:szCs w:val="20"/>
        </w:rPr>
        <w:t>driver</w:t>
      </w:r>
      <w:r w:rsidR="00D25192" w:rsidRPr="00D14532">
        <w:rPr>
          <w:color w:val="000000"/>
          <w:sz w:val="18"/>
          <w:szCs w:val="20"/>
        </w:rPr>
        <w:t>’s</w:t>
      </w:r>
      <w:r w:rsidRPr="00527CE6">
        <w:rPr>
          <w:color w:val="000000"/>
          <w:sz w:val="18"/>
          <w:szCs w:val="20"/>
        </w:rPr>
        <w:t xml:space="preserve"> licence, Medicare card or </w:t>
      </w:r>
      <w:r w:rsidR="00737FCC" w:rsidRPr="00527CE6">
        <w:rPr>
          <w:color w:val="000000"/>
          <w:sz w:val="18"/>
          <w:szCs w:val="20"/>
        </w:rPr>
        <w:t>Australian passport</w:t>
      </w:r>
      <w:r w:rsidRPr="00527CE6">
        <w:rPr>
          <w:color w:val="000000"/>
          <w:sz w:val="18"/>
          <w:szCs w:val="20"/>
        </w:rPr>
        <w:t>.</w:t>
      </w:r>
    </w:p>
    <w:p w14:paraId="43F4A63B" w14:textId="4A460250" w:rsidR="00990C14" w:rsidRPr="00527CE6" w:rsidRDefault="00990C14" w:rsidP="006D3742">
      <w:pPr>
        <w:pStyle w:val="Definition"/>
        <w:spacing w:before="120"/>
        <w:rPr>
          <w:b/>
          <w:bCs/>
          <w:i/>
          <w:iCs/>
        </w:rPr>
      </w:pPr>
      <w:r w:rsidRPr="00527CE6">
        <w:rPr>
          <w:b/>
          <w:bCs/>
          <w:i/>
          <w:iCs/>
          <w:color w:val="000000"/>
          <w:szCs w:val="22"/>
        </w:rPr>
        <w:t xml:space="preserve">government online verification service </w:t>
      </w:r>
      <w:r w:rsidRPr="00527CE6">
        <w:rPr>
          <w:iCs/>
        </w:rPr>
        <w:t>means</w:t>
      </w:r>
      <w:r w:rsidRPr="00527CE6">
        <w:rPr>
          <w:b/>
          <w:bCs/>
          <w:i/>
        </w:rPr>
        <w:t xml:space="preserve"> </w:t>
      </w:r>
      <w:r w:rsidR="00F53C70" w:rsidRPr="00527CE6">
        <w:rPr>
          <w:color w:val="000000"/>
          <w:shd w:val="clear" w:color="auto" w:fill="FFFFFF"/>
        </w:rPr>
        <w:t>an online service which allows users of that service to confirm the validity of information recorded on certain identification documents against the databases of the government agency</w:t>
      </w:r>
      <w:r w:rsidR="00F53C70" w:rsidRPr="00527CE6">
        <w:rPr>
          <w:rFonts w:ascii="Calibri" w:hAnsi="Calibri" w:cs="Calibri"/>
          <w:color w:val="000000"/>
          <w:shd w:val="clear" w:color="auto" w:fill="FFFFFF"/>
        </w:rPr>
        <w:t> </w:t>
      </w:r>
      <w:r w:rsidR="00F53C70" w:rsidRPr="00527CE6">
        <w:rPr>
          <w:color w:val="000000"/>
          <w:shd w:val="clear" w:color="auto" w:fill="FFFFFF"/>
        </w:rPr>
        <w:t>that issued the relevant identification documents, in a manner authorised by that government agency or its representatives</w:t>
      </w:r>
      <w:r w:rsidR="00F53C70" w:rsidRPr="00527CE6">
        <w:rPr>
          <w:color w:val="000000"/>
          <w:sz w:val="28"/>
          <w:szCs w:val="28"/>
          <w:shd w:val="clear" w:color="auto" w:fill="FFFFFF"/>
        </w:rPr>
        <w:t>.</w:t>
      </w:r>
      <w:r w:rsidRPr="00527CE6">
        <w:rPr>
          <w:iCs/>
          <w:color w:val="70AD47" w:themeColor="accent6"/>
        </w:rPr>
        <w:t xml:space="preserve"> </w:t>
      </w:r>
    </w:p>
    <w:p w14:paraId="7F819FC9" w14:textId="77777777" w:rsidR="005C0650" w:rsidRPr="00D14532" w:rsidRDefault="005C0650" w:rsidP="005C0650">
      <w:pPr>
        <w:pStyle w:val="Definition"/>
      </w:pPr>
      <w:r w:rsidRPr="005C0650">
        <w:rPr>
          <w:b/>
          <w:bCs/>
          <w:i/>
        </w:rPr>
        <w:t xml:space="preserve">foreign military ID card </w:t>
      </w:r>
      <w:r w:rsidRPr="00D14532">
        <w:t>means an identification card:</w:t>
      </w:r>
    </w:p>
    <w:p w14:paraId="2ADBEF43" w14:textId="77777777" w:rsidR="005C0650" w:rsidRPr="00D14532" w:rsidRDefault="005C0650" w:rsidP="005C0650">
      <w:pPr>
        <w:pStyle w:val="Definition"/>
        <w:numPr>
          <w:ilvl w:val="0"/>
          <w:numId w:val="36"/>
        </w:numPr>
      </w:pPr>
      <w:r w:rsidRPr="00D14532">
        <w:lastRenderedPageBreak/>
        <w:t>issued in the name of an individual by a foreign government;</w:t>
      </w:r>
    </w:p>
    <w:p w14:paraId="52769FF3" w14:textId="77777777" w:rsidR="005C0650" w:rsidRPr="00D14532" w:rsidRDefault="005C0650" w:rsidP="005C0650">
      <w:pPr>
        <w:pStyle w:val="Definition"/>
        <w:numPr>
          <w:ilvl w:val="0"/>
          <w:numId w:val="36"/>
        </w:numPr>
      </w:pPr>
      <w:r w:rsidRPr="00D14532">
        <w:t>showing a picture of the individual; and</w:t>
      </w:r>
    </w:p>
    <w:p w14:paraId="2BE3197A" w14:textId="77777777" w:rsidR="005C0650" w:rsidRPr="00D14532" w:rsidRDefault="005C0650" w:rsidP="005C0650">
      <w:pPr>
        <w:pStyle w:val="Definition"/>
        <w:numPr>
          <w:ilvl w:val="0"/>
          <w:numId w:val="36"/>
        </w:numPr>
      </w:pPr>
      <w:r w:rsidRPr="00D14532">
        <w:t>identifying the individual as a current member of the defence forces of that government.</w:t>
      </w:r>
    </w:p>
    <w:p w14:paraId="4FB612AF" w14:textId="5F9AF8DB" w:rsidR="00B838A4" w:rsidRPr="00527CE6" w:rsidRDefault="00FE3DB7" w:rsidP="006D3742">
      <w:pPr>
        <w:pStyle w:val="Definition"/>
        <w:spacing w:before="120"/>
        <w:rPr>
          <w:iCs/>
        </w:rPr>
      </w:pPr>
      <w:r w:rsidRPr="00527CE6">
        <w:rPr>
          <w:b/>
          <w:bCs/>
          <w:i/>
        </w:rPr>
        <w:t>large business customer</w:t>
      </w:r>
      <w:r w:rsidRPr="00527CE6">
        <w:rPr>
          <w:iCs/>
        </w:rPr>
        <w:t xml:space="preserve"> means </w:t>
      </w:r>
      <w:r w:rsidR="00626FFC" w:rsidRPr="00527CE6">
        <w:rPr>
          <w:iCs/>
        </w:rPr>
        <w:t xml:space="preserve">an entity who acquires or may acquire a </w:t>
      </w:r>
      <w:r w:rsidR="00D77173" w:rsidRPr="00527CE6">
        <w:rPr>
          <w:iCs/>
        </w:rPr>
        <w:t>mobile service number</w:t>
      </w:r>
      <w:r w:rsidR="00B838A4" w:rsidRPr="00527CE6">
        <w:rPr>
          <w:iCs/>
        </w:rPr>
        <w:t>:</w:t>
      </w:r>
    </w:p>
    <w:p w14:paraId="19B4298B" w14:textId="00ED46AE" w:rsidR="00B838A4" w:rsidRPr="00527CE6" w:rsidRDefault="00B838A4" w:rsidP="00B838A4">
      <w:pPr>
        <w:pStyle w:val="Definition"/>
        <w:spacing w:before="120"/>
        <w:ind w:left="1701" w:hanging="567"/>
        <w:rPr>
          <w:iCs/>
        </w:rPr>
      </w:pPr>
      <w:r w:rsidRPr="00527CE6">
        <w:rPr>
          <w:iCs/>
        </w:rPr>
        <w:t>(a)</w:t>
      </w:r>
      <w:r w:rsidRPr="00527CE6">
        <w:rPr>
          <w:iCs/>
        </w:rPr>
        <w:tab/>
      </w:r>
      <w:r w:rsidR="00626FFC" w:rsidRPr="00527CE6">
        <w:rPr>
          <w:iCs/>
        </w:rPr>
        <w:t>for the primary purpose of a business, no</w:t>
      </w:r>
      <w:r w:rsidR="008620F0">
        <w:rPr>
          <w:iCs/>
        </w:rPr>
        <w:t>t</w:t>
      </w:r>
      <w:r w:rsidR="00780612">
        <w:rPr>
          <w:iCs/>
        </w:rPr>
        <w:t>-for-</w:t>
      </w:r>
      <w:r w:rsidR="00626FFC" w:rsidRPr="00527CE6">
        <w:rPr>
          <w:iCs/>
        </w:rPr>
        <w:t>profit or government organisation</w:t>
      </w:r>
      <w:r w:rsidRPr="00527CE6">
        <w:rPr>
          <w:iCs/>
        </w:rPr>
        <w:t>; and</w:t>
      </w:r>
    </w:p>
    <w:p w14:paraId="3B84C658" w14:textId="77777777" w:rsidR="00EC1506" w:rsidRPr="00527CE6" w:rsidRDefault="00B838A4" w:rsidP="00B838A4">
      <w:pPr>
        <w:pStyle w:val="Definition"/>
        <w:spacing w:before="120"/>
        <w:ind w:left="1701" w:hanging="567"/>
        <w:rPr>
          <w:iCs/>
        </w:rPr>
      </w:pPr>
      <w:r w:rsidRPr="00527CE6">
        <w:rPr>
          <w:iCs/>
        </w:rPr>
        <w:t>(b)</w:t>
      </w:r>
      <w:r w:rsidRPr="00527CE6">
        <w:rPr>
          <w:iCs/>
        </w:rPr>
        <w:tab/>
      </w:r>
      <w:r w:rsidR="00FE1A3C" w:rsidRPr="00527CE6">
        <w:rPr>
          <w:iCs/>
        </w:rPr>
        <w:t xml:space="preserve">which </w:t>
      </w:r>
      <w:r w:rsidR="00E6226C" w:rsidRPr="00527CE6">
        <w:rPr>
          <w:iCs/>
        </w:rPr>
        <w:t>is not for resale</w:t>
      </w:r>
      <w:r w:rsidR="00EC1506" w:rsidRPr="00527CE6">
        <w:rPr>
          <w:iCs/>
        </w:rPr>
        <w:t>; and</w:t>
      </w:r>
    </w:p>
    <w:p w14:paraId="030B9883" w14:textId="4705C2FD" w:rsidR="00EC1506" w:rsidRPr="00527CE6" w:rsidRDefault="00D25192" w:rsidP="00EC1506">
      <w:pPr>
        <w:pStyle w:val="Definition"/>
        <w:spacing w:before="120"/>
        <w:rPr>
          <w:iCs/>
        </w:rPr>
      </w:pPr>
      <w:r w:rsidRPr="00527CE6">
        <w:rPr>
          <w:iCs/>
        </w:rPr>
        <w:t>wh</w:t>
      </w:r>
      <w:r w:rsidR="00780612">
        <w:rPr>
          <w:iCs/>
        </w:rPr>
        <w:t>ich</w:t>
      </w:r>
      <w:r w:rsidRPr="00527CE6">
        <w:rPr>
          <w:iCs/>
        </w:rPr>
        <w:t xml:space="preserve"> </w:t>
      </w:r>
      <w:r w:rsidR="00EC1506" w:rsidRPr="00527CE6">
        <w:rPr>
          <w:iCs/>
        </w:rPr>
        <w:t>at the time it enters into the customer contract</w:t>
      </w:r>
      <w:r w:rsidRPr="00D14532">
        <w:rPr>
          <w:iCs/>
        </w:rPr>
        <w:t>:</w:t>
      </w:r>
    </w:p>
    <w:p w14:paraId="34408335" w14:textId="77777777" w:rsidR="00EC1506" w:rsidRPr="00527CE6" w:rsidRDefault="00EC1506" w:rsidP="00EC1506">
      <w:pPr>
        <w:pStyle w:val="Definition"/>
        <w:spacing w:before="120"/>
        <w:ind w:left="1701" w:hanging="567"/>
        <w:rPr>
          <w:iCs/>
        </w:rPr>
      </w:pPr>
      <w:r w:rsidRPr="00527CE6">
        <w:rPr>
          <w:iCs/>
        </w:rPr>
        <w:t>(c)</w:t>
      </w:r>
      <w:r w:rsidRPr="00527CE6">
        <w:rPr>
          <w:iCs/>
        </w:rPr>
        <w:tab/>
        <w:t>has a genuine and reasonable opportunity to negotiate the terms of the customer contract; and</w:t>
      </w:r>
    </w:p>
    <w:p w14:paraId="476377E3" w14:textId="32199BE9" w:rsidR="00C93253" w:rsidRPr="00527CE6" w:rsidRDefault="00EC1506" w:rsidP="00EC1506">
      <w:pPr>
        <w:pStyle w:val="Definition"/>
        <w:spacing w:before="120"/>
        <w:ind w:left="1701" w:hanging="567"/>
        <w:rPr>
          <w:iCs/>
        </w:rPr>
      </w:pPr>
      <w:r w:rsidRPr="00527CE6">
        <w:rPr>
          <w:iCs/>
        </w:rPr>
        <w:t>(d)</w:t>
      </w:r>
      <w:r w:rsidRPr="00527CE6">
        <w:rPr>
          <w:iCs/>
        </w:rPr>
        <w:tab/>
        <w:t xml:space="preserve">has or will have an annual spend with the </w:t>
      </w:r>
      <w:r w:rsidR="001A1A53" w:rsidRPr="00527CE6">
        <w:rPr>
          <w:iCs/>
        </w:rPr>
        <w:t>mobile carriage service provider</w:t>
      </w:r>
      <w:r w:rsidRPr="00527CE6">
        <w:rPr>
          <w:iCs/>
        </w:rPr>
        <w:t xml:space="preserve"> which is or is estimated on reasonable grounds by the </w:t>
      </w:r>
      <w:r w:rsidR="00D77173" w:rsidRPr="00527CE6">
        <w:rPr>
          <w:iCs/>
        </w:rPr>
        <w:t>provider</w:t>
      </w:r>
      <w:r w:rsidRPr="00527CE6">
        <w:rPr>
          <w:iCs/>
        </w:rPr>
        <w:t xml:space="preserve"> </w:t>
      </w:r>
      <w:r w:rsidR="00C74E6D" w:rsidRPr="00527CE6">
        <w:rPr>
          <w:iCs/>
        </w:rPr>
        <w:t>to be greater than $40,000</w:t>
      </w:r>
      <w:r w:rsidR="00904D6A" w:rsidRPr="00527CE6">
        <w:rPr>
          <w:iCs/>
        </w:rPr>
        <w:t>.</w:t>
      </w:r>
    </w:p>
    <w:p w14:paraId="745B61DC" w14:textId="521D6FEF" w:rsidR="00FE3DB7" w:rsidRPr="00527CE6" w:rsidRDefault="00C93253" w:rsidP="00780612">
      <w:pPr>
        <w:pStyle w:val="Definition"/>
        <w:spacing w:before="120"/>
        <w:rPr>
          <w:iCs/>
        </w:rPr>
      </w:pPr>
      <w:r w:rsidRPr="00527CE6">
        <w:rPr>
          <w:iCs/>
        </w:rPr>
        <w:t xml:space="preserve">A reference to a large business </w:t>
      </w:r>
      <w:r w:rsidR="00D25192" w:rsidRPr="00D14532">
        <w:rPr>
          <w:iCs/>
        </w:rPr>
        <w:t>customer</w:t>
      </w:r>
      <w:r w:rsidR="00D25192" w:rsidRPr="00527CE6">
        <w:rPr>
          <w:iCs/>
        </w:rPr>
        <w:t xml:space="preserve"> </w:t>
      </w:r>
      <w:r w:rsidRPr="00527CE6">
        <w:rPr>
          <w:iCs/>
        </w:rPr>
        <w:t>includes a reference to their authorised representative</w:t>
      </w:r>
      <w:r w:rsidR="00EF41D2" w:rsidRPr="00527CE6">
        <w:rPr>
          <w:iCs/>
        </w:rPr>
        <w:t>.</w:t>
      </w:r>
    </w:p>
    <w:p w14:paraId="7BE54B59" w14:textId="2EBB9DB6" w:rsidR="00114224" w:rsidRPr="00527CE6" w:rsidRDefault="00114224" w:rsidP="006D3742">
      <w:pPr>
        <w:pStyle w:val="Definition"/>
        <w:spacing w:before="120"/>
        <w:rPr>
          <w:iCs/>
        </w:rPr>
      </w:pPr>
      <w:r w:rsidRPr="00527CE6">
        <w:rPr>
          <w:b/>
          <w:bCs/>
          <w:i/>
        </w:rPr>
        <w:t xml:space="preserve">losing carriage service provider </w:t>
      </w:r>
      <w:r w:rsidRPr="00527CE6">
        <w:rPr>
          <w:iCs/>
        </w:rPr>
        <w:t xml:space="preserve">means the </w:t>
      </w:r>
      <w:r w:rsidR="001A1A53" w:rsidRPr="00527CE6">
        <w:rPr>
          <w:iCs/>
        </w:rPr>
        <w:t xml:space="preserve">mobile </w:t>
      </w:r>
      <w:r w:rsidRPr="00527CE6">
        <w:rPr>
          <w:iCs/>
        </w:rPr>
        <w:t>carriage service provider from which a mobile service number has been or is to be ported.</w:t>
      </w:r>
    </w:p>
    <w:p w14:paraId="18506B93" w14:textId="11C3A94C" w:rsidR="00621304" w:rsidRPr="00527CE6" w:rsidRDefault="00F11ACD" w:rsidP="006D3742">
      <w:pPr>
        <w:pStyle w:val="Definition"/>
        <w:spacing w:before="120"/>
        <w:rPr>
          <w:iCs/>
        </w:rPr>
      </w:pPr>
      <w:r w:rsidRPr="00527CE6">
        <w:rPr>
          <w:b/>
          <w:bCs/>
          <w:i/>
        </w:rPr>
        <w:t>m</w:t>
      </w:r>
      <w:r w:rsidR="00621304" w:rsidRPr="00527CE6">
        <w:rPr>
          <w:b/>
          <w:bCs/>
          <w:i/>
        </w:rPr>
        <w:t xml:space="preserve">obile </w:t>
      </w:r>
      <w:r w:rsidR="00B905B9" w:rsidRPr="00527CE6">
        <w:rPr>
          <w:b/>
          <w:bCs/>
          <w:i/>
        </w:rPr>
        <w:t>carriage service provider</w:t>
      </w:r>
      <w:r w:rsidR="00621304" w:rsidRPr="00527CE6">
        <w:rPr>
          <w:b/>
          <w:bCs/>
          <w:i/>
        </w:rPr>
        <w:t xml:space="preserve"> </w:t>
      </w:r>
      <w:r w:rsidR="00621304" w:rsidRPr="00527CE6">
        <w:rPr>
          <w:iCs/>
        </w:rPr>
        <w:t xml:space="preserve">means </w:t>
      </w:r>
      <w:r w:rsidR="000C3E23" w:rsidRPr="00527CE6">
        <w:rPr>
          <w:iCs/>
        </w:rPr>
        <w:t xml:space="preserve">a carriage service provider </w:t>
      </w:r>
      <w:r w:rsidR="000C3E23" w:rsidRPr="00527CE6">
        <w:t xml:space="preserve">who </w:t>
      </w:r>
      <w:r w:rsidR="00F2096A" w:rsidRPr="00527CE6">
        <w:t>supplies or</w:t>
      </w:r>
      <w:r w:rsidR="00D33780" w:rsidRPr="00527CE6">
        <w:t xml:space="preserve"> arranges for the supply of</w:t>
      </w:r>
      <w:r w:rsidR="000C3E23" w:rsidRPr="00527CE6">
        <w:t xml:space="preserve"> a public mobile telecommunications service.</w:t>
      </w:r>
    </w:p>
    <w:p w14:paraId="1F91E429" w14:textId="4F958450" w:rsidR="00047CA0" w:rsidRPr="00527CE6" w:rsidRDefault="00047CA0" w:rsidP="006D3742">
      <w:pPr>
        <w:pStyle w:val="Definition"/>
        <w:spacing w:before="120"/>
        <w:rPr>
          <w:iCs/>
        </w:rPr>
      </w:pPr>
      <w:r w:rsidRPr="00527CE6">
        <w:rPr>
          <w:b/>
          <w:bCs/>
          <w:i/>
        </w:rPr>
        <w:t xml:space="preserve">mobile carrier </w:t>
      </w:r>
      <w:r w:rsidRPr="00527CE6">
        <w:rPr>
          <w:iCs/>
        </w:rPr>
        <w:t>means a carrier that operates a mobile network.</w:t>
      </w:r>
    </w:p>
    <w:p w14:paraId="64B9ACAE" w14:textId="5B5AD7BA" w:rsidR="00114224" w:rsidRPr="00527CE6" w:rsidRDefault="00114224" w:rsidP="006D3742">
      <w:pPr>
        <w:pStyle w:val="Definition"/>
        <w:spacing w:before="120"/>
        <w:rPr>
          <w:iCs/>
        </w:rPr>
      </w:pPr>
      <w:r w:rsidRPr="00527CE6">
        <w:rPr>
          <w:b/>
          <w:bCs/>
          <w:i/>
        </w:rPr>
        <w:t xml:space="preserve">mobile network </w:t>
      </w:r>
      <w:r w:rsidRPr="00527CE6">
        <w:rPr>
          <w:iCs/>
        </w:rPr>
        <w:t>means the facilities operated by a carrier for the purposes of providing a public mobile telecommunications service.</w:t>
      </w:r>
    </w:p>
    <w:p w14:paraId="481F016A" w14:textId="77777777" w:rsidR="00781511" w:rsidRPr="00527CE6" w:rsidRDefault="00114224" w:rsidP="006D3742">
      <w:pPr>
        <w:pStyle w:val="Definition"/>
        <w:spacing w:before="120"/>
        <w:rPr>
          <w:iCs/>
        </w:rPr>
      </w:pPr>
      <w:r w:rsidRPr="00527CE6">
        <w:rPr>
          <w:b/>
          <w:bCs/>
          <w:i/>
        </w:rPr>
        <w:t xml:space="preserve">mobile number portability </w:t>
      </w:r>
      <w:r w:rsidRPr="00527CE6">
        <w:rPr>
          <w:iCs/>
        </w:rPr>
        <w:t>means the porting of mobile service numbers from a losing carriage service provider to a gaining carriage service provider</w:t>
      </w:r>
      <w:r w:rsidR="00781511" w:rsidRPr="00527CE6">
        <w:rPr>
          <w:iCs/>
        </w:rPr>
        <w:t xml:space="preserve">: </w:t>
      </w:r>
    </w:p>
    <w:p w14:paraId="0EA77FE2" w14:textId="5188900A" w:rsidR="00781511" w:rsidRPr="00527CE6" w:rsidRDefault="00781511" w:rsidP="00E1352D">
      <w:pPr>
        <w:pStyle w:val="Definition"/>
        <w:numPr>
          <w:ilvl w:val="0"/>
          <w:numId w:val="19"/>
        </w:numPr>
        <w:spacing w:before="120"/>
        <w:ind w:left="1701" w:hanging="567"/>
        <w:rPr>
          <w:iCs/>
        </w:rPr>
      </w:pPr>
      <w:r w:rsidRPr="00527CE6">
        <w:rPr>
          <w:iCs/>
        </w:rPr>
        <w:t xml:space="preserve">on the same mobile network; or </w:t>
      </w:r>
    </w:p>
    <w:p w14:paraId="4712EF75" w14:textId="70523842" w:rsidR="00114224" w:rsidRPr="00527CE6" w:rsidRDefault="00781511" w:rsidP="003E7BF2">
      <w:pPr>
        <w:pStyle w:val="Definition"/>
        <w:numPr>
          <w:ilvl w:val="0"/>
          <w:numId w:val="19"/>
        </w:numPr>
        <w:spacing w:before="120"/>
        <w:ind w:left="1701" w:hanging="567"/>
        <w:rPr>
          <w:iCs/>
        </w:rPr>
      </w:pPr>
      <w:r w:rsidRPr="00527CE6">
        <w:rPr>
          <w:iCs/>
        </w:rPr>
        <w:t xml:space="preserve">on a different mobile </w:t>
      </w:r>
      <w:r w:rsidR="00CB59CF" w:rsidRPr="00527CE6">
        <w:rPr>
          <w:iCs/>
        </w:rPr>
        <w:t>network.</w:t>
      </w:r>
    </w:p>
    <w:p w14:paraId="3AC24601" w14:textId="51B6E9AB" w:rsidR="00621304" w:rsidRPr="00527CE6" w:rsidRDefault="00F11ACD" w:rsidP="006D3742">
      <w:pPr>
        <w:pStyle w:val="Definition"/>
        <w:spacing w:before="120"/>
        <w:rPr>
          <w:iCs/>
        </w:rPr>
      </w:pPr>
      <w:r w:rsidRPr="00527CE6">
        <w:rPr>
          <w:b/>
          <w:bCs/>
          <w:i/>
        </w:rPr>
        <w:t>m</w:t>
      </w:r>
      <w:r w:rsidR="00621304" w:rsidRPr="00527CE6">
        <w:rPr>
          <w:b/>
          <w:bCs/>
          <w:i/>
        </w:rPr>
        <w:t xml:space="preserve">obile </w:t>
      </w:r>
      <w:r w:rsidR="000C3E23" w:rsidRPr="00527CE6">
        <w:rPr>
          <w:b/>
          <w:bCs/>
          <w:i/>
        </w:rPr>
        <w:t>s</w:t>
      </w:r>
      <w:r w:rsidR="00621304" w:rsidRPr="00527CE6">
        <w:rPr>
          <w:b/>
          <w:bCs/>
          <w:i/>
        </w:rPr>
        <w:t xml:space="preserve">ervice </w:t>
      </w:r>
      <w:r w:rsidR="000C3E23" w:rsidRPr="00527CE6">
        <w:rPr>
          <w:b/>
          <w:bCs/>
          <w:i/>
        </w:rPr>
        <w:t>n</w:t>
      </w:r>
      <w:r w:rsidR="00621304" w:rsidRPr="00527CE6">
        <w:rPr>
          <w:b/>
          <w:bCs/>
          <w:i/>
        </w:rPr>
        <w:t xml:space="preserve">umber </w:t>
      </w:r>
      <w:r w:rsidR="00621304" w:rsidRPr="00527CE6">
        <w:rPr>
          <w:iCs/>
        </w:rPr>
        <w:t xml:space="preserve">means </w:t>
      </w:r>
      <w:r w:rsidR="00114224" w:rsidRPr="00527CE6">
        <w:rPr>
          <w:iCs/>
        </w:rPr>
        <w:t xml:space="preserve">a </w:t>
      </w:r>
      <w:r w:rsidR="00146176" w:rsidRPr="00527CE6">
        <w:rPr>
          <w:iCs/>
        </w:rPr>
        <w:t xml:space="preserve">digital mobile </w:t>
      </w:r>
      <w:r w:rsidR="00114224" w:rsidRPr="00527CE6">
        <w:rPr>
          <w:iCs/>
        </w:rPr>
        <w:t xml:space="preserve">number </w:t>
      </w:r>
      <w:r w:rsidR="00146176" w:rsidRPr="00527CE6">
        <w:rPr>
          <w:iCs/>
        </w:rPr>
        <w:t xml:space="preserve">issued by a mobile carriage service provider to a customer in connection with the supply of a public mobile telecommunications service (other than a satellite telephone service). </w:t>
      </w:r>
    </w:p>
    <w:p w14:paraId="2FDFBECA" w14:textId="5C4C70AD" w:rsidR="00621304" w:rsidRPr="00527CE6" w:rsidRDefault="00F11ACD" w:rsidP="005A1289">
      <w:pPr>
        <w:pStyle w:val="Definition"/>
        <w:spacing w:before="120"/>
        <w:rPr>
          <w:iCs/>
        </w:rPr>
      </w:pPr>
      <w:r w:rsidRPr="00527CE6">
        <w:rPr>
          <w:b/>
          <w:bCs/>
          <w:i/>
        </w:rPr>
        <w:t>p</w:t>
      </w:r>
      <w:r w:rsidR="00621304" w:rsidRPr="00527CE6">
        <w:rPr>
          <w:b/>
          <w:bCs/>
          <w:i/>
        </w:rPr>
        <w:t xml:space="preserve">ort </w:t>
      </w:r>
      <w:r w:rsidR="00621304" w:rsidRPr="00527CE6">
        <w:rPr>
          <w:iCs/>
        </w:rPr>
        <w:t xml:space="preserve">means </w:t>
      </w:r>
      <w:r w:rsidR="00FF0623" w:rsidRPr="00527CE6">
        <w:rPr>
          <w:iCs/>
        </w:rPr>
        <w:t xml:space="preserve">the movement of </w:t>
      </w:r>
      <w:r w:rsidR="00EF41D2" w:rsidRPr="00527CE6">
        <w:rPr>
          <w:iCs/>
        </w:rPr>
        <w:t xml:space="preserve">a </w:t>
      </w:r>
      <w:r w:rsidR="00FF0623" w:rsidRPr="00527CE6">
        <w:rPr>
          <w:iCs/>
        </w:rPr>
        <w:t xml:space="preserve">mobile service number between </w:t>
      </w:r>
      <w:r w:rsidR="001A1A53" w:rsidRPr="00527CE6">
        <w:rPr>
          <w:iCs/>
        </w:rPr>
        <w:t xml:space="preserve">mobile </w:t>
      </w:r>
      <w:r w:rsidR="00FF0623" w:rsidRPr="00527CE6">
        <w:rPr>
          <w:iCs/>
        </w:rPr>
        <w:t>carriage service providers</w:t>
      </w:r>
      <w:r w:rsidR="00047CA0" w:rsidRPr="00527CE6">
        <w:rPr>
          <w:iCs/>
        </w:rPr>
        <w:t>, or mobile carrier networks, using mobile number portability processes</w:t>
      </w:r>
      <w:r w:rsidR="000C3E23" w:rsidRPr="00527CE6">
        <w:rPr>
          <w:iCs/>
        </w:rPr>
        <w:t>.</w:t>
      </w:r>
      <w:r w:rsidR="00047CA0" w:rsidRPr="00527CE6">
        <w:rPr>
          <w:iCs/>
        </w:rPr>
        <w:t xml:space="preserve">  The words </w:t>
      </w:r>
      <w:r w:rsidR="00047CA0" w:rsidRPr="00527CE6">
        <w:rPr>
          <w:b/>
          <w:bCs/>
          <w:i/>
        </w:rPr>
        <w:t>porting</w:t>
      </w:r>
      <w:r w:rsidR="00047CA0" w:rsidRPr="00527CE6">
        <w:rPr>
          <w:iCs/>
        </w:rPr>
        <w:t xml:space="preserve"> and </w:t>
      </w:r>
      <w:r w:rsidR="00047CA0" w:rsidRPr="00527CE6">
        <w:rPr>
          <w:b/>
          <w:bCs/>
          <w:i/>
        </w:rPr>
        <w:t>ported</w:t>
      </w:r>
      <w:r w:rsidR="00047CA0" w:rsidRPr="00527CE6">
        <w:rPr>
          <w:iCs/>
        </w:rPr>
        <w:t xml:space="preserve"> have corresponding meanings.</w:t>
      </w:r>
    </w:p>
    <w:p w14:paraId="2382B80C" w14:textId="3303E929" w:rsidR="00A50892" w:rsidRPr="00527CE6" w:rsidRDefault="00A50892" w:rsidP="005A1289">
      <w:pPr>
        <w:pStyle w:val="Definition"/>
        <w:spacing w:before="120"/>
        <w:rPr>
          <w:iCs/>
        </w:rPr>
      </w:pPr>
      <w:bookmarkStart w:id="11" w:name="_Hlk32315990"/>
      <w:r w:rsidRPr="00527CE6">
        <w:rPr>
          <w:b/>
          <w:bCs/>
          <w:i/>
        </w:rPr>
        <w:t xml:space="preserve">primary number </w:t>
      </w:r>
      <w:r w:rsidRPr="00527CE6">
        <w:rPr>
          <w:iCs/>
        </w:rPr>
        <w:t>means the</w:t>
      </w:r>
      <w:r w:rsidRPr="00527CE6">
        <w:rPr>
          <w:i/>
        </w:rPr>
        <w:t xml:space="preserve"> </w:t>
      </w:r>
      <w:r w:rsidR="0063720B" w:rsidRPr="00527CE6">
        <w:rPr>
          <w:iCs/>
        </w:rPr>
        <w:t xml:space="preserve">phone number </w:t>
      </w:r>
      <w:r w:rsidRPr="00527CE6">
        <w:rPr>
          <w:iCs/>
        </w:rPr>
        <w:t xml:space="preserve">that is </w:t>
      </w:r>
      <w:r w:rsidR="00F2331E" w:rsidRPr="00527CE6">
        <w:rPr>
          <w:iCs/>
        </w:rPr>
        <w:t>nominated by</w:t>
      </w:r>
      <w:r w:rsidR="007B2400" w:rsidRPr="00527CE6">
        <w:rPr>
          <w:iCs/>
        </w:rPr>
        <w:t xml:space="preserve"> </w:t>
      </w:r>
      <w:r w:rsidR="00D25192" w:rsidRPr="00D14532">
        <w:rPr>
          <w:iCs/>
        </w:rPr>
        <w:t>a</w:t>
      </w:r>
      <w:r w:rsidR="007B2400" w:rsidRPr="00527CE6">
        <w:rPr>
          <w:iCs/>
        </w:rPr>
        <w:t xml:space="preserve"> </w:t>
      </w:r>
      <w:r w:rsidRPr="00527CE6">
        <w:rPr>
          <w:iCs/>
        </w:rPr>
        <w:t>large business customer</w:t>
      </w:r>
      <w:r w:rsidR="00240BCA" w:rsidRPr="00527CE6">
        <w:rPr>
          <w:iCs/>
        </w:rPr>
        <w:t xml:space="preserve"> </w:t>
      </w:r>
      <w:r w:rsidR="003B6364" w:rsidRPr="00527CE6">
        <w:rPr>
          <w:iCs/>
        </w:rPr>
        <w:t xml:space="preserve">to be associated with </w:t>
      </w:r>
      <w:r w:rsidR="00240BCA" w:rsidRPr="00D14532">
        <w:rPr>
          <w:iCs/>
        </w:rPr>
        <w:t>the</w:t>
      </w:r>
      <w:r w:rsidR="00D25192" w:rsidRPr="00D14532">
        <w:rPr>
          <w:iCs/>
        </w:rPr>
        <w:t>ir</w:t>
      </w:r>
      <w:r w:rsidR="00240BCA" w:rsidRPr="00527CE6">
        <w:rPr>
          <w:iCs/>
        </w:rPr>
        <w:t xml:space="preserve"> authorised representative.</w:t>
      </w:r>
    </w:p>
    <w:bookmarkEnd w:id="11"/>
    <w:p w14:paraId="103FCEC3" w14:textId="77777777" w:rsidR="00467CF8" w:rsidRPr="00527CE6" w:rsidRDefault="00467CF8" w:rsidP="00467CF8">
      <w:pPr>
        <w:pStyle w:val="Definition"/>
        <w:spacing w:before="120"/>
        <w:rPr>
          <w:iCs/>
        </w:rPr>
      </w:pPr>
      <w:r w:rsidRPr="00527CE6">
        <w:rPr>
          <w:b/>
          <w:bCs/>
          <w:i/>
        </w:rPr>
        <w:t xml:space="preserve">requesting person </w:t>
      </w:r>
      <w:r w:rsidRPr="00527CE6">
        <w:rPr>
          <w:iCs/>
        </w:rPr>
        <w:t>means the person requesting the port of a mobile service number.</w:t>
      </w:r>
    </w:p>
    <w:p w14:paraId="28DC5EE8" w14:textId="16AFB82E" w:rsidR="00621304" w:rsidRPr="00527CE6" w:rsidRDefault="00114224" w:rsidP="005A1289">
      <w:pPr>
        <w:pStyle w:val="Definition"/>
        <w:spacing w:before="120"/>
        <w:rPr>
          <w:iCs/>
        </w:rPr>
      </w:pPr>
      <w:r w:rsidRPr="00527CE6">
        <w:rPr>
          <w:b/>
          <w:bCs/>
          <w:i/>
        </w:rPr>
        <w:t>rights of use</w:t>
      </w:r>
      <w:r w:rsidR="00621304" w:rsidRPr="00527CE6">
        <w:rPr>
          <w:b/>
          <w:bCs/>
          <w:i/>
        </w:rPr>
        <w:t xml:space="preserve"> holder </w:t>
      </w:r>
      <w:r w:rsidRPr="00527CE6">
        <w:rPr>
          <w:iCs/>
        </w:rPr>
        <w:t xml:space="preserve">has the meaning given by the </w:t>
      </w:r>
      <w:r w:rsidRPr="00527CE6">
        <w:rPr>
          <w:i/>
        </w:rPr>
        <w:t>Rights of Use of Numbers Industry Code (ACIF C566:2005)</w:t>
      </w:r>
      <w:r w:rsidR="000C3E23" w:rsidRPr="00527CE6">
        <w:rPr>
          <w:iCs/>
        </w:rPr>
        <w:t>.</w:t>
      </w:r>
    </w:p>
    <w:p w14:paraId="6E397D99" w14:textId="6D7BA704" w:rsidR="000A44D9" w:rsidRPr="00527CE6" w:rsidRDefault="00D77831" w:rsidP="00187BC0">
      <w:pPr>
        <w:pStyle w:val="Definition"/>
        <w:spacing w:before="120"/>
        <w:ind w:left="1701" w:hanging="567"/>
        <w:rPr>
          <w:iCs/>
          <w:sz w:val="18"/>
        </w:rPr>
      </w:pPr>
      <w:r w:rsidRPr="00527CE6">
        <w:rPr>
          <w:iCs/>
          <w:sz w:val="18"/>
        </w:rPr>
        <w:t xml:space="preserve">Note:  </w:t>
      </w:r>
      <w:r w:rsidR="00187BC0" w:rsidRPr="00527CE6">
        <w:rPr>
          <w:iCs/>
          <w:sz w:val="18"/>
        </w:rPr>
        <w:t xml:space="preserve"> </w:t>
      </w:r>
      <w:r w:rsidR="00187BC0" w:rsidRPr="00527CE6">
        <w:rPr>
          <w:iCs/>
          <w:sz w:val="18"/>
        </w:rPr>
        <w:tab/>
      </w:r>
      <w:r w:rsidR="002C3E8E" w:rsidRPr="00527CE6">
        <w:rPr>
          <w:iCs/>
          <w:sz w:val="18"/>
        </w:rPr>
        <w:t xml:space="preserve">The </w:t>
      </w:r>
      <w:r w:rsidR="002C3E8E" w:rsidRPr="00527CE6">
        <w:rPr>
          <w:i/>
          <w:sz w:val="18"/>
        </w:rPr>
        <w:t xml:space="preserve">Rights of Use of Numbers Industry Code (ACIF C566:2005) </w:t>
      </w:r>
      <w:r w:rsidR="008741BE" w:rsidRPr="00527CE6">
        <w:rPr>
          <w:iCs/>
          <w:sz w:val="18"/>
        </w:rPr>
        <w:t>can be accessed</w:t>
      </w:r>
      <w:r w:rsidR="00EF41D2" w:rsidRPr="00527CE6">
        <w:rPr>
          <w:iCs/>
          <w:sz w:val="18"/>
        </w:rPr>
        <w:t xml:space="preserve"> free of charge</w:t>
      </w:r>
      <w:r w:rsidR="008741BE" w:rsidRPr="00527CE6">
        <w:rPr>
          <w:iCs/>
          <w:sz w:val="18"/>
        </w:rPr>
        <w:t xml:space="preserve"> on </w:t>
      </w:r>
      <w:r w:rsidR="00141E91" w:rsidRPr="00527CE6">
        <w:rPr>
          <w:iCs/>
          <w:sz w:val="18"/>
        </w:rPr>
        <w:t>Communications Alliance</w:t>
      </w:r>
      <w:r w:rsidR="004E4B90" w:rsidRPr="00527CE6">
        <w:rPr>
          <w:iCs/>
          <w:sz w:val="18"/>
        </w:rPr>
        <w:t>’s website</w:t>
      </w:r>
      <w:r w:rsidR="00A00372" w:rsidRPr="00527CE6">
        <w:rPr>
          <w:iCs/>
          <w:sz w:val="18"/>
        </w:rPr>
        <w:t>:</w:t>
      </w:r>
      <w:r w:rsidR="004E4B90" w:rsidRPr="00527CE6">
        <w:rPr>
          <w:iCs/>
          <w:sz w:val="18"/>
        </w:rPr>
        <w:t xml:space="preserve"> </w:t>
      </w:r>
      <w:r w:rsidR="001C56CA" w:rsidRPr="00527CE6">
        <w:rPr>
          <w:iCs/>
          <w:sz w:val="18"/>
        </w:rPr>
        <w:t>https</w:t>
      </w:r>
      <w:r w:rsidR="00B700A8" w:rsidRPr="00527CE6">
        <w:rPr>
          <w:iCs/>
          <w:sz w:val="18"/>
        </w:rPr>
        <w:t>://www.commsalliance.com.au</w:t>
      </w:r>
      <w:r w:rsidR="00E2407B" w:rsidRPr="00527CE6">
        <w:rPr>
          <w:iCs/>
          <w:sz w:val="18"/>
        </w:rPr>
        <w:t>.</w:t>
      </w:r>
    </w:p>
    <w:p w14:paraId="0F0345B7" w14:textId="174AA43F" w:rsidR="00BE1D26" w:rsidRPr="00527CE6" w:rsidRDefault="00BE1D26" w:rsidP="005A1289">
      <w:pPr>
        <w:pStyle w:val="Definition"/>
        <w:spacing w:before="120"/>
        <w:rPr>
          <w:iCs/>
        </w:rPr>
      </w:pPr>
      <w:r w:rsidRPr="00527CE6">
        <w:rPr>
          <w:b/>
          <w:bCs/>
          <w:i/>
        </w:rPr>
        <w:t xml:space="preserve">satellite telephone service </w:t>
      </w:r>
      <w:r w:rsidRPr="00527CE6">
        <w:rPr>
          <w:iCs/>
        </w:rPr>
        <w:t>means</w:t>
      </w:r>
      <w:r w:rsidR="008575A1" w:rsidRPr="00527CE6">
        <w:rPr>
          <w:iCs/>
        </w:rPr>
        <w:t xml:space="preserve"> a carriage service with which end-users make calls via a satellite-based facility.</w:t>
      </w:r>
    </w:p>
    <w:p w14:paraId="0D45125E" w14:textId="79CD14CC" w:rsidR="00626D3B" w:rsidRPr="00527CE6" w:rsidRDefault="00626D3B" w:rsidP="00626D3B">
      <w:pPr>
        <w:pStyle w:val="Definition"/>
        <w:spacing w:before="120"/>
        <w:rPr>
          <w:iCs/>
        </w:rPr>
      </w:pPr>
      <w:r w:rsidRPr="00527CE6">
        <w:rPr>
          <w:b/>
          <w:bCs/>
          <w:i/>
        </w:rPr>
        <w:lastRenderedPageBreak/>
        <w:t xml:space="preserve">SMS message </w:t>
      </w:r>
      <w:r w:rsidRPr="00527CE6">
        <w:rPr>
          <w:iCs/>
        </w:rPr>
        <w:t>means a message or series of messages sent using a short message service.</w:t>
      </w:r>
    </w:p>
    <w:p w14:paraId="4BA3DB1B" w14:textId="2C670FB8" w:rsidR="001A1A53" w:rsidRPr="00527CE6" w:rsidRDefault="001A1A53" w:rsidP="00626D3B">
      <w:pPr>
        <w:pStyle w:val="Definition"/>
        <w:spacing w:before="120"/>
        <w:rPr>
          <w:iCs/>
        </w:rPr>
      </w:pPr>
      <w:r w:rsidRPr="00527CE6">
        <w:rPr>
          <w:b/>
          <w:bCs/>
          <w:i/>
        </w:rPr>
        <w:t xml:space="preserve">special services number </w:t>
      </w:r>
      <w:r w:rsidRPr="00527CE6">
        <w:rPr>
          <w:iCs/>
        </w:rPr>
        <w:t xml:space="preserve">has the same meaning as in section 31 of the </w:t>
      </w:r>
      <w:r w:rsidRPr="00527CE6">
        <w:rPr>
          <w:i/>
        </w:rPr>
        <w:t>Telecommunications Numbering Plan 2015.</w:t>
      </w:r>
    </w:p>
    <w:p w14:paraId="2DDE6B74" w14:textId="77777777" w:rsidR="00626D3B" w:rsidRPr="00527CE6" w:rsidRDefault="00626D3B" w:rsidP="00E1352D">
      <w:pPr>
        <w:pStyle w:val="notetext"/>
        <w:ind w:left="1701" w:hanging="567"/>
      </w:pPr>
      <w:r w:rsidRPr="00527CE6">
        <w:t>Note:</w:t>
      </w:r>
      <w:r w:rsidRPr="00527CE6">
        <w:tab/>
        <w:t>A number of other expressions used in this instrument are defined in the Act, including the following:</w:t>
      </w:r>
    </w:p>
    <w:p w14:paraId="48CD09AC" w14:textId="436E1B55" w:rsidR="00626D3B" w:rsidRPr="00527CE6" w:rsidRDefault="00626D3B" w:rsidP="00E1352D">
      <w:pPr>
        <w:pStyle w:val="notepara"/>
        <w:numPr>
          <w:ilvl w:val="0"/>
          <w:numId w:val="12"/>
        </w:numPr>
        <w:ind w:left="2268" w:hanging="567"/>
      </w:pPr>
      <w:r w:rsidRPr="00527CE6">
        <w:t>carriage service</w:t>
      </w:r>
      <w:r w:rsidR="00780612">
        <w:t>;</w:t>
      </w:r>
    </w:p>
    <w:p w14:paraId="7CF8DEBA" w14:textId="77777777" w:rsidR="00626D3B" w:rsidRPr="00527CE6" w:rsidRDefault="00626D3B" w:rsidP="00E1352D">
      <w:pPr>
        <w:pStyle w:val="notepara"/>
        <w:numPr>
          <w:ilvl w:val="0"/>
          <w:numId w:val="12"/>
        </w:numPr>
        <w:ind w:left="2268" w:hanging="567"/>
      </w:pPr>
      <w:r w:rsidRPr="00527CE6">
        <w:t>carriage service provider;</w:t>
      </w:r>
    </w:p>
    <w:p w14:paraId="72857E34" w14:textId="09D6108B" w:rsidR="00626D3B" w:rsidRPr="00527CE6" w:rsidRDefault="00626D3B" w:rsidP="00E1352D">
      <w:pPr>
        <w:pStyle w:val="notepara"/>
        <w:numPr>
          <w:ilvl w:val="0"/>
          <w:numId w:val="12"/>
        </w:numPr>
        <w:ind w:left="2268" w:hanging="567"/>
      </w:pPr>
      <w:r w:rsidRPr="00527CE6">
        <w:t>carrier; and</w:t>
      </w:r>
    </w:p>
    <w:p w14:paraId="6351D1B1" w14:textId="08049A47" w:rsidR="00453138" w:rsidRPr="00527CE6" w:rsidRDefault="00626D3B" w:rsidP="00D74C53">
      <w:pPr>
        <w:pStyle w:val="notepara"/>
        <w:numPr>
          <w:ilvl w:val="0"/>
          <w:numId w:val="12"/>
        </w:numPr>
        <w:ind w:left="2268" w:hanging="567"/>
      </w:pPr>
      <w:r w:rsidRPr="00527CE6">
        <w:t>public mobile telecommunications service</w:t>
      </w:r>
      <w:r w:rsidR="00EC70A5" w:rsidRPr="00527CE6">
        <w:t>.</w:t>
      </w:r>
    </w:p>
    <w:p w14:paraId="0CAC5183" w14:textId="77777777" w:rsidR="00BE4BC7" w:rsidRPr="00527CE6" w:rsidRDefault="00BE4BC7" w:rsidP="00095975">
      <w:pPr>
        <w:pStyle w:val="ActHead5"/>
        <w:ind w:left="0" w:firstLine="0"/>
      </w:pPr>
      <w:r w:rsidRPr="00527CE6">
        <w:rPr>
          <w:rStyle w:val="CharSectno"/>
        </w:rPr>
        <w:t>7</w:t>
      </w:r>
      <w:r w:rsidRPr="00527CE6">
        <w:t xml:space="preserve">  References to other instruments</w:t>
      </w:r>
    </w:p>
    <w:p w14:paraId="49BFD446" w14:textId="478D1E46" w:rsidR="00BE4BC7" w:rsidRPr="00527CE6" w:rsidRDefault="00BE4BC7" w:rsidP="00BE4BC7">
      <w:pPr>
        <w:pStyle w:val="subsection"/>
      </w:pPr>
      <w:r w:rsidRPr="00527CE6">
        <w:tab/>
      </w:r>
      <w:r w:rsidRPr="00527CE6">
        <w:tab/>
        <w:t xml:space="preserve">In this </w:t>
      </w:r>
      <w:r w:rsidR="00727E9C" w:rsidRPr="00D14532">
        <w:t>industry standard</w:t>
      </w:r>
      <w:r w:rsidRPr="00527CE6">
        <w:t>, unless the contrary intention appears:</w:t>
      </w:r>
    </w:p>
    <w:p w14:paraId="5F3F586B" w14:textId="4CACC8A8" w:rsidR="00BE4BC7" w:rsidRPr="00527CE6" w:rsidRDefault="00BE4BC7" w:rsidP="00E1352D">
      <w:pPr>
        <w:pStyle w:val="paragraph"/>
        <w:tabs>
          <w:tab w:val="clear" w:pos="1531"/>
        </w:tabs>
        <w:ind w:left="1701" w:hanging="567"/>
      </w:pPr>
      <w:r w:rsidRPr="00527CE6">
        <w:t>(a)</w:t>
      </w:r>
      <w:r w:rsidR="005A1289" w:rsidRPr="00527CE6">
        <w:tab/>
      </w:r>
      <w:r w:rsidRPr="00527CE6">
        <w:t xml:space="preserve">a reference to </w:t>
      </w:r>
      <w:r w:rsidR="00434B53" w:rsidRPr="00527CE6">
        <w:t xml:space="preserve">any </w:t>
      </w:r>
      <w:r w:rsidR="00F87D34" w:rsidRPr="00527CE6">
        <w:t xml:space="preserve">other </w:t>
      </w:r>
      <w:r w:rsidRPr="00527CE6">
        <w:t xml:space="preserve">legislative instrument is a reference to that </w:t>
      </w:r>
      <w:r w:rsidR="00F87D34" w:rsidRPr="00527CE6">
        <w:t xml:space="preserve">other </w:t>
      </w:r>
      <w:r w:rsidRPr="00527CE6">
        <w:t>legislative instrument as in force from time to time; and</w:t>
      </w:r>
    </w:p>
    <w:p w14:paraId="1C2FFCA8" w14:textId="24F709DB" w:rsidR="00BE4BC7" w:rsidRPr="00527CE6" w:rsidRDefault="00BE4BC7" w:rsidP="00E1352D">
      <w:pPr>
        <w:pStyle w:val="paragraph"/>
        <w:tabs>
          <w:tab w:val="clear" w:pos="1531"/>
          <w:tab w:val="left" w:pos="2160"/>
          <w:tab w:val="left" w:pos="2880"/>
          <w:tab w:val="left" w:pos="3600"/>
          <w:tab w:val="center" w:pos="4513"/>
        </w:tabs>
        <w:ind w:left="1701" w:hanging="567"/>
      </w:pPr>
      <w:r w:rsidRPr="00527CE6">
        <w:t>(b)</w:t>
      </w:r>
      <w:r w:rsidRPr="00527CE6">
        <w:tab/>
        <w:t xml:space="preserve">a reference to any other </w:t>
      </w:r>
      <w:r w:rsidR="00F87D34" w:rsidRPr="00527CE6">
        <w:t xml:space="preserve">kind of </w:t>
      </w:r>
      <w:r w:rsidRPr="00527CE6">
        <w:t xml:space="preserve">instrument is a reference to that </w:t>
      </w:r>
      <w:r w:rsidR="00F87D34" w:rsidRPr="00527CE6">
        <w:t xml:space="preserve">other </w:t>
      </w:r>
      <w:r w:rsidRPr="00527CE6">
        <w:t>instrument as in force from time to time.</w:t>
      </w:r>
    </w:p>
    <w:p w14:paraId="77FC6F34" w14:textId="0BCF4D75" w:rsidR="00BE4BC7" w:rsidRPr="00527CE6" w:rsidRDefault="00BE4BC7" w:rsidP="00E1352D">
      <w:pPr>
        <w:pStyle w:val="notetext"/>
        <w:ind w:left="1701" w:hanging="567"/>
      </w:pPr>
      <w:r w:rsidRPr="00527CE6">
        <w:t>Note 1:</w:t>
      </w:r>
      <w:r w:rsidRPr="00527CE6">
        <w:tab/>
        <w:t xml:space="preserve">For references to Commonwealth Acts, see section 10 of the </w:t>
      </w:r>
      <w:r w:rsidRPr="00527CE6">
        <w:rPr>
          <w:i/>
        </w:rPr>
        <w:t>Acts Interpretation Act 1901</w:t>
      </w:r>
      <w:r w:rsidR="00D3269C" w:rsidRPr="00527CE6">
        <w:t xml:space="preserve"> and</w:t>
      </w:r>
      <w:r w:rsidR="00393CC8" w:rsidRPr="00527CE6">
        <w:t xml:space="preserve"> subsection 589(1)</w:t>
      </w:r>
      <w:r w:rsidR="00EF41D2" w:rsidRPr="00527CE6">
        <w:t xml:space="preserve"> of the Act</w:t>
      </w:r>
      <w:r w:rsidR="00411574" w:rsidRPr="00527CE6">
        <w:t>,</w:t>
      </w:r>
      <w:r w:rsidRPr="00527CE6">
        <w:t xml:space="preserve"> and see also subsection 13(1) of the </w:t>
      </w:r>
      <w:r w:rsidRPr="00527CE6">
        <w:rPr>
          <w:i/>
        </w:rPr>
        <w:t>Legislation Act 2003</w:t>
      </w:r>
      <w:r w:rsidRPr="00527CE6">
        <w:t xml:space="preserve"> for the application of the </w:t>
      </w:r>
      <w:r w:rsidRPr="00527CE6">
        <w:rPr>
          <w:i/>
        </w:rPr>
        <w:t>Acts Interpretation Act 1901</w:t>
      </w:r>
      <w:r w:rsidRPr="00527CE6">
        <w:t xml:space="preserve"> to legislative instruments.</w:t>
      </w:r>
    </w:p>
    <w:p w14:paraId="5261BA81" w14:textId="6B948A8D" w:rsidR="00373434" w:rsidRPr="00527CE6" w:rsidRDefault="00373434" w:rsidP="00E1352D">
      <w:pPr>
        <w:pStyle w:val="notetext"/>
        <w:ind w:left="1701" w:hanging="567"/>
      </w:pPr>
      <w:r w:rsidRPr="00527CE6">
        <w:t>Note 2:</w:t>
      </w:r>
      <w:r w:rsidR="006F23C7" w:rsidRPr="00527CE6">
        <w:tab/>
        <w:t xml:space="preserve">For references to instruments that are not legislative instruments, see </w:t>
      </w:r>
      <w:r w:rsidR="008B13D3" w:rsidRPr="00527CE6">
        <w:t>subse</w:t>
      </w:r>
      <w:r w:rsidR="006F23C7" w:rsidRPr="00527CE6">
        <w:t>ction 589</w:t>
      </w:r>
      <w:r w:rsidR="00992EA8" w:rsidRPr="00527CE6">
        <w:t>(2)</w:t>
      </w:r>
      <w:r w:rsidR="006F23C7" w:rsidRPr="00527CE6">
        <w:t xml:space="preserve"> of the Act.</w:t>
      </w:r>
    </w:p>
    <w:p w14:paraId="19694FD4" w14:textId="1C46E923" w:rsidR="009A7B0A" w:rsidRPr="00527CE6" w:rsidRDefault="00BE4BC7" w:rsidP="00E1352D">
      <w:pPr>
        <w:pStyle w:val="notetext"/>
        <w:ind w:left="1701" w:hanging="567"/>
        <w:rPr>
          <w:rStyle w:val="CharSectno"/>
        </w:rPr>
      </w:pPr>
      <w:r w:rsidRPr="00527CE6">
        <w:t xml:space="preserve">Note </w:t>
      </w:r>
      <w:r w:rsidR="00373434" w:rsidRPr="00527CE6">
        <w:t>3</w:t>
      </w:r>
      <w:r w:rsidRPr="00527CE6">
        <w:t>:</w:t>
      </w:r>
      <w:r w:rsidRPr="00527CE6">
        <w:tab/>
        <w:t>All Commonwealth Acts and legislative instruments are registered on the Federal Register of Legislation.</w:t>
      </w:r>
      <w:bookmarkEnd w:id="4"/>
      <w:r w:rsidR="00373434" w:rsidRPr="00527CE6">
        <w:t xml:space="preserve">  The Federal Register of Legislation may be accessed free of charge at </w:t>
      </w:r>
      <w:hyperlink r:id="rId16" w:history="1">
        <w:r w:rsidR="00373434" w:rsidRPr="00527CE6">
          <w:rPr>
            <w:rStyle w:val="Hyperlink"/>
            <w:rFonts w:eastAsiaTheme="majorEastAsia"/>
          </w:rPr>
          <w:t>www.legislation.gov.au</w:t>
        </w:r>
      </w:hyperlink>
      <w:r w:rsidR="006F23C7" w:rsidRPr="00527CE6">
        <w:rPr>
          <w:rStyle w:val="Hyperlink"/>
          <w:rFonts w:eastAsiaTheme="majorEastAsia"/>
        </w:rPr>
        <w:t>.</w:t>
      </w:r>
    </w:p>
    <w:p w14:paraId="68D9198F" w14:textId="77777777" w:rsidR="00C35F9B" w:rsidRPr="00F36FC2" w:rsidRDefault="00C35F9B" w:rsidP="00F36FC2">
      <w:pPr>
        <w:pStyle w:val="notetext"/>
        <w:spacing w:before="0"/>
        <w:ind w:left="0" w:firstLine="0"/>
        <w:rPr>
          <w:rStyle w:val="CharSectno"/>
          <w:rFonts w:asciiTheme="minorHAnsi" w:eastAsiaTheme="minorHAnsi" w:hAnsiTheme="minorHAnsi" w:cstheme="minorBidi"/>
          <w:szCs w:val="18"/>
          <w:lang w:eastAsia="en-US"/>
        </w:rPr>
      </w:pPr>
    </w:p>
    <w:p w14:paraId="5C0412ED" w14:textId="7022B060" w:rsidR="006F5CF2" w:rsidRPr="00527CE6" w:rsidRDefault="006F5CF2" w:rsidP="00FF0623">
      <w:pPr>
        <w:pStyle w:val="ActHead5"/>
        <w:spacing w:before="0"/>
      </w:pPr>
      <w:r w:rsidRPr="00527CE6">
        <w:rPr>
          <w:sz w:val="32"/>
          <w:szCs w:val="24"/>
        </w:rPr>
        <w:t>Part 2</w:t>
      </w:r>
      <w:r w:rsidRPr="00527CE6">
        <w:rPr>
          <w:sz w:val="32"/>
          <w:szCs w:val="32"/>
        </w:rPr>
        <w:t>—</w:t>
      </w:r>
      <w:r w:rsidR="00FF0623" w:rsidRPr="00527CE6">
        <w:rPr>
          <w:sz w:val="32"/>
          <w:szCs w:val="32"/>
        </w:rPr>
        <w:t>Additional Pre-Porting Identity Verification Requirements</w:t>
      </w:r>
    </w:p>
    <w:p w14:paraId="74B82035" w14:textId="2086F93E" w:rsidR="00B7359B" w:rsidRPr="00527CE6" w:rsidRDefault="008A5066" w:rsidP="00B7359B">
      <w:pPr>
        <w:pStyle w:val="ActHead5"/>
      </w:pPr>
      <w:r w:rsidRPr="00527CE6">
        <w:rPr>
          <w:rStyle w:val="CharSectno"/>
        </w:rPr>
        <w:t>8</w:t>
      </w:r>
      <w:r w:rsidR="00C35F9B" w:rsidRPr="00527CE6">
        <w:t xml:space="preserve">  </w:t>
      </w:r>
      <w:r w:rsidR="00FF0623" w:rsidRPr="00527CE6">
        <w:t xml:space="preserve">Pre-porting </w:t>
      </w:r>
      <w:r w:rsidR="00700B8F" w:rsidRPr="00527CE6">
        <w:t xml:space="preserve">additional </w:t>
      </w:r>
      <w:r w:rsidR="00FF0623" w:rsidRPr="00527CE6">
        <w:t>identity verification requirements</w:t>
      </w:r>
    </w:p>
    <w:p w14:paraId="7B86AE22" w14:textId="45ADF705" w:rsidR="006C4720" w:rsidRPr="00527CE6" w:rsidRDefault="00FF0623" w:rsidP="00963170">
      <w:pPr>
        <w:pStyle w:val="subsection"/>
        <w:numPr>
          <w:ilvl w:val="0"/>
          <w:numId w:val="20"/>
        </w:numPr>
        <w:tabs>
          <w:tab w:val="clear" w:pos="1021"/>
        </w:tabs>
        <w:ind w:hanging="566"/>
      </w:pPr>
      <w:r w:rsidRPr="00527CE6">
        <w:t xml:space="preserve">This section applies to </w:t>
      </w:r>
      <w:r w:rsidR="00BE3CC1">
        <w:t>mobile</w:t>
      </w:r>
      <w:r w:rsidR="00BE3CC1" w:rsidRPr="00527CE6">
        <w:t xml:space="preserve"> </w:t>
      </w:r>
      <w:r w:rsidR="001A1A53" w:rsidRPr="00527CE6">
        <w:t>carriage service provider</w:t>
      </w:r>
      <w:r w:rsidRPr="00527CE6">
        <w:t>s</w:t>
      </w:r>
      <w:r w:rsidR="00FA552F" w:rsidRPr="00527CE6">
        <w:t>.</w:t>
      </w:r>
    </w:p>
    <w:p w14:paraId="7FDF5C33" w14:textId="628E394F" w:rsidR="00B7359B" w:rsidRPr="00527CE6" w:rsidRDefault="00B7359B" w:rsidP="00D21486">
      <w:pPr>
        <w:pStyle w:val="subsection"/>
        <w:tabs>
          <w:tab w:val="clear" w:pos="1021"/>
        </w:tabs>
        <w:ind w:hanging="567"/>
      </w:pPr>
      <w:r w:rsidRPr="00527CE6">
        <w:t>(2)</w:t>
      </w:r>
      <w:r w:rsidRPr="00527CE6">
        <w:tab/>
      </w:r>
      <w:r w:rsidR="008575A1" w:rsidRPr="00527CE6">
        <w:t>Prior to</w:t>
      </w:r>
      <w:r w:rsidR="008575A1" w:rsidRPr="00527CE6">
        <w:rPr>
          <w:color w:val="70AD47" w:themeColor="accent6"/>
        </w:rPr>
        <w:t xml:space="preserve"> </w:t>
      </w:r>
      <w:r w:rsidR="00143FB6" w:rsidRPr="00527CE6">
        <w:t xml:space="preserve">initiating </w:t>
      </w:r>
      <w:r w:rsidR="00A501AF" w:rsidRPr="00527CE6">
        <w:t xml:space="preserve">the </w:t>
      </w:r>
      <w:r w:rsidR="008575A1" w:rsidRPr="00527CE6">
        <w:t xml:space="preserve">port </w:t>
      </w:r>
      <w:r w:rsidR="00A501AF" w:rsidRPr="00527CE6">
        <w:t xml:space="preserve">of </w:t>
      </w:r>
      <w:r w:rsidR="008575A1" w:rsidRPr="00527CE6">
        <w:t>a mobile service number, a</w:t>
      </w:r>
      <w:r w:rsidR="00327A3A" w:rsidRPr="00527CE6">
        <w:t xml:space="preserve"> gaining</w:t>
      </w:r>
      <w:r w:rsidR="00610E3F" w:rsidRPr="00527CE6">
        <w:t xml:space="preserve"> </w:t>
      </w:r>
      <w:r w:rsidR="00327A3A" w:rsidRPr="00527CE6">
        <w:t>carriage service provider must</w:t>
      </w:r>
      <w:r w:rsidR="0023373C" w:rsidRPr="00527CE6">
        <w:t>, for all customers,</w:t>
      </w:r>
      <w:r w:rsidR="00327A3A" w:rsidRPr="00527CE6">
        <w:t xml:space="preserve"> </w:t>
      </w:r>
      <w:r w:rsidR="000D4BED" w:rsidRPr="00527CE6">
        <w:t>use</w:t>
      </w:r>
      <w:r w:rsidR="00327A3A" w:rsidRPr="00527CE6">
        <w:t xml:space="preserve"> </w:t>
      </w:r>
      <w:r w:rsidR="0094133C" w:rsidRPr="00527CE6">
        <w:t>at least one</w:t>
      </w:r>
      <w:r w:rsidR="000D4BED" w:rsidRPr="00527CE6">
        <w:t xml:space="preserve"> of the following</w:t>
      </w:r>
      <w:r w:rsidR="00327A3A" w:rsidRPr="00527CE6">
        <w:t xml:space="preserve"> </w:t>
      </w:r>
      <w:r w:rsidR="002F6311" w:rsidRPr="00527CE6">
        <w:t xml:space="preserve">additional </w:t>
      </w:r>
      <w:r w:rsidR="00327A3A" w:rsidRPr="00527CE6">
        <w:t>identity verification process</w:t>
      </w:r>
      <w:r w:rsidR="000D4BED" w:rsidRPr="00527CE6">
        <w:t>es</w:t>
      </w:r>
      <w:r w:rsidR="0060360B" w:rsidRPr="00527CE6">
        <w:t xml:space="preserve"> to confirm the </w:t>
      </w:r>
      <w:r w:rsidR="00467CF8" w:rsidRPr="00527CE6">
        <w:t>requesting person</w:t>
      </w:r>
      <w:r w:rsidR="0060360B" w:rsidRPr="00527CE6">
        <w:t xml:space="preserve"> </w:t>
      </w:r>
      <w:r w:rsidR="000B3FE0" w:rsidRPr="00527CE6">
        <w:t>is the rights of use holder of</w:t>
      </w:r>
      <w:r w:rsidR="0060360B" w:rsidRPr="00527CE6">
        <w:t xml:space="preserve"> </w:t>
      </w:r>
      <w:r w:rsidR="005D56BD" w:rsidRPr="00527CE6">
        <w:t xml:space="preserve">the </w:t>
      </w:r>
      <w:r w:rsidR="0060360B" w:rsidRPr="00527CE6">
        <w:t>mobile service number to be ported:</w:t>
      </w:r>
    </w:p>
    <w:p w14:paraId="4EB019F4" w14:textId="7AC6B182" w:rsidR="000D4BED" w:rsidRPr="00527CE6" w:rsidRDefault="000D4BED" w:rsidP="00507654">
      <w:pPr>
        <w:pStyle w:val="paragraphsub"/>
        <w:tabs>
          <w:tab w:val="clear" w:pos="1985"/>
        </w:tabs>
        <w:ind w:left="1701" w:hanging="567"/>
      </w:pPr>
      <w:r w:rsidRPr="00527CE6">
        <w:t>(a)</w:t>
      </w:r>
      <w:r w:rsidRPr="00527CE6">
        <w:tab/>
      </w:r>
      <w:bookmarkStart w:id="12" w:name="_Hlk32315002"/>
      <w:r w:rsidR="00E550CB" w:rsidRPr="00527CE6">
        <w:t xml:space="preserve">confirming the </w:t>
      </w:r>
      <w:r w:rsidR="00467CF8" w:rsidRPr="00527CE6">
        <w:t>requesting person</w:t>
      </w:r>
      <w:r w:rsidR="001B783A" w:rsidRPr="00527CE6">
        <w:t xml:space="preserve"> </w:t>
      </w:r>
      <w:r w:rsidR="00E550CB" w:rsidRPr="00527CE6">
        <w:t>has direct and immediate access to a mobile device used in association with the mobile service number to be ported</w:t>
      </w:r>
      <w:bookmarkEnd w:id="12"/>
      <w:r w:rsidR="00E550CB" w:rsidRPr="00527CE6">
        <w:t>;</w:t>
      </w:r>
    </w:p>
    <w:p w14:paraId="5DDB1F76" w14:textId="722B8316" w:rsidR="00CB76A6" w:rsidRPr="00527CE6" w:rsidRDefault="00CB76A6" w:rsidP="00E1352D">
      <w:pPr>
        <w:pStyle w:val="paragraph"/>
        <w:tabs>
          <w:tab w:val="clear" w:pos="1531"/>
        </w:tabs>
        <w:ind w:left="1701" w:firstLine="0"/>
        <w:rPr>
          <w:rFonts w:ascii="Arial" w:hAnsi="Arial" w:cs="Arial"/>
          <w:color w:val="000000" w:themeColor="text1"/>
        </w:rPr>
      </w:pPr>
      <w:r w:rsidRPr="00527CE6">
        <w:rPr>
          <w:sz w:val="18"/>
          <w:szCs w:val="16"/>
        </w:rPr>
        <w:t>Exampl</w:t>
      </w:r>
      <w:r w:rsidRPr="00D14532">
        <w:rPr>
          <w:sz w:val="18"/>
          <w:szCs w:val="16"/>
        </w:rPr>
        <w:t>e</w:t>
      </w:r>
      <w:r w:rsidR="00727E9C" w:rsidRPr="00D14532">
        <w:rPr>
          <w:sz w:val="18"/>
          <w:szCs w:val="16"/>
        </w:rPr>
        <w:t>s</w:t>
      </w:r>
      <w:r w:rsidRPr="00527CE6">
        <w:rPr>
          <w:sz w:val="18"/>
          <w:szCs w:val="16"/>
        </w:rPr>
        <w:t>:</w:t>
      </w:r>
    </w:p>
    <w:p w14:paraId="52CB4DE5" w14:textId="2F550B05" w:rsidR="009D546A" w:rsidRPr="00CF4370" w:rsidRDefault="004B167D" w:rsidP="00CF4370">
      <w:pPr>
        <w:pStyle w:val="paragraph"/>
        <w:numPr>
          <w:ilvl w:val="0"/>
          <w:numId w:val="23"/>
        </w:numPr>
        <w:tabs>
          <w:tab w:val="clear" w:pos="1531"/>
        </w:tabs>
        <w:ind w:left="2268" w:hanging="567"/>
        <w:rPr>
          <w:sz w:val="18"/>
          <w:szCs w:val="16"/>
        </w:rPr>
      </w:pPr>
      <w:r w:rsidRPr="00527CE6">
        <w:rPr>
          <w:sz w:val="18"/>
          <w:szCs w:val="16"/>
        </w:rPr>
        <w:t>i</w:t>
      </w:r>
      <w:r w:rsidR="009D546A" w:rsidRPr="00527CE6">
        <w:rPr>
          <w:sz w:val="18"/>
          <w:szCs w:val="16"/>
        </w:rPr>
        <w:t xml:space="preserve">n a retail environment, following </w:t>
      </w:r>
      <w:r w:rsidR="00CB76A6" w:rsidRPr="00527CE6">
        <w:rPr>
          <w:sz w:val="18"/>
          <w:szCs w:val="16"/>
        </w:rPr>
        <w:t xml:space="preserve">the </w:t>
      </w:r>
      <w:r w:rsidR="009D546A" w:rsidRPr="00527CE6">
        <w:rPr>
          <w:sz w:val="18"/>
          <w:szCs w:val="16"/>
        </w:rPr>
        <w:t xml:space="preserve">identification of the </w:t>
      </w:r>
      <w:r w:rsidR="00467CF8" w:rsidRPr="00527CE6">
        <w:rPr>
          <w:sz w:val="18"/>
          <w:szCs w:val="16"/>
        </w:rPr>
        <w:t>requesting person</w:t>
      </w:r>
      <w:r w:rsidR="00CB76A6" w:rsidRPr="00527CE6">
        <w:rPr>
          <w:sz w:val="18"/>
          <w:szCs w:val="16"/>
        </w:rPr>
        <w:t xml:space="preserve"> </w:t>
      </w:r>
      <w:r w:rsidR="00377C1E" w:rsidRPr="00527CE6">
        <w:rPr>
          <w:sz w:val="18"/>
          <w:szCs w:val="16"/>
        </w:rPr>
        <w:t xml:space="preserve">making </w:t>
      </w:r>
      <w:r w:rsidR="00CB76A6" w:rsidRPr="00527CE6">
        <w:rPr>
          <w:sz w:val="18"/>
          <w:szCs w:val="16"/>
        </w:rPr>
        <w:t xml:space="preserve">a port request </w:t>
      </w:r>
      <w:r w:rsidR="009D546A" w:rsidRPr="00527CE6">
        <w:rPr>
          <w:sz w:val="18"/>
          <w:szCs w:val="16"/>
        </w:rPr>
        <w:t>in person at a retail store</w:t>
      </w:r>
      <w:r w:rsidR="00CE6ADE">
        <w:rPr>
          <w:sz w:val="18"/>
          <w:szCs w:val="16"/>
        </w:rPr>
        <w:t xml:space="preserve"> </w:t>
      </w:r>
      <w:r w:rsidR="00CF4370">
        <w:rPr>
          <w:sz w:val="18"/>
          <w:szCs w:val="16"/>
        </w:rPr>
        <w:t>–</w:t>
      </w:r>
      <w:r w:rsidR="00CE6ADE">
        <w:rPr>
          <w:sz w:val="18"/>
          <w:szCs w:val="16"/>
        </w:rPr>
        <w:t xml:space="preserve"> </w:t>
      </w:r>
      <w:r w:rsidR="009D546A" w:rsidRPr="00CF4370">
        <w:rPr>
          <w:sz w:val="18"/>
          <w:szCs w:val="16"/>
        </w:rPr>
        <w:t xml:space="preserve">personnel representing the </w:t>
      </w:r>
      <w:r w:rsidR="00CB76A6" w:rsidRPr="00CF4370">
        <w:rPr>
          <w:sz w:val="18"/>
          <w:szCs w:val="16"/>
        </w:rPr>
        <w:t>g</w:t>
      </w:r>
      <w:r w:rsidR="009D546A" w:rsidRPr="00CF4370">
        <w:rPr>
          <w:sz w:val="18"/>
          <w:szCs w:val="16"/>
        </w:rPr>
        <w:t xml:space="preserve">aining </w:t>
      </w:r>
      <w:r w:rsidR="00CB76A6" w:rsidRPr="00CF4370">
        <w:rPr>
          <w:sz w:val="18"/>
          <w:szCs w:val="16"/>
        </w:rPr>
        <w:t xml:space="preserve">carriage service provider </w:t>
      </w:r>
      <w:r w:rsidR="009D546A" w:rsidRPr="00CF4370">
        <w:rPr>
          <w:sz w:val="18"/>
          <w:szCs w:val="16"/>
        </w:rPr>
        <w:t xml:space="preserve">call the mobile service number </w:t>
      </w:r>
      <w:r w:rsidR="00A35D0A" w:rsidRPr="00CF4370">
        <w:rPr>
          <w:sz w:val="18"/>
          <w:szCs w:val="16"/>
        </w:rPr>
        <w:t xml:space="preserve">whilst in store </w:t>
      </w:r>
      <w:r w:rsidR="009D546A" w:rsidRPr="00CF4370">
        <w:rPr>
          <w:sz w:val="18"/>
          <w:szCs w:val="16"/>
        </w:rPr>
        <w:t xml:space="preserve">and verify that the call has been received by the </w:t>
      </w:r>
      <w:r w:rsidR="00CB76A6" w:rsidRPr="00CF4370">
        <w:rPr>
          <w:sz w:val="18"/>
          <w:szCs w:val="16"/>
        </w:rPr>
        <w:t xml:space="preserve">customer’s </w:t>
      </w:r>
      <w:r w:rsidR="009D546A" w:rsidRPr="00CF4370">
        <w:rPr>
          <w:sz w:val="18"/>
          <w:szCs w:val="16"/>
        </w:rPr>
        <w:t>mobile device used in association with that mobile service number</w:t>
      </w:r>
      <w:r w:rsidR="00116D0C" w:rsidRPr="00CF4370">
        <w:rPr>
          <w:sz w:val="18"/>
          <w:szCs w:val="16"/>
        </w:rPr>
        <w:t>; or</w:t>
      </w:r>
    </w:p>
    <w:p w14:paraId="5C781B43" w14:textId="0D32B89B" w:rsidR="009D546A" w:rsidRPr="00527CE6" w:rsidRDefault="004B167D" w:rsidP="003E7BF2">
      <w:pPr>
        <w:pStyle w:val="paragraph"/>
        <w:numPr>
          <w:ilvl w:val="0"/>
          <w:numId w:val="23"/>
        </w:numPr>
        <w:tabs>
          <w:tab w:val="clear" w:pos="1531"/>
        </w:tabs>
        <w:ind w:left="2268" w:hanging="567"/>
        <w:rPr>
          <w:sz w:val="18"/>
          <w:szCs w:val="16"/>
        </w:rPr>
      </w:pPr>
      <w:r w:rsidRPr="00527CE6">
        <w:rPr>
          <w:sz w:val="18"/>
          <w:szCs w:val="16"/>
        </w:rPr>
        <w:t>i</w:t>
      </w:r>
      <w:r w:rsidR="009D546A" w:rsidRPr="00527CE6">
        <w:rPr>
          <w:sz w:val="18"/>
          <w:szCs w:val="16"/>
        </w:rPr>
        <w:t xml:space="preserve">n a call centre environment following identification of the </w:t>
      </w:r>
      <w:r w:rsidR="00467CF8" w:rsidRPr="00527CE6">
        <w:rPr>
          <w:sz w:val="18"/>
          <w:szCs w:val="16"/>
        </w:rPr>
        <w:t>requesting person</w:t>
      </w:r>
      <w:r w:rsidR="005F65DE" w:rsidRPr="00527CE6">
        <w:rPr>
          <w:sz w:val="18"/>
          <w:szCs w:val="16"/>
        </w:rPr>
        <w:t xml:space="preserve"> </w:t>
      </w:r>
      <w:r w:rsidR="009D546A" w:rsidRPr="00527CE6">
        <w:rPr>
          <w:sz w:val="18"/>
          <w:szCs w:val="16"/>
        </w:rPr>
        <w:t>by</w:t>
      </w:r>
      <w:r w:rsidR="00116D0C" w:rsidRPr="00527CE6">
        <w:rPr>
          <w:sz w:val="18"/>
          <w:szCs w:val="16"/>
        </w:rPr>
        <w:t xml:space="preserve"> </w:t>
      </w:r>
      <w:r w:rsidR="009D546A" w:rsidRPr="00527CE6">
        <w:rPr>
          <w:sz w:val="18"/>
          <w:szCs w:val="16"/>
        </w:rPr>
        <w:t>voice call</w:t>
      </w:r>
      <w:r w:rsidR="00560917" w:rsidRPr="00527CE6">
        <w:rPr>
          <w:sz w:val="18"/>
          <w:szCs w:val="16"/>
        </w:rPr>
        <w:t>:</w:t>
      </w:r>
    </w:p>
    <w:p w14:paraId="06BAC7B7" w14:textId="1F07AA56" w:rsidR="009D546A" w:rsidRPr="00527CE6" w:rsidRDefault="00ED603D" w:rsidP="00E1352D">
      <w:pPr>
        <w:pStyle w:val="paragraph"/>
        <w:numPr>
          <w:ilvl w:val="0"/>
          <w:numId w:val="38"/>
        </w:numPr>
        <w:tabs>
          <w:tab w:val="clear" w:pos="1531"/>
        </w:tabs>
        <w:ind w:left="2835" w:hanging="567"/>
        <w:rPr>
          <w:color w:val="000000" w:themeColor="text1"/>
          <w:sz w:val="18"/>
          <w:szCs w:val="18"/>
        </w:rPr>
      </w:pPr>
      <w:r w:rsidRPr="00527CE6">
        <w:rPr>
          <w:color w:val="000000" w:themeColor="text1"/>
          <w:sz w:val="18"/>
          <w:szCs w:val="18"/>
        </w:rPr>
        <w:t xml:space="preserve">in the case of a </w:t>
      </w:r>
      <w:r w:rsidR="009D546A" w:rsidRPr="00527CE6">
        <w:rPr>
          <w:color w:val="000000" w:themeColor="text1"/>
          <w:sz w:val="18"/>
          <w:szCs w:val="18"/>
        </w:rPr>
        <w:t>customer</w:t>
      </w:r>
      <w:r w:rsidRPr="00527CE6">
        <w:rPr>
          <w:color w:val="000000" w:themeColor="text1"/>
          <w:sz w:val="18"/>
          <w:szCs w:val="18"/>
        </w:rPr>
        <w:t xml:space="preserve"> </w:t>
      </w:r>
      <w:r w:rsidR="009D546A" w:rsidRPr="00527CE6">
        <w:rPr>
          <w:color w:val="000000" w:themeColor="text1"/>
          <w:sz w:val="18"/>
          <w:szCs w:val="18"/>
        </w:rPr>
        <w:t xml:space="preserve">— personnel representing the </w:t>
      </w:r>
      <w:r w:rsidR="00CB76A6" w:rsidRPr="00527CE6">
        <w:rPr>
          <w:color w:val="000000" w:themeColor="text1"/>
          <w:sz w:val="18"/>
          <w:szCs w:val="18"/>
        </w:rPr>
        <w:t>g</w:t>
      </w:r>
      <w:r w:rsidR="009D546A" w:rsidRPr="00527CE6">
        <w:rPr>
          <w:color w:val="000000" w:themeColor="text1"/>
          <w:sz w:val="18"/>
          <w:szCs w:val="18"/>
        </w:rPr>
        <w:t xml:space="preserve">aining </w:t>
      </w:r>
      <w:r w:rsidR="00CB76A6" w:rsidRPr="00527CE6">
        <w:rPr>
          <w:color w:val="000000" w:themeColor="text1"/>
          <w:sz w:val="18"/>
          <w:szCs w:val="18"/>
        </w:rPr>
        <w:t xml:space="preserve">carriage service provider </w:t>
      </w:r>
      <w:r w:rsidR="009D546A" w:rsidRPr="00527CE6">
        <w:rPr>
          <w:color w:val="000000" w:themeColor="text1"/>
          <w:sz w:val="18"/>
          <w:szCs w:val="18"/>
        </w:rPr>
        <w:t xml:space="preserve">calling back the mobile service number to be </w:t>
      </w:r>
      <w:r w:rsidR="00CB76A6" w:rsidRPr="00527CE6">
        <w:rPr>
          <w:color w:val="000000" w:themeColor="text1"/>
          <w:sz w:val="18"/>
          <w:szCs w:val="18"/>
        </w:rPr>
        <w:t>p</w:t>
      </w:r>
      <w:r w:rsidR="009D546A" w:rsidRPr="00527CE6">
        <w:rPr>
          <w:color w:val="000000" w:themeColor="text1"/>
          <w:sz w:val="18"/>
          <w:szCs w:val="18"/>
        </w:rPr>
        <w:t>orted</w:t>
      </w:r>
      <w:r w:rsidR="00BB414D" w:rsidRPr="00527CE6">
        <w:rPr>
          <w:color w:val="000000" w:themeColor="text1"/>
          <w:sz w:val="18"/>
          <w:szCs w:val="18"/>
        </w:rPr>
        <w:t>,</w:t>
      </w:r>
      <w:r w:rsidR="009D546A" w:rsidRPr="00527CE6">
        <w:rPr>
          <w:color w:val="000000" w:themeColor="text1"/>
          <w:sz w:val="18"/>
          <w:szCs w:val="18"/>
        </w:rPr>
        <w:t xml:space="preserve"> to confirm that the person initiating the request is the </w:t>
      </w:r>
      <w:r w:rsidR="00CB76A6" w:rsidRPr="00527CE6">
        <w:rPr>
          <w:color w:val="000000" w:themeColor="text1"/>
          <w:sz w:val="18"/>
          <w:szCs w:val="18"/>
        </w:rPr>
        <w:t xml:space="preserve">rights of use </w:t>
      </w:r>
      <w:r w:rsidR="009D546A" w:rsidRPr="00527CE6">
        <w:rPr>
          <w:color w:val="000000" w:themeColor="text1"/>
          <w:sz w:val="18"/>
          <w:szCs w:val="18"/>
        </w:rPr>
        <w:t xml:space="preserve">holder; </w:t>
      </w:r>
      <w:r w:rsidR="00CB76A6" w:rsidRPr="00527CE6">
        <w:rPr>
          <w:color w:val="000000" w:themeColor="text1"/>
          <w:sz w:val="18"/>
          <w:szCs w:val="18"/>
        </w:rPr>
        <w:t>or</w:t>
      </w:r>
    </w:p>
    <w:p w14:paraId="53EA4D6F" w14:textId="041E75CB" w:rsidR="004B032E" w:rsidRPr="00527CE6" w:rsidRDefault="00ED603D">
      <w:pPr>
        <w:pStyle w:val="paragraph"/>
        <w:numPr>
          <w:ilvl w:val="0"/>
          <w:numId w:val="38"/>
        </w:numPr>
        <w:tabs>
          <w:tab w:val="clear" w:pos="1531"/>
        </w:tabs>
        <w:ind w:left="2835" w:hanging="567"/>
        <w:rPr>
          <w:color w:val="000000" w:themeColor="text1"/>
        </w:rPr>
      </w:pPr>
      <w:r w:rsidRPr="00527CE6">
        <w:rPr>
          <w:color w:val="000000" w:themeColor="text1"/>
          <w:sz w:val="18"/>
          <w:szCs w:val="18"/>
        </w:rPr>
        <w:t xml:space="preserve">in the case of an </w:t>
      </w:r>
      <w:r w:rsidR="009D546A" w:rsidRPr="00527CE6">
        <w:rPr>
          <w:color w:val="000000" w:themeColor="text1"/>
          <w:sz w:val="18"/>
          <w:szCs w:val="18"/>
        </w:rPr>
        <w:t>authorised representative of the customer</w:t>
      </w:r>
      <w:r w:rsidRPr="00527CE6">
        <w:rPr>
          <w:color w:val="000000" w:themeColor="text1"/>
          <w:sz w:val="18"/>
          <w:szCs w:val="18"/>
        </w:rPr>
        <w:t xml:space="preserve"> </w:t>
      </w:r>
      <w:r w:rsidR="009D546A" w:rsidRPr="00527CE6">
        <w:rPr>
          <w:color w:val="000000" w:themeColor="text1"/>
          <w:sz w:val="18"/>
          <w:szCs w:val="18"/>
        </w:rPr>
        <w:t>—</w:t>
      </w:r>
      <w:r w:rsidRPr="00527CE6">
        <w:rPr>
          <w:color w:val="000000" w:themeColor="text1"/>
          <w:sz w:val="18"/>
          <w:szCs w:val="18"/>
        </w:rPr>
        <w:t xml:space="preserve"> </w:t>
      </w:r>
      <w:r w:rsidR="009D546A" w:rsidRPr="00527CE6">
        <w:rPr>
          <w:color w:val="000000" w:themeColor="text1"/>
          <w:sz w:val="18"/>
          <w:szCs w:val="18"/>
        </w:rPr>
        <w:t xml:space="preserve">personnel representing the </w:t>
      </w:r>
      <w:r w:rsidR="00CB76A6" w:rsidRPr="00527CE6">
        <w:rPr>
          <w:color w:val="000000" w:themeColor="text1"/>
          <w:sz w:val="18"/>
          <w:szCs w:val="18"/>
        </w:rPr>
        <w:t xml:space="preserve">gaining carriage service provider </w:t>
      </w:r>
      <w:r w:rsidR="009D546A" w:rsidRPr="00527CE6">
        <w:rPr>
          <w:color w:val="000000" w:themeColor="text1"/>
          <w:sz w:val="18"/>
          <w:szCs w:val="18"/>
        </w:rPr>
        <w:t xml:space="preserve">calling back the mobile service number to be </w:t>
      </w:r>
      <w:r w:rsidR="00CB76A6" w:rsidRPr="00527CE6">
        <w:rPr>
          <w:color w:val="000000" w:themeColor="text1"/>
          <w:sz w:val="18"/>
          <w:szCs w:val="18"/>
        </w:rPr>
        <w:t>p</w:t>
      </w:r>
      <w:r w:rsidR="009D546A" w:rsidRPr="00527CE6">
        <w:rPr>
          <w:color w:val="000000" w:themeColor="text1"/>
          <w:sz w:val="18"/>
          <w:szCs w:val="18"/>
        </w:rPr>
        <w:t>orted</w:t>
      </w:r>
      <w:r w:rsidR="00423312" w:rsidRPr="00527CE6">
        <w:rPr>
          <w:color w:val="000000" w:themeColor="text1"/>
          <w:sz w:val="18"/>
          <w:szCs w:val="18"/>
        </w:rPr>
        <w:t>,</w:t>
      </w:r>
      <w:r w:rsidR="009D546A" w:rsidRPr="00527CE6">
        <w:rPr>
          <w:color w:val="000000" w:themeColor="text1"/>
          <w:sz w:val="18"/>
          <w:szCs w:val="18"/>
        </w:rPr>
        <w:t xml:space="preserve"> to confirm that the person initiating the request is the authorised representative of the customer</w:t>
      </w:r>
      <w:r w:rsidR="004B032E" w:rsidRPr="00527CE6">
        <w:rPr>
          <w:color w:val="000000" w:themeColor="text1"/>
          <w:sz w:val="18"/>
          <w:szCs w:val="18"/>
        </w:rPr>
        <w:t>; or</w:t>
      </w:r>
    </w:p>
    <w:p w14:paraId="4F9CC436" w14:textId="4297646E" w:rsidR="009D546A" w:rsidRPr="00D14532" w:rsidRDefault="004B032E" w:rsidP="003E7BF2">
      <w:pPr>
        <w:pStyle w:val="paragraph"/>
        <w:numPr>
          <w:ilvl w:val="0"/>
          <w:numId w:val="23"/>
        </w:numPr>
        <w:tabs>
          <w:tab w:val="clear" w:pos="1531"/>
        </w:tabs>
        <w:ind w:left="2268" w:hanging="567"/>
        <w:rPr>
          <w:sz w:val="18"/>
          <w:szCs w:val="18"/>
        </w:rPr>
      </w:pPr>
      <w:r w:rsidRPr="00D14532">
        <w:rPr>
          <w:sz w:val="18"/>
          <w:szCs w:val="18"/>
        </w:rPr>
        <w:t xml:space="preserve">in an online environment following the identification of the requesting person </w:t>
      </w:r>
      <w:r w:rsidRPr="00D14532">
        <w:rPr>
          <w:color w:val="000000"/>
          <w:sz w:val="18"/>
          <w:szCs w:val="18"/>
        </w:rPr>
        <w:t>—personnel representing the gaining carriage service provider</w:t>
      </w:r>
      <w:r w:rsidRPr="00D14532">
        <w:rPr>
          <w:sz w:val="18"/>
          <w:szCs w:val="18"/>
        </w:rPr>
        <w:t xml:space="preserve"> receiving confirmation that the customer, or the customer’s authorised representative, has received a unique verification code.</w:t>
      </w:r>
    </w:p>
    <w:p w14:paraId="5D566D8A" w14:textId="65288AEB" w:rsidR="006F6DA2" w:rsidRPr="00527CE6" w:rsidRDefault="0073721C" w:rsidP="006C3AD4">
      <w:pPr>
        <w:pStyle w:val="paragraphsub"/>
        <w:tabs>
          <w:tab w:val="clear" w:pos="1985"/>
        </w:tabs>
        <w:ind w:left="1701" w:hanging="567"/>
      </w:pPr>
      <w:r w:rsidRPr="00527CE6">
        <w:lastRenderedPageBreak/>
        <w:t>(</w:t>
      </w:r>
      <w:r w:rsidR="00507654" w:rsidRPr="00527CE6">
        <w:t>b</w:t>
      </w:r>
      <w:r w:rsidRPr="00527CE6">
        <w:t xml:space="preserve">) </w:t>
      </w:r>
      <w:r w:rsidR="00FD7658" w:rsidRPr="00527CE6">
        <w:tab/>
      </w:r>
      <w:r w:rsidR="000D4BED" w:rsidRPr="00527CE6">
        <w:t>use of a unique verification code</w:t>
      </w:r>
      <w:r w:rsidR="006F6DA2" w:rsidRPr="00527CE6">
        <w:t>:</w:t>
      </w:r>
    </w:p>
    <w:p w14:paraId="177F83D9" w14:textId="371DDB37" w:rsidR="006F6DA2" w:rsidRPr="00527CE6" w:rsidRDefault="006F6DA2" w:rsidP="00E1352D">
      <w:pPr>
        <w:pStyle w:val="paragraphsub"/>
        <w:tabs>
          <w:tab w:val="clear" w:pos="1985"/>
        </w:tabs>
        <w:ind w:left="2268" w:hanging="567"/>
      </w:pPr>
      <w:r w:rsidRPr="00527CE6">
        <w:t>(i)</w:t>
      </w:r>
      <w:r w:rsidRPr="00527CE6">
        <w:tab/>
      </w:r>
      <w:r w:rsidR="00F71AAF" w:rsidRPr="00527CE6">
        <w:t xml:space="preserve">which </w:t>
      </w:r>
      <w:r w:rsidR="00BE5C30" w:rsidRPr="00527CE6">
        <w:t>is sent</w:t>
      </w:r>
      <w:r w:rsidR="000D4BED" w:rsidRPr="00527CE6">
        <w:t xml:space="preserve"> </w:t>
      </w:r>
      <w:r w:rsidR="00FA489F" w:rsidRPr="00527CE6">
        <w:t xml:space="preserve">by the </w:t>
      </w:r>
      <w:r w:rsidR="001A1A53" w:rsidRPr="00527CE6">
        <w:t>gaining carriage service provider</w:t>
      </w:r>
      <w:r w:rsidR="00FA489F" w:rsidRPr="00527CE6">
        <w:t xml:space="preserve"> </w:t>
      </w:r>
      <w:r w:rsidR="003613B1" w:rsidRPr="00527CE6">
        <w:t>via SMS</w:t>
      </w:r>
      <w:r w:rsidR="000F1FBB">
        <w:t xml:space="preserve"> message</w:t>
      </w:r>
      <w:r w:rsidR="003613B1" w:rsidRPr="00527CE6">
        <w:t xml:space="preserve"> </w:t>
      </w:r>
      <w:r w:rsidR="000D4BED" w:rsidRPr="00527CE6">
        <w:t>to the mobile service number which is to be ported</w:t>
      </w:r>
      <w:r w:rsidRPr="00527CE6">
        <w:t>;</w:t>
      </w:r>
      <w:r w:rsidR="00467294" w:rsidRPr="00527CE6">
        <w:t xml:space="preserve"> and</w:t>
      </w:r>
    </w:p>
    <w:p w14:paraId="54E084CC" w14:textId="6F3D17B7" w:rsidR="000D4BED" w:rsidRPr="00356D2F" w:rsidRDefault="006F6DA2" w:rsidP="003E7BF2">
      <w:pPr>
        <w:pStyle w:val="paragraphsub"/>
        <w:tabs>
          <w:tab w:val="clear" w:pos="1985"/>
        </w:tabs>
        <w:ind w:left="2268" w:hanging="567"/>
      </w:pPr>
      <w:r w:rsidRPr="00527CE6">
        <w:t>(ii)</w:t>
      </w:r>
      <w:r w:rsidRPr="00527CE6">
        <w:tab/>
      </w:r>
      <w:r w:rsidR="00BB5993" w:rsidRPr="00527CE6">
        <w:t xml:space="preserve">from </w:t>
      </w:r>
      <w:r w:rsidR="002207A0" w:rsidRPr="00527CE6">
        <w:t>whi</w:t>
      </w:r>
      <w:r w:rsidR="0085197C" w:rsidRPr="00527CE6">
        <w:t>ch</w:t>
      </w:r>
      <w:r w:rsidR="00F60885" w:rsidRPr="00527CE6">
        <w:t xml:space="preserve"> </w:t>
      </w:r>
      <w:r w:rsidR="000E2AC8" w:rsidRPr="00527CE6">
        <w:t xml:space="preserve">the gaining carriage service provider </w:t>
      </w:r>
      <w:r w:rsidR="00520D92" w:rsidRPr="00527CE6">
        <w:t>receives</w:t>
      </w:r>
      <w:r w:rsidR="00F82DD7" w:rsidRPr="00527CE6">
        <w:t xml:space="preserve"> immediate</w:t>
      </w:r>
      <w:r w:rsidR="00520D92" w:rsidRPr="00527CE6">
        <w:t xml:space="preserve"> confirmation </w:t>
      </w:r>
      <w:r w:rsidR="00232241" w:rsidRPr="00527CE6">
        <w:t>via SMS</w:t>
      </w:r>
      <w:r w:rsidR="000F1FBB">
        <w:t xml:space="preserve"> message</w:t>
      </w:r>
      <w:r w:rsidR="00232241" w:rsidRPr="00527CE6">
        <w:t xml:space="preserve"> </w:t>
      </w:r>
      <w:r w:rsidR="00520D92" w:rsidRPr="00527CE6">
        <w:t xml:space="preserve">that </w:t>
      </w:r>
      <w:r w:rsidR="00472A19" w:rsidRPr="00527CE6">
        <w:t xml:space="preserve">the </w:t>
      </w:r>
      <w:r w:rsidR="006357EA" w:rsidRPr="00527CE6">
        <w:t>customer</w:t>
      </w:r>
      <w:r w:rsidR="00FF7C59" w:rsidRPr="00527CE6">
        <w:t>, or the customer’s authorised representative,</w:t>
      </w:r>
      <w:r w:rsidR="00F47302" w:rsidRPr="00527CE6">
        <w:t xml:space="preserve"> has received the </w:t>
      </w:r>
      <w:r w:rsidR="00B95117" w:rsidRPr="00527CE6">
        <w:t xml:space="preserve">unique </w:t>
      </w:r>
      <w:r w:rsidR="00A37BB0" w:rsidRPr="00527CE6">
        <w:t xml:space="preserve">verification </w:t>
      </w:r>
      <w:r w:rsidR="00F47302" w:rsidRPr="00356D2F">
        <w:t>code</w:t>
      </w:r>
      <w:r w:rsidR="006C3AD4" w:rsidRPr="00356D2F">
        <w:t>;</w:t>
      </w:r>
      <w:r w:rsidR="005612F5" w:rsidRPr="00356D2F">
        <w:t xml:space="preserve"> </w:t>
      </w:r>
    </w:p>
    <w:p w14:paraId="544C3BC7" w14:textId="10D9C44C" w:rsidR="00EC4C03" w:rsidRPr="00D14532" w:rsidRDefault="00321136" w:rsidP="00321136">
      <w:pPr>
        <w:pStyle w:val="paragraphsub"/>
        <w:tabs>
          <w:tab w:val="clear" w:pos="1985"/>
        </w:tabs>
        <w:ind w:left="2268" w:hanging="567"/>
        <w:rPr>
          <w:sz w:val="18"/>
        </w:rPr>
      </w:pPr>
      <w:r w:rsidRPr="00D14532">
        <w:rPr>
          <w:sz w:val="18"/>
        </w:rPr>
        <w:t>Note:</w:t>
      </w:r>
      <w:r>
        <w:rPr>
          <w:sz w:val="18"/>
        </w:rPr>
        <w:tab/>
        <w:t xml:space="preserve">Providers may also indicate what a customer should do if they receive an SMS </w:t>
      </w:r>
      <w:r w:rsidR="000F1FBB">
        <w:rPr>
          <w:sz w:val="18"/>
        </w:rPr>
        <w:t xml:space="preserve">message </w:t>
      </w:r>
      <w:r>
        <w:rPr>
          <w:sz w:val="18"/>
        </w:rPr>
        <w:t>and did not request a port.</w:t>
      </w:r>
      <w:r w:rsidRPr="00D14532">
        <w:rPr>
          <w:sz w:val="18"/>
        </w:rPr>
        <w:t xml:space="preserve"> </w:t>
      </w:r>
    </w:p>
    <w:p w14:paraId="5182D1AF" w14:textId="5F5B800C" w:rsidR="000D4BED" w:rsidRPr="00527CE6" w:rsidRDefault="000D4BED" w:rsidP="006C3AD4">
      <w:pPr>
        <w:pStyle w:val="paragraphsub"/>
        <w:tabs>
          <w:tab w:val="clear" w:pos="1985"/>
        </w:tabs>
        <w:ind w:left="1701" w:hanging="567"/>
      </w:pPr>
      <w:r w:rsidRPr="00527CE6">
        <w:t>(</w:t>
      </w:r>
      <w:r w:rsidR="007D3B8A" w:rsidRPr="00527CE6">
        <w:t>c</w:t>
      </w:r>
      <w:r w:rsidRPr="00527CE6">
        <w:t>)</w:t>
      </w:r>
      <w:r w:rsidRPr="00527CE6">
        <w:tab/>
        <w:t xml:space="preserve">use </w:t>
      </w:r>
      <w:r w:rsidR="00DA0C07" w:rsidRPr="00527CE6">
        <w:t xml:space="preserve">of one or </w:t>
      </w:r>
      <w:r w:rsidR="006357EA" w:rsidRPr="00527CE6">
        <w:t xml:space="preserve">more </w:t>
      </w:r>
      <w:r w:rsidR="00DA0C07" w:rsidRPr="00527CE6">
        <w:t>forms of</w:t>
      </w:r>
      <w:r w:rsidRPr="00527CE6">
        <w:t xml:space="preserve"> biometric data;</w:t>
      </w:r>
      <w:r w:rsidR="00DA0C07" w:rsidRPr="00527CE6">
        <w:t xml:space="preserve"> </w:t>
      </w:r>
      <w:r w:rsidR="00727E9C" w:rsidRPr="00D14532">
        <w:t>or</w:t>
      </w:r>
    </w:p>
    <w:p w14:paraId="0111DCAF" w14:textId="32A78E39" w:rsidR="00507654" w:rsidRPr="00527CE6" w:rsidRDefault="00507654" w:rsidP="00507654">
      <w:pPr>
        <w:pStyle w:val="paragraphsub"/>
        <w:tabs>
          <w:tab w:val="clear" w:pos="1985"/>
        </w:tabs>
        <w:ind w:left="1701" w:hanging="567"/>
      </w:pPr>
      <w:r w:rsidRPr="00527CE6">
        <w:t>(d)</w:t>
      </w:r>
      <w:r w:rsidRPr="00527CE6">
        <w:tab/>
        <w:t xml:space="preserve">where a large business customer is porting mobile service numbers under a contract with a mobile carriage service provider – </w:t>
      </w:r>
      <w:bookmarkStart w:id="13" w:name="_Hlk32315924"/>
      <w:r w:rsidRPr="00527CE6">
        <w:t xml:space="preserve">confirming the requesting person is the authorised representative of the large business customer and that </w:t>
      </w:r>
      <w:r w:rsidR="00356D2F">
        <w:t>the requesting</w:t>
      </w:r>
      <w:r w:rsidR="00FF2D56">
        <w:t xml:space="preserve"> </w:t>
      </w:r>
      <w:r w:rsidRPr="00527CE6">
        <w:t>person has direct and immediate access to the primary number associated with the large business customer</w:t>
      </w:r>
      <w:bookmarkEnd w:id="13"/>
      <w:r w:rsidR="00FF2D56">
        <w:t>.</w:t>
      </w:r>
      <w:r w:rsidRPr="00527CE6">
        <w:t xml:space="preserve"> </w:t>
      </w:r>
    </w:p>
    <w:p w14:paraId="6FA5574B" w14:textId="279DA3C5" w:rsidR="00471062" w:rsidRPr="00527CE6" w:rsidRDefault="00255DE4" w:rsidP="00255DE4">
      <w:pPr>
        <w:pStyle w:val="subsection"/>
        <w:tabs>
          <w:tab w:val="clear" w:pos="1021"/>
        </w:tabs>
        <w:ind w:hanging="567"/>
      </w:pPr>
      <w:r w:rsidRPr="00527CE6">
        <w:t>(3)</w:t>
      </w:r>
      <w:r w:rsidRPr="00527CE6">
        <w:tab/>
      </w:r>
      <w:r w:rsidR="00F07D00" w:rsidRPr="00527CE6">
        <w:t xml:space="preserve">Where the </w:t>
      </w:r>
      <w:r w:rsidR="001A1A53" w:rsidRPr="00527CE6">
        <w:t>gaining carriage service provider</w:t>
      </w:r>
      <w:r w:rsidR="00F07D00" w:rsidRPr="00527CE6">
        <w:t xml:space="preserve"> </w:t>
      </w:r>
      <w:r w:rsidR="00DF7B84" w:rsidRPr="00527CE6">
        <w:t xml:space="preserve">is unable to confirm </w:t>
      </w:r>
      <w:r w:rsidR="00D17E3A" w:rsidRPr="00527CE6">
        <w:t xml:space="preserve">that </w:t>
      </w:r>
      <w:r w:rsidR="00F14314" w:rsidRPr="00527CE6">
        <w:t>the</w:t>
      </w:r>
      <w:r w:rsidR="00DF7B84" w:rsidRPr="00527CE6">
        <w:t xml:space="preserve"> </w:t>
      </w:r>
      <w:r w:rsidR="00467CF8" w:rsidRPr="00527CE6">
        <w:t>requesting person</w:t>
      </w:r>
      <w:r w:rsidR="00DF7B84" w:rsidRPr="00527CE6">
        <w:t xml:space="preserve"> is the rights of use holder of the mobile service number to be ported through </w:t>
      </w:r>
      <w:r w:rsidR="00F07D00" w:rsidRPr="00527CE6">
        <w:t xml:space="preserve">one </w:t>
      </w:r>
      <w:r w:rsidR="008A266B" w:rsidRPr="00D14532">
        <w:t>of the</w:t>
      </w:r>
      <w:r w:rsidR="00F07D00" w:rsidRPr="00527CE6">
        <w:t xml:space="preserve"> processes </w:t>
      </w:r>
      <w:r w:rsidR="0036236B" w:rsidRPr="00527CE6">
        <w:t xml:space="preserve">described </w:t>
      </w:r>
      <w:r w:rsidR="00F07D00" w:rsidRPr="00527CE6">
        <w:t xml:space="preserve">in </w:t>
      </w:r>
      <w:r w:rsidR="00DC2CE5" w:rsidRPr="00527CE6">
        <w:t>sub</w:t>
      </w:r>
      <w:r w:rsidR="004D7648" w:rsidRPr="00527CE6">
        <w:t xml:space="preserve">section </w:t>
      </w:r>
      <w:r w:rsidR="00DC2CE5" w:rsidRPr="00527CE6">
        <w:t>(</w:t>
      </w:r>
      <w:r w:rsidR="00214D0A" w:rsidRPr="00527CE6">
        <w:t>2</w:t>
      </w:r>
      <w:r w:rsidR="00DC2CE5" w:rsidRPr="00527CE6">
        <w:t>)</w:t>
      </w:r>
      <w:r w:rsidR="004D7648" w:rsidRPr="00527CE6">
        <w:t>,</w:t>
      </w:r>
      <w:r w:rsidR="00F07D00" w:rsidRPr="00527CE6">
        <w:t xml:space="preserve"> </w:t>
      </w:r>
      <w:r w:rsidR="0036236B" w:rsidRPr="00527CE6">
        <w:t xml:space="preserve">the </w:t>
      </w:r>
      <w:r w:rsidR="001A1A53" w:rsidRPr="00527CE6">
        <w:t>gaining carriage service provider</w:t>
      </w:r>
      <w:r w:rsidR="00F07D00" w:rsidRPr="00527CE6">
        <w:t xml:space="preserve"> </w:t>
      </w:r>
      <w:r w:rsidR="00590058" w:rsidRPr="00527CE6">
        <w:t xml:space="preserve">may </w:t>
      </w:r>
      <w:r w:rsidR="00803524" w:rsidRPr="00527CE6">
        <w:t xml:space="preserve">undertake an identity </w:t>
      </w:r>
      <w:r w:rsidR="00F14314" w:rsidRPr="00527CE6">
        <w:t xml:space="preserve">verification </w:t>
      </w:r>
      <w:r w:rsidR="0004111D">
        <w:t xml:space="preserve">to confirm that the requesting person is the rights of use holder of the mobile service number by </w:t>
      </w:r>
      <w:r w:rsidR="00803524" w:rsidRPr="00527CE6">
        <w:t>using</w:t>
      </w:r>
      <w:r w:rsidR="00616CD8" w:rsidRPr="00527CE6">
        <w:t xml:space="preserve"> </w:t>
      </w:r>
      <w:r w:rsidR="00C70D5C" w:rsidRPr="00527CE6">
        <w:t>one of the following processes</w:t>
      </w:r>
      <w:r w:rsidR="00AB15F2" w:rsidRPr="00527CE6">
        <w:t>:</w:t>
      </w:r>
    </w:p>
    <w:p w14:paraId="027B5532" w14:textId="464EE7DF" w:rsidR="00F07D00" w:rsidRPr="00527CE6" w:rsidRDefault="00471062" w:rsidP="00CB1B53">
      <w:pPr>
        <w:pStyle w:val="subsection"/>
        <w:tabs>
          <w:tab w:val="clear" w:pos="1021"/>
        </w:tabs>
        <w:ind w:left="1701" w:hanging="567"/>
      </w:pPr>
      <w:r w:rsidRPr="00527CE6">
        <w:t>(a)</w:t>
      </w:r>
      <w:r w:rsidR="00803524" w:rsidRPr="00527CE6">
        <w:t xml:space="preserve"> </w:t>
      </w:r>
      <w:r w:rsidRPr="00527CE6">
        <w:tab/>
      </w:r>
      <w:r w:rsidR="00BF29D9" w:rsidRPr="00527CE6">
        <w:t xml:space="preserve">using </w:t>
      </w:r>
      <w:r w:rsidR="00803524" w:rsidRPr="00527CE6">
        <w:t xml:space="preserve">category A </w:t>
      </w:r>
      <w:r w:rsidR="00255DE4" w:rsidRPr="00527CE6">
        <w:t xml:space="preserve">documents </w:t>
      </w:r>
      <w:r w:rsidR="00803524" w:rsidRPr="00527CE6">
        <w:t>and</w:t>
      </w:r>
      <w:r w:rsidR="00255DE4" w:rsidRPr="00527CE6">
        <w:t>/or</w:t>
      </w:r>
      <w:r w:rsidR="00803524" w:rsidRPr="00527CE6">
        <w:t xml:space="preserve"> category B documents</w:t>
      </w:r>
      <w:r w:rsidR="00AC5E77" w:rsidRPr="00527CE6">
        <w:t xml:space="preserve"> via the process described in Schedule 1</w:t>
      </w:r>
      <w:r w:rsidR="00EA5F9C" w:rsidRPr="00527CE6">
        <w:t>; or</w:t>
      </w:r>
    </w:p>
    <w:p w14:paraId="7A7A17DB" w14:textId="28267816" w:rsidR="00471062" w:rsidRPr="00527CE6" w:rsidRDefault="00AB15F2" w:rsidP="00CB1B53">
      <w:pPr>
        <w:pStyle w:val="subsection"/>
        <w:tabs>
          <w:tab w:val="clear" w:pos="1021"/>
        </w:tabs>
        <w:ind w:left="1701" w:hanging="567"/>
      </w:pPr>
      <w:r w:rsidRPr="00527CE6">
        <w:t xml:space="preserve">(b) </w:t>
      </w:r>
      <w:r w:rsidR="00CB1B53" w:rsidRPr="00527CE6">
        <w:tab/>
      </w:r>
      <w:r w:rsidR="00EA5F9C" w:rsidRPr="00527CE6">
        <w:t xml:space="preserve">using </w:t>
      </w:r>
      <w:r w:rsidR="0086094A" w:rsidRPr="00527CE6">
        <w:t xml:space="preserve">a government online verification </w:t>
      </w:r>
      <w:r w:rsidR="00E41519" w:rsidRPr="00527CE6">
        <w:t>service</w:t>
      </w:r>
      <w:r w:rsidR="0086094A" w:rsidRPr="00527CE6">
        <w:t>.</w:t>
      </w:r>
    </w:p>
    <w:p w14:paraId="13D36E5F" w14:textId="6AEB6C6F" w:rsidR="000E14BF" w:rsidRPr="00527CE6" w:rsidRDefault="00CB1B53" w:rsidP="00FF2D56">
      <w:pPr>
        <w:pStyle w:val="subsection"/>
        <w:tabs>
          <w:tab w:val="clear" w:pos="1021"/>
        </w:tabs>
        <w:ind w:left="1843" w:hanging="709"/>
        <w:rPr>
          <w:sz w:val="18"/>
          <w:szCs w:val="16"/>
        </w:rPr>
      </w:pPr>
      <w:r w:rsidRPr="00527CE6">
        <w:rPr>
          <w:sz w:val="18"/>
          <w:szCs w:val="16"/>
        </w:rPr>
        <w:t>Example</w:t>
      </w:r>
      <w:r w:rsidR="000E14BF" w:rsidRPr="00527CE6">
        <w:rPr>
          <w:sz w:val="18"/>
          <w:szCs w:val="16"/>
        </w:rPr>
        <w:t xml:space="preserve">: </w:t>
      </w:r>
      <w:r w:rsidRPr="00527CE6">
        <w:rPr>
          <w:sz w:val="18"/>
          <w:szCs w:val="16"/>
        </w:rPr>
        <w:t>W</w:t>
      </w:r>
      <w:r w:rsidR="000E14BF" w:rsidRPr="00527CE6">
        <w:rPr>
          <w:sz w:val="18"/>
          <w:szCs w:val="16"/>
        </w:rPr>
        <w:t>here the mobile device associated with the mobile number to be ported is lost</w:t>
      </w:r>
      <w:r w:rsidR="00712F0E" w:rsidRPr="00527CE6">
        <w:rPr>
          <w:sz w:val="18"/>
          <w:szCs w:val="16"/>
        </w:rPr>
        <w:t xml:space="preserve">, a </w:t>
      </w:r>
      <w:r w:rsidR="001A1A53" w:rsidRPr="00527CE6">
        <w:rPr>
          <w:sz w:val="18"/>
          <w:szCs w:val="16"/>
        </w:rPr>
        <w:t>gaining carriage service provider</w:t>
      </w:r>
      <w:r w:rsidR="00712F0E" w:rsidRPr="00527CE6">
        <w:rPr>
          <w:sz w:val="18"/>
          <w:szCs w:val="16"/>
        </w:rPr>
        <w:t xml:space="preserve"> may not be able to confirm that the requesting person is the rights of use holder of the mobile service number to be ported through one or more of the processes described in subsection (</w:t>
      </w:r>
      <w:r w:rsidR="009B1025" w:rsidRPr="00527CE6">
        <w:rPr>
          <w:sz w:val="18"/>
          <w:szCs w:val="16"/>
        </w:rPr>
        <w:t>2</w:t>
      </w:r>
      <w:r w:rsidR="00712F0E" w:rsidRPr="00527CE6">
        <w:rPr>
          <w:sz w:val="18"/>
          <w:szCs w:val="16"/>
        </w:rPr>
        <w:t>).</w:t>
      </w:r>
    </w:p>
    <w:p w14:paraId="285F2AB1" w14:textId="5FB27979" w:rsidR="0010745A" w:rsidRPr="00527CE6" w:rsidRDefault="000F15AE" w:rsidP="003E7BF2">
      <w:pPr>
        <w:pStyle w:val="tabletext0"/>
        <w:shd w:val="clear" w:color="auto" w:fill="FFFFFF"/>
        <w:spacing w:before="60" w:beforeAutospacing="0" w:after="60" w:afterAutospacing="0" w:line="240" w:lineRule="atLeast"/>
        <w:ind w:left="1134" w:hanging="567"/>
        <w:jc w:val="both"/>
        <w:rPr>
          <w:color w:val="000000"/>
          <w:sz w:val="22"/>
          <w:szCs w:val="22"/>
        </w:rPr>
      </w:pPr>
      <w:r w:rsidRPr="00527CE6">
        <w:t xml:space="preserve"> </w:t>
      </w:r>
      <w:r w:rsidR="0010745A" w:rsidRPr="00527CE6">
        <w:t>(</w:t>
      </w:r>
      <w:r w:rsidR="00214D0A" w:rsidRPr="00527CE6">
        <w:t>4</w:t>
      </w:r>
      <w:r w:rsidR="0010745A" w:rsidRPr="00527CE6">
        <w:t xml:space="preserve">) </w:t>
      </w:r>
      <w:bookmarkStart w:id="14" w:name="_Hlk32346241"/>
      <w:r w:rsidR="0010745A" w:rsidRPr="00527CE6">
        <w:tab/>
      </w:r>
      <w:r w:rsidR="0010745A" w:rsidRPr="00527CE6">
        <w:rPr>
          <w:color w:val="000000"/>
          <w:sz w:val="22"/>
          <w:szCs w:val="22"/>
        </w:rPr>
        <w:t xml:space="preserve">The </w:t>
      </w:r>
      <w:r w:rsidR="001A1A53" w:rsidRPr="00527CE6">
        <w:rPr>
          <w:color w:val="000000"/>
          <w:sz w:val="22"/>
          <w:szCs w:val="22"/>
        </w:rPr>
        <w:t>gaining carriage service provider</w:t>
      </w:r>
      <w:r w:rsidR="0010745A" w:rsidRPr="00527CE6">
        <w:rPr>
          <w:color w:val="000000"/>
          <w:sz w:val="22"/>
          <w:szCs w:val="22"/>
        </w:rPr>
        <w:t xml:space="preserve"> is only taken to have verified that the requesting person is the rights of use holder in accordance with </w:t>
      </w:r>
      <w:r w:rsidR="006305A9" w:rsidRPr="00527CE6">
        <w:rPr>
          <w:color w:val="000000"/>
          <w:sz w:val="22"/>
          <w:szCs w:val="22"/>
        </w:rPr>
        <w:t>paragraph</w:t>
      </w:r>
      <w:r w:rsidR="0010745A" w:rsidRPr="00527CE6">
        <w:rPr>
          <w:color w:val="000000"/>
          <w:sz w:val="22"/>
          <w:szCs w:val="22"/>
        </w:rPr>
        <w:t xml:space="preserve"> </w:t>
      </w:r>
      <w:r w:rsidR="008A266B" w:rsidRPr="00D14532">
        <w:rPr>
          <w:color w:val="000000"/>
          <w:sz w:val="22"/>
          <w:szCs w:val="22"/>
        </w:rPr>
        <w:t>(</w:t>
      </w:r>
      <w:r w:rsidR="00D5186E" w:rsidRPr="00D14532">
        <w:rPr>
          <w:color w:val="000000"/>
          <w:sz w:val="22"/>
          <w:szCs w:val="22"/>
        </w:rPr>
        <w:t>3</w:t>
      </w:r>
      <w:r w:rsidR="008A266B" w:rsidRPr="00D14532">
        <w:rPr>
          <w:color w:val="000000"/>
          <w:sz w:val="22"/>
          <w:szCs w:val="22"/>
        </w:rPr>
        <w:t>)</w:t>
      </w:r>
      <w:r w:rsidR="0010745A" w:rsidRPr="00527CE6">
        <w:rPr>
          <w:color w:val="000000"/>
          <w:sz w:val="22"/>
          <w:szCs w:val="22"/>
        </w:rPr>
        <w:t>(</w:t>
      </w:r>
      <w:r w:rsidR="006305A9" w:rsidRPr="00527CE6">
        <w:rPr>
          <w:color w:val="000000"/>
          <w:sz w:val="22"/>
          <w:szCs w:val="22"/>
        </w:rPr>
        <w:t>b</w:t>
      </w:r>
      <w:r w:rsidR="0010745A" w:rsidRPr="00527CE6">
        <w:rPr>
          <w:color w:val="000000"/>
          <w:sz w:val="22"/>
          <w:szCs w:val="22"/>
        </w:rPr>
        <w:t>) if:</w:t>
      </w:r>
    </w:p>
    <w:p w14:paraId="65F59686" w14:textId="6CB919BF" w:rsidR="0010745A" w:rsidRPr="00527CE6" w:rsidRDefault="0010745A" w:rsidP="00391330">
      <w:pPr>
        <w:pStyle w:val="tabletext0"/>
        <w:shd w:val="clear" w:color="auto" w:fill="FFFFFF"/>
        <w:spacing w:before="60" w:beforeAutospacing="0" w:after="60" w:afterAutospacing="0" w:line="240" w:lineRule="atLeast"/>
        <w:ind w:left="1701" w:hanging="567"/>
        <w:jc w:val="both"/>
        <w:rPr>
          <w:color w:val="000000"/>
          <w:sz w:val="22"/>
          <w:szCs w:val="22"/>
        </w:rPr>
      </w:pPr>
      <w:r w:rsidRPr="00527CE6">
        <w:rPr>
          <w:color w:val="000000"/>
          <w:sz w:val="22"/>
          <w:szCs w:val="22"/>
        </w:rPr>
        <w:t>(a)</w:t>
      </w:r>
      <w:r w:rsidR="00391330" w:rsidRPr="00527CE6">
        <w:rPr>
          <w:color w:val="000000"/>
          <w:sz w:val="14"/>
          <w:szCs w:val="14"/>
        </w:rPr>
        <w:tab/>
      </w:r>
      <w:r w:rsidRPr="00527CE6">
        <w:rPr>
          <w:color w:val="000000"/>
          <w:sz w:val="22"/>
          <w:szCs w:val="22"/>
        </w:rPr>
        <w:t>the requesting person gives the provider:</w:t>
      </w:r>
    </w:p>
    <w:p w14:paraId="199C84CC" w14:textId="55251966" w:rsidR="0010745A" w:rsidRPr="00527CE6" w:rsidRDefault="0010745A" w:rsidP="00391330">
      <w:pPr>
        <w:pStyle w:val="tabletext0"/>
        <w:shd w:val="clear" w:color="auto" w:fill="FFFFFF"/>
        <w:spacing w:before="60" w:beforeAutospacing="0" w:after="60" w:afterAutospacing="0" w:line="240" w:lineRule="atLeast"/>
        <w:ind w:left="2268" w:hanging="567"/>
        <w:jc w:val="both"/>
        <w:rPr>
          <w:color w:val="000000"/>
          <w:sz w:val="22"/>
          <w:szCs w:val="22"/>
        </w:rPr>
      </w:pPr>
      <w:r w:rsidRPr="00527CE6">
        <w:rPr>
          <w:color w:val="000000"/>
          <w:sz w:val="22"/>
          <w:szCs w:val="22"/>
        </w:rPr>
        <w:t>(i)</w:t>
      </w:r>
      <w:r w:rsidR="00391330" w:rsidRPr="00527CE6">
        <w:rPr>
          <w:color w:val="000000"/>
          <w:sz w:val="14"/>
          <w:szCs w:val="14"/>
        </w:rPr>
        <w:tab/>
      </w:r>
      <w:r w:rsidRPr="00527CE6">
        <w:rPr>
          <w:color w:val="000000"/>
          <w:sz w:val="22"/>
          <w:szCs w:val="22"/>
        </w:rPr>
        <w:t>the identifying number of</w:t>
      </w:r>
      <w:r w:rsidR="00E41519" w:rsidRPr="00527CE6">
        <w:rPr>
          <w:color w:val="000000"/>
          <w:sz w:val="22"/>
          <w:szCs w:val="22"/>
        </w:rPr>
        <w:t xml:space="preserve"> at least two </w:t>
      </w:r>
      <w:r w:rsidR="0058553D" w:rsidRPr="00527CE6">
        <w:rPr>
          <w:color w:val="000000"/>
          <w:sz w:val="22"/>
          <w:szCs w:val="22"/>
        </w:rPr>
        <w:t xml:space="preserve">unique </w:t>
      </w:r>
      <w:r w:rsidR="00E41519" w:rsidRPr="00527CE6">
        <w:rPr>
          <w:color w:val="000000"/>
          <w:sz w:val="22"/>
          <w:szCs w:val="22"/>
        </w:rPr>
        <w:t>government documents</w:t>
      </w:r>
      <w:r w:rsidRPr="00527CE6">
        <w:rPr>
          <w:color w:val="000000"/>
          <w:sz w:val="22"/>
          <w:szCs w:val="22"/>
        </w:rPr>
        <w:t>;</w:t>
      </w:r>
    </w:p>
    <w:p w14:paraId="249F5217" w14:textId="61CB2E25" w:rsidR="0010745A" w:rsidRPr="00527CE6" w:rsidRDefault="0010745A" w:rsidP="00391330">
      <w:pPr>
        <w:pStyle w:val="tabletext0"/>
        <w:shd w:val="clear" w:color="auto" w:fill="FFFFFF"/>
        <w:spacing w:before="60" w:beforeAutospacing="0" w:after="60" w:afterAutospacing="0" w:line="240" w:lineRule="atLeast"/>
        <w:ind w:left="2268" w:hanging="567"/>
        <w:jc w:val="both"/>
        <w:rPr>
          <w:color w:val="000000"/>
          <w:sz w:val="22"/>
          <w:szCs w:val="22"/>
        </w:rPr>
      </w:pPr>
      <w:r w:rsidRPr="00527CE6">
        <w:rPr>
          <w:color w:val="000000"/>
          <w:sz w:val="22"/>
          <w:szCs w:val="22"/>
        </w:rPr>
        <w:t>(ii)</w:t>
      </w:r>
      <w:r w:rsidRPr="00527CE6">
        <w:rPr>
          <w:color w:val="000000"/>
          <w:sz w:val="14"/>
          <w:szCs w:val="14"/>
        </w:rPr>
        <w:t> </w:t>
      </w:r>
      <w:r w:rsidR="00391330" w:rsidRPr="00527CE6">
        <w:rPr>
          <w:color w:val="000000"/>
          <w:sz w:val="14"/>
          <w:szCs w:val="14"/>
        </w:rPr>
        <w:tab/>
      </w:r>
      <w:r w:rsidRPr="00527CE6">
        <w:rPr>
          <w:color w:val="000000"/>
          <w:sz w:val="22"/>
          <w:szCs w:val="22"/>
        </w:rPr>
        <w:t>information identifying the State or Territory th</w:t>
      </w:r>
      <w:r w:rsidR="00926652" w:rsidRPr="00527CE6">
        <w:rPr>
          <w:color w:val="000000"/>
          <w:sz w:val="22"/>
          <w:szCs w:val="22"/>
        </w:rPr>
        <w:t>at</w:t>
      </w:r>
      <w:r w:rsidRPr="00527CE6">
        <w:rPr>
          <w:color w:val="000000"/>
          <w:sz w:val="22"/>
          <w:szCs w:val="22"/>
        </w:rPr>
        <w:t xml:space="preserve"> issued the government document</w:t>
      </w:r>
      <w:r w:rsidR="00926652" w:rsidRPr="00527CE6">
        <w:rPr>
          <w:color w:val="000000"/>
          <w:sz w:val="22"/>
          <w:szCs w:val="22"/>
        </w:rPr>
        <w:t>s</w:t>
      </w:r>
      <w:r w:rsidRPr="00527CE6">
        <w:rPr>
          <w:color w:val="000000"/>
          <w:sz w:val="22"/>
          <w:szCs w:val="22"/>
        </w:rPr>
        <w:t>, or confirming that the government document was issued by the Commonwealth; and</w:t>
      </w:r>
    </w:p>
    <w:p w14:paraId="0F1CF6E1" w14:textId="5EBE7C9E" w:rsidR="0010745A" w:rsidRPr="00527CE6" w:rsidRDefault="0010745A" w:rsidP="003E7BF2">
      <w:pPr>
        <w:pStyle w:val="tabletext0"/>
        <w:shd w:val="clear" w:color="auto" w:fill="FFFFFF"/>
        <w:spacing w:before="60" w:beforeAutospacing="0" w:after="60" w:afterAutospacing="0" w:line="240" w:lineRule="atLeast"/>
        <w:ind w:left="2268" w:hanging="567"/>
        <w:jc w:val="both"/>
        <w:rPr>
          <w:color w:val="000000"/>
          <w:sz w:val="22"/>
          <w:szCs w:val="22"/>
        </w:rPr>
      </w:pPr>
      <w:r w:rsidRPr="00527CE6">
        <w:rPr>
          <w:color w:val="000000"/>
          <w:sz w:val="22"/>
          <w:szCs w:val="22"/>
        </w:rPr>
        <w:t>(iii)</w:t>
      </w:r>
      <w:r w:rsidRPr="00527CE6">
        <w:rPr>
          <w:color w:val="000000"/>
          <w:sz w:val="14"/>
          <w:szCs w:val="14"/>
        </w:rPr>
        <w:t> </w:t>
      </w:r>
      <w:r w:rsidR="00391330" w:rsidRPr="00527CE6">
        <w:rPr>
          <w:color w:val="000000"/>
          <w:sz w:val="14"/>
          <w:szCs w:val="14"/>
        </w:rPr>
        <w:tab/>
      </w:r>
      <w:r w:rsidRPr="00527CE6">
        <w:rPr>
          <w:color w:val="000000"/>
          <w:sz w:val="22"/>
          <w:szCs w:val="22"/>
        </w:rPr>
        <w:t>if required</w:t>
      </w:r>
      <w:r w:rsidR="00E41519" w:rsidRPr="00527CE6">
        <w:rPr>
          <w:color w:val="000000"/>
          <w:sz w:val="22"/>
          <w:szCs w:val="22"/>
        </w:rPr>
        <w:t xml:space="preserve"> by the government online </w:t>
      </w:r>
      <w:r w:rsidR="00636C86" w:rsidRPr="00527CE6">
        <w:rPr>
          <w:color w:val="000000"/>
          <w:sz w:val="22"/>
          <w:szCs w:val="22"/>
        </w:rPr>
        <w:t>verification service</w:t>
      </w:r>
      <w:r w:rsidRPr="00527CE6">
        <w:rPr>
          <w:color w:val="000000"/>
          <w:sz w:val="22"/>
          <w:szCs w:val="22"/>
        </w:rPr>
        <w:t>, any dates or other information recorded on the government document</w:t>
      </w:r>
      <w:r w:rsidR="00380007" w:rsidRPr="00527CE6">
        <w:rPr>
          <w:color w:val="000000"/>
          <w:sz w:val="22"/>
          <w:szCs w:val="22"/>
        </w:rPr>
        <w:t>s</w:t>
      </w:r>
      <w:r w:rsidRPr="00527CE6">
        <w:rPr>
          <w:color w:val="000000"/>
          <w:sz w:val="22"/>
          <w:szCs w:val="22"/>
        </w:rPr>
        <w:t>; and</w:t>
      </w:r>
    </w:p>
    <w:p w14:paraId="6537C3E4" w14:textId="51507DBD" w:rsidR="0010745A" w:rsidRPr="00527CE6" w:rsidRDefault="0010745A" w:rsidP="00391330">
      <w:pPr>
        <w:pStyle w:val="tabletext0"/>
        <w:shd w:val="clear" w:color="auto" w:fill="FFFFFF"/>
        <w:spacing w:before="60" w:beforeAutospacing="0" w:after="60" w:afterAutospacing="0" w:line="240" w:lineRule="atLeast"/>
        <w:ind w:left="1701" w:hanging="567"/>
        <w:jc w:val="both"/>
        <w:rPr>
          <w:color w:val="000000"/>
          <w:sz w:val="22"/>
          <w:szCs w:val="22"/>
        </w:rPr>
      </w:pPr>
      <w:r w:rsidRPr="00527CE6">
        <w:rPr>
          <w:color w:val="000000"/>
          <w:sz w:val="22"/>
          <w:szCs w:val="22"/>
        </w:rPr>
        <w:t>(b)</w:t>
      </w:r>
      <w:r w:rsidR="00391330" w:rsidRPr="00527CE6">
        <w:rPr>
          <w:color w:val="000000"/>
          <w:sz w:val="14"/>
          <w:szCs w:val="14"/>
        </w:rPr>
        <w:tab/>
      </w:r>
      <w:r w:rsidRPr="00527CE6">
        <w:rPr>
          <w:color w:val="000000"/>
          <w:sz w:val="22"/>
          <w:szCs w:val="22"/>
        </w:rPr>
        <w:t xml:space="preserve">the information given </w:t>
      </w:r>
      <w:r w:rsidR="00A2074F" w:rsidRPr="00527CE6">
        <w:rPr>
          <w:color w:val="000000"/>
          <w:sz w:val="22"/>
          <w:szCs w:val="22"/>
        </w:rPr>
        <w:t>in relation to each of two government document</w:t>
      </w:r>
      <w:r w:rsidR="003E2D7E" w:rsidRPr="00527CE6">
        <w:rPr>
          <w:color w:val="000000"/>
          <w:sz w:val="22"/>
          <w:szCs w:val="22"/>
        </w:rPr>
        <w:t>s</w:t>
      </w:r>
      <w:r w:rsidR="00A2074F" w:rsidRPr="00527CE6">
        <w:rPr>
          <w:color w:val="000000"/>
          <w:sz w:val="22"/>
          <w:szCs w:val="22"/>
        </w:rPr>
        <w:t xml:space="preserve"> </w:t>
      </w:r>
      <w:r w:rsidRPr="00527CE6">
        <w:rPr>
          <w:color w:val="000000"/>
          <w:sz w:val="22"/>
          <w:szCs w:val="22"/>
        </w:rPr>
        <w:t>is verified on a government online verification service.</w:t>
      </w:r>
    </w:p>
    <w:p w14:paraId="4355133E" w14:textId="06F7B6B3" w:rsidR="0010745A" w:rsidRPr="00527CE6" w:rsidRDefault="0010745A" w:rsidP="003E7BF2">
      <w:pPr>
        <w:pStyle w:val="tabletext0"/>
        <w:shd w:val="clear" w:color="auto" w:fill="FFFFFF"/>
        <w:spacing w:before="60" w:beforeAutospacing="0" w:after="60" w:afterAutospacing="0" w:line="240" w:lineRule="atLeast"/>
        <w:ind w:left="1701" w:hanging="567"/>
        <w:jc w:val="both"/>
        <w:rPr>
          <w:color w:val="000000"/>
          <w:sz w:val="18"/>
          <w:szCs w:val="22"/>
        </w:rPr>
      </w:pPr>
      <w:r w:rsidRPr="00527CE6">
        <w:rPr>
          <w:color w:val="000000"/>
          <w:sz w:val="18"/>
          <w:szCs w:val="20"/>
        </w:rPr>
        <w:t>Note</w:t>
      </w:r>
      <w:r w:rsidR="00623D0B">
        <w:rPr>
          <w:color w:val="000000"/>
          <w:sz w:val="18"/>
          <w:szCs w:val="20"/>
        </w:rPr>
        <w:t>:</w:t>
      </w:r>
      <w:r w:rsidRPr="00527CE6">
        <w:rPr>
          <w:color w:val="000000"/>
          <w:sz w:val="18"/>
          <w:szCs w:val="20"/>
        </w:rPr>
        <w:t>  </w:t>
      </w:r>
      <w:r w:rsidR="00E1352D" w:rsidRPr="00527CE6">
        <w:rPr>
          <w:color w:val="000000"/>
          <w:sz w:val="18"/>
          <w:szCs w:val="20"/>
        </w:rPr>
        <w:tab/>
      </w:r>
      <w:r w:rsidRPr="00527CE6">
        <w:rPr>
          <w:color w:val="000000"/>
          <w:sz w:val="18"/>
          <w:szCs w:val="20"/>
        </w:rPr>
        <w:t>The information provided by the requesting person in relation to a government document is matched against the databases held by the agency that issued the document and is either accepted or rejected as matched or not.</w:t>
      </w:r>
    </w:p>
    <w:bookmarkEnd w:id="14"/>
    <w:p w14:paraId="55A17F3F" w14:textId="15150043" w:rsidR="00A501AF" w:rsidRPr="00527CE6" w:rsidRDefault="00390F96" w:rsidP="00D21486">
      <w:pPr>
        <w:pStyle w:val="subsection"/>
        <w:tabs>
          <w:tab w:val="clear" w:pos="1021"/>
        </w:tabs>
        <w:ind w:hanging="567"/>
      </w:pPr>
      <w:r w:rsidRPr="00527CE6" w:rsidDel="00390F96">
        <w:rPr>
          <w:sz w:val="18"/>
          <w:szCs w:val="16"/>
        </w:rPr>
        <w:t xml:space="preserve"> </w:t>
      </w:r>
      <w:r w:rsidR="00A501AF" w:rsidRPr="00527CE6">
        <w:t>(</w:t>
      </w:r>
      <w:r w:rsidR="00FE6ACC" w:rsidRPr="00527CE6">
        <w:t>5</w:t>
      </w:r>
      <w:r w:rsidR="00A501AF" w:rsidRPr="00527CE6">
        <w:t>)</w:t>
      </w:r>
      <w:r w:rsidR="00A501AF" w:rsidRPr="00527CE6">
        <w:tab/>
      </w:r>
      <w:bookmarkStart w:id="15" w:name="_Hlk32346500"/>
      <w:r w:rsidR="00A501AF" w:rsidRPr="00527CE6">
        <w:t>A mobile carriage service provider must not proc</w:t>
      </w:r>
      <w:r w:rsidR="00BC5E04" w:rsidRPr="00527CE6">
        <w:t>e</w:t>
      </w:r>
      <w:r w:rsidR="00A501AF" w:rsidRPr="00527CE6">
        <w:t>e</w:t>
      </w:r>
      <w:r w:rsidR="00BC5E04" w:rsidRPr="00527CE6">
        <w:t>d</w:t>
      </w:r>
      <w:r w:rsidR="00A501AF" w:rsidRPr="00527CE6">
        <w:t xml:space="preserve"> with a mobile service number port unless</w:t>
      </w:r>
      <w:r w:rsidR="00BC5E04" w:rsidRPr="00527CE6">
        <w:t xml:space="preserve"> one of the</w:t>
      </w:r>
      <w:r w:rsidR="00A501AF" w:rsidRPr="00527CE6">
        <w:t xml:space="preserve"> </w:t>
      </w:r>
      <w:r w:rsidR="00525232" w:rsidRPr="00527CE6">
        <w:t xml:space="preserve">additional </w:t>
      </w:r>
      <w:r w:rsidR="00A501AF" w:rsidRPr="00527CE6">
        <w:t>identity verification process</w:t>
      </w:r>
      <w:r w:rsidR="00BC5E04" w:rsidRPr="00527CE6">
        <w:t>es</w:t>
      </w:r>
      <w:r w:rsidR="00A501AF" w:rsidRPr="00527CE6">
        <w:t xml:space="preserve"> </w:t>
      </w:r>
      <w:r w:rsidR="00D20823" w:rsidRPr="00527CE6">
        <w:t xml:space="preserve">in </w:t>
      </w:r>
      <w:r w:rsidR="00C62B58" w:rsidRPr="00527CE6">
        <w:t>subsection (</w:t>
      </w:r>
      <w:r w:rsidR="00FE6ACC" w:rsidRPr="00527CE6">
        <w:t>2</w:t>
      </w:r>
      <w:r w:rsidR="00C62B58" w:rsidRPr="00527CE6">
        <w:t>)</w:t>
      </w:r>
      <w:r w:rsidR="00A86CAF" w:rsidRPr="00527CE6">
        <w:t xml:space="preserve"> or </w:t>
      </w:r>
      <w:r w:rsidR="00216233" w:rsidRPr="00527CE6">
        <w:t>(</w:t>
      </w:r>
      <w:r w:rsidR="00FE6ACC" w:rsidRPr="00527CE6">
        <w:t>3</w:t>
      </w:r>
      <w:r w:rsidR="00216233" w:rsidRPr="00527CE6">
        <w:t>)</w:t>
      </w:r>
      <w:r w:rsidR="00BC5E04" w:rsidRPr="00527CE6">
        <w:t xml:space="preserve"> </w:t>
      </w:r>
      <w:r w:rsidR="00A501AF" w:rsidRPr="00527CE6">
        <w:t xml:space="preserve">has been used by the </w:t>
      </w:r>
      <w:r w:rsidR="001A1A53" w:rsidRPr="00527CE6">
        <w:t>gaining carriage service provider</w:t>
      </w:r>
      <w:r w:rsidR="00A501AF" w:rsidRPr="00527CE6">
        <w:t>.</w:t>
      </w:r>
    </w:p>
    <w:p w14:paraId="6A5FF8E0" w14:textId="1F8BDC66" w:rsidR="00BD55BA" w:rsidRPr="00527CE6" w:rsidRDefault="006F4BD6" w:rsidP="00D21486">
      <w:pPr>
        <w:pStyle w:val="subsection"/>
        <w:tabs>
          <w:tab w:val="clear" w:pos="1021"/>
        </w:tabs>
        <w:spacing w:before="120"/>
        <w:ind w:hanging="567"/>
      </w:pPr>
      <w:r w:rsidRPr="00527CE6">
        <w:t>(</w:t>
      </w:r>
      <w:r w:rsidR="00FE6ACC" w:rsidRPr="00527CE6">
        <w:t>6</w:t>
      </w:r>
      <w:r w:rsidRPr="00527CE6">
        <w:t>)</w:t>
      </w:r>
      <w:r w:rsidRPr="00527CE6">
        <w:tab/>
      </w:r>
      <w:bookmarkStart w:id="16" w:name="_Hlk24545240"/>
      <w:r w:rsidR="00A501AF" w:rsidRPr="00527CE6">
        <w:t xml:space="preserve">On completion of the </w:t>
      </w:r>
      <w:r w:rsidR="00525232" w:rsidRPr="00527CE6">
        <w:t xml:space="preserve">additional </w:t>
      </w:r>
      <w:r w:rsidR="00A501AF" w:rsidRPr="00527CE6">
        <w:t>identity verification process referred to in subsection (</w:t>
      </w:r>
      <w:r w:rsidR="00FE6ACC" w:rsidRPr="00527CE6">
        <w:t>2</w:t>
      </w:r>
      <w:r w:rsidR="00A501AF" w:rsidRPr="00527CE6">
        <w:t>)</w:t>
      </w:r>
      <w:r w:rsidR="00BB6C59" w:rsidRPr="00527CE6">
        <w:t xml:space="preserve"> or (</w:t>
      </w:r>
      <w:r w:rsidR="00FE6ACC" w:rsidRPr="00527CE6">
        <w:t>3</w:t>
      </w:r>
      <w:r w:rsidR="00BB6C59" w:rsidRPr="00527CE6">
        <w:t>)</w:t>
      </w:r>
      <w:r w:rsidR="00A501AF" w:rsidRPr="00527CE6">
        <w:t xml:space="preserve">, </w:t>
      </w:r>
      <w:r w:rsidR="000A4F49" w:rsidRPr="00527CE6">
        <w:t xml:space="preserve"> </w:t>
      </w:r>
      <w:r w:rsidRPr="00527CE6">
        <w:t xml:space="preserve">the </w:t>
      </w:r>
      <w:r w:rsidR="001A1A53" w:rsidRPr="00527CE6">
        <w:t>gaining carriage service provider</w:t>
      </w:r>
      <w:r w:rsidRPr="00527CE6">
        <w:t xml:space="preserve"> must be </w:t>
      </w:r>
      <w:r w:rsidR="00597C72" w:rsidRPr="00527CE6">
        <w:t>satisf</w:t>
      </w:r>
      <w:r w:rsidRPr="00527CE6">
        <w:t>ied</w:t>
      </w:r>
      <w:r w:rsidR="00597C72" w:rsidRPr="00527CE6">
        <w:t xml:space="preserve"> that</w:t>
      </w:r>
      <w:r w:rsidR="00F76AE9" w:rsidRPr="00527CE6">
        <w:t>, in relation to the mobile service number</w:t>
      </w:r>
      <w:r w:rsidR="00D327FB" w:rsidRPr="00527CE6">
        <w:t xml:space="preserve"> which is the subject of the porting request</w:t>
      </w:r>
      <w:r w:rsidR="00F76AE9" w:rsidRPr="00527CE6">
        <w:t>,</w:t>
      </w:r>
      <w:r w:rsidR="00BD55BA" w:rsidRPr="00527CE6">
        <w:t xml:space="preserve"> the </w:t>
      </w:r>
      <w:r w:rsidR="00467CF8" w:rsidRPr="00527CE6">
        <w:t>requesting person</w:t>
      </w:r>
      <w:r w:rsidR="00BD55BA" w:rsidRPr="00527CE6">
        <w:t xml:space="preserve"> is the customer</w:t>
      </w:r>
      <w:r w:rsidR="00C50468" w:rsidRPr="00527CE6">
        <w:t xml:space="preserve"> for that mobile service number</w:t>
      </w:r>
      <w:r w:rsidR="00BD55BA" w:rsidRPr="00527CE6">
        <w:t xml:space="preserve"> or the authorised representative</w:t>
      </w:r>
      <w:r w:rsidR="00FF7C59" w:rsidRPr="00527CE6">
        <w:t xml:space="preserve"> of th</w:t>
      </w:r>
      <w:r w:rsidR="000228CE" w:rsidRPr="00527CE6">
        <w:t>at</w:t>
      </w:r>
      <w:r w:rsidR="00FF7C59" w:rsidRPr="00527CE6">
        <w:t xml:space="preserve"> customer</w:t>
      </w:r>
      <w:r w:rsidR="00BD55BA" w:rsidRPr="00527CE6">
        <w:t>.</w:t>
      </w:r>
    </w:p>
    <w:bookmarkEnd w:id="16"/>
    <w:p w14:paraId="43B5CA30" w14:textId="1F051C99" w:rsidR="00761046" w:rsidRPr="00527CE6" w:rsidRDefault="00761046" w:rsidP="00D21486">
      <w:pPr>
        <w:pStyle w:val="subsection"/>
        <w:tabs>
          <w:tab w:val="clear" w:pos="1021"/>
        </w:tabs>
        <w:ind w:hanging="567"/>
      </w:pPr>
      <w:r w:rsidRPr="00527CE6">
        <w:lastRenderedPageBreak/>
        <w:t>(</w:t>
      </w:r>
      <w:r w:rsidR="009213FE" w:rsidRPr="00527CE6">
        <w:t>7</w:t>
      </w:r>
      <w:r w:rsidRPr="00527CE6">
        <w:t>)</w:t>
      </w:r>
      <w:r w:rsidRPr="00527CE6">
        <w:tab/>
        <w:t xml:space="preserve">A </w:t>
      </w:r>
      <w:r w:rsidR="001A1A53" w:rsidRPr="00527CE6">
        <w:t>gaining carriage service provider</w:t>
      </w:r>
      <w:r w:rsidRPr="00527CE6">
        <w:t xml:space="preserve"> must not proceed with </w:t>
      </w:r>
      <w:r w:rsidR="00F70DA6" w:rsidRPr="00527CE6">
        <w:t xml:space="preserve">the port of </w:t>
      </w:r>
      <w:r w:rsidRPr="00527CE6">
        <w:t xml:space="preserve">a mobile service number unless it is satisfied in accordance with subsection </w:t>
      </w:r>
      <w:r w:rsidR="00620B58" w:rsidRPr="00527CE6">
        <w:t>(</w:t>
      </w:r>
      <w:r w:rsidR="003767CB" w:rsidRPr="00527CE6">
        <w:t>6</w:t>
      </w:r>
      <w:r w:rsidR="00620B58" w:rsidRPr="00527CE6">
        <w:t>)</w:t>
      </w:r>
      <w:r w:rsidRPr="00527CE6">
        <w:t>.</w:t>
      </w:r>
    </w:p>
    <w:bookmarkEnd w:id="15"/>
    <w:p w14:paraId="62345FC2" w14:textId="446E3AE9" w:rsidR="002E6CA8" w:rsidRPr="00797FEF" w:rsidRDefault="000D4BED" w:rsidP="00797FEF">
      <w:pPr>
        <w:pStyle w:val="subsection"/>
        <w:tabs>
          <w:tab w:val="clear" w:pos="1021"/>
        </w:tabs>
        <w:ind w:hanging="567"/>
        <w:rPr>
          <w:strike/>
        </w:rPr>
      </w:pPr>
      <w:r w:rsidRPr="00527CE6">
        <w:t>(</w:t>
      </w:r>
      <w:r w:rsidR="00584537" w:rsidRPr="00527CE6">
        <w:t>8</w:t>
      </w:r>
      <w:r w:rsidRPr="00527CE6">
        <w:t>)</w:t>
      </w:r>
      <w:r w:rsidRPr="00527CE6">
        <w:tab/>
        <w:t xml:space="preserve">A </w:t>
      </w:r>
      <w:r w:rsidR="00107AF2" w:rsidRPr="00527CE6">
        <w:t xml:space="preserve">mobile </w:t>
      </w:r>
      <w:r w:rsidRPr="00527CE6">
        <w:t xml:space="preserve">carriage service provider must not charge a fee to a </w:t>
      </w:r>
      <w:r w:rsidR="00387929" w:rsidRPr="00527CE6">
        <w:t>customer</w:t>
      </w:r>
      <w:r w:rsidR="00723457" w:rsidRPr="00527CE6">
        <w:t>,</w:t>
      </w:r>
      <w:r w:rsidR="00093165" w:rsidRPr="00527CE6">
        <w:t xml:space="preserve"> or the customer</w:t>
      </w:r>
      <w:r w:rsidR="00723457" w:rsidRPr="00527CE6">
        <w:t>’</w:t>
      </w:r>
      <w:r w:rsidR="00093165" w:rsidRPr="00527CE6">
        <w:t>s authorised representative</w:t>
      </w:r>
      <w:r w:rsidR="00723457" w:rsidRPr="00527CE6">
        <w:t>,</w:t>
      </w:r>
      <w:r w:rsidRPr="00527CE6">
        <w:t xml:space="preserve"> for </w:t>
      </w:r>
      <w:r w:rsidR="00D714BA" w:rsidRPr="00527CE6">
        <w:t>an</w:t>
      </w:r>
      <w:r w:rsidR="009B2241" w:rsidRPr="00527CE6">
        <w:t xml:space="preserve"> </w:t>
      </w:r>
      <w:r w:rsidR="00C53114" w:rsidRPr="00527CE6">
        <w:t>SMS</w:t>
      </w:r>
      <w:r w:rsidR="00DC6460" w:rsidRPr="00527CE6">
        <w:t xml:space="preserve"> message</w:t>
      </w:r>
      <w:r w:rsidR="00C53114" w:rsidRPr="00527CE6">
        <w:t xml:space="preserve"> used to co</w:t>
      </w:r>
      <w:r w:rsidRPr="00527CE6">
        <w:t>mplet</w:t>
      </w:r>
      <w:r w:rsidR="00C53114" w:rsidRPr="00527CE6">
        <w:t>e</w:t>
      </w:r>
      <w:r w:rsidRPr="00527CE6">
        <w:t xml:space="preserve"> an</w:t>
      </w:r>
      <w:r w:rsidR="00525232" w:rsidRPr="00527CE6">
        <w:t xml:space="preserve"> additional</w:t>
      </w:r>
      <w:r w:rsidRPr="00527CE6">
        <w:t xml:space="preserve"> identity verification process</w:t>
      </w:r>
      <w:r w:rsidR="004B2D2B" w:rsidRPr="00527CE6">
        <w:t>.</w:t>
      </w:r>
    </w:p>
    <w:p w14:paraId="775C2056" w14:textId="77777777" w:rsidR="00797FEF" w:rsidRPr="00F36FC2" w:rsidRDefault="00797FEF" w:rsidP="00F36FC2">
      <w:pPr>
        <w:keepNext/>
        <w:spacing w:after="0" w:line="240" w:lineRule="auto"/>
        <w:ind w:left="1134" w:hanging="1134"/>
        <w:rPr>
          <w:rFonts w:cstheme="minorHAnsi"/>
          <w:b/>
          <w:bCs/>
          <w:sz w:val="18"/>
          <w:szCs w:val="18"/>
        </w:rPr>
      </w:pPr>
    </w:p>
    <w:p w14:paraId="169191D1" w14:textId="2EDD358D" w:rsidR="001E79A2" w:rsidRPr="00527CE6" w:rsidRDefault="001E79A2" w:rsidP="0056458B">
      <w:pPr>
        <w:keepNext/>
        <w:ind w:left="1134" w:hanging="1134"/>
        <w:rPr>
          <w:rFonts w:ascii="Times New Roman" w:hAnsi="Times New Roman" w:cs="Times New Roman"/>
          <w:b/>
          <w:bCs/>
          <w:sz w:val="32"/>
          <w:szCs w:val="32"/>
        </w:rPr>
      </w:pPr>
      <w:r w:rsidRPr="00527CE6">
        <w:rPr>
          <w:rFonts w:ascii="Times New Roman" w:hAnsi="Times New Roman" w:cs="Times New Roman"/>
          <w:b/>
          <w:bCs/>
          <w:sz w:val="32"/>
          <w:szCs w:val="32"/>
        </w:rPr>
        <w:t xml:space="preserve">Part </w:t>
      </w:r>
      <w:r w:rsidR="00CB59CF" w:rsidRPr="00527CE6">
        <w:rPr>
          <w:rFonts w:ascii="Times New Roman" w:hAnsi="Times New Roman" w:cs="Times New Roman"/>
          <w:b/>
          <w:bCs/>
          <w:sz w:val="32"/>
          <w:szCs w:val="32"/>
        </w:rPr>
        <w:t>3</w:t>
      </w:r>
      <w:r w:rsidRPr="00527CE6">
        <w:rPr>
          <w:rFonts w:ascii="Times New Roman" w:hAnsi="Times New Roman" w:cs="Times New Roman"/>
          <w:b/>
          <w:bCs/>
          <w:sz w:val="32"/>
          <w:szCs w:val="32"/>
        </w:rPr>
        <w:t>—</w:t>
      </w:r>
      <w:r w:rsidR="00C24BF2" w:rsidRPr="00527CE6">
        <w:rPr>
          <w:rFonts w:ascii="Times New Roman" w:hAnsi="Times New Roman" w:cs="Times New Roman"/>
          <w:b/>
          <w:bCs/>
          <w:sz w:val="32"/>
          <w:szCs w:val="32"/>
        </w:rPr>
        <w:t xml:space="preserve">Publication </w:t>
      </w:r>
      <w:r w:rsidR="00E41AAA" w:rsidRPr="00527CE6">
        <w:rPr>
          <w:rFonts w:ascii="Times New Roman" w:hAnsi="Times New Roman" w:cs="Times New Roman"/>
          <w:b/>
          <w:bCs/>
          <w:sz w:val="32"/>
          <w:szCs w:val="32"/>
        </w:rPr>
        <w:t xml:space="preserve">of </w:t>
      </w:r>
      <w:r w:rsidR="005E1151" w:rsidRPr="00527CE6">
        <w:rPr>
          <w:rFonts w:ascii="Times New Roman" w:hAnsi="Times New Roman" w:cs="Times New Roman"/>
          <w:b/>
          <w:bCs/>
          <w:sz w:val="32"/>
          <w:szCs w:val="32"/>
        </w:rPr>
        <w:t>customer</w:t>
      </w:r>
      <w:r w:rsidR="00535B6C" w:rsidRPr="00527CE6">
        <w:rPr>
          <w:rFonts w:ascii="Times New Roman" w:hAnsi="Times New Roman" w:cs="Times New Roman"/>
          <w:b/>
          <w:bCs/>
          <w:sz w:val="32"/>
          <w:szCs w:val="32"/>
        </w:rPr>
        <w:t xml:space="preserve"> awareness and safeguard information </w:t>
      </w:r>
      <w:r w:rsidR="00DF063A" w:rsidRPr="00527CE6">
        <w:rPr>
          <w:rFonts w:ascii="Times New Roman" w:hAnsi="Times New Roman" w:cs="Times New Roman"/>
          <w:b/>
          <w:bCs/>
          <w:sz w:val="32"/>
          <w:szCs w:val="32"/>
        </w:rPr>
        <w:t>by mobile carriage service providers</w:t>
      </w:r>
    </w:p>
    <w:p w14:paraId="7B4E7FE4" w14:textId="3CBB7113" w:rsidR="002145A7" w:rsidRPr="00527CE6" w:rsidRDefault="00DA7170" w:rsidP="004271E8">
      <w:pPr>
        <w:spacing w:before="280" w:after="120" w:line="276" w:lineRule="auto"/>
        <w:ind w:left="567" w:hanging="567"/>
        <w:rPr>
          <w:rFonts w:ascii="Times New Roman" w:hAnsi="Times New Roman" w:cs="Times New Roman"/>
          <w:b/>
          <w:bCs/>
          <w:sz w:val="24"/>
          <w:szCs w:val="24"/>
        </w:rPr>
      </w:pPr>
      <w:bookmarkStart w:id="17" w:name="_Toc444596038"/>
      <w:r w:rsidRPr="00527CE6">
        <w:rPr>
          <w:rStyle w:val="CharSectno"/>
          <w:rFonts w:ascii="Times New Roman" w:hAnsi="Times New Roman" w:cs="Times New Roman"/>
          <w:b/>
          <w:bCs/>
          <w:sz w:val="24"/>
          <w:szCs w:val="24"/>
        </w:rPr>
        <w:t>9</w:t>
      </w:r>
      <w:r w:rsidR="002145A7" w:rsidRPr="00527CE6">
        <w:rPr>
          <w:rFonts w:ascii="Times New Roman" w:hAnsi="Times New Roman" w:cs="Times New Roman"/>
          <w:b/>
          <w:bCs/>
          <w:sz w:val="24"/>
          <w:szCs w:val="24"/>
        </w:rPr>
        <w:t xml:space="preserve">  </w:t>
      </w:r>
      <w:r w:rsidR="00A411BF" w:rsidRPr="00527CE6">
        <w:rPr>
          <w:rFonts w:ascii="Times New Roman" w:hAnsi="Times New Roman" w:cs="Times New Roman"/>
          <w:b/>
          <w:bCs/>
          <w:sz w:val="24"/>
          <w:szCs w:val="24"/>
        </w:rPr>
        <w:t xml:space="preserve">Minimum requirements </w:t>
      </w:r>
      <w:r w:rsidR="005B46D4" w:rsidRPr="00527CE6">
        <w:rPr>
          <w:rFonts w:ascii="Times New Roman" w:hAnsi="Times New Roman" w:cs="Times New Roman"/>
          <w:b/>
          <w:bCs/>
          <w:sz w:val="24"/>
          <w:szCs w:val="24"/>
        </w:rPr>
        <w:t>to</w:t>
      </w:r>
      <w:r w:rsidR="00A411BF" w:rsidRPr="00527CE6">
        <w:rPr>
          <w:rFonts w:ascii="Times New Roman" w:hAnsi="Times New Roman" w:cs="Times New Roman"/>
          <w:b/>
          <w:bCs/>
          <w:sz w:val="24"/>
          <w:szCs w:val="24"/>
        </w:rPr>
        <w:t xml:space="preserve"> p</w:t>
      </w:r>
      <w:r w:rsidR="00BE23B3" w:rsidRPr="00527CE6">
        <w:rPr>
          <w:rFonts w:ascii="Times New Roman" w:hAnsi="Times New Roman" w:cs="Times New Roman"/>
          <w:b/>
          <w:bCs/>
          <w:sz w:val="24"/>
          <w:szCs w:val="24"/>
        </w:rPr>
        <w:t>ubl</w:t>
      </w:r>
      <w:r w:rsidR="00A411BF" w:rsidRPr="00527CE6">
        <w:rPr>
          <w:rFonts w:ascii="Times New Roman" w:hAnsi="Times New Roman" w:cs="Times New Roman"/>
          <w:b/>
          <w:bCs/>
          <w:sz w:val="24"/>
          <w:szCs w:val="24"/>
        </w:rPr>
        <w:t>ish</w:t>
      </w:r>
      <w:r w:rsidR="00BE23B3" w:rsidRPr="00527CE6">
        <w:rPr>
          <w:rFonts w:ascii="Times New Roman" w:hAnsi="Times New Roman" w:cs="Times New Roman"/>
          <w:b/>
          <w:bCs/>
          <w:sz w:val="24"/>
          <w:szCs w:val="24"/>
        </w:rPr>
        <w:t xml:space="preserve"> advice</w:t>
      </w:r>
      <w:r w:rsidR="005B46D4" w:rsidRPr="00527CE6">
        <w:rPr>
          <w:rFonts w:ascii="Times New Roman" w:hAnsi="Times New Roman" w:cs="Times New Roman"/>
          <w:b/>
          <w:bCs/>
          <w:sz w:val="24"/>
          <w:szCs w:val="24"/>
        </w:rPr>
        <w:t xml:space="preserve"> about law enforcement and support services</w:t>
      </w:r>
    </w:p>
    <w:p w14:paraId="3DECA8D9" w14:textId="2AC88CA1" w:rsidR="0017472B" w:rsidRPr="00527CE6" w:rsidRDefault="005555B8" w:rsidP="009E4E1C">
      <w:pPr>
        <w:spacing w:before="120" w:after="0" w:line="276" w:lineRule="auto"/>
        <w:ind w:left="567"/>
        <w:rPr>
          <w:rFonts w:ascii="Times New Roman" w:hAnsi="Times New Roman"/>
          <w:szCs w:val="24"/>
        </w:rPr>
      </w:pPr>
      <w:r w:rsidRPr="00527CE6">
        <w:rPr>
          <w:rFonts w:ascii="Times New Roman" w:hAnsi="Times New Roman"/>
          <w:szCs w:val="24"/>
        </w:rPr>
        <w:t>A mobile carriage service provider must publish information on its website</w:t>
      </w:r>
      <w:r w:rsidR="00425A9A" w:rsidRPr="00527CE6">
        <w:rPr>
          <w:rFonts w:ascii="Times New Roman" w:hAnsi="Times New Roman"/>
          <w:szCs w:val="24"/>
        </w:rPr>
        <w:t xml:space="preserve"> advising customers </w:t>
      </w:r>
      <w:r w:rsidR="00A12D9D" w:rsidRPr="00527CE6">
        <w:rPr>
          <w:rFonts w:ascii="Times New Roman" w:hAnsi="Times New Roman"/>
          <w:szCs w:val="24"/>
        </w:rPr>
        <w:t>that</w:t>
      </w:r>
      <w:r w:rsidR="0017472B" w:rsidRPr="00527CE6">
        <w:rPr>
          <w:rFonts w:ascii="Times New Roman" w:hAnsi="Times New Roman"/>
          <w:szCs w:val="24"/>
        </w:rPr>
        <w:t>:</w:t>
      </w:r>
    </w:p>
    <w:p w14:paraId="5B6CA09D" w14:textId="6D02A594" w:rsidR="00473B46" w:rsidRPr="00527CE6" w:rsidRDefault="0017472B" w:rsidP="003E7BF2">
      <w:pPr>
        <w:spacing w:after="120" w:line="276" w:lineRule="auto"/>
        <w:ind w:left="1701" w:hanging="567"/>
        <w:rPr>
          <w:rFonts w:ascii="Times New Roman" w:hAnsi="Times New Roman"/>
          <w:szCs w:val="24"/>
        </w:rPr>
      </w:pPr>
      <w:r w:rsidRPr="00527CE6">
        <w:rPr>
          <w:rFonts w:ascii="Times New Roman" w:hAnsi="Times New Roman"/>
          <w:szCs w:val="24"/>
        </w:rPr>
        <w:t>(a)</w:t>
      </w:r>
      <w:r w:rsidRPr="00527CE6">
        <w:rPr>
          <w:rFonts w:ascii="Times New Roman" w:hAnsi="Times New Roman"/>
          <w:szCs w:val="24"/>
        </w:rPr>
        <w:tab/>
      </w:r>
      <w:r w:rsidR="007E6516" w:rsidRPr="00527CE6">
        <w:rPr>
          <w:rFonts w:ascii="Times New Roman" w:hAnsi="Times New Roman"/>
          <w:szCs w:val="24"/>
        </w:rPr>
        <w:t xml:space="preserve">to protect </w:t>
      </w:r>
      <w:r w:rsidR="005E1151" w:rsidRPr="00527CE6">
        <w:rPr>
          <w:rFonts w:ascii="Times New Roman" w:hAnsi="Times New Roman"/>
          <w:szCs w:val="24"/>
        </w:rPr>
        <w:t xml:space="preserve">customers </w:t>
      </w:r>
      <w:r w:rsidR="007E6516" w:rsidRPr="00527CE6">
        <w:rPr>
          <w:rFonts w:ascii="Times New Roman" w:hAnsi="Times New Roman"/>
          <w:szCs w:val="24"/>
        </w:rPr>
        <w:t xml:space="preserve">from unauthorised ports, </w:t>
      </w:r>
      <w:r w:rsidR="00BE78E2" w:rsidRPr="00527CE6">
        <w:rPr>
          <w:rFonts w:ascii="Times New Roman" w:hAnsi="Times New Roman"/>
          <w:szCs w:val="24"/>
        </w:rPr>
        <w:t xml:space="preserve">an </w:t>
      </w:r>
      <w:r w:rsidR="00473B46" w:rsidRPr="00527CE6">
        <w:rPr>
          <w:rFonts w:ascii="Times New Roman" w:hAnsi="Times New Roman"/>
          <w:szCs w:val="24"/>
        </w:rPr>
        <w:t>additional identity verification process</w:t>
      </w:r>
      <w:r w:rsidR="00BE78E2" w:rsidRPr="00527CE6">
        <w:rPr>
          <w:rFonts w:ascii="Times New Roman" w:hAnsi="Times New Roman"/>
          <w:szCs w:val="24"/>
        </w:rPr>
        <w:t xml:space="preserve"> </w:t>
      </w:r>
      <w:r w:rsidR="00D825D4" w:rsidRPr="00527CE6">
        <w:rPr>
          <w:rFonts w:ascii="Times New Roman" w:hAnsi="Times New Roman"/>
          <w:szCs w:val="24"/>
        </w:rPr>
        <w:t xml:space="preserve">will be </w:t>
      </w:r>
      <w:r w:rsidR="002B2D7D" w:rsidRPr="00527CE6">
        <w:rPr>
          <w:rFonts w:ascii="Times New Roman" w:hAnsi="Times New Roman"/>
          <w:szCs w:val="24"/>
        </w:rPr>
        <w:t xml:space="preserve">used to verify </w:t>
      </w:r>
      <w:r w:rsidR="00C221F3" w:rsidRPr="00527CE6">
        <w:rPr>
          <w:rFonts w:ascii="Times New Roman" w:hAnsi="Times New Roman"/>
          <w:szCs w:val="24"/>
        </w:rPr>
        <w:t xml:space="preserve">the identity of the person making a porting request, prior to </w:t>
      </w:r>
      <w:r w:rsidR="00FA3209" w:rsidRPr="00527CE6">
        <w:rPr>
          <w:rFonts w:ascii="Times New Roman" w:hAnsi="Times New Roman"/>
          <w:szCs w:val="24"/>
        </w:rPr>
        <w:t xml:space="preserve">the </w:t>
      </w:r>
      <w:r w:rsidR="00473B46" w:rsidRPr="00527CE6">
        <w:rPr>
          <w:rFonts w:ascii="Times New Roman" w:hAnsi="Times New Roman"/>
          <w:szCs w:val="24"/>
        </w:rPr>
        <w:t xml:space="preserve">mobile service number </w:t>
      </w:r>
      <w:r w:rsidR="00C221F3" w:rsidRPr="00527CE6">
        <w:rPr>
          <w:rFonts w:ascii="Times New Roman" w:hAnsi="Times New Roman"/>
          <w:szCs w:val="24"/>
        </w:rPr>
        <w:t>being ported</w:t>
      </w:r>
      <w:r w:rsidR="000F2A5E" w:rsidRPr="00527CE6">
        <w:rPr>
          <w:rFonts w:ascii="Times New Roman" w:hAnsi="Times New Roman"/>
          <w:szCs w:val="24"/>
        </w:rPr>
        <w:t>;</w:t>
      </w:r>
      <w:r w:rsidR="00506AB0" w:rsidRPr="00527CE6">
        <w:rPr>
          <w:rFonts w:ascii="Times New Roman" w:hAnsi="Times New Roman"/>
          <w:szCs w:val="24"/>
        </w:rPr>
        <w:t xml:space="preserve"> and</w:t>
      </w:r>
    </w:p>
    <w:p w14:paraId="23E7DB7F" w14:textId="0CBD07A3" w:rsidR="00030FF2" w:rsidRPr="00527CE6" w:rsidRDefault="00C241AB" w:rsidP="003E7BF2">
      <w:pPr>
        <w:spacing w:after="0" w:line="276" w:lineRule="auto"/>
        <w:ind w:left="1701" w:hanging="567"/>
        <w:rPr>
          <w:szCs w:val="24"/>
        </w:rPr>
      </w:pPr>
      <w:r w:rsidRPr="00527CE6">
        <w:rPr>
          <w:rFonts w:ascii="Times New Roman" w:hAnsi="Times New Roman"/>
          <w:szCs w:val="24"/>
        </w:rPr>
        <w:t>(b)</w:t>
      </w:r>
      <w:r w:rsidRPr="00527CE6">
        <w:rPr>
          <w:rFonts w:ascii="Times New Roman" w:hAnsi="Times New Roman"/>
          <w:szCs w:val="24"/>
        </w:rPr>
        <w:tab/>
      </w:r>
      <w:r w:rsidR="00A12D9D" w:rsidRPr="00527CE6">
        <w:rPr>
          <w:rFonts w:ascii="Times New Roman" w:hAnsi="Times New Roman"/>
          <w:szCs w:val="24"/>
        </w:rPr>
        <w:t xml:space="preserve">in the event </w:t>
      </w:r>
      <w:r w:rsidR="003B52CC" w:rsidRPr="00527CE6">
        <w:rPr>
          <w:rFonts w:ascii="Times New Roman" w:hAnsi="Times New Roman"/>
          <w:szCs w:val="24"/>
        </w:rPr>
        <w:t xml:space="preserve">a customer </w:t>
      </w:r>
      <w:r w:rsidR="00A12D9D" w:rsidRPr="00527CE6">
        <w:rPr>
          <w:rFonts w:ascii="Times New Roman" w:hAnsi="Times New Roman"/>
          <w:szCs w:val="24"/>
        </w:rPr>
        <w:t>suspect</w:t>
      </w:r>
      <w:r w:rsidR="003B52CC" w:rsidRPr="00527CE6">
        <w:rPr>
          <w:rFonts w:ascii="Times New Roman" w:hAnsi="Times New Roman"/>
          <w:szCs w:val="24"/>
        </w:rPr>
        <w:t>s</w:t>
      </w:r>
      <w:r w:rsidR="00A12D9D" w:rsidRPr="00527CE6">
        <w:rPr>
          <w:rFonts w:ascii="Times New Roman" w:hAnsi="Times New Roman"/>
          <w:szCs w:val="24"/>
        </w:rPr>
        <w:t xml:space="preserve"> that </w:t>
      </w:r>
      <w:r w:rsidR="00993F23" w:rsidRPr="00527CE6">
        <w:rPr>
          <w:rFonts w:ascii="Times New Roman" w:hAnsi="Times New Roman"/>
          <w:szCs w:val="24"/>
        </w:rPr>
        <w:t xml:space="preserve">their </w:t>
      </w:r>
      <w:r w:rsidR="00A12D9D" w:rsidRPr="00527CE6">
        <w:rPr>
          <w:rFonts w:ascii="Times New Roman" w:hAnsi="Times New Roman"/>
          <w:szCs w:val="24"/>
        </w:rPr>
        <w:t xml:space="preserve">mobile service number has been fraudulently ported </w:t>
      </w:r>
      <w:r w:rsidR="008A266B" w:rsidRPr="00D14532">
        <w:rPr>
          <w:rFonts w:ascii="Times New Roman" w:hAnsi="Times New Roman"/>
          <w:szCs w:val="24"/>
        </w:rPr>
        <w:t>they</w:t>
      </w:r>
      <w:r w:rsidR="0060322E" w:rsidRPr="00527CE6">
        <w:rPr>
          <w:rFonts w:ascii="Times New Roman" w:hAnsi="Times New Roman"/>
          <w:szCs w:val="24"/>
        </w:rPr>
        <w:t xml:space="preserve"> </w:t>
      </w:r>
      <w:r w:rsidR="00A12D9D" w:rsidRPr="00527CE6">
        <w:rPr>
          <w:rFonts w:ascii="Times New Roman" w:hAnsi="Times New Roman"/>
          <w:szCs w:val="24"/>
        </w:rPr>
        <w:t>should</w:t>
      </w:r>
      <w:r w:rsidR="003E27F0" w:rsidRPr="00527CE6">
        <w:rPr>
          <w:rFonts w:ascii="Times New Roman" w:hAnsi="Times New Roman"/>
          <w:szCs w:val="24"/>
        </w:rPr>
        <w:t xml:space="preserve"> </w:t>
      </w:r>
      <w:r w:rsidR="00093DA5" w:rsidRPr="00527CE6">
        <w:rPr>
          <w:rFonts w:ascii="Times New Roman" w:hAnsi="Times New Roman"/>
          <w:szCs w:val="24"/>
        </w:rPr>
        <w:t xml:space="preserve">immediately </w:t>
      </w:r>
      <w:r w:rsidR="003E27F0" w:rsidRPr="00527CE6">
        <w:rPr>
          <w:rFonts w:ascii="Times New Roman" w:hAnsi="Times New Roman"/>
          <w:szCs w:val="24"/>
        </w:rPr>
        <w:t>report the activity to:</w:t>
      </w:r>
      <w:r w:rsidR="00A12D9D" w:rsidRPr="00527CE6">
        <w:rPr>
          <w:rFonts w:ascii="Times New Roman" w:hAnsi="Times New Roman"/>
          <w:szCs w:val="24"/>
        </w:rPr>
        <w:t xml:space="preserve"> </w:t>
      </w:r>
    </w:p>
    <w:p w14:paraId="4E38FAC4" w14:textId="4ADABFB2" w:rsidR="00BE23B3" w:rsidRPr="00527CE6" w:rsidRDefault="00CA7DB4" w:rsidP="009D39D3">
      <w:pPr>
        <w:pStyle w:val="paragraphsub"/>
        <w:tabs>
          <w:tab w:val="clear" w:pos="1985"/>
        </w:tabs>
        <w:spacing w:before="0" w:after="120"/>
        <w:ind w:left="2268" w:hanging="567"/>
      </w:pPr>
      <w:r w:rsidRPr="00527CE6">
        <w:t>(i)</w:t>
      </w:r>
      <w:r w:rsidRPr="00527CE6">
        <w:tab/>
      </w:r>
      <w:r w:rsidR="007A657C" w:rsidRPr="00527CE6">
        <w:t xml:space="preserve">the Australian Federal Police </w:t>
      </w:r>
      <w:r w:rsidR="00512199" w:rsidRPr="00527CE6">
        <w:t xml:space="preserve">or the relevant </w:t>
      </w:r>
      <w:r w:rsidR="00F3572B" w:rsidRPr="00527CE6">
        <w:t>State or Territory Police</w:t>
      </w:r>
      <w:r w:rsidR="00BE23B3" w:rsidRPr="00527CE6">
        <w:t>;</w:t>
      </w:r>
      <w:r w:rsidR="003B788F" w:rsidRPr="00527CE6">
        <w:t xml:space="preserve"> and</w:t>
      </w:r>
    </w:p>
    <w:p w14:paraId="2C6A3DAA" w14:textId="36FF6FD6" w:rsidR="00A12D9D" w:rsidRPr="00527CE6" w:rsidRDefault="00BE23B3" w:rsidP="009D39D3">
      <w:pPr>
        <w:pStyle w:val="paragraphsub"/>
        <w:tabs>
          <w:tab w:val="clear" w:pos="1985"/>
        </w:tabs>
        <w:spacing w:before="0" w:after="120"/>
        <w:ind w:left="2268" w:hanging="567"/>
      </w:pPr>
      <w:r w:rsidRPr="00527CE6">
        <w:t>(ii)</w:t>
      </w:r>
      <w:r w:rsidRPr="00527CE6">
        <w:tab/>
      </w:r>
      <w:r w:rsidR="006A5CBA" w:rsidRPr="00527CE6">
        <w:t xml:space="preserve">government services that support </w:t>
      </w:r>
      <w:r w:rsidR="005E1151" w:rsidRPr="00527CE6">
        <w:t>customer</w:t>
      </w:r>
      <w:r w:rsidR="00E805FD" w:rsidRPr="00527CE6">
        <w:t>s</w:t>
      </w:r>
      <w:r w:rsidR="006A5CBA" w:rsidRPr="00527CE6">
        <w:t xml:space="preserve"> whose mobile service number is the subject of an unauthorised port</w:t>
      </w:r>
      <w:r w:rsidR="00C871EF" w:rsidRPr="00527CE6">
        <w:t>.</w:t>
      </w:r>
    </w:p>
    <w:bookmarkEnd w:id="17"/>
    <w:p w14:paraId="7E05477F" w14:textId="493AC6FA" w:rsidR="00FF4743" w:rsidRPr="00527CE6" w:rsidRDefault="00FF4743" w:rsidP="009D39D3">
      <w:pPr>
        <w:pStyle w:val="paragraph"/>
        <w:tabs>
          <w:tab w:val="clear" w:pos="1531"/>
        </w:tabs>
        <w:ind w:left="2268" w:hanging="567"/>
        <w:rPr>
          <w:sz w:val="18"/>
          <w:szCs w:val="16"/>
        </w:rPr>
      </w:pPr>
      <w:r w:rsidRPr="00527CE6">
        <w:rPr>
          <w:sz w:val="18"/>
          <w:szCs w:val="16"/>
        </w:rPr>
        <w:t>Note:</w:t>
      </w:r>
      <w:r w:rsidR="00255DE4" w:rsidRPr="00527CE6">
        <w:rPr>
          <w:sz w:val="18"/>
          <w:szCs w:val="16"/>
        </w:rPr>
        <w:t xml:space="preserve">  </w:t>
      </w:r>
      <w:r w:rsidR="00E6093F">
        <w:rPr>
          <w:sz w:val="18"/>
          <w:szCs w:val="16"/>
        </w:rPr>
        <w:tab/>
      </w:r>
      <w:r w:rsidR="00DA7170" w:rsidRPr="00527CE6">
        <w:rPr>
          <w:sz w:val="18"/>
          <w:szCs w:val="16"/>
        </w:rPr>
        <w:t xml:space="preserve">At the time of making this industry standard, </w:t>
      </w:r>
      <w:r w:rsidRPr="00527CE6">
        <w:rPr>
          <w:sz w:val="18"/>
          <w:szCs w:val="16"/>
        </w:rPr>
        <w:t>these kinds of services include</w:t>
      </w:r>
      <w:r w:rsidR="009D39D3" w:rsidRPr="00527CE6">
        <w:rPr>
          <w:sz w:val="18"/>
          <w:szCs w:val="16"/>
        </w:rPr>
        <w:t>d</w:t>
      </w:r>
      <w:r w:rsidRPr="00527CE6">
        <w:rPr>
          <w:sz w:val="18"/>
          <w:szCs w:val="16"/>
        </w:rPr>
        <w:t xml:space="preserve"> </w:t>
      </w:r>
      <w:r w:rsidR="00A20209" w:rsidRPr="00527CE6">
        <w:rPr>
          <w:sz w:val="18"/>
          <w:szCs w:val="16"/>
        </w:rPr>
        <w:t>Scamwatch and IDCARE</w:t>
      </w:r>
    </w:p>
    <w:p w14:paraId="25ED8F01" w14:textId="06C0DD45" w:rsidR="00463B96" w:rsidRPr="00527CE6" w:rsidRDefault="007252A6" w:rsidP="00F36FC2">
      <w:pPr>
        <w:spacing w:after="0" w:line="240" w:lineRule="auto"/>
      </w:pPr>
      <w:r w:rsidRPr="00527CE6" w:rsidDel="007252A6">
        <w:rPr>
          <w:i/>
          <w:iCs/>
          <w:sz w:val="18"/>
          <w:szCs w:val="18"/>
        </w:rPr>
        <w:t xml:space="preserve"> </w:t>
      </w:r>
    </w:p>
    <w:p w14:paraId="6C580F43" w14:textId="79674374" w:rsidR="00C53D40" w:rsidRPr="00527CE6" w:rsidRDefault="00C53D40" w:rsidP="00C53D40">
      <w:pPr>
        <w:rPr>
          <w:rFonts w:ascii="Times New Roman" w:hAnsi="Times New Roman" w:cs="Times New Roman"/>
          <w:b/>
          <w:bCs/>
          <w:sz w:val="32"/>
          <w:szCs w:val="32"/>
        </w:rPr>
      </w:pPr>
      <w:r w:rsidRPr="00527CE6">
        <w:rPr>
          <w:rFonts w:ascii="Times New Roman" w:hAnsi="Times New Roman" w:cs="Times New Roman"/>
          <w:b/>
          <w:bCs/>
          <w:sz w:val="32"/>
          <w:szCs w:val="32"/>
        </w:rPr>
        <w:t>Part 4—T</w:t>
      </w:r>
      <w:r w:rsidR="00D52C97" w:rsidRPr="00527CE6">
        <w:rPr>
          <w:rFonts w:ascii="Times New Roman" w:hAnsi="Times New Roman" w:cs="Times New Roman"/>
          <w:b/>
          <w:bCs/>
          <w:sz w:val="32"/>
          <w:szCs w:val="32"/>
        </w:rPr>
        <w:t xml:space="preserve">elecommunications </w:t>
      </w:r>
      <w:r w:rsidRPr="00527CE6">
        <w:rPr>
          <w:rFonts w:ascii="Times New Roman" w:hAnsi="Times New Roman" w:cs="Times New Roman"/>
          <w:b/>
          <w:bCs/>
          <w:sz w:val="32"/>
          <w:szCs w:val="32"/>
        </w:rPr>
        <w:t>I</w:t>
      </w:r>
      <w:r w:rsidR="00D52C97" w:rsidRPr="00527CE6">
        <w:rPr>
          <w:rFonts w:ascii="Times New Roman" w:hAnsi="Times New Roman" w:cs="Times New Roman"/>
          <w:b/>
          <w:bCs/>
          <w:sz w:val="32"/>
          <w:szCs w:val="32"/>
        </w:rPr>
        <w:t xml:space="preserve">ndustry </w:t>
      </w:r>
      <w:r w:rsidRPr="00527CE6">
        <w:rPr>
          <w:rFonts w:ascii="Times New Roman" w:hAnsi="Times New Roman" w:cs="Times New Roman"/>
          <w:b/>
          <w:bCs/>
          <w:sz w:val="32"/>
          <w:szCs w:val="32"/>
        </w:rPr>
        <w:t>O</w:t>
      </w:r>
      <w:r w:rsidR="00D52C97" w:rsidRPr="00527CE6">
        <w:rPr>
          <w:rFonts w:ascii="Times New Roman" w:hAnsi="Times New Roman" w:cs="Times New Roman"/>
          <w:b/>
          <w:bCs/>
          <w:sz w:val="32"/>
          <w:szCs w:val="32"/>
        </w:rPr>
        <w:t>mbudsman</w:t>
      </w:r>
      <w:r w:rsidRPr="00527CE6">
        <w:rPr>
          <w:rFonts w:ascii="Times New Roman" w:hAnsi="Times New Roman" w:cs="Times New Roman"/>
          <w:b/>
          <w:bCs/>
          <w:sz w:val="32"/>
          <w:szCs w:val="32"/>
        </w:rPr>
        <w:t xml:space="preserve"> and complaints handling</w:t>
      </w:r>
    </w:p>
    <w:p w14:paraId="094E7BBF" w14:textId="70175E3D" w:rsidR="00C53D40" w:rsidRPr="00527CE6" w:rsidRDefault="00DA7170" w:rsidP="003E7BF2">
      <w:pPr>
        <w:pStyle w:val="ActHead5"/>
        <w:ind w:left="567" w:hanging="567"/>
      </w:pPr>
      <w:r w:rsidRPr="00527CE6">
        <w:rPr>
          <w:rStyle w:val="CharSectno"/>
        </w:rPr>
        <w:t>10</w:t>
      </w:r>
      <w:r w:rsidR="00C53D40" w:rsidRPr="00527CE6">
        <w:t xml:space="preserve">  Conferral of </w:t>
      </w:r>
      <w:r w:rsidR="00425F6B" w:rsidRPr="00527CE6">
        <w:t>functions and powers</w:t>
      </w:r>
      <w:r w:rsidR="00C53D40" w:rsidRPr="00527CE6">
        <w:t xml:space="preserve"> </w:t>
      </w:r>
      <w:r w:rsidR="00FF4743" w:rsidRPr="00527CE6">
        <w:t>on</w:t>
      </w:r>
      <w:r w:rsidR="00C53D40" w:rsidRPr="00527CE6">
        <w:t xml:space="preserve"> the Telecommunications Industry Ombudsman</w:t>
      </w:r>
    </w:p>
    <w:p w14:paraId="1602CAAC" w14:textId="2B917FE8" w:rsidR="00777885" w:rsidRPr="00527CE6" w:rsidRDefault="00777885" w:rsidP="00393A24">
      <w:pPr>
        <w:spacing w:before="120" w:after="0" w:line="276" w:lineRule="auto"/>
        <w:ind w:left="567"/>
        <w:rPr>
          <w:rFonts w:ascii="Times New Roman" w:hAnsi="Times New Roman"/>
          <w:szCs w:val="24"/>
        </w:rPr>
      </w:pPr>
      <w:r w:rsidRPr="00527CE6">
        <w:rPr>
          <w:rFonts w:ascii="Times New Roman" w:hAnsi="Times New Roman"/>
          <w:szCs w:val="24"/>
        </w:rPr>
        <w:t>T</w:t>
      </w:r>
      <w:r w:rsidR="00C53D40" w:rsidRPr="00527CE6">
        <w:rPr>
          <w:rFonts w:ascii="Times New Roman" w:hAnsi="Times New Roman"/>
          <w:szCs w:val="24"/>
        </w:rPr>
        <w:t xml:space="preserve">his industry standard confers on the Telecommunications </w:t>
      </w:r>
      <w:r w:rsidR="00D52C97" w:rsidRPr="00527CE6">
        <w:rPr>
          <w:rFonts w:ascii="Times New Roman" w:hAnsi="Times New Roman"/>
          <w:szCs w:val="24"/>
        </w:rPr>
        <w:t xml:space="preserve">Industry </w:t>
      </w:r>
      <w:r w:rsidR="00C53D40" w:rsidRPr="00527CE6">
        <w:rPr>
          <w:rFonts w:ascii="Times New Roman" w:hAnsi="Times New Roman"/>
          <w:szCs w:val="24"/>
        </w:rPr>
        <w:t xml:space="preserve">Ombudsman </w:t>
      </w:r>
      <w:r w:rsidR="002E0755">
        <w:rPr>
          <w:rFonts w:ascii="Times New Roman" w:hAnsi="Times New Roman"/>
          <w:szCs w:val="24"/>
        </w:rPr>
        <w:t xml:space="preserve">the </w:t>
      </w:r>
      <w:r w:rsidR="00C53D40" w:rsidRPr="00527CE6">
        <w:rPr>
          <w:rFonts w:ascii="Times New Roman" w:hAnsi="Times New Roman"/>
          <w:szCs w:val="24"/>
        </w:rPr>
        <w:t>functions and powers</w:t>
      </w:r>
      <w:r w:rsidRPr="00527CE6">
        <w:rPr>
          <w:rFonts w:ascii="Times New Roman" w:hAnsi="Times New Roman"/>
          <w:szCs w:val="24"/>
        </w:rPr>
        <w:t xml:space="preserve"> of:</w:t>
      </w:r>
    </w:p>
    <w:p w14:paraId="37F16D60" w14:textId="156100F7" w:rsidR="00777885" w:rsidRPr="00527CE6" w:rsidRDefault="00777885" w:rsidP="003E7BF2">
      <w:pPr>
        <w:pStyle w:val="ListParagraph"/>
        <w:numPr>
          <w:ilvl w:val="0"/>
          <w:numId w:val="46"/>
        </w:numPr>
        <w:spacing w:before="120" w:after="0" w:line="276" w:lineRule="auto"/>
        <w:ind w:left="1134" w:hanging="567"/>
        <w:rPr>
          <w:rFonts w:ascii="Times New Roman" w:hAnsi="Times New Roman"/>
          <w:szCs w:val="24"/>
        </w:rPr>
      </w:pPr>
      <w:r w:rsidRPr="00527CE6">
        <w:rPr>
          <w:rFonts w:ascii="Times New Roman" w:hAnsi="Times New Roman"/>
          <w:szCs w:val="24"/>
        </w:rPr>
        <w:t>receiving</w:t>
      </w:r>
      <w:r w:rsidR="001A1A53" w:rsidRPr="00527CE6">
        <w:rPr>
          <w:rFonts w:ascii="Times New Roman" w:hAnsi="Times New Roman"/>
          <w:szCs w:val="24"/>
        </w:rPr>
        <w:t>;</w:t>
      </w:r>
    </w:p>
    <w:p w14:paraId="56341BAB" w14:textId="7481830C" w:rsidR="00777885" w:rsidRPr="00527CE6" w:rsidRDefault="00777885" w:rsidP="003E7BF2">
      <w:pPr>
        <w:pStyle w:val="ListParagraph"/>
        <w:numPr>
          <w:ilvl w:val="0"/>
          <w:numId w:val="46"/>
        </w:numPr>
        <w:spacing w:before="120" w:after="0" w:line="276" w:lineRule="auto"/>
        <w:ind w:left="1134" w:hanging="567"/>
        <w:rPr>
          <w:rFonts w:ascii="Times New Roman" w:hAnsi="Times New Roman"/>
          <w:szCs w:val="24"/>
        </w:rPr>
      </w:pPr>
      <w:r w:rsidRPr="00527CE6">
        <w:rPr>
          <w:rFonts w:ascii="Times New Roman" w:hAnsi="Times New Roman"/>
          <w:szCs w:val="24"/>
        </w:rPr>
        <w:t>investigating</w:t>
      </w:r>
      <w:r w:rsidR="001A1A53" w:rsidRPr="00527CE6">
        <w:rPr>
          <w:rFonts w:ascii="Times New Roman" w:hAnsi="Times New Roman"/>
          <w:szCs w:val="24"/>
        </w:rPr>
        <w:t>;</w:t>
      </w:r>
    </w:p>
    <w:p w14:paraId="68F91E9A" w14:textId="37FC9D31" w:rsidR="00777885" w:rsidRPr="00527CE6" w:rsidRDefault="00777885" w:rsidP="003E7BF2">
      <w:pPr>
        <w:pStyle w:val="ListParagraph"/>
        <w:numPr>
          <w:ilvl w:val="0"/>
          <w:numId w:val="46"/>
        </w:numPr>
        <w:spacing w:before="120" w:after="0" w:line="276" w:lineRule="auto"/>
        <w:ind w:left="1134" w:hanging="567"/>
        <w:rPr>
          <w:rFonts w:ascii="Times New Roman" w:hAnsi="Times New Roman"/>
          <w:szCs w:val="24"/>
        </w:rPr>
      </w:pPr>
      <w:r w:rsidRPr="00527CE6">
        <w:rPr>
          <w:rFonts w:ascii="Times New Roman" w:hAnsi="Times New Roman"/>
          <w:szCs w:val="24"/>
        </w:rPr>
        <w:t>facilitating the resolution of;</w:t>
      </w:r>
    </w:p>
    <w:p w14:paraId="71272163" w14:textId="582CEAF8" w:rsidR="00777885" w:rsidRPr="00527CE6" w:rsidRDefault="00777885" w:rsidP="003E7BF2">
      <w:pPr>
        <w:pStyle w:val="ListParagraph"/>
        <w:numPr>
          <w:ilvl w:val="0"/>
          <w:numId w:val="46"/>
        </w:numPr>
        <w:spacing w:before="120" w:after="0" w:line="276" w:lineRule="auto"/>
        <w:ind w:left="1134" w:hanging="567"/>
        <w:rPr>
          <w:rFonts w:ascii="Times New Roman" w:hAnsi="Times New Roman"/>
          <w:szCs w:val="24"/>
        </w:rPr>
      </w:pPr>
      <w:r w:rsidRPr="00527CE6">
        <w:rPr>
          <w:rFonts w:ascii="Times New Roman" w:hAnsi="Times New Roman"/>
          <w:szCs w:val="24"/>
        </w:rPr>
        <w:t>making determinations in relation to;</w:t>
      </w:r>
    </w:p>
    <w:p w14:paraId="3944A6DE" w14:textId="673144A9" w:rsidR="00777885" w:rsidRPr="00527CE6" w:rsidRDefault="00777885" w:rsidP="003E7BF2">
      <w:pPr>
        <w:pStyle w:val="ListParagraph"/>
        <w:numPr>
          <w:ilvl w:val="0"/>
          <w:numId w:val="46"/>
        </w:numPr>
        <w:spacing w:before="120" w:after="0" w:line="276" w:lineRule="auto"/>
        <w:ind w:left="1134" w:hanging="567"/>
        <w:rPr>
          <w:rFonts w:ascii="Times New Roman" w:hAnsi="Times New Roman"/>
          <w:szCs w:val="24"/>
        </w:rPr>
      </w:pPr>
      <w:r w:rsidRPr="00527CE6">
        <w:rPr>
          <w:rFonts w:ascii="Times New Roman" w:hAnsi="Times New Roman"/>
          <w:szCs w:val="24"/>
        </w:rPr>
        <w:t>giving directions in relation to; and</w:t>
      </w:r>
    </w:p>
    <w:p w14:paraId="0806EF7E" w14:textId="52899BC8" w:rsidR="00777885" w:rsidRPr="00527CE6" w:rsidRDefault="00777885" w:rsidP="003E7BF2">
      <w:pPr>
        <w:pStyle w:val="ListParagraph"/>
        <w:numPr>
          <w:ilvl w:val="0"/>
          <w:numId w:val="46"/>
        </w:numPr>
        <w:spacing w:before="120" w:after="0" w:line="276" w:lineRule="auto"/>
        <w:ind w:left="1134" w:hanging="567"/>
        <w:rPr>
          <w:rFonts w:ascii="Times New Roman" w:hAnsi="Times New Roman"/>
          <w:szCs w:val="24"/>
        </w:rPr>
      </w:pPr>
      <w:r w:rsidRPr="00527CE6">
        <w:rPr>
          <w:rFonts w:ascii="Times New Roman" w:hAnsi="Times New Roman"/>
          <w:szCs w:val="24"/>
        </w:rPr>
        <w:t>reporting on</w:t>
      </w:r>
      <w:r w:rsidR="001A1A53" w:rsidRPr="00527CE6">
        <w:rPr>
          <w:rFonts w:ascii="Times New Roman" w:hAnsi="Times New Roman"/>
          <w:szCs w:val="24"/>
        </w:rPr>
        <w:t>;</w:t>
      </w:r>
    </w:p>
    <w:p w14:paraId="22EE1259" w14:textId="72AD47F5" w:rsidR="00C53D40" w:rsidRPr="00527CE6" w:rsidRDefault="00220AED" w:rsidP="00393A24">
      <w:pPr>
        <w:spacing w:before="120" w:after="0" w:line="276" w:lineRule="auto"/>
        <w:ind w:left="567"/>
        <w:rPr>
          <w:szCs w:val="24"/>
        </w:rPr>
      </w:pPr>
      <w:r w:rsidRPr="00527CE6">
        <w:rPr>
          <w:rFonts w:ascii="Times New Roman" w:hAnsi="Times New Roman"/>
          <w:szCs w:val="24"/>
        </w:rPr>
        <w:t xml:space="preserve">customer complaints about </w:t>
      </w:r>
      <w:r w:rsidR="00777885" w:rsidRPr="00527CE6">
        <w:rPr>
          <w:rFonts w:ascii="Times New Roman" w:hAnsi="Times New Roman"/>
          <w:szCs w:val="24"/>
        </w:rPr>
        <w:t xml:space="preserve">matters referred to in this </w:t>
      </w:r>
      <w:r w:rsidR="004F04CF" w:rsidRPr="00527CE6">
        <w:rPr>
          <w:rFonts w:ascii="Times New Roman" w:hAnsi="Times New Roman"/>
          <w:szCs w:val="24"/>
        </w:rPr>
        <w:t xml:space="preserve">industry </w:t>
      </w:r>
      <w:r w:rsidR="00777885" w:rsidRPr="00527CE6">
        <w:rPr>
          <w:rFonts w:ascii="Times New Roman" w:hAnsi="Times New Roman"/>
          <w:szCs w:val="24"/>
        </w:rPr>
        <w:t>standard.</w:t>
      </w:r>
    </w:p>
    <w:p w14:paraId="6D7AB14C" w14:textId="77777777" w:rsidR="005A1289" w:rsidRPr="00527CE6" w:rsidRDefault="005A1289" w:rsidP="00406377">
      <w:pPr>
        <w:pStyle w:val="subsection"/>
        <w:spacing w:before="120"/>
        <w:ind w:left="1133" w:firstLine="0"/>
      </w:pPr>
    </w:p>
    <w:p w14:paraId="508A9EB6" w14:textId="77588459" w:rsidR="0023401E" w:rsidRPr="00527CE6" w:rsidRDefault="0023401E">
      <w:pPr>
        <w:rPr>
          <w:rFonts w:ascii="Times New Roman" w:eastAsia="Times New Roman" w:hAnsi="Times New Roman" w:cs="Times New Roman"/>
          <w:szCs w:val="20"/>
          <w:lang w:eastAsia="en-AU"/>
        </w:rPr>
      </w:pPr>
      <w:r w:rsidRPr="00527CE6">
        <w:br w:type="page"/>
      </w:r>
    </w:p>
    <w:p w14:paraId="19DA5507" w14:textId="77777777" w:rsidR="0023401E" w:rsidRPr="00527CE6" w:rsidRDefault="0023401E" w:rsidP="00406377">
      <w:pPr>
        <w:pStyle w:val="subsection"/>
        <w:spacing w:before="120"/>
        <w:ind w:left="1133" w:firstLine="0"/>
        <w:sectPr w:rsidR="0023401E" w:rsidRPr="00527CE6" w:rsidSect="006D3742">
          <w:headerReference w:type="even" r:id="rId17"/>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6CABC9F8" w14:textId="7CAE7F81" w:rsidR="00E272CF" w:rsidRPr="00527CE6" w:rsidRDefault="00E272CF" w:rsidP="00E272CF">
      <w:pPr>
        <w:pStyle w:val="ActHead5"/>
        <w:spacing w:before="0"/>
        <w:ind w:left="1843" w:hanging="1843"/>
        <w:rPr>
          <w:sz w:val="32"/>
          <w:szCs w:val="32"/>
        </w:rPr>
      </w:pPr>
      <w:r w:rsidRPr="00527CE6">
        <w:rPr>
          <w:rStyle w:val="CharSectno"/>
          <w:sz w:val="32"/>
          <w:szCs w:val="32"/>
        </w:rPr>
        <w:lastRenderedPageBreak/>
        <w:t xml:space="preserve">Schedule 1 – </w:t>
      </w:r>
      <w:r w:rsidR="001A1A53" w:rsidRPr="00527CE6">
        <w:rPr>
          <w:rStyle w:val="CharSectno"/>
          <w:sz w:val="32"/>
          <w:szCs w:val="32"/>
        </w:rPr>
        <w:t>Additional i</w:t>
      </w:r>
      <w:r w:rsidRPr="00527CE6">
        <w:rPr>
          <w:rStyle w:val="CharSectno"/>
          <w:sz w:val="32"/>
          <w:szCs w:val="32"/>
        </w:rPr>
        <w:t>dentity verification process</w:t>
      </w:r>
      <w:r w:rsidR="001A1A53" w:rsidRPr="00527CE6">
        <w:rPr>
          <w:rStyle w:val="CharSectno"/>
          <w:sz w:val="32"/>
          <w:szCs w:val="32"/>
        </w:rPr>
        <w:t xml:space="preserve"> using category A and category B documents</w:t>
      </w:r>
    </w:p>
    <w:p w14:paraId="15701201" w14:textId="4D5E81A8" w:rsidR="00E272CF" w:rsidRPr="00D14532" w:rsidRDefault="00E272CF" w:rsidP="003E7BF2">
      <w:pPr>
        <w:pStyle w:val="subsection"/>
        <w:tabs>
          <w:tab w:val="clear" w:pos="1021"/>
        </w:tabs>
        <w:ind w:hanging="567"/>
        <w:jc w:val="center"/>
        <w:rPr>
          <w:sz w:val="18"/>
          <w:szCs w:val="18"/>
        </w:rPr>
      </w:pPr>
      <w:r w:rsidRPr="00D14532">
        <w:rPr>
          <w:sz w:val="18"/>
          <w:szCs w:val="18"/>
        </w:rPr>
        <w:t>(Paragraph 8(</w:t>
      </w:r>
      <w:r w:rsidR="003767CB" w:rsidRPr="00D14532">
        <w:rPr>
          <w:sz w:val="18"/>
          <w:szCs w:val="18"/>
        </w:rPr>
        <w:t>3</w:t>
      </w:r>
      <w:r w:rsidRPr="00D14532">
        <w:rPr>
          <w:sz w:val="18"/>
          <w:szCs w:val="18"/>
        </w:rPr>
        <w:t>)</w:t>
      </w:r>
      <w:r w:rsidR="001A1A53" w:rsidRPr="00D14532">
        <w:rPr>
          <w:sz w:val="18"/>
          <w:szCs w:val="18"/>
        </w:rPr>
        <w:t>(a)</w:t>
      </w:r>
      <w:r w:rsidRPr="00D14532">
        <w:rPr>
          <w:sz w:val="18"/>
          <w:szCs w:val="18"/>
        </w:rPr>
        <w:t>)</w:t>
      </w:r>
    </w:p>
    <w:p w14:paraId="076F5ADA" w14:textId="608C3118" w:rsidR="00E272CF" w:rsidRPr="00527CE6" w:rsidRDefault="00E272CF" w:rsidP="007252A6">
      <w:pPr>
        <w:pStyle w:val="R1"/>
        <w:numPr>
          <w:ilvl w:val="0"/>
          <w:numId w:val="42"/>
        </w:numPr>
        <w:tabs>
          <w:tab w:val="clear" w:pos="794"/>
        </w:tabs>
        <w:ind w:left="1134" w:hanging="567"/>
        <w:rPr>
          <w:sz w:val="22"/>
        </w:rPr>
      </w:pPr>
      <w:bookmarkStart w:id="18" w:name="_Hlk32347212"/>
      <w:r w:rsidRPr="00527CE6">
        <w:rPr>
          <w:sz w:val="22"/>
        </w:rPr>
        <w:t xml:space="preserve">This Schedule sets out the </w:t>
      </w:r>
      <w:r w:rsidR="001A1A53" w:rsidRPr="00527CE6">
        <w:rPr>
          <w:sz w:val="22"/>
        </w:rPr>
        <w:t xml:space="preserve">additional </w:t>
      </w:r>
      <w:r w:rsidRPr="00527CE6">
        <w:rPr>
          <w:sz w:val="22"/>
        </w:rPr>
        <w:t xml:space="preserve">identity verification process which a </w:t>
      </w:r>
      <w:r w:rsidR="001A1A53" w:rsidRPr="00527CE6">
        <w:rPr>
          <w:sz w:val="22"/>
        </w:rPr>
        <w:t xml:space="preserve">gaining </w:t>
      </w:r>
      <w:r w:rsidRPr="00527CE6">
        <w:rPr>
          <w:sz w:val="22"/>
        </w:rPr>
        <w:t>carriage service provider must use to verify the identity of a customer for the purposes of paragraph 8(</w:t>
      </w:r>
      <w:r w:rsidR="003767CB" w:rsidRPr="00527CE6">
        <w:rPr>
          <w:sz w:val="22"/>
        </w:rPr>
        <w:t>3</w:t>
      </w:r>
      <w:r w:rsidRPr="00527CE6">
        <w:rPr>
          <w:sz w:val="22"/>
        </w:rPr>
        <w:t>)</w:t>
      </w:r>
      <w:r w:rsidR="005D0962" w:rsidRPr="00527CE6">
        <w:rPr>
          <w:sz w:val="22"/>
        </w:rPr>
        <w:t>(a)</w:t>
      </w:r>
      <w:r w:rsidRPr="00527CE6">
        <w:rPr>
          <w:sz w:val="22"/>
        </w:rPr>
        <w:t>.</w:t>
      </w:r>
    </w:p>
    <w:p w14:paraId="4E5BBCA1" w14:textId="11472FA1" w:rsidR="001C0E88" w:rsidRPr="00527CE6" w:rsidRDefault="00E272CF" w:rsidP="003E7BF2">
      <w:pPr>
        <w:pStyle w:val="R1"/>
        <w:numPr>
          <w:ilvl w:val="0"/>
          <w:numId w:val="42"/>
        </w:numPr>
        <w:tabs>
          <w:tab w:val="clear" w:pos="794"/>
        </w:tabs>
        <w:ind w:left="1134" w:hanging="567"/>
      </w:pPr>
      <w:r w:rsidRPr="00527CE6">
        <w:rPr>
          <w:sz w:val="22"/>
        </w:rPr>
        <w:t xml:space="preserve">Category A documents are those mentioned in Table 1 and category B documents are those mentioned in Table </w:t>
      </w:r>
      <w:r w:rsidR="002570E6" w:rsidRPr="00527CE6">
        <w:rPr>
          <w:sz w:val="22"/>
        </w:rPr>
        <w:t>2</w:t>
      </w:r>
      <w:r w:rsidRPr="00527CE6">
        <w:rPr>
          <w:sz w:val="22"/>
        </w:rPr>
        <w:t>.</w:t>
      </w:r>
    </w:p>
    <w:p w14:paraId="2D48FEA8" w14:textId="277B5E68" w:rsidR="005A7E34" w:rsidRPr="00527CE6" w:rsidRDefault="005A7E34" w:rsidP="002C6756">
      <w:pPr>
        <w:keepNext/>
        <w:spacing w:before="120" w:after="0" w:line="276" w:lineRule="auto"/>
        <w:ind w:left="1134" w:hanging="567"/>
        <w:rPr>
          <w:rFonts w:ascii="Times New Roman" w:hAnsi="Times New Roman" w:cs="Times New Roman"/>
          <w:szCs w:val="24"/>
        </w:rPr>
      </w:pPr>
      <w:r w:rsidRPr="00527CE6">
        <w:rPr>
          <w:rFonts w:ascii="Times New Roman" w:hAnsi="Times New Roman" w:cs="Times New Roman"/>
          <w:szCs w:val="24"/>
        </w:rPr>
        <w:t>(</w:t>
      </w:r>
      <w:r w:rsidR="00C456E4" w:rsidRPr="00527CE6">
        <w:rPr>
          <w:rFonts w:ascii="Times New Roman" w:hAnsi="Times New Roman" w:cs="Times New Roman"/>
          <w:szCs w:val="24"/>
        </w:rPr>
        <w:t>3</w:t>
      </w:r>
      <w:r w:rsidRPr="00527CE6">
        <w:rPr>
          <w:rFonts w:ascii="Times New Roman" w:hAnsi="Times New Roman" w:cs="Times New Roman"/>
          <w:szCs w:val="24"/>
        </w:rPr>
        <w:t>)</w:t>
      </w:r>
      <w:r w:rsidRPr="00527CE6">
        <w:rPr>
          <w:rFonts w:ascii="Times New Roman" w:hAnsi="Times New Roman" w:cs="Times New Roman"/>
          <w:szCs w:val="24"/>
        </w:rPr>
        <w:tab/>
      </w:r>
      <w:r w:rsidRPr="00527CE6">
        <w:rPr>
          <w:rFonts w:ascii="Times New Roman" w:hAnsi="Times New Roman" w:cs="Times New Roman"/>
        </w:rPr>
        <w:t xml:space="preserve">Subject to </w:t>
      </w:r>
      <w:r w:rsidR="00E02FDD" w:rsidRPr="00527CE6">
        <w:rPr>
          <w:rFonts w:ascii="Times New Roman" w:hAnsi="Times New Roman" w:cs="Times New Roman"/>
        </w:rPr>
        <w:t>clause</w:t>
      </w:r>
      <w:r w:rsidRPr="00527CE6">
        <w:rPr>
          <w:rFonts w:ascii="Times New Roman" w:hAnsi="Times New Roman" w:cs="Times New Roman"/>
        </w:rPr>
        <w:t xml:space="preserve"> (</w:t>
      </w:r>
      <w:r w:rsidR="00A4094C" w:rsidRPr="00527CE6">
        <w:rPr>
          <w:rFonts w:ascii="Times New Roman" w:hAnsi="Times New Roman" w:cs="Times New Roman"/>
        </w:rPr>
        <w:t>5</w:t>
      </w:r>
      <w:r w:rsidRPr="00527CE6">
        <w:rPr>
          <w:rFonts w:ascii="Times New Roman" w:hAnsi="Times New Roman" w:cs="Times New Roman"/>
        </w:rPr>
        <w:t xml:space="preserve">), a </w:t>
      </w:r>
      <w:r w:rsidR="001A1A53" w:rsidRPr="00527CE6">
        <w:rPr>
          <w:rFonts w:ascii="Times New Roman" w:hAnsi="Times New Roman" w:cs="Times New Roman"/>
        </w:rPr>
        <w:t>gaining carriage service provider</w:t>
      </w:r>
      <w:r w:rsidRPr="00527CE6">
        <w:rPr>
          <w:rFonts w:ascii="Times New Roman" w:hAnsi="Times New Roman" w:cs="Times New Roman"/>
        </w:rPr>
        <w:t xml:space="preserve"> </w:t>
      </w:r>
      <w:r w:rsidR="001C5E5A" w:rsidRPr="00527CE6">
        <w:rPr>
          <w:rFonts w:ascii="Times New Roman" w:hAnsi="Times New Roman" w:cs="Times New Roman"/>
        </w:rPr>
        <w:t xml:space="preserve">may </w:t>
      </w:r>
      <w:r w:rsidRPr="00527CE6">
        <w:rPr>
          <w:rFonts w:ascii="Times New Roman" w:hAnsi="Times New Roman" w:cs="Times New Roman"/>
        </w:rPr>
        <w:t>verify that the requesting person is the rights of use holder of the mobile service number to be ported by sighting:</w:t>
      </w:r>
      <w:r w:rsidRPr="00527CE6">
        <w:rPr>
          <w:rFonts w:ascii="Times New Roman" w:hAnsi="Times New Roman" w:cs="Times New Roman"/>
          <w:szCs w:val="24"/>
        </w:rPr>
        <w:t xml:space="preserve"> </w:t>
      </w:r>
    </w:p>
    <w:p w14:paraId="645E3318" w14:textId="4B5124E5" w:rsidR="005A7E34" w:rsidRPr="00527CE6" w:rsidRDefault="005A7E34" w:rsidP="002C6756">
      <w:pPr>
        <w:pStyle w:val="paragraphsub"/>
        <w:keepNext/>
        <w:tabs>
          <w:tab w:val="clear" w:pos="1985"/>
        </w:tabs>
        <w:ind w:left="1701" w:hanging="567"/>
      </w:pPr>
      <w:r w:rsidRPr="00527CE6">
        <w:t>(a)</w:t>
      </w:r>
      <w:r w:rsidRPr="00527CE6">
        <w:tab/>
        <w:t>2 category A documents</w:t>
      </w:r>
      <w:r w:rsidR="00C569DC">
        <w:t xml:space="preserve"> </w:t>
      </w:r>
      <w:r w:rsidRPr="00527CE6">
        <w:t>identifying the customer; or</w:t>
      </w:r>
    </w:p>
    <w:p w14:paraId="1DFDDEB7" w14:textId="25D43D8B" w:rsidR="00FC7A10" w:rsidRPr="00527CE6" w:rsidRDefault="005A7E34" w:rsidP="003E7BF2">
      <w:pPr>
        <w:pStyle w:val="paragraphsub"/>
        <w:keepNext/>
        <w:tabs>
          <w:tab w:val="clear" w:pos="1985"/>
        </w:tabs>
        <w:ind w:left="1701" w:hanging="567"/>
      </w:pPr>
      <w:r w:rsidRPr="00527CE6">
        <w:t>(b)</w:t>
      </w:r>
      <w:r w:rsidRPr="00527CE6">
        <w:tab/>
        <w:t>1 category A document and 2 category B documents, identifying the customer</w:t>
      </w:r>
      <w:r w:rsidR="004458CD" w:rsidRPr="00527CE6">
        <w:t>.</w:t>
      </w:r>
    </w:p>
    <w:p w14:paraId="114C6E48" w14:textId="47D07D45" w:rsidR="00DA4B43" w:rsidRPr="00527CE6" w:rsidRDefault="00B951A0" w:rsidP="002C6756">
      <w:pPr>
        <w:keepNext/>
        <w:spacing w:before="120" w:after="0"/>
        <w:ind w:left="1134" w:hanging="567"/>
        <w:jc w:val="both"/>
        <w:rPr>
          <w:rFonts w:ascii="Times New Roman" w:hAnsi="Times New Roman" w:cs="Times New Roman"/>
          <w:szCs w:val="24"/>
        </w:rPr>
      </w:pPr>
      <w:r w:rsidRPr="00527CE6">
        <w:rPr>
          <w:rFonts w:ascii="Times New Roman" w:hAnsi="Times New Roman" w:cs="Times New Roman"/>
          <w:szCs w:val="24"/>
        </w:rPr>
        <w:t>(</w:t>
      </w:r>
      <w:r w:rsidR="004072EA" w:rsidRPr="00527CE6">
        <w:rPr>
          <w:rFonts w:ascii="Times New Roman" w:hAnsi="Times New Roman" w:cs="Times New Roman"/>
          <w:szCs w:val="24"/>
        </w:rPr>
        <w:t>4</w:t>
      </w:r>
      <w:r w:rsidRPr="00527CE6">
        <w:rPr>
          <w:rFonts w:ascii="Times New Roman" w:hAnsi="Times New Roman" w:cs="Times New Roman"/>
          <w:szCs w:val="24"/>
        </w:rPr>
        <w:t>)</w:t>
      </w:r>
      <w:r w:rsidRPr="00527CE6">
        <w:rPr>
          <w:rFonts w:ascii="Times New Roman" w:hAnsi="Times New Roman" w:cs="Times New Roman"/>
          <w:szCs w:val="24"/>
        </w:rPr>
        <w:tab/>
        <w:t xml:space="preserve">For clause </w:t>
      </w:r>
      <w:r w:rsidR="00C569DC">
        <w:rPr>
          <w:rFonts w:ascii="Times New Roman" w:hAnsi="Times New Roman" w:cs="Times New Roman"/>
          <w:szCs w:val="24"/>
        </w:rPr>
        <w:t>(</w:t>
      </w:r>
      <w:r w:rsidR="00683609" w:rsidRPr="00527CE6">
        <w:rPr>
          <w:rFonts w:ascii="Times New Roman" w:hAnsi="Times New Roman" w:cs="Times New Roman"/>
          <w:szCs w:val="24"/>
        </w:rPr>
        <w:t>3</w:t>
      </w:r>
      <w:r w:rsidR="00C569DC">
        <w:rPr>
          <w:rFonts w:ascii="Times New Roman" w:hAnsi="Times New Roman" w:cs="Times New Roman"/>
          <w:szCs w:val="24"/>
        </w:rPr>
        <w:t>)</w:t>
      </w:r>
      <w:r w:rsidRPr="00527CE6">
        <w:rPr>
          <w:rFonts w:ascii="Times New Roman" w:hAnsi="Times New Roman" w:cs="Times New Roman"/>
          <w:szCs w:val="24"/>
        </w:rPr>
        <w:t xml:space="preserve">, the same </w:t>
      </w:r>
      <w:r w:rsidR="00681690" w:rsidRPr="00527CE6">
        <w:rPr>
          <w:rFonts w:ascii="Times New Roman" w:hAnsi="Times New Roman" w:cs="Times New Roman"/>
          <w:szCs w:val="24"/>
        </w:rPr>
        <w:t>type of document</w:t>
      </w:r>
      <w:r w:rsidR="00103558" w:rsidRPr="00527CE6">
        <w:rPr>
          <w:rFonts w:ascii="Times New Roman" w:hAnsi="Times New Roman" w:cs="Times New Roman"/>
          <w:szCs w:val="24"/>
        </w:rPr>
        <w:t xml:space="preserve"> </w:t>
      </w:r>
      <w:r w:rsidRPr="00527CE6">
        <w:rPr>
          <w:rFonts w:ascii="Times New Roman" w:hAnsi="Times New Roman" w:cs="Times New Roman"/>
          <w:szCs w:val="24"/>
        </w:rPr>
        <w:t>may not be used twice in an identity verification process.</w:t>
      </w:r>
    </w:p>
    <w:p w14:paraId="59542E34" w14:textId="714744FD" w:rsidR="005A7E34" w:rsidRPr="00527CE6" w:rsidRDefault="005A7E34" w:rsidP="002C6756">
      <w:pPr>
        <w:keepNext/>
        <w:spacing w:before="120" w:after="0"/>
        <w:ind w:left="1134" w:hanging="567"/>
        <w:jc w:val="both"/>
        <w:rPr>
          <w:rFonts w:ascii="Times New Roman" w:hAnsi="Times New Roman" w:cs="Times New Roman"/>
          <w:szCs w:val="24"/>
        </w:rPr>
      </w:pPr>
      <w:r w:rsidRPr="00527CE6">
        <w:rPr>
          <w:rFonts w:ascii="Times New Roman" w:hAnsi="Times New Roman" w:cs="Times New Roman"/>
          <w:szCs w:val="24"/>
        </w:rPr>
        <w:t>(</w:t>
      </w:r>
      <w:r w:rsidR="004072EA" w:rsidRPr="00527CE6">
        <w:rPr>
          <w:rFonts w:ascii="Times New Roman" w:hAnsi="Times New Roman" w:cs="Times New Roman"/>
          <w:szCs w:val="24"/>
        </w:rPr>
        <w:t>5</w:t>
      </w:r>
      <w:r w:rsidRPr="00527CE6">
        <w:rPr>
          <w:rFonts w:ascii="Times New Roman" w:hAnsi="Times New Roman" w:cs="Times New Roman"/>
          <w:szCs w:val="24"/>
        </w:rPr>
        <w:t>)</w:t>
      </w:r>
      <w:r w:rsidRPr="00527CE6">
        <w:rPr>
          <w:rFonts w:ascii="Times New Roman" w:hAnsi="Times New Roman" w:cs="Times New Roman"/>
          <w:szCs w:val="24"/>
        </w:rPr>
        <w:tab/>
      </w:r>
      <w:r w:rsidR="008A266B" w:rsidRPr="00527CE6">
        <w:rPr>
          <w:rFonts w:ascii="Times New Roman" w:hAnsi="Times New Roman" w:cs="Times New Roman"/>
          <w:szCs w:val="24"/>
        </w:rPr>
        <w:t>F</w:t>
      </w:r>
      <w:r w:rsidRPr="00527CE6">
        <w:rPr>
          <w:rFonts w:ascii="Times New Roman" w:hAnsi="Times New Roman" w:cs="Times New Roman"/>
          <w:szCs w:val="24"/>
        </w:rPr>
        <w:t>or the purpose</w:t>
      </w:r>
      <w:r w:rsidR="008A266B" w:rsidRPr="00527CE6">
        <w:rPr>
          <w:rFonts w:ascii="Times New Roman" w:hAnsi="Times New Roman" w:cs="Times New Roman"/>
          <w:szCs w:val="24"/>
        </w:rPr>
        <w:t>s</w:t>
      </w:r>
      <w:r w:rsidRPr="00527CE6">
        <w:rPr>
          <w:rFonts w:ascii="Times New Roman" w:hAnsi="Times New Roman" w:cs="Times New Roman"/>
          <w:szCs w:val="24"/>
        </w:rPr>
        <w:t xml:space="preserve"> of the identity verification process described in </w:t>
      </w:r>
      <w:r w:rsidR="00BF5597" w:rsidRPr="00527CE6">
        <w:rPr>
          <w:rFonts w:ascii="Times New Roman" w:hAnsi="Times New Roman" w:cs="Times New Roman"/>
          <w:szCs w:val="24"/>
        </w:rPr>
        <w:t>clause (</w:t>
      </w:r>
      <w:r w:rsidR="00013C4F" w:rsidRPr="00527CE6">
        <w:rPr>
          <w:rFonts w:ascii="Times New Roman" w:hAnsi="Times New Roman" w:cs="Times New Roman"/>
          <w:szCs w:val="24"/>
        </w:rPr>
        <w:t>3</w:t>
      </w:r>
      <w:r w:rsidR="00BF5597" w:rsidRPr="00527CE6">
        <w:rPr>
          <w:rFonts w:ascii="Times New Roman" w:hAnsi="Times New Roman" w:cs="Times New Roman"/>
          <w:szCs w:val="24"/>
        </w:rPr>
        <w:t>)</w:t>
      </w:r>
      <w:r w:rsidRPr="00527CE6">
        <w:rPr>
          <w:rFonts w:ascii="Times New Roman" w:hAnsi="Times New Roman" w:cs="Times New Roman"/>
          <w:szCs w:val="24"/>
        </w:rPr>
        <w:t>:</w:t>
      </w:r>
    </w:p>
    <w:p w14:paraId="0D7D62D3" w14:textId="30C6013D" w:rsidR="005A7E34" w:rsidRPr="00527CE6" w:rsidRDefault="005A7E34" w:rsidP="002C6756">
      <w:pPr>
        <w:pStyle w:val="paragraphsub"/>
        <w:tabs>
          <w:tab w:val="clear" w:pos="1985"/>
        </w:tabs>
        <w:ind w:left="1701" w:hanging="567"/>
      </w:pPr>
      <w:r w:rsidRPr="00527CE6">
        <w:t>(a)</w:t>
      </w:r>
      <w:r w:rsidRPr="00527CE6">
        <w:tab/>
      </w:r>
      <w:r w:rsidR="002C6756" w:rsidRPr="00527CE6">
        <w:t xml:space="preserve">if </w:t>
      </w:r>
      <w:r w:rsidRPr="00527CE6">
        <w:t xml:space="preserve">a document </w:t>
      </w:r>
      <w:r w:rsidR="002C6756" w:rsidRPr="00527CE6">
        <w:t xml:space="preserve">(other than an Australian passport) </w:t>
      </w:r>
      <w:r w:rsidRPr="00527CE6">
        <w:t xml:space="preserve">shown to a </w:t>
      </w:r>
      <w:r w:rsidR="001A1A53" w:rsidRPr="00527CE6">
        <w:t>gaining carriage service provider</w:t>
      </w:r>
      <w:r w:rsidRPr="00527CE6">
        <w:t xml:space="preserve"> includes an expiry date, the </w:t>
      </w:r>
      <w:r w:rsidR="001A1A53" w:rsidRPr="00527CE6">
        <w:t xml:space="preserve">gaining </w:t>
      </w:r>
      <w:r w:rsidRPr="00527CE6">
        <w:t xml:space="preserve">carriage service provider must be satisfied that the document has not expired; </w:t>
      </w:r>
    </w:p>
    <w:p w14:paraId="1E44FBA4" w14:textId="79103648" w:rsidR="005A7E34" w:rsidRPr="00527CE6" w:rsidRDefault="005A7E34" w:rsidP="002C6756">
      <w:pPr>
        <w:pStyle w:val="subsection"/>
        <w:tabs>
          <w:tab w:val="clear" w:pos="1021"/>
        </w:tabs>
        <w:spacing w:before="120"/>
        <w:ind w:left="1701" w:hanging="567"/>
      </w:pPr>
      <w:r w:rsidRPr="00527CE6">
        <w:t>(b)</w:t>
      </w:r>
      <w:r w:rsidRPr="00527CE6">
        <w:tab/>
        <w:t xml:space="preserve">if a category A document is a foreign military ID card, the customer must show the document to the </w:t>
      </w:r>
      <w:r w:rsidR="001A1A53" w:rsidRPr="00527CE6">
        <w:t>gaining carriage service provider</w:t>
      </w:r>
      <w:r w:rsidRPr="00527CE6">
        <w:t xml:space="preserve"> in an </w:t>
      </w:r>
      <w:r w:rsidRPr="00027AFE">
        <w:t>access-controlled defence site</w:t>
      </w:r>
      <w:r w:rsidR="004012EA" w:rsidRPr="00027AFE">
        <w:t>;</w:t>
      </w:r>
      <w:r w:rsidR="004012EA" w:rsidRPr="00527CE6">
        <w:t xml:space="preserve"> </w:t>
      </w:r>
    </w:p>
    <w:p w14:paraId="09C96D7D" w14:textId="30C1A141" w:rsidR="00CE0A54" w:rsidRPr="00527CE6" w:rsidRDefault="005A7E34" w:rsidP="002C6756">
      <w:pPr>
        <w:pStyle w:val="subsection"/>
        <w:tabs>
          <w:tab w:val="clear" w:pos="1021"/>
        </w:tabs>
        <w:spacing w:before="120"/>
        <w:ind w:left="1701" w:hanging="567"/>
      </w:pPr>
      <w:r w:rsidRPr="00527CE6">
        <w:t xml:space="preserve">(c)    </w:t>
      </w:r>
      <w:r w:rsidR="002C6756" w:rsidRPr="00527CE6">
        <w:tab/>
        <w:t xml:space="preserve">if </w:t>
      </w:r>
      <w:r w:rsidRPr="00527CE6">
        <w:t xml:space="preserve">a document shown to a </w:t>
      </w:r>
      <w:r w:rsidR="001A1A53" w:rsidRPr="00527CE6">
        <w:t>gaining carriage service provider</w:t>
      </w:r>
      <w:r w:rsidRPr="00527CE6">
        <w:t xml:space="preserve"> is dated but does not expire</w:t>
      </w:r>
      <w:r w:rsidR="002C6756" w:rsidRPr="00527CE6">
        <w:t>,</w:t>
      </w:r>
      <w:r w:rsidRPr="00527CE6">
        <w:t xml:space="preserve"> the provider must be reasonably satisfied that the document is recent and accurate</w:t>
      </w:r>
      <w:r w:rsidR="00AD7BC9" w:rsidRPr="00527CE6">
        <w:t xml:space="preserve">; </w:t>
      </w:r>
    </w:p>
    <w:p w14:paraId="577684E3" w14:textId="086B1050" w:rsidR="005A7E34" w:rsidRPr="00527CE6" w:rsidRDefault="005B3572" w:rsidP="002C6756">
      <w:pPr>
        <w:pStyle w:val="subsection"/>
        <w:tabs>
          <w:tab w:val="clear" w:pos="1021"/>
        </w:tabs>
        <w:spacing w:before="120"/>
        <w:ind w:left="1701" w:hanging="567"/>
      </w:pPr>
      <w:r w:rsidRPr="00527CE6">
        <w:t>(d)</w:t>
      </w:r>
      <w:r w:rsidRPr="00527CE6">
        <w:tab/>
      </w:r>
      <w:r w:rsidR="009A1DAE" w:rsidRPr="00527CE6">
        <w:t xml:space="preserve">the name in the </w:t>
      </w:r>
      <w:r w:rsidR="00C569DC">
        <w:t>c</w:t>
      </w:r>
      <w:r w:rsidR="009F3E37" w:rsidRPr="00527CE6">
        <w:t xml:space="preserve">ategory A </w:t>
      </w:r>
      <w:r w:rsidR="00B87689" w:rsidRPr="00527CE6">
        <w:t xml:space="preserve">document </w:t>
      </w:r>
      <w:r w:rsidR="009F3E37" w:rsidRPr="00527CE6">
        <w:t xml:space="preserve">or </w:t>
      </w:r>
      <w:r w:rsidR="00C569DC">
        <w:t>c</w:t>
      </w:r>
      <w:r w:rsidR="009F3E37" w:rsidRPr="00527CE6">
        <w:t xml:space="preserve">ategory B document must </w:t>
      </w:r>
      <w:r w:rsidR="00DC7FDD" w:rsidRPr="00527CE6">
        <w:t>(subject to paragraph (e)</w:t>
      </w:r>
      <w:r w:rsidR="00E66ECB" w:rsidRPr="00527CE6">
        <w:t xml:space="preserve">) </w:t>
      </w:r>
      <w:r w:rsidR="009F3E37" w:rsidRPr="00527CE6">
        <w:t>match the name of the requesting person</w:t>
      </w:r>
      <w:r w:rsidR="00027F43" w:rsidRPr="00527CE6">
        <w:t>;</w:t>
      </w:r>
      <w:r w:rsidR="00AE27DA" w:rsidRPr="00527CE6">
        <w:t xml:space="preserve"> and</w:t>
      </w:r>
    </w:p>
    <w:p w14:paraId="7BBB3A1C" w14:textId="3F76D4BF" w:rsidR="00F7305A" w:rsidRPr="00527CE6" w:rsidRDefault="00027F43" w:rsidP="002C6756">
      <w:pPr>
        <w:pStyle w:val="subsection"/>
        <w:tabs>
          <w:tab w:val="clear" w:pos="1021"/>
        </w:tabs>
        <w:spacing w:before="120"/>
        <w:ind w:left="1701" w:hanging="567"/>
      </w:pPr>
      <w:r w:rsidRPr="00527CE6">
        <w:t>(e)</w:t>
      </w:r>
      <w:r w:rsidRPr="00527CE6">
        <w:tab/>
        <w:t xml:space="preserve">if the name </w:t>
      </w:r>
      <w:r w:rsidR="00B87689" w:rsidRPr="00527CE6">
        <w:t xml:space="preserve">in the </w:t>
      </w:r>
      <w:r w:rsidR="00C569DC">
        <w:t>c</w:t>
      </w:r>
      <w:r w:rsidR="00B87689" w:rsidRPr="00527CE6">
        <w:t xml:space="preserve">ategory A document or </w:t>
      </w:r>
      <w:r w:rsidR="00C569DC">
        <w:t>c</w:t>
      </w:r>
      <w:r w:rsidR="00B87689" w:rsidRPr="00527CE6">
        <w:t xml:space="preserve">ategory B document does not match </w:t>
      </w:r>
      <w:r w:rsidR="00CA1DEE" w:rsidRPr="00527CE6">
        <w:t xml:space="preserve">the name of the requesting person, </w:t>
      </w:r>
      <w:r w:rsidR="00DA79C9" w:rsidRPr="00527CE6">
        <w:t>the document may only be relied upon if the requesting person</w:t>
      </w:r>
      <w:r w:rsidR="00E92C0A" w:rsidRPr="00527CE6">
        <w:t xml:space="preserve"> </w:t>
      </w:r>
      <w:r w:rsidR="00CA1DEE" w:rsidRPr="00527CE6">
        <w:t>produce</w:t>
      </w:r>
      <w:r w:rsidR="00E92C0A" w:rsidRPr="00527CE6">
        <w:t>s</w:t>
      </w:r>
      <w:r w:rsidR="00CA1DEE" w:rsidRPr="00527CE6">
        <w:t xml:space="preserve"> </w:t>
      </w:r>
      <w:r w:rsidR="00E92C0A" w:rsidRPr="00527CE6">
        <w:t xml:space="preserve">satisfactory </w:t>
      </w:r>
      <w:r w:rsidR="00464CFE" w:rsidRPr="00527CE6">
        <w:t>documentary evidence of the name change.</w:t>
      </w:r>
    </w:p>
    <w:bookmarkEnd w:id="18"/>
    <w:p w14:paraId="6D995D3F" w14:textId="10542184" w:rsidR="00661D44" w:rsidRPr="00527CE6" w:rsidRDefault="00661D44" w:rsidP="00337B6C">
      <w:pPr>
        <w:pStyle w:val="subsection"/>
        <w:tabs>
          <w:tab w:val="clear" w:pos="1021"/>
        </w:tabs>
        <w:spacing w:before="120"/>
        <w:ind w:left="1701" w:hanging="567"/>
      </w:pPr>
    </w:p>
    <w:p w14:paraId="686708CD" w14:textId="654C2104" w:rsidR="00E272CF" w:rsidRPr="00527CE6" w:rsidRDefault="00E272CF" w:rsidP="00E272CF">
      <w:pPr>
        <w:pStyle w:val="R1"/>
        <w:rPr>
          <w:b/>
        </w:rPr>
      </w:pPr>
      <w:r w:rsidRPr="00527CE6">
        <w:rPr>
          <w:b/>
        </w:rPr>
        <w:t xml:space="preserve">Table 1 – Category A documents </w:t>
      </w:r>
    </w:p>
    <w:tbl>
      <w:tblPr>
        <w:tblStyle w:val="TableGrid"/>
        <w:tblW w:w="0" w:type="auto"/>
        <w:tblInd w:w="846" w:type="dxa"/>
        <w:tblBorders>
          <w:left w:val="none" w:sz="0" w:space="0" w:color="auto"/>
          <w:right w:val="none" w:sz="0" w:space="0" w:color="auto"/>
        </w:tblBorders>
        <w:tblLook w:val="04A0" w:firstRow="1" w:lastRow="0" w:firstColumn="1" w:lastColumn="0" w:noHBand="0" w:noVBand="1"/>
        <w:tblCaption w:val="Text of draft prepaid determination."/>
      </w:tblPr>
      <w:tblGrid>
        <w:gridCol w:w="1417"/>
        <w:gridCol w:w="6039"/>
      </w:tblGrid>
      <w:tr w:rsidR="00E272CF" w:rsidRPr="00527CE6" w14:paraId="471612AE" w14:textId="77777777" w:rsidTr="00D17E3A">
        <w:tc>
          <w:tcPr>
            <w:tcW w:w="1417" w:type="dxa"/>
            <w:tcBorders>
              <w:right w:val="nil"/>
            </w:tcBorders>
            <w:shd w:val="clear" w:color="auto" w:fill="auto"/>
          </w:tcPr>
          <w:p w14:paraId="67CB65DB" w14:textId="77777777" w:rsidR="00E272CF" w:rsidRPr="00527CE6" w:rsidRDefault="00E272CF" w:rsidP="00D17E3A">
            <w:pPr>
              <w:spacing w:before="120"/>
              <w:rPr>
                <w:rFonts w:cs="Times New Roman"/>
                <w:b/>
              </w:rPr>
            </w:pPr>
            <w:r w:rsidRPr="00527CE6">
              <w:rPr>
                <w:rFonts w:cs="Times New Roman"/>
                <w:b/>
              </w:rPr>
              <w:t>Item</w:t>
            </w:r>
          </w:p>
        </w:tc>
        <w:tc>
          <w:tcPr>
            <w:tcW w:w="6039" w:type="dxa"/>
            <w:tcBorders>
              <w:left w:val="nil"/>
            </w:tcBorders>
            <w:shd w:val="clear" w:color="auto" w:fill="auto"/>
          </w:tcPr>
          <w:p w14:paraId="010F6804" w14:textId="77777777" w:rsidR="00E272CF" w:rsidRPr="00527CE6" w:rsidRDefault="00E272CF" w:rsidP="00D17E3A">
            <w:pPr>
              <w:spacing w:before="120"/>
              <w:rPr>
                <w:rFonts w:cs="Times New Roman"/>
                <w:b/>
              </w:rPr>
            </w:pPr>
            <w:r w:rsidRPr="00527CE6">
              <w:rPr>
                <w:rFonts w:cs="Times New Roman"/>
                <w:b/>
              </w:rPr>
              <w:t>Description of document</w:t>
            </w:r>
          </w:p>
        </w:tc>
      </w:tr>
      <w:tr w:rsidR="004E77FD" w:rsidRPr="00527CE6" w14:paraId="1F54B1D0" w14:textId="77777777" w:rsidTr="00D17E3A">
        <w:tc>
          <w:tcPr>
            <w:tcW w:w="1417" w:type="dxa"/>
            <w:tcBorders>
              <w:right w:val="nil"/>
            </w:tcBorders>
            <w:shd w:val="clear" w:color="auto" w:fill="auto"/>
          </w:tcPr>
          <w:p w14:paraId="11C33335" w14:textId="2D2DF697" w:rsidR="00E272CF" w:rsidRPr="00527CE6" w:rsidRDefault="00E16954" w:rsidP="00D17E3A">
            <w:pPr>
              <w:spacing w:before="120"/>
              <w:rPr>
                <w:rFonts w:cs="Times New Roman"/>
              </w:rPr>
            </w:pPr>
            <w:r w:rsidRPr="00527CE6">
              <w:rPr>
                <w:rFonts w:cs="Times New Roman"/>
              </w:rPr>
              <w:t>1</w:t>
            </w:r>
          </w:p>
        </w:tc>
        <w:tc>
          <w:tcPr>
            <w:tcW w:w="6039" w:type="dxa"/>
            <w:tcBorders>
              <w:left w:val="nil"/>
            </w:tcBorders>
            <w:shd w:val="clear" w:color="auto" w:fill="auto"/>
          </w:tcPr>
          <w:p w14:paraId="0890352D" w14:textId="15772682" w:rsidR="00E272CF" w:rsidRPr="00527CE6" w:rsidRDefault="003B66B9" w:rsidP="00D17E3A">
            <w:pPr>
              <w:spacing w:before="120"/>
              <w:jc w:val="both"/>
              <w:rPr>
                <w:rFonts w:cs="Times New Roman"/>
              </w:rPr>
            </w:pPr>
            <w:r w:rsidRPr="00527CE6">
              <w:rPr>
                <w:rFonts w:eastAsia="Times New Roman" w:cs="Times New Roman"/>
                <w:lang w:eastAsia="en-AU"/>
              </w:rPr>
              <w:t>Australian State</w:t>
            </w:r>
            <w:r w:rsidR="007D056A" w:rsidRPr="00527CE6">
              <w:rPr>
                <w:rFonts w:eastAsia="Times New Roman" w:cs="Times New Roman"/>
                <w:lang w:eastAsia="en-AU"/>
              </w:rPr>
              <w:t xml:space="preserve"> or </w:t>
            </w:r>
            <w:r w:rsidRPr="00527CE6">
              <w:rPr>
                <w:rFonts w:eastAsia="Times New Roman" w:cs="Times New Roman"/>
                <w:lang w:eastAsia="en-AU"/>
              </w:rPr>
              <w:t>Territory Driver</w:t>
            </w:r>
            <w:r w:rsidR="008A266B" w:rsidRPr="00527CE6">
              <w:rPr>
                <w:rFonts w:eastAsia="Times New Roman" w:cs="Times New Roman"/>
                <w:lang w:eastAsia="en-AU"/>
              </w:rPr>
              <w:t>’</w:t>
            </w:r>
            <w:r w:rsidRPr="00527CE6">
              <w:rPr>
                <w:rFonts w:eastAsia="Times New Roman" w:cs="Times New Roman"/>
                <w:lang w:eastAsia="en-AU"/>
              </w:rPr>
              <w:t>s Licence</w:t>
            </w:r>
            <w:r w:rsidR="00DA1309" w:rsidRPr="00527CE6">
              <w:rPr>
                <w:rFonts w:eastAsia="Times New Roman" w:cs="Times New Roman"/>
                <w:lang w:eastAsia="en-AU"/>
              </w:rPr>
              <w:t xml:space="preserve"> issued in the name of the customer</w:t>
            </w:r>
            <w:r w:rsidR="00EB00E3" w:rsidRPr="00527CE6">
              <w:rPr>
                <w:rFonts w:eastAsia="Times New Roman" w:cs="Times New Roman"/>
                <w:lang w:eastAsia="en-AU"/>
              </w:rPr>
              <w:t xml:space="preserve"> by a Commonwealth, State or Territory Department or agency</w:t>
            </w:r>
            <w:r w:rsidR="0031354D" w:rsidRPr="00527CE6">
              <w:rPr>
                <w:rFonts w:eastAsia="Times New Roman" w:cs="Times New Roman"/>
                <w:lang w:eastAsia="en-AU"/>
              </w:rPr>
              <w:t>.</w:t>
            </w:r>
            <w:r w:rsidR="00EB00E3" w:rsidRPr="00527CE6">
              <w:rPr>
                <w:rFonts w:eastAsia="Times New Roman" w:cs="Times New Roman"/>
                <w:lang w:eastAsia="en-AU"/>
              </w:rPr>
              <w:t xml:space="preserve"> </w:t>
            </w:r>
          </w:p>
        </w:tc>
      </w:tr>
      <w:tr w:rsidR="004E77FD" w:rsidRPr="00527CE6" w14:paraId="79EC56FB" w14:textId="77777777" w:rsidTr="00D17E3A">
        <w:tc>
          <w:tcPr>
            <w:tcW w:w="1417" w:type="dxa"/>
            <w:tcBorders>
              <w:right w:val="nil"/>
            </w:tcBorders>
            <w:shd w:val="clear" w:color="auto" w:fill="auto"/>
          </w:tcPr>
          <w:p w14:paraId="0F364C13" w14:textId="33748E7A" w:rsidR="00E272CF" w:rsidRPr="00527CE6" w:rsidRDefault="00E16954" w:rsidP="00D17E3A">
            <w:pPr>
              <w:spacing w:before="120"/>
              <w:rPr>
                <w:rFonts w:cs="Times New Roman"/>
              </w:rPr>
            </w:pPr>
            <w:r w:rsidRPr="00527CE6">
              <w:rPr>
                <w:rFonts w:cs="Times New Roman"/>
              </w:rPr>
              <w:t>2</w:t>
            </w:r>
          </w:p>
        </w:tc>
        <w:tc>
          <w:tcPr>
            <w:tcW w:w="6039" w:type="dxa"/>
            <w:tcBorders>
              <w:left w:val="nil"/>
            </w:tcBorders>
            <w:shd w:val="clear" w:color="auto" w:fill="auto"/>
          </w:tcPr>
          <w:p w14:paraId="31112605" w14:textId="67DC1172" w:rsidR="00E272CF" w:rsidRPr="00527CE6" w:rsidRDefault="003611EA" w:rsidP="00D17E3A">
            <w:pPr>
              <w:spacing w:before="120"/>
              <w:jc w:val="both"/>
              <w:rPr>
                <w:rFonts w:cs="Times New Roman"/>
              </w:rPr>
            </w:pPr>
            <w:r w:rsidRPr="00527CE6">
              <w:rPr>
                <w:rFonts w:eastAsia="Times New Roman" w:cs="Times New Roman"/>
                <w:lang w:eastAsia="en-AU"/>
              </w:rPr>
              <w:t>Australian Passport</w:t>
            </w:r>
            <w:r w:rsidR="00D531A6" w:rsidRPr="00527CE6">
              <w:rPr>
                <w:rFonts w:eastAsia="Times New Roman" w:cs="Times New Roman"/>
                <w:lang w:eastAsia="en-AU"/>
              </w:rPr>
              <w:t xml:space="preserve"> </w:t>
            </w:r>
            <w:r w:rsidR="00A1027F" w:rsidRPr="00527CE6">
              <w:rPr>
                <w:rFonts w:eastAsia="Times New Roman" w:cs="Times New Roman"/>
                <w:lang w:eastAsia="en-AU"/>
              </w:rPr>
              <w:t>with</w:t>
            </w:r>
            <w:r w:rsidR="007A01B5" w:rsidRPr="00527CE6">
              <w:rPr>
                <w:rFonts w:eastAsia="Times New Roman" w:cs="Times New Roman"/>
                <w:lang w:eastAsia="en-AU"/>
              </w:rPr>
              <w:t xml:space="preserve"> an expiry date </w:t>
            </w:r>
            <w:r w:rsidR="00045068" w:rsidRPr="00527CE6">
              <w:rPr>
                <w:rFonts w:eastAsia="Times New Roman" w:cs="Times New Roman"/>
                <w:lang w:eastAsia="en-AU"/>
              </w:rPr>
              <w:t xml:space="preserve">in the future or no more than </w:t>
            </w:r>
            <w:r w:rsidR="00A44FA2" w:rsidRPr="00527CE6">
              <w:rPr>
                <w:rFonts w:eastAsia="Times New Roman" w:cs="Times New Roman"/>
                <w:lang w:eastAsia="en-AU"/>
              </w:rPr>
              <w:t>2</w:t>
            </w:r>
            <w:r w:rsidR="00A1027F" w:rsidRPr="00527CE6">
              <w:rPr>
                <w:rFonts w:eastAsia="Times New Roman" w:cs="Times New Roman"/>
                <w:lang w:eastAsia="en-AU"/>
              </w:rPr>
              <w:t xml:space="preserve"> years </w:t>
            </w:r>
            <w:r w:rsidR="00045068" w:rsidRPr="00527CE6">
              <w:rPr>
                <w:rFonts w:eastAsia="Times New Roman" w:cs="Times New Roman"/>
                <w:lang w:eastAsia="en-AU"/>
              </w:rPr>
              <w:t>in the past</w:t>
            </w:r>
            <w:r w:rsidR="00A1027F" w:rsidRPr="00527CE6">
              <w:rPr>
                <w:rFonts w:eastAsia="Times New Roman" w:cs="Times New Roman"/>
                <w:lang w:eastAsia="en-AU"/>
              </w:rPr>
              <w:t>.</w:t>
            </w:r>
          </w:p>
        </w:tc>
      </w:tr>
      <w:tr w:rsidR="004E77FD" w:rsidRPr="00527CE6" w14:paraId="4DC89E1F" w14:textId="77777777" w:rsidTr="00D17E3A">
        <w:tc>
          <w:tcPr>
            <w:tcW w:w="1417" w:type="dxa"/>
            <w:tcBorders>
              <w:right w:val="nil"/>
            </w:tcBorders>
            <w:shd w:val="clear" w:color="auto" w:fill="auto"/>
          </w:tcPr>
          <w:p w14:paraId="45646C12" w14:textId="5B6D1D7D" w:rsidR="00E272CF" w:rsidRPr="00527CE6" w:rsidRDefault="00E16954" w:rsidP="00D17E3A">
            <w:pPr>
              <w:spacing w:before="120"/>
              <w:rPr>
                <w:rFonts w:cs="Times New Roman"/>
              </w:rPr>
            </w:pPr>
            <w:r w:rsidRPr="00527CE6">
              <w:rPr>
                <w:rFonts w:cs="Times New Roman"/>
              </w:rPr>
              <w:t>3</w:t>
            </w:r>
          </w:p>
        </w:tc>
        <w:tc>
          <w:tcPr>
            <w:tcW w:w="6039" w:type="dxa"/>
            <w:tcBorders>
              <w:left w:val="nil"/>
            </w:tcBorders>
            <w:shd w:val="clear" w:color="auto" w:fill="auto"/>
          </w:tcPr>
          <w:p w14:paraId="3805B39F" w14:textId="5B639567" w:rsidR="00E272CF" w:rsidRPr="00527CE6" w:rsidRDefault="00E272CF" w:rsidP="003E7BF2">
            <w:pPr>
              <w:spacing w:before="120"/>
              <w:jc w:val="both"/>
            </w:pPr>
            <w:r w:rsidRPr="00527CE6">
              <w:rPr>
                <w:rFonts w:eastAsia="Times New Roman" w:cs="Times New Roman"/>
                <w:lang w:eastAsia="en-AU"/>
              </w:rPr>
              <w:t>A birth certificate</w:t>
            </w:r>
            <w:r w:rsidR="005F4B38" w:rsidRPr="00527CE6">
              <w:rPr>
                <w:rFonts w:eastAsia="Times New Roman" w:cs="Times New Roman"/>
                <w:lang w:eastAsia="en-AU"/>
              </w:rPr>
              <w:t xml:space="preserve"> issued by a</w:t>
            </w:r>
            <w:r w:rsidR="000E3ECB" w:rsidRPr="00527CE6">
              <w:rPr>
                <w:rFonts w:eastAsia="Times New Roman" w:cs="Times New Roman"/>
                <w:lang w:eastAsia="en-AU"/>
              </w:rPr>
              <w:t>n Australian</w:t>
            </w:r>
            <w:r w:rsidR="005F4B38" w:rsidRPr="00527CE6">
              <w:rPr>
                <w:rFonts w:eastAsia="Times New Roman" w:cs="Times New Roman"/>
                <w:lang w:eastAsia="en-AU"/>
              </w:rPr>
              <w:t xml:space="preserve"> State or Territory</w:t>
            </w:r>
            <w:r w:rsidR="00A21754" w:rsidRPr="00527CE6">
              <w:rPr>
                <w:rFonts w:eastAsia="Times New Roman" w:cs="Times New Roman"/>
                <w:lang w:eastAsia="en-AU"/>
              </w:rPr>
              <w:t xml:space="preserve"> government</w:t>
            </w:r>
            <w:r w:rsidRPr="00527CE6">
              <w:t xml:space="preserve">. </w:t>
            </w:r>
          </w:p>
        </w:tc>
      </w:tr>
      <w:tr w:rsidR="004E77FD" w:rsidRPr="00527CE6" w14:paraId="6D9D53B9" w14:textId="77777777" w:rsidTr="00D17E3A">
        <w:tc>
          <w:tcPr>
            <w:tcW w:w="1417" w:type="dxa"/>
            <w:tcBorders>
              <w:right w:val="nil"/>
            </w:tcBorders>
            <w:shd w:val="clear" w:color="auto" w:fill="auto"/>
          </w:tcPr>
          <w:p w14:paraId="2466F06B" w14:textId="0707C5BC" w:rsidR="00E272CF" w:rsidRPr="00527CE6" w:rsidRDefault="00E16954" w:rsidP="00D17E3A">
            <w:pPr>
              <w:spacing w:before="120"/>
              <w:rPr>
                <w:rFonts w:cs="Times New Roman"/>
              </w:rPr>
            </w:pPr>
            <w:r w:rsidRPr="00527CE6">
              <w:rPr>
                <w:rFonts w:cs="Times New Roman"/>
              </w:rPr>
              <w:t>4</w:t>
            </w:r>
          </w:p>
        </w:tc>
        <w:tc>
          <w:tcPr>
            <w:tcW w:w="6039" w:type="dxa"/>
            <w:tcBorders>
              <w:left w:val="nil"/>
            </w:tcBorders>
            <w:shd w:val="clear" w:color="auto" w:fill="auto"/>
          </w:tcPr>
          <w:p w14:paraId="5DB115C7" w14:textId="681E1940" w:rsidR="009A347D" w:rsidRPr="00527CE6" w:rsidRDefault="00E272CF" w:rsidP="00AB006F">
            <w:pPr>
              <w:pStyle w:val="ExampleBody"/>
              <w:spacing w:before="120"/>
              <w:ind w:left="0"/>
              <w:jc w:val="left"/>
              <w:rPr>
                <w:color w:val="000000"/>
                <w:shd w:val="clear" w:color="auto" w:fill="FFFFFF"/>
              </w:rPr>
            </w:pPr>
            <w:r w:rsidRPr="00527CE6">
              <w:t>A foreign military ID card</w:t>
            </w:r>
            <w:r w:rsidR="005B12A9">
              <w:t>.</w:t>
            </w:r>
            <w:r w:rsidR="0024163E" w:rsidRPr="00527CE6">
              <w:t xml:space="preserve"> </w:t>
            </w:r>
          </w:p>
        </w:tc>
      </w:tr>
      <w:tr w:rsidR="004E77FD" w:rsidRPr="00527CE6" w14:paraId="7BB8E9D3" w14:textId="77777777" w:rsidTr="00D17E3A">
        <w:tc>
          <w:tcPr>
            <w:tcW w:w="1417" w:type="dxa"/>
            <w:tcBorders>
              <w:right w:val="nil"/>
            </w:tcBorders>
            <w:shd w:val="clear" w:color="auto" w:fill="auto"/>
          </w:tcPr>
          <w:p w14:paraId="724CEC2D" w14:textId="211F93C3" w:rsidR="00AA2332" w:rsidRPr="00527CE6" w:rsidRDefault="00E16954" w:rsidP="00D17E3A">
            <w:pPr>
              <w:spacing w:before="120"/>
              <w:rPr>
                <w:rFonts w:cs="Times New Roman"/>
              </w:rPr>
            </w:pPr>
            <w:r w:rsidRPr="00527CE6">
              <w:rPr>
                <w:rFonts w:cs="Times New Roman"/>
              </w:rPr>
              <w:t>5</w:t>
            </w:r>
          </w:p>
        </w:tc>
        <w:tc>
          <w:tcPr>
            <w:tcW w:w="6039" w:type="dxa"/>
            <w:tcBorders>
              <w:left w:val="nil"/>
            </w:tcBorders>
            <w:shd w:val="clear" w:color="auto" w:fill="auto"/>
          </w:tcPr>
          <w:p w14:paraId="0C0D77C8" w14:textId="06502E59" w:rsidR="00FF4843" w:rsidRPr="00527CE6" w:rsidRDefault="00FF4843" w:rsidP="00D17E3A">
            <w:pPr>
              <w:spacing w:before="120"/>
              <w:jc w:val="both"/>
              <w:rPr>
                <w:rFonts w:eastAsia="Times New Roman" w:cs="Times New Roman"/>
                <w:lang w:eastAsia="en-AU"/>
              </w:rPr>
            </w:pPr>
            <w:r w:rsidRPr="00527CE6">
              <w:rPr>
                <w:rFonts w:eastAsia="Times New Roman" w:cs="Times New Roman"/>
                <w:lang w:eastAsia="en-AU"/>
              </w:rPr>
              <w:t xml:space="preserve">A current </w:t>
            </w:r>
            <w:r w:rsidR="006E3A61" w:rsidRPr="00527CE6">
              <w:rPr>
                <w:rFonts w:eastAsia="Times New Roman" w:cs="Times New Roman"/>
                <w:lang w:eastAsia="en-AU"/>
              </w:rPr>
              <w:t xml:space="preserve">foreign </w:t>
            </w:r>
            <w:r w:rsidRPr="00527CE6">
              <w:rPr>
                <w:rFonts w:eastAsia="Times New Roman" w:cs="Times New Roman"/>
                <w:lang w:eastAsia="en-AU"/>
              </w:rPr>
              <w:t xml:space="preserve">passport issued by </w:t>
            </w:r>
            <w:r w:rsidR="006E3A61" w:rsidRPr="00527CE6">
              <w:rPr>
                <w:rFonts w:eastAsia="Times New Roman" w:cs="Times New Roman"/>
                <w:lang w:eastAsia="en-AU"/>
              </w:rPr>
              <w:t xml:space="preserve">a foreign government which contains a </w:t>
            </w:r>
            <w:r w:rsidRPr="00527CE6">
              <w:rPr>
                <w:rFonts w:eastAsia="Times New Roman" w:cs="Times New Roman"/>
                <w:lang w:eastAsia="en-AU"/>
              </w:rPr>
              <w:t>valid entry stamp or visa</w:t>
            </w:r>
            <w:r w:rsidR="006E3A61" w:rsidRPr="00527CE6">
              <w:rPr>
                <w:rFonts w:eastAsia="Times New Roman" w:cs="Times New Roman"/>
                <w:lang w:eastAsia="en-AU"/>
              </w:rPr>
              <w:t xml:space="preserve"> issued by </w:t>
            </w:r>
            <w:r w:rsidR="003F281A" w:rsidRPr="00527CE6">
              <w:rPr>
                <w:rFonts w:eastAsia="Times New Roman" w:cs="Times New Roman"/>
                <w:lang w:eastAsia="en-AU"/>
              </w:rPr>
              <w:t>the Australian government</w:t>
            </w:r>
            <w:r w:rsidR="00E34871" w:rsidRPr="00527CE6">
              <w:rPr>
                <w:rFonts w:eastAsia="Times New Roman" w:cs="Times New Roman"/>
                <w:lang w:eastAsia="en-AU"/>
              </w:rPr>
              <w:t>.</w:t>
            </w:r>
          </w:p>
        </w:tc>
      </w:tr>
      <w:tr w:rsidR="004E77FD" w:rsidRPr="00527CE6" w14:paraId="26D31B28" w14:textId="77777777" w:rsidTr="00D17E3A">
        <w:tc>
          <w:tcPr>
            <w:tcW w:w="1417" w:type="dxa"/>
            <w:tcBorders>
              <w:right w:val="nil"/>
            </w:tcBorders>
            <w:shd w:val="clear" w:color="auto" w:fill="auto"/>
          </w:tcPr>
          <w:p w14:paraId="20BDD0D6" w14:textId="2E444517" w:rsidR="00C12447" w:rsidRPr="00527CE6" w:rsidRDefault="00E16954" w:rsidP="00D17E3A">
            <w:pPr>
              <w:spacing w:before="120"/>
              <w:rPr>
                <w:rFonts w:cs="Times New Roman"/>
              </w:rPr>
            </w:pPr>
            <w:r w:rsidRPr="00527CE6">
              <w:rPr>
                <w:rFonts w:cs="Times New Roman"/>
              </w:rPr>
              <w:t>6</w:t>
            </w:r>
          </w:p>
        </w:tc>
        <w:tc>
          <w:tcPr>
            <w:tcW w:w="6039" w:type="dxa"/>
            <w:tcBorders>
              <w:left w:val="nil"/>
            </w:tcBorders>
            <w:shd w:val="clear" w:color="auto" w:fill="auto"/>
          </w:tcPr>
          <w:p w14:paraId="2D0152D2" w14:textId="359061B4" w:rsidR="00E87611" w:rsidRPr="00527CE6" w:rsidRDefault="00A45585">
            <w:pPr>
              <w:spacing w:before="120"/>
              <w:jc w:val="both"/>
              <w:rPr>
                <w:rFonts w:eastAsia="Times New Roman" w:cs="Times New Roman"/>
                <w:lang w:eastAsia="en-AU"/>
              </w:rPr>
            </w:pPr>
            <w:r w:rsidRPr="00527CE6">
              <w:rPr>
                <w:rFonts w:eastAsia="Times New Roman" w:cs="Times New Roman"/>
                <w:lang w:eastAsia="en-AU"/>
              </w:rPr>
              <w:t xml:space="preserve">Australian citizenship certificate </w:t>
            </w:r>
            <w:r w:rsidR="00B970C8" w:rsidRPr="00527CE6">
              <w:rPr>
                <w:rFonts w:eastAsia="Times New Roman" w:cs="Times New Roman"/>
                <w:lang w:eastAsia="en-AU"/>
              </w:rPr>
              <w:t>issued by the Commonwealth government</w:t>
            </w:r>
            <w:r w:rsidR="00F357D2" w:rsidRPr="00527CE6">
              <w:rPr>
                <w:rFonts w:eastAsia="Times New Roman" w:cs="Times New Roman"/>
                <w:lang w:eastAsia="en-AU"/>
              </w:rPr>
              <w:t>.</w:t>
            </w:r>
            <w:r w:rsidR="0014582E" w:rsidRPr="00527CE6">
              <w:rPr>
                <w:rFonts w:eastAsia="Times New Roman" w:cs="Times New Roman"/>
                <w:lang w:eastAsia="en-AU"/>
              </w:rPr>
              <w:t xml:space="preserve"> </w:t>
            </w:r>
          </w:p>
        </w:tc>
      </w:tr>
      <w:tr w:rsidR="004E77FD" w:rsidRPr="00527CE6" w14:paraId="7F67575B" w14:textId="77777777" w:rsidTr="00D17E3A">
        <w:tc>
          <w:tcPr>
            <w:tcW w:w="1417" w:type="dxa"/>
            <w:tcBorders>
              <w:right w:val="nil"/>
            </w:tcBorders>
            <w:shd w:val="clear" w:color="auto" w:fill="auto"/>
          </w:tcPr>
          <w:p w14:paraId="5C23B955" w14:textId="14846F51" w:rsidR="00E87611" w:rsidRPr="00527CE6" w:rsidRDefault="00E16954" w:rsidP="00D17E3A">
            <w:pPr>
              <w:spacing w:before="120"/>
              <w:rPr>
                <w:rFonts w:cs="Times New Roman"/>
              </w:rPr>
            </w:pPr>
            <w:r w:rsidRPr="00527CE6">
              <w:rPr>
                <w:rFonts w:cs="Times New Roman"/>
              </w:rPr>
              <w:lastRenderedPageBreak/>
              <w:t>7</w:t>
            </w:r>
          </w:p>
        </w:tc>
        <w:tc>
          <w:tcPr>
            <w:tcW w:w="6039" w:type="dxa"/>
            <w:tcBorders>
              <w:left w:val="nil"/>
            </w:tcBorders>
            <w:shd w:val="clear" w:color="auto" w:fill="auto"/>
          </w:tcPr>
          <w:p w14:paraId="6189D2C2" w14:textId="7458DED6" w:rsidR="00DA35EA" w:rsidRPr="00527CE6" w:rsidRDefault="00DF657B" w:rsidP="006C179B">
            <w:pPr>
              <w:spacing w:before="120"/>
              <w:jc w:val="both"/>
              <w:rPr>
                <w:rFonts w:eastAsia="Times New Roman" w:cs="Times New Roman"/>
                <w:lang w:eastAsia="en-AU"/>
              </w:rPr>
            </w:pPr>
            <w:r w:rsidRPr="00527CE6">
              <w:rPr>
                <w:rFonts w:eastAsia="Times New Roman" w:cs="Times New Roman"/>
                <w:lang w:eastAsia="en-AU"/>
              </w:rPr>
              <w:t>C</w:t>
            </w:r>
            <w:r w:rsidR="00EA6AF3" w:rsidRPr="00527CE6">
              <w:rPr>
                <w:rFonts w:eastAsia="Times New Roman" w:cs="Times New Roman"/>
                <w:lang w:eastAsia="en-AU"/>
              </w:rPr>
              <w:t>ertificate of identity</w:t>
            </w:r>
            <w:r w:rsidRPr="00527CE6">
              <w:rPr>
                <w:rFonts w:eastAsia="Times New Roman" w:cs="Times New Roman"/>
                <w:lang w:eastAsia="en-AU"/>
              </w:rPr>
              <w:t xml:space="preserve"> </w:t>
            </w:r>
            <w:r w:rsidR="008208DA" w:rsidRPr="00527CE6">
              <w:rPr>
                <w:rFonts w:eastAsia="Times New Roman" w:cs="Times New Roman"/>
                <w:lang w:eastAsia="en-AU"/>
              </w:rPr>
              <w:t>o</w:t>
            </w:r>
            <w:r w:rsidR="001A1A53" w:rsidRPr="00527CE6">
              <w:rPr>
                <w:rFonts w:eastAsia="Times New Roman" w:cs="Times New Roman"/>
                <w:lang w:eastAsia="en-AU"/>
              </w:rPr>
              <w:t>r</w:t>
            </w:r>
            <w:r w:rsidR="008208DA" w:rsidRPr="00527CE6">
              <w:rPr>
                <w:rFonts w:eastAsia="Times New Roman" w:cs="Times New Roman"/>
                <w:lang w:eastAsia="en-AU"/>
              </w:rPr>
              <w:t xml:space="preserve"> Document of identity </w:t>
            </w:r>
            <w:r w:rsidRPr="00527CE6">
              <w:rPr>
                <w:rFonts w:eastAsia="Times New Roman" w:cs="Times New Roman"/>
                <w:lang w:eastAsia="en-AU"/>
              </w:rPr>
              <w:t xml:space="preserve">issued by the Department of Foreign Affairs and Trade </w:t>
            </w:r>
            <w:r w:rsidR="00A22AD8" w:rsidRPr="00527CE6">
              <w:rPr>
                <w:rFonts w:eastAsia="Times New Roman" w:cs="Times New Roman"/>
                <w:lang w:eastAsia="en-AU"/>
              </w:rPr>
              <w:t xml:space="preserve">(or by any subsequent </w:t>
            </w:r>
            <w:r w:rsidR="00BB17AC" w:rsidRPr="00527CE6">
              <w:rPr>
                <w:rFonts w:eastAsia="Times New Roman" w:cs="Times New Roman"/>
                <w:lang w:eastAsia="en-AU"/>
              </w:rPr>
              <w:t xml:space="preserve">Commonwealth </w:t>
            </w:r>
            <w:r w:rsidR="00A22AD8" w:rsidRPr="00527CE6">
              <w:rPr>
                <w:rFonts w:eastAsia="Times New Roman" w:cs="Times New Roman"/>
                <w:lang w:eastAsia="en-AU"/>
              </w:rPr>
              <w:t xml:space="preserve">Department </w:t>
            </w:r>
            <w:r w:rsidR="00BB17AC" w:rsidRPr="00527CE6">
              <w:rPr>
                <w:rFonts w:eastAsia="Times New Roman" w:cs="Times New Roman"/>
                <w:lang w:eastAsia="en-AU"/>
              </w:rPr>
              <w:t xml:space="preserve">responsible for </w:t>
            </w:r>
            <w:r w:rsidR="00D54FB2" w:rsidRPr="00527CE6">
              <w:rPr>
                <w:rFonts w:eastAsia="Times New Roman" w:cs="Times New Roman"/>
                <w:lang w:eastAsia="en-AU"/>
              </w:rPr>
              <w:t xml:space="preserve">issuing a </w:t>
            </w:r>
            <w:r w:rsidR="00E34871" w:rsidRPr="00527CE6">
              <w:rPr>
                <w:rFonts w:eastAsia="Times New Roman" w:cs="Times New Roman"/>
                <w:lang w:eastAsia="en-AU"/>
              </w:rPr>
              <w:t xml:space="preserve">like </w:t>
            </w:r>
            <w:r w:rsidR="00D54FB2" w:rsidRPr="00527CE6">
              <w:rPr>
                <w:rFonts w:eastAsia="Times New Roman" w:cs="Times New Roman"/>
                <w:lang w:eastAsia="en-AU"/>
              </w:rPr>
              <w:t xml:space="preserve">Certificate of </w:t>
            </w:r>
            <w:r w:rsidR="00E34871" w:rsidRPr="00527CE6">
              <w:rPr>
                <w:rFonts w:eastAsia="Times New Roman" w:cs="Times New Roman"/>
                <w:lang w:eastAsia="en-AU"/>
              </w:rPr>
              <w:t>i</w:t>
            </w:r>
            <w:r w:rsidR="00D54FB2" w:rsidRPr="00527CE6">
              <w:rPr>
                <w:rFonts w:eastAsia="Times New Roman" w:cs="Times New Roman"/>
                <w:lang w:eastAsia="en-AU"/>
              </w:rPr>
              <w:t>dentity</w:t>
            </w:r>
            <w:r w:rsidR="008208DA" w:rsidRPr="00527CE6">
              <w:rPr>
                <w:rFonts w:eastAsia="Times New Roman" w:cs="Times New Roman"/>
                <w:lang w:eastAsia="en-AU"/>
              </w:rPr>
              <w:t xml:space="preserve"> or Document of identity</w:t>
            </w:r>
            <w:r w:rsidR="00D54FB2" w:rsidRPr="00527CE6">
              <w:rPr>
                <w:rFonts w:eastAsia="Times New Roman" w:cs="Times New Roman"/>
                <w:lang w:eastAsia="en-AU"/>
              </w:rPr>
              <w:t xml:space="preserve"> at the relevant time</w:t>
            </w:r>
            <w:r w:rsidR="00BB17AC" w:rsidRPr="00527CE6">
              <w:rPr>
                <w:rFonts w:eastAsia="Times New Roman" w:cs="Times New Roman"/>
                <w:lang w:eastAsia="en-AU"/>
              </w:rPr>
              <w:t>)</w:t>
            </w:r>
            <w:r w:rsidR="00D54FB2" w:rsidRPr="00527CE6">
              <w:rPr>
                <w:rFonts w:eastAsia="Times New Roman" w:cs="Times New Roman"/>
                <w:lang w:eastAsia="en-AU"/>
              </w:rPr>
              <w:t>.</w:t>
            </w:r>
          </w:p>
        </w:tc>
      </w:tr>
      <w:tr w:rsidR="004E77FD" w:rsidRPr="00527CE6" w14:paraId="7E92CD6C" w14:textId="77777777" w:rsidTr="00D17E3A">
        <w:tc>
          <w:tcPr>
            <w:tcW w:w="1417" w:type="dxa"/>
            <w:tcBorders>
              <w:right w:val="nil"/>
            </w:tcBorders>
            <w:shd w:val="clear" w:color="auto" w:fill="auto"/>
          </w:tcPr>
          <w:p w14:paraId="1FCE0969" w14:textId="3D3ACE30" w:rsidR="00EA6AF3" w:rsidRPr="00527CE6" w:rsidRDefault="008208DA" w:rsidP="00D17E3A">
            <w:pPr>
              <w:spacing w:before="120"/>
              <w:rPr>
                <w:rFonts w:cs="Times New Roman"/>
              </w:rPr>
            </w:pPr>
            <w:r w:rsidRPr="00527CE6">
              <w:rPr>
                <w:rFonts w:cs="Times New Roman"/>
              </w:rPr>
              <w:t>8</w:t>
            </w:r>
          </w:p>
        </w:tc>
        <w:tc>
          <w:tcPr>
            <w:tcW w:w="6039" w:type="dxa"/>
            <w:tcBorders>
              <w:left w:val="nil"/>
            </w:tcBorders>
            <w:shd w:val="clear" w:color="auto" w:fill="auto"/>
          </w:tcPr>
          <w:p w14:paraId="3E4BD763" w14:textId="1C4223C0" w:rsidR="002B2F0C" w:rsidRPr="00527CE6" w:rsidRDefault="007C1118" w:rsidP="006C179B">
            <w:pPr>
              <w:spacing w:before="120"/>
              <w:jc w:val="both"/>
              <w:rPr>
                <w:rFonts w:eastAsia="Times New Roman" w:cs="Times New Roman"/>
                <w:lang w:eastAsia="en-AU"/>
              </w:rPr>
            </w:pPr>
            <w:r w:rsidRPr="00527CE6">
              <w:rPr>
                <w:rFonts w:eastAsia="Times New Roman" w:cs="Times New Roman"/>
                <w:lang w:eastAsia="en-AU"/>
              </w:rPr>
              <w:t>Immicard</w:t>
            </w:r>
            <w:r w:rsidR="000544FE" w:rsidRPr="00527CE6">
              <w:rPr>
                <w:rFonts w:eastAsia="Times New Roman" w:cs="Times New Roman"/>
                <w:lang w:eastAsia="en-AU"/>
              </w:rPr>
              <w:t xml:space="preserve"> </w:t>
            </w:r>
            <w:r w:rsidR="003D035E" w:rsidRPr="00527CE6">
              <w:rPr>
                <w:rFonts w:eastAsia="Times New Roman" w:cs="Times New Roman"/>
                <w:lang w:eastAsia="en-AU"/>
              </w:rPr>
              <w:t xml:space="preserve">issued by the </w:t>
            </w:r>
            <w:r w:rsidR="00734223" w:rsidRPr="00527CE6">
              <w:rPr>
                <w:rFonts w:eastAsia="Times New Roman" w:cs="Times New Roman"/>
                <w:lang w:eastAsia="en-AU"/>
              </w:rPr>
              <w:t xml:space="preserve">Department of Home Affairs </w:t>
            </w:r>
            <w:r w:rsidR="00F357D2" w:rsidRPr="00527CE6">
              <w:rPr>
                <w:rFonts w:eastAsia="Times New Roman" w:cs="Times New Roman"/>
                <w:lang w:eastAsia="en-AU"/>
              </w:rPr>
              <w:t>(</w:t>
            </w:r>
            <w:r w:rsidR="00223514" w:rsidRPr="00527CE6">
              <w:rPr>
                <w:rFonts w:eastAsia="Times New Roman" w:cs="Times New Roman"/>
                <w:lang w:eastAsia="en-AU"/>
              </w:rPr>
              <w:t xml:space="preserve">or the Commonwealth Government Department responsible </w:t>
            </w:r>
            <w:r w:rsidR="004D2B8A" w:rsidRPr="00527CE6">
              <w:rPr>
                <w:rFonts w:eastAsia="Times New Roman" w:cs="Times New Roman"/>
                <w:lang w:eastAsia="en-AU"/>
              </w:rPr>
              <w:t>for issuing Immicards at the relevant time</w:t>
            </w:r>
            <w:r w:rsidR="00F357D2" w:rsidRPr="00527CE6">
              <w:rPr>
                <w:rFonts w:eastAsia="Times New Roman" w:cs="Times New Roman"/>
                <w:lang w:eastAsia="en-AU"/>
              </w:rPr>
              <w:t>).</w:t>
            </w:r>
          </w:p>
        </w:tc>
      </w:tr>
      <w:tr w:rsidR="004E77FD" w:rsidRPr="00527CE6" w14:paraId="5AC568CF" w14:textId="77777777" w:rsidTr="00D17E3A">
        <w:tc>
          <w:tcPr>
            <w:tcW w:w="1417" w:type="dxa"/>
            <w:tcBorders>
              <w:right w:val="nil"/>
            </w:tcBorders>
            <w:shd w:val="clear" w:color="auto" w:fill="auto"/>
          </w:tcPr>
          <w:p w14:paraId="70DD0D2C" w14:textId="5574781F" w:rsidR="00367C16" w:rsidRPr="00527CE6" w:rsidRDefault="008208DA" w:rsidP="00D17E3A">
            <w:pPr>
              <w:spacing w:before="120"/>
              <w:rPr>
                <w:rFonts w:cs="Times New Roman"/>
              </w:rPr>
            </w:pPr>
            <w:r w:rsidRPr="00527CE6">
              <w:rPr>
                <w:rFonts w:cs="Times New Roman"/>
              </w:rPr>
              <w:t>9</w:t>
            </w:r>
          </w:p>
        </w:tc>
        <w:tc>
          <w:tcPr>
            <w:tcW w:w="6039" w:type="dxa"/>
            <w:tcBorders>
              <w:left w:val="nil"/>
            </w:tcBorders>
            <w:shd w:val="clear" w:color="auto" w:fill="auto"/>
          </w:tcPr>
          <w:p w14:paraId="6B4F42E0" w14:textId="5003D22E" w:rsidR="007835A5" w:rsidRPr="00527CE6" w:rsidRDefault="007835A5" w:rsidP="00904D6A">
            <w:pPr>
              <w:spacing w:before="120"/>
              <w:jc w:val="both"/>
              <w:rPr>
                <w:rFonts w:eastAsia="Times New Roman" w:cs="Times New Roman"/>
                <w:lang w:eastAsia="en-AU"/>
              </w:rPr>
            </w:pPr>
            <w:r w:rsidRPr="00527CE6">
              <w:rPr>
                <w:rFonts w:eastAsia="Times New Roman" w:cs="Times New Roman"/>
                <w:lang w:eastAsia="en-AU"/>
              </w:rPr>
              <w:t>Indigenous Community Card</w:t>
            </w:r>
            <w:r w:rsidR="001748E9" w:rsidRPr="00527CE6">
              <w:rPr>
                <w:rFonts w:eastAsia="Times New Roman" w:cs="Times New Roman"/>
                <w:lang w:eastAsia="en-AU"/>
              </w:rPr>
              <w:t xml:space="preserve"> issued by </w:t>
            </w:r>
            <w:r w:rsidR="00030FE9" w:rsidRPr="00527CE6">
              <w:rPr>
                <w:rFonts w:eastAsia="Times New Roman" w:cs="Times New Roman"/>
                <w:lang w:eastAsia="en-AU"/>
              </w:rPr>
              <w:t xml:space="preserve">Services Australia </w:t>
            </w:r>
            <w:r w:rsidR="00357047" w:rsidRPr="00527CE6">
              <w:rPr>
                <w:rFonts w:eastAsia="Times New Roman" w:cs="Times New Roman"/>
                <w:lang w:eastAsia="en-AU"/>
              </w:rPr>
              <w:t>(</w:t>
            </w:r>
            <w:r w:rsidR="002B7B51" w:rsidRPr="00527CE6">
              <w:rPr>
                <w:rFonts w:eastAsia="Times New Roman" w:cs="Times New Roman"/>
                <w:lang w:eastAsia="en-AU"/>
              </w:rPr>
              <w:t xml:space="preserve">or the Commonwealth Government </w:t>
            </w:r>
            <w:r w:rsidR="00030FE9" w:rsidRPr="00527CE6">
              <w:rPr>
                <w:rFonts w:eastAsia="Times New Roman" w:cs="Times New Roman"/>
                <w:lang w:eastAsia="en-AU"/>
              </w:rPr>
              <w:t>agency or d</w:t>
            </w:r>
            <w:r w:rsidR="002B7B51" w:rsidRPr="00527CE6">
              <w:rPr>
                <w:rFonts w:eastAsia="Times New Roman" w:cs="Times New Roman"/>
                <w:lang w:eastAsia="en-AU"/>
              </w:rPr>
              <w:t xml:space="preserve">epartment responsible for issuing Indigenous </w:t>
            </w:r>
            <w:r w:rsidR="00B51CCD" w:rsidRPr="00527CE6">
              <w:rPr>
                <w:rFonts w:eastAsia="Times New Roman" w:cs="Times New Roman"/>
                <w:lang w:eastAsia="en-AU"/>
              </w:rPr>
              <w:t>Community Cards at the relevant time</w:t>
            </w:r>
            <w:r w:rsidR="00357047" w:rsidRPr="00527CE6">
              <w:rPr>
                <w:rFonts w:eastAsia="Times New Roman" w:cs="Times New Roman"/>
                <w:lang w:eastAsia="en-AU"/>
              </w:rPr>
              <w:t>)</w:t>
            </w:r>
            <w:r w:rsidR="00F357D2" w:rsidRPr="00527CE6">
              <w:rPr>
                <w:rFonts w:eastAsia="Times New Roman" w:cs="Times New Roman"/>
                <w:lang w:eastAsia="en-AU"/>
              </w:rPr>
              <w:t>.</w:t>
            </w:r>
            <w:r w:rsidR="00520B42" w:rsidRPr="00527CE6" w:rsidDel="00520B42">
              <w:rPr>
                <w:rFonts w:eastAsia="Times New Roman" w:cs="Times New Roman"/>
                <w:lang w:eastAsia="en-AU"/>
              </w:rPr>
              <w:t xml:space="preserve"> </w:t>
            </w:r>
          </w:p>
        </w:tc>
      </w:tr>
      <w:tr w:rsidR="004E77FD" w:rsidRPr="00527CE6" w14:paraId="7C190B2D" w14:textId="77777777" w:rsidTr="00D17E3A">
        <w:tc>
          <w:tcPr>
            <w:tcW w:w="1417" w:type="dxa"/>
            <w:tcBorders>
              <w:right w:val="nil"/>
            </w:tcBorders>
            <w:shd w:val="clear" w:color="auto" w:fill="auto"/>
          </w:tcPr>
          <w:p w14:paraId="742D3BF5" w14:textId="5CFA981E" w:rsidR="00367C16" w:rsidRPr="00527CE6" w:rsidRDefault="007835A5" w:rsidP="00D17E3A">
            <w:pPr>
              <w:spacing w:before="120"/>
              <w:rPr>
                <w:rFonts w:cs="Times New Roman"/>
              </w:rPr>
            </w:pPr>
            <w:r w:rsidRPr="00527CE6">
              <w:rPr>
                <w:rFonts w:cs="Times New Roman"/>
              </w:rPr>
              <w:t>1</w:t>
            </w:r>
            <w:r w:rsidR="008208DA" w:rsidRPr="00527CE6">
              <w:rPr>
                <w:rFonts w:cs="Times New Roman"/>
              </w:rPr>
              <w:t>0</w:t>
            </w:r>
          </w:p>
        </w:tc>
        <w:tc>
          <w:tcPr>
            <w:tcW w:w="6039" w:type="dxa"/>
            <w:tcBorders>
              <w:left w:val="nil"/>
            </w:tcBorders>
            <w:shd w:val="clear" w:color="auto" w:fill="auto"/>
          </w:tcPr>
          <w:p w14:paraId="06621700" w14:textId="5EEDED70" w:rsidR="007835A5" w:rsidRPr="00527CE6" w:rsidRDefault="0019129E" w:rsidP="00D17E3A">
            <w:pPr>
              <w:spacing w:before="120"/>
              <w:jc w:val="both"/>
              <w:rPr>
                <w:rFonts w:eastAsia="Times New Roman" w:cs="Times New Roman"/>
                <w:lang w:eastAsia="en-AU"/>
              </w:rPr>
            </w:pPr>
            <w:r w:rsidRPr="00527CE6">
              <w:rPr>
                <w:rFonts w:eastAsia="Times New Roman" w:cs="Times New Roman"/>
                <w:lang w:eastAsia="en-AU"/>
              </w:rPr>
              <w:t>F</w:t>
            </w:r>
            <w:r w:rsidR="007835A5" w:rsidRPr="00527CE6">
              <w:rPr>
                <w:rFonts w:eastAsia="Times New Roman" w:cs="Times New Roman"/>
                <w:lang w:eastAsia="en-AU"/>
              </w:rPr>
              <w:t>irearms licence</w:t>
            </w:r>
            <w:r w:rsidR="000A67E9" w:rsidRPr="00527CE6">
              <w:rPr>
                <w:rFonts w:eastAsia="Times New Roman" w:cs="Times New Roman"/>
                <w:lang w:eastAsia="en-AU"/>
              </w:rPr>
              <w:t xml:space="preserve"> </w:t>
            </w:r>
            <w:r w:rsidR="00C30421" w:rsidRPr="00527CE6">
              <w:rPr>
                <w:rFonts w:eastAsia="Times New Roman" w:cs="Times New Roman"/>
                <w:lang w:eastAsia="en-AU"/>
              </w:rPr>
              <w:t>issued by a</w:t>
            </w:r>
            <w:r w:rsidR="00030FE9" w:rsidRPr="00527CE6">
              <w:rPr>
                <w:rFonts w:eastAsia="Times New Roman" w:cs="Times New Roman"/>
                <w:lang w:eastAsia="en-AU"/>
              </w:rPr>
              <w:t>n</w:t>
            </w:r>
            <w:r w:rsidR="0005738B" w:rsidRPr="00527CE6">
              <w:rPr>
                <w:rFonts w:eastAsia="Times New Roman" w:cs="Times New Roman"/>
                <w:lang w:eastAsia="en-AU"/>
              </w:rPr>
              <w:t xml:space="preserve"> Australian</w:t>
            </w:r>
            <w:r w:rsidR="00C30421" w:rsidRPr="00527CE6">
              <w:rPr>
                <w:rFonts w:eastAsia="Times New Roman" w:cs="Times New Roman"/>
                <w:lang w:eastAsia="en-AU"/>
              </w:rPr>
              <w:t xml:space="preserve"> State or Territory Police force</w:t>
            </w:r>
            <w:r w:rsidR="00030FE9" w:rsidRPr="00527CE6">
              <w:rPr>
                <w:rFonts w:eastAsia="Times New Roman" w:cs="Times New Roman"/>
                <w:lang w:eastAsia="en-AU"/>
              </w:rPr>
              <w:t xml:space="preserve"> </w:t>
            </w:r>
            <w:r w:rsidR="00120C1D" w:rsidRPr="00527CE6">
              <w:rPr>
                <w:rFonts w:eastAsia="Times New Roman" w:cs="Times New Roman"/>
                <w:lang w:eastAsia="en-AU"/>
              </w:rPr>
              <w:t xml:space="preserve">and which includes the </w:t>
            </w:r>
            <w:r w:rsidR="00B14CB5" w:rsidRPr="00527CE6">
              <w:rPr>
                <w:rFonts w:eastAsia="Times New Roman" w:cs="Times New Roman"/>
                <w:lang w:eastAsia="en-AU"/>
              </w:rPr>
              <w:t>customer’s</w:t>
            </w:r>
            <w:r w:rsidR="00120C1D" w:rsidRPr="00527CE6">
              <w:rPr>
                <w:rFonts w:eastAsia="Times New Roman" w:cs="Times New Roman"/>
                <w:lang w:eastAsia="en-AU"/>
              </w:rPr>
              <w:t xml:space="preserve"> photo</w:t>
            </w:r>
            <w:r w:rsidR="008E582D" w:rsidRPr="00527CE6">
              <w:rPr>
                <w:rFonts w:eastAsia="Times New Roman" w:cs="Times New Roman"/>
                <w:lang w:eastAsia="en-AU"/>
              </w:rPr>
              <w:t>.</w:t>
            </w:r>
          </w:p>
        </w:tc>
      </w:tr>
      <w:tr w:rsidR="004E77FD" w:rsidRPr="00527CE6" w14:paraId="6E30C386" w14:textId="77777777" w:rsidTr="00D17E3A">
        <w:tc>
          <w:tcPr>
            <w:tcW w:w="1417" w:type="dxa"/>
            <w:tcBorders>
              <w:right w:val="nil"/>
            </w:tcBorders>
            <w:shd w:val="clear" w:color="auto" w:fill="auto"/>
          </w:tcPr>
          <w:p w14:paraId="24F7B3FC" w14:textId="2F3ECDD9" w:rsidR="00367C16" w:rsidRPr="00527CE6" w:rsidRDefault="007835A5" w:rsidP="00D17E3A">
            <w:pPr>
              <w:spacing w:before="120"/>
              <w:rPr>
                <w:rFonts w:cs="Times New Roman"/>
              </w:rPr>
            </w:pPr>
            <w:r w:rsidRPr="00527CE6">
              <w:rPr>
                <w:rFonts w:cs="Times New Roman"/>
              </w:rPr>
              <w:t>1</w:t>
            </w:r>
            <w:r w:rsidR="008208DA" w:rsidRPr="00527CE6">
              <w:rPr>
                <w:rFonts w:cs="Times New Roman"/>
              </w:rPr>
              <w:t>1</w:t>
            </w:r>
          </w:p>
        </w:tc>
        <w:tc>
          <w:tcPr>
            <w:tcW w:w="6039" w:type="dxa"/>
            <w:tcBorders>
              <w:left w:val="nil"/>
            </w:tcBorders>
            <w:shd w:val="clear" w:color="auto" w:fill="auto"/>
          </w:tcPr>
          <w:p w14:paraId="4DC08811" w14:textId="58571D30" w:rsidR="007835A5" w:rsidRPr="00527CE6" w:rsidRDefault="007835A5" w:rsidP="00904D6A">
            <w:pPr>
              <w:spacing w:before="120"/>
              <w:jc w:val="both"/>
              <w:rPr>
                <w:rFonts w:eastAsia="Times New Roman" w:cs="Times New Roman"/>
                <w:lang w:eastAsia="en-AU"/>
              </w:rPr>
            </w:pPr>
            <w:r w:rsidRPr="00527CE6">
              <w:rPr>
                <w:rFonts w:eastAsia="Times New Roman" w:cs="Times New Roman"/>
                <w:lang w:eastAsia="en-AU"/>
              </w:rPr>
              <w:t>Aviation Security Identity Card</w:t>
            </w:r>
            <w:r w:rsidR="00C44F58" w:rsidRPr="00527CE6">
              <w:rPr>
                <w:rFonts w:eastAsia="Times New Roman" w:cs="Times New Roman"/>
                <w:lang w:eastAsia="en-AU"/>
              </w:rPr>
              <w:t xml:space="preserve"> issued by </w:t>
            </w:r>
            <w:r w:rsidR="008A266B" w:rsidRPr="00527CE6">
              <w:rPr>
                <w:rFonts w:eastAsia="Times New Roman" w:cs="Times New Roman"/>
                <w:lang w:eastAsia="en-AU"/>
              </w:rPr>
              <w:t xml:space="preserve">a </w:t>
            </w:r>
            <w:r w:rsidR="00A01A04" w:rsidRPr="00527CE6">
              <w:rPr>
                <w:rFonts w:eastAsia="Times New Roman" w:cs="Times New Roman"/>
                <w:lang w:eastAsia="en-AU"/>
              </w:rPr>
              <w:t xml:space="preserve">body </w:t>
            </w:r>
            <w:r w:rsidR="008A266B" w:rsidRPr="00527CE6">
              <w:rPr>
                <w:rFonts w:eastAsia="Times New Roman" w:cs="Times New Roman"/>
                <w:lang w:eastAsia="en-AU"/>
              </w:rPr>
              <w:t xml:space="preserve">which </w:t>
            </w:r>
            <w:r w:rsidR="00A01A04" w:rsidRPr="00527CE6">
              <w:rPr>
                <w:rFonts w:eastAsia="Times New Roman" w:cs="Times New Roman"/>
                <w:lang w:eastAsia="en-AU"/>
              </w:rPr>
              <w:t xml:space="preserve">is authorised by the Commonwealth government agency or department responsible for giving an entity authorisation to issue an Aviation Security Identity Card </w:t>
            </w:r>
            <w:r w:rsidR="00CB7C16" w:rsidRPr="00527CE6">
              <w:rPr>
                <w:rFonts w:eastAsia="Times New Roman" w:cs="Times New Roman"/>
                <w:lang w:eastAsia="en-AU"/>
              </w:rPr>
              <w:t>and which includes the customer’s photo.</w:t>
            </w:r>
            <w:r w:rsidR="009421BB" w:rsidRPr="00527CE6" w:rsidDel="009421BB">
              <w:rPr>
                <w:rFonts w:eastAsia="Times New Roman" w:cs="Times New Roman"/>
                <w:lang w:eastAsia="en-AU"/>
              </w:rPr>
              <w:t xml:space="preserve"> </w:t>
            </w:r>
          </w:p>
        </w:tc>
      </w:tr>
      <w:tr w:rsidR="004E77FD" w:rsidRPr="00527CE6" w14:paraId="026A849A" w14:textId="77777777" w:rsidTr="00D17E3A">
        <w:tc>
          <w:tcPr>
            <w:tcW w:w="1417" w:type="dxa"/>
            <w:tcBorders>
              <w:right w:val="nil"/>
            </w:tcBorders>
            <w:shd w:val="clear" w:color="auto" w:fill="auto"/>
          </w:tcPr>
          <w:p w14:paraId="2CEE0DB0" w14:textId="335E6021" w:rsidR="00367C16" w:rsidRPr="00527CE6" w:rsidRDefault="00E16954" w:rsidP="00D17E3A">
            <w:pPr>
              <w:spacing w:before="120"/>
              <w:rPr>
                <w:rFonts w:cs="Times New Roman"/>
              </w:rPr>
            </w:pPr>
            <w:r w:rsidRPr="00527CE6">
              <w:rPr>
                <w:rFonts w:cs="Times New Roman"/>
              </w:rPr>
              <w:t>1</w:t>
            </w:r>
            <w:r w:rsidR="008208DA" w:rsidRPr="00527CE6">
              <w:rPr>
                <w:rFonts w:cs="Times New Roman"/>
              </w:rPr>
              <w:t>2</w:t>
            </w:r>
          </w:p>
        </w:tc>
        <w:tc>
          <w:tcPr>
            <w:tcW w:w="6039" w:type="dxa"/>
            <w:tcBorders>
              <w:left w:val="nil"/>
            </w:tcBorders>
            <w:shd w:val="clear" w:color="auto" w:fill="auto"/>
          </w:tcPr>
          <w:p w14:paraId="438FE5AA" w14:textId="0CDEB038"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Maritime Security Identity Card</w:t>
            </w:r>
            <w:r w:rsidR="00CB5E29" w:rsidRPr="00527CE6">
              <w:rPr>
                <w:rFonts w:eastAsia="Times New Roman" w:cs="Times New Roman"/>
                <w:lang w:eastAsia="en-AU"/>
              </w:rPr>
              <w:t xml:space="preserve"> </w:t>
            </w:r>
            <w:r w:rsidR="00A01A04" w:rsidRPr="00527CE6">
              <w:rPr>
                <w:rFonts w:eastAsia="Times New Roman" w:cs="Times New Roman"/>
                <w:lang w:eastAsia="en-AU"/>
              </w:rPr>
              <w:t xml:space="preserve">issued by </w:t>
            </w:r>
            <w:r w:rsidR="008A266B" w:rsidRPr="00527CE6">
              <w:rPr>
                <w:rFonts w:eastAsia="Times New Roman" w:cs="Times New Roman"/>
                <w:lang w:eastAsia="en-AU"/>
              </w:rPr>
              <w:t xml:space="preserve">a </w:t>
            </w:r>
            <w:r w:rsidR="00A01A04" w:rsidRPr="00527CE6">
              <w:rPr>
                <w:rFonts w:eastAsia="Times New Roman" w:cs="Times New Roman"/>
                <w:lang w:eastAsia="en-AU"/>
              </w:rPr>
              <w:t xml:space="preserve">body </w:t>
            </w:r>
            <w:r w:rsidR="008A266B" w:rsidRPr="00527CE6">
              <w:rPr>
                <w:rFonts w:eastAsia="Times New Roman" w:cs="Times New Roman"/>
                <w:lang w:eastAsia="en-AU"/>
              </w:rPr>
              <w:t xml:space="preserve">which </w:t>
            </w:r>
            <w:r w:rsidR="00A01A04" w:rsidRPr="00527CE6">
              <w:rPr>
                <w:rFonts w:eastAsia="Times New Roman" w:cs="Times New Roman"/>
                <w:lang w:eastAsia="en-AU"/>
              </w:rPr>
              <w:t xml:space="preserve">is authorised by the Commonwealth government agency or department responsible for giving an entity authorisation to issue a Maritime Security Identity Card </w:t>
            </w:r>
            <w:r w:rsidR="00CB5E29" w:rsidRPr="00527CE6">
              <w:rPr>
                <w:rFonts w:eastAsia="Times New Roman" w:cs="Times New Roman"/>
                <w:lang w:eastAsia="en-AU"/>
              </w:rPr>
              <w:t xml:space="preserve">and which includes the </w:t>
            </w:r>
            <w:r w:rsidR="00050A9D" w:rsidRPr="00527CE6">
              <w:rPr>
                <w:rFonts w:eastAsia="Times New Roman" w:cs="Times New Roman"/>
                <w:lang w:eastAsia="en-AU"/>
              </w:rPr>
              <w:t>customer’s</w:t>
            </w:r>
            <w:r w:rsidR="00CB5E29" w:rsidRPr="00527CE6">
              <w:rPr>
                <w:rFonts w:eastAsia="Times New Roman" w:cs="Times New Roman"/>
                <w:lang w:eastAsia="en-AU"/>
              </w:rPr>
              <w:t xml:space="preserve"> photo.</w:t>
            </w:r>
          </w:p>
        </w:tc>
      </w:tr>
      <w:tr w:rsidR="004E77FD" w:rsidRPr="00527CE6" w14:paraId="6C83E1E6" w14:textId="77777777" w:rsidTr="00D17E3A">
        <w:tc>
          <w:tcPr>
            <w:tcW w:w="1417" w:type="dxa"/>
            <w:tcBorders>
              <w:right w:val="nil"/>
            </w:tcBorders>
            <w:shd w:val="clear" w:color="auto" w:fill="auto"/>
          </w:tcPr>
          <w:p w14:paraId="6A3E3D35" w14:textId="0CB8B59B" w:rsidR="007835A5" w:rsidRPr="00527CE6" w:rsidRDefault="00E16954" w:rsidP="00D17E3A">
            <w:pPr>
              <w:spacing w:before="120"/>
              <w:rPr>
                <w:rFonts w:cs="Times New Roman"/>
              </w:rPr>
            </w:pPr>
            <w:r w:rsidRPr="00527CE6">
              <w:rPr>
                <w:rFonts w:cs="Times New Roman"/>
              </w:rPr>
              <w:t>1</w:t>
            </w:r>
            <w:r w:rsidR="008208DA" w:rsidRPr="00527CE6">
              <w:rPr>
                <w:rFonts w:cs="Times New Roman"/>
              </w:rPr>
              <w:t>3</w:t>
            </w:r>
          </w:p>
        </w:tc>
        <w:tc>
          <w:tcPr>
            <w:tcW w:w="6039" w:type="dxa"/>
            <w:tcBorders>
              <w:left w:val="nil"/>
            </w:tcBorders>
            <w:shd w:val="clear" w:color="auto" w:fill="auto"/>
          </w:tcPr>
          <w:p w14:paraId="70BF0DDE" w14:textId="74C041CA"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Australian Government Issued Phot</w:t>
            </w:r>
            <w:r w:rsidR="00661D44" w:rsidRPr="00527CE6">
              <w:rPr>
                <w:rFonts w:eastAsia="Times New Roman" w:cs="Times New Roman"/>
                <w:lang w:eastAsia="en-AU"/>
              </w:rPr>
              <w:t>o</w:t>
            </w:r>
            <w:r w:rsidRPr="00527CE6">
              <w:rPr>
                <w:rFonts w:eastAsia="Times New Roman" w:cs="Times New Roman"/>
                <w:lang w:eastAsia="en-AU"/>
              </w:rPr>
              <w:t xml:space="preserve"> ID card (employee ID)</w:t>
            </w:r>
            <w:r w:rsidR="009421BB" w:rsidRPr="00527CE6">
              <w:rPr>
                <w:rFonts w:eastAsia="Times New Roman" w:cs="Times New Roman"/>
                <w:lang w:eastAsia="en-AU"/>
              </w:rPr>
              <w:t xml:space="preserve"> </w:t>
            </w:r>
            <w:r w:rsidRPr="00527CE6">
              <w:rPr>
                <w:rFonts w:eastAsia="Times New Roman" w:cs="Times New Roman"/>
                <w:lang w:eastAsia="en-AU"/>
              </w:rPr>
              <w:t xml:space="preserve">issued by the </w:t>
            </w:r>
            <w:r w:rsidR="009F69CC" w:rsidRPr="00527CE6">
              <w:rPr>
                <w:rFonts w:eastAsia="Times New Roman" w:cs="Times New Roman"/>
                <w:lang w:eastAsia="en-AU"/>
              </w:rPr>
              <w:t xml:space="preserve">relevant </w:t>
            </w:r>
            <w:r w:rsidRPr="00527CE6">
              <w:rPr>
                <w:rFonts w:eastAsia="Times New Roman" w:cs="Times New Roman"/>
                <w:lang w:eastAsia="en-AU"/>
              </w:rPr>
              <w:t xml:space="preserve">Commonwealth, </w:t>
            </w:r>
            <w:r w:rsidR="00DF31F9" w:rsidRPr="00527CE6">
              <w:rPr>
                <w:rFonts w:eastAsia="Times New Roman" w:cs="Times New Roman"/>
                <w:lang w:eastAsia="en-AU"/>
              </w:rPr>
              <w:t>S</w:t>
            </w:r>
            <w:r w:rsidRPr="00527CE6">
              <w:rPr>
                <w:rFonts w:eastAsia="Times New Roman" w:cs="Times New Roman"/>
                <w:lang w:eastAsia="en-AU"/>
              </w:rPr>
              <w:t xml:space="preserve">tate or </w:t>
            </w:r>
            <w:r w:rsidR="00DF31F9" w:rsidRPr="00527CE6">
              <w:rPr>
                <w:rFonts w:eastAsia="Times New Roman" w:cs="Times New Roman"/>
                <w:lang w:eastAsia="en-AU"/>
              </w:rPr>
              <w:t>T</w:t>
            </w:r>
            <w:r w:rsidRPr="00527CE6">
              <w:rPr>
                <w:rFonts w:eastAsia="Times New Roman" w:cs="Times New Roman"/>
                <w:lang w:eastAsia="en-AU"/>
              </w:rPr>
              <w:t>erritory</w:t>
            </w:r>
            <w:r w:rsidR="0066646A" w:rsidRPr="00527CE6">
              <w:rPr>
                <w:rFonts w:eastAsia="Times New Roman" w:cs="Times New Roman"/>
                <w:lang w:eastAsia="en-AU"/>
              </w:rPr>
              <w:t xml:space="preserve"> government</w:t>
            </w:r>
            <w:r w:rsidRPr="00527CE6">
              <w:rPr>
                <w:rFonts w:eastAsia="Times New Roman" w:cs="Times New Roman"/>
                <w:lang w:eastAsia="en-AU"/>
              </w:rPr>
              <w:t xml:space="preserve"> </w:t>
            </w:r>
            <w:r w:rsidR="00B36A57" w:rsidRPr="00527CE6">
              <w:rPr>
                <w:rFonts w:eastAsia="Times New Roman" w:cs="Times New Roman"/>
                <w:lang w:eastAsia="en-AU"/>
              </w:rPr>
              <w:t xml:space="preserve">and which includes the </w:t>
            </w:r>
            <w:r w:rsidR="00050A9D" w:rsidRPr="00527CE6">
              <w:rPr>
                <w:rFonts w:eastAsia="Times New Roman" w:cs="Times New Roman"/>
                <w:lang w:eastAsia="en-AU"/>
              </w:rPr>
              <w:t>customer’s</w:t>
            </w:r>
            <w:r w:rsidR="00B36A57" w:rsidRPr="00527CE6">
              <w:rPr>
                <w:rFonts w:eastAsia="Times New Roman" w:cs="Times New Roman"/>
                <w:lang w:eastAsia="en-AU"/>
              </w:rPr>
              <w:t xml:space="preserve"> photo.</w:t>
            </w:r>
            <w:r w:rsidRPr="00527CE6">
              <w:rPr>
                <w:rFonts w:eastAsia="Times New Roman" w:cs="Times New Roman"/>
                <w:lang w:eastAsia="en-AU"/>
              </w:rPr>
              <w:t xml:space="preserve"> </w:t>
            </w:r>
          </w:p>
        </w:tc>
      </w:tr>
      <w:tr w:rsidR="004E77FD" w:rsidRPr="00527CE6" w14:paraId="539DBEF4" w14:textId="77777777" w:rsidTr="00D17E3A">
        <w:tc>
          <w:tcPr>
            <w:tcW w:w="1417" w:type="dxa"/>
            <w:tcBorders>
              <w:right w:val="nil"/>
            </w:tcBorders>
            <w:shd w:val="clear" w:color="auto" w:fill="auto"/>
          </w:tcPr>
          <w:p w14:paraId="203B7AEA" w14:textId="285CA72F" w:rsidR="007835A5" w:rsidRPr="00527CE6" w:rsidRDefault="00E16954" w:rsidP="00D17E3A">
            <w:pPr>
              <w:spacing w:before="120"/>
              <w:rPr>
                <w:rFonts w:cs="Times New Roman"/>
              </w:rPr>
            </w:pPr>
            <w:r w:rsidRPr="00527CE6">
              <w:rPr>
                <w:rFonts w:cs="Times New Roman"/>
              </w:rPr>
              <w:t>1</w:t>
            </w:r>
            <w:r w:rsidR="008208DA" w:rsidRPr="00527CE6">
              <w:rPr>
                <w:rFonts w:cs="Times New Roman"/>
              </w:rPr>
              <w:t>4</w:t>
            </w:r>
          </w:p>
        </w:tc>
        <w:tc>
          <w:tcPr>
            <w:tcW w:w="6039" w:type="dxa"/>
            <w:tcBorders>
              <w:left w:val="nil"/>
            </w:tcBorders>
            <w:shd w:val="clear" w:color="auto" w:fill="auto"/>
          </w:tcPr>
          <w:p w14:paraId="24E72C5D" w14:textId="6EB9D894"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Defence Highly Trusted Token</w:t>
            </w:r>
            <w:r w:rsidR="008D4B9A" w:rsidRPr="00527CE6">
              <w:rPr>
                <w:rFonts w:eastAsia="Times New Roman" w:cs="Times New Roman"/>
                <w:lang w:eastAsia="en-AU"/>
              </w:rPr>
              <w:t xml:space="preserve"> issued by </w:t>
            </w:r>
            <w:r w:rsidR="00F112C9" w:rsidRPr="00527CE6">
              <w:rPr>
                <w:rFonts w:eastAsia="Times New Roman" w:cs="Times New Roman"/>
                <w:lang w:eastAsia="en-AU"/>
              </w:rPr>
              <w:t>the Australian Department of Defence (or the Commonwealth Government Department responsible for issuing Highly Trusted Tokens</w:t>
            </w:r>
            <w:r w:rsidR="004D29FD" w:rsidRPr="00527CE6">
              <w:rPr>
                <w:rFonts w:eastAsia="Times New Roman" w:cs="Times New Roman"/>
                <w:lang w:eastAsia="en-AU"/>
              </w:rPr>
              <w:t xml:space="preserve"> at the relevant time</w:t>
            </w:r>
            <w:r w:rsidR="00F112C9" w:rsidRPr="00527CE6">
              <w:rPr>
                <w:rFonts w:eastAsia="Times New Roman" w:cs="Times New Roman"/>
                <w:lang w:eastAsia="en-AU"/>
              </w:rPr>
              <w:t>).</w:t>
            </w:r>
          </w:p>
        </w:tc>
      </w:tr>
      <w:tr w:rsidR="004E77FD" w:rsidRPr="00527CE6" w14:paraId="403728A2" w14:textId="77777777" w:rsidTr="00D17E3A">
        <w:tc>
          <w:tcPr>
            <w:tcW w:w="1417" w:type="dxa"/>
            <w:tcBorders>
              <w:right w:val="nil"/>
            </w:tcBorders>
            <w:shd w:val="clear" w:color="auto" w:fill="auto"/>
          </w:tcPr>
          <w:p w14:paraId="39D75F05" w14:textId="78114806" w:rsidR="007835A5" w:rsidRPr="00527CE6" w:rsidRDefault="00E16954" w:rsidP="00D17E3A">
            <w:pPr>
              <w:spacing w:before="120"/>
              <w:rPr>
                <w:rFonts w:cs="Times New Roman"/>
              </w:rPr>
            </w:pPr>
            <w:r w:rsidRPr="00527CE6">
              <w:rPr>
                <w:rFonts w:cs="Times New Roman"/>
              </w:rPr>
              <w:t>1</w:t>
            </w:r>
            <w:r w:rsidR="008208DA" w:rsidRPr="00527CE6">
              <w:rPr>
                <w:rFonts w:cs="Times New Roman"/>
              </w:rPr>
              <w:t>5</w:t>
            </w:r>
          </w:p>
        </w:tc>
        <w:tc>
          <w:tcPr>
            <w:tcW w:w="6039" w:type="dxa"/>
            <w:tcBorders>
              <w:left w:val="nil"/>
            </w:tcBorders>
            <w:shd w:val="clear" w:color="auto" w:fill="auto"/>
          </w:tcPr>
          <w:p w14:paraId="16651DDB" w14:textId="402EF36D"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Defence Force identity card</w:t>
            </w:r>
            <w:r w:rsidR="00BC257D" w:rsidRPr="00527CE6">
              <w:rPr>
                <w:rFonts w:eastAsia="Times New Roman" w:cs="Times New Roman"/>
                <w:lang w:eastAsia="en-AU"/>
              </w:rPr>
              <w:t xml:space="preserve"> i</w:t>
            </w:r>
            <w:r w:rsidR="005C1129" w:rsidRPr="00527CE6">
              <w:rPr>
                <w:rFonts w:eastAsia="Times New Roman" w:cs="Times New Roman"/>
                <w:lang w:eastAsia="en-AU"/>
              </w:rPr>
              <w:t xml:space="preserve">ssued by the Australian Defence Force </w:t>
            </w:r>
            <w:r w:rsidR="00A762CF" w:rsidRPr="00527CE6">
              <w:rPr>
                <w:rFonts w:eastAsia="Times New Roman" w:cs="Times New Roman"/>
                <w:lang w:eastAsia="en-AU"/>
              </w:rPr>
              <w:t xml:space="preserve">and which includes the </w:t>
            </w:r>
            <w:r w:rsidR="00050A9D" w:rsidRPr="00527CE6">
              <w:rPr>
                <w:rFonts w:eastAsia="Times New Roman" w:cs="Times New Roman"/>
                <w:lang w:eastAsia="en-AU"/>
              </w:rPr>
              <w:t>customer’s</w:t>
            </w:r>
            <w:r w:rsidR="00A762CF" w:rsidRPr="00527CE6">
              <w:rPr>
                <w:rFonts w:eastAsia="Times New Roman" w:cs="Times New Roman"/>
                <w:lang w:eastAsia="en-AU"/>
              </w:rPr>
              <w:t xml:space="preserve"> photo. </w:t>
            </w:r>
          </w:p>
        </w:tc>
      </w:tr>
      <w:tr w:rsidR="004E77FD" w:rsidRPr="00527CE6" w14:paraId="150D1BC5" w14:textId="77777777" w:rsidTr="00D17E3A">
        <w:tc>
          <w:tcPr>
            <w:tcW w:w="1417" w:type="dxa"/>
            <w:tcBorders>
              <w:right w:val="nil"/>
            </w:tcBorders>
            <w:shd w:val="clear" w:color="auto" w:fill="auto"/>
          </w:tcPr>
          <w:p w14:paraId="79E465E1" w14:textId="79E24539" w:rsidR="007835A5" w:rsidRPr="00527CE6" w:rsidRDefault="00E16954" w:rsidP="00D17E3A">
            <w:pPr>
              <w:spacing w:before="120"/>
              <w:rPr>
                <w:rFonts w:cs="Times New Roman"/>
              </w:rPr>
            </w:pPr>
            <w:r w:rsidRPr="00527CE6">
              <w:rPr>
                <w:rFonts w:cs="Times New Roman"/>
              </w:rPr>
              <w:t>1</w:t>
            </w:r>
            <w:r w:rsidR="008208DA" w:rsidRPr="00527CE6">
              <w:rPr>
                <w:rFonts w:cs="Times New Roman"/>
              </w:rPr>
              <w:t>6</w:t>
            </w:r>
          </w:p>
        </w:tc>
        <w:tc>
          <w:tcPr>
            <w:tcW w:w="6039" w:type="dxa"/>
            <w:tcBorders>
              <w:left w:val="nil"/>
            </w:tcBorders>
            <w:shd w:val="clear" w:color="auto" w:fill="auto"/>
          </w:tcPr>
          <w:p w14:paraId="4A2553CF" w14:textId="66CD7EC4"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Police identity card</w:t>
            </w:r>
            <w:r w:rsidR="00C52EB4" w:rsidRPr="00527CE6">
              <w:rPr>
                <w:rFonts w:eastAsia="Times New Roman" w:cs="Times New Roman"/>
                <w:lang w:eastAsia="en-AU"/>
              </w:rPr>
              <w:t xml:space="preserve"> issued by a</w:t>
            </w:r>
            <w:r w:rsidR="00EB7108" w:rsidRPr="00527CE6">
              <w:rPr>
                <w:rFonts w:eastAsia="Times New Roman" w:cs="Times New Roman"/>
                <w:lang w:eastAsia="en-AU"/>
              </w:rPr>
              <w:t>n Australian</w:t>
            </w:r>
            <w:r w:rsidR="00C52EB4" w:rsidRPr="00527CE6">
              <w:rPr>
                <w:rFonts w:eastAsia="Times New Roman" w:cs="Times New Roman"/>
                <w:lang w:eastAsia="en-AU"/>
              </w:rPr>
              <w:t xml:space="preserve"> State or Territory Polic</w:t>
            </w:r>
            <w:r w:rsidR="00856DC1" w:rsidRPr="00527CE6">
              <w:rPr>
                <w:rFonts w:eastAsia="Times New Roman" w:cs="Times New Roman"/>
                <w:lang w:eastAsia="en-AU"/>
              </w:rPr>
              <w:t>e</w:t>
            </w:r>
            <w:r w:rsidR="00C52EB4" w:rsidRPr="00527CE6">
              <w:rPr>
                <w:rFonts w:eastAsia="Times New Roman" w:cs="Times New Roman"/>
                <w:lang w:eastAsia="en-AU"/>
              </w:rPr>
              <w:t xml:space="preserve"> Force</w:t>
            </w:r>
            <w:r w:rsidR="00856DC1" w:rsidRPr="00527CE6">
              <w:rPr>
                <w:rFonts w:eastAsia="Times New Roman" w:cs="Times New Roman"/>
                <w:lang w:eastAsia="en-AU"/>
              </w:rPr>
              <w:t xml:space="preserve"> and which includes the </w:t>
            </w:r>
            <w:r w:rsidR="00050A9D" w:rsidRPr="00527CE6">
              <w:rPr>
                <w:rFonts w:eastAsia="Times New Roman" w:cs="Times New Roman"/>
                <w:lang w:eastAsia="en-AU"/>
              </w:rPr>
              <w:t>customer’s</w:t>
            </w:r>
            <w:r w:rsidR="00856DC1" w:rsidRPr="00527CE6">
              <w:rPr>
                <w:rFonts w:eastAsia="Times New Roman" w:cs="Times New Roman"/>
                <w:lang w:eastAsia="en-AU"/>
              </w:rPr>
              <w:t xml:space="preserve"> photo.</w:t>
            </w:r>
          </w:p>
        </w:tc>
      </w:tr>
      <w:tr w:rsidR="004E77FD" w:rsidRPr="00527CE6" w14:paraId="31C7100A" w14:textId="77777777" w:rsidTr="00D17E3A">
        <w:tc>
          <w:tcPr>
            <w:tcW w:w="1417" w:type="dxa"/>
            <w:tcBorders>
              <w:right w:val="nil"/>
            </w:tcBorders>
            <w:shd w:val="clear" w:color="auto" w:fill="auto"/>
          </w:tcPr>
          <w:p w14:paraId="4140B7C0" w14:textId="67DD7A2E" w:rsidR="007835A5" w:rsidRPr="00527CE6" w:rsidRDefault="00E16954" w:rsidP="00D17E3A">
            <w:pPr>
              <w:spacing w:before="120"/>
              <w:rPr>
                <w:rFonts w:cs="Times New Roman"/>
              </w:rPr>
            </w:pPr>
            <w:r w:rsidRPr="00527CE6">
              <w:rPr>
                <w:rFonts w:cs="Times New Roman"/>
              </w:rPr>
              <w:t>1</w:t>
            </w:r>
            <w:r w:rsidR="008208DA" w:rsidRPr="00527CE6">
              <w:rPr>
                <w:rFonts w:cs="Times New Roman"/>
              </w:rPr>
              <w:t>7</w:t>
            </w:r>
          </w:p>
        </w:tc>
        <w:tc>
          <w:tcPr>
            <w:tcW w:w="6039" w:type="dxa"/>
            <w:tcBorders>
              <w:left w:val="nil"/>
            </w:tcBorders>
            <w:shd w:val="clear" w:color="auto" w:fill="auto"/>
          </w:tcPr>
          <w:p w14:paraId="6AD613EB" w14:textId="41E85FBD"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Prisoner identity card</w:t>
            </w:r>
            <w:r w:rsidR="00BE451A" w:rsidRPr="00527CE6">
              <w:rPr>
                <w:rFonts w:eastAsia="Times New Roman" w:cs="Times New Roman"/>
                <w:lang w:eastAsia="en-AU"/>
              </w:rPr>
              <w:t xml:space="preserve"> issued by the relevant </w:t>
            </w:r>
            <w:r w:rsidR="00EB7108" w:rsidRPr="00527CE6">
              <w:rPr>
                <w:rFonts w:eastAsia="Times New Roman" w:cs="Times New Roman"/>
                <w:lang w:eastAsia="en-AU"/>
              </w:rPr>
              <w:t xml:space="preserve">Australian </w:t>
            </w:r>
            <w:r w:rsidR="00D06FB1" w:rsidRPr="00527CE6">
              <w:rPr>
                <w:rFonts w:eastAsia="Times New Roman" w:cs="Times New Roman"/>
                <w:lang w:eastAsia="en-AU"/>
              </w:rPr>
              <w:t>S</w:t>
            </w:r>
            <w:r w:rsidR="00BE451A" w:rsidRPr="00527CE6">
              <w:rPr>
                <w:rFonts w:eastAsia="Times New Roman" w:cs="Times New Roman"/>
                <w:lang w:eastAsia="en-AU"/>
              </w:rPr>
              <w:t xml:space="preserve">tate or </w:t>
            </w:r>
            <w:r w:rsidR="00D06FB1" w:rsidRPr="00527CE6">
              <w:rPr>
                <w:rFonts w:eastAsia="Times New Roman" w:cs="Times New Roman"/>
                <w:lang w:eastAsia="en-AU"/>
              </w:rPr>
              <w:t>T</w:t>
            </w:r>
            <w:r w:rsidR="00BE451A" w:rsidRPr="00527CE6">
              <w:rPr>
                <w:rFonts w:eastAsia="Times New Roman" w:cs="Times New Roman"/>
                <w:lang w:eastAsia="en-AU"/>
              </w:rPr>
              <w:t>erritory prison authority</w:t>
            </w:r>
            <w:r w:rsidR="00EB7108" w:rsidRPr="00527CE6">
              <w:rPr>
                <w:rFonts w:eastAsia="Times New Roman" w:cs="Times New Roman"/>
                <w:lang w:eastAsia="en-AU"/>
              </w:rPr>
              <w:t xml:space="preserve"> and which includes the </w:t>
            </w:r>
            <w:r w:rsidR="00050A9D" w:rsidRPr="00527CE6">
              <w:rPr>
                <w:rFonts w:eastAsia="Times New Roman" w:cs="Times New Roman"/>
                <w:lang w:eastAsia="en-AU"/>
              </w:rPr>
              <w:t>customer’s</w:t>
            </w:r>
            <w:r w:rsidR="00EB7108" w:rsidRPr="00527CE6">
              <w:rPr>
                <w:rFonts w:eastAsia="Times New Roman" w:cs="Times New Roman"/>
                <w:lang w:eastAsia="en-AU"/>
              </w:rPr>
              <w:t xml:space="preserve"> photo.</w:t>
            </w:r>
          </w:p>
        </w:tc>
      </w:tr>
      <w:tr w:rsidR="004E77FD" w:rsidRPr="00527CE6" w14:paraId="130CD5FC" w14:textId="77777777" w:rsidTr="00D17E3A">
        <w:tc>
          <w:tcPr>
            <w:tcW w:w="1417" w:type="dxa"/>
            <w:tcBorders>
              <w:right w:val="nil"/>
            </w:tcBorders>
            <w:shd w:val="clear" w:color="auto" w:fill="auto"/>
          </w:tcPr>
          <w:p w14:paraId="0D2091BC" w14:textId="54882DE2" w:rsidR="007835A5" w:rsidRPr="00527CE6" w:rsidRDefault="00E16954" w:rsidP="00D17E3A">
            <w:pPr>
              <w:spacing w:before="120"/>
              <w:rPr>
                <w:rFonts w:cs="Times New Roman"/>
              </w:rPr>
            </w:pPr>
            <w:r w:rsidRPr="00527CE6">
              <w:rPr>
                <w:rFonts w:cs="Times New Roman"/>
              </w:rPr>
              <w:t>1</w:t>
            </w:r>
            <w:r w:rsidR="008208DA" w:rsidRPr="00527CE6">
              <w:rPr>
                <w:rFonts w:cs="Times New Roman"/>
              </w:rPr>
              <w:t>8</w:t>
            </w:r>
          </w:p>
        </w:tc>
        <w:tc>
          <w:tcPr>
            <w:tcW w:w="6039" w:type="dxa"/>
            <w:tcBorders>
              <w:left w:val="nil"/>
            </w:tcBorders>
            <w:shd w:val="clear" w:color="auto" w:fill="auto"/>
          </w:tcPr>
          <w:p w14:paraId="35838EDF" w14:textId="6551CD26" w:rsidR="007835A5" w:rsidRPr="00527CE6" w:rsidRDefault="0023310D" w:rsidP="00D17E3A">
            <w:pPr>
              <w:spacing w:before="120"/>
              <w:jc w:val="both"/>
              <w:rPr>
                <w:rFonts w:eastAsia="Times New Roman" w:cs="Times New Roman"/>
                <w:lang w:eastAsia="en-AU"/>
              </w:rPr>
            </w:pPr>
            <w:r w:rsidRPr="00527CE6">
              <w:rPr>
                <w:rFonts w:eastAsia="Times New Roman" w:cs="Times New Roman"/>
                <w:lang w:eastAsia="en-AU"/>
              </w:rPr>
              <w:t xml:space="preserve">A </w:t>
            </w:r>
            <w:r w:rsidR="007835A5" w:rsidRPr="00527CE6">
              <w:rPr>
                <w:rFonts w:eastAsia="Times New Roman" w:cs="Times New Roman"/>
                <w:lang w:eastAsia="en-AU"/>
              </w:rPr>
              <w:t>trade (work or business) licence</w:t>
            </w:r>
            <w:r w:rsidRPr="00527CE6">
              <w:rPr>
                <w:rFonts w:eastAsia="Times New Roman" w:cs="Times New Roman"/>
                <w:lang w:eastAsia="en-AU"/>
              </w:rPr>
              <w:t xml:space="preserve"> issued by an Australian State or Territory</w:t>
            </w:r>
            <w:r w:rsidR="009C243A" w:rsidRPr="00527CE6">
              <w:rPr>
                <w:rFonts w:eastAsia="Times New Roman" w:cs="Times New Roman"/>
                <w:lang w:eastAsia="en-AU"/>
              </w:rPr>
              <w:t xml:space="preserve"> </w:t>
            </w:r>
            <w:r w:rsidR="00B04DB9" w:rsidRPr="00527CE6">
              <w:rPr>
                <w:rFonts w:eastAsia="Times New Roman" w:cs="Times New Roman"/>
                <w:lang w:eastAsia="en-AU"/>
              </w:rPr>
              <w:t>govern</w:t>
            </w:r>
            <w:r w:rsidR="00A5216A" w:rsidRPr="00527CE6">
              <w:rPr>
                <w:rFonts w:eastAsia="Times New Roman" w:cs="Times New Roman"/>
                <w:lang w:eastAsia="en-AU"/>
              </w:rPr>
              <w:t>ment</w:t>
            </w:r>
            <w:r w:rsidR="006213BC" w:rsidRPr="00527CE6">
              <w:rPr>
                <w:rFonts w:eastAsia="Times New Roman" w:cs="Times New Roman"/>
                <w:lang w:eastAsia="en-AU"/>
              </w:rPr>
              <w:t xml:space="preserve"> and which includes the </w:t>
            </w:r>
            <w:r w:rsidR="00050A9D" w:rsidRPr="00527CE6">
              <w:rPr>
                <w:rFonts w:eastAsia="Times New Roman" w:cs="Times New Roman"/>
                <w:lang w:eastAsia="en-AU"/>
              </w:rPr>
              <w:t>customer’s</w:t>
            </w:r>
            <w:r w:rsidR="006213BC" w:rsidRPr="00527CE6">
              <w:rPr>
                <w:rFonts w:eastAsia="Times New Roman" w:cs="Times New Roman"/>
                <w:lang w:eastAsia="en-AU"/>
              </w:rPr>
              <w:t xml:space="preserve"> photo</w:t>
            </w:r>
            <w:r w:rsidR="007D0909">
              <w:rPr>
                <w:rFonts w:eastAsia="Times New Roman" w:cs="Times New Roman"/>
                <w:lang w:eastAsia="en-AU"/>
              </w:rPr>
              <w:t xml:space="preserve"> </w:t>
            </w:r>
            <w:r w:rsidR="00A43AD7" w:rsidRPr="00527CE6">
              <w:rPr>
                <w:rFonts w:eastAsia="Times New Roman" w:cs="Times New Roman"/>
                <w:lang w:eastAsia="en-AU"/>
              </w:rPr>
              <w:t>(e.g. trade licences, real estate agents, security agents etc.)</w:t>
            </w:r>
            <w:r w:rsidR="008A266B" w:rsidRPr="00527CE6">
              <w:rPr>
                <w:rFonts w:eastAsia="Times New Roman" w:cs="Times New Roman"/>
                <w:lang w:eastAsia="en-AU"/>
              </w:rPr>
              <w:t>.</w:t>
            </w:r>
          </w:p>
        </w:tc>
      </w:tr>
      <w:tr w:rsidR="004E77FD" w:rsidRPr="00527CE6" w14:paraId="783AF998" w14:textId="77777777" w:rsidTr="00D17E3A">
        <w:tc>
          <w:tcPr>
            <w:tcW w:w="1417" w:type="dxa"/>
            <w:tcBorders>
              <w:right w:val="nil"/>
            </w:tcBorders>
            <w:shd w:val="clear" w:color="auto" w:fill="auto"/>
          </w:tcPr>
          <w:p w14:paraId="1B431050" w14:textId="657237B1" w:rsidR="007835A5" w:rsidRPr="00527CE6" w:rsidRDefault="008208DA" w:rsidP="00D17E3A">
            <w:pPr>
              <w:spacing w:before="120"/>
              <w:rPr>
                <w:rFonts w:cs="Times New Roman"/>
              </w:rPr>
            </w:pPr>
            <w:r w:rsidRPr="00527CE6">
              <w:rPr>
                <w:rFonts w:cs="Times New Roman"/>
              </w:rPr>
              <w:t>19</w:t>
            </w:r>
          </w:p>
        </w:tc>
        <w:tc>
          <w:tcPr>
            <w:tcW w:w="6039" w:type="dxa"/>
            <w:tcBorders>
              <w:left w:val="nil"/>
            </w:tcBorders>
            <w:shd w:val="clear" w:color="auto" w:fill="auto"/>
          </w:tcPr>
          <w:p w14:paraId="76D58422" w14:textId="2CDA9609" w:rsidR="007835A5" w:rsidRPr="00527CE6" w:rsidRDefault="007835A5">
            <w:pPr>
              <w:spacing w:before="120"/>
              <w:jc w:val="both"/>
              <w:rPr>
                <w:rFonts w:eastAsia="Times New Roman" w:cs="Times New Roman"/>
                <w:lang w:eastAsia="en-AU"/>
              </w:rPr>
            </w:pPr>
            <w:r w:rsidRPr="00527CE6">
              <w:rPr>
                <w:rFonts w:eastAsia="Times New Roman" w:cs="Times New Roman"/>
                <w:lang w:eastAsia="en-AU"/>
              </w:rPr>
              <w:t>Tangentyere Community ID card</w:t>
            </w:r>
            <w:r w:rsidR="003A3394" w:rsidRPr="00527CE6">
              <w:rPr>
                <w:rFonts w:eastAsia="Times New Roman" w:cs="Times New Roman"/>
                <w:lang w:eastAsia="en-AU"/>
              </w:rPr>
              <w:t xml:space="preserve"> issued by the </w:t>
            </w:r>
            <w:r w:rsidR="00197996" w:rsidRPr="00527CE6">
              <w:rPr>
                <w:rFonts w:eastAsia="Times New Roman" w:cs="Times New Roman"/>
                <w:lang w:eastAsia="en-AU"/>
              </w:rPr>
              <w:t>Tangentyere Council</w:t>
            </w:r>
            <w:r w:rsidR="003A3394" w:rsidRPr="00527CE6">
              <w:rPr>
                <w:rFonts w:eastAsia="Times New Roman" w:cs="Times New Roman"/>
                <w:lang w:eastAsia="en-AU"/>
              </w:rPr>
              <w:t xml:space="preserve"> </w:t>
            </w:r>
            <w:r w:rsidR="00B2292A" w:rsidRPr="00527CE6">
              <w:rPr>
                <w:rFonts w:eastAsia="Times New Roman" w:cs="Times New Roman"/>
                <w:lang w:eastAsia="en-AU"/>
              </w:rPr>
              <w:t>(</w:t>
            </w:r>
            <w:r w:rsidR="003A3394" w:rsidRPr="00527CE6">
              <w:rPr>
                <w:rFonts w:eastAsia="Times New Roman" w:cs="Times New Roman"/>
                <w:lang w:eastAsia="en-AU"/>
              </w:rPr>
              <w:t>or an organisation</w:t>
            </w:r>
            <w:r w:rsidR="00A52FB5" w:rsidRPr="00527CE6">
              <w:rPr>
                <w:rFonts w:eastAsia="Times New Roman" w:cs="Times New Roman"/>
                <w:lang w:eastAsia="en-AU"/>
              </w:rPr>
              <w:t xml:space="preserve"> which replaces the Tangentyere</w:t>
            </w:r>
            <w:r w:rsidR="00197996" w:rsidRPr="00527CE6">
              <w:rPr>
                <w:rFonts w:eastAsia="Times New Roman" w:cs="Times New Roman"/>
                <w:lang w:eastAsia="en-AU"/>
              </w:rPr>
              <w:t xml:space="preserve"> Co</w:t>
            </w:r>
            <w:r w:rsidR="00BD3314" w:rsidRPr="00527CE6">
              <w:rPr>
                <w:rFonts w:eastAsia="Times New Roman" w:cs="Times New Roman"/>
                <w:lang w:eastAsia="en-AU"/>
              </w:rPr>
              <w:t>uncil</w:t>
            </w:r>
            <w:r w:rsidR="00B2292A" w:rsidRPr="00527CE6">
              <w:rPr>
                <w:rFonts w:eastAsia="Times New Roman" w:cs="Times New Roman"/>
                <w:lang w:eastAsia="en-AU"/>
              </w:rPr>
              <w:t xml:space="preserve">) and which </w:t>
            </w:r>
            <w:r w:rsidR="00A43AD7" w:rsidRPr="00527CE6">
              <w:rPr>
                <w:rFonts w:eastAsia="Times New Roman" w:cs="Times New Roman"/>
                <w:lang w:eastAsia="en-AU"/>
              </w:rPr>
              <w:t xml:space="preserve">includes </w:t>
            </w:r>
            <w:r w:rsidR="00B2292A" w:rsidRPr="00527CE6">
              <w:rPr>
                <w:rFonts w:eastAsia="Times New Roman" w:cs="Times New Roman"/>
                <w:lang w:eastAsia="en-AU"/>
              </w:rPr>
              <w:t xml:space="preserve">the </w:t>
            </w:r>
            <w:r w:rsidR="001749B2" w:rsidRPr="00527CE6">
              <w:rPr>
                <w:rFonts w:eastAsia="Times New Roman" w:cs="Times New Roman"/>
                <w:lang w:eastAsia="en-AU"/>
              </w:rPr>
              <w:t>customer’s</w:t>
            </w:r>
            <w:r w:rsidR="00B2292A" w:rsidRPr="00527CE6">
              <w:rPr>
                <w:rFonts w:eastAsia="Times New Roman" w:cs="Times New Roman"/>
                <w:lang w:eastAsia="en-AU"/>
              </w:rPr>
              <w:t xml:space="preserve"> </w:t>
            </w:r>
            <w:r w:rsidR="00A43AD7" w:rsidRPr="00527CE6">
              <w:rPr>
                <w:rFonts w:eastAsia="Times New Roman" w:cs="Times New Roman"/>
                <w:lang w:eastAsia="en-AU"/>
              </w:rPr>
              <w:t>photo.</w:t>
            </w:r>
          </w:p>
        </w:tc>
      </w:tr>
      <w:tr w:rsidR="004E77FD" w:rsidRPr="00527CE6" w14:paraId="7FE68574" w14:textId="77777777" w:rsidTr="00D17E3A">
        <w:tc>
          <w:tcPr>
            <w:tcW w:w="1417" w:type="dxa"/>
            <w:tcBorders>
              <w:right w:val="nil"/>
            </w:tcBorders>
            <w:shd w:val="clear" w:color="auto" w:fill="auto"/>
          </w:tcPr>
          <w:p w14:paraId="4302A421" w14:textId="18B225D5" w:rsidR="007835A5" w:rsidRPr="00527CE6" w:rsidRDefault="00E16954" w:rsidP="00D17E3A">
            <w:pPr>
              <w:spacing w:before="120"/>
              <w:rPr>
                <w:rFonts w:cs="Times New Roman"/>
              </w:rPr>
            </w:pPr>
            <w:r w:rsidRPr="00527CE6">
              <w:rPr>
                <w:rFonts w:cs="Times New Roman"/>
              </w:rPr>
              <w:t>2</w:t>
            </w:r>
            <w:r w:rsidR="008208DA" w:rsidRPr="00527CE6">
              <w:rPr>
                <w:rFonts w:cs="Times New Roman"/>
              </w:rPr>
              <w:t>0</w:t>
            </w:r>
          </w:p>
        </w:tc>
        <w:tc>
          <w:tcPr>
            <w:tcW w:w="6039" w:type="dxa"/>
            <w:tcBorders>
              <w:left w:val="nil"/>
            </w:tcBorders>
            <w:shd w:val="clear" w:color="auto" w:fill="auto"/>
          </w:tcPr>
          <w:p w14:paraId="575F5902" w14:textId="270522A7"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Proof-of-Age card</w:t>
            </w:r>
            <w:r w:rsidR="00EB7108" w:rsidRPr="00527CE6">
              <w:rPr>
                <w:rFonts w:eastAsia="Times New Roman" w:cs="Times New Roman"/>
                <w:lang w:eastAsia="en-AU"/>
              </w:rPr>
              <w:t xml:space="preserve"> i</w:t>
            </w:r>
            <w:r w:rsidR="00A43AD7" w:rsidRPr="00527CE6">
              <w:rPr>
                <w:rFonts w:eastAsia="Times New Roman" w:cs="Times New Roman"/>
                <w:lang w:eastAsia="en-AU"/>
              </w:rPr>
              <w:t xml:space="preserve">ssued by an Australian </w:t>
            </w:r>
            <w:r w:rsidR="001749B2" w:rsidRPr="00527CE6">
              <w:rPr>
                <w:rFonts w:eastAsia="Times New Roman" w:cs="Times New Roman"/>
                <w:lang w:eastAsia="en-AU"/>
              </w:rPr>
              <w:t>S</w:t>
            </w:r>
            <w:r w:rsidR="00A43AD7" w:rsidRPr="00527CE6">
              <w:rPr>
                <w:rFonts w:eastAsia="Times New Roman" w:cs="Times New Roman"/>
                <w:lang w:eastAsia="en-AU"/>
              </w:rPr>
              <w:t xml:space="preserve">tate or </w:t>
            </w:r>
            <w:r w:rsidR="001749B2" w:rsidRPr="00527CE6">
              <w:rPr>
                <w:rFonts w:eastAsia="Times New Roman" w:cs="Times New Roman"/>
                <w:lang w:eastAsia="en-AU"/>
              </w:rPr>
              <w:t>T</w:t>
            </w:r>
            <w:r w:rsidR="00A43AD7" w:rsidRPr="00527CE6">
              <w:rPr>
                <w:rFonts w:eastAsia="Times New Roman" w:cs="Times New Roman"/>
                <w:lang w:eastAsia="en-AU"/>
              </w:rPr>
              <w:t xml:space="preserve">erritory government and </w:t>
            </w:r>
            <w:r w:rsidR="001749B2" w:rsidRPr="00527CE6">
              <w:rPr>
                <w:rFonts w:eastAsia="Times New Roman" w:cs="Times New Roman"/>
                <w:lang w:eastAsia="en-AU"/>
              </w:rPr>
              <w:t xml:space="preserve">which </w:t>
            </w:r>
            <w:r w:rsidR="00A43AD7" w:rsidRPr="00527CE6">
              <w:rPr>
                <w:rFonts w:eastAsia="Times New Roman" w:cs="Times New Roman"/>
                <w:lang w:eastAsia="en-AU"/>
              </w:rPr>
              <w:t xml:space="preserve">includes </w:t>
            </w:r>
            <w:r w:rsidR="001749B2" w:rsidRPr="00527CE6">
              <w:rPr>
                <w:rFonts w:eastAsia="Times New Roman" w:cs="Times New Roman"/>
                <w:lang w:eastAsia="en-AU"/>
              </w:rPr>
              <w:t xml:space="preserve">the customer’s </w:t>
            </w:r>
            <w:r w:rsidR="00A43AD7" w:rsidRPr="00527CE6">
              <w:rPr>
                <w:rFonts w:eastAsia="Times New Roman" w:cs="Times New Roman"/>
                <w:lang w:eastAsia="en-AU"/>
              </w:rPr>
              <w:t>photo</w:t>
            </w:r>
            <w:r w:rsidR="001749B2" w:rsidRPr="00527CE6">
              <w:rPr>
                <w:rFonts w:eastAsia="Times New Roman" w:cs="Times New Roman"/>
                <w:lang w:eastAsia="en-AU"/>
              </w:rPr>
              <w:t>.</w:t>
            </w:r>
          </w:p>
        </w:tc>
      </w:tr>
      <w:tr w:rsidR="004E77FD" w:rsidRPr="00527CE6" w14:paraId="4CD006D8" w14:textId="77777777" w:rsidTr="00D17E3A">
        <w:tc>
          <w:tcPr>
            <w:tcW w:w="1417" w:type="dxa"/>
            <w:tcBorders>
              <w:right w:val="nil"/>
            </w:tcBorders>
            <w:shd w:val="clear" w:color="auto" w:fill="auto"/>
          </w:tcPr>
          <w:p w14:paraId="7E8AD682" w14:textId="5F23905B" w:rsidR="007835A5" w:rsidRPr="00527CE6" w:rsidRDefault="00E16954" w:rsidP="00D17E3A">
            <w:pPr>
              <w:spacing w:before="120"/>
              <w:rPr>
                <w:rFonts w:cs="Times New Roman"/>
              </w:rPr>
            </w:pPr>
            <w:r w:rsidRPr="00527CE6">
              <w:rPr>
                <w:rFonts w:cs="Times New Roman"/>
              </w:rPr>
              <w:t>2</w:t>
            </w:r>
            <w:r w:rsidR="008208DA" w:rsidRPr="00527CE6">
              <w:rPr>
                <w:rFonts w:cs="Times New Roman"/>
              </w:rPr>
              <w:t>1</w:t>
            </w:r>
          </w:p>
        </w:tc>
        <w:tc>
          <w:tcPr>
            <w:tcW w:w="6039" w:type="dxa"/>
            <w:tcBorders>
              <w:left w:val="nil"/>
            </w:tcBorders>
            <w:shd w:val="clear" w:color="auto" w:fill="auto"/>
          </w:tcPr>
          <w:p w14:paraId="2F543708" w14:textId="2DFD0A5C"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Australia Post Key Pass</w:t>
            </w:r>
            <w:r w:rsidR="008A3D9D" w:rsidRPr="00527CE6">
              <w:rPr>
                <w:rFonts w:eastAsia="Times New Roman" w:cs="Times New Roman"/>
                <w:lang w:eastAsia="en-AU"/>
              </w:rPr>
              <w:t xml:space="preserve"> issued by Australia Post and which includes the </w:t>
            </w:r>
            <w:r w:rsidR="00A84FD9" w:rsidRPr="00527CE6">
              <w:rPr>
                <w:rFonts w:eastAsia="Times New Roman" w:cs="Times New Roman"/>
                <w:lang w:eastAsia="en-AU"/>
              </w:rPr>
              <w:t xml:space="preserve">customer’s </w:t>
            </w:r>
            <w:r w:rsidR="008A3D9D" w:rsidRPr="00527CE6">
              <w:rPr>
                <w:rFonts w:eastAsia="Times New Roman" w:cs="Times New Roman"/>
                <w:lang w:eastAsia="en-AU"/>
              </w:rPr>
              <w:t>photo.</w:t>
            </w:r>
          </w:p>
        </w:tc>
      </w:tr>
      <w:tr w:rsidR="004E77FD" w:rsidRPr="00527CE6" w14:paraId="49B2173F" w14:textId="77777777" w:rsidTr="00D17E3A">
        <w:tc>
          <w:tcPr>
            <w:tcW w:w="1417" w:type="dxa"/>
            <w:tcBorders>
              <w:right w:val="nil"/>
            </w:tcBorders>
            <w:shd w:val="clear" w:color="auto" w:fill="auto"/>
          </w:tcPr>
          <w:p w14:paraId="1F15C84E" w14:textId="17C12CE0" w:rsidR="007835A5" w:rsidRPr="00527CE6" w:rsidRDefault="00E16954" w:rsidP="00D17E3A">
            <w:pPr>
              <w:spacing w:before="120"/>
              <w:rPr>
                <w:rFonts w:cs="Times New Roman"/>
              </w:rPr>
            </w:pPr>
            <w:r w:rsidRPr="00527CE6">
              <w:rPr>
                <w:rFonts w:cs="Times New Roman"/>
              </w:rPr>
              <w:t>2</w:t>
            </w:r>
            <w:r w:rsidR="008208DA" w:rsidRPr="00527CE6">
              <w:rPr>
                <w:rFonts w:cs="Times New Roman"/>
              </w:rPr>
              <w:t>2</w:t>
            </w:r>
          </w:p>
        </w:tc>
        <w:tc>
          <w:tcPr>
            <w:tcW w:w="6039" w:type="dxa"/>
            <w:tcBorders>
              <w:left w:val="nil"/>
            </w:tcBorders>
            <w:shd w:val="clear" w:color="auto" w:fill="auto"/>
          </w:tcPr>
          <w:p w14:paraId="21B2213E" w14:textId="28E7204B" w:rsidR="007835A5" w:rsidRPr="00527CE6" w:rsidRDefault="007835A5" w:rsidP="00D17E3A">
            <w:pPr>
              <w:spacing w:before="120"/>
              <w:jc w:val="both"/>
              <w:rPr>
                <w:rFonts w:eastAsia="Times New Roman" w:cs="Times New Roman"/>
                <w:lang w:eastAsia="en-AU"/>
              </w:rPr>
            </w:pPr>
            <w:r w:rsidRPr="00527CE6">
              <w:rPr>
                <w:rFonts w:eastAsia="Times New Roman" w:cs="Times New Roman"/>
                <w:lang w:eastAsia="en-AU"/>
              </w:rPr>
              <w:t xml:space="preserve">Working with </w:t>
            </w:r>
            <w:r w:rsidR="008E582D" w:rsidRPr="00527CE6">
              <w:rPr>
                <w:rFonts w:eastAsia="Times New Roman" w:cs="Times New Roman"/>
                <w:lang w:eastAsia="en-AU"/>
              </w:rPr>
              <w:t>C</w:t>
            </w:r>
            <w:r w:rsidRPr="00527CE6">
              <w:rPr>
                <w:rFonts w:eastAsia="Times New Roman" w:cs="Times New Roman"/>
                <w:lang w:eastAsia="en-AU"/>
              </w:rPr>
              <w:t>hildren/Vulnerable card</w:t>
            </w:r>
            <w:r w:rsidR="0071131F" w:rsidRPr="00527CE6">
              <w:rPr>
                <w:rFonts w:eastAsia="Times New Roman" w:cs="Times New Roman"/>
                <w:lang w:eastAsia="en-AU"/>
              </w:rPr>
              <w:t xml:space="preserve"> issued by a State or Territory government and which includes the </w:t>
            </w:r>
            <w:r w:rsidR="00A84FD9" w:rsidRPr="00527CE6">
              <w:rPr>
                <w:rFonts w:eastAsia="Times New Roman" w:cs="Times New Roman"/>
                <w:lang w:eastAsia="en-AU"/>
              </w:rPr>
              <w:t xml:space="preserve">customer’s </w:t>
            </w:r>
            <w:r w:rsidR="0071131F" w:rsidRPr="00527CE6">
              <w:rPr>
                <w:rFonts w:eastAsia="Times New Roman" w:cs="Times New Roman"/>
                <w:lang w:eastAsia="en-AU"/>
              </w:rPr>
              <w:t>photo.</w:t>
            </w:r>
          </w:p>
        </w:tc>
      </w:tr>
    </w:tbl>
    <w:p w14:paraId="02112B47" w14:textId="408984BB" w:rsidR="004B2D2B" w:rsidRDefault="004B2D2B" w:rsidP="00F112C9">
      <w:pPr>
        <w:pStyle w:val="R1"/>
        <w:rPr>
          <w:b/>
        </w:rPr>
      </w:pPr>
    </w:p>
    <w:p w14:paraId="2D64A9C0" w14:textId="518068A1" w:rsidR="00F7305A" w:rsidRDefault="00F7305A" w:rsidP="00F7305A"/>
    <w:p w14:paraId="463ADA74" w14:textId="77777777" w:rsidR="00F7305A" w:rsidRPr="00D14532" w:rsidRDefault="00F7305A" w:rsidP="00D14532"/>
    <w:p w14:paraId="46CDCA8F" w14:textId="2D04BEFB" w:rsidR="00F112C9" w:rsidRPr="00527CE6" w:rsidRDefault="00F112C9" w:rsidP="00737FCC">
      <w:pPr>
        <w:pStyle w:val="R1"/>
        <w:keepNext/>
        <w:rPr>
          <w:b/>
        </w:rPr>
      </w:pPr>
      <w:r w:rsidRPr="00527CE6">
        <w:rPr>
          <w:b/>
        </w:rPr>
        <w:lastRenderedPageBreak/>
        <w:t xml:space="preserve">Table 2 – Category B documents </w:t>
      </w:r>
    </w:p>
    <w:tbl>
      <w:tblPr>
        <w:tblStyle w:val="TableGrid"/>
        <w:tblW w:w="0" w:type="auto"/>
        <w:tblInd w:w="846" w:type="dxa"/>
        <w:tblBorders>
          <w:left w:val="none" w:sz="0" w:space="0" w:color="auto"/>
          <w:right w:val="none" w:sz="0" w:space="0" w:color="auto"/>
        </w:tblBorders>
        <w:tblLook w:val="04A0" w:firstRow="1" w:lastRow="0" w:firstColumn="1" w:lastColumn="0" w:noHBand="0" w:noVBand="1"/>
        <w:tblCaption w:val="Text of draft prepaid determination."/>
      </w:tblPr>
      <w:tblGrid>
        <w:gridCol w:w="1417"/>
        <w:gridCol w:w="6039"/>
      </w:tblGrid>
      <w:tr w:rsidR="00E272CF" w:rsidRPr="00527CE6" w14:paraId="3F5CD1F6" w14:textId="77777777" w:rsidTr="00D17E3A">
        <w:tc>
          <w:tcPr>
            <w:tcW w:w="1417" w:type="dxa"/>
            <w:tcBorders>
              <w:right w:val="nil"/>
            </w:tcBorders>
            <w:shd w:val="clear" w:color="auto" w:fill="auto"/>
          </w:tcPr>
          <w:p w14:paraId="43D4F63E" w14:textId="77777777" w:rsidR="00E272CF" w:rsidRPr="00527CE6" w:rsidRDefault="00E272CF" w:rsidP="00D17E3A">
            <w:pPr>
              <w:spacing w:before="120"/>
              <w:rPr>
                <w:rFonts w:cs="Times New Roman"/>
                <w:b/>
              </w:rPr>
            </w:pPr>
            <w:r w:rsidRPr="00527CE6">
              <w:rPr>
                <w:rFonts w:cs="Times New Roman"/>
                <w:b/>
              </w:rPr>
              <w:t>Item</w:t>
            </w:r>
          </w:p>
        </w:tc>
        <w:tc>
          <w:tcPr>
            <w:tcW w:w="6039" w:type="dxa"/>
            <w:tcBorders>
              <w:left w:val="nil"/>
            </w:tcBorders>
            <w:shd w:val="clear" w:color="auto" w:fill="auto"/>
          </w:tcPr>
          <w:p w14:paraId="5BF77553" w14:textId="77777777" w:rsidR="00E272CF" w:rsidRPr="00527CE6" w:rsidRDefault="00E272CF" w:rsidP="00D17E3A">
            <w:pPr>
              <w:spacing w:before="120"/>
              <w:rPr>
                <w:rFonts w:cs="Times New Roman"/>
                <w:b/>
              </w:rPr>
            </w:pPr>
            <w:r w:rsidRPr="00527CE6">
              <w:rPr>
                <w:rFonts w:cs="Times New Roman"/>
                <w:b/>
              </w:rPr>
              <w:t>Description of document</w:t>
            </w:r>
          </w:p>
        </w:tc>
      </w:tr>
      <w:tr w:rsidR="004E77FD" w:rsidRPr="00527CE6" w14:paraId="7BA6C56A" w14:textId="77777777" w:rsidTr="00D17E3A">
        <w:tc>
          <w:tcPr>
            <w:tcW w:w="1417" w:type="dxa"/>
            <w:tcBorders>
              <w:right w:val="nil"/>
            </w:tcBorders>
            <w:shd w:val="clear" w:color="auto" w:fill="auto"/>
          </w:tcPr>
          <w:p w14:paraId="66EF97EA" w14:textId="56903403" w:rsidR="009813ED" w:rsidRPr="00527CE6" w:rsidRDefault="009813ED" w:rsidP="009813ED">
            <w:pPr>
              <w:spacing w:before="120"/>
              <w:rPr>
                <w:rFonts w:cs="Times New Roman"/>
                <w:strike/>
              </w:rPr>
            </w:pPr>
            <w:r w:rsidRPr="00527CE6">
              <w:rPr>
                <w:rFonts w:eastAsia="Times New Roman" w:cs="Times New Roman"/>
                <w:lang w:eastAsia="en-AU"/>
              </w:rPr>
              <w:t>1</w:t>
            </w:r>
          </w:p>
        </w:tc>
        <w:tc>
          <w:tcPr>
            <w:tcW w:w="6039" w:type="dxa"/>
            <w:tcBorders>
              <w:left w:val="nil"/>
            </w:tcBorders>
            <w:shd w:val="clear" w:color="auto" w:fill="auto"/>
          </w:tcPr>
          <w:p w14:paraId="10A3EC23" w14:textId="0DDA429B" w:rsidR="009813ED" w:rsidRPr="00527CE6" w:rsidRDefault="009813ED" w:rsidP="009813ED">
            <w:pPr>
              <w:spacing w:before="120"/>
              <w:jc w:val="both"/>
              <w:rPr>
                <w:rFonts w:cs="Times New Roman"/>
                <w:strike/>
              </w:rPr>
            </w:pPr>
            <w:r w:rsidRPr="00527CE6">
              <w:rPr>
                <w:rFonts w:eastAsia="Times New Roman" w:cs="Times New Roman"/>
                <w:lang w:eastAsia="en-AU"/>
              </w:rPr>
              <w:t>Bank or financial institution card, passbook or statement</w:t>
            </w:r>
            <w:r w:rsidR="00114E4D">
              <w:rPr>
                <w:rFonts w:eastAsia="Times New Roman" w:cs="Times New Roman"/>
                <w:lang w:eastAsia="en-AU"/>
              </w:rPr>
              <w:t xml:space="preserve"> </w:t>
            </w:r>
            <w:r w:rsidR="000402DC">
              <w:rPr>
                <w:rFonts w:eastAsia="Times New Roman" w:cs="Times New Roman"/>
                <w:lang w:eastAsia="en-AU"/>
              </w:rPr>
              <w:t>i</w:t>
            </w:r>
            <w:r w:rsidRPr="00527CE6">
              <w:rPr>
                <w:rFonts w:eastAsia="Times New Roman" w:cs="Times New Roman"/>
                <w:lang w:eastAsia="en-AU"/>
              </w:rPr>
              <w:t>ssued by a bank, credit union or building society. Card statements or passbooks must cover at least 6 months of financial transactions and be in the individual’s name. The individual’s signature must be on the card and their current address on the statement or passbook. Documents from foreign banks or institutions are not accept</w:t>
            </w:r>
            <w:r w:rsidR="001A1A53" w:rsidRPr="00527CE6">
              <w:rPr>
                <w:rFonts w:eastAsia="Times New Roman" w:cs="Times New Roman"/>
                <w:lang w:eastAsia="en-AU"/>
              </w:rPr>
              <w:t>able</w:t>
            </w:r>
            <w:r w:rsidR="006E6421" w:rsidRPr="00527CE6">
              <w:rPr>
                <w:rFonts w:eastAsia="Times New Roman" w:cs="Times New Roman"/>
                <w:lang w:eastAsia="en-AU"/>
              </w:rPr>
              <w:t>.</w:t>
            </w:r>
          </w:p>
        </w:tc>
      </w:tr>
      <w:tr w:rsidR="004E77FD" w:rsidRPr="00527CE6" w14:paraId="5551096A" w14:textId="77777777" w:rsidTr="00D17E3A">
        <w:tc>
          <w:tcPr>
            <w:tcW w:w="1417" w:type="dxa"/>
            <w:tcBorders>
              <w:right w:val="nil"/>
            </w:tcBorders>
            <w:shd w:val="clear" w:color="auto" w:fill="auto"/>
          </w:tcPr>
          <w:p w14:paraId="47F07762" w14:textId="77777777" w:rsidR="009813ED" w:rsidRPr="00527CE6" w:rsidRDefault="009813ED" w:rsidP="009813ED">
            <w:pPr>
              <w:spacing w:before="120"/>
              <w:rPr>
                <w:rFonts w:cs="Times New Roman"/>
              </w:rPr>
            </w:pPr>
            <w:r w:rsidRPr="00527CE6">
              <w:rPr>
                <w:rFonts w:cs="Times New Roman"/>
              </w:rPr>
              <w:t>2</w:t>
            </w:r>
          </w:p>
        </w:tc>
        <w:tc>
          <w:tcPr>
            <w:tcW w:w="6039" w:type="dxa"/>
            <w:tcBorders>
              <w:left w:val="nil"/>
            </w:tcBorders>
            <w:shd w:val="clear" w:color="auto" w:fill="auto"/>
          </w:tcPr>
          <w:p w14:paraId="6F20B873" w14:textId="2DB3E360" w:rsidR="009813ED" w:rsidRPr="00527CE6" w:rsidRDefault="00A43AD7" w:rsidP="009813ED">
            <w:pPr>
              <w:spacing w:before="120"/>
              <w:jc w:val="both"/>
              <w:rPr>
                <w:rFonts w:cs="Times New Roman"/>
              </w:rPr>
            </w:pPr>
            <w:r w:rsidRPr="00527CE6">
              <w:rPr>
                <w:rFonts w:eastAsia="Times New Roman" w:cs="Times New Roman"/>
                <w:lang w:eastAsia="en-AU"/>
              </w:rPr>
              <w:t>Medicare Card</w:t>
            </w:r>
            <w:r w:rsidR="008A266B" w:rsidRPr="00527CE6">
              <w:rPr>
                <w:rFonts w:eastAsia="Times New Roman" w:cs="Times New Roman"/>
                <w:lang w:eastAsia="en-AU"/>
              </w:rPr>
              <w:t>.</w:t>
            </w:r>
          </w:p>
        </w:tc>
      </w:tr>
      <w:tr w:rsidR="004E77FD" w:rsidRPr="00527CE6" w14:paraId="0CBF9BCC" w14:textId="77777777" w:rsidTr="00D17E3A">
        <w:tc>
          <w:tcPr>
            <w:tcW w:w="1417" w:type="dxa"/>
            <w:tcBorders>
              <w:right w:val="nil"/>
            </w:tcBorders>
            <w:shd w:val="clear" w:color="auto" w:fill="auto"/>
          </w:tcPr>
          <w:p w14:paraId="4B719CFE" w14:textId="2B2FCD2F" w:rsidR="009813ED" w:rsidRPr="00527CE6" w:rsidRDefault="00E476CB" w:rsidP="009813ED">
            <w:pPr>
              <w:spacing w:before="120"/>
              <w:rPr>
                <w:rFonts w:cs="Times New Roman"/>
              </w:rPr>
            </w:pPr>
            <w:r w:rsidRPr="00527CE6">
              <w:rPr>
                <w:rFonts w:cs="Times New Roman"/>
              </w:rPr>
              <w:t>3</w:t>
            </w:r>
          </w:p>
        </w:tc>
        <w:tc>
          <w:tcPr>
            <w:tcW w:w="6039" w:type="dxa"/>
            <w:tcBorders>
              <w:left w:val="nil"/>
            </w:tcBorders>
            <w:shd w:val="clear" w:color="auto" w:fill="auto"/>
          </w:tcPr>
          <w:p w14:paraId="60A09D4E" w14:textId="06BA51B2" w:rsidR="009813ED" w:rsidRPr="00527CE6" w:rsidRDefault="007835A5" w:rsidP="009813ED">
            <w:pPr>
              <w:spacing w:before="120"/>
              <w:jc w:val="both"/>
              <w:rPr>
                <w:rFonts w:cs="Times New Roman"/>
              </w:rPr>
            </w:pPr>
            <w:r w:rsidRPr="00527CE6">
              <w:rPr>
                <w:rFonts w:eastAsia="Times New Roman" w:cs="Times New Roman"/>
                <w:lang w:eastAsia="en-AU"/>
              </w:rPr>
              <w:t>Post-Paid Telecommunications Billing Record</w:t>
            </w:r>
            <w:r w:rsidR="0057704F" w:rsidRPr="00527CE6">
              <w:rPr>
                <w:rFonts w:eastAsia="Times New Roman" w:cs="Times New Roman"/>
                <w:lang w:eastAsia="en-AU"/>
              </w:rPr>
              <w:t xml:space="preserve"> issued by an Australian telecommunications company</w:t>
            </w:r>
            <w:r w:rsidR="008A266B" w:rsidRPr="00527CE6">
              <w:rPr>
                <w:rFonts w:eastAsia="Times New Roman" w:cs="Times New Roman"/>
                <w:lang w:eastAsia="en-AU"/>
              </w:rPr>
              <w:t xml:space="preserve">, which must be a </w:t>
            </w:r>
            <w:r w:rsidR="009813ED" w:rsidRPr="00527CE6">
              <w:rPr>
                <w:rFonts w:eastAsia="Times New Roman" w:cs="Times New Roman"/>
                <w:lang w:eastAsia="en-AU"/>
              </w:rPr>
              <w:t>statement of account for a post-paid carriage service issued in the previous 12 months, showing the same name and address given by the customer to the gaining carriage service provider prior to a port occurring.</w:t>
            </w:r>
          </w:p>
        </w:tc>
      </w:tr>
      <w:tr w:rsidR="004E77FD" w:rsidRPr="00527CE6" w14:paraId="26454ACD" w14:textId="77777777" w:rsidTr="00D17E3A">
        <w:tc>
          <w:tcPr>
            <w:tcW w:w="1417" w:type="dxa"/>
            <w:tcBorders>
              <w:right w:val="nil"/>
            </w:tcBorders>
            <w:shd w:val="clear" w:color="auto" w:fill="auto"/>
          </w:tcPr>
          <w:p w14:paraId="2DC88826" w14:textId="3C1AA987" w:rsidR="009813ED" w:rsidRPr="00527CE6" w:rsidRDefault="00E476CB" w:rsidP="009813ED">
            <w:pPr>
              <w:spacing w:before="120"/>
              <w:rPr>
                <w:rFonts w:cs="Times New Roman"/>
              </w:rPr>
            </w:pPr>
            <w:r w:rsidRPr="00527CE6">
              <w:rPr>
                <w:rFonts w:cs="Times New Roman"/>
              </w:rPr>
              <w:t>4</w:t>
            </w:r>
          </w:p>
        </w:tc>
        <w:tc>
          <w:tcPr>
            <w:tcW w:w="6039" w:type="dxa"/>
            <w:tcBorders>
              <w:left w:val="nil"/>
            </w:tcBorders>
            <w:shd w:val="clear" w:color="auto" w:fill="auto"/>
          </w:tcPr>
          <w:p w14:paraId="011BE5A3" w14:textId="14303C1C" w:rsidR="009813ED" w:rsidRPr="00527CE6" w:rsidRDefault="007835A5">
            <w:pPr>
              <w:spacing w:before="120"/>
              <w:jc w:val="both"/>
              <w:rPr>
                <w:rFonts w:cs="Times New Roman"/>
              </w:rPr>
            </w:pPr>
            <w:r w:rsidRPr="00527CE6">
              <w:rPr>
                <w:rFonts w:eastAsia="Times New Roman" w:cs="Times New Roman"/>
                <w:lang w:eastAsia="en-AU"/>
              </w:rPr>
              <w:t>Rates Notice</w:t>
            </w:r>
            <w:r w:rsidR="008F483B" w:rsidRPr="00527CE6">
              <w:rPr>
                <w:rFonts w:eastAsia="Times New Roman" w:cs="Times New Roman"/>
                <w:lang w:eastAsia="en-AU"/>
              </w:rPr>
              <w:t xml:space="preserve"> issued by an Australian local government council </w:t>
            </w:r>
            <w:r w:rsidR="009813ED" w:rsidRPr="00527CE6">
              <w:rPr>
                <w:rFonts w:eastAsia="Times New Roman" w:cs="Times New Roman"/>
                <w:lang w:eastAsia="en-AU"/>
              </w:rPr>
              <w:t>issued in the previous 12 months, showing the same name and address given by the customer to the gaining carriage service provider prior to a port occurring.</w:t>
            </w:r>
            <w:r w:rsidR="009813ED" w:rsidRPr="00527CE6">
              <w:rPr>
                <w:rFonts w:cs="Times New Roman"/>
              </w:rPr>
              <w:t xml:space="preserve"> </w:t>
            </w:r>
          </w:p>
        </w:tc>
      </w:tr>
      <w:tr w:rsidR="004E77FD" w:rsidRPr="00527CE6" w14:paraId="2C068F29" w14:textId="77777777" w:rsidTr="00D17E3A">
        <w:tc>
          <w:tcPr>
            <w:tcW w:w="1417" w:type="dxa"/>
            <w:tcBorders>
              <w:right w:val="nil"/>
            </w:tcBorders>
            <w:shd w:val="clear" w:color="auto" w:fill="auto"/>
          </w:tcPr>
          <w:p w14:paraId="76FEDD0F" w14:textId="60B2DF39" w:rsidR="009813ED" w:rsidRPr="00527CE6" w:rsidRDefault="00E476CB" w:rsidP="009813ED">
            <w:pPr>
              <w:spacing w:before="120"/>
              <w:rPr>
                <w:rFonts w:cs="Times New Roman"/>
              </w:rPr>
            </w:pPr>
            <w:r w:rsidRPr="00527CE6">
              <w:rPr>
                <w:rFonts w:cs="Times New Roman"/>
              </w:rPr>
              <w:t>5</w:t>
            </w:r>
          </w:p>
        </w:tc>
        <w:tc>
          <w:tcPr>
            <w:tcW w:w="6039" w:type="dxa"/>
            <w:tcBorders>
              <w:left w:val="nil"/>
            </w:tcBorders>
            <w:shd w:val="clear" w:color="auto" w:fill="auto"/>
          </w:tcPr>
          <w:p w14:paraId="2A73801D" w14:textId="649F2E5C" w:rsidR="009813ED" w:rsidRPr="00527CE6" w:rsidRDefault="009813ED" w:rsidP="009813ED">
            <w:pPr>
              <w:spacing w:before="120"/>
              <w:jc w:val="both"/>
              <w:rPr>
                <w:rFonts w:eastAsia="Times New Roman" w:cs="Times New Roman"/>
                <w:lang w:eastAsia="en-AU"/>
              </w:rPr>
            </w:pPr>
            <w:r w:rsidRPr="00527CE6">
              <w:rPr>
                <w:rFonts w:eastAsia="Times New Roman" w:cs="Times New Roman"/>
                <w:lang w:eastAsia="en-AU"/>
              </w:rPr>
              <w:t>Student ID card</w:t>
            </w:r>
            <w:r w:rsidR="005316E8" w:rsidRPr="00527CE6">
              <w:rPr>
                <w:rFonts w:eastAsia="Times New Roman" w:cs="Times New Roman"/>
                <w:lang w:eastAsia="en-AU"/>
              </w:rPr>
              <w:t xml:space="preserve"> issued by </w:t>
            </w:r>
            <w:r w:rsidR="005045F1" w:rsidRPr="00527CE6">
              <w:rPr>
                <w:rFonts w:eastAsia="Times New Roman" w:cs="Times New Roman"/>
                <w:lang w:eastAsia="en-AU"/>
              </w:rPr>
              <w:t xml:space="preserve">an Australian tertiary education institution, </w:t>
            </w:r>
            <w:r w:rsidR="008E582D" w:rsidRPr="00527CE6">
              <w:rPr>
                <w:rFonts w:eastAsia="Times New Roman" w:cs="Times New Roman"/>
                <w:lang w:eastAsia="en-AU"/>
              </w:rPr>
              <w:t>Australian</w:t>
            </w:r>
            <w:r w:rsidR="005045F1" w:rsidRPr="00527CE6">
              <w:rPr>
                <w:rFonts w:eastAsia="Times New Roman" w:cs="Times New Roman"/>
                <w:lang w:eastAsia="en-AU"/>
              </w:rPr>
              <w:t xml:space="preserve"> </w:t>
            </w:r>
            <w:r w:rsidR="008E582D" w:rsidRPr="00527CE6">
              <w:rPr>
                <w:rFonts w:eastAsia="Times New Roman" w:cs="Times New Roman"/>
                <w:lang w:eastAsia="en-AU"/>
              </w:rPr>
              <w:t>secondary</w:t>
            </w:r>
            <w:r w:rsidR="005045F1" w:rsidRPr="00527CE6">
              <w:rPr>
                <w:rFonts w:eastAsia="Times New Roman" w:cs="Times New Roman"/>
                <w:lang w:eastAsia="en-AU"/>
              </w:rPr>
              <w:t xml:space="preserve"> school, TAFE or registered training organisation</w:t>
            </w:r>
            <w:r w:rsidR="00F20D66" w:rsidRPr="00527CE6">
              <w:rPr>
                <w:rFonts w:eastAsia="Times New Roman" w:cs="Times New Roman"/>
                <w:lang w:eastAsia="en-AU"/>
              </w:rPr>
              <w:t>.</w:t>
            </w:r>
          </w:p>
        </w:tc>
      </w:tr>
      <w:tr w:rsidR="004E77FD" w:rsidRPr="00527CE6" w14:paraId="5E057F4A" w14:textId="77777777" w:rsidTr="00D17E3A">
        <w:tc>
          <w:tcPr>
            <w:tcW w:w="1417" w:type="dxa"/>
            <w:tcBorders>
              <w:right w:val="nil"/>
            </w:tcBorders>
            <w:shd w:val="clear" w:color="auto" w:fill="auto"/>
          </w:tcPr>
          <w:p w14:paraId="666DF23D" w14:textId="6F0954BF" w:rsidR="009813ED" w:rsidRPr="00527CE6" w:rsidRDefault="00E476CB" w:rsidP="009813ED">
            <w:pPr>
              <w:spacing w:before="120"/>
              <w:rPr>
                <w:rFonts w:cs="Times New Roman"/>
              </w:rPr>
            </w:pPr>
            <w:r w:rsidRPr="00527CE6">
              <w:rPr>
                <w:rFonts w:cs="Times New Roman"/>
              </w:rPr>
              <w:t>6</w:t>
            </w:r>
          </w:p>
        </w:tc>
        <w:tc>
          <w:tcPr>
            <w:tcW w:w="6039" w:type="dxa"/>
            <w:tcBorders>
              <w:left w:val="nil"/>
            </w:tcBorders>
            <w:shd w:val="clear" w:color="auto" w:fill="auto"/>
          </w:tcPr>
          <w:p w14:paraId="22F2F749" w14:textId="11E38A68" w:rsidR="009813ED" w:rsidRPr="00527CE6" w:rsidRDefault="009813ED" w:rsidP="009813ED">
            <w:pPr>
              <w:spacing w:before="120"/>
              <w:jc w:val="both"/>
              <w:rPr>
                <w:rFonts w:eastAsia="Times New Roman" w:cs="Times New Roman"/>
                <w:lang w:eastAsia="en-AU"/>
              </w:rPr>
            </w:pPr>
            <w:r w:rsidRPr="00527CE6">
              <w:rPr>
                <w:rFonts w:eastAsia="Times New Roman" w:cs="Times New Roman"/>
                <w:lang w:eastAsia="en-AU"/>
              </w:rPr>
              <w:t xml:space="preserve">Concession </w:t>
            </w:r>
            <w:r w:rsidR="00F112C9" w:rsidRPr="00527CE6">
              <w:rPr>
                <w:rFonts w:eastAsia="Times New Roman" w:cs="Times New Roman"/>
                <w:lang w:eastAsia="en-AU"/>
              </w:rPr>
              <w:t xml:space="preserve">and health care </w:t>
            </w:r>
            <w:r w:rsidRPr="00527CE6">
              <w:rPr>
                <w:rFonts w:eastAsia="Times New Roman" w:cs="Times New Roman"/>
                <w:lang w:eastAsia="en-AU"/>
              </w:rPr>
              <w:t>card</w:t>
            </w:r>
            <w:r w:rsidR="000C3D79" w:rsidRPr="00527CE6">
              <w:rPr>
                <w:rFonts w:eastAsia="Times New Roman" w:cs="Times New Roman"/>
                <w:lang w:eastAsia="en-AU"/>
              </w:rPr>
              <w:t xml:space="preserve"> </w:t>
            </w:r>
            <w:r w:rsidR="00F112C9" w:rsidRPr="00527CE6">
              <w:rPr>
                <w:rFonts w:eastAsia="Times New Roman" w:cs="Times New Roman"/>
                <w:lang w:eastAsia="en-AU"/>
              </w:rPr>
              <w:t>i</w:t>
            </w:r>
            <w:r w:rsidRPr="00527CE6">
              <w:rPr>
                <w:rFonts w:eastAsia="Times New Roman" w:cs="Times New Roman"/>
                <w:lang w:eastAsia="en-AU"/>
              </w:rPr>
              <w:t xml:space="preserve">ssued by </w:t>
            </w:r>
            <w:r w:rsidR="007835A5" w:rsidRPr="00527CE6">
              <w:rPr>
                <w:rFonts w:eastAsia="Times New Roman" w:cs="Times New Roman"/>
                <w:lang w:eastAsia="en-AU"/>
              </w:rPr>
              <w:t>S</w:t>
            </w:r>
            <w:r w:rsidRPr="00527CE6">
              <w:rPr>
                <w:rFonts w:eastAsia="Times New Roman" w:cs="Times New Roman"/>
                <w:lang w:eastAsia="en-AU"/>
              </w:rPr>
              <w:t>ervices</w:t>
            </w:r>
            <w:r w:rsidR="00DC07E2" w:rsidRPr="00527CE6">
              <w:rPr>
                <w:rFonts w:eastAsia="Times New Roman" w:cs="Times New Roman"/>
                <w:lang w:eastAsia="en-AU"/>
              </w:rPr>
              <w:t xml:space="preserve"> </w:t>
            </w:r>
            <w:r w:rsidR="00F112C9" w:rsidRPr="00527CE6">
              <w:rPr>
                <w:rFonts w:eastAsia="Times New Roman" w:cs="Times New Roman"/>
                <w:lang w:eastAsia="en-AU"/>
              </w:rPr>
              <w:t>Australia</w:t>
            </w:r>
            <w:r w:rsidR="00610C33" w:rsidRPr="00527CE6">
              <w:rPr>
                <w:rFonts w:eastAsia="Times New Roman" w:cs="Times New Roman"/>
                <w:lang w:eastAsia="en-AU"/>
              </w:rPr>
              <w:t xml:space="preserve"> </w:t>
            </w:r>
            <w:r w:rsidR="00B358F4" w:rsidRPr="00527CE6">
              <w:rPr>
                <w:rFonts w:eastAsia="Times New Roman" w:cs="Times New Roman"/>
                <w:lang w:eastAsia="en-AU"/>
              </w:rPr>
              <w:t xml:space="preserve">or </w:t>
            </w:r>
            <w:r w:rsidR="00635CBA" w:rsidRPr="00527CE6">
              <w:rPr>
                <w:rFonts w:eastAsia="Times New Roman" w:cs="Times New Roman"/>
                <w:lang w:eastAsia="en-AU"/>
              </w:rPr>
              <w:t xml:space="preserve">the subsequent </w:t>
            </w:r>
            <w:r w:rsidR="00610C33" w:rsidRPr="00527CE6">
              <w:rPr>
                <w:rFonts w:eastAsia="Times New Roman" w:cs="Times New Roman"/>
                <w:lang w:eastAsia="en-AU"/>
              </w:rPr>
              <w:t xml:space="preserve">agency or </w:t>
            </w:r>
            <w:r w:rsidR="00635CBA" w:rsidRPr="00527CE6">
              <w:rPr>
                <w:rFonts w:eastAsia="Times New Roman" w:cs="Times New Roman"/>
                <w:lang w:eastAsia="en-AU"/>
              </w:rPr>
              <w:t xml:space="preserve">Department responsible for </w:t>
            </w:r>
            <w:r w:rsidR="00610C33" w:rsidRPr="00527CE6">
              <w:rPr>
                <w:rFonts w:eastAsia="Times New Roman" w:cs="Times New Roman"/>
                <w:lang w:eastAsia="en-AU"/>
              </w:rPr>
              <w:t>issuing</w:t>
            </w:r>
            <w:r w:rsidR="00F24EA0" w:rsidRPr="00527CE6">
              <w:rPr>
                <w:rFonts w:eastAsia="Times New Roman" w:cs="Times New Roman"/>
                <w:lang w:eastAsia="en-AU"/>
              </w:rPr>
              <w:t xml:space="preserve"> </w:t>
            </w:r>
            <w:r w:rsidR="008536AD" w:rsidRPr="00527CE6">
              <w:rPr>
                <w:rFonts w:eastAsia="Times New Roman" w:cs="Times New Roman"/>
                <w:lang w:eastAsia="en-AU"/>
              </w:rPr>
              <w:t>c</w:t>
            </w:r>
            <w:r w:rsidR="00F24EA0" w:rsidRPr="00527CE6">
              <w:rPr>
                <w:rFonts w:eastAsia="Times New Roman" w:cs="Times New Roman"/>
                <w:lang w:eastAsia="en-AU"/>
              </w:rPr>
              <w:t>oncession and health care cards</w:t>
            </w:r>
            <w:r w:rsidR="008A266B" w:rsidRPr="00527CE6">
              <w:rPr>
                <w:rFonts w:eastAsia="Times New Roman" w:cs="Times New Roman"/>
                <w:lang w:eastAsia="en-AU"/>
              </w:rPr>
              <w:t>.</w:t>
            </w:r>
          </w:p>
        </w:tc>
      </w:tr>
      <w:tr w:rsidR="004E77FD" w:rsidRPr="00527CE6" w14:paraId="32D3082A" w14:textId="77777777" w:rsidTr="00D17E3A">
        <w:tc>
          <w:tcPr>
            <w:tcW w:w="1417" w:type="dxa"/>
            <w:tcBorders>
              <w:right w:val="nil"/>
            </w:tcBorders>
            <w:shd w:val="clear" w:color="auto" w:fill="auto"/>
          </w:tcPr>
          <w:p w14:paraId="20028AC4" w14:textId="04EAA0D3" w:rsidR="009813ED" w:rsidRPr="00527CE6" w:rsidRDefault="00E476CB" w:rsidP="009813ED">
            <w:pPr>
              <w:spacing w:before="120"/>
              <w:rPr>
                <w:rFonts w:cs="Times New Roman"/>
              </w:rPr>
            </w:pPr>
            <w:r w:rsidRPr="00527CE6">
              <w:rPr>
                <w:rFonts w:cs="Times New Roman"/>
              </w:rPr>
              <w:t>7</w:t>
            </w:r>
          </w:p>
        </w:tc>
        <w:tc>
          <w:tcPr>
            <w:tcW w:w="6039" w:type="dxa"/>
            <w:tcBorders>
              <w:left w:val="nil"/>
            </w:tcBorders>
            <w:shd w:val="clear" w:color="auto" w:fill="auto"/>
          </w:tcPr>
          <w:p w14:paraId="1C9247A3" w14:textId="56F0151B" w:rsidR="007835A5" w:rsidRPr="00527CE6" w:rsidRDefault="007835A5" w:rsidP="009813ED">
            <w:pPr>
              <w:spacing w:before="120"/>
              <w:jc w:val="both"/>
              <w:rPr>
                <w:rFonts w:eastAsia="Times New Roman" w:cs="Times New Roman"/>
                <w:lang w:eastAsia="en-AU"/>
              </w:rPr>
            </w:pPr>
            <w:r w:rsidRPr="00527CE6">
              <w:rPr>
                <w:rFonts w:eastAsia="Times New Roman" w:cs="Times New Roman"/>
                <w:lang w:eastAsia="en-AU"/>
              </w:rPr>
              <w:t>Veterans affairs card</w:t>
            </w:r>
            <w:r w:rsidR="00272CFA" w:rsidRPr="00527CE6">
              <w:rPr>
                <w:rFonts w:eastAsia="Times New Roman" w:cs="Times New Roman"/>
                <w:lang w:eastAsia="en-AU"/>
              </w:rPr>
              <w:t xml:space="preserve"> issued by </w:t>
            </w:r>
            <w:r w:rsidR="008536AD" w:rsidRPr="00527CE6">
              <w:rPr>
                <w:rFonts w:eastAsia="Times New Roman" w:cs="Times New Roman"/>
                <w:lang w:eastAsia="en-AU"/>
              </w:rPr>
              <w:t>the Department of Veterans’ Affairs.</w:t>
            </w:r>
          </w:p>
        </w:tc>
      </w:tr>
      <w:tr w:rsidR="004E77FD" w:rsidRPr="00527CE6" w14:paraId="3AB3DA77" w14:textId="77777777" w:rsidTr="00D17E3A">
        <w:tc>
          <w:tcPr>
            <w:tcW w:w="1417" w:type="dxa"/>
            <w:tcBorders>
              <w:right w:val="nil"/>
            </w:tcBorders>
            <w:shd w:val="clear" w:color="auto" w:fill="auto"/>
          </w:tcPr>
          <w:p w14:paraId="5276BD41" w14:textId="58C0B162" w:rsidR="009813ED" w:rsidRPr="00527CE6" w:rsidRDefault="00E476CB" w:rsidP="009813ED">
            <w:pPr>
              <w:spacing w:before="120"/>
              <w:rPr>
                <w:rFonts w:cs="Times New Roman"/>
              </w:rPr>
            </w:pPr>
            <w:r w:rsidRPr="00527CE6">
              <w:rPr>
                <w:rFonts w:cs="Times New Roman"/>
              </w:rPr>
              <w:t>8</w:t>
            </w:r>
          </w:p>
        </w:tc>
        <w:tc>
          <w:tcPr>
            <w:tcW w:w="6039" w:type="dxa"/>
            <w:tcBorders>
              <w:left w:val="nil"/>
            </w:tcBorders>
            <w:shd w:val="clear" w:color="auto" w:fill="auto"/>
          </w:tcPr>
          <w:p w14:paraId="30474F24" w14:textId="66B54CB2" w:rsidR="009813ED" w:rsidRPr="00527CE6" w:rsidRDefault="007835A5" w:rsidP="009813ED">
            <w:pPr>
              <w:spacing w:before="120"/>
              <w:jc w:val="both"/>
              <w:rPr>
                <w:rFonts w:eastAsia="Times New Roman" w:cs="Times New Roman"/>
                <w:lang w:eastAsia="en-AU"/>
              </w:rPr>
            </w:pPr>
            <w:r w:rsidRPr="00527CE6">
              <w:rPr>
                <w:rFonts w:eastAsia="Times New Roman" w:cs="Times New Roman"/>
                <w:lang w:eastAsia="en-AU"/>
              </w:rPr>
              <w:t>Tenancy agreement or lease</w:t>
            </w:r>
            <w:r w:rsidR="008A266B" w:rsidRPr="00527CE6">
              <w:rPr>
                <w:rFonts w:eastAsia="Times New Roman" w:cs="Times New Roman"/>
                <w:lang w:eastAsia="en-AU"/>
              </w:rPr>
              <w:t xml:space="preserve"> being a </w:t>
            </w:r>
            <w:r w:rsidRPr="00527CE6">
              <w:rPr>
                <w:rFonts w:eastAsia="Times New Roman" w:cs="Times New Roman"/>
                <w:lang w:eastAsia="en-AU"/>
              </w:rPr>
              <w:t xml:space="preserve">current formal agreement or lease </w:t>
            </w:r>
            <w:r w:rsidR="008A266B" w:rsidRPr="00527CE6">
              <w:rPr>
                <w:rFonts w:eastAsia="Times New Roman" w:cs="Times New Roman"/>
                <w:lang w:eastAsia="en-AU"/>
              </w:rPr>
              <w:t xml:space="preserve">showing </w:t>
            </w:r>
            <w:r w:rsidRPr="00527CE6">
              <w:rPr>
                <w:rFonts w:eastAsia="Times New Roman" w:cs="Times New Roman"/>
                <w:lang w:eastAsia="en-AU"/>
              </w:rPr>
              <w:t xml:space="preserve">the </w:t>
            </w:r>
            <w:r w:rsidR="008A266B" w:rsidRPr="00527CE6">
              <w:rPr>
                <w:rFonts w:eastAsia="Times New Roman" w:cs="Times New Roman"/>
                <w:lang w:eastAsia="en-AU"/>
              </w:rPr>
              <w:t xml:space="preserve">same </w:t>
            </w:r>
            <w:r w:rsidRPr="00527CE6">
              <w:rPr>
                <w:rFonts w:eastAsia="Times New Roman" w:cs="Times New Roman"/>
                <w:lang w:eastAsia="en-AU"/>
              </w:rPr>
              <w:t>name and address given by the customer to the gaining carriage service provider prior to a port occurring.</w:t>
            </w:r>
          </w:p>
        </w:tc>
      </w:tr>
      <w:tr w:rsidR="004E77FD" w:rsidRPr="00527CE6" w14:paraId="7EA4B5A4" w14:textId="77777777" w:rsidTr="00D17E3A">
        <w:tc>
          <w:tcPr>
            <w:tcW w:w="1417" w:type="dxa"/>
            <w:tcBorders>
              <w:right w:val="nil"/>
            </w:tcBorders>
            <w:shd w:val="clear" w:color="auto" w:fill="auto"/>
          </w:tcPr>
          <w:p w14:paraId="674F3B86" w14:textId="5E45B6AC" w:rsidR="009813ED" w:rsidRPr="00527CE6" w:rsidRDefault="00E476CB" w:rsidP="009813ED">
            <w:pPr>
              <w:spacing w:before="120"/>
              <w:rPr>
                <w:rFonts w:cs="Times New Roman"/>
              </w:rPr>
            </w:pPr>
            <w:r w:rsidRPr="00527CE6">
              <w:rPr>
                <w:rFonts w:cs="Times New Roman"/>
              </w:rPr>
              <w:t>9</w:t>
            </w:r>
          </w:p>
        </w:tc>
        <w:tc>
          <w:tcPr>
            <w:tcW w:w="6039" w:type="dxa"/>
            <w:tcBorders>
              <w:left w:val="nil"/>
            </w:tcBorders>
            <w:shd w:val="clear" w:color="auto" w:fill="auto"/>
          </w:tcPr>
          <w:p w14:paraId="65AB7B43" w14:textId="1C93AC4A" w:rsidR="00A43AD7" w:rsidRPr="00527CE6" w:rsidRDefault="00A43AD7">
            <w:pPr>
              <w:spacing w:before="120"/>
              <w:jc w:val="both"/>
              <w:rPr>
                <w:rFonts w:eastAsia="Times New Roman" w:cs="Times New Roman"/>
                <w:lang w:eastAsia="en-AU"/>
              </w:rPr>
            </w:pPr>
            <w:r w:rsidRPr="00527CE6">
              <w:rPr>
                <w:rFonts w:eastAsia="Times New Roman" w:cs="Times New Roman"/>
                <w:lang w:eastAsia="en-AU"/>
              </w:rPr>
              <w:t>Motor vehicle registration</w:t>
            </w:r>
            <w:r w:rsidR="005A2289" w:rsidRPr="00527CE6">
              <w:rPr>
                <w:rFonts w:eastAsia="Times New Roman" w:cs="Times New Roman"/>
                <w:lang w:eastAsia="en-AU"/>
              </w:rPr>
              <w:t xml:space="preserve"> </w:t>
            </w:r>
            <w:r w:rsidR="00F31D41" w:rsidRPr="00527CE6">
              <w:rPr>
                <w:rFonts w:eastAsia="Times New Roman" w:cs="Times New Roman"/>
                <w:lang w:eastAsia="en-AU"/>
              </w:rPr>
              <w:t xml:space="preserve">for a vehicle registered in an Australian </w:t>
            </w:r>
            <w:r w:rsidR="001A1A53" w:rsidRPr="00527CE6">
              <w:rPr>
                <w:rFonts w:eastAsia="Times New Roman" w:cs="Times New Roman"/>
                <w:lang w:eastAsia="en-AU"/>
              </w:rPr>
              <w:t>S</w:t>
            </w:r>
            <w:r w:rsidR="00F31D41" w:rsidRPr="00527CE6">
              <w:rPr>
                <w:rFonts w:eastAsia="Times New Roman" w:cs="Times New Roman"/>
                <w:lang w:eastAsia="en-AU"/>
              </w:rPr>
              <w:t xml:space="preserve">tate or </w:t>
            </w:r>
            <w:r w:rsidR="001A1A53" w:rsidRPr="00527CE6">
              <w:rPr>
                <w:rFonts w:eastAsia="Times New Roman" w:cs="Times New Roman"/>
                <w:lang w:eastAsia="en-AU"/>
              </w:rPr>
              <w:t>T</w:t>
            </w:r>
            <w:r w:rsidR="00F31D41" w:rsidRPr="00527CE6">
              <w:rPr>
                <w:rFonts w:eastAsia="Times New Roman" w:cs="Times New Roman"/>
                <w:lang w:eastAsia="en-AU"/>
              </w:rPr>
              <w:t>erritory</w:t>
            </w:r>
            <w:r w:rsidR="008A266B" w:rsidRPr="00527CE6">
              <w:rPr>
                <w:rFonts w:eastAsia="Times New Roman" w:cs="Times New Roman"/>
                <w:lang w:eastAsia="en-AU"/>
              </w:rPr>
              <w:t xml:space="preserve">, being current </w:t>
            </w:r>
            <w:r w:rsidRPr="00527CE6">
              <w:rPr>
                <w:rFonts w:eastAsia="Times New Roman" w:cs="Times New Roman"/>
                <w:lang w:eastAsia="en-AU"/>
              </w:rPr>
              <w:t>registration papers with the individual’s name, address and proof of payment, showing the same name and address given by the customer to the gaining carriage service provider prior to a port occurring.</w:t>
            </w:r>
          </w:p>
        </w:tc>
      </w:tr>
      <w:tr w:rsidR="004E77FD" w:rsidRPr="00527CE6" w14:paraId="048EEE3A" w14:textId="77777777" w:rsidTr="00D17E3A">
        <w:tc>
          <w:tcPr>
            <w:tcW w:w="1417" w:type="dxa"/>
            <w:tcBorders>
              <w:right w:val="nil"/>
            </w:tcBorders>
            <w:shd w:val="clear" w:color="auto" w:fill="auto"/>
          </w:tcPr>
          <w:p w14:paraId="4EA760BC" w14:textId="27EF0F3C" w:rsidR="00A43AD7" w:rsidRPr="00527CE6" w:rsidRDefault="006D777C" w:rsidP="009813ED">
            <w:pPr>
              <w:spacing w:before="120"/>
              <w:rPr>
                <w:rFonts w:cs="Times New Roman"/>
              </w:rPr>
            </w:pPr>
            <w:r w:rsidRPr="00527CE6">
              <w:rPr>
                <w:rFonts w:cs="Times New Roman"/>
              </w:rPr>
              <w:t>1</w:t>
            </w:r>
            <w:r w:rsidR="00E476CB" w:rsidRPr="00527CE6">
              <w:rPr>
                <w:rFonts w:cs="Times New Roman"/>
              </w:rPr>
              <w:t>0</w:t>
            </w:r>
          </w:p>
        </w:tc>
        <w:tc>
          <w:tcPr>
            <w:tcW w:w="6039" w:type="dxa"/>
            <w:tcBorders>
              <w:left w:val="nil"/>
            </w:tcBorders>
            <w:shd w:val="clear" w:color="auto" w:fill="auto"/>
          </w:tcPr>
          <w:p w14:paraId="0636EF81" w14:textId="0930FE58" w:rsidR="00A43AD7" w:rsidRPr="00527CE6" w:rsidRDefault="00A43AD7">
            <w:pPr>
              <w:spacing w:before="120"/>
              <w:jc w:val="both"/>
              <w:rPr>
                <w:rFonts w:eastAsia="Times New Roman" w:cs="Times New Roman"/>
                <w:lang w:eastAsia="en-AU"/>
              </w:rPr>
            </w:pPr>
            <w:r w:rsidRPr="00527CE6">
              <w:rPr>
                <w:rFonts w:eastAsia="Times New Roman" w:cs="Times New Roman"/>
                <w:lang w:eastAsia="en-AU"/>
              </w:rPr>
              <w:t>Electoral enrolment</w:t>
            </w:r>
            <w:r w:rsidR="008A266B" w:rsidRPr="00527CE6">
              <w:rPr>
                <w:rFonts w:eastAsia="Times New Roman" w:cs="Times New Roman"/>
                <w:lang w:eastAsia="en-AU"/>
              </w:rPr>
              <w:t xml:space="preserve">, being proof </w:t>
            </w:r>
            <w:r w:rsidRPr="00527CE6">
              <w:rPr>
                <w:rFonts w:eastAsia="Times New Roman" w:cs="Times New Roman"/>
                <w:lang w:eastAsia="en-AU"/>
              </w:rPr>
              <w:t xml:space="preserve">of electoral enrolment </w:t>
            </w:r>
            <w:r w:rsidR="006D777C" w:rsidRPr="00527CE6">
              <w:rPr>
                <w:rFonts w:eastAsia="Times New Roman" w:cs="Times New Roman"/>
                <w:lang w:eastAsia="en-AU"/>
              </w:rPr>
              <w:t>showing the same name and address given by the customer to the gaining carriage service provider prior to a port occurring.</w:t>
            </w:r>
          </w:p>
        </w:tc>
      </w:tr>
      <w:tr w:rsidR="004E77FD" w:rsidRPr="00527CE6" w14:paraId="0FC10667" w14:textId="77777777" w:rsidTr="00D17E3A">
        <w:tc>
          <w:tcPr>
            <w:tcW w:w="1417" w:type="dxa"/>
            <w:tcBorders>
              <w:right w:val="nil"/>
            </w:tcBorders>
            <w:shd w:val="clear" w:color="auto" w:fill="auto"/>
          </w:tcPr>
          <w:p w14:paraId="6DCBCBB6" w14:textId="692F660D" w:rsidR="00A43AD7" w:rsidRPr="00527CE6" w:rsidRDefault="006D777C" w:rsidP="009813ED">
            <w:pPr>
              <w:spacing w:before="120"/>
              <w:rPr>
                <w:rFonts w:cs="Times New Roman"/>
              </w:rPr>
            </w:pPr>
            <w:r w:rsidRPr="00527CE6">
              <w:rPr>
                <w:rFonts w:cs="Times New Roman"/>
              </w:rPr>
              <w:t>1</w:t>
            </w:r>
            <w:r w:rsidR="00E476CB" w:rsidRPr="00527CE6">
              <w:rPr>
                <w:rFonts w:cs="Times New Roman"/>
              </w:rPr>
              <w:t>1</w:t>
            </w:r>
          </w:p>
        </w:tc>
        <w:tc>
          <w:tcPr>
            <w:tcW w:w="6039" w:type="dxa"/>
            <w:tcBorders>
              <w:left w:val="nil"/>
            </w:tcBorders>
            <w:shd w:val="clear" w:color="auto" w:fill="auto"/>
          </w:tcPr>
          <w:p w14:paraId="3E52F656" w14:textId="62CD9573" w:rsidR="00A43AD7" w:rsidRPr="00527CE6" w:rsidRDefault="00A43AD7" w:rsidP="009813ED">
            <w:pPr>
              <w:spacing w:before="120"/>
              <w:jc w:val="both"/>
              <w:rPr>
                <w:rFonts w:eastAsia="Times New Roman" w:cs="Times New Roman"/>
                <w:lang w:eastAsia="en-AU"/>
              </w:rPr>
            </w:pPr>
            <w:r w:rsidRPr="00527CE6">
              <w:rPr>
                <w:rFonts w:eastAsia="Times New Roman" w:cs="Times New Roman"/>
                <w:lang w:eastAsia="en-AU"/>
              </w:rPr>
              <w:t>Seniors card</w:t>
            </w:r>
            <w:r w:rsidR="004C107E" w:rsidRPr="00527CE6">
              <w:rPr>
                <w:rFonts w:eastAsia="Times New Roman" w:cs="Times New Roman"/>
                <w:lang w:eastAsia="en-AU"/>
              </w:rPr>
              <w:t xml:space="preserve"> issued by </w:t>
            </w:r>
            <w:r w:rsidR="008536AD" w:rsidRPr="00527CE6">
              <w:rPr>
                <w:rFonts w:eastAsia="Times New Roman" w:cs="Times New Roman"/>
                <w:lang w:eastAsia="en-AU"/>
              </w:rPr>
              <w:t xml:space="preserve">a State or Territory government to a resident in that State </w:t>
            </w:r>
            <w:r w:rsidR="00C76C35" w:rsidRPr="00527CE6">
              <w:rPr>
                <w:rFonts w:eastAsia="Times New Roman" w:cs="Times New Roman"/>
                <w:lang w:eastAsia="en-AU"/>
              </w:rPr>
              <w:t xml:space="preserve">or Territory </w:t>
            </w:r>
            <w:r w:rsidR="00B90B3E" w:rsidRPr="00527CE6">
              <w:rPr>
                <w:rFonts w:eastAsia="Times New Roman" w:cs="Times New Roman"/>
                <w:lang w:eastAsia="en-AU"/>
              </w:rPr>
              <w:t>who is 60 years of age or over.</w:t>
            </w:r>
          </w:p>
        </w:tc>
      </w:tr>
      <w:tr w:rsidR="004E77FD" w:rsidRPr="00904D6A" w14:paraId="44C8B664" w14:textId="77777777" w:rsidTr="00D17E3A">
        <w:tc>
          <w:tcPr>
            <w:tcW w:w="1417" w:type="dxa"/>
            <w:tcBorders>
              <w:right w:val="nil"/>
            </w:tcBorders>
            <w:shd w:val="clear" w:color="auto" w:fill="auto"/>
          </w:tcPr>
          <w:p w14:paraId="49EA3983" w14:textId="6BD372D2" w:rsidR="00A43AD7" w:rsidRPr="00527CE6" w:rsidRDefault="006D777C" w:rsidP="009813ED">
            <w:pPr>
              <w:spacing w:before="120"/>
              <w:rPr>
                <w:rFonts w:cs="Times New Roman"/>
              </w:rPr>
            </w:pPr>
            <w:r w:rsidRPr="00527CE6">
              <w:rPr>
                <w:rFonts w:cs="Times New Roman"/>
              </w:rPr>
              <w:t>1</w:t>
            </w:r>
            <w:r w:rsidR="00E476CB" w:rsidRPr="00527CE6">
              <w:rPr>
                <w:rFonts w:cs="Times New Roman"/>
              </w:rPr>
              <w:t>2</w:t>
            </w:r>
          </w:p>
        </w:tc>
        <w:tc>
          <w:tcPr>
            <w:tcW w:w="6039" w:type="dxa"/>
            <w:tcBorders>
              <w:left w:val="nil"/>
            </w:tcBorders>
            <w:shd w:val="clear" w:color="auto" w:fill="auto"/>
          </w:tcPr>
          <w:p w14:paraId="39AD34A0" w14:textId="20831D73" w:rsidR="00A43AD7" w:rsidRPr="003E7BF2" w:rsidRDefault="008A266B">
            <w:pPr>
              <w:spacing w:before="120"/>
              <w:jc w:val="both"/>
              <w:rPr>
                <w:rFonts w:eastAsia="Times New Roman" w:cs="Times New Roman"/>
                <w:lang w:eastAsia="en-AU"/>
              </w:rPr>
            </w:pPr>
            <w:r w:rsidRPr="00527CE6">
              <w:rPr>
                <w:rFonts w:eastAsia="Times New Roman" w:cs="Times New Roman"/>
                <w:lang w:eastAsia="en-AU"/>
              </w:rPr>
              <w:t>A u</w:t>
            </w:r>
            <w:r w:rsidR="00A43AD7" w:rsidRPr="00527CE6">
              <w:rPr>
                <w:rFonts w:eastAsia="Times New Roman" w:cs="Times New Roman"/>
                <w:lang w:eastAsia="en-AU"/>
              </w:rPr>
              <w:t>tility account</w:t>
            </w:r>
            <w:r w:rsidR="006D777C" w:rsidRPr="00527CE6">
              <w:rPr>
                <w:rFonts w:eastAsia="Times New Roman" w:cs="Times New Roman"/>
                <w:lang w:eastAsia="en-AU"/>
              </w:rPr>
              <w:t xml:space="preserve"> showing the same name and address given by the customer to the gaining carriage service provider prior to a port occurring.</w:t>
            </w:r>
          </w:p>
        </w:tc>
      </w:tr>
    </w:tbl>
    <w:p w14:paraId="32B53B0C" w14:textId="0474CF12" w:rsidR="00C3322B" w:rsidRPr="006F662B" w:rsidRDefault="00C3322B" w:rsidP="00D14532">
      <w:pPr>
        <w:pStyle w:val="ActHead5"/>
        <w:spacing w:before="0"/>
        <w:ind w:left="0" w:firstLine="0"/>
      </w:pPr>
    </w:p>
    <w:sectPr w:rsidR="00C3322B" w:rsidRPr="006F662B" w:rsidSect="005A1289">
      <w:headerReference w:type="default" r:id="rId22"/>
      <w:headerReference w:type="first" r:id="rId2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9911" w14:textId="77777777" w:rsidR="008356F6" w:rsidRDefault="008356F6" w:rsidP="0017734A">
      <w:pPr>
        <w:spacing w:after="0" w:line="240" w:lineRule="auto"/>
      </w:pPr>
      <w:r>
        <w:separator/>
      </w:r>
    </w:p>
  </w:endnote>
  <w:endnote w:type="continuationSeparator" w:id="0">
    <w:p w14:paraId="525CBD78" w14:textId="77777777" w:rsidR="008356F6" w:rsidRDefault="008356F6" w:rsidP="0017734A">
      <w:pPr>
        <w:spacing w:after="0" w:line="240" w:lineRule="auto"/>
      </w:pPr>
      <w:r>
        <w:continuationSeparator/>
      </w:r>
    </w:p>
  </w:endnote>
  <w:endnote w:type="continuationNotice" w:id="1">
    <w:p w14:paraId="31C631C7" w14:textId="77777777" w:rsidR="008356F6" w:rsidRDefault="00835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94D3" w14:textId="77777777" w:rsidR="006D7843" w:rsidRPr="005A1289" w:rsidRDefault="006D7843" w:rsidP="00E87ECE">
    <w:pPr>
      <w:pStyle w:val="Footer"/>
      <w:pBdr>
        <w:top w:val="single" w:sz="4" w:space="0" w:color="auto"/>
      </w:pBdr>
      <w:jc w:val="center"/>
      <w:rPr>
        <w:rFonts w:ascii="Arial" w:hAnsi="Arial" w:cs="Arial"/>
        <w:i/>
        <w:sz w:val="18"/>
        <w:szCs w:val="20"/>
      </w:rPr>
    </w:pPr>
    <w:r w:rsidRPr="005A1289">
      <w:rPr>
        <w:rFonts w:ascii="Arial" w:hAnsi="Arial" w:cs="Arial"/>
        <w:i/>
        <w:sz w:val="18"/>
        <w:szCs w:val="20"/>
      </w:rPr>
      <w:t xml:space="preserve">Telecommunications (Mobile Number Pre-Porting Additional Identity Verification) </w:t>
    </w:r>
  </w:p>
  <w:p w14:paraId="1C912B1C" w14:textId="77777777" w:rsidR="006D7843" w:rsidRPr="005A1289" w:rsidRDefault="006D7843" w:rsidP="00E87ECE">
    <w:pPr>
      <w:pStyle w:val="Footer"/>
      <w:pBdr>
        <w:top w:val="single" w:sz="4" w:space="0" w:color="auto"/>
      </w:pBdr>
      <w:jc w:val="center"/>
      <w:rPr>
        <w:rFonts w:ascii="Arial" w:hAnsi="Arial" w:cs="Arial"/>
        <w:i/>
        <w:sz w:val="18"/>
        <w:szCs w:val="20"/>
      </w:rPr>
    </w:pPr>
    <w:r w:rsidRPr="005A1289">
      <w:rPr>
        <w:rFonts w:ascii="Arial" w:hAnsi="Arial" w:cs="Arial"/>
        <w:i/>
        <w:sz w:val="18"/>
        <w:szCs w:val="20"/>
      </w:rPr>
      <w:t>Industry Standard 2020</w:t>
    </w:r>
  </w:p>
  <w:p w14:paraId="25D69F96" w14:textId="0E3A4639" w:rsidR="006D7843" w:rsidRPr="00B06422" w:rsidRDefault="006D7843" w:rsidP="00B06422">
    <w:pPr>
      <w:pStyle w:val="Footer"/>
      <w:jc w:val="right"/>
      <w:rPr>
        <w:rFonts w:ascii="Arial" w:hAnsi="Arial" w:cs="Arial"/>
        <w:sz w:val="20"/>
        <w:szCs w:val="20"/>
      </w:rPr>
    </w:pPr>
    <w:r w:rsidRPr="00B06422">
      <w:rPr>
        <w:rFonts w:ascii="Arial" w:hAnsi="Arial" w:cs="Arial"/>
        <w:sz w:val="20"/>
        <w:szCs w:val="20"/>
      </w:rPr>
      <w:fldChar w:fldCharType="begin"/>
    </w:r>
    <w:r w:rsidRPr="00B06422">
      <w:rPr>
        <w:rFonts w:ascii="Arial" w:hAnsi="Arial" w:cs="Arial"/>
        <w:sz w:val="20"/>
        <w:szCs w:val="20"/>
      </w:rPr>
      <w:instrText xml:space="preserve"> PAGE   \* MERGEFORMAT </w:instrText>
    </w:r>
    <w:r w:rsidRPr="00B06422">
      <w:rPr>
        <w:rFonts w:ascii="Arial" w:hAnsi="Arial" w:cs="Arial"/>
        <w:sz w:val="20"/>
        <w:szCs w:val="20"/>
      </w:rPr>
      <w:fldChar w:fldCharType="separate"/>
    </w:r>
    <w:r w:rsidRPr="00B06422">
      <w:rPr>
        <w:rFonts w:ascii="Arial" w:hAnsi="Arial" w:cs="Arial"/>
        <w:noProof/>
        <w:sz w:val="20"/>
        <w:szCs w:val="20"/>
      </w:rPr>
      <w:t>1</w:t>
    </w:r>
    <w:r w:rsidRPr="00B06422">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6FBF" w14:textId="77777777" w:rsidR="006D7843" w:rsidRPr="005A1289" w:rsidRDefault="006D7843" w:rsidP="00B06422">
    <w:pPr>
      <w:pStyle w:val="Footer"/>
      <w:pBdr>
        <w:top w:val="single" w:sz="4" w:space="0" w:color="auto"/>
      </w:pBdr>
      <w:jc w:val="center"/>
      <w:rPr>
        <w:rFonts w:ascii="Arial" w:hAnsi="Arial" w:cs="Arial"/>
        <w:i/>
        <w:sz w:val="18"/>
        <w:szCs w:val="20"/>
      </w:rPr>
    </w:pPr>
    <w:r w:rsidRPr="005A1289">
      <w:rPr>
        <w:rFonts w:ascii="Arial" w:hAnsi="Arial" w:cs="Arial"/>
        <w:i/>
        <w:sz w:val="18"/>
        <w:szCs w:val="20"/>
      </w:rPr>
      <w:t xml:space="preserve">Telecommunications (Mobile Number Pre-Porting Additional Identity Verification) </w:t>
    </w:r>
  </w:p>
  <w:p w14:paraId="1C48BDB1" w14:textId="77777777" w:rsidR="006D7843" w:rsidRPr="005A1289" w:rsidRDefault="006D7843" w:rsidP="00B06422">
    <w:pPr>
      <w:pStyle w:val="Footer"/>
      <w:pBdr>
        <w:top w:val="single" w:sz="4" w:space="0" w:color="auto"/>
      </w:pBdr>
      <w:jc w:val="center"/>
      <w:rPr>
        <w:rFonts w:ascii="Arial" w:hAnsi="Arial" w:cs="Arial"/>
        <w:i/>
        <w:sz w:val="18"/>
        <w:szCs w:val="20"/>
      </w:rPr>
    </w:pPr>
    <w:r w:rsidRPr="005A1289">
      <w:rPr>
        <w:rFonts w:ascii="Arial" w:hAnsi="Arial" w:cs="Arial"/>
        <w:i/>
        <w:sz w:val="18"/>
        <w:szCs w:val="20"/>
      </w:rPr>
      <w:t>Industry Standard 2020</w:t>
    </w:r>
  </w:p>
  <w:p w14:paraId="2DA1F7D5" w14:textId="77777777" w:rsidR="006D7843" w:rsidRPr="00B06422" w:rsidRDefault="006D7843" w:rsidP="00B06422">
    <w:pPr>
      <w:pStyle w:val="Footer"/>
      <w:jc w:val="right"/>
      <w:rPr>
        <w:rFonts w:ascii="Arial" w:hAnsi="Arial" w:cs="Arial"/>
        <w:sz w:val="20"/>
        <w:szCs w:val="20"/>
      </w:rPr>
    </w:pPr>
    <w:r w:rsidRPr="00B06422">
      <w:rPr>
        <w:rFonts w:ascii="Arial" w:hAnsi="Arial" w:cs="Arial"/>
        <w:sz w:val="20"/>
        <w:szCs w:val="20"/>
      </w:rPr>
      <w:fldChar w:fldCharType="begin"/>
    </w:r>
    <w:r w:rsidRPr="00B06422">
      <w:rPr>
        <w:rFonts w:ascii="Arial" w:hAnsi="Arial" w:cs="Arial"/>
        <w:sz w:val="20"/>
        <w:szCs w:val="20"/>
      </w:rPr>
      <w:instrText xml:space="preserve"> PAGE   \* MERGEFORMAT </w:instrText>
    </w:r>
    <w:r w:rsidRPr="00B06422">
      <w:rPr>
        <w:rFonts w:ascii="Arial" w:hAnsi="Arial" w:cs="Arial"/>
        <w:sz w:val="20"/>
        <w:szCs w:val="20"/>
      </w:rPr>
      <w:fldChar w:fldCharType="separate"/>
    </w:r>
    <w:r>
      <w:rPr>
        <w:rFonts w:ascii="Arial" w:hAnsi="Arial" w:cs="Arial"/>
        <w:sz w:val="20"/>
        <w:szCs w:val="20"/>
      </w:rPr>
      <w:t>2</w:t>
    </w:r>
    <w:r w:rsidRPr="00B06422">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726B" w14:textId="77777777" w:rsidR="006D7843" w:rsidRPr="005A1289" w:rsidRDefault="006D7843" w:rsidP="00E87ECE">
    <w:pPr>
      <w:pStyle w:val="Footer"/>
      <w:pBdr>
        <w:top w:val="single" w:sz="4" w:space="0" w:color="auto"/>
      </w:pBdr>
      <w:jc w:val="center"/>
      <w:rPr>
        <w:rFonts w:ascii="Arial" w:hAnsi="Arial" w:cs="Arial"/>
        <w:i/>
        <w:sz w:val="18"/>
        <w:szCs w:val="20"/>
      </w:rPr>
    </w:pPr>
    <w:r w:rsidRPr="005A1289">
      <w:rPr>
        <w:rFonts w:ascii="Arial" w:hAnsi="Arial" w:cs="Arial"/>
        <w:i/>
        <w:sz w:val="18"/>
        <w:szCs w:val="20"/>
      </w:rPr>
      <w:t xml:space="preserve">Telecommunications (Mobile Number Pre-Porting Additional Identity Verification) </w:t>
    </w:r>
  </w:p>
  <w:p w14:paraId="0995576E" w14:textId="77777777" w:rsidR="006D7843" w:rsidRPr="005A1289" w:rsidRDefault="006D7843" w:rsidP="00E87ECE">
    <w:pPr>
      <w:pStyle w:val="Footer"/>
      <w:pBdr>
        <w:top w:val="single" w:sz="4" w:space="0" w:color="auto"/>
      </w:pBdr>
      <w:jc w:val="center"/>
      <w:rPr>
        <w:rFonts w:ascii="Arial" w:hAnsi="Arial" w:cs="Arial"/>
        <w:i/>
        <w:sz w:val="18"/>
        <w:szCs w:val="20"/>
      </w:rPr>
    </w:pPr>
    <w:r w:rsidRPr="005A1289">
      <w:rPr>
        <w:rFonts w:ascii="Arial" w:hAnsi="Arial" w:cs="Arial"/>
        <w:i/>
        <w:sz w:val="18"/>
        <w:szCs w:val="20"/>
      </w:rPr>
      <w:t>Industry Standard 2020</w:t>
    </w:r>
  </w:p>
  <w:p w14:paraId="4147D84C" w14:textId="77777777" w:rsidR="006D7843" w:rsidRPr="00B06422" w:rsidRDefault="006D7843" w:rsidP="00B06422">
    <w:pPr>
      <w:pStyle w:val="Footer"/>
      <w:jc w:val="right"/>
      <w:rPr>
        <w:rFonts w:ascii="Arial" w:hAnsi="Arial" w:cs="Arial"/>
        <w:sz w:val="20"/>
        <w:szCs w:val="20"/>
      </w:rPr>
    </w:pPr>
    <w:r w:rsidRPr="00B06422">
      <w:rPr>
        <w:rFonts w:ascii="Arial" w:hAnsi="Arial" w:cs="Arial"/>
        <w:sz w:val="20"/>
        <w:szCs w:val="20"/>
      </w:rPr>
      <w:fldChar w:fldCharType="begin"/>
    </w:r>
    <w:r w:rsidRPr="00B06422">
      <w:rPr>
        <w:rFonts w:ascii="Arial" w:hAnsi="Arial" w:cs="Arial"/>
        <w:sz w:val="20"/>
        <w:szCs w:val="20"/>
      </w:rPr>
      <w:instrText xml:space="preserve"> PAGE   \* MERGEFORMAT </w:instrText>
    </w:r>
    <w:r w:rsidRPr="00B06422">
      <w:rPr>
        <w:rFonts w:ascii="Arial" w:hAnsi="Arial" w:cs="Arial"/>
        <w:sz w:val="20"/>
        <w:szCs w:val="20"/>
      </w:rPr>
      <w:fldChar w:fldCharType="separate"/>
    </w:r>
    <w:r w:rsidRPr="00B06422">
      <w:rPr>
        <w:rFonts w:ascii="Arial" w:hAnsi="Arial" w:cs="Arial"/>
        <w:noProof/>
        <w:sz w:val="20"/>
        <w:szCs w:val="20"/>
      </w:rPr>
      <w:t>1</w:t>
    </w:r>
    <w:r w:rsidRPr="00B06422">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51575" w14:textId="77777777" w:rsidR="008356F6" w:rsidRDefault="008356F6" w:rsidP="0017734A">
      <w:pPr>
        <w:spacing w:after="0" w:line="240" w:lineRule="auto"/>
      </w:pPr>
      <w:r>
        <w:separator/>
      </w:r>
    </w:p>
  </w:footnote>
  <w:footnote w:type="continuationSeparator" w:id="0">
    <w:p w14:paraId="301936B4" w14:textId="77777777" w:rsidR="008356F6" w:rsidRDefault="008356F6" w:rsidP="0017734A">
      <w:pPr>
        <w:spacing w:after="0" w:line="240" w:lineRule="auto"/>
      </w:pPr>
      <w:r>
        <w:continuationSeparator/>
      </w:r>
    </w:p>
  </w:footnote>
  <w:footnote w:type="continuationNotice" w:id="1">
    <w:p w14:paraId="08F3BF5D" w14:textId="77777777" w:rsidR="008356F6" w:rsidRDefault="00835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46B3" w14:textId="49E5D66F" w:rsidR="006D7843" w:rsidRDefault="006D7843">
    <w:pPr>
      <w:pStyle w:val="Header"/>
    </w:pPr>
  </w:p>
  <w:p w14:paraId="12661DDE" w14:textId="77777777" w:rsidR="006D7843" w:rsidRDefault="006D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BAAD" w14:textId="38E0CDA5" w:rsidR="006D7843" w:rsidRDefault="006D7843" w:rsidP="00E7332E">
    <w:pPr>
      <w:pStyle w:val="Header"/>
    </w:pPr>
  </w:p>
  <w:p w14:paraId="09805E4F" w14:textId="77777777" w:rsidR="006D7843" w:rsidRDefault="006D7843"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2A3D" w14:textId="1CD0D99A" w:rsidR="006D7843" w:rsidRDefault="006D7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5C03" w14:textId="199FA9A2" w:rsidR="006D7843" w:rsidRPr="0056458B" w:rsidRDefault="006D7843" w:rsidP="00892659">
    <w:pPr>
      <w:pStyle w:val="Header"/>
      <w:pBdr>
        <w:bottom w:val="single" w:sz="4" w:space="1" w:color="auto"/>
      </w:pBdr>
      <w:rPr>
        <w:rFonts w:ascii="Arial" w:hAnsi="Arial" w:cs="Arial"/>
        <w:sz w:val="18"/>
        <w:szCs w:val="18"/>
      </w:rPr>
    </w:pPr>
    <w:r w:rsidRPr="0056458B">
      <w:rPr>
        <w:rFonts w:ascii="Arial" w:hAnsi="Arial" w:cs="Arial"/>
        <w:sz w:val="18"/>
        <w:szCs w:val="18"/>
      </w:rPr>
      <w:t xml:space="preserve">Section </w:t>
    </w:r>
    <w:r w:rsidRPr="0056458B">
      <w:rPr>
        <w:rFonts w:ascii="Arial" w:hAnsi="Arial" w:cs="Arial"/>
        <w:sz w:val="18"/>
        <w:szCs w:val="18"/>
      </w:rPr>
      <w:fldChar w:fldCharType="begin"/>
    </w:r>
    <w:r w:rsidRPr="0056458B">
      <w:rPr>
        <w:rFonts w:ascii="Arial" w:hAnsi="Arial" w:cs="Arial"/>
        <w:sz w:val="18"/>
        <w:szCs w:val="18"/>
      </w:rPr>
      <w:instrText xml:space="preserve"> STYLEREF  CharSectno  \* MERGEFORMAT </w:instrText>
    </w:r>
    <w:r w:rsidRPr="0056458B">
      <w:rPr>
        <w:rFonts w:ascii="Arial" w:hAnsi="Arial" w:cs="Arial"/>
        <w:sz w:val="18"/>
        <w:szCs w:val="18"/>
      </w:rPr>
      <w:fldChar w:fldCharType="separate"/>
    </w:r>
    <w:r w:rsidR="00C953AC">
      <w:rPr>
        <w:rFonts w:ascii="Arial" w:hAnsi="Arial" w:cs="Arial"/>
        <w:noProof/>
        <w:sz w:val="18"/>
        <w:szCs w:val="18"/>
      </w:rPr>
      <w:t>9</w:t>
    </w:r>
    <w:r w:rsidRPr="0056458B">
      <w:rPr>
        <w:rFonts w:ascii="Arial" w:hAnsi="Arial" w:cs="Arial"/>
        <w:sz w:val="18"/>
        <w:szCs w:val="18"/>
      </w:rPr>
      <w:fldChar w:fldCharType="end"/>
    </w:r>
  </w:p>
  <w:p w14:paraId="600ACE46" w14:textId="11604AA7" w:rsidR="006D7843" w:rsidRPr="0056458B" w:rsidRDefault="006D7843" w:rsidP="00892659">
    <w:pPr>
      <w:pStyle w:val="Header"/>
      <w:pBdr>
        <w:bottom w:val="single" w:sz="4" w:space="1" w:color="auto"/>
      </w:pBdr>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5BAA" w14:textId="65F0D524" w:rsidR="006D7843" w:rsidRDefault="006D7843" w:rsidP="006D3742">
    <w:pPr>
      <w:pStyle w:val="Header"/>
      <w:pBdr>
        <w:bottom w:val="single" w:sz="4" w:space="1" w:color="auto"/>
      </w:pBdr>
      <w:rPr>
        <w:rFonts w:ascii="Arial" w:hAnsi="Arial" w:cs="Arial"/>
        <w:sz w:val="18"/>
        <w:szCs w:val="18"/>
      </w:rPr>
    </w:pPr>
    <w:r w:rsidRPr="0056458B">
      <w:rPr>
        <w:rFonts w:ascii="Arial" w:hAnsi="Arial" w:cs="Arial"/>
        <w:sz w:val="18"/>
        <w:szCs w:val="18"/>
      </w:rPr>
      <w:t xml:space="preserve">Section </w:t>
    </w:r>
    <w:r w:rsidRPr="0056458B">
      <w:rPr>
        <w:rFonts w:ascii="Arial" w:hAnsi="Arial" w:cs="Arial"/>
        <w:sz w:val="18"/>
        <w:szCs w:val="18"/>
      </w:rPr>
      <w:fldChar w:fldCharType="begin"/>
    </w:r>
    <w:r w:rsidRPr="0056458B">
      <w:rPr>
        <w:rFonts w:ascii="Arial" w:hAnsi="Arial" w:cs="Arial"/>
        <w:sz w:val="18"/>
        <w:szCs w:val="18"/>
      </w:rPr>
      <w:instrText xml:space="preserve"> STYLEREF  CharSectno  \* MERGEFORMAT </w:instrText>
    </w:r>
    <w:r w:rsidRPr="0056458B">
      <w:rPr>
        <w:rFonts w:ascii="Arial" w:hAnsi="Arial" w:cs="Arial"/>
        <w:sz w:val="18"/>
        <w:szCs w:val="18"/>
      </w:rPr>
      <w:fldChar w:fldCharType="separate"/>
    </w:r>
    <w:r w:rsidR="00C953AC">
      <w:rPr>
        <w:rFonts w:ascii="Arial" w:hAnsi="Arial" w:cs="Arial"/>
        <w:noProof/>
        <w:sz w:val="18"/>
        <w:szCs w:val="18"/>
      </w:rPr>
      <w:t>1</w:t>
    </w:r>
    <w:r w:rsidRPr="0056458B">
      <w:rPr>
        <w:rFonts w:ascii="Arial" w:hAnsi="Arial" w:cs="Arial"/>
        <w:sz w:val="18"/>
        <w:szCs w:val="18"/>
      </w:rPr>
      <w:fldChar w:fldCharType="end"/>
    </w:r>
  </w:p>
  <w:p w14:paraId="2C52944F" w14:textId="77777777" w:rsidR="006D7843" w:rsidRDefault="006D7843" w:rsidP="006D3742">
    <w:pPr>
      <w:pStyle w:val="Header"/>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6423" w14:textId="119C3727" w:rsidR="006D7843" w:rsidRPr="0056458B" w:rsidRDefault="006D7843" w:rsidP="00892659">
    <w:pPr>
      <w:pStyle w:val="Header"/>
      <w:pBdr>
        <w:bottom w:val="single" w:sz="4" w:space="1" w:color="auto"/>
      </w:pBdr>
      <w:rPr>
        <w:rFonts w:ascii="Arial" w:hAnsi="Arial" w:cs="Arial"/>
        <w:sz w:val="18"/>
        <w:szCs w:val="18"/>
      </w:rPr>
    </w:pPr>
    <w:r w:rsidRPr="0056458B">
      <w:rPr>
        <w:rFonts w:ascii="Arial" w:hAnsi="Arial" w:cs="Arial"/>
        <w:sz w:val="18"/>
        <w:szCs w:val="18"/>
      </w:rPr>
      <w:fldChar w:fldCharType="begin"/>
    </w:r>
    <w:r w:rsidRPr="0056458B">
      <w:rPr>
        <w:rFonts w:ascii="Arial" w:hAnsi="Arial" w:cs="Arial"/>
        <w:sz w:val="18"/>
        <w:szCs w:val="18"/>
      </w:rPr>
      <w:instrText xml:space="preserve"> STYLEREF  CharSectno  \* MERGEFORMAT </w:instrText>
    </w:r>
    <w:r w:rsidRPr="0056458B">
      <w:rPr>
        <w:rFonts w:ascii="Arial" w:hAnsi="Arial" w:cs="Arial"/>
        <w:sz w:val="18"/>
        <w:szCs w:val="18"/>
      </w:rPr>
      <w:fldChar w:fldCharType="separate"/>
    </w:r>
    <w:r w:rsidR="00C953AC">
      <w:rPr>
        <w:rFonts w:ascii="Arial" w:hAnsi="Arial" w:cs="Arial"/>
        <w:noProof/>
        <w:sz w:val="18"/>
        <w:szCs w:val="18"/>
      </w:rPr>
      <w:t>Schedule 1 – Additional identity verification process using category A and category B documents</w:t>
    </w:r>
    <w:r w:rsidRPr="0056458B">
      <w:rPr>
        <w:rFonts w:ascii="Arial" w:hAnsi="Arial" w:cs="Arial"/>
        <w:sz w:val="18"/>
        <w:szCs w:val="18"/>
      </w:rPr>
      <w:fldChar w:fldCharType="end"/>
    </w:r>
  </w:p>
  <w:p w14:paraId="4E7C734D" w14:textId="22E93799" w:rsidR="006D7843" w:rsidRPr="00CC64DD" w:rsidRDefault="006D7843" w:rsidP="00892659">
    <w:pPr>
      <w:pStyle w:val="Header"/>
      <w:pBdr>
        <w:bottom w:val="single" w:sz="4" w:space="1" w:color="auto"/>
      </w:pBdr>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14:anchorId="0654E4D4" wp14:editId="177C9EEA">
              <wp:simplePos x="0" y="0"/>
              <wp:positionH relativeFrom="margin">
                <wp:align>center</wp:align>
              </wp:positionH>
              <wp:positionV relativeFrom="margin">
                <wp:align>center</wp:align>
              </wp:positionV>
              <wp:extent cx="5387340" cy="2693670"/>
              <wp:effectExtent l="0" t="1295400" r="0" b="8591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0C56C" w14:textId="012C39CD" w:rsidR="006D7843" w:rsidRDefault="006D7843" w:rsidP="00E272CF">
                          <w:pPr>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4E4D4" id="_x0000_t202" coordsize="21600,21600" o:spt="202" path="m,l,21600r21600,l21600,xe">
              <v:stroke joinstyle="miter"/>
              <v:path gradientshapeok="t" o:connecttype="rect"/>
            </v:shapetype>
            <v:shape id="Text Box 5" o:spid="_x0000_s1026" type="#_x0000_t202" style="position:absolute;margin-left:0;margin-top:0;width:424.2pt;height:21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" o:allowincell="f" filled="f" stroked="f">
              <v:stroke joinstyle="round"/>
              <o:lock v:ext="edit" shapetype="t"/>
              <v:textbox style="mso-fit-shape-to-text:t">
                <w:txbxContent>
                  <w:p w14:paraId="4B70C56C" w14:textId="012C39CD" w:rsidR="006D7843" w:rsidRDefault="006D7843" w:rsidP="00E272CF">
                    <w:pPr>
                      <w:jc w:val="center"/>
                      <w:rPr>
                        <w:sz w:val="24"/>
                        <w:szCs w:val="24"/>
                      </w:rPr>
                    </w:pP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50D2" w14:textId="0A156792" w:rsidR="006D7843" w:rsidRPr="0056458B" w:rsidRDefault="006D7843" w:rsidP="006D3742">
    <w:pPr>
      <w:pStyle w:val="Header"/>
      <w:pBdr>
        <w:bottom w:val="single" w:sz="4" w:space="1" w:color="auto"/>
      </w:pBd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1" locked="0" layoutInCell="0" allowOverlap="1" wp14:anchorId="01DB4082" wp14:editId="69CA4140">
              <wp:simplePos x="0" y="0"/>
              <wp:positionH relativeFrom="margin">
                <wp:align>center</wp:align>
              </wp:positionH>
              <wp:positionV relativeFrom="margin">
                <wp:align>center</wp:align>
              </wp:positionV>
              <wp:extent cx="5387340" cy="2693670"/>
              <wp:effectExtent l="0" t="1295400" r="0" b="8591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9B1CBB" w14:textId="18B21B08" w:rsidR="006D7843" w:rsidRDefault="006D7843" w:rsidP="00E272CF">
                          <w:pPr>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DB4082" id="_x0000_t202" coordsize="21600,21600" o:spt="202" path="m,l,21600r21600,l21600,xe">
              <v:stroke joinstyle="miter"/>
              <v:path gradientshapeok="t" o:connecttype="rect"/>
            </v:shapetype>
            <v:shape id="Text Box 4" o:spid="_x0000_s1027" type="#_x0000_t202" style="position:absolute;margin-left:0;margin-top:0;width:424.2pt;height:212.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" o:allowincell="f" filled="f" stroked="f">
              <v:stroke joinstyle="round"/>
              <o:lock v:ext="edit" shapetype="t"/>
              <v:textbox style="mso-fit-shape-to-text:t">
                <w:txbxContent>
                  <w:p w14:paraId="669B1CBB" w14:textId="18B21B08" w:rsidR="006D7843" w:rsidRDefault="006D7843" w:rsidP="00E272CF">
                    <w:pPr>
                      <w:jc w:val="center"/>
                      <w:rPr>
                        <w:sz w:val="24"/>
                        <w:szCs w:val="24"/>
                      </w:rPr>
                    </w:pPr>
                  </w:p>
                </w:txbxContent>
              </v:textbox>
              <w10:wrap anchorx="margin" anchory="margin"/>
            </v:shape>
          </w:pict>
        </mc:Fallback>
      </mc:AlternateContent>
    </w:r>
    <w:r w:rsidRPr="0056458B">
      <w:rPr>
        <w:rFonts w:ascii="Arial" w:hAnsi="Arial" w:cs="Arial"/>
        <w:sz w:val="18"/>
        <w:szCs w:val="18"/>
      </w:rPr>
      <w:fldChar w:fldCharType="begin"/>
    </w:r>
    <w:r w:rsidRPr="0056458B">
      <w:rPr>
        <w:rFonts w:ascii="Arial" w:hAnsi="Arial" w:cs="Arial"/>
        <w:sz w:val="18"/>
        <w:szCs w:val="18"/>
      </w:rPr>
      <w:instrText xml:space="preserve"> STYLEREF  CharSectno  \* MERGEFORMAT </w:instrText>
    </w:r>
    <w:r w:rsidRPr="0056458B">
      <w:rPr>
        <w:rFonts w:ascii="Arial" w:hAnsi="Arial" w:cs="Arial"/>
        <w:sz w:val="18"/>
        <w:szCs w:val="18"/>
      </w:rPr>
      <w:fldChar w:fldCharType="separate"/>
    </w:r>
    <w:r w:rsidR="00C953AC">
      <w:rPr>
        <w:rFonts w:ascii="Arial" w:hAnsi="Arial" w:cs="Arial"/>
        <w:noProof/>
        <w:sz w:val="18"/>
        <w:szCs w:val="18"/>
      </w:rPr>
      <w:t>Schedule 1 – Additional identity verification process using category A and category B documents</w:t>
    </w:r>
    <w:r w:rsidRPr="0056458B">
      <w:rPr>
        <w:rFonts w:ascii="Arial" w:hAnsi="Arial" w:cs="Arial"/>
        <w:sz w:val="18"/>
        <w:szCs w:val="18"/>
      </w:rPr>
      <w:fldChar w:fldCharType="end"/>
    </w:r>
  </w:p>
  <w:p w14:paraId="1BB9790F" w14:textId="77777777" w:rsidR="006D7843" w:rsidRDefault="006D7843" w:rsidP="006D374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DF2"/>
    <w:multiLevelType w:val="hybridMultilevel"/>
    <w:tmpl w:val="1270A8D0"/>
    <w:lvl w:ilvl="0" w:tplc="6CC42C98">
      <w:start w:val="1"/>
      <w:numFmt w:val="decimal"/>
      <w:lvlText w:val="(%1)"/>
      <w:lvlJc w:val="left"/>
      <w:pPr>
        <w:ind w:left="4194" w:hanging="360"/>
      </w:pPr>
      <w:rPr>
        <w:rFonts w:hint="default"/>
      </w:rPr>
    </w:lvl>
    <w:lvl w:ilvl="1" w:tplc="0C090019" w:tentative="1">
      <w:start w:val="1"/>
      <w:numFmt w:val="lowerLetter"/>
      <w:lvlText w:val="%2."/>
      <w:lvlJc w:val="left"/>
      <w:pPr>
        <w:ind w:left="4914" w:hanging="360"/>
      </w:pPr>
    </w:lvl>
    <w:lvl w:ilvl="2" w:tplc="0C09001B" w:tentative="1">
      <w:start w:val="1"/>
      <w:numFmt w:val="lowerRoman"/>
      <w:lvlText w:val="%3."/>
      <w:lvlJc w:val="right"/>
      <w:pPr>
        <w:ind w:left="5634" w:hanging="180"/>
      </w:pPr>
    </w:lvl>
    <w:lvl w:ilvl="3" w:tplc="0C09000F" w:tentative="1">
      <w:start w:val="1"/>
      <w:numFmt w:val="decimal"/>
      <w:lvlText w:val="%4."/>
      <w:lvlJc w:val="left"/>
      <w:pPr>
        <w:ind w:left="6354" w:hanging="360"/>
      </w:pPr>
    </w:lvl>
    <w:lvl w:ilvl="4" w:tplc="0C090019" w:tentative="1">
      <w:start w:val="1"/>
      <w:numFmt w:val="lowerLetter"/>
      <w:lvlText w:val="%5."/>
      <w:lvlJc w:val="left"/>
      <w:pPr>
        <w:ind w:left="7074" w:hanging="360"/>
      </w:pPr>
    </w:lvl>
    <w:lvl w:ilvl="5" w:tplc="0C09001B" w:tentative="1">
      <w:start w:val="1"/>
      <w:numFmt w:val="lowerRoman"/>
      <w:lvlText w:val="%6."/>
      <w:lvlJc w:val="right"/>
      <w:pPr>
        <w:ind w:left="7794" w:hanging="180"/>
      </w:pPr>
    </w:lvl>
    <w:lvl w:ilvl="6" w:tplc="0C09000F" w:tentative="1">
      <w:start w:val="1"/>
      <w:numFmt w:val="decimal"/>
      <w:lvlText w:val="%7."/>
      <w:lvlJc w:val="left"/>
      <w:pPr>
        <w:ind w:left="8514" w:hanging="360"/>
      </w:pPr>
    </w:lvl>
    <w:lvl w:ilvl="7" w:tplc="0C090019" w:tentative="1">
      <w:start w:val="1"/>
      <w:numFmt w:val="lowerLetter"/>
      <w:lvlText w:val="%8."/>
      <w:lvlJc w:val="left"/>
      <w:pPr>
        <w:ind w:left="9234" w:hanging="360"/>
      </w:pPr>
    </w:lvl>
    <w:lvl w:ilvl="8" w:tplc="0C09001B" w:tentative="1">
      <w:start w:val="1"/>
      <w:numFmt w:val="lowerRoman"/>
      <w:lvlText w:val="%9."/>
      <w:lvlJc w:val="right"/>
      <w:pPr>
        <w:ind w:left="9954" w:hanging="180"/>
      </w:pPr>
    </w:lvl>
  </w:abstractNum>
  <w:abstractNum w:abstractNumId="1" w15:restartNumberingAfterBreak="0">
    <w:nsid w:val="05B21D97"/>
    <w:multiLevelType w:val="hybridMultilevel"/>
    <w:tmpl w:val="8AD464DC"/>
    <w:lvl w:ilvl="0" w:tplc="64DCD48C">
      <w:start w:val="1"/>
      <w:numFmt w:val="lowerLetter"/>
      <w:lvlText w:val="(%1)"/>
      <w:lvlJc w:val="left"/>
      <w:pPr>
        <w:ind w:left="1287" w:hanging="360"/>
      </w:pPr>
      <w:rPr>
        <w:rFonts w:hint="default"/>
        <w:b w:val="0"/>
        <w:bCs/>
        <w:i w:val="0"/>
        <w:iCs w: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6E36B72"/>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A824F3D"/>
    <w:multiLevelType w:val="hybridMultilevel"/>
    <w:tmpl w:val="5AEC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B4838"/>
    <w:multiLevelType w:val="hybridMultilevel"/>
    <w:tmpl w:val="ADBC79A2"/>
    <w:lvl w:ilvl="0" w:tplc="161A54B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AB7C37"/>
    <w:multiLevelType w:val="hybridMultilevel"/>
    <w:tmpl w:val="413CEC02"/>
    <w:lvl w:ilvl="0" w:tplc="FBA8DF04">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6"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3241A6"/>
    <w:multiLevelType w:val="hybridMultilevel"/>
    <w:tmpl w:val="61A0AA40"/>
    <w:lvl w:ilvl="0" w:tplc="F54C09BE">
      <w:start w:val="3"/>
      <w:numFmt w:val="lowerLetter"/>
      <w:lvlText w:val="(%1)"/>
      <w:lvlJc w:val="left"/>
      <w:pPr>
        <w:ind w:left="1854" w:hanging="72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9" w15:restartNumberingAfterBreak="0">
    <w:nsid w:val="23DF53F4"/>
    <w:multiLevelType w:val="hybridMultilevel"/>
    <w:tmpl w:val="1854A6B8"/>
    <w:lvl w:ilvl="0" w:tplc="161A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011A41"/>
    <w:multiLevelType w:val="hybridMultilevel"/>
    <w:tmpl w:val="1854A6B8"/>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6B2D10"/>
    <w:multiLevelType w:val="hybridMultilevel"/>
    <w:tmpl w:val="077EAD06"/>
    <w:lvl w:ilvl="0" w:tplc="AFC4955A">
      <w:start w:val="1"/>
      <w:numFmt w:val="lowerRoman"/>
      <w:lvlText w:val="(%1)"/>
      <w:lvlJc w:val="left"/>
      <w:pPr>
        <w:ind w:left="2213" w:hanging="720"/>
      </w:pPr>
      <w:rPr>
        <w:rFonts w:hint="default"/>
      </w:r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abstractNum w:abstractNumId="13" w15:restartNumberingAfterBreak="0">
    <w:nsid w:val="3070653D"/>
    <w:multiLevelType w:val="hybridMultilevel"/>
    <w:tmpl w:val="9A10E3C0"/>
    <w:lvl w:ilvl="0" w:tplc="21AE59F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30B63BC"/>
    <w:multiLevelType w:val="hybridMultilevel"/>
    <w:tmpl w:val="05721F9C"/>
    <w:lvl w:ilvl="0" w:tplc="64DCD48C">
      <w:start w:val="1"/>
      <w:numFmt w:val="lowerLetter"/>
      <w:lvlText w:val="(%1)"/>
      <w:lvlJc w:val="left"/>
      <w:pPr>
        <w:ind w:left="2825" w:hanging="720"/>
      </w:pPr>
      <w:rPr>
        <w:rFonts w:hint="default"/>
        <w:b w:val="0"/>
        <w:bCs/>
        <w:i w:val="0"/>
        <w:iCs w:val="0"/>
      </w:rPr>
    </w:lvl>
    <w:lvl w:ilvl="1" w:tplc="0C090019" w:tentative="1">
      <w:start w:val="1"/>
      <w:numFmt w:val="lowerLetter"/>
      <w:lvlText w:val="%2."/>
      <w:lvlJc w:val="left"/>
      <w:pPr>
        <w:ind w:left="3185" w:hanging="360"/>
      </w:pPr>
    </w:lvl>
    <w:lvl w:ilvl="2" w:tplc="0C09001B" w:tentative="1">
      <w:start w:val="1"/>
      <w:numFmt w:val="lowerRoman"/>
      <w:lvlText w:val="%3."/>
      <w:lvlJc w:val="right"/>
      <w:pPr>
        <w:ind w:left="3905" w:hanging="180"/>
      </w:pPr>
    </w:lvl>
    <w:lvl w:ilvl="3" w:tplc="0C09000F" w:tentative="1">
      <w:start w:val="1"/>
      <w:numFmt w:val="decimal"/>
      <w:lvlText w:val="%4."/>
      <w:lvlJc w:val="left"/>
      <w:pPr>
        <w:ind w:left="4625" w:hanging="360"/>
      </w:pPr>
    </w:lvl>
    <w:lvl w:ilvl="4" w:tplc="0C090019" w:tentative="1">
      <w:start w:val="1"/>
      <w:numFmt w:val="lowerLetter"/>
      <w:lvlText w:val="%5."/>
      <w:lvlJc w:val="left"/>
      <w:pPr>
        <w:ind w:left="5345" w:hanging="360"/>
      </w:pPr>
    </w:lvl>
    <w:lvl w:ilvl="5" w:tplc="0C09001B" w:tentative="1">
      <w:start w:val="1"/>
      <w:numFmt w:val="lowerRoman"/>
      <w:lvlText w:val="%6."/>
      <w:lvlJc w:val="right"/>
      <w:pPr>
        <w:ind w:left="6065" w:hanging="180"/>
      </w:pPr>
    </w:lvl>
    <w:lvl w:ilvl="6" w:tplc="0C09000F" w:tentative="1">
      <w:start w:val="1"/>
      <w:numFmt w:val="decimal"/>
      <w:lvlText w:val="%7."/>
      <w:lvlJc w:val="left"/>
      <w:pPr>
        <w:ind w:left="6785" w:hanging="360"/>
      </w:pPr>
    </w:lvl>
    <w:lvl w:ilvl="7" w:tplc="0C090019" w:tentative="1">
      <w:start w:val="1"/>
      <w:numFmt w:val="lowerLetter"/>
      <w:lvlText w:val="%8."/>
      <w:lvlJc w:val="left"/>
      <w:pPr>
        <w:ind w:left="7505" w:hanging="360"/>
      </w:pPr>
    </w:lvl>
    <w:lvl w:ilvl="8" w:tplc="0C09001B" w:tentative="1">
      <w:start w:val="1"/>
      <w:numFmt w:val="lowerRoman"/>
      <w:lvlText w:val="%9."/>
      <w:lvlJc w:val="right"/>
      <w:pPr>
        <w:ind w:left="8225" w:hanging="180"/>
      </w:pPr>
    </w:lvl>
  </w:abstractNum>
  <w:abstractNum w:abstractNumId="15" w15:restartNumberingAfterBreak="0">
    <w:nsid w:val="39622854"/>
    <w:multiLevelType w:val="hybridMultilevel"/>
    <w:tmpl w:val="A0CA01D2"/>
    <w:lvl w:ilvl="0" w:tplc="6B868C52">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15:restartNumberingAfterBreak="0">
    <w:nsid w:val="397B70A9"/>
    <w:multiLevelType w:val="hybridMultilevel"/>
    <w:tmpl w:val="73305DC8"/>
    <w:lvl w:ilvl="0" w:tplc="45B49EAA">
      <w:start w:val="1"/>
      <w:numFmt w:val="lowerLetter"/>
      <w:lvlText w:val="(%1)"/>
      <w:lvlJc w:val="left"/>
      <w:pPr>
        <w:ind w:left="1493" w:hanging="360"/>
      </w:pPr>
      <w:rPr>
        <w:rFonts w:hint="default"/>
      </w:rPr>
    </w:lvl>
    <w:lvl w:ilvl="1" w:tplc="0C090019">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7" w15:restartNumberingAfterBreak="0">
    <w:nsid w:val="3C083264"/>
    <w:multiLevelType w:val="multilevel"/>
    <w:tmpl w:val="CE2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F213E"/>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216024E"/>
    <w:multiLevelType w:val="hybridMultilevel"/>
    <w:tmpl w:val="B792F3BC"/>
    <w:lvl w:ilvl="0" w:tplc="263658D4">
      <w:start w:val="1"/>
      <w:numFmt w:val="decimal"/>
      <w:lvlText w:val="(%1)"/>
      <w:lvlJc w:val="left"/>
      <w:pPr>
        <w:ind w:left="1791" w:hanging="360"/>
      </w:pPr>
      <w:rPr>
        <w:rFonts w:ascii="Times New Roman" w:eastAsia="Calibri" w:hAnsi="Times New Roman" w:cs="Times New Roman"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21" w15:restartNumberingAfterBreak="0">
    <w:nsid w:val="425E4E85"/>
    <w:multiLevelType w:val="hybridMultilevel"/>
    <w:tmpl w:val="D9BC8116"/>
    <w:lvl w:ilvl="0" w:tplc="D78E1286">
      <w:start w:val="1"/>
      <w:numFmt w:val="lowerRoman"/>
      <w:lvlText w:val="(%1)"/>
      <w:lvlJc w:val="left"/>
      <w:pPr>
        <w:ind w:left="2880" w:hanging="720"/>
      </w:pPr>
      <w:rPr>
        <w:rFonts w:hint="default"/>
      </w:rPr>
    </w:lvl>
    <w:lvl w:ilvl="1" w:tplc="9D1824F0">
      <w:start w:val="1"/>
      <w:numFmt w:val="lowerRoman"/>
      <w:lvlText w:val="(%2)"/>
      <w:lvlJc w:val="left"/>
      <w:pPr>
        <w:ind w:left="3240" w:hanging="360"/>
      </w:pPr>
      <w:rPr>
        <w:rFonts w:ascii="Times New Roman" w:eastAsia="Times New Roman" w:hAnsi="Times New Roman" w:cs="Times New Roman"/>
      </w:r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3247BD"/>
    <w:multiLevelType w:val="hybridMultilevel"/>
    <w:tmpl w:val="56126A9A"/>
    <w:lvl w:ilvl="0" w:tplc="2EB4FF34">
      <w:start w:val="1"/>
      <w:numFmt w:val="lowerLetter"/>
      <w:lvlText w:val="(%1)"/>
      <w:lvlJc w:val="left"/>
      <w:pPr>
        <w:ind w:left="720" w:hanging="360"/>
      </w:pPr>
      <w:rPr>
        <w:rFonts w:ascii="Times New Roman" w:eastAsiaTheme="minorHAnsi" w:hAnsi="Times New Roman"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C035D62"/>
    <w:multiLevelType w:val="hybridMultilevel"/>
    <w:tmpl w:val="0A222534"/>
    <w:lvl w:ilvl="0" w:tplc="40348942">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25" w15:restartNumberingAfterBreak="0">
    <w:nsid w:val="4E0D1F59"/>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4EE44589"/>
    <w:multiLevelType w:val="hybridMultilevel"/>
    <w:tmpl w:val="F6DCEEC2"/>
    <w:lvl w:ilvl="0" w:tplc="1C684482">
      <w:start w:val="1"/>
      <w:numFmt w:val="lowerRoman"/>
      <w:lvlText w:val="(%1)"/>
      <w:lvlJc w:val="left"/>
      <w:pPr>
        <w:ind w:left="3255" w:hanging="375"/>
      </w:pPr>
      <w:rPr>
        <w:rFonts w:hint="default"/>
        <w:sz w:val="18"/>
        <w:szCs w:val="18"/>
      </w:rPr>
    </w:lvl>
    <w:lvl w:ilvl="1" w:tplc="209C828C">
      <w:start w:val="1"/>
      <w:numFmt w:val="lowerRoman"/>
      <w:lvlText w:val="(%2)"/>
      <w:lvlJc w:val="left"/>
      <w:pPr>
        <w:ind w:left="3960" w:hanging="360"/>
      </w:pPr>
      <w:rPr>
        <w:rFonts w:ascii="Times New Roman" w:eastAsia="Times New Roman" w:hAnsi="Times New Roman" w:cs="Times New Roman"/>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567E5E01"/>
    <w:multiLevelType w:val="hybridMultilevel"/>
    <w:tmpl w:val="D9BC8116"/>
    <w:lvl w:ilvl="0" w:tplc="D78E1286">
      <w:start w:val="1"/>
      <w:numFmt w:val="lowerRoman"/>
      <w:lvlText w:val="(%1)"/>
      <w:lvlJc w:val="left"/>
      <w:pPr>
        <w:ind w:left="2214" w:hanging="720"/>
      </w:pPr>
      <w:rPr>
        <w:rFonts w:hint="default"/>
      </w:rPr>
    </w:lvl>
    <w:lvl w:ilvl="1" w:tplc="9D1824F0">
      <w:start w:val="1"/>
      <w:numFmt w:val="lowerRoman"/>
      <w:lvlText w:val="(%2)"/>
      <w:lvlJc w:val="left"/>
      <w:pPr>
        <w:ind w:left="2574" w:hanging="360"/>
      </w:pPr>
      <w:rPr>
        <w:rFonts w:ascii="Times New Roman" w:eastAsia="Times New Roman" w:hAnsi="Times New Roman" w:cs="Times New Roman"/>
      </w:r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57325DE9"/>
    <w:multiLevelType w:val="hybridMultilevel"/>
    <w:tmpl w:val="A5B8FA60"/>
    <w:lvl w:ilvl="0" w:tplc="F02E9A0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58561EFA"/>
    <w:multiLevelType w:val="hybridMultilevel"/>
    <w:tmpl w:val="02D4D7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9B8208E"/>
    <w:multiLevelType w:val="hybridMultilevel"/>
    <w:tmpl w:val="116830C8"/>
    <w:lvl w:ilvl="0" w:tplc="E14E2C48">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31" w15:restartNumberingAfterBreak="0">
    <w:nsid w:val="5DBC437D"/>
    <w:multiLevelType w:val="hybridMultilevel"/>
    <w:tmpl w:val="AABA0E4A"/>
    <w:lvl w:ilvl="0" w:tplc="0C09001B">
      <w:start w:val="1"/>
      <w:numFmt w:val="lowerRoman"/>
      <w:lvlText w:val="%1."/>
      <w:lvlJc w:val="right"/>
      <w:pPr>
        <w:ind w:left="1650" w:hanging="375"/>
      </w:pPr>
      <w:rPr>
        <w:rFonts w:hint="default"/>
      </w:rPr>
    </w:lvl>
    <w:lvl w:ilvl="1" w:tplc="209C828C">
      <w:start w:val="1"/>
      <w:numFmt w:val="lowerRoman"/>
      <w:lvlText w:val="(%2)"/>
      <w:lvlJc w:val="left"/>
      <w:pPr>
        <w:ind w:left="2355" w:hanging="360"/>
      </w:pPr>
      <w:rPr>
        <w:rFonts w:ascii="Times New Roman" w:eastAsia="Times New Roman" w:hAnsi="Times New Roman" w:cs="Times New Roman"/>
      </w:r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F7144B"/>
    <w:multiLevelType w:val="hybridMultilevel"/>
    <w:tmpl w:val="B7C0BAE2"/>
    <w:lvl w:ilvl="0" w:tplc="E21841D4">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4" w15:restartNumberingAfterBreak="0">
    <w:nsid w:val="64207F05"/>
    <w:multiLevelType w:val="hybridMultilevel"/>
    <w:tmpl w:val="6330809E"/>
    <w:lvl w:ilvl="0" w:tplc="C50274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F96471"/>
    <w:multiLevelType w:val="hybridMultilevel"/>
    <w:tmpl w:val="38687C24"/>
    <w:lvl w:ilvl="0" w:tplc="0C09001B">
      <w:start w:val="1"/>
      <w:numFmt w:val="lowerRoman"/>
      <w:lvlText w:val="%1."/>
      <w:lvlJc w:val="right"/>
      <w:pPr>
        <w:ind w:left="3255" w:hanging="375"/>
      </w:pPr>
      <w:rPr>
        <w:rFonts w:hint="default"/>
      </w:rPr>
    </w:lvl>
    <w:lvl w:ilvl="1" w:tplc="209C828C">
      <w:start w:val="1"/>
      <w:numFmt w:val="lowerRoman"/>
      <w:lvlText w:val="(%2)"/>
      <w:lvlJc w:val="left"/>
      <w:pPr>
        <w:ind w:left="3960" w:hanging="360"/>
      </w:pPr>
      <w:rPr>
        <w:rFonts w:ascii="Times New Roman" w:eastAsia="Times New Roman" w:hAnsi="Times New Roman" w:cs="Times New Roman"/>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6BBF4C5D"/>
    <w:multiLevelType w:val="hybridMultilevel"/>
    <w:tmpl w:val="8AEC23DE"/>
    <w:lvl w:ilvl="0" w:tplc="161A54B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D62511"/>
    <w:multiLevelType w:val="hybridMultilevel"/>
    <w:tmpl w:val="9A10E3C0"/>
    <w:lvl w:ilvl="0" w:tplc="21AE59F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714B15D7"/>
    <w:multiLevelType w:val="hybridMultilevel"/>
    <w:tmpl w:val="4F8ADF26"/>
    <w:lvl w:ilvl="0" w:tplc="69E84CF4">
      <w:start w:val="1"/>
      <w:numFmt w:val="lowerLetter"/>
      <w:lvlText w:val="(%1)"/>
      <w:lvlJc w:val="left"/>
      <w:pPr>
        <w:ind w:left="1494" w:hanging="360"/>
      </w:pPr>
      <w:rPr>
        <w:rFonts w:hint="default"/>
        <w:b w:val="0"/>
        <w:bCs/>
        <w:i w:val="0"/>
        <w:iCs w:val="0"/>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71F7738D"/>
    <w:multiLevelType w:val="hybridMultilevel"/>
    <w:tmpl w:val="B0E86176"/>
    <w:lvl w:ilvl="0" w:tplc="88A497D8">
      <w:start w:val="1"/>
      <w:numFmt w:val="decimal"/>
      <w:lvlText w:val="(%1)"/>
      <w:lvlJc w:val="left"/>
      <w:pPr>
        <w:ind w:left="966" w:hanging="54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15:restartNumberingAfterBreak="0">
    <w:nsid w:val="72D22903"/>
    <w:multiLevelType w:val="hybridMultilevel"/>
    <w:tmpl w:val="31D66B2E"/>
    <w:lvl w:ilvl="0" w:tplc="161A54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471633D"/>
    <w:multiLevelType w:val="hybridMultilevel"/>
    <w:tmpl w:val="BB3453EC"/>
    <w:lvl w:ilvl="0" w:tplc="CC9063DE">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06190D"/>
    <w:multiLevelType w:val="hybridMultilevel"/>
    <w:tmpl w:val="E048AB44"/>
    <w:lvl w:ilvl="0" w:tplc="07A22BE2">
      <w:start w:val="1"/>
      <w:numFmt w:val="lowerLetter"/>
      <w:lvlText w:val="(%1)"/>
      <w:lvlJc w:val="left"/>
      <w:pPr>
        <w:ind w:left="1650" w:hanging="375"/>
      </w:pPr>
      <w:rPr>
        <w:rFonts w:hint="default"/>
      </w:rPr>
    </w:lvl>
    <w:lvl w:ilvl="1" w:tplc="209C828C">
      <w:start w:val="1"/>
      <w:numFmt w:val="lowerRoman"/>
      <w:lvlText w:val="(%2)"/>
      <w:lvlJc w:val="left"/>
      <w:pPr>
        <w:ind w:left="2355" w:hanging="360"/>
      </w:pPr>
      <w:rPr>
        <w:rFonts w:ascii="Times New Roman" w:eastAsia="Times New Roman" w:hAnsi="Times New Roman" w:cs="Times New Roman"/>
      </w:r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3" w15:restartNumberingAfterBreak="0">
    <w:nsid w:val="778A4956"/>
    <w:multiLevelType w:val="hybridMultilevel"/>
    <w:tmpl w:val="709A519A"/>
    <w:lvl w:ilvl="0" w:tplc="D76265A8">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4" w15:restartNumberingAfterBreak="0">
    <w:nsid w:val="7E0E313D"/>
    <w:multiLevelType w:val="hybridMultilevel"/>
    <w:tmpl w:val="68F4AFDA"/>
    <w:lvl w:ilvl="0" w:tplc="4678F5AA">
      <w:start w:val="1"/>
      <w:numFmt w:val="lowerLetter"/>
      <w:lvlText w:val="(%1)"/>
      <w:lvlJc w:val="left"/>
      <w:pPr>
        <w:ind w:left="1352" w:hanging="360"/>
      </w:pPr>
      <w:rPr>
        <w:rFonts w:hint="default"/>
      </w:rPr>
    </w:lvl>
    <w:lvl w:ilvl="1" w:tplc="AB2EA224">
      <w:start w:val="1"/>
      <w:numFmt w:val="decimal"/>
      <w:lvlText w:val="(%2)"/>
      <w:lvlJc w:val="left"/>
      <w:pPr>
        <w:ind w:left="1004" w:hanging="720"/>
      </w:pPr>
      <w:rPr>
        <w:rFonts w:hint="default"/>
      </w:r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4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09565B"/>
    <w:multiLevelType w:val="hybridMultilevel"/>
    <w:tmpl w:val="F41EBE98"/>
    <w:lvl w:ilvl="0" w:tplc="64DCD48C">
      <w:start w:val="1"/>
      <w:numFmt w:val="lowerLetter"/>
      <w:lvlText w:val="(%1)"/>
      <w:lvlJc w:val="left"/>
      <w:pPr>
        <w:ind w:left="1502" w:hanging="368"/>
      </w:pPr>
      <w:rPr>
        <w:rFonts w:hint="default"/>
        <w:b w:val="0"/>
        <w:bCs/>
        <w:i w:val="0"/>
        <w:i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1"/>
  </w:num>
  <w:num w:numId="2">
    <w:abstractNumId w:val="45"/>
  </w:num>
  <w:num w:numId="3">
    <w:abstractNumId w:val="22"/>
  </w:num>
  <w:num w:numId="4">
    <w:abstractNumId w:val="32"/>
  </w:num>
  <w:num w:numId="5">
    <w:abstractNumId w:val="18"/>
  </w:num>
  <w:num w:numId="6">
    <w:abstractNumId w:val="7"/>
  </w:num>
  <w:num w:numId="7">
    <w:abstractNumId w:val="6"/>
  </w:num>
  <w:num w:numId="8">
    <w:abstractNumId w:val="16"/>
  </w:num>
  <w:num w:numId="9">
    <w:abstractNumId w:val="14"/>
  </w:num>
  <w:num w:numId="10">
    <w:abstractNumId w:val="38"/>
  </w:num>
  <w:num w:numId="11">
    <w:abstractNumId w:val="27"/>
  </w:num>
  <w:num w:numId="12">
    <w:abstractNumId w:val="33"/>
  </w:num>
  <w:num w:numId="13">
    <w:abstractNumId w:val="21"/>
  </w:num>
  <w:num w:numId="14">
    <w:abstractNumId w:val="34"/>
  </w:num>
  <w:num w:numId="15">
    <w:abstractNumId w:val="42"/>
  </w:num>
  <w:num w:numId="16">
    <w:abstractNumId w:val="31"/>
  </w:num>
  <w:num w:numId="17">
    <w:abstractNumId w:val="35"/>
  </w:num>
  <w:num w:numId="18">
    <w:abstractNumId w:val="30"/>
  </w:num>
  <w:num w:numId="19">
    <w:abstractNumId w:val="46"/>
  </w:num>
  <w:num w:numId="20">
    <w:abstractNumId w:val="5"/>
  </w:num>
  <w:num w:numId="21">
    <w:abstractNumId w:val="24"/>
  </w:num>
  <w:num w:numId="22">
    <w:abstractNumId w:val="43"/>
  </w:num>
  <w:num w:numId="23">
    <w:abstractNumId w:val="15"/>
  </w:num>
  <w:num w:numId="24">
    <w:abstractNumId w:val="12"/>
  </w:num>
  <w:num w:numId="25">
    <w:abstractNumId w:val="25"/>
  </w:num>
  <w:num w:numId="26">
    <w:abstractNumId w:val="28"/>
  </w:num>
  <w:num w:numId="27">
    <w:abstractNumId w:val="19"/>
  </w:num>
  <w:num w:numId="28">
    <w:abstractNumId w:val="2"/>
  </w:num>
  <w:num w:numId="29">
    <w:abstractNumId w:val="44"/>
  </w:num>
  <w:num w:numId="30">
    <w:abstractNumId w:val="9"/>
  </w:num>
  <w:num w:numId="31">
    <w:abstractNumId w:val="10"/>
  </w:num>
  <w:num w:numId="32">
    <w:abstractNumId w:val="4"/>
  </w:num>
  <w:num w:numId="33">
    <w:abstractNumId w:val="40"/>
  </w:num>
  <w:num w:numId="34">
    <w:abstractNumId w:val="20"/>
  </w:num>
  <w:num w:numId="35">
    <w:abstractNumId w:val="36"/>
  </w:num>
  <w:num w:numId="36">
    <w:abstractNumId w:val="13"/>
  </w:num>
  <w:num w:numId="37">
    <w:abstractNumId w:val="0"/>
  </w:num>
  <w:num w:numId="38">
    <w:abstractNumId w:val="26"/>
  </w:num>
  <w:num w:numId="39">
    <w:abstractNumId w:val="17"/>
  </w:num>
  <w:num w:numId="40">
    <w:abstractNumId w:val="23"/>
  </w:num>
  <w:num w:numId="41">
    <w:abstractNumId w:val="8"/>
  </w:num>
  <w:num w:numId="42">
    <w:abstractNumId w:val="39"/>
  </w:num>
  <w:num w:numId="43">
    <w:abstractNumId w:val="29"/>
  </w:num>
  <w:num w:numId="44">
    <w:abstractNumId w:val="3"/>
  </w:num>
  <w:num w:numId="45">
    <w:abstractNumId w:val="41"/>
  </w:num>
  <w:num w:numId="46">
    <w:abstractNumId w:val="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D2B"/>
    <w:rsid w:val="000037B6"/>
    <w:rsid w:val="00004542"/>
    <w:rsid w:val="00004729"/>
    <w:rsid w:val="0000598E"/>
    <w:rsid w:val="00005CE4"/>
    <w:rsid w:val="00011532"/>
    <w:rsid w:val="00013C4F"/>
    <w:rsid w:val="0001689E"/>
    <w:rsid w:val="00016D8B"/>
    <w:rsid w:val="00020588"/>
    <w:rsid w:val="00021768"/>
    <w:rsid w:val="000228CE"/>
    <w:rsid w:val="00022FBB"/>
    <w:rsid w:val="00024CAA"/>
    <w:rsid w:val="00026656"/>
    <w:rsid w:val="00027AFE"/>
    <w:rsid w:val="00027F43"/>
    <w:rsid w:val="00030FE9"/>
    <w:rsid w:val="00030FF2"/>
    <w:rsid w:val="00031F80"/>
    <w:rsid w:val="000321CB"/>
    <w:rsid w:val="000340E0"/>
    <w:rsid w:val="0003497A"/>
    <w:rsid w:val="000352AA"/>
    <w:rsid w:val="00036564"/>
    <w:rsid w:val="000402DC"/>
    <w:rsid w:val="0004108A"/>
    <w:rsid w:val="0004111D"/>
    <w:rsid w:val="00044B97"/>
    <w:rsid w:val="00044E44"/>
    <w:rsid w:val="00045068"/>
    <w:rsid w:val="00045CA7"/>
    <w:rsid w:val="00046CE7"/>
    <w:rsid w:val="00047CA0"/>
    <w:rsid w:val="0005070F"/>
    <w:rsid w:val="00050A9D"/>
    <w:rsid w:val="00051933"/>
    <w:rsid w:val="000544FE"/>
    <w:rsid w:val="00054B76"/>
    <w:rsid w:val="000551B1"/>
    <w:rsid w:val="00056260"/>
    <w:rsid w:val="00056C9E"/>
    <w:rsid w:val="0005738B"/>
    <w:rsid w:val="000643A5"/>
    <w:rsid w:val="00065954"/>
    <w:rsid w:val="00065A52"/>
    <w:rsid w:val="00067126"/>
    <w:rsid w:val="00072D62"/>
    <w:rsid w:val="00073953"/>
    <w:rsid w:val="000749A5"/>
    <w:rsid w:val="000824E5"/>
    <w:rsid w:val="000826B7"/>
    <w:rsid w:val="0008289D"/>
    <w:rsid w:val="000832F2"/>
    <w:rsid w:val="000854AE"/>
    <w:rsid w:val="000872F6"/>
    <w:rsid w:val="00087A77"/>
    <w:rsid w:val="00087F5A"/>
    <w:rsid w:val="0009090F"/>
    <w:rsid w:val="00092276"/>
    <w:rsid w:val="00093165"/>
    <w:rsid w:val="000939FE"/>
    <w:rsid w:val="00093DA5"/>
    <w:rsid w:val="0009447A"/>
    <w:rsid w:val="00095975"/>
    <w:rsid w:val="000966D8"/>
    <w:rsid w:val="00096A1D"/>
    <w:rsid w:val="00097890"/>
    <w:rsid w:val="000A2326"/>
    <w:rsid w:val="000A2C69"/>
    <w:rsid w:val="000A44D9"/>
    <w:rsid w:val="000A4F49"/>
    <w:rsid w:val="000A67E9"/>
    <w:rsid w:val="000B0465"/>
    <w:rsid w:val="000B0EDC"/>
    <w:rsid w:val="000B0F7C"/>
    <w:rsid w:val="000B3FE0"/>
    <w:rsid w:val="000B54D0"/>
    <w:rsid w:val="000B7283"/>
    <w:rsid w:val="000B7749"/>
    <w:rsid w:val="000C3D79"/>
    <w:rsid w:val="000C3E23"/>
    <w:rsid w:val="000C457D"/>
    <w:rsid w:val="000C4726"/>
    <w:rsid w:val="000C5579"/>
    <w:rsid w:val="000C5676"/>
    <w:rsid w:val="000C645B"/>
    <w:rsid w:val="000C75B0"/>
    <w:rsid w:val="000D01C2"/>
    <w:rsid w:val="000D1448"/>
    <w:rsid w:val="000D20C1"/>
    <w:rsid w:val="000D4BED"/>
    <w:rsid w:val="000D4C8D"/>
    <w:rsid w:val="000D58A3"/>
    <w:rsid w:val="000D6066"/>
    <w:rsid w:val="000D6418"/>
    <w:rsid w:val="000D78B9"/>
    <w:rsid w:val="000E0EF1"/>
    <w:rsid w:val="000E14BF"/>
    <w:rsid w:val="000E231F"/>
    <w:rsid w:val="000E2AC8"/>
    <w:rsid w:val="000E35B9"/>
    <w:rsid w:val="000E3ECB"/>
    <w:rsid w:val="000E539A"/>
    <w:rsid w:val="000E56A2"/>
    <w:rsid w:val="000F0516"/>
    <w:rsid w:val="000F0DF9"/>
    <w:rsid w:val="000F1010"/>
    <w:rsid w:val="000F15AE"/>
    <w:rsid w:val="000F1839"/>
    <w:rsid w:val="000F1CE3"/>
    <w:rsid w:val="000F1FBB"/>
    <w:rsid w:val="000F2057"/>
    <w:rsid w:val="000F2A5E"/>
    <w:rsid w:val="000F6972"/>
    <w:rsid w:val="00102A55"/>
    <w:rsid w:val="00103558"/>
    <w:rsid w:val="001054CF"/>
    <w:rsid w:val="00105D91"/>
    <w:rsid w:val="0010745A"/>
    <w:rsid w:val="00107AF2"/>
    <w:rsid w:val="00110860"/>
    <w:rsid w:val="0011278D"/>
    <w:rsid w:val="001136CB"/>
    <w:rsid w:val="00114224"/>
    <w:rsid w:val="001145E6"/>
    <w:rsid w:val="00114745"/>
    <w:rsid w:val="00114E4D"/>
    <w:rsid w:val="00115843"/>
    <w:rsid w:val="00116D0C"/>
    <w:rsid w:val="00120C1D"/>
    <w:rsid w:val="00123056"/>
    <w:rsid w:val="00123357"/>
    <w:rsid w:val="0012469D"/>
    <w:rsid w:val="001253E8"/>
    <w:rsid w:val="00127515"/>
    <w:rsid w:val="00130CD3"/>
    <w:rsid w:val="001319AB"/>
    <w:rsid w:val="00133AD1"/>
    <w:rsid w:val="00134E44"/>
    <w:rsid w:val="00135447"/>
    <w:rsid w:val="00137023"/>
    <w:rsid w:val="00140031"/>
    <w:rsid w:val="00141E91"/>
    <w:rsid w:val="0014231D"/>
    <w:rsid w:val="00143FB6"/>
    <w:rsid w:val="0014582E"/>
    <w:rsid w:val="00146176"/>
    <w:rsid w:val="00147E77"/>
    <w:rsid w:val="00150D6A"/>
    <w:rsid w:val="001511B4"/>
    <w:rsid w:val="00151930"/>
    <w:rsid w:val="00152A04"/>
    <w:rsid w:val="00152B61"/>
    <w:rsid w:val="00152CE6"/>
    <w:rsid w:val="00153B4F"/>
    <w:rsid w:val="00155D50"/>
    <w:rsid w:val="00155D5E"/>
    <w:rsid w:val="0015626F"/>
    <w:rsid w:val="00160F8E"/>
    <w:rsid w:val="00161FA3"/>
    <w:rsid w:val="0016335B"/>
    <w:rsid w:val="00165284"/>
    <w:rsid w:val="001663CF"/>
    <w:rsid w:val="0016654C"/>
    <w:rsid w:val="00167729"/>
    <w:rsid w:val="00170ACD"/>
    <w:rsid w:val="00171A9A"/>
    <w:rsid w:val="0017384F"/>
    <w:rsid w:val="00173CF7"/>
    <w:rsid w:val="001740D7"/>
    <w:rsid w:val="0017472B"/>
    <w:rsid w:val="001748E9"/>
    <w:rsid w:val="001749B2"/>
    <w:rsid w:val="0017734A"/>
    <w:rsid w:val="00177632"/>
    <w:rsid w:val="00177779"/>
    <w:rsid w:val="00177CDF"/>
    <w:rsid w:val="00181050"/>
    <w:rsid w:val="001837FB"/>
    <w:rsid w:val="00183F81"/>
    <w:rsid w:val="00185A86"/>
    <w:rsid w:val="00187BC0"/>
    <w:rsid w:val="0019129E"/>
    <w:rsid w:val="0019257E"/>
    <w:rsid w:val="00192B91"/>
    <w:rsid w:val="00192EDC"/>
    <w:rsid w:val="00193704"/>
    <w:rsid w:val="0019537D"/>
    <w:rsid w:val="001966C1"/>
    <w:rsid w:val="00197996"/>
    <w:rsid w:val="00197A84"/>
    <w:rsid w:val="001A1A53"/>
    <w:rsid w:val="001A2B69"/>
    <w:rsid w:val="001A3AD1"/>
    <w:rsid w:val="001A3F99"/>
    <w:rsid w:val="001A4208"/>
    <w:rsid w:val="001A4631"/>
    <w:rsid w:val="001A4B39"/>
    <w:rsid w:val="001A6C87"/>
    <w:rsid w:val="001A7452"/>
    <w:rsid w:val="001A7718"/>
    <w:rsid w:val="001B0334"/>
    <w:rsid w:val="001B070D"/>
    <w:rsid w:val="001B2574"/>
    <w:rsid w:val="001B40CE"/>
    <w:rsid w:val="001B4EC7"/>
    <w:rsid w:val="001B783A"/>
    <w:rsid w:val="001B7E61"/>
    <w:rsid w:val="001C08D3"/>
    <w:rsid w:val="001C0E88"/>
    <w:rsid w:val="001C0F23"/>
    <w:rsid w:val="001C1D27"/>
    <w:rsid w:val="001C3477"/>
    <w:rsid w:val="001C56CA"/>
    <w:rsid w:val="001C5E5A"/>
    <w:rsid w:val="001C6401"/>
    <w:rsid w:val="001C7D38"/>
    <w:rsid w:val="001D0408"/>
    <w:rsid w:val="001D1702"/>
    <w:rsid w:val="001D5600"/>
    <w:rsid w:val="001D61CD"/>
    <w:rsid w:val="001E0709"/>
    <w:rsid w:val="001E290C"/>
    <w:rsid w:val="001E3FD9"/>
    <w:rsid w:val="001E44E2"/>
    <w:rsid w:val="001E45EA"/>
    <w:rsid w:val="001E4929"/>
    <w:rsid w:val="001E5A49"/>
    <w:rsid w:val="001E76C7"/>
    <w:rsid w:val="001E79A2"/>
    <w:rsid w:val="001F249A"/>
    <w:rsid w:val="001F2BA0"/>
    <w:rsid w:val="001F4719"/>
    <w:rsid w:val="001F4732"/>
    <w:rsid w:val="001F7567"/>
    <w:rsid w:val="001F7747"/>
    <w:rsid w:val="001F7DC8"/>
    <w:rsid w:val="00200983"/>
    <w:rsid w:val="00204380"/>
    <w:rsid w:val="002059AD"/>
    <w:rsid w:val="00205DA0"/>
    <w:rsid w:val="002101B8"/>
    <w:rsid w:val="00210A47"/>
    <w:rsid w:val="00212EE5"/>
    <w:rsid w:val="00213409"/>
    <w:rsid w:val="002145A7"/>
    <w:rsid w:val="00214D0A"/>
    <w:rsid w:val="002155F9"/>
    <w:rsid w:val="00216233"/>
    <w:rsid w:val="002207A0"/>
    <w:rsid w:val="00220AED"/>
    <w:rsid w:val="002218DF"/>
    <w:rsid w:val="00223514"/>
    <w:rsid w:val="00232241"/>
    <w:rsid w:val="00232B85"/>
    <w:rsid w:val="0023310D"/>
    <w:rsid w:val="002332A2"/>
    <w:rsid w:val="0023373C"/>
    <w:rsid w:val="0023401E"/>
    <w:rsid w:val="002359DE"/>
    <w:rsid w:val="00236AC1"/>
    <w:rsid w:val="002370FB"/>
    <w:rsid w:val="00240BCA"/>
    <w:rsid w:val="0024163E"/>
    <w:rsid w:val="0024322A"/>
    <w:rsid w:val="002453E2"/>
    <w:rsid w:val="00245851"/>
    <w:rsid w:val="00245887"/>
    <w:rsid w:val="00247BD4"/>
    <w:rsid w:val="00252C1A"/>
    <w:rsid w:val="00253AB8"/>
    <w:rsid w:val="00253E39"/>
    <w:rsid w:val="00255DE4"/>
    <w:rsid w:val="002569B5"/>
    <w:rsid w:val="002570E6"/>
    <w:rsid w:val="00257C93"/>
    <w:rsid w:val="00261D7D"/>
    <w:rsid w:val="0026533D"/>
    <w:rsid w:val="00265A64"/>
    <w:rsid w:val="002703A4"/>
    <w:rsid w:val="002709D4"/>
    <w:rsid w:val="00270E0B"/>
    <w:rsid w:val="00272CFA"/>
    <w:rsid w:val="002734B2"/>
    <w:rsid w:val="00274FFA"/>
    <w:rsid w:val="00275266"/>
    <w:rsid w:val="00275A72"/>
    <w:rsid w:val="00275FD6"/>
    <w:rsid w:val="002778D9"/>
    <w:rsid w:val="00280D4D"/>
    <w:rsid w:val="00282B84"/>
    <w:rsid w:val="00284532"/>
    <w:rsid w:val="00287868"/>
    <w:rsid w:val="00291079"/>
    <w:rsid w:val="00291C8D"/>
    <w:rsid w:val="00291D6A"/>
    <w:rsid w:val="002934B4"/>
    <w:rsid w:val="0029427D"/>
    <w:rsid w:val="0029578B"/>
    <w:rsid w:val="002A20B1"/>
    <w:rsid w:val="002A2A38"/>
    <w:rsid w:val="002A3110"/>
    <w:rsid w:val="002A48C3"/>
    <w:rsid w:val="002A60DC"/>
    <w:rsid w:val="002A7F14"/>
    <w:rsid w:val="002B2D7D"/>
    <w:rsid w:val="002B2F0C"/>
    <w:rsid w:val="002B36D8"/>
    <w:rsid w:val="002B73D8"/>
    <w:rsid w:val="002B7B51"/>
    <w:rsid w:val="002B7C4C"/>
    <w:rsid w:val="002B7E39"/>
    <w:rsid w:val="002B7E57"/>
    <w:rsid w:val="002B7F82"/>
    <w:rsid w:val="002C07DE"/>
    <w:rsid w:val="002C16B0"/>
    <w:rsid w:val="002C3C78"/>
    <w:rsid w:val="002C3E8E"/>
    <w:rsid w:val="002C47F2"/>
    <w:rsid w:val="002C6756"/>
    <w:rsid w:val="002D19B5"/>
    <w:rsid w:val="002D1BE4"/>
    <w:rsid w:val="002D211A"/>
    <w:rsid w:val="002D5E12"/>
    <w:rsid w:val="002E05AC"/>
    <w:rsid w:val="002E0755"/>
    <w:rsid w:val="002E1119"/>
    <w:rsid w:val="002E5B01"/>
    <w:rsid w:val="002E6371"/>
    <w:rsid w:val="002E63A5"/>
    <w:rsid w:val="002E6563"/>
    <w:rsid w:val="002E6A11"/>
    <w:rsid w:val="002E6CA8"/>
    <w:rsid w:val="002E6FF7"/>
    <w:rsid w:val="002F0763"/>
    <w:rsid w:val="002F0E3F"/>
    <w:rsid w:val="002F2D88"/>
    <w:rsid w:val="002F4B60"/>
    <w:rsid w:val="002F6311"/>
    <w:rsid w:val="002F6947"/>
    <w:rsid w:val="002F7598"/>
    <w:rsid w:val="002F771C"/>
    <w:rsid w:val="00300B64"/>
    <w:rsid w:val="00302A7A"/>
    <w:rsid w:val="00302BC3"/>
    <w:rsid w:val="003048F6"/>
    <w:rsid w:val="00304D5D"/>
    <w:rsid w:val="003055EB"/>
    <w:rsid w:val="00306C83"/>
    <w:rsid w:val="00307822"/>
    <w:rsid w:val="00310402"/>
    <w:rsid w:val="00310703"/>
    <w:rsid w:val="003107BF"/>
    <w:rsid w:val="0031354D"/>
    <w:rsid w:val="00313B83"/>
    <w:rsid w:val="00316031"/>
    <w:rsid w:val="003163ED"/>
    <w:rsid w:val="003166CF"/>
    <w:rsid w:val="00316A84"/>
    <w:rsid w:val="00317720"/>
    <w:rsid w:val="0032023C"/>
    <w:rsid w:val="00320B74"/>
    <w:rsid w:val="00321136"/>
    <w:rsid w:val="00322093"/>
    <w:rsid w:val="00324A48"/>
    <w:rsid w:val="00326A79"/>
    <w:rsid w:val="0032777C"/>
    <w:rsid w:val="00327A3A"/>
    <w:rsid w:val="00327C5B"/>
    <w:rsid w:val="00327E59"/>
    <w:rsid w:val="00331E48"/>
    <w:rsid w:val="00333F2C"/>
    <w:rsid w:val="003354E3"/>
    <w:rsid w:val="003373D8"/>
    <w:rsid w:val="003375AE"/>
    <w:rsid w:val="00337B6C"/>
    <w:rsid w:val="003403A1"/>
    <w:rsid w:val="00341BFC"/>
    <w:rsid w:val="00342236"/>
    <w:rsid w:val="0034326D"/>
    <w:rsid w:val="0034425F"/>
    <w:rsid w:val="00344675"/>
    <w:rsid w:val="00346871"/>
    <w:rsid w:val="00347706"/>
    <w:rsid w:val="0035115C"/>
    <w:rsid w:val="00354C64"/>
    <w:rsid w:val="00356D2F"/>
    <w:rsid w:val="00357047"/>
    <w:rsid w:val="00357066"/>
    <w:rsid w:val="0035795C"/>
    <w:rsid w:val="00360135"/>
    <w:rsid w:val="0036038A"/>
    <w:rsid w:val="003611EA"/>
    <w:rsid w:val="003613B1"/>
    <w:rsid w:val="0036236B"/>
    <w:rsid w:val="0036479A"/>
    <w:rsid w:val="00366C98"/>
    <w:rsid w:val="00367C16"/>
    <w:rsid w:val="00370C2E"/>
    <w:rsid w:val="00371727"/>
    <w:rsid w:val="00372375"/>
    <w:rsid w:val="003727DB"/>
    <w:rsid w:val="00372D68"/>
    <w:rsid w:val="00373434"/>
    <w:rsid w:val="00375868"/>
    <w:rsid w:val="003763A6"/>
    <w:rsid w:val="003767CB"/>
    <w:rsid w:val="003778AC"/>
    <w:rsid w:val="00377C1E"/>
    <w:rsid w:val="00380007"/>
    <w:rsid w:val="00380F5A"/>
    <w:rsid w:val="003861F9"/>
    <w:rsid w:val="00386E8B"/>
    <w:rsid w:val="00387929"/>
    <w:rsid w:val="00390F96"/>
    <w:rsid w:val="00391330"/>
    <w:rsid w:val="00393851"/>
    <w:rsid w:val="00393A24"/>
    <w:rsid w:val="00393CC8"/>
    <w:rsid w:val="00394232"/>
    <w:rsid w:val="00394DD0"/>
    <w:rsid w:val="00395204"/>
    <w:rsid w:val="003973D0"/>
    <w:rsid w:val="003A2D1A"/>
    <w:rsid w:val="003A3394"/>
    <w:rsid w:val="003A4A2E"/>
    <w:rsid w:val="003A506A"/>
    <w:rsid w:val="003A5366"/>
    <w:rsid w:val="003A617D"/>
    <w:rsid w:val="003A6508"/>
    <w:rsid w:val="003A6AD2"/>
    <w:rsid w:val="003A70B5"/>
    <w:rsid w:val="003A753C"/>
    <w:rsid w:val="003B02AB"/>
    <w:rsid w:val="003B122E"/>
    <w:rsid w:val="003B293F"/>
    <w:rsid w:val="003B2C48"/>
    <w:rsid w:val="003B3FB0"/>
    <w:rsid w:val="003B52CC"/>
    <w:rsid w:val="003B6364"/>
    <w:rsid w:val="003B64CF"/>
    <w:rsid w:val="003B66B9"/>
    <w:rsid w:val="003B788F"/>
    <w:rsid w:val="003C0096"/>
    <w:rsid w:val="003C00C6"/>
    <w:rsid w:val="003C5C37"/>
    <w:rsid w:val="003C6614"/>
    <w:rsid w:val="003D035E"/>
    <w:rsid w:val="003D3767"/>
    <w:rsid w:val="003D3935"/>
    <w:rsid w:val="003D41BD"/>
    <w:rsid w:val="003D5EE4"/>
    <w:rsid w:val="003D5F0D"/>
    <w:rsid w:val="003D66D9"/>
    <w:rsid w:val="003D7EF4"/>
    <w:rsid w:val="003E21A6"/>
    <w:rsid w:val="003E26C6"/>
    <w:rsid w:val="003E27F0"/>
    <w:rsid w:val="003E2D7E"/>
    <w:rsid w:val="003E5B02"/>
    <w:rsid w:val="003E5D13"/>
    <w:rsid w:val="003E7BF2"/>
    <w:rsid w:val="003F1501"/>
    <w:rsid w:val="003F1C00"/>
    <w:rsid w:val="003F26CB"/>
    <w:rsid w:val="003F2765"/>
    <w:rsid w:val="003F281A"/>
    <w:rsid w:val="003F3306"/>
    <w:rsid w:val="003F3AF1"/>
    <w:rsid w:val="003F5E0B"/>
    <w:rsid w:val="003F7038"/>
    <w:rsid w:val="004002C1"/>
    <w:rsid w:val="00400751"/>
    <w:rsid w:val="00400C15"/>
    <w:rsid w:val="004012EA"/>
    <w:rsid w:val="00402E74"/>
    <w:rsid w:val="00403692"/>
    <w:rsid w:val="004052B4"/>
    <w:rsid w:val="00406377"/>
    <w:rsid w:val="004067D3"/>
    <w:rsid w:val="00406EE9"/>
    <w:rsid w:val="004072EA"/>
    <w:rsid w:val="00407CCB"/>
    <w:rsid w:val="00410F3C"/>
    <w:rsid w:val="00411574"/>
    <w:rsid w:val="004135DF"/>
    <w:rsid w:val="00414E72"/>
    <w:rsid w:val="00415D4B"/>
    <w:rsid w:val="00416E07"/>
    <w:rsid w:val="00416FA9"/>
    <w:rsid w:val="00417B8B"/>
    <w:rsid w:val="00420A0E"/>
    <w:rsid w:val="00420F74"/>
    <w:rsid w:val="004215C5"/>
    <w:rsid w:val="00421A80"/>
    <w:rsid w:val="00423312"/>
    <w:rsid w:val="00424038"/>
    <w:rsid w:val="004248DA"/>
    <w:rsid w:val="00424C4F"/>
    <w:rsid w:val="00425377"/>
    <w:rsid w:val="00425A9A"/>
    <w:rsid w:val="00425F6B"/>
    <w:rsid w:val="004262FF"/>
    <w:rsid w:val="00426B74"/>
    <w:rsid w:val="00426CEA"/>
    <w:rsid w:val="004271E8"/>
    <w:rsid w:val="00430774"/>
    <w:rsid w:val="004317FF"/>
    <w:rsid w:val="0043430C"/>
    <w:rsid w:val="00434B53"/>
    <w:rsid w:val="004355B6"/>
    <w:rsid w:val="004361D9"/>
    <w:rsid w:val="00440610"/>
    <w:rsid w:val="00441085"/>
    <w:rsid w:val="004428AF"/>
    <w:rsid w:val="0044363B"/>
    <w:rsid w:val="00443B01"/>
    <w:rsid w:val="00443E8E"/>
    <w:rsid w:val="00443F56"/>
    <w:rsid w:val="0044484B"/>
    <w:rsid w:val="00444BDA"/>
    <w:rsid w:val="0044558E"/>
    <w:rsid w:val="004458CD"/>
    <w:rsid w:val="0044686C"/>
    <w:rsid w:val="00450270"/>
    <w:rsid w:val="00450A40"/>
    <w:rsid w:val="004517C1"/>
    <w:rsid w:val="00453138"/>
    <w:rsid w:val="00454BEE"/>
    <w:rsid w:val="00455080"/>
    <w:rsid w:val="00456872"/>
    <w:rsid w:val="004568E1"/>
    <w:rsid w:val="00457CEE"/>
    <w:rsid w:val="00460AD7"/>
    <w:rsid w:val="004611D8"/>
    <w:rsid w:val="00463B96"/>
    <w:rsid w:val="00463CDA"/>
    <w:rsid w:val="00463DA1"/>
    <w:rsid w:val="00464623"/>
    <w:rsid w:val="00464CFE"/>
    <w:rsid w:val="00466BB3"/>
    <w:rsid w:val="00467294"/>
    <w:rsid w:val="004673D6"/>
    <w:rsid w:val="00467AB1"/>
    <w:rsid w:val="00467AD1"/>
    <w:rsid w:val="00467CF8"/>
    <w:rsid w:val="004703A9"/>
    <w:rsid w:val="00471062"/>
    <w:rsid w:val="00471A3D"/>
    <w:rsid w:val="00471F49"/>
    <w:rsid w:val="00472A19"/>
    <w:rsid w:val="00473B46"/>
    <w:rsid w:val="00475513"/>
    <w:rsid w:val="00475C96"/>
    <w:rsid w:val="00476C60"/>
    <w:rsid w:val="004770EB"/>
    <w:rsid w:val="00481C6C"/>
    <w:rsid w:val="00482373"/>
    <w:rsid w:val="004828A3"/>
    <w:rsid w:val="00483AF3"/>
    <w:rsid w:val="00483F31"/>
    <w:rsid w:val="00485520"/>
    <w:rsid w:val="00486BFE"/>
    <w:rsid w:val="00491620"/>
    <w:rsid w:val="00491A89"/>
    <w:rsid w:val="004936BB"/>
    <w:rsid w:val="004959A4"/>
    <w:rsid w:val="0049735F"/>
    <w:rsid w:val="004A0CCB"/>
    <w:rsid w:val="004A27BD"/>
    <w:rsid w:val="004A40F8"/>
    <w:rsid w:val="004A4739"/>
    <w:rsid w:val="004A61D1"/>
    <w:rsid w:val="004B0090"/>
    <w:rsid w:val="004B032E"/>
    <w:rsid w:val="004B08B5"/>
    <w:rsid w:val="004B0B4B"/>
    <w:rsid w:val="004B167D"/>
    <w:rsid w:val="004B2D2B"/>
    <w:rsid w:val="004B3230"/>
    <w:rsid w:val="004B4015"/>
    <w:rsid w:val="004B4796"/>
    <w:rsid w:val="004B5287"/>
    <w:rsid w:val="004B5661"/>
    <w:rsid w:val="004B6B2A"/>
    <w:rsid w:val="004B72A1"/>
    <w:rsid w:val="004B7923"/>
    <w:rsid w:val="004C107E"/>
    <w:rsid w:val="004C334B"/>
    <w:rsid w:val="004C5041"/>
    <w:rsid w:val="004C5079"/>
    <w:rsid w:val="004D00AD"/>
    <w:rsid w:val="004D0CB9"/>
    <w:rsid w:val="004D0D18"/>
    <w:rsid w:val="004D1A2A"/>
    <w:rsid w:val="004D29FD"/>
    <w:rsid w:val="004D2B8A"/>
    <w:rsid w:val="004D5252"/>
    <w:rsid w:val="004D6B79"/>
    <w:rsid w:val="004D7648"/>
    <w:rsid w:val="004E239B"/>
    <w:rsid w:val="004E3164"/>
    <w:rsid w:val="004E350A"/>
    <w:rsid w:val="004E4B90"/>
    <w:rsid w:val="004E6E89"/>
    <w:rsid w:val="004E77FD"/>
    <w:rsid w:val="004F04CF"/>
    <w:rsid w:val="004F0894"/>
    <w:rsid w:val="004F4D0E"/>
    <w:rsid w:val="004F64A3"/>
    <w:rsid w:val="004F79B3"/>
    <w:rsid w:val="00502445"/>
    <w:rsid w:val="00502989"/>
    <w:rsid w:val="00503884"/>
    <w:rsid w:val="00503D76"/>
    <w:rsid w:val="005045F1"/>
    <w:rsid w:val="005046F1"/>
    <w:rsid w:val="005064C3"/>
    <w:rsid w:val="00506AB0"/>
    <w:rsid w:val="005074AA"/>
    <w:rsid w:val="00507654"/>
    <w:rsid w:val="00507841"/>
    <w:rsid w:val="00507D03"/>
    <w:rsid w:val="00511386"/>
    <w:rsid w:val="00511711"/>
    <w:rsid w:val="00512199"/>
    <w:rsid w:val="00512516"/>
    <w:rsid w:val="00516BBA"/>
    <w:rsid w:val="00517DF6"/>
    <w:rsid w:val="00520B42"/>
    <w:rsid w:val="00520D92"/>
    <w:rsid w:val="00521149"/>
    <w:rsid w:val="005220B9"/>
    <w:rsid w:val="00523DA7"/>
    <w:rsid w:val="00524190"/>
    <w:rsid w:val="00524DB1"/>
    <w:rsid w:val="00525232"/>
    <w:rsid w:val="00526400"/>
    <w:rsid w:val="00527CE6"/>
    <w:rsid w:val="005311F7"/>
    <w:rsid w:val="005316E8"/>
    <w:rsid w:val="005316EF"/>
    <w:rsid w:val="00531723"/>
    <w:rsid w:val="0053478B"/>
    <w:rsid w:val="00535B6C"/>
    <w:rsid w:val="00541D32"/>
    <w:rsid w:val="00544946"/>
    <w:rsid w:val="0054547A"/>
    <w:rsid w:val="0054698F"/>
    <w:rsid w:val="00547136"/>
    <w:rsid w:val="00550622"/>
    <w:rsid w:val="00550676"/>
    <w:rsid w:val="005555B8"/>
    <w:rsid w:val="0055575B"/>
    <w:rsid w:val="005569AD"/>
    <w:rsid w:val="00556E61"/>
    <w:rsid w:val="0056079B"/>
    <w:rsid w:val="00560917"/>
    <w:rsid w:val="00560930"/>
    <w:rsid w:val="005612F5"/>
    <w:rsid w:val="005629AA"/>
    <w:rsid w:val="005640B3"/>
    <w:rsid w:val="0056458B"/>
    <w:rsid w:val="00564715"/>
    <w:rsid w:val="00564BAD"/>
    <w:rsid w:val="00564D93"/>
    <w:rsid w:val="00565335"/>
    <w:rsid w:val="00565C90"/>
    <w:rsid w:val="00566CCA"/>
    <w:rsid w:val="005705C4"/>
    <w:rsid w:val="00570A5B"/>
    <w:rsid w:val="00570F0D"/>
    <w:rsid w:val="00574EE3"/>
    <w:rsid w:val="00575F8E"/>
    <w:rsid w:val="0057704F"/>
    <w:rsid w:val="00581202"/>
    <w:rsid w:val="00583F0E"/>
    <w:rsid w:val="00584537"/>
    <w:rsid w:val="00584679"/>
    <w:rsid w:val="0058502C"/>
    <w:rsid w:val="0058553D"/>
    <w:rsid w:val="00585D37"/>
    <w:rsid w:val="0058602F"/>
    <w:rsid w:val="00586216"/>
    <w:rsid w:val="00587D15"/>
    <w:rsid w:val="00590058"/>
    <w:rsid w:val="00590503"/>
    <w:rsid w:val="0059142D"/>
    <w:rsid w:val="00592111"/>
    <w:rsid w:val="00592364"/>
    <w:rsid w:val="00592905"/>
    <w:rsid w:val="005937C8"/>
    <w:rsid w:val="005957A6"/>
    <w:rsid w:val="00597C72"/>
    <w:rsid w:val="005A10BE"/>
    <w:rsid w:val="005A1289"/>
    <w:rsid w:val="005A2289"/>
    <w:rsid w:val="005A3582"/>
    <w:rsid w:val="005A4002"/>
    <w:rsid w:val="005A4B0E"/>
    <w:rsid w:val="005A7E34"/>
    <w:rsid w:val="005B0C01"/>
    <w:rsid w:val="005B12A9"/>
    <w:rsid w:val="005B3572"/>
    <w:rsid w:val="005B3FEF"/>
    <w:rsid w:val="005B46D4"/>
    <w:rsid w:val="005B7618"/>
    <w:rsid w:val="005C0555"/>
    <w:rsid w:val="005C0650"/>
    <w:rsid w:val="005C1129"/>
    <w:rsid w:val="005C44E6"/>
    <w:rsid w:val="005D02F5"/>
    <w:rsid w:val="005D0962"/>
    <w:rsid w:val="005D3921"/>
    <w:rsid w:val="005D43B5"/>
    <w:rsid w:val="005D56BD"/>
    <w:rsid w:val="005D6CD2"/>
    <w:rsid w:val="005E1151"/>
    <w:rsid w:val="005E4956"/>
    <w:rsid w:val="005E4D84"/>
    <w:rsid w:val="005F05B2"/>
    <w:rsid w:val="005F0992"/>
    <w:rsid w:val="005F09D9"/>
    <w:rsid w:val="005F1765"/>
    <w:rsid w:val="005F1A73"/>
    <w:rsid w:val="005F222A"/>
    <w:rsid w:val="005F2391"/>
    <w:rsid w:val="005F2FEC"/>
    <w:rsid w:val="005F3738"/>
    <w:rsid w:val="005F3C08"/>
    <w:rsid w:val="005F4203"/>
    <w:rsid w:val="005F4335"/>
    <w:rsid w:val="005F474D"/>
    <w:rsid w:val="005F4B38"/>
    <w:rsid w:val="005F5782"/>
    <w:rsid w:val="005F65DE"/>
    <w:rsid w:val="005F6843"/>
    <w:rsid w:val="00602BE6"/>
    <w:rsid w:val="0060322E"/>
    <w:rsid w:val="006032D3"/>
    <w:rsid w:val="0060360B"/>
    <w:rsid w:val="006037A9"/>
    <w:rsid w:val="00603B33"/>
    <w:rsid w:val="0060690F"/>
    <w:rsid w:val="00606976"/>
    <w:rsid w:val="00607CA1"/>
    <w:rsid w:val="00610C33"/>
    <w:rsid w:val="00610E3F"/>
    <w:rsid w:val="006120E0"/>
    <w:rsid w:val="00612138"/>
    <w:rsid w:val="0061299D"/>
    <w:rsid w:val="006129DF"/>
    <w:rsid w:val="00613E3E"/>
    <w:rsid w:val="0061446A"/>
    <w:rsid w:val="00614C75"/>
    <w:rsid w:val="00614EA0"/>
    <w:rsid w:val="00616CD8"/>
    <w:rsid w:val="00617465"/>
    <w:rsid w:val="006179A0"/>
    <w:rsid w:val="00620B58"/>
    <w:rsid w:val="00621304"/>
    <w:rsid w:val="006213BC"/>
    <w:rsid w:val="006227A3"/>
    <w:rsid w:val="0062323D"/>
    <w:rsid w:val="00623D0B"/>
    <w:rsid w:val="00624ED6"/>
    <w:rsid w:val="00625CBE"/>
    <w:rsid w:val="006262F5"/>
    <w:rsid w:val="00626976"/>
    <w:rsid w:val="00626D3B"/>
    <w:rsid w:val="00626FFC"/>
    <w:rsid w:val="00627D4E"/>
    <w:rsid w:val="006305A9"/>
    <w:rsid w:val="00630B89"/>
    <w:rsid w:val="006327B0"/>
    <w:rsid w:val="00634EE0"/>
    <w:rsid w:val="006357EA"/>
    <w:rsid w:val="00635CBA"/>
    <w:rsid w:val="0063623D"/>
    <w:rsid w:val="006365D3"/>
    <w:rsid w:val="00636C86"/>
    <w:rsid w:val="0063720B"/>
    <w:rsid w:val="00640732"/>
    <w:rsid w:val="00640849"/>
    <w:rsid w:val="006430A4"/>
    <w:rsid w:val="006437D6"/>
    <w:rsid w:val="006453A3"/>
    <w:rsid w:val="00646151"/>
    <w:rsid w:val="00646C4E"/>
    <w:rsid w:val="00646DBE"/>
    <w:rsid w:val="00653BE0"/>
    <w:rsid w:val="0065482C"/>
    <w:rsid w:val="0065763D"/>
    <w:rsid w:val="00660F0F"/>
    <w:rsid w:val="00661D44"/>
    <w:rsid w:val="00662B01"/>
    <w:rsid w:val="006643AC"/>
    <w:rsid w:val="0066532F"/>
    <w:rsid w:val="00666266"/>
    <w:rsid w:val="0066646A"/>
    <w:rsid w:val="00667519"/>
    <w:rsid w:val="006677C0"/>
    <w:rsid w:val="006726CF"/>
    <w:rsid w:val="006742D9"/>
    <w:rsid w:val="006748BD"/>
    <w:rsid w:val="00674F41"/>
    <w:rsid w:val="00677357"/>
    <w:rsid w:val="006803E4"/>
    <w:rsid w:val="00681361"/>
    <w:rsid w:val="006815E6"/>
    <w:rsid w:val="00681690"/>
    <w:rsid w:val="00681738"/>
    <w:rsid w:val="00681C31"/>
    <w:rsid w:val="00683609"/>
    <w:rsid w:val="006837EB"/>
    <w:rsid w:val="00683C13"/>
    <w:rsid w:val="00683F8E"/>
    <w:rsid w:val="00684481"/>
    <w:rsid w:val="0068468D"/>
    <w:rsid w:val="00684DF8"/>
    <w:rsid w:val="00686372"/>
    <w:rsid w:val="00690182"/>
    <w:rsid w:val="00690A82"/>
    <w:rsid w:val="006915D6"/>
    <w:rsid w:val="00691726"/>
    <w:rsid w:val="00693D4F"/>
    <w:rsid w:val="00695C16"/>
    <w:rsid w:val="006A01C6"/>
    <w:rsid w:val="006A285B"/>
    <w:rsid w:val="006A324C"/>
    <w:rsid w:val="006A5218"/>
    <w:rsid w:val="006A5CBA"/>
    <w:rsid w:val="006A639D"/>
    <w:rsid w:val="006A6D21"/>
    <w:rsid w:val="006A7EC4"/>
    <w:rsid w:val="006B062A"/>
    <w:rsid w:val="006B0C54"/>
    <w:rsid w:val="006B1147"/>
    <w:rsid w:val="006B178F"/>
    <w:rsid w:val="006B3BF3"/>
    <w:rsid w:val="006B3FFC"/>
    <w:rsid w:val="006B6C73"/>
    <w:rsid w:val="006B72B6"/>
    <w:rsid w:val="006C0251"/>
    <w:rsid w:val="006C179B"/>
    <w:rsid w:val="006C3A19"/>
    <w:rsid w:val="006C3AD4"/>
    <w:rsid w:val="006C3B4C"/>
    <w:rsid w:val="006C3C79"/>
    <w:rsid w:val="006C4720"/>
    <w:rsid w:val="006C49AF"/>
    <w:rsid w:val="006C7FF3"/>
    <w:rsid w:val="006D36DE"/>
    <w:rsid w:val="006D3742"/>
    <w:rsid w:val="006D5691"/>
    <w:rsid w:val="006D613D"/>
    <w:rsid w:val="006D6BB5"/>
    <w:rsid w:val="006D777C"/>
    <w:rsid w:val="006D7843"/>
    <w:rsid w:val="006D7EC0"/>
    <w:rsid w:val="006E32E7"/>
    <w:rsid w:val="006E3A61"/>
    <w:rsid w:val="006E546C"/>
    <w:rsid w:val="006E5D1F"/>
    <w:rsid w:val="006E6421"/>
    <w:rsid w:val="006E6591"/>
    <w:rsid w:val="006F107B"/>
    <w:rsid w:val="006F1134"/>
    <w:rsid w:val="006F23C7"/>
    <w:rsid w:val="006F3A48"/>
    <w:rsid w:val="006F4125"/>
    <w:rsid w:val="006F46F7"/>
    <w:rsid w:val="006F4AC1"/>
    <w:rsid w:val="006F4BD6"/>
    <w:rsid w:val="006F53AB"/>
    <w:rsid w:val="006F5CF2"/>
    <w:rsid w:val="006F662B"/>
    <w:rsid w:val="006F6DA2"/>
    <w:rsid w:val="00700B8F"/>
    <w:rsid w:val="00701C23"/>
    <w:rsid w:val="00701DF5"/>
    <w:rsid w:val="00702CD7"/>
    <w:rsid w:val="00703828"/>
    <w:rsid w:val="0070478A"/>
    <w:rsid w:val="00707F17"/>
    <w:rsid w:val="00710ADF"/>
    <w:rsid w:val="0071131F"/>
    <w:rsid w:val="0071142C"/>
    <w:rsid w:val="00711740"/>
    <w:rsid w:val="00711B73"/>
    <w:rsid w:val="00711BF1"/>
    <w:rsid w:val="00712F0E"/>
    <w:rsid w:val="007154F6"/>
    <w:rsid w:val="00715A92"/>
    <w:rsid w:val="00720FFB"/>
    <w:rsid w:val="00721966"/>
    <w:rsid w:val="0072301F"/>
    <w:rsid w:val="00723457"/>
    <w:rsid w:val="007252A6"/>
    <w:rsid w:val="00725A14"/>
    <w:rsid w:val="007260F2"/>
    <w:rsid w:val="00727E9C"/>
    <w:rsid w:val="00727FE4"/>
    <w:rsid w:val="007302EA"/>
    <w:rsid w:val="00731B79"/>
    <w:rsid w:val="00732152"/>
    <w:rsid w:val="00732378"/>
    <w:rsid w:val="0073269B"/>
    <w:rsid w:val="00733FB0"/>
    <w:rsid w:val="00734223"/>
    <w:rsid w:val="00734E6E"/>
    <w:rsid w:val="00735069"/>
    <w:rsid w:val="0073721C"/>
    <w:rsid w:val="00737FCC"/>
    <w:rsid w:val="00741A29"/>
    <w:rsid w:val="007439F4"/>
    <w:rsid w:val="00744871"/>
    <w:rsid w:val="00746025"/>
    <w:rsid w:val="00750066"/>
    <w:rsid w:val="007502A7"/>
    <w:rsid w:val="00750A26"/>
    <w:rsid w:val="00750B49"/>
    <w:rsid w:val="007524CC"/>
    <w:rsid w:val="0075522B"/>
    <w:rsid w:val="007563EC"/>
    <w:rsid w:val="00756E00"/>
    <w:rsid w:val="00757E34"/>
    <w:rsid w:val="00761046"/>
    <w:rsid w:val="0076236D"/>
    <w:rsid w:val="00763880"/>
    <w:rsid w:val="00765EA7"/>
    <w:rsid w:val="007664CF"/>
    <w:rsid w:val="00767714"/>
    <w:rsid w:val="00770264"/>
    <w:rsid w:val="00774750"/>
    <w:rsid w:val="00777885"/>
    <w:rsid w:val="00780497"/>
    <w:rsid w:val="00780612"/>
    <w:rsid w:val="007813D4"/>
    <w:rsid w:val="00781511"/>
    <w:rsid w:val="00781887"/>
    <w:rsid w:val="007818B4"/>
    <w:rsid w:val="00782ADA"/>
    <w:rsid w:val="0078357B"/>
    <w:rsid w:val="007835A5"/>
    <w:rsid w:val="007856DC"/>
    <w:rsid w:val="007857D2"/>
    <w:rsid w:val="00791F09"/>
    <w:rsid w:val="00792159"/>
    <w:rsid w:val="007939A8"/>
    <w:rsid w:val="00795741"/>
    <w:rsid w:val="00797040"/>
    <w:rsid w:val="00797FEF"/>
    <w:rsid w:val="007A01B5"/>
    <w:rsid w:val="007A04E8"/>
    <w:rsid w:val="007A09CF"/>
    <w:rsid w:val="007A1266"/>
    <w:rsid w:val="007A1F0B"/>
    <w:rsid w:val="007A322B"/>
    <w:rsid w:val="007A3A9B"/>
    <w:rsid w:val="007A425B"/>
    <w:rsid w:val="007A657C"/>
    <w:rsid w:val="007A79E1"/>
    <w:rsid w:val="007B208C"/>
    <w:rsid w:val="007B2400"/>
    <w:rsid w:val="007B3B21"/>
    <w:rsid w:val="007B5553"/>
    <w:rsid w:val="007C1118"/>
    <w:rsid w:val="007C3DAA"/>
    <w:rsid w:val="007C48EE"/>
    <w:rsid w:val="007C58B3"/>
    <w:rsid w:val="007C7AB8"/>
    <w:rsid w:val="007D056A"/>
    <w:rsid w:val="007D0909"/>
    <w:rsid w:val="007D093E"/>
    <w:rsid w:val="007D3B8A"/>
    <w:rsid w:val="007D56E1"/>
    <w:rsid w:val="007D603A"/>
    <w:rsid w:val="007D6B1A"/>
    <w:rsid w:val="007D7253"/>
    <w:rsid w:val="007E04C2"/>
    <w:rsid w:val="007E0617"/>
    <w:rsid w:val="007E0AAC"/>
    <w:rsid w:val="007E2686"/>
    <w:rsid w:val="007E3C32"/>
    <w:rsid w:val="007E5A59"/>
    <w:rsid w:val="007E6516"/>
    <w:rsid w:val="007E6648"/>
    <w:rsid w:val="007E7409"/>
    <w:rsid w:val="007E7512"/>
    <w:rsid w:val="007E7F2F"/>
    <w:rsid w:val="007F019D"/>
    <w:rsid w:val="007F3671"/>
    <w:rsid w:val="007F6311"/>
    <w:rsid w:val="007F728E"/>
    <w:rsid w:val="00800237"/>
    <w:rsid w:val="008002EA"/>
    <w:rsid w:val="00800926"/>
    <w:rsid w:val="00803524"/>
    <w:rsid w:val="00804A37"/>
    <w:rsid w:val="0080670C"/>
    <w:rsid w:val="0080798D"/>
    <w:rsid w:val="00812409"/>
    <w:rsid w:val="0081244E"/>
    <w:rsid w:val="00812853"/>
    <w:rsid w:val="00812A22"/>
    <w:rsid w:val="00812E28"/>
    <w:rsid w:val="008137F7"/>
    <w:rsid w:val="00814838"/>
    <w:rsid w:val="008150B2"/>
    <w:rsid w:val="00820313"/>
    <w:rsid w:val="008208DA"/>
    <w:rsid w:val="008243EF"/>
    <w:rsid w:val="00824445"/>
    <w:rsid w:val="0082539C"/>
    <w:rsid w:val="00825CB2"/>
    <w:rsid w:val="008268B7"/>
    <w:rsid w:val="00826FC1"/>
    <w:rsid w:val="0083209C"/>
    <w:rsid w:val="008334F2"/>
    <w:rsid w:val="008342CD"/>
    <w:rsid w:val="00834E49"/>
    <w:rsid w:val="008356F6"/>
    <w:rsid w:val="00835E91"/>
    <w:rsid w:val="008373C9"/>
    <w:rsid w:val="00840A62"/>
    <w:rsid w:val="008418E1"/>
    <w:rsid w:val="0084226F"/>
    <w:rsid w:val="00843952"/>
    <w:rsid w:val="0084437B"/>
    <w:rsid w:val="00845401"/>
    <w:rsid w:val="00845644"/>
    <w:rsid w:val="00850012"/>
    <w:rsid w:val="0085197C"/>
    <w:rsid w:val="00851D73"/>
    <w:rsid w:val="008530D8"/>
    <w:rsid w:val="008532D7"/>
    <w:rsid w:val="008536AD"/>
    <w:rsid w:val="0085409D"/>
    <w:rsid w:val="00854241"/>
    <w:rsid w:val="008545C2"/>
    <w:rsid w:val="00854E86"/>
    <w:rsid w:val="00855267"/>
    <w:rsid w:val="0085569D"/>
    <w:rsid w:val="00856C03"/>
    <w:rsid w:val="00856DC1"/>
    <w:rsid w:val="008575A1"/>
    <w:rsid w:val="00857D2F"/>
    <w:rsid w:val="0086094A"/>
    <w:rsid w:val="00861559"/>
    <w:rsid w:val="008620F0"/>
    <w:rsid w:val="0086239F"/>
    <w:rsid w:val="00862DC5"/>
    <w:rsid w:val="00863F1B"/>
    <w:rsid w:val="00864D9B"/>
    <w:rsid w:val="00867836"/>
    <w:rsid w:val="00873A73"/>
    <w:rsid w:val="00873BEA"/>
    <w:rsid w:val="008741BE"/>
    <w:rsid w:val="008742F1"/>
    <w:rsid w:val="00880BDF"/>
    <w:rsid w:val="00881B6E"/>
    <w:rsid w:val="00890472"/>
    <w:rsid w:val="00892659"/>
    <w:rsid w:val="0089278F"/>
    <w:rsid w:val="00895EE2"/>
    <w:rsid w:val="00895EE6"/>
    <w:rsid w:val="00896A23"/>
    <w:rsid w:val="008A09CF"/>
    <w:rsid w:val="008A0CB5"/>
    <w:rsid w:val="008A0CF7"/>
    <w:rsid w:val="008A2532"/>
    <w:rsid w:val="008A266B"/>
    <w:rsid w:val="008A2784"/>
    <w:rsid w:val="008A364A"/>
    <w:rsid w:val="008A3D9D"/>
    <w:rsid w:val="008A3DF1"/>
    <w:rsid w:val="008A5066"/>
    <w:rsid w:val="008A66CB"/>
    <w:rsid w:val="008A7A19"/>
    <w:rsid w:val="008B13D3"/>
    <w:rsid w:val="008B25A7"/>
    <w:rsid w:val="008B67C6"/>
    <w:rsid w:val="008B6A55"/>
    <w:rsid w:val="008B6E72"/>
    <w:rsid w:val="008C1A32"/>
    <w:rsid w:val="008C26C6"/>
    <w:rsid w:val="008C32BD"/>
    <w:rsid w:val="008C52DB"/>
    <w:rsid w:val="008C5B28"/>
    <w:rsid w:val="008C5F39"/>
    <w:rsid w:val="008D0E08"/>
    <w:rsid w:val="008D118F"/>
    <w:rsid w:val="008D4B9A"/>
    <w:rsid w:val="008D5883"/>
    <w:rsid w:val="008D642E"/>
    <w:rsid w:val="008E01E7"/>
    <w:rsid w:val="008E32A6"/>
    <w:rsid w:val="008E582D"/>
    <w:rsid w:val="008E7D86"/>
    <w:rsid w:val="008F015D"/>
    <w:rsid w:val="008F0D09"/>
    <w:rsid w:val="008F34FC"/>
    <w:rsid w:val="008F483B"/>
    <w:rsid w:val="008F7AB7"/>
    <w:rsid w:val="009002D1"/>
    <w:rsid w:val="009009DE"/>
    <w:rsid w:val="00900CBB"/>
    <w:rsid w:val="00901D91"/>
    <w:rsid w:val="00903870"/>
    <w:rsid w:val="00904145"/>
    <w:rsid w:val="00904D6A"/>
    <w:rsid w:val="00910187"/>
    <w:rsid w:val="00912470"/>
    <w:rsid w:val="009125C4"/>
    <w:rsid w:val="009131A9"/>
    <w:rsid w:val="00913260"/>
    <w:rsid w:val="009135F3"/>
    <w:rsid w:val="00913888"/>
    <w:rsid w:val="00913B6E"/>
    <w:rsid w:val="0091792E"/>
    <w:rsid w:val="00920EF7"/>
    <w:rsid w:val="00920F64"/>
    <w:rsid w:val="009213FE"/>
    <w:rsid w:val="00925C05"/>
    <w:rsid w:val="00926652"/>
    <w:rsid w:val="00930C11"/>
    <w:rsid w:val="00932AC2"/>
    <w:rsid w:val="00932E86"/>
    <w:rsid w:val="00933CE6"/>
    <w:rsid w:val="00934FE8"/>
    <w:rsid w:val="00936E66"/>
    <w:rsid w:val="00937426"/>
    <w:rsid w:val="00940528"/>
    <w:rsid w:val="00940D77"/>
    <w:rsid w:val="0094133C"/>
    <w:rsid w:val="009416E7"/>
    <w:rsid w:val="009421BB"/>
    <w:rsid w:val="00943FCB"/>
    <w:rsid w:val="009454D6"/>
    <w:rsid w:val="0094661C"/>
    <w:rsid w:val="00947E89"/>
    <w:rsid w:val="00950403"/>
    <w:rsid w:val="00950672"/>
    <w:rsid w:val="009508BD"/>
    <w:rsid w:val="00950EF5"/>
    <w:rsid w:val="0095111C"/>
    <w:rsid w:val="0095354A"/>
    <w:rsid w:val="00953954"/>
    <w:rsid w:val="00954745"/>
    <w:rsid w:val="009552F8"/>
    <w:rsid w:val="00956C27"/>
    <w:rsid w:val="00956C85"/>
    <w:rsid w:val="00957210"/>
    <w:rsid w:val="009577BE"/>
    <w:rsid w:val="009607C6"/>
    <w:rsid w:val="00961701"/>
    <w:rsid w:val="009619C3"/>
    <w:rsid w:val="00963170"/>
    <w:rsid w:val="00963CBB"/>
    <w:rsid w:val="00963F31"/>
    <w:rsid w:val="00965051"/>
    <w:rsid w:val="00966602"/>
    <w:rsid w:val="00966DA5"/>
    <w:rsid w:val="00967040"/>
    <w:rsid w:val="009724CB"/>
    <w:rsid w:val="00973AC4"/>
    <w:rsid w:val="00974C84"/>
    <w:rsid w:val="00974F0C"/>
    <w:rsid w:val="00976A71"/>
    <w:rsid w:val="009775AA"/>
    <w:rsid w:val="009804F8"/>
    <w:rsid w:val="009813ED"/>
    <w:rsid w:val="0098258F"/>
    <w:rsid w:val="00983858"/>
    <w:rsid w:val="009863F8"/>
    <w:rsid w:val="00986593"/>
    <w:rsid w:val="00987000"/>
    <w:rsid w:val="00987A2A"/>
    <w:rsid w:val="00987A5F"/>
    <w:rsid w:val="00987A81"/>
    <w:rsid w:val="00990C14"/>
    <w:rsid w:val="00992EA8"/>
    <w:rsid w:val="00993F23"/>
    <w:rsid w:val="0099474A"/>
    <w:rsid w:val="00997FB4"/>
    <w:rsid w:val="009A1BB2"/>
    <w:rsid w:val="009A1DAE"/>
    <w:rsid w:val="009A316E"/>
    <w:rsid w:val="009A347D"/>
    <w:rsid w:val="009A355A"/>
    <w:rsid w:val="009A5977"/>
    <w:rsid w:val="009A68D2"/>
    <w:rsid w:val="009A6CEC"/>
    <w:rsid w:val="009A7B0A"/>
    <w:rsid w:val="009B1025"/>
    <w:rsid w:val="009B107F"/>
    <w:rsid w:val="009B2241"/>
    <w:rsid w:val="009B27E1"/>
    <w:rsid w:val="009B3428"/>
    <w:rsid w:val="009B3E70"/>
    <w:rsid w:val="009B405C"/>
    <w:rsid w:val="009B422D"/>
    <w:rsid w:val="009B776E"/>
    <w:rsid w:val="009C1875"/>
    <w:rsid w:val="009C1883"/>
    <w:rsid w:val="009C243A"/>
    <w:rsid w:val="009C3F81"/>
    <w:rsid w:val="009C50FA"/>
    <w:rsid w:val="009C71AF"/>
    <w:rsid w:val="009D1B37"/>
    <w:rsid w:val="009D21C7"/>
    <w:rsid w:val="009D2AA9"/>
    <w:rsid w:val="009D2BA0"/>
    <w:rsid w:val="009D39D3"/>
    <w:rsid w:val="009D3BC3"/>
    <w:rsid w:val="009D49D3"/>
    <w:rsid w:val="009D546A"/>
    <w:rsid w:val="009D5B08"/>
    <w:rsid w:val="009D6D84"/>
    <w:rsid w:val="009E2417"/>
    <w:rsid w:val="009E2E4E"/>
    <w:rsid w:val="009E42F3"/>
    <w:rsid w:val="009E4E1C"/>
    <w:rsid w:val="009E5550"/>
    <w:rsid w:val="009F04CD"/>
    <w:rsid w:val="009F0D4E"/>
    <w:rsid w:val="009F2EB1"/>
    <w:rsid w:val="009F351E"/>
    <w:rsid w:val="009F376B"/>
    <w:rsid w:val="009F3A13"/>
    <w:rsid w:val="009F3E37"/>
    <w:rsid w:val="009F5BBE"/>
    <w:rsid w:val="009F5D5F"/>
    <w:rsid w:val="009F69CC"/>
    <w:rsid w:val="009F6C40"/>
    <w:rsid w:val="009F74D0"/>
    <w:rsid w:val="00A00372"/>
    <w:rsid w:val="00A01A04"/>
    <w:rsid w:val="00A052DB"/>
    <w:rsid w:val="00A06332"/>
    <w:rsid w:val="00A074EB"/>
    <w:rsid w:val="00A100A9"/>
    <w:rsid w:val="00A100BC"/>
    <w:rsid w:val="00A1027F"/>
    <w:rsid w:val="00A11B88"/>
    <w:rsid w:val="00A126E2"/>
    <w:rsid w:val="00A12D9D"/>
    <w:rsid w:val="00A12E41"/>
    <w:rsid w:val="00A13F8C"/>
    <w:rsid w:val="00A145CD"/>
    <w:rsid w:val="00A14A52"/>
    <w:rsid w:val="00A14AC6"/>
    <w:rsid w:val="00A1713C"/>
    <w:rsid w:val="00A179B1"/>
    <w:rsid w:val="00A20209"/>
    <w:rsid w:val="00A205A1"/>
    <w:rsid w:val="00A2074F"/>
    <w:rsid w:val="00A21754"/>
    <w:rsid w:val="00A21C30"/>
    <w:rsid w:val="00A22AD8"/>
    <w:rsid w:val="00A231EB"/>
    <w:rsid w:val="00A2412D"/>
    <w:rsid w:val="00A245A5"/>
    <w:rsid w:val="00A258DC"/>
    <w:rsid w:val="00A265FC"/>
    <w:rsid w:val="00A2693D"/>
    <w:rsid w:val="00A26D98"/>
    <w:rsid w:val="00A26FF0"/>
    <w:rsid w:val="00A27F7F"/>
    <w:rsid w:val="00A30DDF"/>
    <w:rsid w:val="00A30F16"/>
    <w:rsid w:val="00A33219"/>
    <w:rsid w:val="00A33781"/>
    <w:rsid w:val="00A33C87"/>
    <w:rsid w:val="00A33CCB"/>
    <w:rsid w:val="00A34A48"/>
    <w:rsid w:val="00A35D0A"/>
    <w:rsid w:val="00A36F58"/>
    <w:rsid w:val="00A37BB0"/>
    <w:rsid w:val="00A4094C"/>
    <w:rsid w:val="00A411BF"/>
    <w:rsid w:val="00A43AD7"/>
    <w:rsid w:val="00A44FA2"/>
    <w:rsid w:val="00A45585"/>
    <w:rsid w:val="00A46035"/>
    <w:rsid w:val="00A4729C"/>
    <w:rsid w:val="00A501AF"/>
    <w:rsid w:val="00A50892"/>
    <w:rsid w:val="00A515A6"/>
    <w:rsid w:val="00A5186D"/>
    <w:rsid w:val="00A5216A"/>
    <w:rsid w:val="00A522F7"/>
    <w:rsid w:val="00A52FB5"/>
    <w:rsid w:val="00A533E4"/>
    <w:rsid w:val="00A553C3"/>
    <w:rsid w:val="00A56AAB"/>
    <w:rsid w:val="00A604FF"/>
    <w:rsid w:val="00A615AB"/>
    <w:rsid w:val="00A64AA3"/>
    <w:rsid w:val="00A652B8"/>
    <w:rsid w:val="00A67684"/>
    <w:rsid w:val="00A7154B"/>
    <w:rsid w:val="00A72B7B"/>
    <w:rsid w:val="00A73E55"/>
    <w:rsid w:val="00A74F03"/>
    <w:rsid w:val="00A756EA"/>
    <w:rsid w:val="00A75E04"/>
    <w:rsid w:val="00A762CF"/>
    <w:rsid w:val="00A769FD"/>
    <w:rsid w:val="00A80F93"/>
    <w:rsid w:val="00A84A1F"/>
    <w:rsid w:val="00A84FD9"/>
    <w:rsid w:val="00A850EA"/>
    <w:rsid w:val="00A86CAF"/>
    <w:rsid w:val="00A87309"/>
    <w:rsid w:val="00A9016B"/>
    <w:rsid w:val="00A92550"/>
    <w:rsid w:val="00A9362E"/>
    <w:rsid w:val="00A94CA5"/>
    <w:rsid w:val="00A951E8"/>
    <w:rsid w:val="00A965A3"/>
    <w:rsid w:val="00A9776F"/>
    <w:rsid w:val="00AA0672"/>
    <w:rsid w:val="00AA0E3B"/>
    <w:rsid w:val="00AA1147"/>
    <w:rsid w:val="00AA2098"/>
    <w:rsid w:val="00AA2332"/>
    <w:rsid w:val="00AA3083"/>
    <w:rsid w:val="00AA7CDF"/>
    <w:rsid w:val="00AB006F"/>
    <w:rsid w:val="00AB15F2"/>
    <w:rsid w:val="00AB4903"/>
    <w:rsid w:val="00AB50EC"/>
    <w:rsid w:val="00AB63C8"/>
    <w:rsid w:val="00AB65C9"/>
    <w:rsid w:val="00AC00B5"/>
    <w:rsid w:val="00AC0B87"/>
    <w:rsid w:val="00AC2B1B"/>
    <w:rsid w:val="00AC2DF5"/>
    <w:rsid w:val="00AC5986"/>
    <w:rsid w:val="00AC5E77"/>
    <w:rsid w:val="00AC5FC8"/>
    <w:rsid w:val="00AC6644"/>
    <w:rsid w:val="00AC67A8"/>
    <w:rsid w:val="00AD14AA"/>
    <w:rsid w:val="00AD1EEA"/>
    <w:rsid w:val="00AD1FAF"/>
    <w:rsid w:val="00AD3A82"/>
    <w:rsid w:val="00AD45E6"/>
    <w:rsid w:val="00AD7BC9"/>
    <w:rsid w:val="00AD7D32"/>
    <w:rsid w:val="00AE1C63"/>
    <w:rsid w:val="00AE1ECA"/>
    <w:rsid w:val="00AE2737"/>
    <w:rsid w:val="00AE27DA"/>
    <w:rsid w:val="00AE3644"/>
    <w:rsid w:val="00AE4F34"/>
    <w:rsid w:val="00AE50D5"/>
    <w:rsid w:val="00AE53AE"/>
    <w:rsid w:val="00AE59E5"/>
    <w:rsid w:val="00AE6209"/>
    <w:rsid w:val="00AE638C"/>
    <w:rsid w:val="00AE7407"/>
    <w:rsid w:val="00AE7DD9"/>
    <w:rsid w:val="00AF1A63"/>
    <w:rsid w:val="00AF3EE5"/>
    <w:rsid w:val="00AF4032"/>
    <w:rsid w:val="00AF7448"/>
    <w:rsid w:val="00B004DF"/>
    <w:rsid w:val="00B01094"/>
    <w:rsid w:val="00B01E56"/>
    <w:rsid w:val="00B0413F"/>
    <w:rsid w:val="00B04DB9"/>
    <w:rsid w:val="00B0560F"/>
    <w:rsid w:val="00B06422"/>
    <w:rsid w:val="00B070A7"/>
    <w:rsid w:val="00B13B65"/>
    <w:rsid w:val="00B140F9"/>
    <w:rsid w:val="00B14CB5"/>
    <w:rsid w:val="00B215E2"/>
    <w:rsid w:val="00B2292A"/>
    <w:rsid w:val="00B22FA4"/>
    <w:rsid w:val="00B22FF3"/>
    <w:rsid w:val="00B24626"/>
    <w:rsid w:val="00B247B4"/>
    <w:rsid w:val="00B2555E"/>
    <w:rsid w:val="00B342B6"/>
    <w:rsid w:val="00B34A4D"/>
    <w:rsid w:val="00B3535B"/>
    <w:rsid w:val="00B354DF"/>
    <w:rsid w:val="00B358F4"/>
    <w:rsid w:val="00B3628E"/>
    <w:rsid w:val="00B36A57"/>
    <w:rsid w:val="00B376EB"/>
    <w:rsid w:val="00B37735"/>
    <w:rsid w:val="00B37989"/>
    <w:rsid w:val="00B40793"/>
    <w:rsid w:val="00B41E81"/>
    <w:rsid w:val="00B43B9D"/>
    <w:rsid w:val="00B45D1E"/>
    <w:rsid w:val="00B51CCD"/>
    <w:rsid w:val="00B52EFD"/>
    <w:rsid w:val="00B54269"/>
    <w:rsid w:val="00B6253B"/>
    <w:rsid w:val="00B6361D"/>
    <w:rsid w:val="00B66820"/>
    <w:rsid w:val="00B6788C"/>
    <w:rsid w:val="00B700A8"/>
    <w:rsid w:val="00B727BB"/>
    <w:rsid w:val="00B7359B"/>
    <w:rsid w:val="00B74694"/>
    <w:rsid w:val="00B7485D"/>
    <w:rsid w:val="00B755AC"/>
    <w:rsid w:val="00B759AF"/>
    <w:rsid w:val="00B76821"/>
    <w:rsid w:val="00B82DB0"/>
    <w:rsid w:val="00B8316C"/>
    <w:rsid w:val="00B838A4"/>
    <w:rsid w:val="00B85DA0"/>
    <w:rsid w:val="00B86667"/>
    <w:rsid w:val="00B87689"/>
    <w:rsid w:val="00B87B41"/>
    <w:rsid w:val="00B87BCB"/>
    <w:rsid w:val="00B9040C"/>
    <w:rsid w:val="00B905B9"/>
    <w:rsid w:val="00B90B3E"/>
    <w:rsid w:val="00B90F17"/>
    <w:rsid w:val="00B9320D"/>
    <w:rsid w:val="00B936E1"/>
    <w:rsid w:val="00B93761"/>
    <w:rsid w:val="00B938A6"/>
    <w:rsid w:val="00B93948"/>
    <w:rsid w:val="00B94518"/>
    <w:rsid w:val="00B9495E"/>
    <w:rsid w:val="00B95117"/>
    <w:rsid w:val="00B951A0"/>
    <w:rsid w:val="00B9547C"/>
    <w:rsid w:val="00B970C8"/>
    <w:rsid w:val="00BA0AF0"/>
    <w:rsid w:val="00BA2FF4"/>
    <w:rsid w:val="00BA349C"/>
    <w:rsid w:val="00BA4326"/>
    <w:rsid w:val="00BA6724"/>
    <w:rsid w:val="00BA7DB7"/>
    <w:rsid w:val="00BB08B4"/>
    <w:rsid w:val="00BB0FAD"/>
    <w:rsid w:val="00BB13BA"/>
    <w:rsid w:val="00BB17AC"/>
    <w:rsid w:val="00BB1DAA"/>
    <w:rsid w:val="00BB2EBB"/>
    <w:rsid w:val="00BB3E3A"/>
    <w:rsid w:val="00BB414D"/>
    <w:rsid w:val="00BB547B"/>
    <w:rsid w:val="00BB562C"/>
    <w:rsid w:val="00BB5993"/>
    <w:rsid w:val="00BB6C59"/>
    <w:rsid w:val="00BB7C95"/>
    <w:rsid w:val="00BC1EF9"/>
    <w:rsid w:val="00BC257D"/>
    <w:rsid w:val="00BC2EEC"/>
    <w:rsid w:val="00BC30F7"/>
    <w:rsid w:val="00BC5E04"/>
    <w:rsid w:val="00BC69A0"/>
    <w:rsid w:val="00BC6CF7"/>
    <w:rsid w:val="00BD072E"/>
    <w:rsid w:val="00BD1697"/>
    <w:rsid w:val="00BD1C24"/>
    <w:rsid w:val="00BD23AC"/>
    <w:rsid w:val="00BD3314"/>
    <w:rsid w:val="00BD55BA"/>
    <w:rsid w:val="00BD77C9"/>
    <w:rsid w:val="00BD782E"/>
    <w:rsid w:val="00BD789C"/>
    <w:rsid w:val="00BD7D7B"/>
    <w:rsid w:val="00BE095C"/>
    <w:rsid w:val="00BE1D26"/>
    <w:rsid w:val="00BE1F3F"/>
    <w:rsid w:val="00BE229B"/>
    <w:rsid w:val="00BE23B3"/>
    <w:rsid w:val="00BE3312"/>
    <w:rsid w:val="00BE3CC1"/>
    <w:rsid w:val="00BE451A"/>
    <w:rsid w:val="00BE4BC7"/>
    <w:rsid w:val="00BE5C30"/>
    <w:rsid w:val="00BE757F"/>
    <w:rsid w:val="00BE7591"/>
    <w:rsid w:val="00BE78E2"/>
    <w:rsid w:val="00BE7F75"/>
    <w:rsid w:val="00BF0F4A"/>
    <w:rsid w:val="00BF1277"/>
    <w:rsid w:val="00BF29D9"/>
    <w:rsid w:val="00BF45F1"/>
    <w:rsid w:val="00BF53FD"/>
    <w:rsid w:val="00BF5597"/>
    <w:rsid w:val="00BF689E"/>
    <w:rsid w:val="00BF69D2"/>
    <w:rsid w:val="00C00A7A"/>
    <w:rsid w:val="00C00BBE"/>
    <w:rsid w:val="00C00D45"/>
    <w:rsid w:val="00C0124D"/>
    <w:rsid w:val="00C03A6D"/>
    <w:rsid w:val="00C03EB4"/>
    <w:rsid w:val="00C04946"/>
    <w:rsid w:val="00C04BC4"/>
    <w:rsid w:val="00C0523F"/>
    <w:rsid w:val="00C055EE"/>
    <w:rsid w:val="00C0730D"/>
    <w:rsid w:val="00C1176B"/>
    <w:rsid w:val="00C12376"/>
    <w:rsid w:val="00C12447"/>
    <w:rsid w:val="00C12589"/>
    <w:rsid w:val="00C1282A"/>
    <w:rsid w:val="00C13400"/>
    <w:rsid w:val="00C14067"/>
    <w:rsid w:val="00C1422C"/>
    <w:rsid w:val="00C16357"/>
    <w:rsid w:val="00C20290"/>
    <w:rsid w:val="00C206FD"/>
    <w:rsid w:val="00C221F3"/>
    <w:rsid w:val="00C227FB"/>
    <w:rsid w:val="00C241AB"/>
    <w:rsid w:val="00C248D3"/>
    <w:rsid w:val="00C24BF2"/>
    <w:rsid w:val="00C25DB4"/>
    <w:rsid w:val="00C30421"/>
    <w:rsid w:val="00C311AA"/>
    <w:rsid w:val="00C311D1"/>
    <w:rsid w:val="00C3176B"/>
    <w:rsid w:val="00C3322B"/>
    <w:rsid w:val="00C338C2"/>
    <w:rsid w:val="00C34CDB"/>
    <w:rsid w:val="00C35F9B"/>
    <w:rsid w:val="00C36399"/>
    <w:rsid w:val="00C376C6"/>
    <w:rsid w:val="00C40F39"/>
    <w:rsid w:val="00C418BB"/>
    <w:rsid w:val="00C43D87"/>
    <w:rsid w:val="00C44F58"/>
    <w:rsid w:val="00C456E4"/>
    <w:rsid w:val="00C47CCE"/>
    <w:rsid w:val="00C47CD5"/>
    <w:rsid w:val="00C503BE"/>
    <w:rsid w:val="00C50468"/>
    <w:rsid w:val="00C51937"/>
    <w:rsid w:val="00C5287B"/>
    <w:rsid w:val="00C52EB4"/>
    <w:rsid w:val="00C53114"/>
    <w:rsid w:val="00C53D40"/>
    <w:rsid w:val="00C55264"/>
    <w:rsid w:val="00C55D14"/>
    <w:rsid w:val="00C55D30"/>
    <w:rsid w:val="00C55D42"/>
    <w:rsid w:val="00C569DC"/>
    <w:rsid w:val="00C6023D"/>
    <w:rsid w:val="00C6034C"/>
    <w:rsid w:val="00C61353"/>
    <w:rsid w:val="00C62B58"/>
    <w:rsid w:val="00C62C30"/>
    <w:rsid w:val="00C64CC5"/>
    <w:rsid w:val="00C6541F"/>
    <w:rsid w:val="00C70D5C"/>
    <w:rsid w:val="00C7465E"/>
    <w:rsid w:val="00C74857"/>
    <w:rsid w:val="00C74E6D"/>
    <w:rsid w:val="00C75A28"/>
    <w:rsid w:val="00C76C35"/>
    <w:rsid w:val="00C76D9C"/>
    <w:rsid w:val="00C80689"/>
    <w:rsid w:val="00C81245"/>
    <w:rsid w:val="00C81CAF"/>
    <w:rsid w:val="00C81D7C"/>
    <w:rsid w:val="00C82CDE"/>
    <w:rsid w:val="00C871EF"/>
    <w:rsid w:val="00C87429"/>
    <w:rsid w:val="00C87AED"/>
    <w:rsid w:val="00C91FE2"/>
    <w:rsid w:val="00C9245D"/>
    <w:rsid w:val="00C92BBE"/>
    <w:rsid w:val="00C93180"/>
    <w:rsid w:val="00C93215"/>
    <w:rsid w:val="00C93253"/>
    <w:rsid w:val="00C93DA0"/>
    <w:rsid w:val="00C9448D"/>
    <w:rsid w:val="00C94696"/>
    <w:rsid w:val="00C94BD7"/>
    <w:rsid w:val="00C94F74"/>
    <w:rsid w:val="00C953AC"/>
    <w:rsid w:val="00C95AEE"/>
    <w:rsid w:val="00CA149C"/>
    <w:rsid w:val="00CA1DEE"/>
    <w:rsid w:val="00CA246E"/>
    <w:rsid w:val="00CA25D5"/>
    <w:rsid w:val="00CA3A63"/>
    <w:rsid w:val="00CA401D"/>
    <w:rsid w:val="00CA47C4"/>
    <w:rsid w:val="00CA6BCD"/>
    <w:rsid w:val="00CA6D1F"/>
    <w:rsid w:val="00CA7683"/>
    <w:rsid w:val="00CA7957"/>
    <w:rsid w:val="00CA7DB4"/>
    <w:rsid w:val="00CB0964"/>
    <w:rsid w:val="00CB0CAF"/>
    <w:rsid w:val="00CB1B53"/>
    <w:rsid w:val="00CB1FBC"/>
    <w:rsid w:val="00CB219F"/>
    <w:rsid w:val="00CB242C"/>
    <w:rsid w:val="00CB4BF3"/>
    <w:rsid w:val="00CB517E"/>
    <w:rsid w:val="00CB59CF"/>
    <w:rsid w:val="00CB5E29"/>
    <w:rsid w:val="00CB7288"/>
    <w:rsid w:val="00CB76A6"/>
    <w:rsid w:val="00CB7C16"/>
    <w:rsid w:val="00CC1D34"/>
    <w:rsid w:val="00CC37AB"/>
    <w:rsid w:val="00CC64DD"/>
    <w:rsid w:val="00CC7EBF"/>
    <w:rsid w:val="00CD04B8"/>
    <w:rsid w:val="00CD1E9E"/>
    <w:rsid w:val="00CD201C"/>
    <w:rsid w:val="00CD2FCD"/>
    <w:rsid w:val="00CD31DB"/>
    <w:rsid w:val="00CD321E"/>
    <w:rsid w:val="00CD47EB"/>
    <w:rsid w:val="00CE0A54"/>
    <w:rsid w:val="00CE2F9E"/>
    <w:rsid w:val="00CE438B"/>
    <w:rsid w:val="00CE4CF7"/>
    <w:rsid w:val="00CE6272"/>
    <w:rsid w:val="00CE62CE"/>
    <w:rsid w:val="00CE6333"/>
    <w:rsid w:val="00CE679D"/>
    <w:rsid w:val="00CE6ADE"/>
    <w:rsid w:val="00CE7564"/>
    <w:rsid w:val="00CF2E8E"/>
    <w:rsid w:val="00CF2ED6"/>
    <w:rsid w:val="00CF3521"/>
    <w:rsid w:val="00CF4370"/>
    <w:rsid w:val="00CF4A41"/>
    <w:rsid w:val="00CF4E2B"/>
    <w:rsid w:val="00CF5144"/>
    <w:rsid w:val="00CF5320"/>
    <w:rsid w:val="00CF635B"/>
    <w:rsid w:val="00D00E92"/>
    <w:rsid w:val="00D01C12"/>
    <w:rsid w:val="00D03FB2"/>
    <w:rsid w:val="00D05865"/>
    <w:rsid w:val="00D05EAA"/>
    <w:rsid w:val="00D06FB1"/>
    <w:rsid w:val="00D10FA2"/>
    <w:rsid w:val="00D14532"/>
    <w:rsid w:val="00D15825"/>
    <w:rsid w:val="00D16275"/>
    <w:rsid w:val="00D17007"/>
    <w:rsid w:val="00D17232"/>
    <w:rsid w:val="00D17E3A"/>
    <w:rsid w:val="00D20823"/>
    <w:rsid w:val="00D2086E"/>
    <w:rsid w:val="00D21486"/>
    <w:rsid w:val="00D21A4B"/>
    <w:rsid w:val="00D21D18"/>
    <w:rsid w:val="00D21DC9"/>
    <w:rsid w:val="00D21F25"/>
    <w:rsid w:val="00D23336"/>
    <w:rsid w:val="00D25192"/>
    <w:rsid w:val="00D26444"/>
    <w:rsid w:val="00D269DB"/>
    <w:rsid w:val="00D26AD9"/>
    <w:rsid w:val="00D300B1"/>
    <w:rsid w:val="00D3073F"/>
    <w:rsid w:val="00D31F3F"/>
    <w:rsid w:val="00D32628"/>
    <w:rsid w:val="00D3269C"/>
    <w:rsid w:val="00D327FB"/>
    <w:rsid w:val="00D32E6C"/>
    <w:rsid w:val="00D33780"/>
    <w:rsid w:val="00D341B4"/>
    <w:rsid w:val="00D34618"/>
    <w:rsid w:val="00D34A64"/>
    <w:rsid w:val="00D3512A"/>
    <w:rsid w:val="00D40CED"/>
    <w:rsid w:val="00D41708"/>
    <w:rsid w:val="00D41978"/>
    <w:rsid w:val="00D426D0"/>
    <w:rsid w:val="00D429DB"/>
    <w:rsid w:val="00D464CF"/>
    <w:rsid w:val="00D510ED"/>
    <w:rsid w:val="00D5186E"/>
    <w:rsid w:val="00D52C97"/>
    <w:rsid w:val="00D531A6"/>
    <w:rsid w:val="00D544BA"/>
    <w:rsid w:val="00D54C87"/>
    <w:rsid w:val="00D54FB2"/>
    <w:rsid w:val="00D56CCA"/>
    <w:rsid w:val="00D6059D"/>
    <w:rsid w:val="00D60931"/>
    <w:rsid w:val="00D62DCD"/>
    <w:rsid w:val="00D63418"/>
    <w:rsid w:val="00D64217"/>
    <w:rsid w:val="00D64885"/>
    <w:rsid w:val="00D64AAF"/>
    <w:rsid w:val="00D650E8"/>
    <w:rsid w:val="00D65F59"/>
    <w:rsid w:val="00D668DC"/>
    <w:rsid w:val="00D67713"/>
    <w:rsid w:val="00D714BA"/>
    <w:rsid w:val="00D72D98"/>
    <w:rsid w:val="00D739E6"/>
    <w:rsid w:val="00D74C53"/>
    <w:rsid w:val="00D7507E"/>
    <w:rsid w:val="00D75963"/>
    <w:rsid w:val="00D77173"/>
    <w:rsid w:val="00D77831"/>
    <w:rsid w:val="00D81103"/>
    <w:rsid w:val="00D825D4"/>
    <w:rsid w:val="00D83BA3"/>
    <w:rsid w:val="00D87A67"/>
    <w:rsid w:val="00D909A4"/>
    <w:rsid w:val="00D910DB"/>
    <w:rsid w:val="00D913DA"/>
    <w:rsid w:val="00D9198B"/>
    <w:rsid w:val="00D92D91"/>
    <w:rsid w:val="00D97E81"/>
    <w:rsid w:val="00DA0C07"/>
    <w:rsid w:val="00DA1309"/>
    <w:rsid w:val="00DA1328"/>
    <w:rsid w:val="00DA1B35"/>
    <w:rsid w:val="00DA2774"/>
    <w:rsid w:val="00DA3254"/>
    <w:rsid w:val="00DA34BB"/>
    <w:rsid w:val="00DA35EA"/>
    <w:rsid w:val="00DA3F1E"/>
    <w:rsid w:val="00DA4B43"/>
    <w:rsid w:val="00DA578C"/>
    <w:rsid w:val="00DA6B9C"/>
    <w:rsid w:val="00DA7170"/>
    <w:rsid w:val="00DA79C9"/>
    <w:rsid w:val="00DB4C27"/>
    <w:rsid w:val="00DB5D9A"/>
    <w:rsid w:val="00DC0520"/>
    <w:rsid w:val="00DC07E2"/>
    <w:rsid w:val="00DC0CDF"/>
    <w:rsid w:val="00DC0FD7"/>
    <w:rsid w:val="00DC116A"/>
    <w:rsid w:val="00DC24CE"/>
    <w:rsid w:val="00DC269D"/>
    <w:rsid w:val="00DC2CE5"/>
    <w:rsid w:val="00DC31AF"/>
    <w:rsid w:val="00DC3965"/>
    <w:rsid w:val="00DC6460"/>
    <w:rsid w:val="00DC7FDD"/>
    <w:rsid w:val="00DD301D"/>
    <w:rsid w:val="00DD3073"/>
    <w:rsid w:val="00DD571E"/>
    <w:rsid w:val="00DE0290"/>
    <w:rsid w:val="00DE1A49"/>
    <w:rsid w:val="00DE1B7D"/>
    <w:rsid w:val="00DE1C15"/>
    <w:rsid w:val="00DE3F36"/>
    <w:rsid w:val="00DE6900"/>
    <w:rsid w:val="00DE6FAB"/>
    <w:rsid w:val="00DE77D5"/>
    <w:rsid w:val="00DF063A"/>
    <w:rsid w:val="00DF1CA8"/>
    <w:rsid w:val="00DF31F9"/>
    <w:rsid w:val="00DF3244"/>
    <w:rsid w:val="00DF4EF6"/>
    <w:rsid w:val="00DF5536"/>
    <w:rsid w:val="00DF657B"/>
    <w:rsid w:val="00DF736B"/>
    <w:rsid w:val="00DF7B84"/>
    <w:rsid w:val="00DF7BD9"/>
    <w:rsid w:val="00DF7DAE"/>
    <w:rsid w:val="00E001CD"/>
    <w:rsid w:val="00E0084D"/>
    <w:rsid w:val="00E011C4"/>
    <w:rsid w:val="00E02FDD"/>
    <w:rsid w:val="00E0583C"/>
    <w:rsid w:val="00E07423"/>
    <w:rsid w:val="00E10461"/>
    <w:rsid w:val="00E108B1"/>
    <w:rsid w:val="00E116D8"/>
    <w:rsid w:val="00E1191F"/>
    <w:rsid w:val="00E122F3"/>
    <w:rsid w:val="00E131E7"/>
    <w:rsid w:val="00E13491"/>
    <w:rsid w:val="00E1352D"/>
    <w:rsid w:val="00E140AD"/>
    <w:rsid w:val="00E14206"/>
    <w:rsid w:val="00E16954"/>
    <w:rsid w:val="00E219E6"/>
    <w:rsid w:val="00E21EC8"/>
    <w:rsid w:val="00E2407B"/>
    <w:rsid w:val="00E272CF"/>
    <w:rsid w:val="00E30A47"/>
    <w:rsid w:val="00E3130A"/>
    <w:rsid w:val="00E3175F"/>
    <w:rsid w:val="00E318F7"/>
    <w:rsid w:val="00E34871"/>
    <w:rsid w:val="00E40818"/>
    <w:rsid w:val="00E41519"/>
    <w:rsid w:val="00E41AAA"/>
    <w:rsid w:val="00E43048"/>
    <w:rsid w:val="00E43CFB"/>
    <w:rsid w:val="00E44818"/>
    <w:rsid w:val="00E452B9"/>
    <w:rsid w:val="00E458FD"/>
    <w:rsid w:val="00E469AF"/>
    <w:rsid w:val="00E46D6F"/>
    <w:rsid w:val="00E47072"/>
    <w:rsid w:val="00E476CB"/>
    <w:rsid w:val="00E50671"/>
    <w:rsid w:val="00E526F2"/>
    <w:rsid w:val="00E534EF"/>
    <w:rsid w:val="00E546F7"/>
    <w:rsid w:val="00E550CB"/>
    <w:rsid w:val="00E55219"/>
    <w:rsid w:val="00E60236"/>
    <w:rsid w:val="00E6093F"/>
    <w:rsid w:val="00E61378"/>
    <w:rsid w:val="00E618B6"/>
    <w:rsid w:val="00E6226C"/>
    <w:rsid w:val="00E63C40"/>
    <w:rsid w:val="00E6431C"/>
    <w:rsid w:val="00E6445E"/>
    <w:rsid w:val="00E65D47"/>
    <w:rsid w:val="00E6652C"/>
    <w:rsid w:val="00E66ECB"/>
    <w:rsid w:val="00E66F2E"/>
    <w:rsid w:val="00E677E1"/>
    <w:rsid w:val="00E67B6F"/>
    <w:rsid w:val="00E710F7"/>
    <w:rsid w:val="00E718C5"/>
    <w:rsid w:val="00E72E23"/>
    <w:rsid w:val="00E7332E"/>
    <w:rsid w:val="00E74A3E"/>
    <w:rsid w:val="00E7507F"/>
    <w:rsid w:val="00E77ECF"/>
    <w:rsid w:val="00E80405"/>
    <w:rsid w:val="00E805FD"/>
    <w:rsid w:val="00E81B08"/>
    <w:rsid w:val="00E82AD2"/>
    <w:rsid w:val="00E84244"/>
    <w:rsid w:val="00E867E6"/>
    <w:rsid w:val="00E87611"/>
    <w:rsid w:val="00E87B34"/>
    <w:rsid w:val="00E87ECE"/>
    <w:rsid w:val="00E90B30"/>
    <w:rsid w:val="00E91C02"/>
    <w:rsid w:val="00E9260E"/>
    <w:rsid w:val="00E92C0A"/>
    <w:rsid w:val="00E934DA"/>
    <w:rsid w:val="00E94CF7"/>
    <w:rsid w:val="00E9515D"/>
    <w:rsid w:val="00EA096A"/>
    <w:rsid w:val="00EA1E43"/>
    <w:rsid w:val="00EA492D"/>
    <w:rsid w:val="00EA5F9C"/>
    <w:rsid w:val="00EA6AF3"/>
    <w:rsid w:val="00EA7FA3"/>
    <w:rsid w:val="00EB00E3"/>
    <w:rsid w:val="00EB2DC3"/>
    <w:rsid w:val="00EB339C"/>
    <w:rsid w:val="00EB3CD1"/>
    <w:rsid w:val="00EB5A1D"/>
    <w:rsid w:val="00EB7108"/>
    <w:rsid w:val="00EB7965"/>
    <w:rsid w:val="00EB7C57"/>
    <w:rsid w:val="00EC1506"/>
    <w:rsid w:val="00EC1659"/>
    <w:rsid w:val="00EC2735"/>
    <w:rsid w:val="00EC3550"/>
    <w:rsid w:val="00EC454D"/>
    <w:rsid w:val="00EC4C03"/>
    <w:rsid w:val="00EC54C3"/>
    <w:rsid w:val="00EC5B45"/>
    <w:rsid w:val="00EC6432"/>
    <w:rsid w:val="00EC70A5"/>
    <w:rsid w:val="00EC7291"/>
    <w:rsid w:val="00ED28FA"/>
    <w:rsid w:val="00ED2E8B"/>
    <w:rsid w:val="00ED3EBF"/>
    <w:rsid w:val="00ED44D6"/>
    <w:rsid w:val="00ED591D"/>
    <w:rsid w:val="00ED603D"/>
    <w:rsid w:val="00ED72DB"/>
    <w:rsid w:val="00ED7468"/>
    <w:rsid w:val="00EE3232"/>
    <w:rsid w:val="00EE389C"/>
    <w:rsid w:val="00EE63CC"/>
    <w:rsid w:val="00EF05BD"/>
    <w:rsid w:val="00EF17EB"/>
    <w:rsid w:val="00EF3C48"/>
    <w:rsid w:val="00EF41D2"/>
    <w:rsid w:val="00EF5B97"/>
    <w:rsid w:val="00EF5EFB"/>
    <w:rsid w:val="00EF7A78"/>
    <w:rsid w:val="00F00625"/>
    <w:rsid w:val="00F0168D"/>
    <w:rsid w:val="00F02090"/>
    <w:rsid w:val="00F0329B"/>
    <w:rsid w:val="00F05C09"/>
    <w:rsid w:val="00F0604D"/>
    <w:rsid w:val="00F0658A"/>
    <w:rsid w:val="00F07A2C"/>
    <w:rsid w:val="00F07D00"/>
    <w:rsid w:val="00F101E2"/>
    <w:rsid w:val="00F11015"/>
    <w:rsid w:val="00F112C9"/>
    <w:rsid w:val="00F11ACD"/>
    <w:rsid w:val="00F1355F"/>
    <w:rsid w:val="00F14314"/>
    <w:rsid w:val="00F1448E"/>
    <w:rsid w:val="00F16AF3"/>
    <w:rsid w:val="00F176A1"/>
    <w:rsid w:val="00F20154"/>
    <w:rsid w:val="00F2096A"/>
    <w:rsid w:val="00F20D66"/>
    <w:rsid w:val="00F20E55"/>
    <w:rsid w:val="00F20F8D"/>
    <w:rsid w:val="00F226CD"/>
    <w:rsid w:val="00F2331E"/>
    <w:rsid w:val="00F24EA0"/>
    <w:rsid w:val="00F2747E"/>
    <w:rsid w:val="00F31D41"/>
    <w:rsid w:val="00F31E20"/>
    <w:rsid w:val="00F31EC9"/>
    <w:rsid w:val="00F32D04"/>
    <w:rsid w:val="00F333B1"/>
    <w:rsid w:val="00F345EF"/>
    <w:rsid w:val="00F3572B"/>
    <w:rsid w:val="00F357D2"/>
    <w:rsid w:val="00F35922"/>
    <w:rsid w:val="00F36680"/>
    <w:rsid w:val="00F36FC2"/>
    <w:rsid w:val="00F37D97"/>
    <w:rsid w:val="00F4141B"/>
    <w:rsid w:val="00F41DF4"/>
    <w:rsid w:val="00F42A8E"/>
    <w:rsid w:val="00F4380F"/>
    <w:rsid w:val="00F47302"/>
    <w:rsid w:val="00F50027"/>
    <w:rsid w:val="00F521B4"/>
    <w:rsid w:val="00F523C7"/>
    <w:rsid w:val="00F531A7"/>
    <w:rsid w:val="00F537CD"/>
    <w:rsid w:val="00F53C70"/>
    <w:rsid w:val="00F53E02"/>
    <w:rsid w:val="00F54533"/>
    <w:rsid w:val="00F565AB"/>
    <w:rsid w:val="00F573F8"/>
    <w:rsid w:val="00F60885"/>
    <w:rsid w:val="00F627BA"/>
    <w:rsid w:val="00F62C1E"/>
    <w:rsid w:val="00F63280"/>
    <w:rsid w:val="00F63396"/>
    <w:rsid w:val="00F64FFD"/>
    <w:rsid w:val="00F65413"/>
    <w:rsid w:val="00F658E9"/>
    <w:rsid w:val="00F65C77"/>
    <w:rsid w:val="00F6754C"/>
    <w:rsid w:val="00F70DA6"/>
    <w:rsid w:val="00F71AAF"/>
    <w:rsid w:val="00F72B62"/>
    <w:rsid w:val="00F7305A"/>
    <w:rsid w:val="00F7415A"/>
    <w:rsid w:val="00F74734"/>
    <w:rsid w:val="00F754DE"/>
    <w:rsid w:val="00F75819"/>
    <w:rsid w:val="00F75990"/>
    <w:rsid w:val="00F76695"/>
    <w:rsid w:val="00F767B9"/>
    <w:rsid w:val="00F76865"/>
    <w:rsid w:val="00F76980"/>
    <w:rsid w:val="00F76AE9"/>
    <w:rsid w:val="00F76B8D"/>
    <w:rsid w:val="00F77DB5"/>
    <w:rsid w:val="00F815A8"/>
    <w:rsid w:val="00F81EE8"/>
    <w:rsid w:val="00F82DD7"/>
    <w:rsid w:val="00F82F42"/>
    <w:rsid w:val="00F83D69"/>
    <w:rsid w:val="00F856A6"/>
    <w:rsid w:val="00F85B1B"/>
    <w:rsid w:val="00F85E5E"/>
    <w:rsid w:val="00F85ED9"/>
    <w:rsid w:val="00F86575"/>
    <w:rsid w:val="00F8717C"/>
    <w:rsid w:val="00F87D34"/>
    <w:rsid w:val="00F903B6"/>
    <w:rsid w:val="00F90528"/>
    <w:rsid w:val="00F90642"/>
    <w:rsid w:val="00F90CFB"/>
    <w:rsid w:val="00F94972"/>
    <w:rsid w:val="00FA18F5"/>
    <w:rsid w:val="00FA2E54"/>
    <w:rsid w:val="00FA2EF5"/>
    <w:rsid w:val="00FA3209"/>
    <w:rsid w:val="00FA489F"/>
    <w:rsid w:val="00FA552F"/>
    <w:rsid w:val="00FA5EDB"/>
    <w:rsid w:val="00FA668B"/>
    <w:rsid w:val="00FB0DEE"/>
    <w:rsid w:val="00FB1145"/>
    <w:rsid w:val="00FB59C1"/>
    <w:rsid w:val="00FB792D"/>
    <w:rsid w:val="00FC0245"/>
    <w:rsid w:val="00FC3D92"/>
    <w:rsid w:val="00FC5C2A"/>
    <w:rsid w:val="00FC6219"/>
    <w:rsid w:val="00FC66EB"/>
    <w:rsid w:val="00FC69E6"/>
    <w:rsid w:val="00FC7A10"/>
    <w:rsid w:val="00FC7AD3"/>
    <w:rsid w:val="00FD0058"/>
    <w:rsid w:val="00FD0C5A"/>
    <w:rsid w:val="00FD323F"/>
    <w:rsid w:val="00FD36CF"/>
    <w:rsid w:val="00FD5059"/>
    <w:rsid w:val="00FD5A55"/>
    <w:rsid w:val="00FD5CDC"/>
    <w:rsid w:val="00FD6073"/>
    <w:rsid w:val="00FD61D3"/>
    <w:rsid w:val="00FD7658"/>
    <w:rsid w:val="00FE1A3C"/>
    <w:rsid w:val="00FE395D"/>
    <w:rsid w:val="00FE3DB7"/>
    <w:rsid w:val="00FE44E8"/>
    <w:rsid w:val="00FE4BFE"/>
    <w:rsid w:val="00FE6ACC"/>
    <w:rsid w:val="00FF0553"/>
    <w:rsid w:val="00FF0623"/>
    <w:rsid w:val="00FF1146"/>
    <w:rsid w:val="00FF2C15"/>
    <w:rsid w:val="00FF2D56"/>
    <w:rsid w:val="00FF4743"/>
    <w:rsid w:val="00FF4843"/>
    <w:rsid w:val="00FF4D6C"/>
    <w:rsid w:val="00FF65AC"/>
    <w:rsid w:val="00FF6B47"/>
    <w:rsid w:val="00FF7C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EA5BEE"/>
  <w15:chartTrackingRefBased/>
  <w15:docId w15:val="{E4D11916-5DB0-4A11-BE63-A9A631D9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next w:val="Normal"/>
    <w:link w:val="Heading5Char"/>
    <w:qFormat/>
    <w:rsid w:val="00C35F9B"/>
    <w:pPr>
      <w:spacing w:before="240" w:after="60" w:line="240" w:lineRule="auto"/>
      <w:outlineLvl w:val="4"/>
    </w:pPr>
    <w:rPr>
      <w:rFonts w:ascii="Times New Roman" w:eastAsia="Times New Roman" w:hAnsi="Times New Roman" w:cs="Times New Roman"/>
      <w:b/>
      <w:bCs/>
      <w:i/>
      <w:iCs/>
      <w:noProo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customStyle="1" w:styleId="paragraphChar">
    <w:name w:val="paragraph Char"/>
    <w:aliases w:val="a Char"/>
    <w:basedOn w:val="DefaultParagraphFont"/>
    <w:link w:val="paragraph"/>
    <w:rsid w:val="00910187"/>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DA2774"/>
    <w:rPr>
      <w:color w:val="605E5C"/>
      <w:shd w:val="clear" w:color="auto" w:fill="E1DFDD"/>
    </w:rPr>
  </w:style>
  <w:style w:type="character" w:styleId="FollowedHyperlink">
    <w:name w:val="FollowedHyperlink"/>
    <w:basedOn w:val="DefaultParagraphFont"/>
    <w:uiPriority w:val="99"/>
    <w:semiHidden/>
    <w:unhideWhenUsed/>
    <w:rsid w:val="00E61378"/>
    <w:rPr>
      <w:color w:val="954F72" w:themeColor="followedHyperlink"/>
      <w:u w:val="single"/>
    </w:rPr>
  </w:style>
  <w:style w:type="paragraph" w:customStyle="1" w:styleId="definition0">
    <w:name w:val="definition"/>
    <w:basedOn w:val="Normal"/>
    <w:rsid w:val="00C35F9B"/>
    <w:pPr>
      <w:spacing w:before="80" w:after="0" w:line="260" w:lineRule="exact"/>
      <w:ind w:left="964"/>
      <w:jc w:val="both"/>
    </w:pPr>
    <w:rPr>
      <w:rFonts w:ascii="Times New Roman" w:eastAsia="Times New Roman" w:hAnsi="Times New Roman" w:cs="Times New Roman"/>
      <w:noProof/>
      <w:sz w:val="24"/>
      <w:szCs w:val="24"/>
    </w:rPr>
  </w:style>
  <w:style w:type="table" w:styleId="TableGrid">
    <w:name w:val="Table Grid"/>
    <w:basedOn w:val="TableNormal"/>
    <w:uiPriority w:val="39"/>
    <w:rsid w:val="00C35F9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iteOdd">
    <w:name w:val="HeaderLiteOdd"/>
    <w:basedOn w:val="Normal"/>
    <w:rsid w:val="00C35F9B"/>
    <w:pPr>
      <w:spacing w:before="60" w:after="0" w:line="240" w:lineRule="auto"/>
      <w:jc w:val="right"/>
    </w:pPr>
    <w:rPr>
      <w:rFonts w:ascii="Arial" w:eastAsia="Times New Roman" w:hAnsi="Arial" w:cs="Times New Roman"/>
      <w:noProof/>
      <w:sz w:val="18"/>
      <w:szCs w:val="24"/>
      <w:lang w:eastAsia="en-AU"/>
    </w:rPr>
  </w:style>
  <w:style w:type="paragraph" w:customStyle="1" w:styleId="ExampleBody">
    <w:name w:val="Example Body"/>
    <w:basedOn w:val="Normal"/>
    <w:rsid w:val="00C35F9B"/>
    <w:pPr>
      <w:spacing w:before="60" w:after="0" w:line="220" w:lineRule="exact"/>
      <w:ind w:left="964"/>
      <w:jc w:val="both"/>
    </w:pPr>
    <w:rPr>
      <w:rFonts w:ascii="Times New Roman" w:eastAsia="Times New Roman" w:hAnsi="Times New Roman" w:cs="Times New Roman"/>
      <w:noProof/>
      <w:sz w:val="20"/>
      <w:szCs w:val="24"/>
    </w:rPr>
  </w:style>
  <w:style w:type="paragraph" w:customStyle="1" w:styleId="HeaderBoldOdd">
    <w:name w:val="HeaderBoldOdd"/>
    <w:basedOn w:val="Normal"/>
    <w:rsid w:val="00C35F9B"/>
    <w:pPr>
      <w:spacing w:before="120" w:after="60" w:line="240" w:lineRule="auto"/>
      <w:jc w:val="right"/>
    </w:pPr>
    <w:rPr>
      <w:rFonts w:ascii="Arial" w:eastAsia="Times New Roman" w:hAnsi="Arial" w:cs="Times New Roman"/>
      <w:b/>
      <w:noProof/>
      <w:sz w:val="20"/>
      <w:szCs w:val="24"/>
    </w:rPr>
  </w:style>
  <w:style w:type="paragraph" w:customStyle="1" w:styleId="R1">
    <w:name w:val="R1"/>
    <w:aliases w:val="1. or 1.(1)"/>
    <w:basedOn w:val="Normal"/>
    <w:next w:val="Normal"/>
    <w:link w:val="R1Char"/>
    <w:rsid w:val="00C35F9B"/>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customStyle="1" w:styleId="R1Char">
    <w:name w:val="R1 Char"/>
    <w:aliases w:val="1. or 1.(1) Char"/>
    <w:basedOn w:val="DefaultParagraphFont"/>
    <w:link w:val="R1"/>
    <w:rsid w:val="00C35F9B"/>
    <w:rPr>
      <w:rFonts w:ascii="Times New Roman" w:eastAsia="Times New Roman" w:hAnsi="Times New Roman" w:cs="Times New Roman"/>
      <w:noProof/>
      <w:sz w:val="24"/>
      <w:szCs w:val="24"/>
    </w:rPr>
  </w:style>
  <w:style w:type="paragraph" w:customStyle="1" w:styleId="Schedulepara">
    <w:name w:val="Schedule para"/>
    <w:basedOn w:val="Normal"/>
    <w:rsid w:val="00C35F9B"/>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character" w:customStyle="1" w:styleId="Heading5Char">
    <w:name w:val="Heading 5 Char"/>
    <w:basedOn w:val="DefaultParagraphFont"/>
    <w:link w:val="Heading5"/>
    <w:rsid w:val="00C35F9B"/>
    <w:rPr>
      <w:rFonts w:ascii="Times New Roman" w:eastAsia="Times New Roman" w:hAnsi="Times New Roman" w:cs="Times New Roman"/>
      <w:b/>
      <w:bCs/>
      <w:i/>
      <w:iCs/>
      <w:noProof/>
      <w:sz w:val="26"/>
      <w:szCs w:val="26"/>
      <w:lang w:eastAsia="en-AU"/>
    </w:rPr>
  </w:style>
  <w:style w:type="paragraph" w:customStyle="1" w:styleId="HP">
    <w:name w:val="HP"/>
    <w:aliases w:val="Part Heading"/>
    <w:basedOn w:val="Normal"/>
    <w:next w:val="Normal"/>
    <w:rsid w:val="00C35F9B"/>
    <w:pPr>
      <w:keepNext/>
      <w:spacing w:before="360" w:after="0" w:line="240" w:lineRule="auto"/>
      <w:ind w:left="2410" w:hanging="2410"/>
    </w:pPr>
    <w:rPr>
      <w:rFonts w:ascii="Arial" w:eastAsia="Times New Roman" w:hAnsi="Arial" w:cs="Times New Roman"/>
      <w:b/>
      <w:noProof/>
      <w:sz w:val="32"/>
      <w:szCs w:val="24"/>
    </w:rPr>
  </w:style>
  <w:style w:type="paragraph" w:customStyle="1" w:styleId="HR">
    <w:name w:val="HR"/>
    <w:aliases w:val="Regulation Heading"/>
    <w:basedOn w:val="Normal"/>
    <w:next w:val="Normal"/>
    <w:rsid w:val="00C35F9B"/>
    <w:pPr>
      <w:keepNext/>
      <w:spacing w:before="360" w:after="0" w:line="240" w:lineRule="auto"/>
      <w:ind w:left="964" w:hanging="964"/>
    </w:pPr>
    <w:rPr>
      <w:rFonts w:ascii="Arial" w:eastAsia="Times New Roman" w:hAnsi="Arial" w:cs="Times New Roman"/>
      <w:b/>
      <w:noProof/>
      <w:sz w:val="24"/>
      <w:szCs w:val="24"/>
    </w:rPr>
  </w:style>
  <w:style w:type="paragraph" w:styleId="NormalWeb">
    <w:name w:val="Normal (Web)"/>
    <w:basedOn w:val="Normal"/>
    <w:uiPriority w:val="99"/>
    <w:semiHidden/>
    <w:unhideWhenUsed/>
    <w:rsid w:val="008556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0">
    <w:name w:val="tabletext0"/>
    <w:basedOn w:val="Normal"/>
    <w:rsid w:val="007D6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585D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585D3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6280">
      <w:bodyDiv w:val="1"/>
      <w:marLeft w:val="0"/>
      <w:marRight w:val="0"/>
      <w:marTop w:val="0"/>
      <w:marBottom w:val="0"/>
      <w:divBdr>
        <w:top w:val="none" w:sz="0" w:space="0" w:color="auto"/>
        <w:left w:val="none" w:sz="0" w:space="0" w:color="auto"/>
        <w:bottom w:val="none" w:sz="0" w:space="0" w:color="auto"/>
        <w:right w:val="none" w:sz="0" w:space="0" w:color="auto"/>
      </w:divBdr>
    </w:div>
    <w:div w:id="591856945">
      <w:bodyDiv w:val="1"/>
      <w:marLeft w:val="0"/>
      <w:marRight w:val="0"/>
      <w:marTop w:val="0"/>
      <w:marBottom w:val="0"/>
      <w:divBdr>
        <w:top w:val="none" w:sz="0" w:space="0" w:color="auto"/>
        <w:left w:val="none" w:sz="0" w:space="0" w:color="auto"/>
        <w:bottom w:val="none" w:sz="0" w:space="0" w:color="auto"/>
        <w:right w:val="none" w:sz="0" w:space="0" w:color="auto"/>
      </w:divBdr>
    </w:div>
    <w:div w:id="753935796">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56247452">
      <w:bodyDiv w:val="1"/>
      <w:marLeft w:val="0"/>
      <w:marRight w:val="0"/>
      <w:marTop w:val="0"/>
      <w:marBottom w:val="0"/>
      <w:divBdr>
        <w:top w:val="none" w:sz="0" w:space="0" w:color="auto"/>
        <w:left w:val="none" w:sz="0" w:space="0" w:color="auto"/>
        <w:bottom w:val="none" w:sz="0" w:space="0" w:color="auto"/>
        <w:right w:val="none" w:sz="0" w:space="0" w:color="auto"/>
      </w:divBdr>
    </w:div>
    <w:div w:id="1174497386">
      <w:bodyDiv w:val="1"/>
      <w:marLeft w:val="0"/>
      <w:marRight w:val="0"/>
      <w:marTop w:val="0"/>
      <w:marBottom w:val="0"/>
      <w:divBdr>
        <w:top w:val="none" w:sz="0" w:space="0" w:color="auto"/>
        <w:left w:val="none" w:sz="0" w:space="0" w:color="auto"/>
        <w:bottom w:val="none" w:sz="0" w:space="0" w:color="auto"/>
        <w:right w:val="none" w:sz="0" w:space="0" w:color="auto"/>
      </w:divBdr>
    </w:div>
    <w:div w:id="1861772864">
      <w:bodyDiv w:val="1"/>
      <w:marLeft w:val="0"/>
      <w:marRight w:val="0"/>
      <w:marTop w:val="0"/>
      <w:marBottom w:val="0"/>
      <w:divBdr>
        <w:top w:val="none" w:sz="0" w:space="0" w:color="auto"/>
        <w:left w:val="none" w:sz="0" w:space="0" w:color="auto"/>
        <w:bottom w:val="none" w:sz="0" w:space="0" w:color="auto"/>
        <w:right w:val="none" w:sz="0" w:space="0" w:color="auto"/>
      </w:divBdr>
    </w:div>
    <w:div w:id="1922328670">
      <w:bodyDiv w:val="1"/>
      <w:marLeft w:val="0"/>
      <w:marRight w:val="0"/>
      <w:marTop w:val="0"/>
      <w:marBottom w:val="0"/>
      <w:divBdr>
        <w:top w:val="none" w:sz="0" w:space="0" w:color="auto"/>
        <w:left w:val="none" w:sz="0" w:space="0" w:color="auto"/>
        <w:bottom w:val="none" w:sz="0" w:space="0" w:color="auto"/>
        <w:right w:val="none" w:sz="0" w:space="0" w:color="auto"/>
      </w:divBdr>
    </w:div>
    <w:div w:id="19378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0C913336CE14EADB691FC9E858B90" ma:contentTypeVersion="2" ma:contentTypeDescription="Create a new document." ma:contentTypeScope="" ma:versionID="4472b928e7cd9d7f144896153db115f2">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UQVA7MFFXVNW-1663139543-192</_dlc_DocId>
    <_dlc_DocIdUrl xmlns="04b8ec43-391f-4ce4-8841-d6a482add564">
      <Url>http://collaboration/organisation/auth/Chair/Auth/_layouts/15/DocIdRedir.aspx?ID=UQVA7MFFXVNW-1663139543-192</Url>
      <Description>UQVA7MFFXVNW-1663139543-192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874-144C-4935-84F0-B6955D465B36}">
  <ds:schemaRefs>
    <ds:schemaRef ds:uri="http://schemas.microsoft.com/sharepoint/v3/contenttype/forms"/>
  </ds:schemaRefs>
</ds:datastoreItem>
</file>

<file path=customXml/itemProps2.xml><?xml version="1.0" encoding="utf-8"?>
<ds:datastoreItem xmlns:ds="http://schemas.openxmlformats.org/officeDocument/2006/customXml" ds:itemID="{AE3A07E1-B27C-45A0-828C-D56D30F04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A92FD-D425-4E45-9676-757AF9CA2E9E}">
  <ds:schemaRefs>
    <ds:schemaRef ds:uri="http://schemas.microsoft.com/sharepoint/events"/>
  </ds:schemaRefs>
</ds:datastoreItem>
</file>

<file path=customXml/itemProps4.xml><?xml version="1.0" encoding="utf-8"?>
<ds:datastoreItem xmlns:ds="http://schemas.openxmlformats.org/officeDocument/2006/customXml" ds:itemID="{2F972774-A36A-434F-BA35-C469DD040F48}">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3D42F390-CFFD-4578-87E2-5F2E7C7C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Crocker</dc:creator>
  <cp:keywords/>
  <dc:description/>
  <cp:lastModifiedBy>Morgan Vaudrey</cp:lastModifiedBy>
  <cp:revision>9</cp:revision>
  <cp:lastPrinted>2020-02-24T05:13:00Z</cp:lastPrinted>
  <dcterms:created xsi:type="dcterms:W3CDTF">2020-02-26T22:55:00Z</dcterms:created>
  <dcterms:modified xsi:type="dcterms:W3CDTF">2020-02-27T01:41:00Z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0x010100A670C913336CE14EADB691FC9E858B90</vt:lpwstr>
  </property>
  <property fmtid="{D5CDD505-2E9C-101B-9397-08002B2CF9AE}" pid="3" name="_dlc_DocIdItemGuid">
    <vt:lpwstr>f69f7832-aa08-4cdd-902c-71015bef19c7</vt:lpwstr>
  </property>
</Properties>
</file>