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3D0" w:rsidRPr="008504DF" w:rsidRDefault="00FF4984" w:rsidP="00BD03D0">
      <w:pPr>
        <w:pStyle w:val="Title"/>
        <w:keepNext/>
        <w:keepLines/>
        <w:spacing w:before="0"/>
        <w:rPr>
          <w:rFonts w:ascii="Arial" w:hAnsi="Arial" w:cs="Arial"/>
          <w:szCs w:val="24"/>
          <w:u w:val="single"/>
        </w:rPr>
      </w:pPr>
      <w:r w:rsidRPr="008504DF">
        <w:rPr>
          <w:rFonts w:ascii="Arial" w:hAnsi="Arial" w:cs="Arial"/>
          <w:szCs w:val="24"/>
          <w:u w:val="single"/>
        </w:rPr>
        <w:t>EXPLANATORY STATEMENT</w:t>
      </w:r>
    </w:p>
    <w:p w:rsidR="00BD03D0" w:rsidRPr="008504DF" w:rsidRDefault="00BD03D0" w:rsidP="00BD03D0">
      <w:pPr>
        <w:pStyle w:val="Title"/>
        <w:keepNext/>
        <w:keepLines/>
        <w:spacing w:before="0"/>
        <w:rPr>
          <w:rFonts w:ascii="Arial" w:hAnsi="Arial" w:cs="Arial"/>
          <w:b w:val="0"/>
          <w:szCs w:val="24"/>
        </w:rPr>
      </w:pPr>
      <w:r w:rsidRPr="008504DF">
        <w:rPr>
          <w:rFonts w:ascii="Arial" w:hAnsi="Arial" w:cs="Arial"/>
          <w:b w:val="0"/>
          <w:szCs w:val="24"/>
        </w:rPr>
        <w:t xml:space="preserve">Issued by the authority of the Minister for </w:t>
      </w:r>
      <w:r w:rsidR="00923AD3">
        <w:rPr>
          <w:rFonts w:ascii="Arial" w:hAnsi="Arial" w:cs="Arial"/>
          <w:b w:val="0"/>
          <w:szCs w:val="24"/>
        </w:rPr>
        <w:t xml:space="preserve">Veterans’ Affairs </w:t>
      </w:r>
    </w:p>
    <w:p w:rsidR="00BD03D0" w:rsidRPr="008504DF" w:rsidRDefault="00923AD3" w:rsidP="00BD03D0">
      <w:pPr>
        <w:pStyle w:val="Title"/>
        <w:keepNext/>
        <w:keepLines/>
        <w:spacing w:before="0"/>
        <w:rPr>
          <w:rFonts w:ascii="Arial" w:hAnsi="Arial" w:cs="Arial"/>
          <w:b w:val="0"/>
          <w:i/>
          <w:szCs w:val="24"/>
        </w:rPr>
      </w:pPr>
      <w:r>
        <w:rPr>
          <w:rFonts w:ascii="Arial" w:hAnsi="Arial" w:cs="Arial"/>
          <w:b w:val="0"/>
          <w:i/>
          <w:szCs w:val="24"/>
        </w:rPr>
        <w:t>Veterans’ Entitlements Act 1986</w:t>
      </w:r>
    </w:p>
    <w:p w:rsidR="00300A64" w:rsidRPr="008504DF" w:rsidRDefault="00923AD3" w:rsidP="008504DF">
      <w:pPr>
        <w:pStyle w:val="Title"/>
        <w:keepNext/>
        <w:keepLines/>
        <w:spacing w:before="0"/>
        <w:rPr>
          <w:rFonts w:ascii="Arial" w:hAnsi="Arial" w:cs="Arial"/>
          <w:b w:val="0"/>
          <w:i/>
          <w:szCs w:val="24"/>
        </w:rPr>
      </w:pPr>
      <w:r>
        <w:rPr>
          <w:rFonts w:ascii="Arial" w:hAnsi="Arial" w:cs="Arial"/>
          <w:b w:val="0"/>
          <w:i/>
          <w:szCs w:val="24"/>
        </w:rPr>
        <w:t xml:space="preserve">Veterans’ Entitlements </w:t>
      </w:r>
      <w:r w:rsidR="00FF4984" w:rsidRPr="008504DF">
        <w:rPr>
          <w:rFonts w:ascii="Arial" w:hAnsi="Arial" w:cs="Arial"/>
          <w:b w:val="0"/>
          <w:i/>
          <w:szCs w:val="24"/>
        </w:rPr>
        <w:t xml:space="preserve">(Attribution of Income – Ineligible Deductions) Determination </w:t>
      </w:r>
      <w:r>
        <w:rPr>
          <w:rFonts w:ascii="Arial" w:hAnsi="Arial" w:cs="Arial"/>
          <w:b w:val="0"/>
          <w:i/>
          <w:szCs w:val="24"/>
        </w:rPr>
        <w:t>2020</w:t>
      </w:r>
    </w:p>
    <w:p w:rsidR="00300A64" w:rsidRPr="008504DF" w:rsidRDefault="00A31CAF">
      <w:pPr>
        <w:keepNext/>
        <w:keepLines/>
        <w:spacing w:before="0" w:after="240"/>
        <w:jc w:val="both"/>
        <w:rPr>
          <w:rFonts w:ascii="Arial" w:hAnsi="Arial" w:cs="Arial"/>
          <w:b/>
          <w:szCs w:val="24"/>
        </w:rPr>
      </w:pPr>
      <w:r w:rsidRPr="008504DF">
        <w:rPr>
          <w:rFonts w:ascii="Arial" w:hAnsi="Arial" w:cs="Arial"/>
          <w:b/>
          <w:szCs w:val="24"/>
        </w:rPr>
        <w:t>Purpose</w:t>
      </w:r>
    </w:p>
    <w:p w:rsidR="00300A64" w:rsidRPr="008504DF" w:rsidRDefault="00923AD3">
      <w:pPr>
        <w:keepNext/>
        <w:keepLines/>
        <w:spacing w:before="0" w:after="240"/>
        <w:jc w:val="both"/>
        <w:rPr>
          <w:rFonts w:ascii="Arial" w:hAnsi="Arial" w:cs="Arial"/>
          <w:szCs w:val="24"/>
        </w:rPr>
      </w:pPr>
      <w:r>
        <w:rPr>
          <w:rFonts w:ascii="Arial" w:hAnsi="Arial" w:cs="Arial"/>
          <w:szCs w:val="24"/>
        </w:rPr>
        <w:t>Sections 52ZZO</w:t>
      </w:r>
      <w:r w:rsidR="00FF4984" w:rsidRPr="008504DF">
        <w:rPr>
          <w:rFonts w:ascii="Arial" w:hAnsi="Arial" w:cs="Arial"/>
          <w:szCs w:val="24"/>
        </w:rPr>
        <w:t xml:space="preserve"> and </w:t>
      </w:r>
      <w:r>
        <w:rPr>
          <w:rFonts w:ascii="Arial" w:hAnsi="Arial" w:cs="Arial"/>
          <w:szCs w:val="24"/>
        </w:rPr>
        <w:t>52ZZZO</w:t>
      </w:r>
      <w:r w:rsidR="00FF4984" w:rsidRPr="008504DF">
        <w:rPr>
          <w:rFonts w:ascii="Arial" w:hAnsi="Arial" w:cs="Arial"/>
          <w:szCs w:val="24"/>
        </w:rPr>
        <w:t xml:space="preserve"> of the </w:t>
      </w:r>
      <w:r>
        <w:rPr>
          <w:rFonts w:ascii="Arial" w:hAnsi="Arial" w:cs="Arial"/>
          <w:i/>
          <w:szCs w:val="24"/>
        </w:rPr>
        <w:t xml:space="preserve">Veterans’ Entitlements </w:t>
      </w:r>
      <w:r w:rsidR="00FF4984" w:rsidRPr="008504DF">
        <w:rPr>
          <w:rFonts w:ascii="Arial" w:hAnsi="Arial" w:cs="Arial"/>
          <w:i/>
          <w:szCs w:val="24"/>
        </w:rPr>
        <w:t>Act 19</w:t>
      </w:r>
      <w:r>
        <w:rPr>
          <w:rFonts w:ascii="Arial" w:hAnsi="Arial" w:cs="Arial"/>
          <w:i/>
          <w:szCs w:val="24"/>
        </w:rPr>
        <w:t>86</w:t>
      </w:r>
      <w:r w:rsidR="00FF4984" w:rsidRPr="008504DF">
        <w:rPr>
          <w:rFonts w:ascii="Arial" w:hAnsi="Arial" w:cs="Arial"/>
          <w:b/>
          <w:i/>
          <w:szCs w:val="24"/>
        </w:rPr>
        <w:t xml:space="preserve"> </w:t>
      </w:r>
      <w:r w:rsidR="00FF4984" w:rsidRPr="008504DF">
        <w:rPr>
          <w:rFonts w:ascii="Arial" w:hAnsi="Arial" w:cs="Arial"/>
          <w:szCs w:val="24"/>
        </w:rPr>
        <w:t xml:space="preserve">(the </w:t>
      </w:r>
      <w:r>
        <w:rPr>
          <w:rFonts w:ascii="Arial" w:hAnsi="Arial" w:cs="Arial"/>
          <w:szCs w:val="24"/>
        </w:rPr>
        <w:t xml:space="preserve">Veterans’ Entitlements </w:t>
      </w:r>
      <w:r w:rsidR="00FF4984" w:rsidRPr="008504DF">
        <w:rPr>
          <w:rFonts w:ascii="Arial" w:hAnsi="Arial" w:cs="Arial"/>
          <w:szCs w:val="24"/>
        </w:rPr>
        <w:t xml:space="preserve">Act) provide that to calculate the income of a company or trust, for the purposes of Division </w:t>
      </w:r>
      <w:r>
        <w:rPr>
          <w:rFonts w:ascii="Arial" w:hAnsi="Arial" w:cs="Arial"/>
          <w:szCs w:val="24"/>
        </w:rPr>
        <w:t>11A of Part IIIB</w:t>
      </w:r>
      <w:r w:rsidR="00FF4984" w:rsidRPr="008504DF">
        <w:rPr>
          <w:rFonts w:ascii="Arial" w:hAnsi="Arial" w:cs="Arial"/>
          <w:szCs w:val="24"/>
        </w:rPr>
        <w:t xml:space="preserve">, any deductions allowable under the </w:t>
      </w:r>
      <w:r w:rsidR="00FF4984" w:rsidRPr="008504DF">
        <w:rPr>
          <w:rFonts w:ascii="Arial" w:hAnsi="Arial" w:cs="Arial"/>
          <w:i/>
          <w:szCs w:val="24"/>
        </w:rPr>
        <w:t>Income Tax Assessment Act 1936</w:t>
      </w:r>
      <w:r w:rsidR="00FF4984" w:rsidRPr="008504DF">
        <w:rPr>
          <w:rFonts w:ascii="Arial" w:hAnsi="Arial" w:cs="Arial"/>
          <w:szCs w:val="24"/>
        </w:rPr>
        <w:t xml:space="preserve"> </w:t>
      </w:r>
      <w:r w:rsidR="009B27B8" w:rsidRPr="008504DF">
        <w:rPr>
          <w:rFonts w:ascii="Arial" w:hAnsi="Arial" w:cs="Arial"/>
          <w:szCs w:val="24"/>
        </w:rPr>
        <w:t xml:space="preserve">(ITAA 36) </w:t>
      </w:r>
      <w:r w:rsidR="00FF4984" w:rsidRPr="008504DF">
        <w:rPr>
          <w:rFonts w:ascii="Arial" w:hAnsi="Arial" w:cs="Arial"/>
          <w:szCs w:val="24"/>
        </w:rPr>
        <w:t xml:space="preserve">or </w:t>
      </w:r>
      <w:r w:rsidR="00FF4984" w:rsidRPr="008504DF">
        <w:rPr>
          <w:rFonts w:ascii="Arial" w:hAnsi="Arial" w:cs="Arial"/>
          <w:i/>
          <w:szCs w:val="24"/>
        </w:rPr>
        <w:t xml:space="preserve">Income Tax Assessment Act 1997 </w:t>
      </w:r>
      <w:r w:rsidR="009B27B8" w:rsidRPr="008504DF">
        <w:rPr>
          <w:rFonts w:ascii="Arial" w:hAnsi="Arial" w:cs="Arial"/>
          <w:szCs w:val="24"/>
        </w:rPr>
        <w:t xml:space="preserve">(ITAA 97) </w:t>
      </w:r>
      <w:r w:rsidR="00FF4984" w:rsidRPr="008504DF">
        <w:rPr>
          <w:rFonts w:ascii="Arial" w:hAnsi="Arial" w:cs="Arial"/>
          <w:szCs w:val="24"/>
        </w:rPr>
        <w:t xml:space="preserve">can be deducted from the gross income of the company or trust, unless the </w:t>
      </w:r>
      <w:r>
        <w:rPr>
          <w:rFonts w:ascii="Arial" w:hAnsi="Arial" w:cs="Arial"/>
          <w:szCs w:val="24"/>
        </w:rPr>
        <w:t>Repatriation Commission (the Commission)</w:t>
      </w:r>
      <w:r w:rsidR="00FF4984" w:rsidRPr="008504DF">
        <w:rPr>
          <w:rFonts w:ascii="Arial" w:hAnsi="Arial" w:cs="Arial"/>
          <w:szCs w:val="24"/>
        </w:rPr>
        <w:t xml:space="preserve"> has determined that they are an ineligible deduction, or an ineligible part of a deduction.</w:t>
      </w:r>
    </w:p>
    <w:p w:rsidR="000842D1" w:rsidRDefault="00FF4984">
      <w:pPr>
        <w:pStyle w:val="BodyText2"/>
        <w:keepNext/>
        <w:keepLines/>
        <w:rPr>
          <w:rFonts w:ascii="Arial" w:hAnsi="Arial" w:cs="Arial"/>
          <w:szCs w:val="24"/>
        </w:rPr>
      </w:pPr>
      <w:r w:rsidRPr="008504DF">
        <w:rPr>
          <w:rFonts w:ascii="Arial" w:hAnsi="Arial" w:cs="Arial"/>
          <w:szCs w:val="24"/>
        </w:rPr>
        <w:t xml:space="preserve">The purpose of this </w:t>
      </w:r>
      <w:r w:rsidR="000842D1" w:rsidRPr="00C14348">
        <w:rPr>
          <w:rFonts w:ascii="Arial" w:hAnsi="Arial" w:cs="Arial"/>
          <w:szCs w:val="24"/>
        </w:rPr>
        <w:t xml:space="preserve">Determination </w:t>
      </w:r>
      <w:r w:rsidRPr="008504DF">
        <w:rPr>
          <w:rFonts w:ascii="Arial" w:hAnsi="Arial" w:cs="Arial"/>
          <w:szCs w:val="24"/>
        </w:rPr>
        <w:t xml:space="preserve">is for the </w:t>
      </w:r>
      <w:r w:rsidR="00923AD3">
        <w:rPr>
          <w:rFonts w:ascii="Arial" w:hAnsi="Arial" w:cs="Arial"/>
          <w:szCs w:val="24"/>
        </w:rPr>
        <w:t>Commission</w:t>
      </w:r>
      <w:r w:rsidRPr="008504DF">
        <w:rPr>
          <w:rFonts w:ascii="Arial" w:hAnsi="Arial" w:cs="Arial"/>
          <w:szCs w:val="24"/>
        </w:rPr>
        <w:t xml:space="preserve"> to determine those tax deductions that are ineligible to be applied against the gross income of a company or trust for</w:t>
      </w:r>
      <w:r w:rsidR="00923AD3">
        <w:rPr>
          <w:rFonts w:ascii="Arial" w:hAnsi="Arial" w:cs="Arial"/>
          <w:szCs w:val="24"/>
        </w:rPr>
        <w:t xml:space="preserve"> means test</w:t>
      </w:r>
      <w:r w:rsidRPr="008504DF">
        <w:rPr>
          <w:rFonts w:ascii="Arial" w:hAnsi="Arial" w:cs="Arial"/>
          <w:szCs w:val="24"/>
        </w:rPr>
        <w:t xml:space="preserve"> purposes.</w:t>
      </w:r>
      <w:r w:rsidR="000842D1">
        <w:rPr>
          <w:rFonts w:ascii="Arial" w:hAnsi="Arial" w:cs="Arial"/>
          <w:szCs w:val="24"/>
        </w:rPr>
        <w:t xml:space="preserve"> </w:t>
      </w:r>
    </w:p>
    <w:p w:rsidR="00923AD3" w:rsidRPr="00923AD3" w:rsidRDefault="009B27B8" w:rsidP="00923AD3">
      <w:pPr>
        <w:pStyle w:val="BodyText2"/>
        <w:keepNext/>
        <w:keepLines/>
        <w:rPr>
          <w:rFonts w:ascii="Arial" w:hAnsi="Arial" w:cs="Arial"/>
          <w:szCs w:val="24"/>
        </w:rPr>
      </w:pPr>
      <w:r w:rsidRPr="008504DF">
        <w:rPr>
          <w:rFonts w:ascii="Arial" w:hAnsi="Arial" w:cs="Arial"/>
          <w:szCs w:val="24"/>
        </w:rPr>
        <w:t xml:space="preserve">This </w:t>
      </w:r>
      <w:r w:rsidR="00C14348" w:rsidRPr="00C14348">
        <w:rPr>
          <w:rFonts w:ascii="Arial" w:hAnsi="Arial" w:cs="Arial"/>
          <w:szCs w:val="24"/>
        </w:rPr>
        <w:t xml:space="preserve">Determination </w:t>
      </w:r>
      <w:r w:rsidRPr="008504DF">
        <w:rPr>
          <w:rFonts w:ascii="Arial" w:hAnsi="Arial" w:cs="Arial"/>
          <w:szCs w:val="24"/>
        </w:rPr>
        <w:t xml:space="preserve">revokes </w:t>
      </w:r>
      <w:r w:rsidR="00923AD3">
        <w:rPr>
          <w:rFonts w:ascii="Arial" w:hAnsi="Arial" w:cs="Arial"/>
          <w:szCs w:val="24"/>
        </w:rPr>
        <w:t xml:space="preserve">Schedule 8 (the </w:t>
      </w:r>
      <w:r w:rsidR="00923AD3" w:rsidRPr="00923AD3">
        <w:rPr>
          <w:rFonts w:ascii="Arial" w:hAnsi="Arial" w:cs="Arial"/>
          <w:i/>
          <w:szCs w:val="24"/>
        </w:rPr>
        <w:t>Veterans’ Entitlements (Attribution of Income – Ineligible Deductions) Determination 2001</w:t>
      </w:r>
      <w:r w:rsidR="00923AD3">
        <w:rPr>
          <w:rFonts w:ascii="Arial" w:hAnsi="Arial" w:cs="Arial"/>
          <w:i/>
          <w:szCs w:val="24"/>
        </w:rPr>
        <w:t xml:space="preserve"> </w:t>
      </w:r>
      <w:r w:rsidR="00923AD3" w:rsidRPr="00923AD3">
        <w:rPr>
          <w:rFonts w:ascii="Arial" w:hAnsi="Arial" w:cs="Arial"/>
          <w:szCs w:val="24"/>
        </w:rPr>
        <w:t xml:space="preserve">- Instrument 2014 No. R70) of the </w:t>
      </w:r>
      <w:r w:rsidR="00923AD3" w:rsidRPr="00923AD3">
        <w:rPr>
          <w:rFonts w:ascii="Arial" w:hAnsi="Arial" w:cs="Arial"/>
          <w:i/>
          <w:szCs w:val="24"/>
        </w:rPr>
        <w:t>Veterans’ Affairs (Legislative Instrument Re-making Exercise) Instrument 2014</w:t>
      </w:r>
      <w:r w:rsidR="00923AD3" w:rsidRPr="00923AD3">
        <w:rPr>
          <w:rFonts w:ascii="Arial" w:hAnsi="Arial" w:cs="Arial"/>
          <w:szCs w:val="24"/>
        </w:rPr>
        <w:t xml:space="preserve"> (In</w:t>
      </w:r>
      <w:r w:rsidR="00923AD3">
        <w:rPr>
          <w:rFonts w:ascii="Arial" w:hAnsi="Arial" w:cs="Arial"/>
          <w:szCs w:val="24"/>
        </w:rPr>
        <w:t>strument 2014 No. R62) (the 2014 Instrument)</w:t>
      </w:r>
      <w:r w:rsidR="00923AD3" w:rsidRPr="00923AD3">
        <w:rPr>
          <w:rFonts w:ascii="Arial" w:hAnsi="Arial" w:cs="Arial"/>
          <w:i/>
          <w:iCs/>
          <w:szCs w:val="24"/>
        </w:rPr>
        <w:t>.</w:t>
      </w:r>
    </w:p>
    <w:p w:rsidR="00923AD3" w:rsidRDefault="00923AD3" w:rsidP="00923AD3">
      <w:pPr>
        <w:pStyle w:val="BodyText2"/>
        <w:rPr>
          <w:rFonts w:ascii="Arial" w:hAnsi="Arial" w:cs="Arial"/>
          <w:szCs w:val="24"/>
        </w:rPr>
      </w:pPr>
      <w:r>
        <w:rPr>
          <w:rFonts w:ascii="Arial" w:hAnsi="Arial" w:cs="Arial"/>
          <w:szCs w:val="24"/>
        </w:rPr>
        <w:t xml:space="preserve">The revoked Schedule is remade as the </w:t>
      </w:r>
      <w:r w:rsidRPr="00923AD3">
        <w:rPr>
          <w:rFonts w:ascii="Arial" w:hAnsi="Arial" w:cs="Arial"/>
          <w:i/>
          <w:szCs w:val="24"/>
        </w:rPr>
        <w:t>Veterans’ Entitlements (Attribution of Income – Ineligible Deductions) Determination 2020</w:t>
      </w:r>
      <w:r>
        <w:rPr>
          <w:rFonts w:ascii="Arial" w:hAnsi="Arial" w:cs="Arial"/>
          <w:i/>
          <w:szCs w:val="24"/>
        </w:rPr>
        <w:t xml:space="preserve"> </w:t>
      </w:r>
      <w:r w:rsidRPr="00923AD3">
        <w:rPr>
          <w:rFonts w:ascii="Arial" w:hAnsi="Arial" w:cs="Arial"/>
          <w:szCs w:val="24"/>
        </w:rPr>
        <w:t>(Instrument 2020 No. R2) (the 2020 Determination)</w:t>
      </w:r>
      <w:r w:rsidR="00DC67CA" w:rsidRPr="00923AD3">
        <w:rPr>
          <w:rFonts w:ascii="Arial" w:hAnsi="Arial" w:cs="Arial"/>
          <w:szCs w:val="24"/>
        </w:rPr>
        <w:t xml:space="preserve"> </w:t>
      </w:r>
      <w:r>
        <w:rPr>
          <w:rFonts w:ascii="Arial" w:hAnsi="Arial" w:cs="Arial"/>
          <w:szCs w:val="24"/>
        </w:rPr>
        <w:t xml:space="preserve">and </w:t>
      </w:r>
      <w:r w:rsidR="00DC67CA" w:rsidRPr="00923AD3">
        <w:rPr>
          <w:rFonts w:ascii="Arial" w:hAnsi="Arial" w:cs="Arial"/>
          <w:szCs w:val="24"/>
        </w:rPr>
        <w:t>has been updated</w:t>
      </w:r>
      <w:r w:rsidR="009B27B8" w:rsidRPr="00923AD3">
        <w:rPr>
          <w:rFonts w:ascii="Arial" w:hAnsi="Arial" w:cs="Arial"/>
          <w:szCs w:val="24"/>
        </w:rPr>
        <w:t xml:space="preserve"> to address changes made to the I</w:t>
      </w:r>
      <w:r>
        <w:rPr>
          <w:rFonts w:ascii="Arial" w:hAnsi="Arial" w:cs="Arial"/>
          <w:szCs w:val="24"/>
        </w:rPr>
        <w:t>TAA 36 and ITAA 97 since the 201</w:t>
      </w:r>
      <w:r w:rsidR="009B27B8" w:rsidRPr="00923AD3">
        <w:rPr>
          <w:rFonts w:ascii="Arial" w:hAnsi="Arial" w:cs="Arial"/>
          <w:szCs w:val="24"/>
        </w:rPr>
        <w:t xml:space="preserve">4 </w:t>
      </w:r>
      <w:r>
        <w:rPr>
          <w:rFonts w:ascii="Arial" w:hAnsi="Arial" w:cs="Arial"/>
          <w:szCs w:val="24"/>
        </w:rPr>
        <w:t>Instrument</w:t>
      </w:r>
      <w:r w:rsidR="00C14348" w:rsidRPr="00923AD3">
        <w:rPr>
          <w:rFonts w:ascii="Arial" w:hAnsi="Arial" w:cs="Arial"/>
          <w:szCs w:val="24"/>
        </w:rPr>
        <w:t xml:space="preserve"> </w:t>
      </w:r>
      <w:r w:rsidR="009B27B8" w:rsidRPr="00923AD3">
        <w:rPr>
          <w:rFonts w:ascii="Arial" w:hAnsi="Arial" w:cs="Arial"/>
          <w:szCs w:val="24"/>
        </w:rPr>
        <w:t>was made</w:t>
      </w:r>
      <w:r w:rsidR="00DC67CA" w:rsidRPr="00923AD3">
        <w:rPr>
          <w:rFonts w:ascii="Arial" w:hAnsi="Arial" w:cs="Arial"/>
          <w:szCs w:val="24"/>
        </w:rPr>
        <w:t xml:space="preserve"> and to include</w:t>
      </w:r>
      <w:r w:rsidR="00DC67CA">
        <w:rPr>
          <w:rFonts w:ascii="Arial" w:hAnsi="Arial" w:cs="Arial"/>
          <w:szCs w:val="24"/>
        </w:rPr>
        <w:t xml:space="preserve"> new </w:t>
      </w:r>
      <w:r w:rsidR="00DC67CA" w:rsidRPr="00BE6BFA">
        <w:rPr>
          <w:rFonts w:ascii="Arial" w:hAnsi="Arial" w:cs="Arial"/>
          <w:szCs w:val="24"/>
        </w:rPr>
        <w:t xml:space="preserve">ineligible </w:t>
      </w:r>
      <w:r w:rsidR="00DC67CA">
        <w:rPr>
          <w:rFonts w:ascii="Arial" w:hAnsi="Arial" w:cs="Arial"/>
          <w:szCs w:val="24"/>
        </w:rPr>
        <w:t xml:space="preserve">deductions of a similar nature to those deductions that were ineligible under the </w:t>
      </w:r>
      <w:r>
        <w:rPr>
          <w:rFonts w:ascii="Arial" w:hAnsi="Arial" w:cs="Arial"/>
          <w:szCs w:val="24"/>
        </w:rPr>
        <w:t>revoked Schedule</w:t>
      </w:r>
      <w:r w:rsidR="009B27B8" w:rsidRPr="008504DF">
        <w:rPr>
          <w:rFonts w:ascii="Arial" w:hAnsi="Arial" w:cs="Arial"/>
          <w:szCs w:val="24"/>
        </w:rPr>
        <w:t>.</w:t>
      </w:r>
      <w:r>
        <w:rPr>
          <w:rFonts w:ascii="Arial" w:hAnsi="Arial" w:cs="Arial"/>
          <w:szCs w:val="24"/>
        </w:rPr>
        <w:t xml:space="preserve"> </w:t>
      </w:r>
    </w:p>
    <w:p w:rsidR="00923AD3" w:rsidRDefault="00FF4984" w:rsidP="00923AD3">
      <w:pPr>
        <w:pStyle w:val="BodyText2"/>
        <w:rPr>
          <w:rFonts w:ascii="Arial" w:hAnsi="Arial" w:cs="Arial"/>
          <w:b/>
          <w:szCs w:val="24"/>
        </w:rPr>
      </w:pPr>
      <w:r w:rsidRPr="008504DF">
        <w:rPr>
          <w:rFonts w:ascii="Arial" w:hAnsi="Arial" w:cs="Arial"/>
          <w:b/>
          <w:szCs w:val="24"/>
        </w:rPr>
        <w:t>Background</w:t>
      </w:r>
      <w:r w:rsidR="00923AD3">
        <w:rPr>
          <w:rFonts w:ascii="Arial" w:hAnsi="Arial" w:cs="Arial"/>
          <w:b/>
          <w:szCs w:val="24"/>
        </w:rPr>
        <w:t xml:space="preserve"> </w:t>
      </w:r>
    </w:p>
    <w:p w:rsidR="009B6975" w:rsidRDefault="00FF4984" w:rsidP="00923AD3">
      <w:pPr>
        <w:pStyle w:val="BodyText2"/>
        <w:rPr>
          <w:rFonts w:ascii="Arial" w:hAnsi="Arial" w:cs="Arial"/>
          <w:szCs w:val="24"/>
        </w:rPr>
      </w:pPr>
      <w:r w:rsidRPr="008504DF">
        <w:rPr>
          <w:rFonts w:ascii="Arial" w:hAnsi="Arial" w:cs="Arial"/>
          <w:szCs w:val="24"/>
        </w:rPr>
        <w:t xml:space="preserve">The </w:t>
      </w:r>
      <w:r w:rsidRPr="008504DF">
        <w:rPr>
          <w:rFonts w:ascii="Arial" w:hAnsi="Arial" w:cs="Arial"/>
          <w:i/>
          <w:szCs w:val="24"/>
        </w:rPr>
        <w:t xml:space="preserve">Social Security and Veterans’ Entitlements Legislation Amendment (Private Trusts and Private Companies – Integrity of Means Testing) Act 2000 </w:t>
      </w:r>
      <w:r w:rsidRPr="008504DF">
        <w:rPr>
          <w:rFonts w:ascii="Arial" w:hAnsi="Arial" w:cs="Arial"/>
          <w:szCs w:val="24"/>
        </w:rPr>
        <w:t xml:space="preserve">amended </w:t>
      </w:r>
      <w:r w:rsidR="00923AD3">
        <w:rPr>
          <w:rFonts w:ascii="Arial" w:hAnsi="Arial" w:cs="Arial"/>
          <w:szCs w:val="24"/>
        </w:rPr>
        <w:t xml:space="preserve">both </w:t>
      </w:r>
      <w:r w:rsidRPr="008504DF">
        <w:rPr>
          <w:rFonts w:ascii="Arial" w:hAnsi="Arial" w:cs="Arial"/>
          <w:szCs w:val="24"/>
        </w:rPr>
        <w:t xml:space="preserve">the </w:t>
      </w:r>
      <w:r w:rsidRPr="009B6975">
        <w:rPr>
          <w:rFonts w:ascii="Arial" w:hAnsi="Arial" w:cs="Arial"/>
          <w:i/>
          <w:szCs w:val="24"/>
        </w:rPr>
        <w:t xml:space="preserve">Social Security Act </w:t>
      </w:r>
      <w:r w:rsidR="00923AD3" w:rsidRPr="009B6975">
        <w:rPr>
          <w:rFonts w:ascii="Arial" w:hAnsi="Arial" w:cs="Arial"/>
          <w:i/>
          <w:szCs w:val="24"/>
        </w:rPr>
        <w:t>1991</w:t>
      </w:r>
      <w:r w:rsidR="00923AD3">
        <w:rPr>
          <w:rFonts w:ascii="Arial" w:hAnsi="Arial" w:cs="Arial"/>
          <w:szCs w:val="24"/>
        </w:rPr>
        <w:t xml:space="preserve"> and the V</w:t>
      </w:r>
      <w:r w:rsidR="009B6975">
        <w:rPr>
          <w:rFonts w:ascii="Arial" w:hAnsi="Arial" w:cs="Arial"/>
          <w:szCs w:val="24"/>
        </w:rPr>
        <w:t>e</w:t>
      </w:r>
      <w:r w:rsidR="00923AD3">
        <w:rPr>
          <w:rFonts w:ascii="Arial" w:hAnsi="Arial" w:cs="Arial"/>
          <w:szCs w:val="24"/>
        </w:rPr>
        <w:t xml:space="preserve">terans’ Entitlements Act </w:t>
      </w:r>
      <w:r w:rsidRPr="008504DF">
        <w:rPr>
          <w:rFonts w:ascii="Arial" w:hAnsi="Arial" w:cs="Arial"/>
          <w:szCs w:val="24"/>
        </w:rPr>
        <w:t xml:space="preserve">to give effect to a measure in the Government's 2000-2001 Budget to revise the means test treatment of private companies and private trusts. </w:t>
      </w:r>
    </w:p>
    <w:p w:rsidR="00300A64" w:rsidRPr="008504DF" w:rsidRDefault="00FF4984" w:rsidP="00923AD3">
      <w:pPr>
        <w:pStyle w:val="BodyText2"/>
        <w:rPr>
          <w:rFonts w:ascii="Arial" w:hAnsi="Arial" w:cs="Arial"/>
          <w:szCs w:val="24"/>
        </w:rPr>
      </w:pPr>
      <w:r w:rsidRPr="008504DF">
        <w:rPr>
          <w:rFonts w:ascii="Arial" w:hAnsi="Arial" w:cs="Arial"/>
          <w:szCs w:val="24"/>
        </w:rPr>
        <w:t xml:space="preserve">The </w:t>
      </w:r>
      <w:r w:rsidR="009B6975">
        <w:rPr>
          <w:rFonts w:ascii="Arial" w:hAnsi="Arial" w:cs="Arial"/>
          <w:szCs w:val="24"/>
        </w:rPr>
        <w:t xml:space="preserve">aim of the </w:t>
      </w:r>
      <w:r w:rsidRPr="008504DF">
        <w:rPr>
          <w:rFonts w:ascii="Arial" w:hAnsi="Arial" w:cs="Arial"/>
          <w:szCs w:val="24"/>
        </w:rPr>
        <w:t xml:space="preserve">measure </w:t>
      </w:r>
      <w:r w:rsidR="009B6975">
        <w:rPr>
          <w:rFonts w:ascii="Arial" w:hAnsi="Arial" w:cs="Arial"/>
          <w:szCs w:val="24"/>
        </w:rPr>
        <w:t xml:space="preserve">was </w:t>
      </w:r>
      <w:r w:rsidRPr="008504DF">
        <w:rPr>
          <w:rFonts w:ascii="Arial" w:hAnsi="Arial" w:cs="Arial"/>
          <w:szCs w:val="24"/>
        </w:rPr>
        <w:t>to ensure that c</w:t>
      </w:r>
      <w:r w:rsidR="009B6975">
        <w:rPr>
          <w:rFonts w:ascii="Arial" w:hAnsi="Arial" w:cs="Arial"/>
          <w:szCs w:val="24"/>
        </w:rPr>
        <w:t>lients</w:t>
      </w:r>
      <w:r w:rsidRPr="008504DF">
        <w:rPr>
          <w:rFonts w:ascii="Arial" w:hAnsi="Arial" w:cs="Arial"/>
          <w:szCs w:val="24"/>
        </w:rPr>
        <w:t xml:space="preserve"> who hold their assets in private companies or private trusts receive comparable treatment under the means test to those customers who hold their assets directly. The assets and income of the structure will be attributed to the person or persons who control the company or trust, or to the person or persons who were the source of the capital or corpus of the company or trust. </w:t>
      </w:r>
    </w:p>
    <w:p w:rsidR="00A31CAF" w:rsidRPr="008504DF" w:rsidRDefault="00A31CAF" w:rsidP="008504DF">
      <w:pPr>
        <w:keepNext/>
        <w:keepLines/>
        <w:spacing w:before="0" w:after="240"/>
        <w:jc w:val="both"/>
      </w:pPr>
      <w:r w:rsidRPr="009B0884">
        <w:rPr>
          <w:rFonts w:ascii="Arial" w:hAnsi="Arial" w:cs="Arial"/>
          <w:b/>
          <w:szCs w:val="24"/>
        </w:rPr>
        <w:lastRenderedPageBreak/>
        <w:t>Commencement</w:t>
      </w:r>
    </w:p>
    <w:p w:rsidR="00C14348" w:rsidRPr="008504DF" w:rsidRDefault="00A31CAF" w:rsidP="009B0884">
      <w:pPr>
        <w:keepNext/>
        <w:keepLines/>
        <w:spacing w:before="0" w:after="240"/>
        <w:jc w:val="both"/>
        <w:rPr>
          <w:rFonts w:ascii="Arial" w:hAnsi="Arial" w:cs="Arial"/>
          <w:szCs w:val="24"/>
        </w:rPr>
      </w:pPr>
      <w:r w:rsidRPr="009B0884">
        <w:rPr>
          <w:rFonts w:ascii="Arial" w:hAnsi="Arial" w:cs="Arial"/>
          <w:szCs w:val="24"/>
        </w:rPr>
        <w:t>This Determination commences on the day after it is registered</w:t>
      </w:r>
      <w:r w:rsidRPr="008504DF">
        <w:rPr>
          <w:rFonts w:ascii="Arial" w:hAnsi="Arial" w:cs="Arial"/>
          <w:szCs w:val="24"/>
        </w:rPr>
        <w:t xml:space="preserve"> on the Federal Register of Legislation</w:t>
      </w:r>
      <w:r w:rsidRPr="009B0884">
        <w:rPr>
          <w:rFonts w:ascii="Arial" w:hAnsi="Arial" w:cs="Arial"/>
          <w:szCs w:val="24"/>
        </w:rPr>
        <w:t>.</w:t>
      </w:r>
    </w:p>
    <w:p w:rsidR="00A31CAF" w:rsidRPr="009B0884" w:rsidRDefault="00A31CAF" w:rsidP="008504DF">
      <w:pPr>
        <w:keepNext/>
        <w:keepLines/>
        <w:spacing w:before="0" w:after="240"/>
        <w:jc w:val="both"/>
        <w:rPr>
          <w:rFonts w:ascii="Arial" w:hAnsi="Arial" w:cs="Arial"/>
          <w:b/>
          <w:szCs w:val="24"/>
        </w:rPr>
      </w:pPr>
      <w:r w:rsidRPr="009B0884">
        <w:rPr>
          <w:rFonts w:ascii="Arial" w:hAnsi="Arial" w:cs="Arial"/>
          <w:b/>
          <w:szCs w:val="24"/>
        </w:rPr>
        <w:t>Consultation</w:t>
      </w:r>
    </w:p>
    <w:p w:rsidR="009B6975" w:rsidRDefault="009B6975" w:rsidP="008504DF">
      <w:pPr>
        <w:spacing w:before="0" w:after="240"/>
        <w:rPr>
          <w:rFonts w:ascii="Arial" w:hAnsi="Arial" w:cs="Arial"/>
          <w:szCs w:val="24"/>
        </w:rPr>
      </w:pPr>
      <w:r>
        <w:rPr>
          <w:rFonts w:ascii="Arial" w:hAnsi="Arial" w:cs="Arial"/>
          <w:szCs w:val="24"/>
        </w:rPr>
        <w:t xml:space="preserve">The Determination has been made to align with the current instrument (the </w:t>
      </w:r>
      <w:r w:rsidRPr="009B6975">
        <w:rPr>
          <w:rFonts w:ascii="Arial" w:hAnsi="Arial" w:cs="Arial"/>
          <w:i/>
          <w:szCs w:val="24"/>
        </w:rPr>
        <w:t>Social Security (Attribution of Income – Ineligible Deductions) Determination 2017</w:t>
      </w:r>
      <w:r>
        <w:rPr>
          <w:rFonts w:ascii="Arial" w:hAnsi="Arial" w:cs="Arial"/>
          <w:szCs w:val="24"/>
        </w:rPr>
        <w:t xml:space="preserve">) which is applicable to the equivalent provisions of the </w:t>
      </w:r>
      <w:r w:rsidRPr="009B6975">
        <w:rPr>
          <w:rFonts w:ascii="Arial" w:hAnsi="Arial" w:cs="Arial"/>
          <w:i/>
          <w:szCs w:val="24"/>
        </w:rPr>
        <w:t>Social Security Act 1991</w:t>
      </w:r>
      <w:r>
        <w:rPr>
          <w:rFonts w:ascii="Arial" w:hAnsi="Arial" w:cs="Arial"/>
          <w:szCs w:val="24"/>
        </w:rPr>
        <w:t>.</w:t>
      </w:r>
    </w:p>
    <w:p w:rsidR="009B6975" w:rsidRDefault="009B6975" w:rsidP="009B6975">
      <w:pPr>
        <w:spacing w:before="0" w:after="240"/>
        <w:rPr>
          <w:rFonts w:ascii="Arial" w:hAnsi="Arial" w:cs="Arial"/>
          <w:szCs w:val="24"/>
        </w:rPr>
      </w:pPr>
      <w:r>
        <w:rPr>
          <w:rFonts w:ascii="Arial" w:hAnsi="Arial" w:cs="Arial"/>
          <w:szCs w:val="24"/>
        </w:rPr>
        <w:t xml:space="preserve">Both </w:t>
      </w:r>
      <w:r w:rsidR="000C6D7B">
        <w:rPr>
          <w:rFonts w:ascii="Arial" w:hAnsi="Arial" w:cs="Arial"/>
          <w:szCs w:val="24"/>
        </w:rPr>
        <w:t>Treasury and t</w:t>
      </w:r>
      <w:r w:rsidR="00A31CAF" w:rsidRPr="00BD03D0">
        <w:rPr>
          <w:rFonts w:ascii="Arial" w:hAnsi="Arial" w:cs="Arial"/>
          <w:szCs w:val="24"/>
        </w:rPr>
        <w:t>he Department of Hu</w:t>
      </w:r>
      <w:r w:rsidR="00A31CAF" w:rsidRPr="00BE0C16">
        <w:rPr>
          <w:rFonts w:ascii="Arial" w:hAnsi="Arial" w:cs="Arial"/>
          <w:szCs w:val="24"/>
        </w:rPr>
        <w:t xml:space="preserve">man Services </w:t>
      </w:r>
      <w:r w:rsidR="000C6D7B">
        <w:rPr>
          <w:rFonts w:ascii="Arial" w:hAnsi="Arial" w:cs="Arial"/>
          <w:szCs w:val="24"/>
        </w:rPr>
        <w:t>were</w:t>
      </w:r>
      <w:r w:rsidR="00A31CAF" w:rsidRPr="00BE0C16">
        <w:rPr>
          <w:rFonts w:ascii="Arial" w:hAnsi="Arial" w:cs="Arial"/>
          <w:szCs w:val="24"/>
        </w:rPr>
        <w:t xml:space="preserve"> consulted</w:t>
      </w:r>
      <w:r>
        <w:rPr>
          <w:rFonts w:ascii="Arial" w:hAnsi="Arial" w:cs="Arial"/>
          <w:szCs w:val="24"/>
        </w:rPr>
        <w:t xml:space="preserve"> by the Department of Social Services in the preparation of that</w:t>
      </w:r>
      <w:r w:rsidR="00A31CAF" w:rsidRPr="00BE0C16">
        <w:rPr>
          <w:rFonts w:ascii="Arial" w:hAnsi="Arial" w:cs="Arial"/>
          <w:szCs w:val="24"/>
        </w:rPr>
        <w:t xml:space="preserve"> Determination.</w:t>
      </w:r>
      <w:r>
        <w:rPr>
          <w:rFonts w:ascii="Arial" w:hAnsi="Arial" w:cs="Arial"/>
          <w:szCs w:val="24"/>
        </w:rPr>
        <w:t xml:space="preserve"> </w:t>
      </w:r>
    </w:p>
    <w:p w:rsidR="009B6975" w:rsidRDefault="00A31CAF" w:rsidP="009B6975">
      <w:pPr>
        <w:spacing w:before="0" w:after="240"/>
        <w:rPr>
          <w:rFonts w:ascii="Arial" w:hAnsi="Arial" w:cs="Arial"/>
          <w:b/>
          <w:szCs w:val="24"/>
        </w:rPr>
      </w:pPr>
      <w:r w:rsidRPr="008504DF">
        <w:rPr>
          <w:rFonts w:ascii="Arial" w:hAnsi="Arial" w:cs="Arial"/>
          <w:b/>
          <w:szCs w:val="24"/>
        </w:rPr>
        <w:t>Regulation Impact Statement (RIS)</w:t>
      </w:r>
      <w:r w:rsidR="009B6975">
        <w:rPr>
          <w:rFonts w:ascii="Arial" w:hAnsi="Arial" w:cs="Arial"/>
          <w:b/>
          <w:szCs w:val="24"/>
        </w:rPr>
        <w:t xml:space="preserve"> </w:t>
      </w:r>
    </w:p>
    <w:p w:rsidR="009B6975" w:rsidRDefault="00D9180C" w:rsidP="009B6975">
      <w:pPr>
        <w:spacing w:before="0" w:after="240"/>
        <w:rPr>
          <w:rFonts w:ascii="Arial" w:hAnsi="Arial" w:cs="Arial"/>
          <w:szCs w:val="24"/>
        </w:rPr>
      </w:pPr>
      <w:r w:rsidRPr="00D9180C">
        <w:rPr>
          <w:rFonts w:ascii="Arial" w:hAnsi="Arial" w:cs="Arial"/>
          <w:szCs w:val="24"/>
        </w:rPr>
        <w:t>This Determination is not regulatory in nature and will have no regulatory impact on individuals, business, activity or competition.</w:t>
      </w:r>
      <w:r w:rsidR="009B6975">
        <w:rPr>
          <w:rFonts w:ascii="Arial" w:hAnsi="Arial" w:cs="Arial"/>
          <w:szCs w:val="24"/>
        </w:rPr>
        <w:t xml:space="preserve"> </w:t>
      </w:r>
    </w:p>
    <w:p w:rsidR="009B6975" w:rsidRDefault="00FF4984" w:rsidP="009B6975">
      <w:pPr>
        <w:spacing w:before="0" w:after="240"/>
        <w:rPr>
          <w:rFonts w:ascii="Arial" w:hAnsi="Arial" w:cs="Arial"/>
          <w:b/>
          <w:szCs w:val="24"/>
        </w:rPr>
      </w:pPr>
      <w:r w:rsidRPr="008504DF">
        <w:rPr>
          <w:rFonts w:ascii="Arial" w:hAnsi="Arial" w:cs="Arial"/>
          <w:b/>
          <w:szCs w:val="24"/>
        </w:rPr>
        <w:t>Explanation of the provisions</w:t>
      </w:r>
      <w:r w:rsidR="009B6975">
        <w:rPr>
          <w:rFonts w:ascii="Arial" w:hAnsi="Arial" w:cs="Arial"/>
          <w:b/>
          <w:szCs w:val="24"/>
        </w:rPr>
        <w:t xml:space="preserve"> </w:t>
      </w:r>
    </w:p>
    <w:p w:rsidR="009B6975" w:rsidRDefault="00FF4984" w:rsidP="009B6975">
      <w:pPr>
        <w:spacing w:before="0" w:after="240"/>
        <w:rPr>
          <w:rFonts w:ascii="Arial" w:hAnsi="Arial" w:cs="Arial"/>
          <w:i/>
          <w:szCs w:val="24"/>
        </w:rPr>
      </w:pPr>
      <w:r w:rsidRPr="008504DF">
        <w:rPr>
          <w:rFonts w:ascii="Arial" w:hAnsi="Arial" w:cs="Arial"/>
          <w:i/>
          <w:szCs w:val="24"/>
        </w:rPr>
        <w:t>Part 1</w:t>
      </w:r>
      <w:r w:rsidR="009B6975">
        <w:rPr>
          <w:rFonts w:ascii="Arial" w:hAnsi="Arial" w:cs="Arial"/>
          <w:i/>
          <w:szCs w:val="24"/>
        </w:rPr>
        <w:t xml:space="preserve"> </w:t>
      </w:r>
    </w:p>
    <w:p w:rsidR="009B6975" w:rsidRDefault="00FF4984" w:rsidP="009B6975">
      <w:pPr>
        <w:spacing w:before="0" w:after="240"/>
        <w:rPr>
          <w:rFonts w:ascii="Arial" w:hAnsi="Arial" w:cs="Arial"/>
          <w:szCs w:val="24"/>
        </w:rPr>
      </w:pPr>
      <w:r w:rsidRPr="008504DF">
        <w:rPr>
          <w:rFonts w:ascii="Arial" w:hAnsi="Arial" w:cs="Arial"/>
          <w:szCs w:val="24"/>
        </w:rPr>
        <w:t xml:space="preserve">Section 1 of the </w:t>
      </w:r>
      <w:r w:rsidR="00C14348" w:rsidRPr="00C14348">
        <w:rPr>
          <w:rFonts w:ascii="Arial" w:hAnsi="Arial" w:cs="Arial"/>
          <w:szCs w:val="24"/>
        </w:rPr>
        <w:t xml:space="preserve">Determination </w:t>
      </w:r>
      <w:r w:rsidRPr="008504DF">
        <w:rPr>
          <w:rFonts w:ascii="Arial" w:hAnsi="Arial" w:cs="Arial"/>
          <w:szCs w:val="24"/>
        </w:rPr>
        <w:t xml:space="preserve">states the name of the </w:t>
      </w:r>
      <w:r w:rsidR="00C14348" w:rsidRPr="00C14348">
        <w:rPr>
          <w:rFonts w:ascii="Arial" w:hAnsi="Arial" w:cs="Arial"/>
          <w:szCs w:val="24"/>
        </w:rPr>
        <w:t xml:space="preserve">Determination </w:t>
      </w:r>
      <w:r w:rsidRPr="008504DF">
        <w:rPr>
          <w:rFonts w:ascii="Arial" w:hAnsi="Arial" w:cs="Arial"/>
          <w:szCs w:val="24"/>
        </w:rPr>
        <w:t xml:space="preserve">and section 2 states that the Determination commences </w:t>
      </w:r>
      <w:r w:rsidR="003A68C2" w:rsidRPr="008504DF">
        <w:rPr>
          <w:rFonts w:ascii="Arial" w:hAnsi="Arial" w:cs="Arial"/>
          <w:szCs w:val="24"/>
        </w:rPr>
        <w:t>the day after it is registered on the Federal Register of Legislation</w:t>
      </w:r>
      <w:r w:rsidRPr="008504DF">
        <w:rPr>
          <w:rFonts w:ascii="Arial" w:hAnsi="Arial" w:cs="Arial"/>
          <w:szCs w:val="24"/>
        </w:rPr>
        <w:t xml:space="preserve">. </w:t>
      </w:r>
    </w:p>
    <w:p w:rsidR="00624C0A" w:rsidRDefault="00653CA8" w:rsidP="00624C0A">
      <w:pPr>
        <w:rPr>
          <w:rFonts w:ascii="Arial" w:hAnsi="Arial" w:cs="Arial"/>
          <w:i/>
          <w:iCs/>
          <w:szCs w:val="24"/>
        </w:rPr>
      </w:pPr>
      <w:r w:rsidRPr="008504DF">
        <w:rPr>
          <w:rFonts w:ascii="Arial" w:hAnsi="Arial" w:cs="Arial"/>
          <w:szCs w:val="24"/>
        </w:rPr>
        <w:t xml:space="preserve">Section 3 states that this </w:t>
      </w:r>
      <w:r w:rsidR="00C14348" w:rsidRPr="00C14348">
        <w:rPr>
          <w:rFonts w:ascii="Arial" w:hAnsi="Arial" w:cs="Arial"/>
          <w:szCs w:val="24"/>
        </w:rPr>
        <w:t xml:space="preserve">Determination </w:t>
      </w:r>
      <w:r w:rsidR="00B5775F">
        <w:rPr>
          <w:rFonts w:ascii="Arial" w:hAnsi="Arial" w:cs="Arial"/>
          <w:szCs w:val="24"/>
        </w:rPr>
        <w:t xml:space="preserve">revokes Schedule 8 </w:t>
      </w:r>
      <w:r w:rsidR="00624C0A" w:rsidRPr="00624C0A">
        <w:rPr>
          <w:rFonts w:ascii="Arial" w:hAnsi="Arial" w:cs="Arial"/>
          <w:szCs w:val="24"/>
        </w:rPr>
        <w:t xml:space="preserve">(the </w:t>
      </w:r>
      <w:r w:rsidR="00624C0A" w:rsidRPr="00624C0A">
        <w:rPr>
          <w:rFonts w:ascii="Arial" w:hAnsi="Arial" w:cs="Arial"/>
          <w:i/>
          <w:szCs w:val="24"/>
        </w:rPr>
        <w:t xml:space="preserve">Veterans’ Entitlements (Attribution of Income – Ineligible Deductions) Determination 2001 </w:t>
      </w:r>
      <w:r w:rsidR="00624C0A" w:rsidRPr="00624C0A">
        <w:rPr>
          <w:rFonts w:ascii="Arial" w:hAnsi="Arial" w:cs="Arial"/>
          <w:szCs w:val="24"/>
        </w:rPr>
        <w:t xml:space="preserve">- Instrument 2014 No. R70) of the </w:t>
      </w:r>
      <w:r w:rsidR="00624C0A" w:rsidRPr="00624C0A">
        <w:rPr>
          <w:rFonts w:ascii="Arial" w:hAnsi="Arial" w:cs="Arial"/>
          <w:i/>
          <w:szCs w:val="24"/>
        </w:rPr>
        <w:t>Veterans’ Affairs (Legislative Instrument Re-making Exercise) Instrument 2014</w:t>
      </w:r>
      <w:r w:rsidR="00624C0A" w:rsidRPr="00624C0A">
        <w:rPr>
          <w:rFonts w:ascii="Arial" w:hAnsi="Arial" w:cs="Arial"/>
          <w:szCs w:val="24"/>
        </w:rPr>
        <w:t xml:space="preserve"> (Instrument 2014 No. R62) (the 2014 Instrument)</w:t>
      </w:r>
      <w:r w:rsidR="00624C0A" w:rsidRPr="00624C0A">
        <w:rPr>
          <w:rFonts w:ascii="Arial" w:hAnsi="Arial" w:cs="Arial"/>
          <w:i/>
          <w:iCs/>
          <w:szCs w:val="24"/>
        </w:rPr>
        <w:t>.</w:t>
      </w:r>
    </w:p>
    <w:p w:rsidR="00624C0A" w:rsidRPr="00624C0A" w:rsidRDefault="00624C0A" w:rsidP="00624C0A">
      <w:pPr>
        <w:rPr>
          <w:rFonts w:ascii="Arial" w:hAnsi="Arial" w:cs="Arial"/>
          <w:szCs w:val="24"/>
        </w:rPr>
      </w:pPr>
    </w:p>
    <w:p w:rsidR="009B6975" w:rsidRDefault="00FF4984" w:rsidP="009B6975">
      <w:pPr>
        <w:spacing w:before="0" w:after="240"/>
        <w:rPr>
          <w:rFonts w:ascii="Arial" w:hAnsi="Arial" w:cs="Arial"/>
          <w:szCs w:val="24"/>
        </w:rPr>
      </w:pPr>
      <w:r w:rsidRPr="008504DF">
        <w:rPr>
          <w:rFonts w:ascii="Arial" w:hAnsi="Arial" w:cs="Arial"/>
          <w:szCs w:val="24"/>
        </w:rPr>
        <w:t xml:space="preserve">Section </w:t>
      </w:r>
      <w:r w:rsidR="009B27B8" w:rsidRPr="008504DF">
        <w:rPr>
          <w:rFonts w:ascii="Arial" w:hAnsi="Arial" w:cs="Arial"/>
          <w:szCs w:val="24"/>
        </w:rPr>
        <w:t xml:space="preserve">4 </w:t>
      </w:r>
      <w:r w:rsidRPr="008504DF">
        <w:rPr>
          <w:rFonts w:ascii="Arial" w:hAnsi="Arial" w:cs="Arial"/>
          <w:szCs w:val="24"/>
        </w:rPr>
        <w:t>contains</w:t>
      </w:r>
      <w:r w:rsidR="00FB0075">
        <w:rPr>
          <w:rFonts w:ascii="Arial" w:hAnsi="Arial" w:cs="Arial"/>
          <w:szCs w:val="24"/>
        </w:rPr>
        <w:t xml:space="preserve"> the</w:t>
      </w:r>
      <w:r w:rsidRPr="008504DF">
        <w:rPr>
          <w:rFonts w:ascii="Arial" w:hAnsi="Arial" w:cs="Arial"/>
          <w:szCs w:val="24"/>
        </w:rPr>
        <w:t xml:space="preserve"> interpretation provisions</w:t>
      </w:r>
      <w:r w:rsidR="00FB0075">
        <w:rPr>
          <w:rFonts w:ascii="Arial" w:hAnsi="Arial" w:cs="Arial"/>
          <w:szCs w:val="24"/>
        </w:rPr>
        <w:t xml:space="preserve"> for the Determination</w:t>
      </w:r>
      <w:r w:rsidRPr="008504DF">
        <w:rPr>
          <w:rFonts w:ascii="Arial" w:hAnsi="Arial" w:cs="Arial"/>
          <w:szCs w:val="24"/>
        </w:rPr>
        <w:t>.</w:t>
      </w:r>
      <w:r w:rsidR="009B6975">
        <w:rPr>
          <w:rFonts w:ascii="Arial" w:hAnsi="Arial" w:cs="Arial"/>
          <w:szCs w:val="24"/>
        </w:rPr>
        <w:t xml:space="preserve"> </w:t>
      </w:r>
    </w:p>
    <w:p w:rsidR="009B6975" w:rsidRDefault="00FF4984" w:rsidP="009B6975">
      <w:pPr>
        <w:spacing w:before="0" w:after="240"/>
        <w:rPr>
          <w:rFonts w:ascii="Arial" w:hAnsi="Arial" w:cs="Arial"/>
          <w:i/>
          <w:szCs w:val="24"/>
        </w:rPr>
      </w:pPr>
      <w:r w:rsidRPr="008504DF">
        <w:rPr>
          <w:rFonts w:ascii="Arial" w:hAnsi="Arial" w:cs="Arial"/>
          <w:i/>
          <w:szCs w:val="24"/>
        </w:rPr>
        <w:t>Part 2</w:t>
      </w:r>
      <w:r w:rsidR="009B6975">
        <w:rPr>
          <w:rFonts w:ascii="Arial" w:hAnsi="Arial" w:cs="Arial"/>
          <w:i/>
          <w:szCs w:val="24"/>
        </w:rPr>
        <w:t xml:space="preserve"> </w:t>
      </w:r>
    </w:p>
    <w:p w:rsidR="009B6975" w:rsidRDefault="00FF4984" w:rsidP="009B6975">
      <w:pPr>
        <w:spacing w:before="0" w:after="240"/>
        <w:rPr>
          <w:rFonts w:ascii="Arial" w:hAnsi="Arial" w:cs="Arial"/>
          <w:szCs w:val="24"/>
        </w:rPr>
      </w:pPr>
      <w:r w:rsidRPr="008504DF">
        <w:rPr>
          <w:rFonts w:ascii="Arial" w:hAnsi="Arial" w:cs="Arial"/>
          <w:szCs w:val="24"/>
        </w:rPr>
        <w:t xml:space="preserve">Section </w:t>
      </w:r>
      <w:r w:rsidR="00653CA8" w:rsidRPr="008504DF">
        <w:rPr>
          <w:rFonts w:ascii="Arial" w:hAnsi="Arial" w:cs="Arial"/>
          <w:szCs w:val="24"/>
        </w:rPr>
        <w:t xml:space="preserve">5 </w:t>
      </w:r>
      <w:r w:rsidRPr="008504DF">
        <w:rPr>
          <w:rFonts w:ascii="Arial" w:hAnsi="Arial" w:cs="Arial"/>
          <w:szCs w:val="24"/>
        </w:rPr>
        <w:t xml:space="preserve">of the </w:t>
      </w:r>
      <w:r w:rsidR="00C14348" w:rsidRPr="00C14348">
        <w:rPr>
          <w:rFonts w:ascii="Arial" w:hAnsi="Arial" w:cs="Arial"/>
          <w:szCs w:val="24"/>
        </w:rPr>
        <w:t xml:space="preserve">Determination </w:t>
      </w:r>
      <w:r w:rsidRPr="008504DF">
        <w:rPr>
          <w:rFonts w:ascii="Arial" w:hAnsi="Arial" w:cs="Arial"/>
          <w:szCs w:val="24"/>
        </w:rPr>
        <w:t>provides that f</w:t>
      </w:r>
      <w:r w:rsidR="00624C0A">
        <w:rPr>
          <w:rFonts w:ascii="Arial" w:hAnsi="Arial" w:cs="Arial"/>
          <w:szCs w:val="24"/>
        </w:rPr>
        <w:t xml:space="preserve">or the purposes of subsections </w:t>
      </w:r>
      <w:proofErr w:type="gramStart"/>
      <w:r w:rsidR="00624C0A">
        <w:rPr>
          <w:rFonts w:ascii="Arial" w:hAnsi="Arial" w:cs="Arial"/>
          <w:szCs w:val="24"/>
        </w:rPr>
        <w:t>52ZZO(</w:t>
      </w:r>
      <w:proofErr w:type="gramEnd"/>
      <w:r w:rsidRPr="008504DF">
        <w:rPr>
          <w:rFonts w:ascii="Arial" w:hAnsi="Arial" w:cs="Arial"/>
          <w:szCs w:val="24"/>
        </w:rPr>
        <w:t xml:space="preserve">3) and </w:t>
      </w:r>
      <w:r w:rsidR="00624C0A">
        <w:rPr>
          <w:rFonts w:ascii="Arial" w:hAnsi="Arial" w:cs="Arial"/>
          <w:szCs w:val="24"/>
        </w:rPr>
        <w:t>52ZZZO</w:t>
      </w:r>
      <w:r w:rsidRPr="008504DF">
        <w:rPr>
          <w:rFonts w:ascii="Arial" w:hAnsi="Arial" w:cs="Arial"/>
          <w:szCs w:val="24"/>
        </w:rPr>
        <w:t xml:space="preserve">(3) of the </w:t>
      </w:r>
      <w:r w:rsidR="00624C0A">
        <w:rPr>
          <w:rFonts w:ascii="Arial" w:hAnsi="Arial" w:cs="Arial"/>
          <w:szCs w:val="24"/>
        </w:rPr>
        <w:t xml:space="preserve">Veterans’ Entitlements </w:t>
      </w:r>
      <w:r w:rsidRPr="008504DF">
        <w:rPr>
          <w:rFonts w:ascii="Arial" w:hAnsi="Arial" w:cs="Arial"/>
          <w:szCs w:val="24"/>
        </w:rPr>
        <w:t xml:space="preserve">Act, those deductions listed in Parts 1 and 2 of Schedules 1 and 2 (respectively) of the </w:t>
      </w:r>
      <w:r w:rsidR="00C14348" w:rsidRPr="00C14348">
        <w:rPr>
          <w:rFonts w:ascii="Arial" w:hAnsi="Arial" w:cs="Arial"/>
          <w:szCs w:val="24"/>
        </w:rPr>
        <w:t>Determination</w:t>
      </w:r>
      <w:r w:rsidRPr="008504DF">
        <w:rPr>
          <w:rFonts w:ascii="Arial" w:hAnsi="Arial" w:cs="Arial"/>
          <w:szCs w:val="24"/>
        </w:rPr>
        <w:t xml:space="preserve">, that would normally be allowable deductions under the </w:t>
      </w:r>
      <w:r w:rsidR="00334D3A" w:rsidRPr="008504DF">
        <w:rPr>
          <w:rFonts w:ascii="Arial" w:hAnsi="Arial" w:cs="Arial"/>
          <w:szCs w:val="24"/>
        </w:rPr>
        <w:t>ITAA 36</w:t>
      </w:r>
      <w:r w:rsidRPr="008504DF">
        <w:rPr>
          <w:rFonts w:ascii="Arial" w:hAnsi="Arial" w:cs="Arial"/>
          <w:szCs w:val="24"/>
        </w:rPr>
        <w:t xml:space="preserve"> or </w:t>
      </w:r>
      <w:r w:rsidR="00334D3A" w:rsidRPr="008504DF">
        <w:rPr>
          <w:rFonts w:ascii="Arial" w:hAnsi="Arial" w:cs="Arial"/>
          <w:szCs w:val="24"/>
        </w:rPr>
        <w:t xml:space="preserve">ITAA 97 </w:t>
      </w:r>
      <w:r w:rsidRPr="008504DF">
        <w:rPr>
          <w:rFonts w:ascii="Arial" w:hAnsi="Arial" w:cs="Arial"/>
          <w:szCs w:val="24"/>
        </w:rPr>
        <w:t xml:space="preserve">are ineligible deductions, for the purposes of </w:t>
      </w:r>
      <w:r w:rsidR="00624C0A">
        <w:rPr>
          <w:rFonts w:ascii="Arial" w:hAnsi="Arial" w:cs="Arial"/>
          <w:szCs w:val="24"/>
        </w:rPr>
        <w:t xml:space="preserve">Division 11A of </w:t>
      </w:r>
      <w:r w:rsidRPr="008504DF">
        <w:rPr>
          <w:rFonts w:ascii="Arial" w:hAnsi="Arial" w:cs="Arial"/>
          <w:szCs w:val="24"/>
        </w:rPr>
        <w:t xml:space="preserve">Part </w:t>
      </w:r>
      <w:r w:rsidR="00624C0A">
        <w:rPr>
          <w:rFonts w:ascii="Arial" w:hAnsi="Arial" w:cs="Arial"/>
          <w:szCs w:val="24"/>
        </w:rPr>
        <w:t>IIIB</w:t>
      </w:r>
      <w:r w:rsidRPr="008504DF">
        <w:rPr>
          <w:rFonts w:ascii="Arial" w:hAnsi="Arial" w:cs="Arial"/>
          <w:szCs w:val="24"/>
        </w:rPr>
        <w:t xml:space="preserve"> of the </w:t>
      </w:r>
      <w:r w:rsidR="00624C0A">
        <w:rPr>
          <w:rFonts w:ascii="Arial" w:hAnsi="Arial" w:cs="Arial"/>
          <w:szCs w:val="24"/>
        </w:rPr>
        <w:t>Veterans’ Entitlements</w:t>
      </w:r>
      <w:r w:rsidRPr="008504DF">
        <w:rPr>
          <w:rFonts w:ascii="Arial" w:hAnsi="Arial" w:cs="Arial"/>
          <w:szCs w:val="24"/>
        </w:rPr>
        <w:t xml:space="preserve"> Act.</w:t>
      </w:r>
      <w:r w:rsidR="009B6975">
        <w:rPr>
          <w:rFonts w:ascii="Arial" w:hAnsi="Arial" w:cs="Arial"/>
          <w:szCs w:val="24"/>
        </w:rPr>
        <w:t xml:space="preserve"> </w:t>
      </w:r>
    </w:p>
    <w:p w:rsidR="00300A64" w:rsidRPr="008504DF" w:rsidRDefault="00FF4984" w:rsidP="009B6975">
      <w:pPr>
        <w:spacing w:before="0" w:after="240"/>
        <w:rPr>
          <w:rFonts w:ascii="Arial" w:hAnsi="Arial" w:cs="Arial"/>
          <w:szCs w:val="24"/>
        </w:rPr>
      </w:pPr>
      <w:r w:rsidRPr="008504DF">
        <w:rPr>
          <w:rFonts w:ascii="Arial" w:hAnsi="Arial" w:cs="Arial"/>
          <w:szCs w:val="24"/>
        </w:rPr>
        <w:t xml:space="preserve">Sections </w:t>
      </w:r>
      <w:r w:rsidR="00653CA8" w:rsidRPr="008504DF">
        <w:rPr>
          <w:rFonts w:ascii="Arial" w:hAnsi="Arial" w:cs="Arial"/>
          <w:szCs w:val="24"/>
        </w:rPr>
        <w:t xml:space="preserve">6 </w:t>
      </w:r>
      <w:r w:rsidRPr="008504DF">
        <w:rPr>
          <w:rFonts w:ascii="Arial" w:hAnsi="Arial" w:cs="Arial"/>
          <w:szCs w:val="24"/>
        </w:rPr>
        <w:t xml:space="preserve">to 11 provide rules that deal with </w:t>
      </w:r>
      <w:r w:rsidR="00624C0A">
        <w:rPr>
          <w:rFonts w:ascii="Arial" w:hAnsi="Arial" w:cs="Arial"/>
          <w:szCs w:val="24"/>
        </w:rPr>
        <w:t xml:space="preserve">the application of subsections </w:t>
      </w:r>
      <w:proofErr w:type="gramStart"/>
      <w:r w:rsidR="00624C0A">
        <w:rPr>
          <w:rFonts w:ascii="Arial" w:hAnsi="Arial" w:cs="Arial"/>
          <w:szCs w:val="24"/>
        </w:rPr>
        <w:t>52ZZO</w:t>
      </w:r>
      <w:r w:rsidRPr="008504DF">
        <w:rPr>
          <w:rFonts w:ascii="Arial" w:hAnsi="Arial" w:cs="Arial"/>
          <w:szCs w:val="24"/>
        </w:rPr>
        <w:t>(</w:t>
      </w:r>
      <w:proofErr w:type="gramEnd"/>
      <w:r w:rsidRPr="008504DF">
        <w:rPr>
          <w:rFonts w:ascii="Arial" w:hAnsi="Arial" w:cs="Arial"/>
          <w:szCs w:val="24"/>
        </w:rPr>
        <w:t xml:space="preserve">5) and </w:t>
      </w:r>
      <w:r w:rsidR="00624C0A">
        <w:rPr>
          <w:rFonts w:ascii="Arial" w:hAnsi="Arial" w:cs="Arial"/>
          <w:szCs w:val="24"/>
        </w:rPr>
        <w:t>52ZZZO</w:t>
      </w:r>
      <w:r w:rsidRPr="008504DF">
        <w:rPr>
          <w:rFonts w:ascii="Arial" w:hAnsi="Arial" w:cs="Arial"/>
          <w:szCs w:val="24"/>
        </w:rPr>
        <w:t xml:space="preserve">(5) of the </w:t>
      </w:r>
      <w:r w:rsidR="00624C0A">
        <w:rPr>
          <w:rFonts w:ascii="Arial" w:hAnsi="Arial" w:cs="Arial"/>
          <w:szCs w:val="24"/>
        </w:rPr>
        <w:t xml:space="preserve">Veterans’ Entitlements </w:t>
      </w:r>
      <w:r w:rsidRPr="008504DF">
        <w:rPr>
          <w:rFonts w:ascii="Arial" w:hAnsi="Arial" w:cs="Arial"/>
          <w:szCs w:val="24"/>
        </w:rPr>
        <w:t>Act in relation to particular types of deductions.</w:t>
      </w:r>
    </w:p>
    <w:p w:rsidR="00300A64" w:rsidRPr="008504DF" w:rsidRDefault="00FF4984">
      <w:pPr>
        <w:keepNext/>
        <w:keepLines/>
        <w:spacing w:before="0" w:after="240"/>
        <w:jc w:val="both"/>
        <w:rPr>
          <w:rFonts w:ascii="Arial" w:hAnsi="Arial" w:cs="Arial"/>
          <w:szCs w:val="24"/>
        </w:rPr>
      </w:pPr>
      <w:r w:rsidRPr="008504DF">
        <w:rPr>
          <w:rFonts w:ascii="Arial" w:hAnsi="Arial" w:cs="Arial"/>
          <w:szCs w:val="24"/>
        </w:rPr>
        <w:lastRenderedPageBreak/>
        <w:t>Section 6 provides that, where a company or trust pays wages or a salary to an attributable stakeholder of that entity, or an associate of such a person, then such part of the salary or wages payment that is greater than reasonable remuneration for the work undertaken will be an ineligible part of the allowable deduction.</w:t>
      </w:r>
    </w:p>
    <w:p w:rsidR="00300A64" w:rsidRPr="008504DF" w:rsidRDefault="00FF4984">
      <w:pPr>
        <w:keepNext/>
        <w:keepLines/>
        <w:spacing w:before="0" w:after="240"/>
        <w:jc w:val="both"/>
        <w:rPr>
          <w:rFonts w:ascii="Arial" w:hAnsi="Arial" w:cs="Arial"/>
          <w:szCs w:val="24"/>
        </w:rPr>
      </w:pPr>
      <w:r w:rsidRPr="008504DF">
        <w:rPr>
          <w:rFonts w:ascii="Arial" w:hAnsi="Arial" w:cs="Arial"/>
          <w:szCs w:val="24"/>
        </w:rPr>
        <w:t xml:space="preserve">Section 7 provides that any part of an interest payment to a creditor of a company or trust will be an ineligible part of the allowable deduction in so far as it is greater than a reasonable rate of interest. </w:t>
      </w:r>
    </w:p>
    <w:p w:rsidR="00300A64" w:rsidRPr="008504DF" w:rsidRDefault="00FF4984">
      <w:pPr>
        <w:keepNext/>
        <w:keepLines/>
        <w:spacing w:before="0" w:after="240"/>
        <w:jc w:val="both"/>
        <w:rPr>
          <w:rFonts w:ascii="Arial" w:hAnsi="Arial" w:cs="Arial"/>
          <w:szCs w:val="24"/>
        </w:rPr>
      </w:pPr>
      <w:r w:rsidRPr="008504DF">
        <w:rPr>
          <w:rFonts w:ascii="Arial" w:hAnsi="Arial" w:cs="Arial"/>
          <w:szCs w:val="24"/>
        </w:rPr>
        <w:t xml:space="preserve">Section 8 provides that, where a company or trust artificially depreciates the value of its trading stock by changing its method of valuing the stock from one year to the next in accordance with an election under section 70-45 of the </w:t>
      </w:r>
      <w:r w:rsidR="00334D3A" w:rsidRPr="008504DF">
        <w:rPr>
          <w:rFonts w:ascii="Arial" w:hAnsi="Arial" w:cs="Arial"/>
          <w:szCs w:val="24"/>
        </w:rPr>
        <w:t>ITAA 97</w:t>
      </w:r>
      <w:r w:rsidRPr="008504DF">
        <w:rPr>
          <w:rFonts w:ascii="Arial" w:hAnsi="Arial" w:cs="Arial"/>
          <w:szCs w:val="24"/>
        </w:rPr>
        <w:t>, then any part of the depreciation which is solely attributable to this altered valuation method will be an ineligible part of the allowable deduction.</w:t>
      </w:r>
    </w:p>
    <w:p w:rsidR="00300A64" w:rsidRPr="008504DF" w:rsidRDefault="00FF4984">
      <w:pPr>
        <w:keepNext/>
        <w:keepLines/>
        <w:spacing w:before="0" w:after="240"/>
        <w:jc w:val="both"/>
        <w:rPr>
          <w:rFonts w:ascii="Arial" w:hAnsi="Arial" w:cs="Arial"/>
          <w:szCs w:val="24"/>
        </w:rPr>
      </w:pPr>
      <w:r w:rsidRPr="008504DF">
        <w:rPr>
          <w:rFonts w:ascii="Arial" w:hAnsi="Arial" w:cs="Arial"/>
          <w:szCs w:val="24"/>
        </w:rPr>
        <w:t xml:space="preserve">Section 9 provides that, where a primary production company or trust artificially depreciates the value of its trading stock by changing its method of valuing the stock from one year to the next in accordance with an election under section 70-45 of the </w:t>
      </w:r>
      <w:r w:rsidR="00334D3A" w:rsidRPr="008504DF">
        <w:rPr>
          <w:rFonts w:ascii="Arial" w:hAnsi="Arial" w:cs="Arial"/>
          <w:szCs w:val="24"/>
        </w:rPr>
        <w:t>ITAA 97</w:t>
      </w:r>
      <w:r w:rsidRPr="008504DF">
        <w:rPr>
          <w:rFonts w:ascii="Arial" w:hAnsi="Arial" w:cs="Arial"/>
          <w:szCs w:val="24"/>
        </w:rPr>
        <w:t>, then any part of the depreciation which is solely attributable to this altered valuation method will be an ineligible part of the allowable deduction.</w:t>
      </w:r>
    </w:p>
    <w:p w:rsidR="00300A64" w:rsidRPr="008504DF" w:rsidRDefault="00FF4984">
      <w:pPr>
        <w:keepNext/>
        <w:keepLines/>
        <w:spacing w:before="0" w:after="240"/>
        <w:jc w:val="both"/>
        <w:rPr>
          <w:rFonts w:ascii="Arial" w:hAnsi="Arial" w:cs="Arial"/>
          <w:szCs w:val="24"/>
        </w:rPr>
      </w:pPr>
      <w:r w:rsidRPr="008504DF">
        <w:rPr>
          <w:rFonts w:ascii="Arial" w:hAnsi="Arial" w:cs="Arial"/>
          <w:szCs w:val="24"/>
        </w:rPr>
        <w:t xml:space="preserve">Section 10 provides that, where a company or trust artificially depreciates the value of its trading stock by changing its method of valuing the stock during an income year in accordance with an election under section 70-50 of the </w:t>
      </w:r>
      <w:r w:rsidR="00334D3A" w:rsidRPr="008504DF">
        <w:rPr>
          <w:rFonts w:ascii="Arial" w:hAnsi="Arial" w:cs="Arial"/>
          <w:szCs w:val="24"/>
        </w:rPr>
        <w:t>ITAA 97</w:t>
      </w:r>
      <w:r w:rsidRPr="008504DF">
        <w:rPr>
          <w:rFonts w:ascii="Arial" w:hAnsi="Arial" w:cs="Arial"/>
          <w:szCs w:val="24"/>
        </w:rPr>
        <w:t>, then any part of the depreciation which is solely attributable to this altered valuation method will be an ineligible part of the allowable deduction.</w:t>
      </w:r>
    </w:p>
    <w:p w:rsidR="00300A64" w:rsidRPr="008504DF" w:rsidRDefault="00FF4984">
      <w:pPr>
        <w:keepNext/>
        <w:keepLines/>
        <w:spacing w:before="0" w:after="240"/>
        <w:jc w:val="both"/>
        <w:rPr>
          <w:rFonts w:ascii="Arial" w:hAnsi="Arial" w:cs="Arial"/>
          <w:szCs w:val="24"/>
        </w:rPr>
      </w:pPr>
      <w:r w:rsidRPr="008504DF">
        <w:rPr>
          <w:rFonts w:ascii="Arial" w:hAnsi="Arial" w:cs="Arial"/>
          <w:szCs w:val="24"/>
        </w:rPr>
        <w:t xml:space="preserve">Section 11 provides that, where a primary production company or trust artificially depreciates the value of its trading stock by changing its method of valuing the stock during an income year in accordance with an election under section 70-50 of the </w:t>
      </w:r>
      <w:r w:rsidR="00334D3A" w:rsidRPr="008504DF">
        <w:rPr>
          <w:rFonts w:ascii="Arial" w:hAnsi="Arial" w:cs="Arial"/>
          <w:szCs w:val="24"/>
        </w:rPr>
        <w:t>ITAA 97</w:t>
      </w:r>
      <w:r w:rsidRPr="008504DF">
        <w:rPr>
          <w:rFonts w:ascii="Arial" w:hAnsi="Arial" w:cs="Arial"/>
          <w:szCs w:val="24"/>
        </w:rPr>
        <w:t>, then any part of the depreciation which is solely attributable to this altered valuation method will be an ineligible part of the allowable deduction.</w:t>
      </w:r>
    </w:p>
    <w:p w:rsidR="00300A64" w:rsidRPr="008504DF" w:rsidRDefault="00FF4984">
      <w:pPr>
        <w:keepNext/>
        <w:keepLines/>
        <w:spacing w:before="0" w:after="240"/>
        <w:jc w:val="both"/>
        <w:rPr>
          <w:rFonts w:ascii="Arial" w:hAnsi="Arial" w:cs="Arial"/>
          <w:i/>
          <w:szCs w:val="24"/>
        </w:rPr>
      </w:pPr>
      <w:r w:rsidRPr="008504DF">
        <w:rPr>
          <w:rFonts w:ascii="Arial" w:hAnsi="Arial" w:cs="Arial"/>
          <w:i/>
          <w:szCs w:val="24"/>
        </w:rPr>
        <w:t>Schedule 1 – Part 1</w:t>
      </w:r>
    </w:p>
    <w:p w:rsidR="00300A64" w:rsidRPr="008504DF" w:rsidRDefault="00FF4984">
      <w:pPr>
        <w:keepNext/>
        <w:keepLines/>
        <w:spacing w:before="0" w:after="240"/>
        <w:jc w:val="both"/>
        <w:rPr>
          <w:rFonts w:ascii="Arial" w:hAnsi="Arial" w:cs="Arial"/>
          <w:szCs w:val="24"/>
        </w:rPr>
      </w:pPr>
      <w:r w:rsidRPr="008504DF">
        <w:rPr>
          <w:rFonts w:ascii="Arial" w:hAnsi="Arial" w:cs="Arial"/>
          <w:szCs w:val="24"/>
        </w:rPr>
        <w:t xml:space="preserve">This part provides a list of deductions, which would otherwise be allowable under </w:t>
      </w:r>
      <w:r w:rsidR="00334D3A" w:rsidRPr="008504DF">
        <w:rPr>
          <w:rFonts w:ascii="Arial" w:hAnsi="Arial" w:cs="Arial"/>
          <w:szCs w:val="24"/>
        </w:rPr>
        <w:t>ITAA 36</w:t>
      </w:r>
      <w:r w:rsidRPr="008504DF">
        <w:rPr>
          <w:rFonts w:ascii="Arial" w:hAnsi="Arial" w:cs="Arial"/>
          <w:szCs w:val="24"/>
        </w:rPr>
        <w:t xml:space="preserve">, but are determined to be ineligible deductions for the purposes of section </w:t>
      </w:r>
      <w:r w:rsidR="00624C0A">
        <w:rPr>
          <w:rFonts w:ascii="Arial" w:hAnsi="Arial" w:cs="Arial"/>
          <w:szCs w:val="24"/>
        </w:rPr>
        <w:t>52ZZO</w:t>
      </w:r>
      <w:r w:rsidRPr="008504DF">
        <w:rPr>
          <w:rFonts w:ascii="Arial" w:hAnsi="Arial" w:cs="Arial"/>
          <w:szCs w:val="24"/>
        </w:rPr>
        <w:t xml:space="preserve"> of the </w:t>
      </w:r>
      <w:r w:rsidR="00624C0A">
        <w:rPr>
          <w:rFonts w:ascii="Arial" w:hAnsi="Arial" w:cs="Arial"/>
          <w:szCs w:val="24"/>
        </w:rPr>
        <w:t xml:space="preserve">Veterans’ Entitlements </w:t>
      </w:r>
      <w:r w:rsidRPr="008504DF">
        <w:rPr>
          <w:rFonts w:ascii="Arial" w:hAnsi="Arial" w:cs="Arial"/>
          <w:szCs w:val="24"/>
        </w:rPr>
        <w:t>Act.</w:t>
      </w:r>
    </w:p>
    <w:p w:rsidR="00FB7B67" w:rsidRPr="008504DF" w:rsidRDefault="00D4490A">
      <w:pPr>
        <w:keepNext/>
        <w:keepLines/>
        <w:spacing w:before="0" w:after="240"/>
        <w:jc w:val="both"/>
        <w:rPr>
          <w:rFonts w:ascii="Arial" w:hAnsi="Arial" w:cs="Arial"/>
          <w:szCs w:val="24"/>
        </w:rPr>
      </w:pPr>
      <w:r w:rsidRPr="008504DF">
        <w:rPr>
          <w:rFonts w:ascii="Arial" w:hAnsi="Arial" w:cs="Arial"/>
          <w:szCs w:val="24"/>
        </w:rPr>
        <w:t xml:space="preserve">This </w:t>
      </w:r>
      <w:r w:rsidR="00FB7B67" w:rsidRPr="008504DF">
        <w:rPr>
          <w:rFonts w:ascii="Arial" w:hAnsi="Arial" w:cs="Arial"/>
          <w:szCs w:val="24"/>
        </w:rPr>
        <w:t xml:space="preserve">list </w:t>
      </w:r>
      <w:r w:rsidRPr="008504DF">
        <w:rPr>
          <w:rFonts w:ascii="Arial" w:hAnsi="Arial" w:cs="Arial"/>
          <w:szCs w:val="24"/>
        </w:rPr>
        <w:t xml:space="preserve">has been updated </w:t>
      </w:r>
      <w:r w:rsidR="00FB7B67" w:rsidRPr="008504DF">
        <w:rPr>
          <w:rFonts w:ascii="Arial" w:hAnsi="Arial" w:cs="Arial"/>
          <w:szCs w:val="24"/>
        </w:rPr>
        <w:t>to reflect</w:t>
      </w:r>
      <w:r w:rsidRPr="008504DF">
        <w:rPr>
          <w:rFonts w:ascii="Arial" w:hAnsi="Arial" w:cs="Arial"/>
          <w:szCs w:val="24"/>
        </w:rPr>
        <w:t xml:space="preserve"> amendments to the </w:t>
      </w:r>
      <w:r w:rsidR="00FB7B67" w:rsidRPr="008504DF">
        <w:rPr>
          <w:rFonts w:ascii="Arial" w:hAnsi="Arial" w:cs="Arial"/>
          <w:szCs w:val="24"/>
        </w:rPr>
        <w:t>ITAA 36 since the 20</w:t>
      </w:r>
      <w:r w:rsidR="00624C0A">
        <w:rPr>
          <w:rFonts w:ascii="Arial" w:hAnsi="Arial" w:cs="Arial"/>
          <w:szCs w:val="24"/>
        </w:rPr>
        <w:t>14</w:t>
      </w:r>
      <w:r w:rsidR="00FB7B67" w:rsidRPr="008504DF">
        <w:rPr>
          <w:rFonts w:ascii="Arial" w:hAnsi="Arial" w:cs="Arial"/>
          <w:szCs w:val="24"/>
        </w:rPr>
        <w:t xml:space="preserve"> </w:t>
      </w:r>
      <w:r w:rsidR="00624C0A">
        <w:rPr>
          <w:rFonts w:ascii="Arial" w:hAnsi="Arial" w:cs="Arial"/>
          <w:szCs w:val="24"/>
        </w:rPr>
        <w:t>Instrument</w:t>
      </w:r>
      <w:r w:rsidR="00C14348" w:rsidRPr="00C14348">
        <w:rPr>
          <w:rFonts w:ascii="Arial" w:hAnsi="Arial" w:cs="Arial"/>
          <w:szCs w:val="24"/>
        </w:rPr>
        <w:t xml:space="preserve"> </w:t>
      </w:r>
      <w:r w:rsidR="00686A41" w:rsidRPr="008504DF">
        <w:rPr>
          <w:rFonts w:ascii="Arial" w:hAnsi="Arial" w:cs="Arial"/>
          <w:szCs w:val="24"/>
        </w:rPr>
        <w:t xml:space="preserve">was made </w:t>
      </w:r>
      <w:r w:rsidR="00FF4984" w:rsidRPr="008504DF">
        <w:rPr>
          <w:rFonts w:ascii="Arial" w:hAnsi="Arial" w:cs="Arial"/>
          <w:szCs w:val="24"/>
        </w:rPr>
        <w:t>and to include new deductions of a similar natu</w:t>
      </w:r>
      <w:r w:rsidR="00624C0A">
        <w:rPr>
          <w:rFonts w:ascii="Arial" w:hAnsi="Arial" w:cs="Arial"/>
          <w:szCs w:val="24"/>
        </w:rPr>
        <w:t>re to those contained in the 2014</w:t>
      </w:r>
      <w:r w:rsidR="00FF4984" w:rsidRPr="008504DF">
        <w:rPr>
          <w:rFonts w:ascii="Arial" w:hAnsi="Arial" w:cs="Arial"/>
          <w:szCs w:val="24"/>
        </w:rPr>
        <w:t xml:space="preserve"> </w:t>
      </w:r>
      <w:r w:rsidR="00624C0A">
        <w:rPr>
          <w:rFonts w:ascii="Arial" w:hAnsi="Arial" w:cs="Arial"/>
          <w:szCs w:val="24"/>
        </w:rPr>
        <w:t>Instrument</w:t>
      </w:r>
      <w:r w:rsidR="00FB7B67" w:rsidRPr="008504DF">
        <w:rPr>
          <w:rFonts w:ascii="Arial" w:hAnsi="Arial" w:cs="Arial"/>
          <w:szCs w:val="24"/>
        </w:rPr>
        <w:t>.</w:t>
      </w:r>
    </w:p>
    <w:p w:rsidR="00300A64" w:rsidRPr="008504DF" w:rsidRDefault="00FF4984">
      <w:pPr>
        <w:keepNext/>
        <w:keepLines/>
        <w:spacing w:before="0" w:after="240"/>
        <w:jc w:val="both"/>
        <w:rPr>
          <w:rFonts w:ascii="Arial" w:hAnsi="Arial" w:cs="Arial"/>
          <w:i/>
          <w:szCs w:val="24"/>
        </w:rPr>
      </w:pPr>
      <w:r w:rsidRPr="008504DF">
        <w:rPr>
          <w:rFonts w:ascii="Arial" w:hAnsi="Arial" w:cs="Arial"/>
          <w:i/>
          <w:szCs w:val="24"/>
        </w:rPr>
        <w:t>Schedule 1 – Part 2</w:t>
      </w:r>
    </w:p>
    <w:p w:rsidR="00300A64" w:rsidRPr="008504DF" w:rsidRDefault="00FF4984">
      <w:pPr>
        <w:keepNext/>
        <w:keepLines/>
        <w:spacing w:before="0" w:after="240"/>
        <w:jc w:val="both"/>
        <w:rPr>
          <w:rFonts w:ascii="Arial" w:hAnsi="Arial" w:cs="Arial"/>
          <w:szCs w:val="24"/>
        </w:rPr>
      </w:pPr>
      <w:r w:rsidRPr="008504DF">
        <w:rPr>
          <w:rFonts w:ascii="Arial" w:hAnsi="Arial" w:cs="Arial"/>
          <w:szCs w:val="24"/>
        </w:rPr>
        <w:t xml:space="preserve">This part provides a list of deductions, which would otherwise be allowable under the </w:t>
      </w:r>
      <w:r w:rsidR="00334D3A" w:rsidRPr="008504DF">
        <w:rPr>
          <w:rFonts w:ascii="Arial" w:hAnsi="Arial" w:cs="Arial"/>
          <w:szCs w:val="24"/>
        </w:rPr>
        <w:t>ITAA 97</w:t>
      </w:r>
      <w:r w:rsidRPr="008504DF">
        <w:rPr>
          <w:rFonts w:ascii="Arial" w:hAnsi="Arial" w:cs="Arial"/>
          <w:szCs w:val="24"/>
        </w:rPr>
        <w:t xml:space="preserve">, but are determined to be ineligible deductions for the purposes of section </w:t>
      </w:r>
      <w:r w:rsidR="00624C0A">
        <w:rPr>
          <w:rFonts w:ascii="Arial" w:hAnsi="Arial" w:cs="Arial"/>
          <w:szCs w:val="24"/>
        </w:rPr>
        <w:t>52ZZO</w:t>
      </w:r>
      <w:r w:rsidRPr="008504DF">
        <w:rPr>
          <w:rFonts w:ascii="Arial" w:hAnsi="Arial" w:cs="Arial"/>
          <w:szCs w:val="24"/>
        </w:rPr>
        <w:t xml:space="preserve"> of the </w:t>
      </w:r>
      <w:r w:rsidR="00624C0A">
        <w:rPr>
          <w:rFonts w:ascii="Arial" w:hAnsi="Arial" w:cs="Arial"/>
          <w:szCs w:val="24"/>
        </w:rPr>
        <w:t xml:space="preserve">Veterans’ Entitlements </w:t>
      </w:r>
      <w:r w:rsidRPr="008504DF">
        <w:rPr>
          <w:rFonts w:ascii="Arial" w:hAnsi="Arial" w:cs="Arial"/>
          <w:szCs w:val="24"/>
        </w:rPr>
        <w:t>Act.</w:t>
      </w:r>
    </w:p>
    <w:p w:rsidR="00FB7B67" w:rsidRPr="008504DF" w:rsidRDefault="00FB7B67">
      <w:pPr>
        <w:keepNext/>
        <w:keepLines/>
        <w:spacing w:before="0" w:after="240"/>
        <w:jc w:val="both"/>
        <w:rPr>
          <w:rFonts w:ascii="Arial" w:hAnsi="Arial" w:cs="Arial"/>
          <w:szCs w:val="24"/>
        </w:rPr>
      </w:pPr>
      <w:r w:rsidRPr="008504DF">
        <w:rPr>
          <w:rFonts w:ascii="Arial" w:hAnsi="Arial" w:cs="Arial"/>
          <w:szCs w:val="24"/>
        </w:rPr>
        <w:t>This list has been updated to reflect amendme</w:t>
      </w:r>
      <w:r w:rsidR="00624C0A">
        <w:rPr>
          <w:rFonts w:ascii="Arial" w:hAnsi="Arial" w:cs="Arial"/>
          <w:szCs w:val="24"/>
        </w:rPr>
        <w:t>nts to the ITAA 97 since the 201</w:t>
      </w:r>
      <w:r w:rsidRPr="008504DF">
        <w:rPr>
          <w:rFonts w:ascii="Arial" w:hAnsi="Arial" w:cs="Arial"/>
          <w:szCs w:val="24"/>
        </w:rPr>
        <w:t xml:space="preserve">4 </w:t>
      </w:r>
      <w:r w:rsidR="00624C0A">
        <w:rPr>
          <w:rFonts w:ascii="Arial" w:hAnsi="Arial" w:cs="Arial"/>
          <w:szCs w:val="24"/>
        </w:rPr>
        <w:t>Instrument</w:t>
      </w:r>
      <w:r w:rsidR="00C14348" w:rsidRPr="00C14348">
        <w:rPr>
          <w:rFonts w:ascii="Arial" w:hAnsi="Arial" w:cs="Arial"/>
          <w:szCs w:val="24"/>
        </w:rPr>
        <w:t xml:space="preserve"> </w:t>
      </w:r>
      <w:r w:rsidR="00686A41" w:rsidRPr="008504DF">
        <w:rPr>
          <w:rFonts w:ascii="Arial" w:hAnsi="Arial" w:cs="Arial"/>
          <w:szCs w:val="24"/>
        </w:rPr>
        <w:t xml:space="preserve">was made </w:t>
      </w:r>
      <w:r w:rsidR="00FF4984" w:rsidRPr="008504DF">
        <w:rPr>
          <w:rFonts w:ascii="Arial" w:hAnsi="Arial" w:cs="Arial"/>
          <w:szCs w:val="24"/>
        </w:rPr>
        <w:t>and to include new deductions of a similar nature to those contained in the 20</w:t>
      </w:r>
      <w:r w:rsidR="00624C0A">
        <w:rPr>
          <w:rFonts w:ascii="Arial" w:hAnsi="Arial" w:cs="Arial"/>
          <w:szCs w:val="24"/>
        </w:rPr>
        <w:t>14</w:t>
      </w:r>
      <w:r w:rsidR="00FF4984" w:rsidRPr="008504DF">
        <w:rPr>
          <w:rFonts w:ascii="Arial" w:hAnsi="Arial" w:cs="Arial"/>
          <w:szCs w:val="24"/>
        </w:rPr>
        <w:t xml:space="preserve"> </w:t>
      </w:r>
      <w:r w:rsidR="00624C0A">
        <w:rPr>
          <w:rFonts w:ascii="Arial" w:hAnsi="Arial" w:cs="Arial"/>
          <w:szCs w:val="24"/>
        </w:rPr>
        <w:t>Instrument</w:t>
      </w:r>
      <w:r w:rsidRPr="008504DF">
        <w:rPr>
          <w:rFonts w:ascii="Arial" w:hAnsi="Arial" w:cs="Arial"/>
          <w:szCs w:val="24"/>
        </w:rPr>
        <w:t>.</w:t>
      </w:r>
    </w:p>
    <w:p w:rsidR="00300A64" w:rsidRPr="008504DF" w:rsidRDefault="00FF4984">
      <w:pPr>
        <w:keepNext/>
        <w:keepLines/>
        <w:spacing w:before="0" w:after="240"/>
        <w:jc w:val="both"/>
        <w:rPr>
          <w:rFonts w:ascii="Arial" w:hAnsi="Arial" w:cs="Arial"/>
          <w:i/>
          <w:szCs w:val="24"/>
        </w:rPr>
      </w:pPr>
      <w:r w:rsidRPr="008504DF">
        <w:rPr>
          <w:rFonts w:ascii="Arial" w:hAnsi="Arial" w:cs="Arial"/>
          <w:i/>
          <w:szCs w:val="24"/>
        </w:rPr>
        <w:lastRenderedPageBreak/>
        <w:t>Schedule 2 – Part 1</w:t>
      </w:r>
    </w:p>
    <w:p w:rsidR="00300A64" w:rsidRPr="008504DF" w:rsidRDefault="00FF4984">
      <w:pPr>
        <w:keepNext/>
        <w:keepLines/>
        <w:spacing w:before="0" w:after="240"/>
        <w:jc w:val="both"/>
        <w:rPr>
          <w:rFonts w:ascii="Arial" w:hAnsi="Arial" w:cs="Arial"/>
          <w:szCs w:val="24"/>
        </w:rPr>
      </w:pPr>
      <w:r w:rsidRPr="008504DF">
        <w:rPr>
          <w:rFonts w:ascii="Arial" w:hAnsi="Arial" w:cs="Arial"/>
          <w:szCs w:val="24"/>
        </w:rPr>
        <w:t xml:space="preserve">This part provides a list of deductions, which would otherwise be allowable under the </w:t>
      </w:r>
      <w:r w:rsidR="00334D3A" w:rsidRPr="008504DF">
        <w:rPr>
          <w:rFonts w:ascii="Arial" w:hAnsi="Arial" w:cs="Arial"/>
          <w:szCs w:val="24"/>
        </w:rPr>
        <w:t xml:space="preserve">ITAA </w:t>
      </w:r>
      <w:r w:rsidR="00B14615" w:rsidRPr="008504DF">
        <w:rPr>
          <w:rFonts w:ascii="Arial" w:hAnsi="Arial" w:cs="Arial"/>
          <w:szCs w:val="24"/>
        </w:rPr>
        <w:t>3</w:t>
      </w:r>
      <w:r w:rsidR="00334D3A" w:rsidRPr="008504DF">
        <w:rPr>
          <w:rFonts w:ascii="Arial" w:hAnsi="Arial" w:cs="Arial"/>
          <w:szCs w:val="24"/>
        </w:rPr>
        <w:t>6</w:t>
      </w:r>
      <w:r w:rsidRPr="008504DF">
        <w:rPr>
          <w:rFonts w:ascii="Arial" w:hAnsi="Arial" w:cs="Arial"/>
          <w:szCs w:val="24"/>
        </w:rPr>
        <w:t xml:space="preserve">, but are determined to be ineligible deductions for the purposes of section </w:t>
      </w:r>
      <w:r w:rsidR="00624C0A">
        <w:rPr>
          <w:rFonts w:ascii="Arial" w:hAnsi="Arial" w:cs="Arial"/>
          <w:szCs w:val="24"/>
        </w:rPr>
        <w:t>52ZZZO</w:t>
      </w:r>
      <w:r w:rsidRPr="008504DF">
        <w:rPr>
          <w:rFonts w:ascii="Arial" w:hAnsi="Arial" w:cs="Arial"/>
          <w:szCs w:val="24"/>
        </w:rPr>
        <w:t xml:space="preserve"> of the </w:t>
      </w:r>
      <w:r w:rsidR="00624C0A">
        <w:rPr>
          <w:rFonts w:ascii="Arial" w:hAnsi="Arial" w:cs="Arial"/>
          <w:szCs w:val="24"/>
        </w:rPr>
        <w:t xml:space="preserve">Veterans’ Entitlements </w:t>
      </w:r>
      <w:r w:rsidRPr="008504DF">
        <w:rPr>
          <w:rFonts w:ascii="Arial" w:hAnsi="Arial" w:cs="Arial"/>
          <w:szCs w:val="24"/>
        </w:rPr>
        <w:t>Act.</w:t>
      </w:r>
    </w:p>
    <w:p w:rsidR="00FB7B67" w:rsidRPr="008504DF" w:rsidRDefault="00FB7B67" w:rsidP="00FB7B67">
      <w:pPr>
        <w:keepNext/>
        <w:keepLines/>
        <w:spacing w:before="0" w:after="240"/>
        <w:jc w:val="both"/>
        <w:rPr>
          <w:rFonts w:ascii="Arial" w:hAnsi="Arial" w:cs="Arial"/>
          <w:szCs w:val="24"/>
        </w:rPr>
      </w:pPr>
      <w:r w:rsidRPr="008504DF">
        <w:rPr>
          <w:rFonts w:ascii="Arial" w:hAnsi="Arial" w:cs="Arial"/>
          <w:szCs w:val="24"/>
        </w:rPr>
        <w:t>This list has been updated to reflect amendments to the ITAA 36 since the 20</w:t>
      </w:r>
      <w:r w:rsidR="00624C0A">
        <w:rPr>
          <w:rFonts w:ascii="Arial" w:hAnsi="Arial" w:cs="Arial"/>
          <w:szCs w:val="24"/>
        </w:rPr>
        <w:t>1</w:t>
      </w:r>
      <w:r w:rsidRPr="008504DF">
        <w:rPr>
          <w:rFonts w:ascii="Arial" w:hAnsi="Arial" w:cs="Arial"/>
          <w:szCs w:val="24"/>
        </w:rPr>
        <w:t xml:space="preserve">4 </w:t>
      </w:r>
      <w:r w:rsidR="00624C0A">
        <w:rPr>
          <w:rFonts w:ascii="Arial" w:hAnsi="Arial" w:cs="Arial"/>
          <w:szCs w:val="24"/>
        </w:rPr>
        <w:t>Instrument</w:t>
      </w:r>
      <w:r w:rsidR="00C14348" w:rsidRPr="00C14348">
        <w:rPr>
          <w:rFonts w:ascii="Arial" w:hAnsi="Arial" w:cs="Arial"/>
          <w:szCs w:val="24"/>
        </w:rPr>
        <w:t xml:space="preserve"> </w:t>
      </w:r>
      <w:r w:rsidR="00686A41" w:rsidRPr="008504DF">
        <w:rPr>
          <w:rFonts w:ascii="Arial" w:hAnsi="Arial" w:cs="Arial"/>
          <w:szCs w:val="24"/>
        </w:rPr>
        <w:t>was made</w:t>
      </w:r>
      <w:r w:rsidR="00FF4984" w:rsidRPr="008504DF">
        <w:rPr>
          <w:rFonts w:ascii="Arial" w:hAnsi="Arial" w:cs="Arial"/>
          <w:szCs w:val="24"/>
        </w:rPr>
        <w:t xml:space="preserve"> and to include new deductions of a similar nature to those contained in the 20</w:t>
      </w:r>
      <w:r w:rsidR="00624C0A">
        <w:rPr>
          <w:rFonts w:ascii="Arial" w:hAnsi="Arial" w:cs="Arial"/>
          <w:szCs w:val="24"/>
        </w:rPr>
        <w:t>1</w:t>
      </w:r>
      <w:r w:rsidR="00FF4984" w:rsidRPr="008504DF">
        <w:rPr>
          <w:rFonts w:ascii="Arial" w:hAnsi="Arial" w:cs="Arial"/>
          <w:szCs w:val="24"/>
        </w:rPr>
        <w:t xml:space="preserve">4 </w:t>
      </w:r>
      <w:r w:rsidR="00624C0A">
        <w:rPr>
          <w:rFonts w:ascii="Arial" w:hAnsi="Arial" w:cs="Arial"/>
          <w:szCs w:val="24"/>
        </w:rPr>
        <w:t>Instrument</w:t>
      </w:r>
      <w:r w:rsidRPr="008504DF">
        <w:rPr>
          <w:rFonts w:ascii="Arial" w:hAnsi="Arial" w:cs="Arial"/>
          <w:szCs w:val="24"/>
        </w:rPr>
        <w:t>.</w:t>
      </w:r>
    </w:p>
    <w:p w:rsidR="00300A64" w:rsidRPr="008504DF" w:rsidRDefault="008504DF">
      <w:pPr>
        <w:keepNext/>
        <w:keepLines/>
        <w:spacing w:before="0" w:after="240"/>
        <w:jc w:val="both"/>
        <w:rPr>
          <w:rFonts w:ascii="Arial" w:hAnsi="Arial" w:cs="Arial"/>
          <w:i/>
          <w:szCs w:val="24"/>
        </w:rPr>
      </w:pPr>
      <w:r>
        <w:rPr>
          <w:rFonts w:ascii="Arial" w:hAnsi="Arial" w:cs="Arial"/>
          <w:i/>
          <w:szCs w:val="24"/>
        </w:rPr>
        <w:br w:type="page"/>
      </w:r>
      <w:r w:rsidR="00FF4984" w:rsidRPr="008504DF">
        <w:rPr>
          <w:rFonts w:ascii="Arial" w:hAnsi="Arial" w:cs="Arial"/>
          <w:i/>
          <w:szCs w:val="24"/>
        </w:rPr>
        <w:lastRenderedPageBreak/>
        <w:t>Schedule 2 – Part 2</w:t>
      </w:r>
    </w:p>
    <w:p w:rsidR="00300A64" w:rsidRPr="008504DF" w:rsidRDefault="00FF4984">
      <w:pPr>
        <w:keepNext/>
        <w:keepLines/>
        <w:spacing w:before="0" w:after="240"/>
        <w:jc w:val="both"/>
        <w:rPr>
          <w:rFonts w:ascii="Arial" w:hAnsi="Arial" w:cs="Arial"/>
          <w:szCs w:val="24"/>
        </w:rPr>
      </w:pPr>
      <w:r w:rsidRPr="008504DF">
        <w:rPr>
          <w:rFonts w:ascii="Arial" w:hAnsi="Arial" w:cs="Arial"/>
          <w:szCs w:val="24"/>
        </w:rPr>
        <w:t xml:space="preserve">This part provides a list of deductions, which would otherwise be allowable under </w:t>
      </w:r>
      <w:r w:rsidR="000842D1">
        <w:rPr>
          <w:rFonts w:ascii="Arial" w:hAnsi="Arial" w:cs="Arial"/>
          <w:szCs w:val="24"/>
        </w:rPr>
        <w:t>ITAA</w:t>
      </w:r>
      <w:r w:rsidRPr="008504DF">
        <w:rPr>
          <w:rFonts w:ascii="Arial" w:hAnsi="Arial" w:cs="Arial"/>
          <w:i/>
          <w:szCs w:val="24"/>
        </w:rPr>
        <w:t xml:space="preserve"> </w:t>
      </w:r>
      <w:r w:rsidRPr="008504DF">
        <w:rPr>
          <w:rFonts w:ascii="Arial" w:hAnsi="Arial" w:cs="Arial"/>
          <w:szCs w:val="24"/>
        </w:rPr>
        <w:t xml:space="preserve">97, but are determined to be ineligible deductions for the purposes of section </w:t>
      </w:r>
      <w:r w:rsidR="00624C0A">
        <w:rPr>
          <w:rFonts w:ascii="Arial" w:hAnsi="Arial" w:cs="Arial"/>
          <w:szCs w:val="24"/>
        </w:rPr>
        <w:t>52ZZZO</w:t>
      </w:r>
      <w:r w:rsidRPr="008504DF">
        <w:rPr>
          <w:rFonts w:ascii="Arial" w:hAnsi="Arial" w:cs="Arial"/>
          <w:szCs w:val="24"/>
        </w:rPr>
        <w:t xml:space="preserve"> of the </w:t>
      </w:r>
      <w:r w:rsidR="00624C0A">
        <w:rPr>
          <w:rFonts w:ascii="Arial" w:hAnsi="Arial" w:cs="Arial"/>
          <w:szCs w:val="24"/>
        </w:rPr>
        <w:t>Veterans’ Entitlements</w:t>
      </w:r>
      <w:r w:rsidRPr="008504DF">
        <w:rPr>
          <w:rFonts w:ascii="Arial" w:hAnsi="Arial" w:cs="Arial"/>
          <w:szCs w:val="24"/>
        </w:rPr>
        <w:t xml:space="preserve"> Act.</w:t>
      </w:r>
    </w:p>
    <w:p w:rsidR="00FB7B67" w:rsidRPr="008504DF" w:rsidRDefault="00FB7B67">
      <w:pPr>
        <w:keepNext/>
        <w:keepLines/>
        <w:spacing w:before="0" w:after="240"/>
        <w:jc w:val="both"/>
        <w:rPr>
          <w:rFonts w:ascii="Arial" w:hAnsi="Arial" w:cs="Arial"/>
          <w:szCs w:val="24"/>
        </w:rPr>
      </w:pPr>
      <w:r w:rsidRPr="008504DF">
        <w:rPr>
          <w:rFonts w:ascii="Arial" w:hAnsi="Arial" w:cs="Arial"/>
          <w:szCs w:val="24"/>
        </w:rPr>
        <w:t>This list has been updated to reflect amendments to the ITAA 97 since the 20</w:t>
      </w:r>
      <w:r w:rsidR="00624C0A">
        <w:rPr>
          <w:rFonts w:ascii="Arial" w:hAnsi="Arial" w:cs="Arial"/>
          <w:szCs w:val="24"/>
        </w:rPr>
        <w:t>1</w:t>
      </w:r>
      <w:r w:rsidRPr="008504DF">
        <w:rPr>
          <w:rFonts w:ascii="Arial" w:hAnsi="Arial" w:cs="Arial"/>
          <w:szCs w:val="24"/>
        </w:rPr>
        <w:t xml:space="preserve">4 </w:t>
      </w:r>
      <w:r w:rsidR="00624C0A">
        <w:rPr>
          <w:rFonts w:ascii="Arial" w:hAnsi="Arial" w:cs="Arial"/>
          <w:szCs w:val="24"/>
        </w:rPr>
        <w:t>Instrument</w:t>
      </w:r>
      <w:r w:rsidR="00C14348" w:rsidRPr="00C14348">
        <w:rPr>
          <w:rFonts w:ascii="Arial" w:hAnsi="Arial" w:cs="Arial"/>
          <w:szCs w:val="24"/>
        </w:rPr>
        <w:t xml:space="preserve"> </w:t>
      </w:r>
      <w:r w:rsidR="00A97D13" w:rsidRPr="008504DF">
        <w:rPr>
          <w:rFonts w:ascii="Arial" w:hAnsi="Arial" w:cs="Arial"/>
          <w:szCs w:val="24"/>
        </w:rPr>
        <w:t xml:space="preserve">was made </w:t>
      </w:r>
      <w:r w:rsidR="00FF4984" w:rsidRPr="008504DF">
        <w:rPr>
          <w:rFonts w:ascii="Arial" w:hAnsi="Arial" w:cs="Arial"/>
          <w:szCs w:val="24"/>
        </w:rPr>
        <w:t>and to include new deductions of a similar nature to those contained in the 20</w:t>
      </w:r>
      <w:r w:rsidR="00624C0A">
        <w:rPr>
          <w:rFonts w:ascii="Arial" w:hAnsi="Arial" w:cs="Arial"/>
          <w:szCs w:val="24"/>
        </w:rPr>
        <w:t>1</w:t>
      </w:r>
      <w:r w:rsidR="00FF4984" w:rsidRPr="008504DF">
        <w:rPr>
          <w:rFonts w:ascii="Arial" w:hAnsi="Arial" w:cs="Arial"/>
          <w:szCs w:val="24"/>
        </w:rPr>
        <w:t xml:space="preserve">4 </w:t>
      </w:r>
      <w:r w:rsidR="00624C0A">
        <w:rPr>
          <w:rFonts w:ascii="Arial" w:hAnsi="Arial" w:cs="Arial"/>
          <w:szCs w:val="24"/>
        </w:rPr>
        <w:t>Instrument</w:t>
      </w:r>
      <w:r w:rsidRPr="008504DF">
        <w:rPr>
          <w:rFonts w:ascii="Arial" w:hAnsi="Arial" w:cs="Arial"/>
          <w:szCs w:val="24"/>
        </w:rPr>
        <w:t>.</w:t>
      </w:r>
    </w:p>
    <w:p w:rsidR="008504DF" w:rsidRPr="00BC76EB" w:rsidRDefault="00A97D13" w:rsidP="008504DF">
      <w:pPr>
        <w:spacing w:before="360" w:after="120"/>
        <w:jc w:val="center"/>
        <w:rPr>
          <w:rFonts w:ascii="Arial" w:hAnsi="Arial" w:cs="Arial"/>
          <w:b/>
          <w:szCs w:val="24"/>
        </w:rPr>
      </w:pPr>
      <w:r w:rsidRPr="008504DF">
        <w:rPr>
          <w:rFonts w:cs="Arial"/>
          <w:szCs w:val="24"/>
        </w:rPr>
        <w:br w:type="page"/>
      </w:r>
      <w:r w:rsidR="008504DF" w:rsidRPr="00BC76EB">
        <w:rPr>
          <w:rFonts w:ascii="Arial" w:hAnsi="Arial" w:cs="Arial"/>
          <w:b/>
          <w:szCs w:val="24"/>
        </w:rPr>
        <w:lastRenderedPageBreak/>
        <w:t>Statement of Compatibility with Human Rights</w:t>
      </w:r>
    </w:p>
    <w:p w:rsidR="008504DF" w:rsidRPr="00BC76EB" w:rsidRDefault="008504DF" w:rsidP="008504DF">
      <w:pPr>
        <w:spacing w:before="120" w:after="120"/>
        <w:jc w:val="center"/>
        <w:rPr>
          <w:rFonts w:ascii="Arial" w:hAnsi="Arial" w:cs="Arial"/>
          <w:szCs w:val="24"/>
        </w:rPr>
      </w:pPr>
      <w:r w:rsidRPr="00BC76EB">
        <w:rPr>
          <w:rFonts w:ascii="Arial" w:hAnsi="Arial" w:cs="Arial"/>
          <w:i/>
          <w:szCs w:val="24"/>
        </w:rPr>
        <w:t>Prepared in accordance with Part 3 of the Human Rights (Parliamentary Scrutiny) Act 2011</w:t>
      </w:r>
    </w:p>
    <w:p w:rsidR="008504DF" w:rsidRPr="00BC76EB" w:rsidRDefault="008504DF" w:rsidP="008504DF">
      <w:pPr>
        <w:spacing w:before="120" w:after="120"/>
        <w:jc w:val="center"/>
        <w:rPr>
          <w:rFonts w:ascii="Arial" w:hAnsi="Arial" w:cs="Arial"/>
          <w:szCs w:val="24"/>
        </w:rPr>
      </w:pPr>
    </w:p>
    <w:p w:rsidR="008504DF" w:rsidRPr="00BC76EB" w:rsidRDefault="00624C0A" w:rsidP="008504DF">
      <w:pPr>
        <w:spacing w:before="120" w:after="120"/>
        <w:jc w:val="center"/>
        <w:rPr>
          <w:rFonts w:ascii="Arial" w:hAnsi="Arial" w:cs="Arial"/>
          <w:b/>
          <w:szCs w:val="24"/>
        </w:rPr>
      </w:pPr>
      <w:r>
        <w:rPr>
          <w:rFonts w:ascii="Arial" w:hAnsi="Arial" w:cs="Arial"/>
          <w:b/>
          <w:szCs w:val="24"/>
        </w:rPr>
        <w:t>Veterans’ Entitlements</w:t>
      </w:r>
      <w:r w:rsidR="008504DF" w:rsidRPr="000554A4">
        <w:rPr>
          <w:rFonts w:ascii="Arial" w:hAnsi="Arial" w:cs="Arial"/>
          <w:b/>
          <w:szCs w:val="24"/>
        </w:rPr>
        <w:t xml:space="preserve"> (Attribution of Income - Ineligible Deductions) Determination 20</w:t>
      </w:r>
      <w:r>
        <w:rPr>
          <w:rFonts w:ascii="Arial" w:hAnsi="Arial" w:cs="Arial"/>
          <w:b/>
          <w:szCs w:val="24"/>
        </w:rPr>
        <w:t>20</w:t>
      </w:r>
    </w:p>
    <w:p w:rsidR="008504DF" w:rsidRPr="00BC76EB" w:rsidRDefault="008504DF" w:rsidP="008504DF">
      <w:pPr>
        <w:spacing w:before="120" w:after="120"/>
        <w:jc w:val="center"/>
        <w:rPr>
          <w:rFonts w:ascii="Arial" w:hAnsi="Arial" w:cs="Arial"/>
          <w:szCs w:val="24"/>
        </w:rPr>
      </w:pPr>
    </w:p>
    <w:p w:rsidR="008504DF" w:rsidRPr="00BC76EB" w:rsidRDefault="008504DF" w:rsidP="008504DF">
      <w:pPr>
        <w:spacing w:before="120" w:after="120"/>
        <w:jc w:val="center"/>
        <w:rPr>
          <w:rFonts w:ascii="Arial" w:hAnsi="Arial" w:cs="Arial"/>
          <w:szCs w:val="24"/>
        </w:rPr>
      </w:pPr>
      <w:r w:rsidRPr="00BC76EB">
        <w:rPr>
          <w:rFonts w:ascii="Arial" w:hAnsi="Arial" w:cs="Arial"/>
          <w:szCs w:val="24"/>
        </w:rPr>
        <w:t xml:space="preserve">The </w:t>
      </w:r>
      <w:r>
        <w:rPr>
          <w:rFonts w:ascii="Arial" w:hAnsi="Arial" w:cs="Arial"/>
          <w:szCs w:val="24"/>
        </w:rPr>
        <w:t>Determination</w:t>
      </w:r>
      <w:r w:rsidRPr="00BC76EB">
        <w:rPr>
          <w:rFonts w:ascii="Arial" w:hAnsi="Arial" w:cs="Arial"/>
          <w:szCs w:val="24"/>
        </w:rPr>
        <w:t xml:space="preserve"> </w:t>
      </w:r>
      <w:r>
        <w:rPr>
          <w:rFonts w:ascii="Arial" w:hAnsi="Arial" w:cs="Arial"/>
          <w:szCs w:val="24"/>
        </w:rPr>
        <w:t>is</w:t>
      </w:r>
      <w:r w:rsidRPr="00BC76EB">
        <w:rPr>
          <w:rFonts w:ascii="Arial" w:hAnsi="Arial" w:cs="Arial"/>
          <w:szCs w:val="24"/>
        </w:rPr>
        <w:t xml:space="preserve"> compatible with the human rights and freedoms recognised or declared in the internationa</w:t>
      </w:r>
      <w:r>
        <w:rPr>
          <w:rFonts w:ascii="Arial" w:hAnsi="Arial" w:cs="Arial"/>
          <w:szCs w:val="24"/>
        </w:rPr>
        <w:t>l instruments listed in section </w:t>
      </w:r>
      <w:r w:rsidRPr="00BC76EB">
        <w:rPr>
          <w:rFonts w:ascii="Arial" w:hAnsi="Arial" w:cs="Arial"/>
          <w:szCs w:val="24"/>
        </w:rPr>
        <w:t xml:space="preserve">3 of the </w:t>
      </w:r>
      <w:r w:rsidRPr="00BC76EB">
        <w:rPr>
          <w:rFonts w:ascii="Arial" w:hAnsi="Arial" w:cs="Arial"/>
          <w:i/>
          <w:szCs w:val="24"/>
        </w:rPr>
        <w:t>Human Rights (Parliamentary Scrutiny) Act 2011</w:t>
      </w:r>
      <w:r w:rsidRPr="00BC76EB">
        <w:rPr>
          <w:rFonts w:ascii="Arial" w:hAnsi="Arial" w:cs="Arial"/>
          <w:szCs w:val="24"/>
        </w:rPr>
        <w:t>.</w:t>
      </w:r>
    </w:p>
    <w:p w:rsidR="008504DF" w:rsidRPr="00BC76EB" w:rsidRDefault="008504DF" w:rsidP="008504DF">
      <w:pPr>
        <w:spacing w:after="120"/>
        <w:jc w:val="both"/>
        <w:rPr>
          <w:rFonts w:ascii="Arial" w:hAnsi="Arial" w:cs="Arial"/>
          <w:b/>
          <w:szCs w:val="24"/>
        </w:rPr>
      </w:pPr>
      <w:r w:rsidRPr="00BC76EB">
        <w:rPr>
          <w:rFonts w:ascii="Arial" w:hAnsi="Arial" w:cs="Arial"/>
          <w:b/>
          <w:szCs w:val="24"/>
        </w:rPr>
        <w:t>Overview of the legislative instrument</w:t>
      </w:r>
    </w:p>
    <w:p w:rsidR="008504DF" w:rsidRDefault="00624C0A" w:rsidP="008504DF">
      <w:pPr>
        <w:keepNext/>
        <w:keepLines/>
        <w:spacing w:before="0" w:after="240"/>
        <w:jc w:val="both"/>
        <w:rPr>
          <w:rFonts w:ascii="Arial" w:hAnsi="Arial" w:cs="Arial"/>
          <w:szCs w:val="24"/>
        </w:rPr>
      </w:pPr>
      <w:r>
        <w:rPr>
          <w:rFonts w:ascii="Arial" w:hAnsi="Arial" w:cs="Arial"/>
          <w:szCs w:val="24"/>
        </w:rPr>
        <w:t>Sections 52ZZO</w:t>
      </w:r>
      <w:r w:rsidR="008504DF" w:rsidRPr="00256428">
        <w:rPr>
          <w:rFonts w:ascii="Arial" w:hAnsi="Arial" w:cs="Arial"/>
          <w:szCs w:val="24"/>
        </w:rPr>
        <w:t xml:space="preserve"> and </w:t>
      </w:r>
      <w:r>
        <w:rPr>
          <w:rFonts w:ascii="Arial" w:hAnsi="Arial" w:cs="Arial"/>
          <w:szCs w:val="24"/>
        </w:rPr>
        <w:t>52ZZZO</w:t>
      </w:r>
      <w:r w:rsidR="008504DF" w:rsidRPr="00256428">
        <w:rPr>
          <w:rFonts w:ascii="Arial" w:hAnsi="Arial" w:cs="Arial"/>
          <w:szCs w:val="24"/>
        </w:rPr>
        <w:t xml:space="preserve"> of the </w:t>
      </w:r>
      <w:r>
        <w:rPr>
          <w:rFonts w:ascii="Arial" w:hAnsi="Arial" w:cs="Arial"/>
          <w:i/>
          <w:szCs w:val="24"/>
        </w:rPr>
        <w:t xml:space="preserve">Veterans’ Entitlements </w:t>
      </w:r>
      <w:r w:rsidR="008504DF" w:rsidRPr="00256428">
        <w:rPr>
          <w:rFonts w:ascii="Arial" w:hAnsi="Arial" w:cs="Arial"/>
          <w:i/>
          <w:szCs w:val="24"/>
        </w:rPr>
        <w:t>Act 19</w:t>
      </w:r>
      <w:r>
        <w:rPr>
          <w:rFonts w:ascii="Arial" w:hAnsi="Arial" w:cs="Arial"/>
          <w:i/>
          <w:szCs w:val="24"/>
        </w:rPr>
        <w:t>86</w:t>
      </w:r>
      <w:r w:rsidR="008504DF" w:rsidRPr="00256428">
        <w:rPr>
          <w:rFonts w:ascii="Arial" w:hAnsi="Arial" w:cs="Arial"/>
          <w:b/>
          <w:i/>
          <w:szCs w:val="24"/>
        </w:rPr>
        <w:t xml:space="preserve"> </w:t>
      </w:r>
      <w:r w:rsidR="008504DF" w:rsidRPr="00256428">
        <w:rPr>
          <w:rFonts w:ascii="Arial" w:hAnsi="Arial" w:cs="Arial"/>
          <w:szCs w:val="24"/>
        </w:rPr>
        <w:t xml:space="preserve">(the </w:t>
      </w:r>
      <w:r>
        <w:rPr>
          <w:rFonts w:ascii="Arial" w:hAnsi="Arial" w:cs="Arial"/>
          <w:szCs w:val="24"/>
        </w:rPr>
        <w:t>Veterans’ Entitlements A</w:t>
      </w:r>
      <w:r w:rsidR="008504DF" w:rsidRPr="00256428">
        <w:rPr>
          <w:rFonts w:ascii="Arial" w:hAnsi="Arial" w:cs="Arial"/>
          <w:szCs w:val="24"/>
        </w:rPr>
        <w:t>ct) provide that to calculate the income of a company or trust</w:t>
      </w:r>
      <w:r>
        <w:rPr>
          <w:rFonts w:ascii="Arial" w:hAnsi="Arial" w:cs="Arial"/>
          <w:szCs w:val="24"/>
        </w:rPr>
        <w:t>, for the purposes of Division 11A</w:t>
      </w:r>
      <w:r w:rsidR="008504DF" w:rsidRPr="00256428">
        <w:rPr>
          <w:rFonts w:ascii="Arial" w:hAnsi="Arial" w:cs="Arial"/>
          <w:szCs w:val="24"/>
        </w:rPr>
        <w:t xml:space="preserve"> of Part </w:t>
      </w:r>
      <w:r>
        <w:rPr>
          <w:rFonts w:ascii="Arial" w:hAnsi="Arial" w:cs="Arial"/>
          <w:szCs w:val="24"/>
        </w:rPr>
        <w:t>IIIB</w:t>
      </w:r>
      <w:r w:rsidR="008504DF" w:rsidRPr="00256428">
        <w:rPr>
          <w:rFonts w:ascii="Arial" w:hAnsi="Arial" w:cs="Arial"/>
          <w:szCs w:val="24"/>
        </w:rPr>
        <w:t xml:space="preserve">, any deductions allowable under the </w:t>
      </w:r>
      <w:r w:rsidR="008504DF" w:rsidRPr="00256428">
        <w:rPr>
          <w:rFonts w:ascii="Arial" w:hAnsi="Arial" w:cs="Arial"/>
          <w:i/>
          <w:szCs w:val="24"/>
        </w:rPr>
        <w:t>Income Tax Assessment Act 1936</w:t>
      </w:r>
      <w:r w:rsidR="008504DF" w:rsidRPr="00256428">
        <w:rPr>
          <w:rFonts w:ascii="Arial" w:hAnsi="Arial" w:cs="Arial"/>
          <w:szCs w:val="24"/>
        </w:rPr>
        <w:t xml:space="preserve"> (ITAA 36) or </w:t>
      </w:r>
      <w:r w:rsidR="008504DF" w:rsidRPr="00256428">
        <w:rPr>
          <w:rFonts w:ascii="Arial" w:hAnsi="Arial" w:cs="Arial"/>
          <w:i/>
          <w:szCs w:val="24"/>
        </w:rPr>
        <w:t xml:space="preserve">Income Tax Assessment Act 1997 </w:t>
      </w:r>
      <w:r w:rsidR="008504DF" w:rsidRPr="00256428">
        <w:rPr>
          <w:rFonts w:ascii="Arial" w:hAnsi="Arial" w:cs="Arial"/>
          <w:szCs w:val="24"/>
        </w:rPr>
        <w:t xml:space="preserve">(ITAA 97) can be deducted from the gross income of the company or trust, unless the </w:t>
      </w:r>
      <w:r>
        <w:rPr>
          <w:rFonts w:ascii="Arial" w:hAnsi="Arial" w:cs="Arial"/>
          <w:szCs w:val="24"/>
        </w:rPr>
        <w:t>Repatriation Commission</w:t>
      </w:r>
      <w:r w:rsidR="008504DF" w:rsidRPr="00256428">
        <w:rPr>
          <w:rFonts w:ascii="Arial" w:hAnsi="Arial" w:cs="Arial"/>
          <w:szCs w:val="24"/>
        </w:rPr>
        <w:t xml:space="preserve"> has determined that they are an ineligible deduction, or an ineligible part of a deduction.</w:t>
      </w:r>
    </w:p>
    <w:p w:rsidR="008504DF" w:rsidRDefault="008504DF" w:rsidP="008504DF">
      <w:pPr>
        <w:pStyle w:val="BodyText2"/>
        <w:keepNext/>
        <w:keepLines/>
        <w:rPr>
          <w:rFonts w:ascii="Arial" w:hAnsi="Arial" w:cs="Arial"/>
          <w:szCs w:val="24"/>
        </w:rPr>
      </w:pPr>
      <w:r w:rsidRPr="00834866">
        <w:rPr>
          <w:rFonts w:ascii="Arial" w:hAnsi="Arial" w:cs="Arial"/>
          <w:szCs w:val="24"/>
        </w:rPr>
        <w:t xml:space="preserve">The </w:t>
      </w:r>
      <w:r w:rsidR="000259CC">
        <w:rPr>
          <w:rFonts w:ascii="Arial" w:hAnsi="Arial" w:cs="Arial"/>
          <w:i/>
          <w:szCs w:val="24"/>
        </w:rPr>
        <w:t xml:space="preserve">Veterans’ Entitlements </w:t>
      </w:r>
      <w:r w:rsidRPr="00834866">
        <w:rPr>
          <w:rFonts w:ascii="Arial" w:hAnsi="Arial" w:cs="Arial"/>
          <w:i/>
          <w:szCs w:val="24"/>
        </w:rPr>
        <w:t>(Attribution of Income - Ineligible Deductions) Determination</w:t>
      </w:r>
      <w:r>
        <w:rPr>
          <w:rFonts w:ascii="Arial" w:hAnsi="Arial" w:cs="Arial"/>
          <w:i/>
          <w:szCs w:val="24"/>
        </w:rPr>
        <w:t> </w:t>
      </w:r>
      <w:r w:rsidRPr="00834866">
        <w:rPr>
          <w:rFonts w:ascii="Arial" w:hAnsi="Arial" w:cs="Arial"/>
          <w:i/>
          <w:szCs w:val="24"/>
        </w:rPr>
        <w:t>20</w:t>
      </w:r>
      <w:r w:rsidR="000259CC">
        <w:rPr>
          <w:rFonts w:ascii="Arial" w:hAnsi="Arial" w:cs="Arial"/>
          <w:i/>
          <w:szCs w:val="24"/>
        </w:rPr>
        <w:t>20</w:t>
      </w:r>
      <w:r>
        <w:rPr>
          <w:rFonts w:ascii="Arial" w:hAnsi="Arial" w:cs="Arial"/>
          <w:szCs w:val="24"/>
        </w:rPr>
        <w:t xml:space="preserve"> (the Determination) specifies the tax provisions in the ITAA 36 and ITAA 97 that </w:t>
      </w:r>
      <w:r w:rsidRPr="00256428">
        <w:rPr>
          <w:rFonts w:ascii="Arial" w:hAnsi="Arial" w:cs="Arial"/>
          <w:szCs w:val="24"/>
        </w:rPr>
        <w:t xml:space="preserve">are ineligible to be applied against the gross income of a company or trust for </w:t>
      </w:r>
      <w:r w:rsidR="000259CC">
        <w:rPr>
          <w:rFonts w:ascii="Arial" w:hAnsi="Arial" w:cs="Arial"/>
          <w:szCs w:val="24"/>
        </w:rPr>
        <w:t xml:space="preserve">means test </w:t>
      </w:r>
      <w:r w:rsidRPr="00256428">
        <w:rPr>
          <w:rFonts w:ascii="Arial" w:hAnsi="Arial" w:cs="Arial"/>
          <w:szCs w:val="24"/>
        </w:rPr>
        <w:t>purposes</w:t>
      </w:r>
      <w:r w:rsidR="000259CC">
        <w:rPr>
          <w:rFonts w:ascii="Arial" w:hAnsi="Arial" w:cs="Arial"/>
          <w:szCs w:val="24"/>
        </w:rPr>
        <w:t xml:space="preserve"> under the Veterans’ Entitlements Act</w:t>
      </w:r>
      <w:r>
        <w:rPr>
          <w:rFonts w:ascii="Arial" w:hAnsi="Arial" w:cs="Arial"/>
          <w:szCs w:val="24"/>
        </w:rPr>
        <w:t>.</w:t>
      </w:r>
    </w:p>
    <w:p w:rsidR="008504DF" w:rsidRDefault="008504DF" w:rsidP="008504DF">
      <w:pPr>
        <w:pStyle w:val="BodyText2"/>
        <w:keepNext/>
        <w:keepLines/>
        <w:rPr>
          <w:rFonts w:ascii="Arial" w:hAnsi="Arial" w:cs="Arial"/>
          <w:szCs w:val="24"/>
        </w:rPr>
      </w:pPr>
      <w:r>
        <w:rPr>
          <w:rFonts w:ascii="Arial" w:hAnsi="Arial" w:cs="Arial"/>
          <w:szCs w:val="24"/>
        </w:rPr>
        <w:t xml:space="preserve">The ineligible deductions in the Determination are not allowable deductions </w:t>
      </w:r>
      <w:r w:rsidR="000259CC">
        <w:rPr>
          <w:rFonts w:ascii="Arial" w:hAnsi="Arial" w:cs="Arial"/>
          <w:szCs w:val="24"/>
        </w:rPr>
        <w:t>means test</w:t>
      </w:r>
      <w:r>
        <w:rPr>
          <w:rFonts w:ascii="Arial" w:hAnsi="Arial" w:cs="Arial"/>
          <w:szCs w:val="24"/>
        </w:rPr>
        <w:t xml:space="preserve"> purposes since they do not relate to the operating expenses of the trust or company in current reporting period.  They relate to transactions such as prior year expenses that are allowed under tax rules to be expensed over a number of future years, prior year losses, capital investment, changes in valuation of trading stock for accounting purposes, setup costs, costs involves in changes of ownership.  </w:t>
      </w:r>
    </w:p>
    <w:p w:rsidR="008504DF" w:rsidRDefault="000259CC" w:rsidP="008504DF">
      <w:pPr>
        <w:pStyle w:val="BodyText2"/>
        <w:keepNext/>
        <w:keepLines/>
        <w:rPr>
          <w:rFonts w:ascii="Arial" w:hAnsi="Arial" w:cs="Arial"/>
          <w:szCs w:val="24"/>
        </w:rPr>
      </w:pPr>
      <w:r>
        <w:rPr>
          <w:rFonts w:ascii="Arial" w:hAnsi="Arial" w:cs="Arial"/>
          <w:szCs w:val="24"/>
        </w:rPr>
        <w:t xml:space="preserve">Means test </w:t>
      </w:r>
      <w:r w:rsidR="008504DF">
        <w:rPr>
          <w:rFonts w:ascii="Arial" w:hAnsi="Arial" w:cs="Arial"/>
          <w:szCs w:val="24"/>
        </w:rPr>
        <w:t>assessment</w:t>
      </w:r>
      <w:r>
        <w:rPr>
          <w:rFonts w:ascii="Arial" w:hAnsi="Arial" w:cs="Arial"/>
          <w:szCs w:val="24"/>
        </w:rPr>
        <w:t>s</w:t>
      </w:r>
      <w:r w:rsidR="008504DF">
        <w:rPr>
          <w:rFonts w:ascii="Arial" w:hAnsi="Arial" w:cs="Arial"/>
          <w:szCs w:val="24"/>
        </w:rPr>
        <w:t xml:space="preserve"> </w:t>
      </w:r>
      <w:r>
        <w:rPr>
          <w:rFonts w:ascii="Arial" w:hAnsi="Arial" w:cs="Arial"/>
          <w:szCs w:val="24"/>
        </w:rPr>
        <w:t xml:space="preserve">under the Veterans’ Entitlements Act </w:t>
      </w:r>
      <w:r w:rsidR="008504DF" w:rsidRPr="00054ACC">
        <w:rPr>
          <w:rFonts w:ascii="Arial" w:hAnsi="Arial" w:cs="Arial"/>
          <w:szCs w:val="24"/>
        </w:rPr>
        <w:t>measure a person's current capacity to contribute towards their own support</w:t>
      </w:r>
      <w:r w:rsidR="008504DF">
        <w:rPr>
          <w:rFonts w:ascii="Arial" w:hAnsi="Arial" w:cs="Arial"/>
          <w:szCs w:val="24"/>
        </w:rPr>
        <w:t>. As such, these transactions are not relevant in determining the current level of income support a person needs based on their individual circumstances.</w:t>
      </w:r>
    </w:p>
    <w:p w:rsidR="008504DF" w:rsidRPr="00BC76EB" w:rsidRDefault="008504DF" w:rsidP="008504DF">
      <w:pPr>
        <w:spacing w:after="120"/>
        <w:rPr>
          <w:rFonts w:ascii="Arial" w:hAnsi="Arial" w:cs="Arial"/>
          <w:b/>
          <w:szCs w:val="24"/>
        </w:rPr>
      </w:pPr>
      <w:r w:rsidRPr="00BC76EB">
        <w:rPr>
          <w:rFonts w:ascii="Arial" w:hAnsi="Arial" w:cs="Arial"/>
          <w:b/>
          <w:szCs w:val="24"/>
        </w:rPr>
        <w:t>Human rights implications</w:t>
      </w:r>
    </w:p>
    <w:p w:rsidR="008504DF" w:rsidRDefault="008504DF" w:rsidP="008504DF">
      <w:pPr>
        <w:spacing w:before="120" w:after="120"/>
        <w:rPr>
          <w:rFonts w:ascii="Arial" w:hAnsi="Arial" w:cs="Arial"/>
          <w:szCs w:val="24"/>
        </w:rPr>
      </w:pPr>
      <w:r w:rsidRPr="00CB116D">
        <w:rPr>
          <w:rFonts w:ascii="Arial" w:hAnsi="Arial" w:cs="Arial"/>
          <w:szCs w:val="24"/>
        </w:rPr>
        <w:t xml:space="preserve">The </w:t>
      </w:r>
      <w:r>
        <w:rPr>
          <w:rFonts w:ascii="Arial" w:hAnsi="Arial" w:cs="Arial"/>
          <w:szCs w:val="24"/>
        </w:rPr>
        <w:t xml:space="preserve">Determination </w:t>
      </w:r>
      <w:r w:rsidRPr="00CB116D">
        <w:rPr>
          <w:rFonts w:ascii="Arial" w:hAnsi="Arial" w:cs="Arial"/>
          <w:szCs w:val="24"/>
        </w:rPr>
        <w:t>engages the right to social security under Article 9 of the International Covenant on Economic, Social and Cultural Rights (ICESCR). The right to social security requires that a system be established under domestic law, and that public authorities must take responsibility for the effectiv</w:t>
      </w:r>
      <w:r>
        <w:rPr>
          <w:rFonts w:ascii="Arial" w:hAnsi="Arial" w:cs="Arial"/>
          <w:szCs w:val="24"/>
        </w:rPr>
        <w:t>e administration of the system.</w:t>
      </w:r>
    </w:p>
    <w:p w:rsidR="004F6F51" w:rsidRDefault="004F6F51" w:rsidP="008504DF">
      <w:pPr>
        <w:spacing w:before="120" w:after="120"/>
        <w:rPr>
          <w:rFonts w:ascii="Arial" w:hAnsi="Arial" w:cs="Arial"/>
          <w:szCs w:val="24"/>
        </w:rPr>
      </w:pPr>
    </w:p>
    <w:p w:rsidR="004F6F51" w:rsidRDefault="004F6F51" w:rsidP="008504DF">
      <w:pPr>
        <w:spacing w:before="120" w:after="120"/>
        <w:rPr>
          <w:rFonts w:ascii="Arial" w:hAnsi="Arial" w:cs="Arial"/>
          <w:szCs w:val="24"/>
        </w:rPr>
      </w:pPr>
    </w:p>
    <w:p w:rsidR="004F6F51" w:rsidRDefault="004F6F51" w:rsidP="008504DF">
      <w:pPr>
        <w:spacing w:before="120" w:after="120"/>
        <w:rPr>
          <w:rFonts w:ascii="Arial" w:hAnsi="Arial" w:cs="Arial"/>
          <w:szCs w:val="24"/>
        </w:rPr>
      </w:pPr>
    </w:p>
    <w:p w:rsidR="008504DF" w:rsidRPr="00CB116D" w:rsidRDefault="008504DF" w:rsidP="008504DF">
      <w:pPr>
        <w:spacing w:before="120" w:after="120"/>
        <w:rPr>
          <w:rFonts w:ascii="Arial" w:hAnsi="Arial" w:cs="Arial"/>
          <w:szCs w:val="24"/>
        </w:rPr>
      </w:pPr>
      <w:r w:rsidRPr="00CB116D">
        <w:rPr>
          <w:rFonts w:ascii="Arial" w:hAnsi="Arial" w:cs="Arial"/>
          <w:szCs w:val="24"/>
        </w:rPr>
        <w:lastRenderedPageBreak/>
        <w:t>The social security scheme must provide a minimum essential level of benefits to all individuals and families that will enable them to acquire at least essential health care, basic shelter and housing, water and sanitation, foodstuffs, and the</w:t>
      </w:r>
      <w:r>
        <w:rPr>
          <w:rFonts w:ascii="Arial" w:hAnsi="Arial" w:cs="Arial"/>
          <w:szCs w:val="24"/>
        </w:rPr>
        <w:t xml:space="preserve"> most basic forms of education.</w:t>
      </w:r>
    </w:p>
    <w:p w:rsidR="008504DF" w:rsidRPr="00BC76EB" w:rsidRDefault="008504DF" w:rsidP="008504DF">
      <w:pPr>
        <w:spacing w:before="120" w:after="120"/>
        <w:rPr>
          <w:rFonts w:ascii="Arial" w:hAnsi="Arial" w:cs="Arial"/>
          <w:szCs w:val="24"/>
        </w:rPr>
      </w:pPr>
      <w:r w:rsidRPr="00CB116D">
        <w:rPr>
          <w:rFonts w:ascii="Arial" w:hAnsi="Arial" w:cs="Arial"/>
          <w:szCs w:val="24"/>
        </w:rPr>
        <w:t xml:space="preserve">The </w:t>
      </w:r>
      <w:r>
        <w:rPr>
          <w:rFonts w:ascii="Arial" w:hAnsi="Arial" w:cs="Arial"/>
          <w:szCs w:val="24"/>
        </w:rPr>
        <w:t xml:space="preserve">Determination is compatible with human rights as it ensures a person’s current resources are appropriately assessed </w:t>
      </w:r>
      <w:r w:rsidRPr="00CB116D">
        <w:rPr>
          <w:rFonts w:ascii="Arial" w:hAnsi="Arial" w:cs="Arial"/>
          <w:szCs w:val="24"/>
        </w:rPr>
        <w:t xml:space="preserve">for the purposes of ascertaining the person’s </w:t>
      </w:r>
      <w:r>
        <w:rPr>
          <w:rFonts w:ascii="Arial" w:hAnsi="Arial" w:cs="Arial"/>
          <w:szCs w:val="24"/>
        </w:rPr>
        <w:t xml:space="preserve">assessable </w:t>
      </w:r>
      <w:r w:rsidRPr="00CB116D">
        <w:rPr>
          <w:rFonts w:ascii="Arial" w:hAnsi="Arial" w:cs="Arial"/>
          <w:szCs w:val="24"/>
        </w:rPr>
        <w:t xml:space="preserve">income for means testing purposes under </w:t>
      </w:r>
      <w:r w:rsidR="000259CC">
        <w:rPr>
          <w:rFonts w:ascii="Arial" w:hAnsi="Arial" w:cs="Arial"/>
          <w:szCs w:val="24"/>
        </w:rPr>
        <w:t xml:space="preserve">Division 11A of </w:t>
      </w:r>
      <w:r w:rsidRPr="00CB116D">
        <w:rPr>
          <w:rFonts w:ascii="Arial" w:hAnsi="Arial" w:cs="Arial"/>
          <w:szCs w:val="24"/>
        </w:rPr>
        <w:t xml:space="preserve">Part </w:t>
      </w:r>
      <w:r w:rsidR="000259CC">
        <w:rPr>
          <w:rFonts w:ascii="Arial" w:hAnsi="Arial" w:cs="Arial"/>
          <w:szCs w:val="24"/>
        </w:rPr>
        <w:t>IIIB</w:t>
      </w:r>
      <w:r w:rsidRPr="00CB116D">
        <w:rPr>
          <w:rFonts w:ascii="Arial" w:hAnsi="Arial" w:cs="Arial"/>
          <w:szCs w:val="24"/>
        </w:rPr>
        <w:t xml:space="preserve"> of the </w:t>
      </w:r>
      <w:r w:rsidR="000259CC">
        <w:rPr>
          <w:rFonts w:ascii="Arial" w:hAnsi="Arial" w:cs="Arial"/>
          <w:szCs w:val="24"/>
        </w:rPr>
        <w:t xml:space="preserve">Veterans’ Entitlements </w:t>
      </w:r>
      <w:r w:rsidRPr="00CB116D">
        <w:rPr>
          <w:rFonts w:ascii="Arial" w:hAnsi="Arial" w:cs="Arial"/>
          <w:szCs w:val="24"/>
        </w:rPr>
        <w:t>Act.</w:t>
      </w:r>
    </w:p>
    <w:p w:rsidR="008504DF" w:rsidRPr="00BC76EB" w:rsidRDefault="008504DF" w:rsidP="008504DF">
      <w:pPr>
        <w:spacing w:after="120"/>
        <w:rPr>
          <w:rFonts w:ascii="Arial" w:hAnsi="Arial" w:cs="Arial"/>
          <w:b/>
          <w:szCs w:val="24"/>
        </w:rPr>
      </w:pPr>
      <w:r w:rsidRPr="00BC76EB">
        <w:rPr>
          <w:rFonts w:ascii="Arial" w:hAnsi="Arial" w:cs="Arial"/>
          <w:b/>
          <w:szCs w:val="24"/>
        </w:rPr>
        <w:t>Conclusion</w:t>
      </w:r>
    </w:p>
    <w:p w:rsidR="008504DF" w:rsidRPr="00BC76EB" w:rsidRDefault="008504DF" w:rsidP="008504DF">
      <w:pPr>
        <w:spacing w:before="120" w:after="120"/>
        <w:rPr>
          <w:rFonts w:ascii="Arial" w:hAnsi="Arial" w:cs="Arial"/>
          <w:szCs w:val="24"/>
        </w:rPr>
      </w:pPr>
      <w:r>
        <w:rPr>
          <w:rFonts w:ascii="Arial" w:hAnsi="Arial" w:cs="Arial"/>
          <w:szCs w:val="24"/>
        </w:rPr>
        <w:t>The Determination</w:t>
      </w:r>
      <w:r w:rsidRPr="00BC76EB">
        <w:rPr>
          <w:rFonts w:ascii="Arial" w:hAnsi="Arial" w:cs="Arial"/>
          <w:szCs w:val="24"/>
        </w:rPr>
        <w:t xml:space="preserve"> </w:t>
      </w:r>
      <w:r>
        <w:rPr>
          <w:rFonts w:ascii="Arial" w:hAnsi="Arial" w:cs="Arial"/>
          <w:szCs w:val="24"/>
        </w:rPr>
        <w:t>is</w:t>
      </w:r>
      <w:r w:rsidRPr="00BC76EB">
        <w:rPr>
          <w:rFonts w:ascii="Arial" w:hAnsi="Arial" w:cs="Arial"/>
          <w:szCs w:val="24"/>
        </w:rPr>
        <w:t xml:space="preserve"> compatible with human rights as they do not raise any human rights issues.</w:t>
      </w:r>
    </w:p>
    <w:p w:rsidR="008504DF" w:rsidRPr="00BC76EB" w:rsidRDefault="008504DF" w:rsidP="008504DF">
      <w:pPr>
        <w:spacing w:before="120" w:after="120"/>
        <w:rPr>
          <w:rFonts w:ascii="Arial" w:hAnsi="Arial" w:cs="Arial"/>
          <w:szCs w:val="24"/>
        </w:rPr>
      </w:pPr>
    </w:p>
    <w:p w:rsidR="000259CC" w:rsidRDefault="000259CC" w:rsidP="008504DF">
      <w:pPr>
        <w:rPr>
          <w:rFonts w:ascii="Arial" w:hAnsi="Arial" w:cs="Arial"/>
          <w:b/>
          <w:szCs w:val="24"/>
        </w:rPr>
      </w:pPr>
    </w:p>
    <w:p w:rsidR="000259CC" w:rsidRDefault="000259CC" w:rsidP="008504DF">
      <w:pPr>
        <w:rPr>
          <w:rFonts w:ascii="Arial" w:hAnsi="Arial" w:cs="Arial"/>
          <w:b/>
          <w:szCs w:val="24"/>
        </w:rPr>
      </w:pPr>
    </w:p>
    <w:p w:rsidR="008504DF" w:rsidRDefault="000259CC" w:rsidP="008504DF">
      <w:pPr>
        <w:rPr>
          <w:rFonts w:ascii="Arial" w:hAnsi="Arial" w:cs="Arial"/>
          <w:b/>
          <w:szCs w:val="24"/>
        </w:rPr>
      </w:pPr>
      <w:r>
        <w:rPr>
          <w:rFonts w:ascii="Arial" w:hAnsi="Arial" w:cs="Arial"/>
          <w:b/>
          <w:szCs w:val="24"/>
        </w:rPr>
        <w:t>Repatriation Commission</w:t>
      </w:r>
    </w:p>
    <w:p w:rsidR="000259CC" w:rsidRPr="00615FEE" w:rsidRDefault="000259CC" w:rsidP="008504DF">
      <w:pPr>
        <w:rPr>
          <w:rFonts w:ascii="Arial" w:hAnsi="Arial" w:cs="Arial"/>
          <w:b/>
          <w:szCs w:val="24"/>
        </w:rPr>
      </w:pPr>
      <w:r>
        <w:rPr>
          <w:rFonts w:ascii="Arial" w:hAnsi="Arial" w:cs="Arial"/>
          <w:b/>
          <w:szCs w:val="24"/>
        </w:rPr>
        <w:t>Rule-maker</w:t>
      </w:r>
      <w:bookmarkStart w:id="0" w:name="_GoBack"/>
      <w:bookmarkEnd w:id="0"/>
    </w:p>
    <w:p w:rsidR="008504DF" w:rsidRPr="00615FEE" w:rsidRDefault="008504DF" w:rsidP="008504DF">
      <w:pPr>
        <w:rPr>
          <w:rFonts w:ascii="Arial" w:hAnsi="Arial" w:cs="Arial"/>
          <w:b/>
          <w:szCs w:val="24"/>
        </w:rPr>
      </w:pPr>
    </w:p>
    <w:p w:rsidR="00A97D13" w:rsidRPr="008504DF" w:rsidRDefault="00A97D13" w:rsidP="008504DF">
      <w:pPr>
        <w:rPr>
          <w:rFonts w:ascii="Arial" w:hAnsi="Arial" w:cs="Arial"/>
          <w:b/>
          <w:szCs w:val="24"/>
        </w:rPr>
      </w:pPr>
    </w:p>
    <w:sectPr w:rsidR="00A97D13" w:rsidRPr="008504DF">
      <w:headerReference w:type="even" r:id="rId8"/>
      <w:headerReference w:type="default" r:id="rId9"/>
      <w:pgSz w:w="11907" w:h="16840" w:code="9"/>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A64" w:rsidRDefault="00FF4984">
      <w:pPr>
        <w:spacing w:before="0" w:after="0"/>
      </w:pPr>
      <w:r>
        <w:separator/>
      </w:r>
    </w:p>
  </w:endnote>
  <w:endnote w:type="continuationSeparator" w:id="0">
    <w:p w:rsidR="00300A64" w:rsidRDefault="00FF498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A64" w:rsidRDefault="00FF4984">
      <w:pPr>
        <w:spacing w:before="0" w:after="0"/>
      </w:pPr>
      <w:r>
        <w:separator/>
      </w:r>
    </w:p>
  </w:footnote>
  <w:footnote w:type="continuationSeparator" w:id="0">
    <w:p w:rsidR="00300A64" w:rsidRDefault="00FF498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A64" w:rsidRDefault="00FF498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00A64" w:rsidRDefault="00300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A64" w:rsidRDefault="00FF4984">
    <w:pPr>
      <w:pStyle w:val="Header"/>
      <w:framePr w:wrap="around" w:vAnchor="text" w:hAnchor="margin" w:xAlign="center" w:y="1"/>
      <w:pBdr>
        <w:bottom w:val="none" w:sz="0" w:space="0" w:color="auto"/>
      </w:pBdr>
      <w:rPr>
        <w:rStyle w:val="PageNumber"/>
      </w:rPr>
    </w:pPr>
    <w:r>
      <w:rPr>
        <w:rStyle w:val="PageNumber"/>
      </w:rPr>
      <w:fldChar w:fldCharType="begin"/>
    </w:r>
    <w:r>
      <w:rPr>
        <w:rStyle w:val="PageNumber"/>
      </w:rPr>
      <w:instrText xml:space="preserve">PAGE  </w:instrText>
    </w:r>
    <w:r>
      <w:rPr>
        <w:rStyle w:val="PageNumber"/>
      </w:rPr>
      <w:fldChar w:fldCharType="separate"/>
    </w:r>
    <w:r w:rsidR="000259CC">
      <w:rPr>
        <w:rStyle w:val="PageNumber"/>
        <w:noProof/>
      </w:rPr>
      <w:t>7</w:t>
    </w:r>
    <w:r>
      <w:rPr>
        <w:rStyle w:val="PageNumber"/>
      </w:rPr>
      <w:fldChar w:fldCharType="end"/>
    </w:r>
  </w:p>
  <w:p w:rsidR="00300A64" w:rsidRDefault="00300A64">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3A6FEB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54002B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F0A0C1C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EE6077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6573A6"/>
    <w:multiLevelType w:val="singleLevel"/>
    <w:tmpl w:val="326A621E"/>
    <w:lvl w:ilvl="0">
      <w:start w:val="201"/>
      <w:numFmt w:val="decimal"/>
      <w:lvlText w:val="%1"/>
      <w:lvlJc w:val="left"/>
      <w:pPr>
        <w:tabs>
          <w:tab w:val="num" w:pos="360"/>
        </w:tabs>
        <w:ind w:left="0" w:firstLine="0"/>
      </w:pPr>
    </w:lvl>
  </w:abstractNum>
  <w:abstractNum w:abstractNumId="6"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527527D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31C7E61"/>
    <w:multiLevelType w:val="multilevel"/>
    <w:tmpl w:val="D058450A"/>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080"/>
        </w:tabs>
        <w:ind w:left="720" w:hanging="720"/>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 w15:restartNumberingAfterBreak="0">
    <w:nsid w:val="63DF359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A6F7D99"/>
    <w:multiLevelType w:val="singleLevel"/>
    <w:tmpl w:val="78E8FB80"/>
    <w:lvl w:ilvl="0">
      <w:start w:val="201"/>
      <w:numFmt w:val="decimal"/>
      <w:lvlText w:val="%1"/>
      <w:lvlJc w:val="left"/>
      <w:pPr>
        <w:tabs>
          <w:tab w:val="num" w:pos="360"/>
        </w:tabs>
        <w:ind w:left="0" w:firstLine="0"/>
      </w:pPr>
    </w:lvl>
  </w:abstractNum>
  <w:abstractNum w:abstractNumId="12" w15:restartNumberingAfterBreak="0">
    <w:nsid w:val="6BB95A0D"/>
    <w:multiLevelType w:val="singleLevel"/>
    <w:tmpl w:val="74DED434"/>
    <w:lvl w:ilvl="0">
      <w:start w:val="101"/>
      <w:numFmt w:val="decimal"/>
      <w:lvlText w:val="%1"/>
      <w:lvlJc w:val="left"/>
      <w:pPr>
        <w:tabs>
          <w:tab w:val="num" w:pos="360"/>
        </w:tabs>
        <w:ind w:left="0" w:firstLine="0"/>
      </w:pPr>
    </w:lvl>
  </w:abstractNum>
  <w:abstractNum w:abstractNumId="13" w15:restartNumberingAfterBreak="0">
    <w:nsid w:val="6F0C7B09"/>
    <w:multiLevelType w:val="singleLevel"/>
    <w:tmpl w:val="88943FC8"/>
    <w:lvl w:ilvl="0">
      <w:start w:val="101"/>
      <w:numFmt w:val="decimal"/>
      <w:lvlText w:val="%1"/>
      <w:lvlJc w:val="left"/>
      <w:pPr>
        <w:tabs>
          <w:tab w:val="num" w:pos="360"/>
        </w:tabs>
        <w:ind w:left="0" w:firstLine="0"/>
      </w:p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3"/>
  </w:num>
  <w:num w:numId="9">
    <w:abstractNumId w:val="3"/>
  </w:num>
  <w:num w:numId="10">
    <w:abstractNumId w:val="2"/>
  </w:num>
  <w:num w:numId="11">
    <w:abstractNumId w:val="2"/>
  </w:num>
  <w:num w:numId="12">
    <w:abstractNumId w:val="1"/>
  </w:num>
  <w:num w:numId="13">
    <w:abstractNumId w:val="1"/>
  </w:num>
  <w:num w:numId="14">
    <w:abstractNumId w:val="0"/>
  </w:num>
  <w:num w:numId="15">
    <w:abstractNumId w:val="0"/>
  </w:num>
  <w:num w:numId="16">
    <w:abstractNumId w:val="10"/>
  </w:num>
  <w:num w:numId="17">
    <w:abstractNumId w:val="7"/>
  </w:num>
  <w:num w:numId="18">
    <w:abstractNumId w:val="13"/>
  </w:num>
  <w:num w:numId="19">
    <w:abstractNumId w:val="5"/>
  </w:num>
  <w:num w:numId="20">
    <w:abstractNumId w:val="12"/>
  </w:num>
  <w:num w:numId="21">
    <w:abstractNumId w:val="11"/>
  </w:num>
  <w:num w:numId="22">
    <w:abstractNumId w:val="4"/>
  </w:num>
  <w:num w:numId="23">
    <w:abstractNumId w:val="6"/>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8AE"/>
    <w:rsid w:val="000259CC"/>
    <w:rsid w:val="000842D1"/>
    <w:rsid w:val="000B025D"/>
    <w:rsid w:val="000C6D7B"/>
    <w:rsid w:val="000F1CBA"/>
    <w:rsid w:val="0014449B"/>
    <w:rsid w:val="002A0D52"/>
    <w:rsid w:val="00300A64"/>
    <w:rsid w:val="00334D3A"/>
    <w:rsid w:val="00381CEB"/>
    <w:rsid w:val="003A68C2"/>
    <w:rsid w:val="004F6F51"/>
    <w:rsid w:val="00572D55"/>
    <w:rsid w:val="00624C0A"/>
    <w:rsid w:val="00653CA8"/>
    <w:rsid w:val="006654FB"/>
    <w:rsid w:val="00686A41"/>
    <w:rsid w:val="006B1872"/>
    <w:rsid w:val="007B5F95"/>
    <w:rsid w:val="008504DF"/>
    <w:rsid w:val="008B3777"/>
    <w:rsid w:val="008F01F1"/>
    <w:rsid w:val="0090356C"/>
    <w:rsid w:val="00923AD3"/>
    <w:rsid w:val="0093584D"/>
    <w:rsid w:val="009B0884"/>
    <w:rsid w:val="009B27B8"/>
    <w:rsid w:val="009B6975"/>
    <w:rsid w:val="00A31CAF"/>
    <w:rsid w:val="00A97D13"/>
    <w:rsid w:val="00B04DCE"/>
    <w:rsid w:val="00B14615"/>
    <w:rsid w:val="00B15F01"/>
    <w:rsid w:val="00B230C2"/>
    <w:rsid w:val="00B5775F"/>
    <w:rsid w:val="00B74B87"/>
    <w:rsid w:val="00B81EB0"/>
    <w:rsid w:val="00BD03D0"/>
    <w:rsid w:val="00BD70DA"/>
    <w:rsid w:val="00BE0C16"/>
    <w:rsid w:val="00C14348"/>
    <w:rsid w:val="00CC5886"/>
    <w:rsid w:val="00D4490A"/>
    <w:rsid w:val="00D518AE"/>
    <w:rsid w:val="00D9180C"/>
    <w:rsid w:val="00DB5789"/>
    <w:rsid w:val="00DC67CA"/>
    <w:rsid w:val="00E128CA"/>
    <w:rsid w:val="00E2741B"/>
    <w:rsid w:val="00ED5B71"/>
    <w:rsid w:val="00F00FB4"/>
    <w:rsid w:val="00FB0075"/>
    <w:rsid w:val="00FB7B67"/>
    <w:rsid w:val="00FD4A6F"/>
    <w:rsid w:val="00FF49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FEDAD"/>
  <w15:docId w15:val="{3DE2089E-D1EE-463E-AE88-8B8539ACF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pPr>
    <w:rPr>
      <w:sz w:val="24"/>
      <w:lang w:eastAsia="en-US"/>
    </w:rPr>
  </w:style>
  <w:style w:type="paragraph" w:styleId="Heading1">
    <w:name w:val="heading 1"/>
    <w:basedOn w:val="Normal"/>
    <w:next w:val="NormalIndent"/>
    <w:qFormat/>
    <w:pPr>
      <w:keepNext/>
      <w:numPr>
        <w:numId w:val="7"/>
      </w:numPr>
      <w:spacing w:before="240"/>
      <w:outlineLvl w:val="0"/>
    </w:pPr>
    <w:rPr>
      <w:rFonts w:ascii="Arial" w:hAnsi="Arial"/>
      <w:b/>
      <w:kern w:val="28"/>
      <w:sz w:val="28"/>
    </w:rPr>
  </w:style>
  <w:style w:type="paragraph" w:styleId="Heading2">
    <w:name w:val="heading 2"/>
    <w:basedOn w:val="Normal"/>
    <w:next w:val="NormalIndent"/>
    <w:qFormat/>
    <w:pPr>
      <w:keepNext/>
      <w:numPr>
        <w:ilvl w:val="1"/>
        <w:numId w:val="7"/>
      </w:numPr>
      <w:spacing w:before="240"/>
      <w:outlineLvl w:val="1"/>
    </w:pPr>
    <w:rPr>
      <w:rFonts w:ascii="Arial" w:hAnsi="Arial"/>
      <w:b/>
      <w:sz w:val="26"/>
    </w:rPr>
  </w:style>
  <w:style w:type="paragraph" w:styleId="Heading3">
    <w:name w:val="heading 3"/>
    <w:basedOn w:val="Normal"/>
    <w:next w:val="NormalIndent"/>
    <w:qFormat/>
    <w:pPr>
      <w:keepNext/>
      <w:numPr>
        <w:ilvl w:val="2"/>
        <w:numId w:val="7"/>
      </w:numPr>
      <w:spacing w:before="240"/>
      <w:outlineLvl w:val="2"/>
    </w:pPr>
    <w:rPr>
      <w:rFonts w:ascii="Arial" w:hAnsi="Arial"/>
      <w:b/>
    </w:rPr>
  </w:style>
  <w:style w:type="paragraph" w:styleId="Heading4">
    <w:name w:val="heading 4"/>
    <w:basedOn w:val="Normal"/>
    <w:next w:val="NormalIndent"/>
    <w:qFormat/>
    <w:pPr>
      <w:keepNext/>
      <w:numPr>
        <w:ilvl w:val="3"/>
        <w:numId w:val="7"/>
      </w:numPr>
      <w:spacing w:before="240"/>
      <w:outlineLvl w:val="3"/>
    </w:pPr>
    <w:rPr>
      <w:rFonts w:ascii="Arial" w:hAnsi="Arial"/>
      <w:b/>
      <w:sz w:val="22"/>
    </w:rPr>
  </w:style>
  <w:style w:type="paragraph" w:styleId="Heading5">
    <w:name w:val="heading 5"/>
    <w:basedOn w:val="Normal"/>
    <w:next w:val="Normal"/>
    <w:qFormat/>
    <w:pPr>
      <w:numPr>
        <w:ilvl w:val="4"/>
        <w:numId w:val="7"/>
      </w:numPr>
      <w:spacing w:before="240"/>
      <w:outlineLvl w:val="4"/>
    </w:pPr>
    <w:rPr>
      <w:sz w:val="22"/>
    </w:rPr>
  </w:style>
  <w:style w:type="paragraph" w:styleId="Heading6">
    <w:name w:val="heading 6"/>
    <w:basedOn w:val="Normal"/>
    <w:next w:val="Normal"/>
    <w:qFormat/>
    <w:pPr>
      <w:numPr>
        <w:ilvl w:val="5"/>
        <w:numId w:val="7"/>
      </w:numPr>
      <w:spacing w:before="240"/>
      <w:outlineLvl w:val="5"/>
    </w:pPr>
    <w:rPr>
      <w:i/>
      <w:sz w:val="22"/>
    </w:rPr>
  </w:style>
  <w:style w:type="paragraph" w:styleId="Heading7">
    <w:name w:val="heading 7"/>
    <w:basedOn w:val="Normal"/>
    <w:next w:val="Normal"/>
    <w:qFormat/>
    <w:pPr>
      <w:numPr>
        <w:ilvl w:val="6"/>
        <w:numId w:val="7"/>
      </w:numPr>
      <w:spacing w:before="240"/>
      <w:outlineLvl w:val="6"/>
    </w:pPr>
    <w:rPr>
      <w:rFonts w:ascii="Arial" w:hAnsi="Arial"/>
      <w:sz w:val="20"/>
    </w:rPr>
  </w:style>
  <w:style w:type="paragraph" w:styleId="Heading8">
    <w:name w:val="heading 8"/>
    <w:basedOn w:val="Normal"/>
    <w:next w:val="Normal"/>
    <w:qFormat/>
    <w:pPr>
      <w:numPr>
        <w:ilvl w:val="7"/>
        <w:numId w:val="7"/>
      </w:numPr>
      <w:spacing w:before="240"/>
      <w:outlineLvl w:val="7"/>
    </w:pPr>
    <w:rPr>
      <w:rFonts w:ascii="Arial" w:hAnsi="Arial"/>
      <w:i/>
      <w:sz w:val="20"/>
    </w:rPr>
  </w:style>
  <w:style w:type="paragraph" w:styleId="Heading9">
    <w:name w:val="heading 9"/>
    <w:basedOn w:val="Normal"/>
    <w:next w:val="Normal"/>
    <w:qFormat/>
    <w:pPr>
      <w:numPr>
        <w:ilvl w:val="8"/>
        <w:numId w:val="7"/>
      </w:numPr>
      <w:spacing w:before="24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pPr>
      <w:ind w:left="720"/>
    </w:pPr>
  </w:style>
  <w:style w:type="paragraph" w:styleId="Header">
    <w:name w:val="header"/>
    <w:basedOn w:val="Normal"/>
    <w:semiHidden/>
    <w:pPr>
      <w:pBdr>
        <w:bottom w:val="single" w:sz="4" w:space="1" w:color="auto"/>
      </w:pBdr>
      <w:tabs>
        <w:tab w:val="center" w:pos="4153"/>
        <w:tab w:val="right" w:pos="8987"/>
      </w:tabs>
    </w:pPr>
    <w:rPr>
      <w:sz w:val="22"/>
    </w:rPr>
  </w:style>
  <w:style w:type="paragraph" w:styleId="Footer">
    <w:name w:val="footer"/>
    <w:basedOn w:val="Normal"/>
    <w:semiHidden/>
    <w:pPr>
      <w:pBdr>
        <w:top w:val="single" w:sz="4" w:space="1" w:color="auto"/>
      </w:pBdr>
      <w:tabs>
        <w:tab w:val="center" w:pos="4153"/>
        <w:tab w:val="right" w:pos="8987"/>
      </w:tabs>
    </w:pPr>
    <w:rPr>
      <w:sz w:val="22"/>
    </w:rPr>
  </w:style>
  <w:style w:type="paragraph" w:styleId="ListBullet">
    <w:name w:val="List Bullet"/>
    <w:basedOn w:val="NormalIndent"/>
    <w:autoRedefine/>
    <w:semiHidden/>
    <w:pPr>
      <w:numPr>
        <w:numId w:val="9"/>
      </w:numPr>
    </w:pPr>
  </w:style>
  <w:style w:type="paragraph" w:styleId="ListBullet2">
    <w:name w:val="List Bullet 2"/>
    <w:basedOn w:val="NormalIndent"/>
    <w:autoRedefine/>
    <w:semiHidden/>
    <w:pPr>
      <w:numPr>
        <w:numId w:val="11"/>
      </w:numPr>
    </w:pPr>
  </w:style>
  <w:style w:type="paragraph" w:styleId="ListBullet3">
    <w:name w:val="List Bullet 3"/>
    <w:basedOn w:val="NormalIndent"/>
    <w:autoRedefine/>
    <w:semiHidden/>
    <w:pPr>
      <w:numPr>
        <w:numId w:val="13"/>
      </w:numPr>
    </w:pPr>
  </w:style>
  <w:style w:type="paragraph" w:styleId="ListBullet4">
    <w:name w:val="List Bullet 4"/>
    <w:basedOn w:val="NormalIndent"/>
    <w:autoRedefine/>
    <w:semiHidden/>
    <w:pPr>
      <w:numPr>
        <w:numId w:val="15"/>
      </w:numPr>
    </w:pPr>
  </w:style>
  <w:style w:type="paragraph" w:styleId="BodyText">
    <w:name w:val="Body Text"/>
    <w:basedOn w:val="Normal"/>
    <w:semiHidden/>
    <w:pPr>
      <w:jc w:val="center"/>
    </w:pPr>
    <w:rPr>
      <w:b/>
    </w:rPr>
  </w:style>
  <w:style w:type="character" w:styleId="PageNumber">
    <w:name w:val="page number"/>
    <w:basedOn w:val="DefaultParagraphFont"/>
    <w:semiHidden/>
  </w:style>
  <w:style w:type="paragraph" w:styleId="Title">
    <w:name w:val="Title"/>
    <w:basedOn w:val="Normal"/>
    <w:qFormat/>
    <w:pPr>
      <w:spacing w:after="240"/>
      <w:jc w:val="center"/>
    </w:pPr>
    <w:rPr>
      <w:b/>
    </w:rPr>
  </w:style>
  <w:style w:type="paragraph" w:styleId="BodyText2">
    <w:name w:val="Body Text 2"/>
    <w:basedOn w:val="Normal"/>
    <w:semiHidden/>
    <w:pPr>
      <w:spacing w:before="0" w:after="240"/>
      <w:jc w:val="both"/>
    </w:pPr>
  </w:style>
  <w:style w:type="paragraph" w:customStyle="1" w:styleId="TableText">
    <w:name w:val="TableText"/>
    <w:basedOn w:val="Normal"/>
    <w:pPr>
      <w:spacing w:before="120" w:after="0" w:line="240" w:lineRule="exact"/>
    </w:pPr>
    <w:rPr>
      <w:sz w:val="22"/>
    </w:rPr>
  </w:style>
  <w:style w:type="paragraph" w:styleId="BalloonText">
    <w:name w:val="Balloon Text"/>
    <w:basedOn w:val="Normal"/>
    <w:link w:val="BalloonTextChar"/>
    <w:uiPriority w:val="99"/>
    <w:semiHidden/>
    <w:unhideWhenUsed/>
    <w:rsid w:val="009B27B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7B8"/>
    <w:rPr>
      <w:rFonts w:ascii="Tahoma" w:hAnsi="Tahoma" w:cs="Tahoma"/>
      <w:sz w:val="16"/>
      <w:szCs w:val="16"/>
      <w:lang w:eastAsia="en-US"/>
    </w:rPr>
  </w:style>
  <w:style w:type="character" w:styleId="CommentReference">
    <w:name w:val="annotation reference"/>
    <w:basedOn w:val="DefaultParagraphFont"/>
    <w:uiPriority w:val="99"/>
    <w:semiHidden/>
    <w:unhideWhenUsed/>
    <w:rsid w:val="00BD70DA"/>
    <w:rPr>
      <w:sz w:val="16"/>
      <w:szCs w:val="16"/>
    </w:rPr>
  </w:style>
  <w:style w:type="paragraph" w:styleId="CommentText">
    <w:name w:val="annotation text"/>
    <w:basedOn w:val="Normal"/>
    <w:link w:val="CommentTextChar"/>
    <w:uiPriority w:val="99"/>
    <w:semiHidden/>
    <w:unhideWhenUsed/>
    <w:rsid w:val="00BD70DA"/>
    <w:rPr>
      <w:sz w:val="20"/>
    </w:rPr>
  </w:style>
  <w:style w:type="character" w:customStyle="1" w:styleId="CommentTextChar">
    <w:name w:val="Comment Text Char"/>
    <w:basedOn w:val="DefaultParagraphFont"/>
    <w:link w:val="CommentText"/>
    <w:uiPriority w:val="99"/>
    <w:semiHidden/>
    <w:rsid w:val="00BD70DA"/>
    <w:rPr>
      <w:lang w:eastAsia="en-US"/>
    </w:rPr>
  </w:style>
  <w:style w:type="paragraph" w:styleId="CommentSubject">
    <w:name w:val="annotation subject"/>
    <w:basedOn w:val="CommentText"/>
    <w:next w:val="CommentText"/>
    <w:link w:val="CommentSubjectChar"/>
    <w:uiPriority w:val="99"/>
    <w:semiHidden/>
    <w:unhideWhenUsed/>
    <w:rsid w:val="00BD70DA"/>
    <w:rPr>
      <w:b/>
      <w:bCs/>
    </w:rPr>
  </w:style>
  <w:style w:type="character" w:customStyle="1" w:styleId="CommentSubjectChar">
    <w:name w:val="Comment Subject Char"/>
    <w:basedOn w:val="CommentTextChar"/>
    <w:link w:val="CommentSubject"/>
    <w:uiPriority w:val="99"/>
    <w:semiHidden/>
    <w:rsid w:val="00BD70DA"/>
    <w:rPr>
      <w:b/>
      <w:bCs/>
      <w:lang w:eastAsia="en-US"/>
    </w:rPr>
  </w:style>
  <w:style w:type="character" w:styleId="BookTitle">
    <w:name w:val="Book Title"/>
    <w:uiPriority w:val="33"/>
    <w:qFormat/>
    <w:rsid w:val="00A31CAF"/>
    <w:rPr>
      <w:i/>
      <w:iCs/>
      <w:smallCaps/>
      <w:spacing w:val="5"/>
    </w:rPr>
  </w:style>
  <w:style w:type="paragraph" w:styleId="ListParagraph">
    <w:name w:val="List Paragraph"/>
    <w:basedOn w:val="Normal"/>
    <w:uiPriority w:val="34"/>
    <w:qFormat/>
    <w:rsid w:val="00BE0C16"/>
    <w:pPr>
      <w:spacing w:before="240" w:after="0"/>
      <w:ind w:left="720"/>
      <w:contextualSpacing/>
    </w:pPr>
    <w:rPr>
      <w:lang w:eastAsia="en-AU"/>
    </w:rPr>
  </w:style>
  <w:style w:type="character" w:styleId="Hyperlink">
    <w:name w:val="Hyperlink"/>
    <w:uiPriority w:val="99"/>
    <w:unhideWhenUsed/>
    <w:rsid w:val="00BE0C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532687">
      <w:bodyDiv w:val="1"/>
      <w:marLeft w:val="0"/>
      <w:marRight w:val="0"/>
      <w:marTop w:val="0"/>
      <w:marBottom w:val="0"/>
      <w:divBdr>
        <w:top w:val="none" w:sz="0" w:space="0" w:color="auto"/>
        <w:left w:val="none" w:sz="0" w:space="0" w:color="auto"/>
        <w:bottom w:val="none" w:sz="0" w:space="0" w:color="auto"/>
        <w:right w:val="none" w:sz="0" w:space="0" w:color="auto"/>
      </w:divBdr>
    </w:div>
    <w:div w:id="1235503930">
      <w:bodyDiv w:val="1"/>
      <w:marLeft w:val="0"/>
      <w:marRight w:val="0"/>
      <w:marTop w:val="0"/>
      <w:marBottom w:val="0"/>
      <w:divBdr>
        <w:top w:val="none" w:sz="0" w:space="0" w:color="auto"/>
        <w:left w:val="none" w:sz="0" w:space="0" w:color="auto"/>
        <w:bottom w:val="none" w:sz="0" w:space="0" w:color="auto"/>
        <w:right w:val="none" w:sz="0" w:space="0" w:color="auto"/>
      </w:divBdr>
    </w:div>
    <w:div w:id="172478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A5FCE-3475-43A4-8C34-92FCD0E70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1782</Words>
  <Characters>9560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Department of Family and Community Services</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Jeff Cressall</dc:creator>
  <cp:lastModifiedBy>Downey, Michael</cp:lastModifiedBy>
  <cp:revision>4</cp:revision>
  <cp:lastPrinted>2001-12-17T22:38:00Z</cp:lastPrinted>
  <dcterms:created xsi:type="dcterms:W3CDTF">2020-01-30T00:00:00Z</dcterms:created>
  <dcterms:modified xsi:type="dcterms:W3CDTF">2020-01-30T00:36:00Z</dcterms:modified>
</cp:coreProperties>
</file>