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02563" w14:textId="4AD641DC" w:rsidR="003E64F9" w:rsidRPr="009C07DE" w:rsidRDefault="003E64F9" w:rsidP="003E64F9">
      <w:pPr>
        <w:pStyle w:val="Heading1"/>
        <w:spacing w:before="120" w:after="240"/>
        <w:jc w:val="center"/>
        <w:rPr>
          <w:rFonts w:ascii="Times New Roman" w:hAnsi="Times New Roman" w:cs="Times New Roman"/>
          <w:sz w:val="24"/>
          <w:szCs w:val="24"/>
        </w:rPr>
      </w:pPr>
      <w:r w:rsidRPr="009C07DE">
        <w:rPr>
          <w:rFonts w:ascii="Times New Roman" w:hAnsi="Times New Roman" w:cs="Times New Roman"/>
          <w:sz w:val="24"/>
          <w:szCs w:val="24"/>
        </w:rPr>
        <w:t>EXPLANATORY STATEMENT</w:t>
      </w:r>
    </w:p>
    <w:p w14:paraId="2026FA98" w14:textId="1A25F92A" w:rsidR="003E64F9" w:rsidRPr="009C07DE" w:rsidRDefault="003E64F9" w:rsidP="003E64F9">
      <w:pPr>
        <w:jc w:val="center"/>
        <w:rPr>
          <w:b/>
        </w:rPr>
      </w:pPr>
      <w:r w:rsidRPr="009C07DE">
        <w:rPr>
          <w:b/>
        </w:rPr>
        <w:t>Issued by the Authority of the Minister for Finance</w:t>
      </w:r>
    </w:p>
    <w:p w14:paraId="12685278" w14:textId="77777777" w:rsidR="003E64F9" w:rsidRPr="009C07DE" w:rsidRDefault="003E64F9" w:rsidP="003E64F9">
      <w:pPr>
        <w:jc w:val="center"/>
        <w:rPr>
          <w:b/>
        </w:rPr>
      </w:pPr>
    </w:p>
    <w:p w14:paraId="47307061" w14:textId="77777777" w:rsidR="000B2CD2" w:rsidRPr="009C07DE" w:rsidRDefault="003E64F9" w:rsidP="00EB3ED0">
      <w:pPr>
        <w:jc w:val="center"/>
        <w:rPr>
          <w:i/>
        </w:rPr>
      </w:pPr>
      <w:r w:rsidRPr="009C07DE">
        <w:rPr>
          <w:i/>
        </w:rPr>
        <w:t xml:space="preserve">Public Governance, Performance and Accountability </w:t>
      </w:r>
      <w:r w:rsidR="00241F66" w:rsidRPr="009C07DE">
        <w:rPr>
          <w:i/>
        </w:rPr>
        <w:t>Rule 2014</w:t>
      </w:r>
    </w:p>
    <w:p w14:paraId="28540837" w14:textId="77777777" w:rsidR="003E64F9" w:rsidRPr="009C07DE" w:rsidRDefault="003E64F9" w:rsidP="003E64F9">
      <w:pPr>
        <w:jc w:val="center"/>
        <w:rPr>
          <w:i/>
        </w:rPr>
      </w:pPr>
    </w:p>
    <w:p w14:paraId="2854AC53" w14:textId="77777777" w:rsidR="00E57909" w:rsidRPr="009C07DE" w:rsidRDefault="00241F66" w:rsidP="00241F66">
      <w:pPr>
        <w:jc w:val="center"/>
        <w:rPr>
          <w:i/>
        </w:rPr>
      </w:pPr>
      <w:r w:rsidRPr="009C07DE">
        <w:rPr>
          <w:i/>
        </w:rPr>
        <w:t xml:space="preserve">Public Governance, Performance and Accountability Amendment </w:t>
      </w:r>
    </w:p>
    <w:p w14:paraId="3ACBEAB1" w14:textId="282BFC57" w:rsidR="003E64F9" w:rsidRPr="009C07DE" w:rsidRDefault="00241F66" w:rsidP="00241F66">
      <w:pPr>
        <w:jc w:val="center"/>
        <w:rPr>
          <w:i/>
        </w:rPr>
      </w:pPr>
      <w:r w:rsidRPr="009C07DE">
        <w:rPr>
          <w:i/>
        </w:rPr>
        <w:t>(</w:t>
      </w:r>
      <w:r w:rsidR="00D036CF" w:rsidRPr="009C07DE">
        <w:rPr>
          <w:i/>
        </w:rPr>
        <w:t>2020</w:t>
      </w:r>
      <w:r w:rsidR="009E60DE" w:rsidRPr="009C07DE">
        <w:rPr>
          <w:i/>
        </w:rPr>
        <w:t xml:space="preserve"> Measures No.</w:t>
      </w:r>
      <w:r w:rsidR="00106F22" w:rsidRPr="009C07DE">
        <w:rPr>
          <w:i/>
        </w:rPr>
        <w:t xml:space="preserve"> 1</w:t>
      </w:r>
      <w:r w:rsidRPr="009C07DE">
        <w:rPr>
          <w:i/>
        </w:rPr>
        <w:t xml:space="preserve">) Rules </w:t>
      </w:r>
      <w:r w:rsidR="00D036CF" w:rsidRPr="009C07DE">
        <w:rPr>
          <w:i/>
        </w:rPr>
        <w:t>2020</w:t>
      </w:r>
    </w:p>
    <w:p w14:paraId="3BF7516E" w14:textId="77777777" w:rsidR="00241F66" w:rsidRPr="009C07DE" w:rsidRDefault="00241F66" w:rsidP="003E64F9"/>
    <w:p w14:paraId="19FBCD98" w14:textId="5192DF33" w:rsidR="00241F66" w:rsidRPr="009C07DE" w:rsidRDefault="00241F66" w:rsidP="003E64F9">
      <w:r w:rsidRPr="009C07DE">
        <w:t xml:space="preserve">The </w:t>
      </w:r>
      <w:r w:rsidRPr="009C07DE">
        <w:rPr>
          <w:i/>
        </w:rPr>
        <w:t xml:space="preserve">Public Governance, Performance and Accountability Act 2013 </w:t>
      </w:r>
      <w:r w:rsidRPr="009C07DE">
        <w:t>(</w:t>
      </w:r>
      <w:proofErr w:type="spellStart"/>
      <w:r w:rsidRPr="009C07DE">
        <w:t>PGPA</w:t>
      </w:r>
      <w:proofErr w:type="spellEnd"/>
      <w:r w:rsidRPr="009C07DE">
        <w:t xml:space="preserve"> Act) </w:t>
      </w:r>
      <w:r w:rsidR="00656840" w:rsidRPr="009C07DE">
        <w:t>and</w:t>
      </w:r>
      <w:r w:rsidR="00CD04A1" w:rsidRPr="009C07DE">
        <w:t xml:space="preserve"> the</w:t>
      </w:r>
      <w:r w:rsidR="00656840" w:rsidRPr="009C07DE">
        <w:t xml:space="preserve"> </w:t>
      </w:r>
      <w:r w:rsidR="00656840" w:rsidRPr="009C07DE">
        <w:rPr>
          <w:i/>
        </w:rPr>
        <w:t xml:space="preserve">Public Governance, Performance and Accountability Rule 2014 </w:t>
      </w:r>
      <w:r w:rsidR="00CD04A1" w:rsidRPr="009C07DE">
        <w:t>(</w:t>
      </w:r>
      <w:proofErr w:type="spellStart"/>
      <w:r w:rsidR="00CD04A1" w:rsidRPr="009C07DE">
        <w:t>PGPA</w:t>
      </w:r>
      <w:proofErr w:type="spellEnd"/>
      <w:r w:rsidR="00CD04A1" w:rsidRPr="009C07DE">
        <w:t xml:space="preserve"> Rule) set</w:t>
      </w:r>
      <w:r w:rsidR="00656840" w:rsidRPr="009C07DE">
        <w:t xml:space="preserve"> out a framework</w:t>
      </w:r>
      <w:r w:rsidRPr="009C07DE">
        <w:rPr>
          <w:i/>
        </w:rPr>
        <w:t xml:space="preserve"> </w:t>
      </w:r>
      <w:r w:rsidR="00656840" w:rsidRPr="009C07DE">
        <w:t>for regulating resource management by Commonwealth entities</w:t>
      </w:r>
      <w:r w:rsidR="006877D5" w:rsidRPr="009C07DE">
        <w:t xml:space="preserve"> and companies</w:t>
      </w:r>
      <w:r w:rsidRPr="009C07DE">
        <w:t xml:space="preserve">. </w:t>
      </w:r>
      <w:r w:rsidRPr="009C07DE" w:rsidDel="001A08DE">
        <w:t xml:space="preserve">Section 101 of the </w:t>
      </w:r>
      <w:proofErr w:type="spellStart"/>
      <w:r w:rsidRPr="009C07DE" w:rsidDel="001A08DE">
        <w:t>PGPA</w:t>
      </w:r>
      <w:proofErr w:type="spellEnd"/>
      <w:r w:rsidRPr="009C07DE" w:rsidDel="001A08DE">
        <w:t xml:space="preserve"> Act provides that the </w:t>
      </w:r>
      <w:r w:rsidR="00F85D49" w:rsidRPr="009C07DE" w:rsidDel="001A08DE">
        <w:t>Finance</w:t>
      </w:r>
      <w:r w:rsidRPr="009C07DE" w:rsidDel="001A08DE">
        <w:t xml:space="preserve"> </w:t>
      </w:r>
      <w:r w:rsidR="00625552" w:rsidRPr="009C07DE" w:rsidDel="001A08DE">
        <w:t xml:space="preserve">Minister </w:t>
      </w:r>
      <w:r w:rsidRPr="009C07DE" w:rsidDel="001A08DE">
        <w:t xml:space="preserve">may make rules by legislative instrument to prescribe matters </w:t>
      </w:r>
      <w:r w:rsidR="00E57909" w:rsidRPr="009C07DE">
        <w:t xml:space="preserve">necessary or convenient to be prescribed for carrying out or </w:t>
      </w:r>
      <w:r w:rsidRPr="009C07DE" w:rsidDel="001A08DE">
        <w:t>giving effect to the Act.</w:t>
      </w:r>
      <w:r w:rsidR="00EB4044" w:rsidRPr="009C07DE">
        <w:t xml:space="preserve"> </w:t>
      </w:r>
      <w:bookmarkStart w:id="0" w:name="_GoBack"/>
      <w:bookmarkEnd w:id="0"/>
    </w:p>
    <w:p w14:paraId="6C0AF185" w14:textId="77777777" w:rsidR="00241F66" w:rsidRPr="009C07DE" w:rsidRDefault="00241F66" w:rsidP="003E64F9"/>
    <w:p w14:paraId="7AE06915" w14:textId="77777777" w:rsidR="009D3E5D" w:rsidRPr="009C07DE" w:rsidRDefault="009D3E5D" w:rsidP="009D3E5D">
      <w:pPr>
        <w:autoSpaceDE w:val="0"/>
        <w:autoSpaceDN w:val="0"/>
      </w:pPr>
      <w:r w:rsidRPr="009C07DE">
        <w:t xml:space="preserve">Under subsection 33(3) of the </w:t>
      </w:r>
      <w:r w:rsidRPr="009C07DE">
        <w:rPr>
          <w:i/>
        </w:rPr>
        <w:t>Acts Interpretation Act 1901</w:t>
      </w:r>
      <w:r w:rsidRPr="009C07DE">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E2C4EE1" w14:textId="77777777" w:rsidR="009D3E5D" w:rsidRPr="009C07DE" w:rsidRDefault="009D3E5D" w:rsidP="009D3E5D">
      <w:pPr>
        <w:autoSpaceDE w:val="0"/>
        <w:autoSpaceDN w:val="0"/>
      </w:pPr>
    </w:p>
    <w:p w14:paraId="17F1DB26" w14:textId="7865FD3B" w:rsidR="0060302C" w:rsidRPr="009C07DE" w:rsidRDefault="009D3E5D" w:rsidP="008F294B">
      <w:r w:rsidRPr="009C07DE">
        <w:t xml:space="preserve">The </w:t>
      </w:r>
      <w:r w:rsidR="001D0D82" w:rsidRPr="009C07DE">
        <w:rPr>
          <w:i/>
        </w:rPr>
        <w:t>Public Governance, Performance and Accountability Amendment (</w:t>
      </w:r>
      <w:r w:rsidR="00D036CF" w:rsidRPr="009C07DE">
        <w:rPr>
          <w:i/>
        </w:rPr>
        <w:t>2020</w:t>
      </w:r>
      <w:r w:rsidR="009E60DE" w:rsidRPr="009C07DE">
        <w:rPr>
          <w:i/>
        </w:rPr>
        <w:t xml:space="preserve"> Measures No.</w:t>
      </w:r>
      <w:r w:rsidR="00106F22" w:rsidRPr="009C07DE">
        <w:rPr>
          <w:i/>
        </w:rPr>
        <w:t xml:space="preserve"> 1</w:t>
      </w:r>
      <w:r w:rsidR="001D0D82" w:rsidRPr="009C07DE">
        <w:rPr>
          <w:i/>
        </w:rPr>
        <w:t xml:space="preserve">) Rules </w:t>
      </w:r>
      <w:r w:rsidR="00D036CF" w:rsidRPr="009C07DE">
        <w:rPr>
          <w:i/>
        </w:rPr>
        <w:t>2020</w:t>
      </w:r>
      <w:r w:rsidR="001D0D82" w:rsidRPr="009C07DE">
        <w:rPr>
          <w:i/>
        </w:rPr>
        <w:t xml:space="preserve"> </w:t>
      </w:r>
      <w:r w:rsidRPr="009C07DE">
        <w:t>(</w:t>
      </w:r>
      <w:r w:rsidR="004F0A75" w:rsidRPr="009C07DE">
        <w:t xml:space="preserve">the </w:t>
      </w:r>
      <w:r w:rsidR="00C75876" w:rsidRPr="009C07DE">
        <w:t xml:space="preserve">Amending </w:t>
      </w:r>
      <w:r w:rsidR="00656840" w:rsidRPr="009C07DE">
        <w:t>Rule</w:t>
      </w:r>
      <w:r w:rsidRPr="009C07DE">
        <w:t>)</w:t>
      </w:r>
      <w:r w:rsidRPr="009C07DE">
        <w:rPr>
          <w:i/>
        </w:rPr>
        <w:t xml:space="preserve"> </w:t>
      </w:r>
      <w:r w:rsidRPr="009C07DE">
        <w:t>amend</w:t>
      </w:r>
      <w:r w:rsidR="007B2A41" w:rsidRPr="009C07DE">
        <w:t>s</w:t>
      </w:r>
      <w:r w:rsidRPr="009C07DE">
        <w:t xml:space="preserve"> </w:t>
      </w:r>
      <w:r w:rsidR="005127E7" w:rsidRPr="009C07DE">
        <w:t xml:space="preserve">the </w:t>
      </w:r>
      <w:proofErr w:type="spellStart"/>
      <w:r w:rsidR="005127E7" w:rsidRPr="009C07DE">
        <w:t>PGPA</w:t>
      </w:r>
      <w:proofErr w:type="spellEnd"/>
      <w:r w:rsidR="005127E7" w:rsidRPr="009C07DE">
        <w:t xml:space="preserve"> Rule</w:t>
      </w:r>
      <w:r w:rsidR="007236CC" w:rsidRPr="009C07DE">
        <w:t xml:space="preserve"> to </w:t>
      </w:r>
      <w:r w:rsidR="009E60DE" w:rsidRPr="009C07DE">
        <w:t xml:space="preserve">implement several recommendations following from the Independent Review into the operation of </w:t>
      </w:r>
      <w:r w:rsidR="00243B24" w:rsidRPr="009C07DE">
        <w:t xml:space="preserve">the </w:t>
      </w:r>
      <w:r w:rsidR="00460EE5" w:rsidRPr="009C07DE">
        <w:rPr>
          <w:i/>
        </w:rPr>
        <w:t>Public Governance Performance and Accountability Act 2013</w:t>
      </w:r>
      <w:r w:rsidR="00460EE5" w:rsidRPr="009C07DE">
        <w:t xml:space="preserve"> and Rule, conducted by Elizabeth Alexander AM and David </w:t>
      </w:r>
      <w:proofErr w:type="spellStart"/>
      <w:r w:rsidR="00460EE5" w:rsidRPr="009C07DE">
        <w:t>Thodey</w:t>
      </w:r>
      <w:proofErr w:type="spellEnd"/>
      <w:r w:rsidR="00460EE5" w:rsidRPr="009C07DE">
        <w:t xml:space="preserve"> AO (the Review)</w:t>
      </w:r>
      <w:r w:rsidR="009E60DE" w:rsidRPr="009C07DE">
        <w:t xml:space="preserve">. Specifically the Amending Rule: </w:t>
      </w:r>
    </w:p>
    <w:p w14:paraId="15EB10A1" w14:textId="0B50D03A" w:rsidR="001A6249" w:rsidRPr="009C07DE" w:rsidRDefault="001A6249" w:rsidP="001A6249">
      <w:pPr>
        <w:pStyle w:val="ListParagraph"/>
        <w:numPr>
          <w:ilvl w:val="0"/>
          <w:numId w:val="21"/>
        </w:numPr>
      </w:pPr>
      <w:r w:rsidRPr="009C07DE">
        <w:t>allows a</w:t>
      </w:r>
      <w:r w:rsidR="00755EAC" w:rsidRPr="009C07DE">
        <w:t xml:space="preserve">n accountable authority </w:t>
      </w:r>
      <w:r w:rsidRPr="009C07DE">
        <w:t xml:space="preserve">or former </w:t>
      </w:r>
      <w:r w:rsidR="00755EAC" w:rsidRPr="009C07DE">
        <w:t>accountable authority</w:t>
      </w:r>
      <w:r w:rsidRPr="009C07DE">
        <w:t xml:space="preserve"> of a corporate Commonwealth entity to inspect the books of the entity for the purpose of an eligible legal proceeding; </w:t>
      </w:r>
    </w:p>
    <w:p w14:paraId="3DF5D1DC" w14:textId="7A818CC7" w:rsidR="009C27C9" w:rsidRPr="009C07DE" w:rsidRDefault="00862789" w:rsidP="009C27C9">
      <w:pPr>
        <w:pStyle w:val="ListParagraph"/>
        <w:numPr>
          <w:ilvl w:val="0"/>
          <w:numId w:val="21"/>
        </w:numPr>
        <w:spacing w:after="160" w:line="259" w:lineRule="auto"/>
      </w:pPr>
      <w:r w:rsidRPr="009C07DE">
        <w:t xml:space="preserve">prescribes </w:t>
      </w:r>
      <w:r w:rsidR="009C27C9" w:rsidRPr="009C07DE">
        <w:t xml:space="preserve">requirements for the preparation of corporate plans for Commonwealth entities under the </w:t>
      </w:r>
      <w:proofErr w:type="spellStart"/>
      <w:r w:rsidR="009C27C9" w:rsidRPr="009C07DE">
        <w:t>PGPA</w:t>
      </w:r>
      <w:proofErr w:type="spellEnd"/>
      <w:r w:rsidR="009C27C9" w:rsidRPr="009C07DE">
        <w:t xml:space="preserve"> Act;</w:t>
      </w:r>
    </w:p>
    <w:p w14:paraId="0C1844C6" w14:textId="4DCE396C" w:rsidR="00862789" w:rsidRPr="009C07DE" w:rsidRDefault="00862789" w:rsidP="009C27C9">
      <w:pPr>
        <w:pStyle w:val="ListParagraph"/>
        <w:numPr>
          <w:ilvl w:val="0"/>
          <w:numId w:val="21"/>
        </w:numPr>
        <w:spacing w:after="160" w:line="259" w:lineRule="auto"/>
      </w:pPr>
      <w:r w:rsidRPr="009C07DE">
        <w:t xml:space="preserve">prescribes requirements that the performance measures of Commonwealth entities must meet for the purposes of the preparation of corporate plans; </w:t>
      </w:r>
    </w:p>
    <w:p w14:paraId="2294CBD4" w14:textId="12AD5701" w:rsidR="001A6249" w:rsidRPr="009C07DE" w:rsidRDefault="0002702A" w:rsidP="001A6249">
      <w:pPr>
        <w:pStyle w:val="ListParagraph"/>
        <w:numPr>
          <w:ilvl w:val="0"/>
          <w:numId w:val="21"/>
        </w:numPr>
      </w:pPr>
      <w:r w:rsidRPr="009C07DE">
        <w:t xml:space="preserve">prescribes all </w:t>
      </w:r>
      <w:r w:rsidRPr="009C07DE">
        <w:rPr>
          <w:color w:val="000000"/>
        </w:rPr>
        <w:t>of the audit committee members of a non</w:t>
      </w:r>
      <w:r w:rsidRPr="009C07DE">
        <w:rPr>
          <w:color w:val="000000"/>
        </w:rPr>
        <w:noBreakHyphen/>
        <w:t xml:space="preserve">corporate Commonwealth entity must not be officials of </w:t>
      </w:r>
      <w:r w:rsidR="00F30FBE" w:rsidRPr="009C07DE">
        <w:rPr>
          <w:color w:val="000000"/>
        </w:rPr>
        <w:t xml:space="preserve">the </w:t>
      </w:r>
      <w:r w:rsidRPr="009C07DE">
        <w:rPr>
          <w:color w:val="000000"/>
        </w:rPr>
        <w:t>entity</w:t>
      </w:r>
      <w:r w:rsidR="005B37EB" w:rsidRPr="009C07DE">
        <w:rPr>
          <w:color w:val="000000"/>
        </w:rPr>
        <w:t xml:space="preserve"> and </w:t>
      </w:r>
      <w:r w:rsidR="00F7399E" w:rsidRPr="009C07DE">
        <w:rPr>
          <w:color w:val="000000"/>
        </w:rPr>
        <w:t xml:space="preserve">a </w:t>
      </w:r>
      <w:r w:rsidR="005B37EB" w:rsidRPr="009C07DE">
        <w:rPr>
          <w:color w:val="000000"/>
        </w:rPr>
        <w:t>majority must not be officials of any Commonwealth entity</w:t>
      </w:r>
      <w:r w:rsidRPr="009C07DE">
        <w:rPr>
          <w:color w:val="000000"/>
        </w:rPr>
        <w:t>; and for a corporate Commonwealth entity, all of the audit committee members must not be employees of the entity</w:t>
      </w:r>
      <w:r w:rsidR="001A6249" w:rsidRPr="009C07DE">
        <w:t>;</w:t>
      </w:r>
    </w:p>
    <w:p w14:paraId="4D3A9DEC" w14:textId="655DC51D" w:rsidR="00460EE5" w:rsidRPr="009C07DE" w:rsidRDefault="00460EE5" w:rsidP="00460EE5">
      <w:pPr>
        <w:pStyle w:val="ListParagraph"/>
        <w:numPr>
          <w:ilvl w:val="0"/>
          <w:numId w:val="21"/>
        </w:numPr>
      </w:pPr>
      <w:r w:rsidRPr="009C07DE">
        <w:t>requires the disclosure in Commonwealth entities</w:t>
      </w:r>
      <w:r w:rsidR="00157B84" w:rsidRPr="009C07DE">
        <w:t>’</w:t>
      </w:r>
      <w:r w:rsidRPr="009C07DE">
        <w:t xml:space="preserve"> and companies’ annual reports of a direct electronic address for the audit committee charter, the membership, the qualifications, skills, knowledge or experience of each committee member, the details of each members attendance at meetings and the remuneration of each audit committee member; and</w:t>
      </w:r>
    </w:p>
    <w:p w14:paraId="66C9FCF0" w14:textId="77777777" w:rsidR="00F7399E" w:rsidRPr="009C07DE" w:rsidRDefault="001A6249" w:rsidP="001A6249">
      <w:pPr>
        <w:pStyle w:val="ListParagraph"/>
        <w:numPr>
          <w:ilvl w:val="0"/>
          <w:numId w:val="21"/>
        </w:numPr>
      </w:pPr>
      <w:r w:rsidRPr="009C07DE">
        <w:t>prescribes requirements about the granting of indemnities and exemptions by corporate Commonwealth entities</w:t>
      </w:r>
      <w:r w:rsidR="00F30FBE" w:rsidRPr="009C07DE">
        <w:t>.</w:t>
      </w:r>
    </w:p>
    <w:p w14:paraId="3A7DDE4F" w14:textId="1EEF76DE" w:rsidR="001A6249" w:rsidRPr="009C07DE" w:rsidRDefault="001A6249" w:rsidP="00F7399E">
      <w:pPr>
        <w:pStyle w:val="ListParagraph"/>
      </w:pPr>
    </w:p>
    <w:p w14:paraId="414B19A9" w14:textId="12FCE565" w:rsidR="00EB4044" w:rsidRPr="009C07DE" w:rsidRDefault="00EB4044" w:rsidP="00EB4044">
      <w:r w:rsidRPr="009C07DE">
        <w:t xml:space="preserve">Under subsection 46(4) of the </w:t>
      </w:r>
      <w:proofErr w:type="spellStart"/>
      <w:r w:rsidRPr="009C07DE">
        <w:t>PGPA</w:t>
      </w:r>
      <w:proofErr w:type="spellEnd"/>
      <w:r w:rsidRPr="009C07DE">
        <w:t xml:space="preserve"> Act, the Joint Committee of Public Accounts and Audit (</w:t>
      </w:r>
      <w:proofErr w:type="spellStart"/>
      <w:r w:rsidRPr="009C07DE">
        <w:t>JCPAA</w:t>
      </w:r>
      <w:proofErr w:type="spellEnd"/>
      <w:r w:rsidRPr="009C07DE">
        <w:t xml:space="preserve">) must approve the rules prescribing annual report requirements. The Amending Rule was approved by the </w:t>
      </w:r>
      <w:proofErr w:type="spellStart"/>
      <w:r w:rsidRPr="009C07DE">
        <w:t>JCPAA</w:t>
      </w:r>
      <w:proofErr w:type="spellEnd"/>
      <w:r w:rsidRPr="009C07DE">
        <w:t xml:space="preserve"> on </w:t>
      </w:r>
      <w:r w:rsidR="00D13B61" w:rsidRPr="009C07DE">
        <w:t>7</w:t>
      </w:r>
      <w:r w:rsidR="00D036CF" w:rsidRPr="009C07DE">
        <w:t xml:space="preserve"> February 2020</w:t>
      </w:r>
      <w:r w:rsidRPr="009C07DE">
        <w:t xml:space="preserve">. </w:t>
      </w:r>
    </w:p>
    <w:p w14:paraId="6AA2C514" w14:textId="298EE936" w:rsidR="00241F66" w:rsidRPr="009C07DE" w:rsidRDefault="00241F66" w:rsidP="003E64F9"/>
    <w:p w14:paraId="016F6E9B" w14:textId="6C3452B3" w:rsidR="00D513B7" w:rsidRPr="009C07DE" w:rsidRDefault="00D513B7" w:rsidP="006978B8">
      <w:r w:rsidRPr="009C07DE">
        <w:lastRenderedPageBreak/>
        <w:t xml:space="preserve">Details of the </w:t>
      </w:r>
      <w:r w:rsidR="00656840" w:rsidRPr="009C07DE">
        <w:t>Amending Rule</w:t>
      </w:r>
      <w:r w:rsidRPr="009C07DE">
        <w:t xml:space="preserve"> are set out at </w:t>
      </w:r>
      <w:r w:rsidRPr="009C07DE">
        <w:rPr>
          <w:u w:val="single"/>
        </w:rPr>
        <w:t>Attachment A</w:t>
      </w:r>
      <w:r w:rsidR="00460EE5" w:rsidRPr="009C07DE">
        <w:t xml:space="preserve">. </w:t>
      </w:r>
      <w:r w:rsidRPr="009C07DE">
        <w:t xml:space="preserve">A statement of compatibility with human rights is at </w:t>
      </w:r>
      <w:r w:rsidRPr="009C07DE">
        <w:rPr>
          <w:u w:val="single"/>
        </w:rPr>
        <w:t>Attachment B</w:t>
      </w:r>
      <w:r w:rsidR="006978B8" w:rsidRPr="009C07DE">
        <w:t xml:space="preserve">. </w:t>
      </w:r>
    </w:p>
    <w:p w14:paraId="2AF2D7B9" w14:textId="77777777" w:rsidR="006978B8" w:rsidRPr="009C07DE" w:rsidRDefault="006978B8" w:rsidP="006978B8"/>
    <w:p w14:paraId="414A9C84" w14:textId="47917E81" w:rsidR="00D513B7" w:rsidRPr="009C07DE" w:rsidRDefault="00D513B7" w:rsidP="00D513B7">
      <w:pPr>
        <w:pStyle w:val="ParaNumbering"/>
        <w:rPr>
          <w:i/>
          <w:szCs w:val="24"/>
        </w:rPr>
      </w:pPr>
      <w:r w:rsidRPr="009C07DE">
        <w:rPr>
          <w:szCs w:val="24"/>
        </w:rPr>
        <w:t xml:space="preserve">The </w:t>
      </w:r>
      <w:r w:rsidR="00656840" w:rsidRPr="009C07DE">
        <w:t xml:space="preserve">Amending Rule </w:t>
      </w:r>
      <w:r w:rsidR="00F03706" w:rsidRPr="009C07DE">
        <w:rPr>
          <w:szCs w:val="24"/>
        </w:rPr>
        <w:t xml:space="preserve">is </w:t>
      </w:r>
      <w:r w:rsidRPr="009C07DE">
        <w:rPr>
          <w:szCs w:val="24"/>
        </w:rPr>
        <w:t>a legislative instrument for the purposes of the</w:t>
      </w:r>
      <w:r w:rsidRPr="009C07DE">
        <w:rPr>
          <w:i/>
          <w:szCs w:val="24"/>
        </w:rPr>
        <w:t xml:space="preserve"> Legislative Instruments Act 2003</w:t>
      </w:r>
      <w:r w:rsidR="00BF5CE2" w:rsidRPr="009C07DE">
        <w:rPr>
          <w:szCs w:val="24"/>
        </w:rPr>
        <w:t xml:space="preserve"> and </w:t>
      </w:r>
      <w:r w:rsidR="00F03706" w:rsidRPr="009C07DE">
        <w:rPr>
          <w:szCs w:val="24"/>
        </w:rPr>
        <w:t xml:space="preserve">is </w:t>
      </w:r>
      <w:r w:rsidR="00B3039C" w:rsidRPr="009C07DE">
        <w:rPr>
          <w:szCs w:val="24"/>
        </w:rPr>
        <w:t>a disallowable instrument</w:t>
      </w:r>
      <w:r w:rsidRPr="009C07DE">
        <w:rPr>
          <w:i/>
          <w:szCs w:val="24"/>
        </w:rPr>
        <w:t xml:space="preserve">.  </w:t>
      </w:r>
    </w:p>
    <w:p w14:paraId="66633DCB" w14:textId="77777777" w:rsidR="003E64F9" w:rsidRPr="009C07DE" w:rsidRDefault="003E64F9" w:rsidP="003E64F9"/>
    <w:p w14:paraId="13F5C0AC" w14:textId="13D3985E" w:rsidR="0041464B" w:rsidRPr="009C07DE" w:rsidRDefault="00776EAE" w:rsidP="00BC546B">
      <w:r w:rsidRPr="009C07DE">
        <w:rPr>
          <w:b/>
        </w:rPr>
        <w:t>Consultation</w:t>
      </w:r>
      <w:r w:rsidR="00F03706" w:rsidRPr="009C07DE">
        <w:t xml:space="preserve"> </w:t>
      </w:r>
    </w:p>
    <w:p w14:paraId="3788FC4E" w14:textId="77777777" w:rsidR="009C26C6" w:rsidRPr="009C07DE" w:rsidRDefault="009C26C6" w:rsidP="00BC546B"/>
    <w:p w14:paraId="259FB458" w14:textId="6B16CB06" w:rsidR="008E6D13" w:rsidRPr="009C07DE" w:rsidRDefault="00776EAE" w:rsidP="003E64F9">
      <w:pPr>
        <w:autoSpaceDE w:val="0"/>
        <w:autoSpaceDN w:val="0"/>
      </w:pPr>
      <w:r w:rsidRPr="009C07DE">
        <w:t xml:space="preserve">The </w:t>
      </w:r>
      <w:r w:rsidR="00FF37B2" w:rsidRPr="009C07DE">
        <w:t>Amending Rule</w:t>
      </w:r>
      <w:r w:rsidR="004C5151" w:rsidRPr="009C07DE">
        <w:t xml:space="preserve"> </w:t>
      </w:r>
      <w:r w:rsidR="004F0A75" w:rsidRPr="009C07DE">
        <w:t xml:space="preserve">was </w:t>
      </w:r>
      <w:r w:rsidR="00482B5E" w:rsidRPr="009C07DE">
        <w:t>developed in consultation with</w:t>
      </w:r>
      <w:r w:rsidR="00F921BD" w:rsidRPr="009C07DE">
        <w:t xml:space="preserve"> all Com</w:t>
      </w:r>
      <w:r w:rsidR="00EB4044" w:rsidRPr="009C07DE">
        <w:t>monwealth entities</w:t>
      </w:r>
      <w:r w:rsidR="008E6D13" w:rsidRPr="009C07DE">
        <w:t xml:space="preserve"> and companies</w:t>
      </w:r>
      <w:r w:rsidR="00F921BD" w:rsidRPr="009C07DE">
        <w:t>. T</w:t>
      </w:r>
      <w:r w:rsidR="00EB4044" w:rsidRPr="009C07DE">
        <w:t xml:space="preserve">he </w:t>
      </w:r>
      <w:r w:rsidR="00E24EE5" w:rsidRPr="009C07DE">
        <w:t>Office of Parliamentary Counsel</w:t>
      </w:r>
      <w:r w:rsidR="00625552" w:rsidRPr="009C07DE">
        <w:t xml:space="preserve"> and the Australian Government Solicitor advised on elements of the Amending Rule</w:t>
      </w:r>
      <w:r w:rsidR="00482B5E" w:rsidRPr="009C07DE">
        <w:t>.</w:t>
      </w:r>
      <w:r w:rsidR="008E6D13" w:rsidRPr="009C07DE">
        <w:t xml:space="preserve"> The Review sought submissions broadly, including from the public, Commonwealth entities and </w:t>
      </w:r>
      <w:r w:rsidR="00460EE5" w:rsidRPr="009C07DE">
        <w:t xml:space="preserve">companies, in making its recommendations into the operation of the </w:t>
      </w:r>
      <w:proofErr w:type="spellStart"/>
      <w:r w:rsidR="00460EE5" w:rsidRPr="009C07DE">
        <w:t>PGPA</w:t>
      </w:r>
      <w:proofErr w:type="spellEnd"/>
      <w:r w:rsidR="00460EE5" w:rsidRPr="009C07DE">
        <w:t xml:space="preserve"> Act and </w:t>
      </w:r>
      <w:proofErr w:type="spellStart"/>
      <w:r w:rsidR="00460EE5" w:rsidRPr="009C07DE">
        <w:t>PGPA</w:t>
      </w:r>
      <w:proofErr w:type="spellEnd"/>
      <w:r w:rsidR="00460EE5" w:rsidRPr="009C07DE">
        <w:t xml:space="preserve"> Rule.</w:t>
      </w:r>
    </w:p>
    <w:p w14:paraId="1ACCD5BB" w14:textId="6C6A9B5F" w:rsidR="00482B5E" w:rsidRPr="009C07DE" w:rsidRDefault="005630F2" w:rsidP="002E24D5">
      <w:pPr>
        <w:spacing w:after="200" w:line="276" w:lineRule="auto"/>
      </w:pPr>
      <w:r w:rsidRPr="009C07DE">
        <w:br w:type="page"/>
      </w:r>
    </w:p>
    <w:p w14:paraId="367A1CE6" w14:textId="04924E27" w:rsidR="007F7E25" w:rsidRPr="009C07DE" w:rsidRDefault="007F7E25" w:rsidP="006441E7">
      <w:pPr>
        <w:tabs>
          <w:tab w:val="left" w:pos="1945"/>
        </w:tabs>
        <w:spacing w:after="200" w:line="276" w:lineRule="auto"/>
        <w:jc w:val="right"/>
      </w:pPr>
      <w:r w:rsidRPr="009C07DE">
        <w:rPr>
          <w:b/>
          <w:u w:val="single"/>
        </w:rPr>
        <w:lastRenderedPageBreak/>
        <w:t>Attachment A</w:t>
      </w:r>
    </w:p>
    <w:p w14:paraId="51C75E66" w14:textId="62C17DF8" w:rsidR="007F7E25" w:rsidRPr="009C07DE" w:rsidRDefault="007F7E25" w:rsidP="007F7E25">
      <w:pPr>
        <w:pStyle w:val="NoSpacing"/>
        <w:rPr>
          <w:b/>
          <w:u w:val="single"/>
        </w:rPr>
      </w:pPr>
      <w:r w:rsidRPr="009C07DE">
        <w:rPr>
          <w:b/>
          <w:u w:val="single"/>
        </w:rPr>
        <w:t xml:space="preserve">Details of the </w:t>
      </w:r>
      <w:r w:rsidR="005127E7" w:rsidRPr="009C07DE">
        <w:rPr>
          <w:b/>
          <w:i/>
          <w:u w:val="single"/>
        </w:rPr>
        <w:t>Public Governance, Performance and Accountability Amendment (</w:t>
      </w:r>
      <w:r w:rsidR="00D036CF" w:rsidRPr="009C07DE">
        <w:rPr>
          <w:b/>
          <w:i/>
          <w:u w:val="single"/>
        </w:rPr>
        <w:t>2020</w:t>
      </w:r>
      <w:r w:rsidR="00EB4044" w:rsidRPr="009C07DE">
        <w:rPr>
          <w:b/>
          <w:i/>
          <w:u w:val="single"/>
        </w:rPr>
        <w:t xml:space="preserve"> Measures No.</w:t>
      </w:r>
      <w:r w:rsidR="00106F22" w:rsidRPr="009C07DE">
        <w:rPr>
          <w:b/>
          <w:i/>
          <w:u w:val="single"/>
        </w:rPr>
        <w:t xml:space="preserve"> 1</w:t>
      </w:r>
      <w:r w:rsidR="00E44076" w:rsidRPr="009C07DE">
        <w:rPr>
          <w:b/>
          <w:i/>
          <w:u w:val="single"/>
          <w:lang w:val="en-AU"/>
        </w:rPr>
        <w:t>) Rules </w:t>
      </w:r>
      <w:r w:rsidR="00D036CF" w:rsidRPr="009C07DE">
        <w:rPr>
          <w:b/>
          <w:i/>
          <w:u w:val="single"/>
          <w:lang w:val="en-AU"/>
        </w:rPr>
        <w:t>2020</w:t>
      </w:r>
      <w:r w:rsidRPr="009C07DE">
        <w:rPr>
          <w:b/>
          <w:i/>
          <w:u w:val="single"/>
        </w:rPr>
        <w:t xml:space="preserve"> </w:t>
      </w:r>
    </w:p>
    <w:p w14:paraId="687D430C" w14:textId="77777777" w:rsidR="007F7E25" w:rsidRPr="009C07DE" w:rsidRDefault="007F7E25" w:rsidP="007F7E25">
      <w:pPr>
        <w:pStyle w:val="NoSpacing"/>
        <w:rPr>
          <w:b/>
          <w:i/>
        </w:rPr>
      </w:pPr>
    </w:p>
    <w:p w14:paraId="288214F4" w14:textId="77777777" w:rsidR="007F7E25" w:rsidRPr="009C07DE" w:rsidRDefault="007F7E25" w:rsidP="007F7E25">
      <w:pPr>
        <w:rPr>
          <w:b/>
        </w:rPr>
      </w:pPr>
      <w:r w:rsidRPr="009C07DE">
        <w:rPr>
          <w:b/>
        </w:rPr>
        <w:t>Section 1—Name of rule</w:t>
      </w:r>
    </w:p>
    <w:p w14:paraId="216A9634" w14:textId="77777777" w:rsidR="007F7E25" w:rsidRPr="009C07DE" w:rsidRDefault="007F7E25" w:rsidP="007F7E25"/>
    <w:p w14:paraId="11112043" w14:textId="251E34B9" w:rsidR="007F7E25" w:rsidRPr="009C07DE" w:rsidRDefault="007F7E25" w:rsidP="007F7E25">
      <w:pPr>
        <w:rPr>
          <w:i/>
        </w:rPr>
      </w:pPr>
      <w:r w:rsidRPr="009C07DE">
        <w:t xml:space="preserve">This section provides that the title of the </w:t>
      </w:r>
      <w:r w:rsidR="00A653AC" w:rsidRPr="009C07DE">
        <w:t xml:space="preserve">instrument </w:t>
      </w:r>
      <w:r w:rsidRPr="009C07DE">
        <w:t>is the</w:t>
      </w:r>
      <w:r w:rsidRPr="009C07DE">
        <w:rPr>
          <w:i/>
        </w:rPr>
        <w:t xml:space="preserve"> </w:t>
      </w:r>
      <w:r w:rsidR="00E44076" w:rsidRPr="009C07DE">
        <w:rPr>
          <w:i/>
        </w:rPr>
        <w:t>Public Governance, Performance and Accountability Amendment (</w:t>
      </w:r>
      <w:r w:rsidR="00D036CF" w:rsidRPr="009C07DE">
        <w:rPr>
          <w:i/>
        </w:rPr>
        <w:t>2020</w:t>
      </w:r>
      <w:r w:rsidR="00EB4044" w:rsidRPr="009C07DE">
        <w:rPr>
          <w:i/>
        </w:rPr>
        <w:t xml:space="preserve"> Measures No.</w:t>
      </w:r>
      <w:r w:rsidR="00106F22" w:rsidRPr="009C07DE">
        <w:rPr>
          <w:i/>
        </w:rPr>
        <w:t xml:space="preserve"> 1</w:t>
      </w:r>
      <w:r w:rsidR="00E44076" w:rsidRPr="009C07DE">
        <w:rPr>
          <w:i/>
        </w:rPr>
        <w:t xml:space="preserve">) Rules </w:t>
      </w:r>
      <w:r w:rsidR="00D036CF" w:rsidRPr="009C07DE">
        <w:rPr>
          <w:i/>
        </w:rPr>
        <w:t>2020</w:t>
      </w:r>
      <w:r w:rsidR="00FC77B4" w:rsidRPr="009C07DE">
        <w:rPr>
          <w:i/>
        </w:rPr>
        <w:t xml:space="preserve"> </w:t>
      </w:r>
      <w:r w:rsidR="006C4F9C" w:rsidRPr="009C07DE">
        <w:t>(</w:t>
      </w:r>
      <w:r w:rsidR="005B467E" w:rsidRPr="009C07DE">
        <w:t xml:space="preserve">the </w:t>
      </w:r>
      <w:r w:rsidR="005127E7" w:rsidRPr="009C07DE">
        <w:t>Amending Rule</w:t>
      </w:r>
      <w:r w:rsidR="006C4F9C" w:rsidRPr="009C07DE">
        <w:t>)</w:t>
      </w:r>
      <w:r w:rsidR="006C2519" w:rsidRPr="009C07DE">
        <w:t>.</w:t>
      </w:r>
    </w:p>
    <w:p w14:paraId="590F55DF" w14:textId="77777777" w:rsidR="007F7E25" w:rsidRPr="009C07DE" w:rsidRDefault="007F7E25" w:rsidP="007F7E25"/>
    <w:p w14:paraId="3C5E3A4F" w14:textId="77777777" w:rsidR="007F7E25" w:rsidRPr="009C07DE" w:rsidRDefault="007F7E25" w:rsidP="007F7E25">
      <w:pPr>
        <w:rPr>
          <w:b/>
        </w:rPr>
      </w:pPr>
      <w:r w:rsidRPr="009C07DE">
        <w:rPr>
          <w:b/>
        </w:rPr>
        <w:t xml:space="preserve">Section 2—Commencement </w:t>
      </w:r>
    </w:p>
    <w:p w14:paraId="05EFAA91" w14:textId="77777777" w:rsidR="007F7E25" w:rsidRPr="009C07DE" w:rsidRDefault="007F7E25" w:rsidP="007F7E25"/>
    <w:p w14:paraId="566F2330" w14:textId="77777777" w:rsidR="007F7E25" w:rsidRPr="009C07DE" w:rsidRDefault="007F7E25" w:rsidP="007F7E25">
      <w:r w:rsidRPr="009C07DE">
        <w:t>This section provides that each provision of the instrument specified in column 1 of the table commences, or is taken to have commenced, in accordance with column 2 of the table.</w:t>
      </w:r>
    </w:p>
    <w:p w14:paraId="00A5D038" w14:textId="77777777" w:rsidR="001777C2" w:rsidRPr="009C07DE" w:rsidRDefault="001777C2" w:rsidP="007F7E25"/>
    <w:p w14:paraId="74319768" w14:textId="78B3869D" w:rsidR="001777C2" w:rsidRPr="009C07DE" w:rsidRDefault="00527185" w:rsidP="001777C2">
      <w:r w:rsidRPr="009C07DE">
        <w:t>The entire instrument</w:t>
      </w:r>
      <w:r w:rsidR="001777C2" w:rsidRPr="009C07DE">
        <w:t xml:space="preserve"> commence</w:t>
      </w:r>
      <w:r w:rsidRPr="009C07DE">
        <w:t>s</w:t>
      </w:r>
      <w:r w:rsidR="001777C2" w:rsidRPr="009C07DE">
        <w:t xml:space="preserve"> on </w:t>
      </w:r>
      <w:r w:rsidR="00A6326A" w:rsidRPr="009C07DE">
        <w:t xml:space="preserve">the day </w:t>
      </w:r>
      <w:r w:rsidR="00D31E83" w:rsidRPr="009C07DE">
        <w:t>after the Amending Rule is registered</w:t>
      </w:r>
      <w:r w:rsidR="001777C2" w:rsidRPr="009C07DE">
        <w:t xml:space="preserve">. </w:t>
      </w:r>
    </w:p>
    <w:p w14:paraId="2D8A7149" w14:textId="77777777" w:rsidR="001777C2" w:rsidRPr="009C07DE" w:rsidRDefault="001777C2" w:rsidP="001777C2"/>
    <w:p w14:paraId="3328D051" w14:textId="77777777" w:rsidR="007F7E25" w:rsidRPr="009C07DE" w:rsidRDefault="007F7E25" w:rsidP="007F7E25">
      <w:pPr>
        <w:rPr>
          <w:b/>
          <w:i/>
        </w:rPr>
      </w:pPr>
      <w:r w:rsidRPr="009C07DE">
        <w:rPr>
          <w:b/>
        </w:rPr>
        <w:t>Section 3—Authority</w:t>
      </w:r>
      <w:r w:rsidRPr="009C07DE">
        <w:rPr>
          <w:b/>
          <w:i/>
        </w:rPr>
        <w:t xml:space="preserve"> </w:t>
      </w:r>
    </w:p>
    <w:p w14:paraId="3FCC8240" w14:textId="77777777" w:rsidR="007F7E25" w:rsidRPr="009C07DE" w:rsidRDefault="007F7E25" w:rsidP="007F7E25"/>
    <w:p w14:paraId="23ADAE63" w14:textId="3D338F9C" w:rsidR="007F7E25" w:rsidRPr="009C07DE" w:rsidRDefault="007F7E25" w:rsidP="007F7E25">
      <w:r w:rsidRPr="009C07DE">
        <w:t xml:space="preserve">This section states that the </w:t>
      </w:r>
      <w:r w:rsidR="000F23DF" w:rsidRPr="009C07DE">
        <w:t xml:space="preserve">Amending Rule </w:t>
      </w:r>
      <w:r w:rsidR="005B467E" w:rsidRPr="009C07DE">
        <w:t xml:space="preserve">is </w:t>
      </w:r>
      <w:r w:rsidRPr="009C07DE">
        <w:t xml:space="preserve">made under the </w:t>
      </w:r>
      <w:r w:rsidRPr="009C07DE">
        <w:rPr>
          <w:i/>
        </w:rPr>
        <w:t xml:space="preserve">Public Governance, Performance and Accountability Act 2013 </w:t>
      </w:r>
      <w:r w:rsidRPr="009C07DE">
        <w:t>(</w:t>
      </w:r>
      <w:proofErr w:type="spellStart"/>
      <w:r w:rsidRPr="009C07DE">
        <w:t>PGPA</w:t>
      </w:r>
      <w:proofErr w:type="spellEnd"/>
      <w:r w:rsidRPr="009C07DE">
        <w:t xml:space="preserve"> Act).</w:t>
      </w:r>
    </w:p>
    <w:p w14:paraId="5907DD56" w14:textId="77777777" w:rsidR="007F7E25" w:rsidRPr="009C07DE" w:rsidRDefault="007F7E25" w:rsidP="007F7E25"/>
    <w:p w14:paraId="1DC31020" w14:textId="77777777" w:rsidR="007F7E25" w:rsidRPr="009C07DE" w:rsidRDefault="007F7E25" w:rsidP="007F7E25">
      <w:pPr>
        <w:rPr>
          <w:b/>
          <w:i/>
        </w:rPr>
      </w:pPr>
      <w:r w:rsidRPr="009C07DE">
        <w:rPr>
          <w:b/>
        </w:rPr>
        <w:t>Section 4—Schedules</w:t>
      </w:r>
      <w:r w:rsidRPr="009C07DE">
        <w:rPr>
          <w:b/>
          <w:i/>
        </w:rPr>
        <w:t xml:space="preserve"> </w:t>
      </w:r>
    </w:p>
    <w:p w14:paraId="5F4E53F8" w14:textId="77777777" w:rsidR="007F7E25" w:rsidRPr="009C07DE" w:rsidRDefault="007F7E25" w:rsidP="007F7E25"/>
    <w:p w14:paraId="5AF841B6" w14:textId="7E19269D" w:rsidR="007F7E25" w:rsidRPr="009C07DE" w:rsidRDefault="007F7E25" w:rsidP="007F7E25">
      <w:r w:rsidRPr="009C07DE">
        <w:t>This section provides that each legislative instrument that is specified in a Schedule to th</w:t>
      </w:r>
      <w:r w:rsidR="000F23DF" w:rsidRPr="009C07DE">
        <w:t>e</w:t>
      </w:r>
      <w:r w:rsidRPr="009C07DE">
        <w:t xml:space="preserve"> </w:t>
      </w:r>
      <w:r w:rsidR="000F23DF" w:rsidRPr="009C07DE">
        <w:t xml:space="preserve">Amending </w:t>
      </w:r>
      <w:r w:rsidRPr="009C07DE">
        <w:t>Rule is amended or repealed as set out, and that any item in a Schedule to this instrument operates or is applied as specified in the Schedule.</w:t>
      </w:r>
    </w:p>
    <w:p w14:paraId="00FDBD2F" w14:textId="77777777" w:rsidR="007F7E25" w:rsidRPr="009C07DE" w:rsidRDefault="007F7E25" w:rsidP="007F7E25"/>
    <w:p w14:paraId="214F744A" w14:textId="77777777" w:rsidR="007F7E25" w:rsidRPr="009C07DE" w:rsidRDefault="007F7E25" w:rsidP="007F7E25">
      <w:pPr>
        <w:rPr>
          <w:b/>
        </w:rPr>
      </w:pPr>
      <w:r w:rsidRPr="009C07DE">
        <w:rPr>
          <w:b/>
        </w:rPr>
        <w:t>Schedule 1 – Amendments</w:t>
      </w:r>
    </w:p>
    <w:p w14:paraId="002D07EA" w14:textId="77777777" w:rsidR="007F7E25" w:rsidRPr="009C07DE" w:rsidRDefault="007F7E25" w:rsidP="007F7E25">
      <w:pPr>
        <w:rPr>
          <w:b/>
        </w:rPr>
      </w:pPr>
    </w:p>
    <w:p w14:paraId="5A95507E" w14:textId="77777777" w:rsidR="00F020B9" w:rsidRPr="009C07DE" w:rsidRDefault="007F7E25" w:rsidP="00F020B9">
      <w:pPr>
        <w:rPr>
          <w:b/>
          <w:i/>
        </w:rPr>
      </w:pPr>
      <w:r w:rsidRPr="009C07DE">
        <w:rPr>
          <w:b/>
          <w:i/>
        </w:rPr>
        <w:t>Public Governance, Performance and Accountability Rule 2014</w:t>
      </w:r>
    </w:p>
    <w:p w14:paraId="0DDA1EF2" w14:textId="77777777" w:rsidR="00564D49" w:rsidRPr="009C07DE" w:rsidRDefault="00564D49" w:rsidP="00F020B9">
      <w:pPr>
        <w:rPr>
          <w:b/>
        </w:rPr>
      </w:pPr>
    </w:p>
    <w:p w14:paraId="3AF9251B" w14:textId="271E7061" w:rsidR="00F020B9" w:rsidRPr="009C07DE" w:rsidRDefault="002C509B" w:rsidP="00F020B9">
      <w:pPr>
        <w:rPr>
          <w:b/>
          <w:i/>
        </w:rPr>
      </w:pPr>
      <w:r w:rsidRPr="009C07DE">
        <w:rPr>
          <w:b/>
        </w:rPr>
        <w:t>Item 1</w:t>
      </w:r>
      <w:r w:rsidR="007F7E25" w:rsidRPr="009C07DE">
        <w:rPr>
          <w:b/>
        </w:rPr>
        <w:t xml:space="preserve"> – </w:t>
      </w:r>
      <w:r w:rsidR="00826D39" w:rsidRPr="009C07DE">
        <w:rPr>
          <w:b/>
        </w:rPr>
        <w:t>Section 4</w:t>
      </w:r>
    </w:p>
    <w:p w14:paraId="03115AFF" w14:textId="77777777" w:rsidR="00F020B9" w:rsidRPr="009C07DE" w:rsidRDefault="00F020B9" w:rsidP="00F020B9">
      <w:pPr>
        <w:rPr>
          <w:b/>
          <w:i/>
        </w:rPr>
      </w:pPr>
    </w:p>
    <w:p w14:paraId="58D1E453" w14:textId="15F47FFC" w:rsidR="00460EE5" w:rsidRPr="009C07DE" w:rsidRDefault="00460EE5" w:rsidP="00460EE5">
      <w:r w:rsidRPr="009C07DE">
        <w:t xml:space="preserve">The definition inserted by item 1 is a technical amendment defining a key term used in amendments to the </w:t>
      </w:r>
      <w:proofErr w:type="spellStart"/>
      <w:r w:rsidRPr="009C07DE">
        <w:t>PGPA</w:t>
      </w:r>
      <w:proofErr w:type="spellEnd"/>
      <w:r w:rsidRPr="009C07DE">
        <w:t xml:space="preserve"> Rule contained at item</w:t>
      </w:r>
      <w:r w:rsidR="002E24D5" w:rsidRPr="009C07DE">
        <w:t xml:space="preserve"> </w:t>
      </w:r>
      <w:r w:rsidRPr="009C07DE">
        <w:t xml:space="preserve">3. This definition clarifies the use of the term in item 3. This definition is not currently provided in the </w:t>
      </w:r>
      <w:proofErr w:type="spellStart"/>
      <w:r w:rsidRPr="009C07DE">
        <w:t>PGPA</w:t>
      </w:r>
      <w:proofErr w:type="spellEnd"/>
      <w:r w:rsidRPr="009C07DE">
        <w:t xml:space="preserve"> Rule or </w:t>
      </w:r>
      <w:proofErr w:type="spellStart"/>
      <w:r w:rsidRPr="009C07DE">
        <w:t>PGPA</w:t>
      </w:r>
      <w:proofErr w:type="spellEnd"/>
      <w:r w:rsidRPr="009C07DE">
        <w:t xml:space="preserve"> Act.</w:t>
      </w:r>
    </w:p>
    <w:p w14:paraId="6B82B11C" w14:textId="496B9D9A" w:rsidR="008E3C89" w:rsidRPr="009C07DE" w:rsidRDefault="008E3C89" w:rsidP="00C350AD"/>
    <w:p w14:paraId="1CABAC36" w14:textId="427A88EB" w:rsidR="004204B2" w:rsidRPr="009C07DE" w:rsidRDefault="00EB4044" w:rsidP="004204B2">
      <w:r w:rsidRPr="009C07DE">
        <w:rPr>
          <w:b/>
        </w:rPr>
        <w:t xml:space="preserve">Item </w:t>
      </w:r>
      <w:r w:rsidR="00A87CFC" w:rsidRPr="009C07DE">
        <w:rPr>
          <w:b/>
        </w:rPr>
        <w:t>2</w:t>
      </w:r>
      <w:r w:rsidR="004204B2" w:rsidRPr="009C07DE">
        <w:rPr>
          <w:b/>
        </w:rPr>
        <w:t xml:space="preserve"> – </w:t>
      </w:r>
      <w:r w:rsidR="005630F2" w:rsidRPr="009C07DE">
        <w:rPr>
          <w:b/>
        </w:rPr>
        <w:t>Subsection 12(1)</w:t>
      </w:r>
      <w:r w:rsidR="0037026E" w:rsidRPr="009C07DE">
        <w:rPr>
          <w:b/>
        </w:rPr>
        <w:t xml:space="preserve"> </w:t>
      </w:r>
      <w:r w:rsidR="005630F2" w:rsidRPr="009C07DE">
        <w:rPr>
          <w:b/>
        </w:rPr>
        <w:t>(table item 3, column headed “Circumstances”</w:t>
      </w:r>
      <w:r w:rsidR="00327FE5" w:rsidRPr="009C07DE">
        <w:rPr>
          <w:b/>
        </w:rPr>
        <w:t>)</w:t>
      </w:r>
    </w:p>
    <w:p w14:paraId="232B90C7" w14:textId="2FAFEC3D" w:rsidR="004204B2" w:rsidRPr="009C07DE" w:rsidRDefault="004204B2" w:rsidP="00C350AD"/>
    <w:p w14:paraId="43C9E192" w14:textId="77F89528" w:rsidR="00A5238A" w:rsidRPr="009C07DE" w:rsidRDefault="00460EE5" w:rsidP="00A5238A">
      <w:pPr>
        <w:rPr>
          <w:lang w:bidi="en-US"/>
        </w:rPr>
      </w:pPr>
      <w:r w:rsidRPr="009C07DE">
        <w:rPr>
          <w:lang w:bidi="en-US"/>
        </w:rPr>
        <w:t xml:space="preserve">Item 2 makes a technical amendment to section 12 of the </w:t>
      </w:r>
      <w:proofErr w:type="spellStart"/>
      <w:r w:rsidRPr="009C07DE">
        <w:rPr>
          <w:lang w:bidi="en-US"/>
        </w:rPr>
        <w:t>PGPA</w:t>
      </w:r>
      <w:proofErr w:type="spellEnd"/>
      <w:r w:rsidRPr="009C07DE">
        <w:rPr>
          <w:lang w:bidi="en-US"/>
        </w:rPr>
        <w:t xml:space="preserve"> Rule. </w:t>
      </w:r>
      <w:r w:rsidR="00A5238A" w:rsidRPr="009C07DE">
        <w:rPr>
          <w:lang w:bidi="en-US"/>
        </w:rPr>
        <w:t xml:space="preserve">Section 12 of the </w:t>
      </w:r>
      <w:proofErr w:type="spellStart"/>
      <w:r w:rsidR="00346F1D" w:rsidRPr="009C07DE">
        <w:rPr>
          <w:lang w:bidi="en-US"/>
        </w:rPr>
        <w:t>PGPA</w:t>
      </w:r>
      <w:proofErr w:type="spellEnd"/>
      <w:r w:rsidR="00346F1D" w:rsidRPr="009C07DE">
        <w:rPr>
          <w:lang w:bidi="en-US"/>
        </w:rPr>
        <w:t xml:space="preserve"> </w:t>
      </w:r>
      <w:r w:rsidR="00A5238A" w:rsidRPr="009C07DE">
        <w:rPr>
          <w:lang w:bidi="en-US"/>
        </w:rPr>
        <w:t>Rule prescribes circumstances when a</w:t>
      </w:r>
      <w:r w:rsidR="00346F1D" w:rsidRPr="009C07DE">
        <w:rPr>
          <w:lang w:bidi="en-US"/>
        </w:rPr>
        <w:t xml:space="preserve">n official’s duty to disclose a material personal interest </w:t>
      </w:r>
      <w:r w:rsidR="00A5238A" w:rsidRPr="009C07DE">
        <w:rPr>
          <w:lang w:bidi="en-US"/>
        </w:rPr>
        <w:t xml:space="preserve">under </w:t>
      </w:r>
      <w:r w:rsidR="00346F1D" w:rsidRPr="009C07DE">
        <w:rPr>
          <w:lang w:bidi="en-US"/>
        </w:rPr>
        <w:t>section 29 of the</w:t>
      </w:r>
      <w:r w:rsidR="00A5238A" w:rsidRPr="009C07DE">
        <w:rPr>
          <w:lang w:bidi="en-US"/>
        </w:rPr>
        <w:t xml:space="preserve"> </w:t>
      </w:r>
      <w:proofErr w:type="spellStart"/>
      <w:r w:rsidR="00A5238A" w:rsidRPr="009C07DE">
        <w:rPr>
          <w:lang w:bidi="en-US"/>
        </w:rPr>
        <w:t>PGPA</w:t>
      </w:r>
      <w:proofErr w:type="spellEnd"/>
      <w:r w:rsidR="00A5238A" w:rsidRPr="009C07DE">
        <w:rPr>
          <w:lang w:bidi="en-US"/>
        </w:rPr>
        <w:t xml:space="preserve"> Act does not apply. Item 2 amends subsec</w:t>
      </w:r>
      <w:r w:rsidR="00346F1D" w:rsidRPr="009C07DE">
        <w:rPr>
          <w:lang w:bidi="en-US"/>
        </w:rPr>
        <w:t xml:space="preserve">tion 12(1), </w:t>
      </w:r>
      <w:r w:rsidR="00A5238A" w:rsidRPr="009C07DE">
        <w:rPr>
          <w:lang w:bidi="en-US"/>
        </w:rPr>
        <w:t>to omit the existing reference to any requirements relating to the granting of indemnities prescribed by the rules made for purposes of section 61 of the Act and substitutes a new reference that recogni</w:t>
      </w:r>
      <w:r w:rsidR="0017775D" w:rsidRPr="009C07DE">
        <w:rPr>
          <w:lang w:bidi="en-US"/>
        </w:rPr>
        <w:t>s</w:t>
      </w:r>
      <w:r w:rsidR="00A5238A" w:rsidRPr="009C07DE">
        <w:rPr>
          <w:lang w:bidi="en-US"/>
        </w:rPr>
        <w:t xml:space="preserve">es the amendment made by </w:t>
      </w:r>
      <w:r w:rsidR="002E24D5" w:rsidRPr="009C07DE">
        <w:rPr>
          <w:lang w:bidi="en-US"/>
        </w:rPr>
        <w:t>item 1</w:t>
      </w:r>
      <w:r w:rsidR="00243B24" w:rsidRPr="009C07DE">
        <w:rPr>
          <w:lang w:bidi="en-US"/>
        </w:rPr>
        <w:t>1</w:t>
      </w:r>
      <w:r w:rsidR="00A5238A" w:rsidRPr="009C07DE">
        <w:rPr>
          <w:lang w:bidi="en-US"/>
        </w:rPr>
        <w:t xml:space="preserve"> of the </w:t>
      </w:r>
      <w:r w:rsidR="00346F1D" w:rsidRPr="009C07DE">
        <w:rPr>
          <w:lang w:bidi="en-US"/>
        </w:rPr>
        <w:t>A</w:t>
      </w:r>
      <w:r w:rsidR="00A5238A" w:rsidRPr="009C07DE">
        <w:rPr>
          <w:lang w:bidi="en-US"/>
        </w:rPr>
        <w:t xml:space="preserve">mending Rule. </w:t>
      </w:r>
    </w:p>
    <w:p w14:paraId="3C214C55" w14:textId="5DC20447" w:rsidR="003B7D39" w:rsidRPr="009C07DE" w:rsidRDefault="003B7D39" w:rsidP="00C350AD"/>
    <w:p w14:paraId="6351DF9B" w14:textId="016AF06E" w:rsidR="00982F01" w:rsidRPr="009C07DE" w:rsidRDefault="003045BC" w:rsidP="00C350AD">
      <w:pPr>
        <w:rPr>
          <w:b/>
        </w:rPr>
      </w:pPr>
      <w:r w:rsidRPr="009C07DE">
        <w:rPr>
          <w:b/>
        </w:rPr>
        <w:t xml:space="preserve">Item </w:t>
      </w:r>
      <w:r w:rsidR="00A87CFC" w:rsidRPr="009C07DE">
        <w:rPr>
          <w:b/>
        </w:rPr>
        <w:t>3</w:t>
      </w:r>
      <w:r w:rsidR="00982F01" w:rsidRPr="009C07DE">
        <w:rPr>
          <w:b/>
        </w:rPr>
        <w:t xml:space="preserve"> – </w:t>
      </w:r>
      <w:r w:rsidR="0037026E" w:rsidRPr="009C07DE">
        <w:rPr>
          <w:b/>
        </w:rPr>
        <w:t>At the end of Part 2-2</w:t>
      </w:r>
    </w:p>
    <w:p w14:paraId="77E40230" w14:textId="77777777" w:rsidR="00327FE5" w:rsidRPr="009C07DE" w:rsidRDefault="00327FE5" w:rsidP="00C350AD"/>
    <w:p w14:paraId="3AAB726D" w14:textId="570BA513" w:rsidR="00D76579" w:rsidRPr="009C07DE" w:rsidRDefault="008D7618" w:rsidP="00452D3A">
      <w:r w:rsidRPr="009C07DE">
        <w:t>Item 3</w:t>
      </w:r>
      <w:r w:rsidR="00327FE5" w:rsidRPr="009C07DE">
        <w:t xml:space="preserve"> inserts a</w:t>
      </w:r>
      <w:r w:rsidR="009922DC" w:rsidRPr="009C07DE">
        <w:t>nd creates a</w:t>
      </w:r>
      <w:r w:rsidR="00F0024D" w:rsidRPr="009C07DE">
        <w:t xml:space="preserve"> new</w:t>
      </w:r>
      <w:r w:rsidR="00327FE5" w:rsidRPr="009C07DE">
        <w:t xml:space="preserve"> </w:t>
      </w:r>
      <w:r w:rsidR="00452D3A" w:rsidRPr="009C07DE">
        <w:rPr>
          <w:bCs/>
          <w:i/>
        </w:rPr>
        <w:t xml:space="preserve">Division 3 – Inspection of books </w:t>
      </w:r>
      <w:r w:rsidR="00287ABC" w:rsidRPr="009C07DE">
        <w:rPr>
          <w:bCs/>
          <w:i/>
        </w:rPr>
        <w:t>of</w:t>
      </w:r>
      <w:r w:rsidR="00452D3A" w:rsidRPr="009C07DE">
        <w:rPr>
          <w:bCs/>
          <w:i/>
        </w:rPr>
        <w:t xml:space="preserve"> corporate Commonwealth entities</w:t>
      </w:r>
      <w:r w:rsidR="008C2DD3" w:rsidRPr="009C07DE">
        <w:rPr>
          <w:bCs/>
        </w:rPr>
        <w:t xml:space="preserve"> </w:t>
      </w:r>
      <w:r w:rsidR="00452D3A" w:rsidRPr="009C07DE">
        <w:rPr>
          <w:bCs/>
        </w:rPr>
        <w:t>at the end of Part 2-2.</w:t>
      </w:r>
      <w:r w:rsidR="000467A0" w:rsidRPr="009C07DE">
        <w:rPr>
          <w:bCs/>
        </w:rPr>
        <w:t xml:space="preserve"> </w:t>
      </w:r>
      <w:r w:rsidR="00B80B90" w:rsidRPr="009C07DE">
        <w:rPr>
          <w:bCs/>
        </w:rPr>
        <w:t>Division 3 contai</w:t>
      </w:r>
      <w:r w:rsidR="00B17B5A" w:rsidRPr="009C07DE">
        <w:rPr>
          <w:bCs/>
        </w:rPr>
        <w:t xml:space="preserve">ns a new section, section </w:t>
      </w:r>
      <w:r w:rsidR="00B17B5A" w:rsidRPr="009C07DE">
        <w:rPr>
          <w:bCs/>
        </w:rPr>
        <w:lastRenderedPageBreak/>
        <w:t xml:space="preserve">16DA, which </w:t>
      </w:r>
      <w:r w:rsidR="006600D9" w:rsidRPr="009C07DE">
        <w:rPr>
          <w:bCs/>
        </w:rPr>
        <w:t xml:space="preserve">establishes a right for a </w:t>
      </w:r>
      <w:r w:rsidR="00414BC1" w:rsidRPr="009C07DE">
        <w:t>person who is the accountable authority, or a member of the accountable authority</w:t>
      </w:r>
      <w:r w:rsidR="00CC4CA8" w:rsidRPr="009C07DE">
        <w:t xml:space="preserve"> (including former accountable authorities)</w:t>
      </w:r>
      <w:r w:rsidR="00414BC1" w:rsidRPr="009C07DE">
        <w:t xml:space="preserve">, </w:t>
      </w:r>
      <w:r w:rsidR="008C2DD3" w:rsidRPr="009C07DE">
        <w:rPr>
          <w:bCs/>
        </w:rPr>
        <w:t xml:space="preserve">of a corporate Commonwealth entity to </w:t>
      </w:r>
      <w:r w:rsidR="008C2DD3" w:rsidRPr="009C07DE">
        <w:t>inspect the books of the entity</w:t>
      </w:r>
      <w:r w:rsidR="00452D3A" w:rsidRPr="009C07DE">
        <w:t xml:space="preserve"> for the purposes of an eligible legal proceeding</w:t>
      </w:r>
      <w:r w:rsidR="00414BC1" w:rsidRPr="009C07DE">
        <w:t>.</w:t>
      </w:r>
      <w:r w:rsidR="00452D3A" w:rsidRPr="009C07DE">
        <w:t xml:space="preserve"> </w:t>
      </w:r>
      <w:r w:rsidR="0017738E" w:rsidRPr="009C07DE">
        <w:t>An eligible legal proceeding for the purposes of this section is defined as a</w:t>
      </w:r>
      <w:r w:rsidR="008C2DD3" w:rsidRPr="009C07DE">
        <w:t xml:space="preserve"> legal proceeding</w:t>
      </w:r>
      <w:r w:rsidR="00D76579" w:rsidRPr="009C07DE">
        <w:t>:</w:t>
      </w:r>
    </w:p>
    <w:p w14:paraId="64ECDCE1" w14:textId="2DD334FA" w:rsidR="00D76579" w:rsidRPr="009C07DE" w:rsidRDefault="008C2DD3" w:rsidP="00346F1D">
      <w:pPr>
        <w:pStyle w:val="ListParagraph"/>
        <w:numPr>
          <w:ilvl w:val="0"/>
          <w:numId w:val="37"/>
        </w:numPr>
      </w:pPr>
      <w:r w:rsidRPr="009C07DE">
        <w:t xml:space="preserve">to which the </w:t>
      </w:r>
      <w:r w:rsidR="00452D3A" w:rsidRPr="009C07DE">
        <w:t>person</w:t>
      </w:r>
      <w:r w:rsidRPr="009C07DE">
        <w:t xml:space="preserve"> is a party; or </w:t>
      </w:r>
    </w:p>
    <w:p w14:paraId="5346C6FD" w14:textId="77777777" w:rsidR="00D76579" w:rsidRPr="009C07DE" w:rsidRDefault="008C2DD3" w:rsidP="00346F1D">
      <w:pPr>
        <w:pStyle w:val="ListParagraph"/>
        <w:numPr>
          <w:ilvl w:val="0"/>
          <w:numId w:val="37"/>
        </w:numPr>
      </w:pPr>
      <w:r w:rsidRPr="009C07DE">
        <w:t xml:space="preserve">that the </w:t>
      </w:r>
      <w:r w:rsidR="00452D3A" w:rsidRPr="009C07DE">
        <w:t>person</w:t>
      </w:r>
      <w:r w:rsidRPr="009C07DE">
        <w:t xml:space="preserve"> proposes in good faith to bring; or </w:t>
      </w:r>
    </w:p>
    <w:p w14:paraId="64757EFC" w14:textId="77777777" w:rsidR="00D76579" w:rsidRPr="009C07DE" w:rsidRDefault="008C2DD3" w:rsidP="00346F1D">
      <w:pPr>
        <w:pStyle w:val="ListParagraph"/>
        <w:numPr>
          <w:ilvl w:val="0"/>
          <w:numId w:val="37"/>
        </w:numPr>
      </w:pPr>
      <w:r w:rsidRPr="009C07DE">
        <w:t xml:space="preserve">that the </w:t>
      </w:r>
      <w:r w:rsidR="00452D3A" w:rsidRPr="009C07DE">
        <w:t>person</w:t>
      </w:r>
      <w:r w:rsidRPr="009C07DE">
        <w:t xml:space="preserve"> has reason to believe will be brought against him or her.</w:t>
      </w:r>
      <w:r w:rsidR="00257B3A" w:rsidRPr="009C07DE">
        <w:t xml:space="preserve"> </w:t>
      </w:r>
    </w:p>
    <w:p w14:paraId="37F7924B" w14:textId="77777777" w:rsidR="00D76579" w:rsidRPr="009C07DE" w:rsidRDefault="00D76579"/>
    <w:p w14:paraId="187589F2" w14:textId="04196BDC" w:rsidR="00452D3A" w:rsidRPr="009C07DE" w:rsidRDefault="00993912">
      <w:r w:rsidRPr="009C07DE">
        <w:t>That person may also make copies of the book</w:t>
      </w:r>
      <w:r w:rsidR="00802934" w:rsidRPr="009C07DE">
        <w:t>s</w:t>
      </w:r>
      <w:r w:rsidRPr="009C07DE">
        <w:t xml:space="preserve"> for the purposes </w:t>
      </w:r>
      <w:r w:rsidR="00E23E03" w:rsidRPr="009C07DE">
        <w:t xml:space="preserve">of </w:t>
      </w:r>
      <w:r w:rsidR="006600D9" w:rsidRPr="009C07DE">
        <w:t>the</w:t>
      </w:r>
      <w:r w:rsidR="00452D3A" w:rsidRPr="009C07DE">
        <w:t xml:space="preserve"> eligible legal</w:t>
      </w:r>
      <w:r w:rsidRPr="009C07DE">
        <w:t xml:space="preserve"> proceeding. </w:t>
      </w:r>
      <w:r w:rsidR="00452D3A" w:rsidRPr="009C07DE">
        <w:t xml:space="preserve">This right is subject to any Commonwealth law that prohibits disclosure of particular information. </w:t>
      </w:r>
    </w:p>
    <w:p w14:paraId="0B176CD9" w14:textId="2684898F" w:rsidR="00993912" w:rsidRPr="009C07DE" w:rsidRDefault="00993912" w:rsidP="00C350AD"/>
    <w:p w14:paraId="4905926C" w14:textId="7C8D5D0F" w:rsidR="00993912" w:rsidRPr="009C07DE" w:rsidRDefault="00257B3A" w:rsidP="00C350AD">
      <w:r w:rsidRPr="009C07DE">
        <w:t xml:space="preserve">This right </w:t>
      </w:r>
      <w:r w:rsidR="00346F1D" w:rsidRPr="009C07DE">
        <w:t>is available to a person who is, or is a member of, the accountable authority of a corporate Commonwealth entity. The right continues for a period of 7 years beginning when the person ceases to be the accountable authority or a member of the accountable authority. In accordance with</w:t>
      </w:r>
      <w:r w:rsidR="00452D3A" w:rsidRPr="009C07DE">
        <w:t xml:space="preserve"> </w:t>
      </w:r>
      <w:r w:rsidR="00993912" w:rsidRPr="009C07DE">
        <w:t xml:space="preserve">item </w:t>
      </w:r>
      <w:r w:rsidR="00452D3A" w:rsidRPr="009C07DE">
        <w:t>1</w:t>
      </w:r>
      <w:r w:rsidR="00362709" w:rsidRPr="009C07DE">
        <w:t>5</w:t>
      </w:r>
      <w:r w:rsidR="00452D3A" w:rsidRPr="009C07DE">
        <w:t xml:space="preserve"> of the Amending Rule, this </w:t>
      </w:r>
      <w:r w:rsidR="00EA319B" w:rsidRPr="009C07DE">
        <w:t xml:space="preserve">right </w:t>
      </w:r>
      <w:r w:rsidR="00452D3A" w:rsidRPr="009C07DE">
        <w:t xml:space="preserve">applies in relation to a person who ceases to be the accountable authority, or a member of the accountable authority, of a corporate Commonwealth entity on or after the commencement of </w:t>
      </w:r>
      <w:r w:rsidR="005425A7" w:rsidRPr="009C07DE">
        <w:t>the Amending Rule</w:t>
      </w:r>
      <w:r w:rsidR="00452D3A" w:rsidRPr="009C07DE">
        <w:t xml:space="preserve">. </w:t>
      </w:r>
    </w:p>
    <w:p w14:paraId="75C5A44F" w14:textId="775EF5BA" w:rsidR="00B80B90" w:rsidRPr="009C07DE" w:rsidRDefault="00B80B90" w:rsidP="00C350AD"/>
    <w:p w14:paraId="4134D6FC" w14:textId="3EF87351" w:rsidR="00015B31" w:rsidRPr="009C07DE" w:rsidRDefault="00015B31" w:rsidP="00015B31">
      <w:pPr>
        <w:rPr>
          <w:bCs/>
        </w:rPr>
      </w:pPr>
      <w:r w:rsidRPr="009C07DE">
        <w:rPr>
          <w:bCs/>
        </w:rPr>
        <w:t xml:space="preserve">Section 16DA is designed to ensure that accountable authorities (and former accountable authorities) have a right of access to an entity’s books under the prescribed conditions. This is appropriate as it provides certainty to accountable authorities of their rights under the framework, and aligns the framework with similar provision in the </w:t>
      </w:r>
      <w:r w:rsidRPr="009C07DE">
        <w:rPr>
          <w:bCs/>
          <w:i/>
        </w:rPr>
        <w:t>Corporations Act 2001</w:t>
      </w:r>
      <w:r w:rsidRPr="009C07DE">
        <w:rPr>
          <w:bCs/>
        </w:rPr>
        <w:t xml:space="preserve">. </w:t>
      </w:r>
    </w:p>
    <w:p w14:paraId="23285F6F" w14:textId="77777777" w:rsidR="00015B31" w:rsidRPr="009C07DE" w:rsidRDefault="00015B31" w:rsidP="00015B31">
      <w:pPr>
        <w:rPr>
          <w:bCs/>
        </w:rPr>
      </w:pPr>
    </w:p>
    <w:p w14:paraId="5EE1EFA7" w14:textId="0475D050" w:rsidR="00015B31" w:rsidRPr="009C07DE" w:rsidRDefault="00015B31" w:rsidP="00015B31">
      <w:pPr>
        <w:rPr>
          <w:bCs/>
        </w:rPr>
      </w:pPr>
      <w:r w:rsidRPr="009C07DE">
        <w:rPr>
          <w:bCs/>
        </w:rPr>
        <w:t xml:space="preserve">A corporate Commonwealth entity must comply with a valid request by a person, to exercise his or her right to inspect or take copies of the books under this section. </w:t>
      </w:r>
    </w:p>
    <w:p w14:paraId="56CBCFB4" w14:textId="4AA44F1E" w:rsidR="009C27C9" w:rsidRPr="009C07DE" w:rsidRDefault="00802934" w:rsidP="00327FE5">
      <w:pPr>
        <w:rPr>
          <w:b/>
        </w:rPr>
      </w:pPr>
      <w:r w:rsidRPr="009C07DE">
        <w:rPr>
          <w:b/>
        </w:rPr>
        <w:t xml:space="preserve"> </w:t>
      </w:r>
    </w:p>
    <w:p w14:paraId="56D6149D" w14:textId="0EEDAD12" w:rsidR="00327FE5" w:rsidRPr="009C07DE" w:rsidRDefault="00327FE5" w:rsidP="00327FE5">
      <w:pPr>
        <w:rPr>
          <w:b/>
        </w:rPr>
      </w:pPr>
      <w:r w:rsidRPr="009C07DE">
        <w:rPr>
          <w:b/>
        </w:rPr>
        <w:t xml:space="preserve">Item </w:t>
      </w:r>
      <w:r w:rsidR="00A87CFC" w:rsidRPr="009C07DE">
        <w:rPr>
          <w:b/>
        </w:rPr>
        <w:t>4</w:t>
      </w:r>
      <w:r w:rsidRPr="009C07DE">
        <w:rPr>
          <w:b/>
        </w:rPr>
        <w:t xml:space="preserve"> – Subsection 16E(2) (table items 3 to 6)</w:t>
      </w:r>
    </w:p>
    <w:p w14:paraId="4F153B0B" w14:textId="77777777" w:rsidR="00785AE3" w:rsidRPr="009C07DE" w:rsidRDefault="00785AE3" w:rsidP="00327FE5">
      <w:pPr>
        <w:rPr>
          <w:b/>
        </w:rPr>
      </w:pPr>
    </w:p>
    <w:p w14:paraId="34D43F03" w14:textId="0A951FE6" w:rsidR="003018F0" w:rsidRPr="009C07DE" w:rsidRDefault="009C27C9" w:rsidP="00936E65">
      <w:pPr>
        <w:rPr>
          <w:rFonts w:eastAsia="Calibri"/>
          <w:lang w:eastAsia="en-US"/>
        </w:rPr>
      </w:pPr>
      <w:r w:rsidRPr="009C07DE">
        <w:rPr>
          <w:rFonts w:eastAsia="Calibri"/>
          <w:lang w:eastAsia="en-US"/>
        </w:rPr>
        <w:t>Item 4 repeals the existing table items 3 to 6 in subsection 16E(2) and substitutes several new table items.</w:t>
      </w:r>
      <w:r w:rsidR="003018F0" w:rsidRPr="009C07DE">
        <w:rPr>
          <w:rFonts w:eastAsia="Calibri"/>
          <w:lang w:eastAsia="en-US"/>
        </w:rPr>
        <w:t xml:space="preserve"> Subsection 16E(2) prescribes requirements for the preparation of corporate plans by Commonwealth entities.</w:t>
      </w:r>
    </w:p>
    <w:p w14:paraId="15F56EA2" w14:textId="77777777" w:rsidR="00936E65" w:rsidRPr="009C07DE" w:rsidRDefault="00936E65" w:rsidP="00936E65">
      <w:pPr>
        <w:rPr>
          <w:rFonts w:eastAsia="Calibri"/>
          <w:lang w:eastAsia="en-US"/>
        </w:rPr>
      </w:pPr>
    </w:p>
    <w:p w14:paraId="6EEA5A6E" w14:textId="77777777" w:rsidR="009C27C9" w:rsidRPr="009C07DE" w:rsidRDefault="009C27C9" w:rsidP="009C27C9">
      <w:pPr>
        <w:spacing w:after="160" w:line="259" w:lineRule="auto"/>
        <w:rPr>
          <w:rFonts w:eastAsia="Calibri"/>
          <w:u w:val="single"/>
          <w:lang w:eastAsia="en-US"/>
        </w:rPr>
      </w:pPr>
      <w:r w:rsidRPr="009C07DE">
        <w:rPr>
          <w:rFonts w:eastAsia="Calibri"/>
          <w:u w:val="single"/>
          <w:lang w:eastAsia="en-US"/>
        </w:rPr>
        <w:t>Activities</w:t>
      </w:r>
    </w:p>
    <w:p w14:paraId="2F9C265F" w14:textId="00996D85" w:rsidR="009C27C9" w:rsidRPr="009C07DE" w:rsidRDefault="009C27C9" w:rsidP="00BC3AB9">
      <w:pPr>
        <w:rPr>
          <w:bCs/>
        </w:rPr>
      </w:pPr>
      <w:r w:rsidRPr="009C07DE">
        <w:rPr>
          <w:rFonts w:eastAsia="Calibri"/>
          <w:lang w:eastAsia="en-US"/>
        </w:rPr>
        <w:t xml:space="preserve">Item 3 in the table introduces a new requirement, and requires the corporate plan for a Commonwealth entity to include the key activities that the entity will undertake in order to achieve its purposes. A key activity is a distinct significant program or area of work undertaken by an entity to assist in achieving the entity’s purposes. Not every activity undertaken by an entity should be included in the corporate plan. The focus of the corporate plan is on those key activities that make a significant contribution to the achievement of the purposes by the entity. </w:t>
      </w:r>
    </w:p>
    <w:p w14:paraId="190B2D15" w14:textId="77777777" w:rsidR="00785AE3" w:rsidRPr="009C07DE" w:rsidRDefault="00785AE3" w:rsidP="00BC3AB9">
      <w:pPr>
        <w:rPr>
          <w:bCs/>
        </w:rPr>
      </w:pPr>
    </w:p>
    <w:p w14:paraId="1478E075" w14:textId="37334075" w:rsidR="009C27C9" w:rsidRPr="009C07DE" w:rsidRDefault="009C27C9" w:rsidP="00BC3AB9">
      <w:pPr>
        <w:rPr>
          <w:bCs/>
        </w:rPr>
      </w:pPr>
      <w:r w:rsidRPr="009C07DE">
        <w:rPr>
          <w:bCs/>
        </w:rPr>
        <w:t xml:space="preserve">The intent of this amendment is that the corporate plan include a discussion of the key activities over the entire period of the plan. For example, for a corporate plan covering four reporting periods, </w:t>
      </w:r>
      <w:r w:rsidR="002B7044" w:rsidRPr="009C07DE">
        <w:rPr>
          <w:bCs/>
        </w:rPr>
        <w:t>the corporate plan should provide a discussion of the key activities over the entire four year period. E</w:t>
      </w:r>
      <w:r w:rsidRPr="009C07DE">
        <w:rPr>
          <w:bCs/>
        </w:rPr>
        <w:t xml:space="preserve">ntities do not need to specify the relevant activities to be undertaken in each reporting period. </w:t>
      </w:r>
    </w:p>
    <w:p w14:paraId="443C9827" w14:textId="77777777" w:rsidR="00AC7417" w:rsidRPr="009C07DE" w:rsidRDefault="00AC7417" w:rsidP="00BC3AB9">
      <w:pPr>
        <w:rPr>
          <w:bCs/>
        </w:rPr>
      </w:pPr>
    </w:p>
    <w:p w14:paraId="59D0BDB0" w14:textId="77777777" w:rsidR="00AC7417" w:rsidRPr="009C07DE" w:rsidRDefault="00AC7417">
      <w:pPr>
        <w:spacing w:after="200" w:line="276" w:lineRule="auto"/>
        <w:rPr>
          <w:rFonts w:eastAsia="Calibri"/>
          <w:u w:val="single"/>
          <w:lang w:eastAsia="en-US"/>
        </w:rPr>
      </w:pPr>
      <w:r w:rsidRPr="009C07DE">
        <w:rPr>
          <w:rFonts w:eastAsia="Calibri"/>
          <w:u w:val="single"/>
          <w:lang w:eastAsia="en-US"/>
        </w:rPr>
        <w:br w:type="page"/>
      </w:r>
    </w:p>
    <w:p w14:paraId="26BB111E" w14:textId="2BF7BB14" w:rsidR="001C5D33" w:rsidRPr="009C07DE" w:rsidRDefault="009C27C9" w:rsidP="004D20B8">
      <w:pPr>
        <w:spacing w:after="160" w:line="259" w:lineRule="auto"/>
        <w:rPr>
          <w:bCs/>
        </w:rPr>
      </w:pPr>
      <w:r w:rsidRPr="009C07DE">
        <w:rPr>
          <w:rFonts w:eastAsia="Calibri"/>
          <w:u w:val="single"/>
          <w:lang w:eastAsia="en-US"/>
        </w:rPr>
        <w:t>Operating context</w:t>
      </w:r>
    </w:p>
    <w:p w14:paraId="3F077D3D" w14:textId="06AADC51" w:rsidR="00785AE3" w:rsidRPr="009C07DE" w:rsidRDefault="009C27C9" w:rsidP="00936E65">
      <w:pPr>
        <w:rPr>
          <w:bCs/>
        </w:rPr>
      </w:pPr>
      <w:r w:rsidRPr="009C07DE">
        <w:rPr>
          <w:bCs/>
        </w:rPr>
        <w:t xml:space="preserve">Item 4 in the table requires the corporate plan to describe the operating context for the Commonwealth entity. Item 4 in the table amends and consolidates the previous table items 3 (“Environment”), 5 (“Capability”) and 6 (“Risk oversight and management”), and the requirement to discuss subsidiaries (within previous table item 4) into one table item. </w:t>
      </w:r>
      <w:r w:rsidR="002D36A1" w:rsidRPr="009C07DE">
        <w:rPr>
          <w:bCs/>
        </w:rPr>
        <w:t xml:space="preserve">Item 4 introduces a requirement for entities to include their key risks and how those risks will be managed and </w:t>
      </w:r>
      <w:r w:rsidRPr="009C07DE">
        <w:rPr>
          <w:bCs/>
        </w:rPr>
        <w:t>a requirement to discuss cooperation as part of the entity’s operating context.</w:t>
      </w:r>
    </w:p>
    <w:p w14:paraId="63D2B5F0" w14:textId="77777777" w:rsidR="00936E65" w:rsidRPr="009C07DE" w:rsidRDefault="00936E65" w:rsidP="00936E65">
      <w:pPr>
        <w:rPr>
          <w:bCs/>
        </w:rPr>
      </w:pPr>
    </w:p>
    <w:p w14:paraId="4A7E12DB" w14:textId="183CCE08" w:rsidR="009C27C9" w:rsidRPr="009C07DE" w:rsidRDefault="009C27C9" w:rsidP="00CB0BA0">
      <w:pPr>
        <w:rPr>
          <w:bCs/>
        </w:rPr>
      </w:pPr>
      <w:r w:rsidRPr="009C07DE">
        <w:rPr>
          <w:bCs/>
        </w:rPr>
        <w:t>There are five elements that must be included in the discussion of an entity’s operating context: environment, capability, risk, cooperation, and subsidiaries.</w:t>
      </w:r>
      <w:r w:rsidR="00BC3AB9" w:rsidRPr="009C07DE">
        <w:rPr>
          <w:bCs/>
        </w:rPr>
        <w:t xml:space="preserve"> </w:t>
      </w:r>
      <w:r w:rsidRPr="009C07DE">
        <w:rPr>
          <w:bCs/>
        </w:rPr>
        <w:t xml:space="preserve">The intent of this amendment is that the corporate plan include a discussion of the five elements over the entire period of the plan. For example, for a corporate plan covering four reporting periods, the corporate plan should provide a discussion of the elements over the four reporting periods. Entities do not need to outline these elements for each reporting period. </w:t>
      </w:r>
    </w:p>
    <w:p w14:paraId="32881929" w14:textId="77777777" w:rsidR="00785AE3" w:rsidRPr="009C07DE" w:rsidRDefault="00785AE3" w:rsidP="00CB0BA0">
      <w:pPr>
        <w:rPr>
          <w:bCs/>
        </w:rPr>
      </w:pPr>
    </w:p>
    <w:p w14:paraId="61A64714" w14:textId="271FB059" w:rsidR="009C27C9" w:rsidRPr="009C07DE" w:rsidRDefault="009C27C9" w:rsidP="00CB0BA0">
      <w:pPr>
        <w:rPr>
          <w:bCs/>
        </w:rPr>
      </w:pPr>
      <w:r w:rsidRPr="009C07DE">
        <w:rPr>
          <w:bCs/>
        </w:rPr>
        <w:t xml:space="preserve">Under item 4(a) in the table, the corporate plan must discuss the environment in which the entity will operate. As part of a discussion of the environment, an entity could discuss the main external and internal factors that affect or influence the achievement of its purposes. An entity could also describe the conditions, circumstances and trends that may affect its capacity to achieve its purposes or the demand for, or supply of, its goods or services. </w:t>
      </w:r>
    </w:p>
    <w:p w14:paraId="4ABD383B" w14:textId="77777777" w:rsidR="00785AE3" w:rsidRPr="009C07DE" w:rsidRDefault="00785AE3" w:rsidP="00CB0BA0">
      <w:pPr>
        <w:rPr>
          <w:bCs/>
        </w:rPr>
      </w:pPr>
    </w:p>
    <w:p w14:paraId="4301BD35" w14:textId="5840BB54" w:rsidR="009C27C9" w:rsidRPr="009C07DE" w:rsidRDefault="009C27C9" w:rsidP="00CB0BA0">
      <w:pPr>
        <w:rPr>
          <w:bCs/>
        </w:rPr>
      </w:pPr>
      <w:r w:rsidRPr="009C07DE">
        <w:rPr>
          <w:bCs/>
        </w:rPr>
        <w:t xml:space="preserve">Item 4(b) in the table requires the corporate plan to set out the strategies and plans that the entity will implement to have the capability it needs to undertake its key activities and achieve its purposes over the period of the plan. For example, the corporate plan could set out the strategies and plans the entity will put in place to build the capability it needs over the entire period covered by the plan in areas such as workforce planning, </w:t>
      </w:r>
      <w:r w:rsidR="005D1E72" w:rsidRPr="009C07DE">
        <w:rPr>
          <w:bCs/>
        </w:rPr>
        <w:t>infrastructure</w:t>
      </w:r>
      <w:r w:rsidRPr="009C07DE">
        <w:rPr>
          <w:bCs/>
        </w:rPr>
        <w:t xml:space="preserve"> or information and communication technology. The corporate plan could also identify how the entity’s capability needs may change over the entire period of the corporate plan. </w:t>
      </w:r>
    </w:p>
    <w:p w14:paraId="481611FC" w14:textId="77777777" w:rsidR="00785AE3" w:rsidRPr="009C07DE" w:rsidRDefault="00785AE3" w:rsidP="00CB0BA0">
      <w:pPr>
        <w:rPr>
          <w:bCs/>
        </w:rPr>
      </w:pPr>
    </w:p>
    <w:p w14:paraId="34C46628" w14:textId="13769A9C" w:rsidR="009C27C9" w:rsidRPr="009C07DE" w:rsidRDefault="009C27C9" w:rsidP="00CB0BA0">
      <w:pPr>
        <w:rPr>
          <w:bCs/>
        </w:rPr>
      </w:pPr>
      <w:r w:rsidRPr="009C07DE">
        <w:rPr>
          <w:bCs/>
        </w:rPr>
        <w:t xml:space="preserve">Item 4(c) in the table requires that the corporate plan include a summary of the risk oversight and management systems of the entity, and the key risks that the entity will manage and how those risks will be managed. As an entity’s primary planning document, the corporate plan should demonstrate that effective risk management arrangements are in place which support the management of the key risks associated with achieving the entity’s purposes. This is consistent with section 16 of the </w:t>
      </w:r>
      <w:proofErr w:type="spellStart"/>
      <w:r w:rsidRPr="009C07DE">
        <w:rPr>
          <w:bCs/>
        </w:rPr>
        <w:t>PGPA</w:t>
      </w:r>
      <w:proofErr w:type="spellEnd"/>
      <w:r w:rsidRPr="009C07DE">
        <w:rPr>
          <w:bCs/>
        </w:rPr>
        <w:t xml:space="preserve"> Act which provides that accountable authorities of all Commonwealth entities must establish and maintain appropriate systems of risk oversight, management and internal control for the entity. </w:t>
      </w:r>
    </w:p>
    <w:p w14:paraId="4A529365" w14:textId="77777777" w:rsidR="00785AE3" w:rsidRPr="009C07DE" w:rsidRDefault="00785AE3" w:rsidP="00CB0BA0">
      <w:pPr>
        <w:rPr>
          <w:bCs/>
        </w:rPr>
      </w:pPr>
    </w:p>
    <w:p w14:paraId="6D8FE671" w14:textId="0ADD98B8" w:rsidR="009C27C9" w:rsidRPr="009C07DE" w:rsidRDefault="009C27C9" w:rsidP="00CB0BA0">
      <w:pPr>
        <w:rPr>
          <w:bCs/>
        </w:rPr>
      </w:pPr>
      <w:r w:rsidRPr="009C07DE">
        <w:rPr>
          <w:bCs/>
        </w:rPr>
        <w:t>Item 4(d) in the table requires the corporate plan to include details of any organisation or body that will</w:t>
      </w:r>
      <w:r w:rsidR="002B7044" w:rsidRPr="009C07DE">
        <w:rPr>
          <w:bCs/>
        </w:rPr>
        <w:t xml:space="preserve"> make a significant contribution towards achieving the entity’s purposes through cooperation with the entity</w:t>
      </w:r>
      <w:r w:rsidRPr="009C07DE">
        <w:rPr>
          <w:bCs/>
        </w:rPr>
        <w:t xml:space="preserve">, including how </w:t>
      </w:r>
      <w:r w:rsidR="003322F3" w:rsidRPr="009C07DE">
        <w:rPr>
          <w:bCs/>
        </w:rPr>
        <w:t xml:space="preserve">that </w:t>
      </w:r>
      <w:r w:rsidRPr="009C07DE">
        <w:rPr>
          <w:bCs/>
        </w:rPr>
        <w:t>cooperation will help achieve th</w:t>
      </w:r>
      <w:r w:rsidR="003322F3" w:rsidRPr="009C07DE">
        <w:rPr>
          <w:bCs/>
        </w:rPr>
        <w:t>ose</w:t>
      </w:r>
      <w:r w:rsidRPr="009C07DE">
        <w:rPr>
          <w:bCs/>
        </w:rPr>
        <w:t xml:space="preserve"> purposes. </w:t>
      </w:r>
      <w:r w:rsidR="002D36A1" w:rsidRPr="009C07DE">
        <w:rPr>
          <w:bCs/>
        </w:rPr>
        <w:t>This requirement can be met if entities include details of the kinds or types of organisations or bodies th</w:t>
      </w:r>
      <w:r w:rsidR="00A34452" w:rsidRPr="009C07DE">
        <w:rPr>
          <w:bCs/>
        </w:rPr>
        <w:t xml:space="preserve">at the entity cooperates with. </w:t>
      </w:r>
      <w:r w:rsidRPr="009C07DE">
        <w:rPr>
          <w:bCs/>
        </w:rPr>
        <w:t xml:space="preserve">A discussion of cooperation in the corporate plan is consistent with section 17 of the </w:t>
      </w:r>
      <w:proofErr w:type="spellStart"/>
      <w:r w:rsidRPr="009C07DE">
        <w:rPr>
          <w:bCs/>
        </w:rPr>
        <w:t>PGPA</w:t>
      </w:r>
      <w:proofErr w:type="spellEnd"/>
      <w:r w:rsidRPr="009C07DE">
        <w:rPr>
          <w:bCs/>
        </w:rPr>
        <w:t xml:space="preserve"> Act which provides that accountable authorities of all Commonwealth entities must encourage officials of their entities to cooperate with others to achieve common objectives, where practicable.</w:t>
      </w:r>
    </w:p>
    <w:p w14:paraId="4A279D84" w14:textId="77777777" w:rsidR="00785AE3" w:rsidRPr="009C07DE" w:rsidRDefault="00785AE3" w:rsidP="00CB0BA0">
      <w:pPr>
        <w:rPr>
          <w:bCs/>
        </w:rPr>
      </w:pPr>
    </w:p>
    <w:p w14:paraId="44887C0E" w14:textId="3B05ACA0" w:rsidR="009C27C9" w:rsidRPr="009C07DE" w:rsidRDefault="009C27C9" w:rsidP="00CB0BA0">
      <w:pPr>
        <w:rPr>
          <w:bCs/>
        </w:rPr>
      </w:pPr>
      <w:r w:rsidRPr="009C07DE">
        <w:rPr>
          <w:bCs/>
        </w:rPr>
        <w:t xml:space="preserve">Item 4(e) in the table requires the corporate plan to set out how any subsidiary, as defined in section 8 of the </w:t>
      </w:r>
      <w:proofErr w:type="spellStart"/>
      <w:r w:rsidRPr="009C07DE">
        <w:rPr>
          <w:bCs/>
        </w:rPr>
        <w:t>PGPA</w:t>
      </w:r>
      <w:proofErr w:type="spellEnd"/>
      <w:r w:rsidRPr="009C07DE">
        <w:rPr>
          <w:bCs/>
        </w:rPr>
        <w:t xml:space="preserve"> Act, of the entity will contribute to achieving the entity’s purposes. Entities should describe the contribution their subsidiaries are expected to make to the achievement of the entity’s purposes. For example, an entity could outline the main functions of their subsidiary in the context of the entity’s purposes and key activities. </w:t>
      </w:r>
    </w:p>
    <w:p w14:paraId="50853819" w14:textId="39B0E412" w:rsidR="00785AE3" w:rsidRPr="009C07DE" w:rsidRDefault="00785AE3" w:rsidP="00CB0BA0">
      <w:pPr>
        <w:rPr>
          <w:rFonts w:eastAsia="Calibri"/>
          <w:u w:val="single"/>
          <w:lang w:eastAsia="en-US"/>
        </w:rPr>
      </w:pPr>
    </w:p>
    <w:p w14:paraId="430BFA6E" w14:textId="4F537A3C" w:rsidR="009C27C9" w:rsidRPr="009C07DE" w:rsidRDefault="009C27C9" w:rsidP="009C27C9">
      <w:pPr>
        <w:spacing w:after="160" w:line="259" w:lineRule="auto"/>
        <w:rPr>
          <w:rFonts w:eastAsia="Calibri"/>
          <w:u w:val="single"/>
          <w:lang w:eastAsia="en-US"/>
        </w:rPr>
      </w:pPr>
      <w:r w:rsidRPr="009C07DE">
        <w:rPr>
          <w:rFonts w:eastAsia="Calibri"/>
          <w:u w:val="single"/>
          <w:lang w:eastAsia="en-US"/>
        </w:rPr>
        <w:t>Performance</w:t>
      </w:r>
    </w:p>
    <w:p w14:paraId="0CF8911A" w14:textId="77777777" w:rsidR="00785AE3" w:rsidRPr="009C07DE" w:rsidRDefault="009C27C9" w:rsidP="00BC3AB9">
      <w:pPr>
        <w:rPr>
          <w:bCs/>
        </w:rPr>
      </w:pPr>
      <w:r w:rsidRPr="009C07DE">
        <w:rPr>
          <w:bCs/>
        </w:rPr>
        <w:t>Item 5 in the table is an amendment of previous table item 4, and requires the corporate plan to set out the details of how the entity’s performance in achieving the entity’s purposes will be measured and assessed. Entities must develop performance measures to measure and assess their performance in achieving their purposes, and the performance measures must meet the requirements of the new section 16EA.</w:t>
      </w:r>
    </w:p>
    <w:p w14:paraId="3D932388" w14:textId="7AB5011C" w:rsidR="009C27C9" w:rsidRPr="009C07DE" w:rsidRDefault="009C27C9" w:rsidP="00BC3AB9">
      <w:pPr>
        <w:rPr>
          <w:bCs/>
        </w:rPr>
      </w:pPr>
      <w:r w:rsidRPr="009C07DE">
        <w:rPr>
          <w:bCs/>
        </w:rPr>
        <w:t xml:space="preserve"> </w:t>
      </w:r>
    </w:p>
    <w:p w14:paraId="50C6DC84" w14:textId="459AE042" w:rsidR="009C27C9" w:rsidRPr="009C07DE" w:rsidRDefault="009C27C9" w:rsidP="00BC3AB9">
      <w:pPr>
        <w:rPr>
          <w:bCs/>
        </w:rPr>
      </w:pPr>
      <w:r w:rsidRPr="009C07DE">
        <w:rPr>
          <w:bCs/>
        </w:rPr>
        <w:t>Item 5(b) in the table requires entities to provide targets for each of those performance measures where it is reasonably practicable to set a target. These measures and targets will be used in the entity’s annual performance statement, prepared under section 16F, to report on the entity’s performance and achievement of its purposes.</w:t>
      </w:r>
    </w:p>
    <w:p w14:paraId="19DCF48B" w14:textId="77777777" w:rsidR="00785AE3" w:rsidRPr="009C07DE" w:rsidRDefault="00785AE3" w:rsidP="00BC3AB9">
      <w:pPr>
        <w:rPr>
          <w:bCs/>
        </w:rPr>
      </w:pPr>
    </w:p>
    <w:p w14:paraId="2A39E82E" w14:textId="77B24C38" w:rsidR="009C27C9" w:rsidRPr="009C07DE" w:rsidRDefault="009C27C9" w:rsidP="00327FE5">
      <w:pPr>
        <w:rPr>
          <w:bCs/>
        </w:rPr>
      </w:pPr>
      <w:r w:rsidRPr="009C07DE">
        <w:rPr>
          <w:bCs/>
        </w:rPr>
        <w:t xml:space="preserve">In contrast to activities and operating context, the corporate plan must include this information for each reporting period covered by the plan. For example, for a corporate plan covering four reporting periods, entities must specify the relevant details for each reporting period. </w:t>
      </w:r>
    </w:p>
    <w:p w14:paraId="140FBF29" w14:textId="77777777" w:rsidR="009C27C9" w:rsidRPr="009C07DE" w:rsidRDefault="009C27C9" w:rsidP="00327FE5">
      <w:pPr>
        <w:rPr>
          <w:b/>
        </w:rPr>
      </w:pPr>
    </w:p>
    <w:p w14:paraId="23E0E34E" w14:textId="630CC9CF" w:rsidR="00327FE5" w:rsidRPr="009C07DE" w:rsidRDefault="00327FE5" w:rsidP="00327FE5">
      <w:pPr>
        <w:rPr>
          <w:b/>
        </w:rPr>
      </w:pPr>
      <w:r w:rsidRPr="009C07DE">
        <w:rPr>
          <w:b/>
        </w:rPr>
        <w:t xml:space="preserve">Item </w:t>
      </w:r>
      <w:r w:rsidR="00A87CFC" w:rsidRPr="009C07DE">
        <w:rPr>
          <w:b/>
        </w:rPr>
        <w:t>5</w:t>
      </w:r>
      <w:r w:rsidRPr="009C07DE">
        <w:rPr>
          <w:b/>
        </w:rPr>
        <w:t xml:space="preserve"> – </w:t>
      </w:r>
      <w:r w:rsidR="0037026E" w:rsidRPr="009C07DE">
        <w:rPr>
          <w:b/>
        </w:rPr>
        <w:t>At the end of Division 1 of Part 2-3</w:t>
      </w:r>
    </w:p>
    <w:p w14:paraId="7D3BF01A" w14:textId="77777777" w:rsidR="00237271" w:rsidRPr="009C07DE" w:rsidRDefault="00237271" w:rsidP="00327FE5"/>
    <w:p w14:paraId="4EE802AB" w14:textId="577DE844" w:rsidR="00785AE3" w:rsidRPr="009C07DE" w:rsidRDefault="009C27C9" w:rsidP="00DE61CB">
      <w:pPr>
        <w:rPr>
          <w:bCs/>
        </w:rPr>
      </w:pPr>
      <w:r w:rsidRPr="009C07DE">
        <w:rPr>
          <w:bCs/>
        </w:rPr>
        <w:t xml:space="preserve">Item 5 inserts a new section, section 16EA, which sets out the requirements of performance measures for the purpose of satisfying item 5(a) in the table in section 16E(2). </w:t>
      </w:r>
      <w:r w:rsidR="002D36A1" w:rsidRPr="009C07DE">
        <w:rPr>
          <w:bCs/>
        </w:rPr>
        <w:t xml:space="preserve">The requirements set out at subsections 16EA (a) to (f) are to be met in the context of the entity’s purposes or key activities.  </w:t>
      </w:r>
    </w:p>
    <w:p w14:paraId="0E219E32" w14:textId="77777777" w:rsidR="003322F3" w:rsidRPr="009C07DE" w:rsidRDefault="003322F3" w:rsidP="00DE61CB">
      <w:pPr>
        <w:rPr>
          <w:bCs/>
        </w:rPr>
      </w:pPr>
    </w:p>
    <w:p w14:paraId="733D8F84" w14:textId="6E9038F8" w:rsidR="009C27C9" w:rsidRPr="009C07DE" w:rsidRDefault="00DE61CB" w:rsidP="00BC3AB9">
      <w:pPr>
        <w:rPr>
          <w:bCs/>
        </w:rPr>
      </w:pPr>
      <w:r w:rsidRPr="009C07DE">
        <w:rPr>
          <w:bCs/>
        </w:rPr>
        <w:t xml:space="preserve">Under </w:t>
      </w:r>
      <w:r w:rsidR="009C27C9" w:rsidRPr="009C07DE">
        <w:rPr>
          <w:bCs/>
        </w:rPr>
        <w:t xml:space="preserve">paragraph 16EA(a), </w:t>
      </w:r>
      <w:r w:rsidRPr="009C07DE">
        <w:rPr>
          <w:bCs/>
        </w:rPr>
        <w:t>the</w:t>
      </w:r>
      <w:r w:rsidR="009C27C9" w:rsidRPr="009C07DE">
        <w:rPr>
          <w:bCs/>
        </w:rPr>
        <w:t xml:space="preserve"> performance measure</w:t>
      </w:r>
      <w:r w:rsidRPr="009C07DE">
        <w:rPr>
          <w:bCs/>
        </w:rPr>
        <w:t>s</w:t>
      </w:r>
      <w:r w:rsidR="009C27C9" w:rsidRPr="009C07DE">
        <w:rPr>
          <w:bCs/>
        </w:rPr>
        <w:t xml:space="preserve"> for an entity must relate directly to </w:t>
      </w:r>
      <w:r w:rsidRPr="009C07DE">
        <w:rPr>
          <w:bCs/>
        </w:rPr>
        <w:t xml:space="preserve">one or more of </w:t>
      </w:r>
      <w:r w:rsidR="009C27C9" w:rsidRPr="009C07DE">
        <w:rPr>
          <w:bCs/>
        </w:rPr>
        <w:t>the entit</w:t>
      </w:r>
      <w:r w:rsidR="003B0E86" w:rsidRPr="009C07DE">
        <w:rPr>
          <w:bCs/>
        </w:rPr>
        <w:t>y’s purposes or key activities.</w:t>
      </w:r>
    </w:p>
    <w:p w14:paraId="480CD796" w14:textId="77777777" w:rsidR="00785AE3" w:rsidRPr="009C07DE" w:rsidRDefault="00785AE3" w:rsidP="00BC3AB9">
      <w:pPr>
        <w:rPr>
          <w:bCs/>
        </w:rPr>
      </w:pPr>
    </w:p>
    <w:p w14:paraId="1BB7BDEE" w14:textId="670B22D4" w:rsidR="009C27C9" w:rsidRPr="009C07DE" w:rsidRDefault="00DE61CB" w:rsidP="00BC3AB9">
      <w:pPr>
        <w:rPr>
          <w:bCs/>
        </w:rPr>
      </w:pPr>
      <w:r w:rsidRPr="009C07DE">
        <w:rPr>
          <w:bCs/>
        </w:rPr>
        <w:t xml:space="preserve">Under </w:t>
      </w:r>
      <w:r w:rsidR="009C27C9" w:rsidRPr="009C07DE">
        <w:rPr>
          <w:bCs/>
        </w:rPr>
        <w:t>paragraph 16EA(</w:t>
      </w:r>
      <w:r w:rsidRPr="009C07DE">
        <w:rPr>
          <w:bCs/>
        </w:rPr>
        <w:t>b)</w:t>
      </w:r>
      <w:r w:rsidR="009C27C9" w:rsidRPr="009C07DE">
        <w:rPr>
          <w:bCs/>
        </w:rPr>
        <w:t xml:space="preserve">, </w:t>
      </w:r>
      <w:r w:rsidRPr="009C07DE">
        <w:rPr>
          <w:bCs/>
        </w:rPr>
        <w:t>the</w:t>
      </w:r>
      <w:r w:rsidR="009C27C9" w:rsidRPr="009C07DE">
        <w:rPr>
          <w:bCs/>
        </w:rPr>
        <w:t xml:space="preserve"> performance measure</w:t>
      </w:r>
      <w:r w:rsidRPr="009C07DE">
        <w:rPr>
          <w:bCs/>
        </w:rPr>
        <w:t>s</w:t>
      </w:r>
      <w:r w:rsidR="009C27C9" w:rsidRPr="009C07DE">
        <w:rPr>
          <w:bCs/>
        </w:rPr>
        <w:t xml:space="preserve"> must use sources of information</w:t>
      </w:r>
      <w:r w:rsidR="005D1E72" w:rsidRPr="009C07DE">
        <w:rPr>
          <w:bCs/>
        </w:rPr>
        <w:t xml:space="preserve"> and</w:t>
      </w:r>
      <w:r w:rsidR="009C27C9" w:rsidRPr="009C07DE">
        <w:rPr>
          <w:bCs/>
        </w:rPr>
        <w:t xml:space="preserve"> methodologies that are reliable and verifiable. </w:t>
      </w:r>
    </w:p>
    <w:p w14:paraId="3143FC27" w14:textId="20802366" w:rsidR="00DE61CB" w:rsidRPr="009C07DE" w:rsidRDefault="00DE61CB" w:rsidP="00BC3AB9">
      <w:pPr>
        <w:rPr>
          <w:bCs/>
        </w:rPr>
      </w:pPr>
    </w:p>
    <w:p w14:paraId="6EDACC2E" w14:textId="507A4F3A" w:rsidR="00DE61CB" w:rsidRPr="009C07DE" w:rsidRDefault="00DE61CB" w:rsidP="00BC3AB9">
      <w:pPr>
        <w:rPr>
          <w:bCs/>
        </w:rPr>
      </w:pPr>
      <w:r w:rsidRPr="009C07DE">
        <w:rPr>
          <w:bCs/>
        </w:rPr>
        <w:t xml:space="preserve">Under paragraph 16EA(c), the performance measures must </w:t>
      </w:r>
      <w:r w:rsidRPr="009C07DE">
        <w:t>provide an unbiased basis for the measurement and assessment of the entity’s performance.</w:t>
      </w:r>
    </w:p>
    <w:p w14:paraId="288E17C3" w14:textId="169D8351" w:rsidR="00785AE3" w:rsidRPr="009C07DE" w:rsidRDefault="00785AE3" w:rsidP="00BC3AB9">
      <w:pPr>
        <w:rPr>
          <w:bCs/>
        </w:rPr>
      </w:pPr>
    </w:p>
    <w:p w14:paraId="1948553D" w14:textId="64066B32" w:rsidR="009C27C9" w:rsidRPr="009C07DE" w:rsidRDefault="00DE61CB" w:rsidP="00BC3AB9">
      <w:pPr>
        <w:rPr>
          <w:bCs/>
        </w:rPr>
      </w:pPr>
      <w:r w:rsidRPr="009C07DE">
        <w:rPr>
          <w:bCs/>
        </w:rPr>
        <w:t xml:space="preserve">Under </w:t>
      </w:r>
      <w:r w:rsidR="009C27C9" w:rsidRPr="009C07DE">
        <w:rPr>
          <w:bCs/>
        </w:rPr>
        <w:t>paragraph 16EA(</w:t>
      </w:r>
      <w:r w:rsidRPr="009C07DE">
        <w:rPr>
          <w:bCs/>
        </w:rPr>
        <w:t>d</w:t>
      </w:r>
      <w:r w:rsidR="009C27C9" w:rsidRPr="009C07DE">
        <w:rPr>
          <w:bCs/>
        </w:rPr>
        <w:t>), the performance measures</w:t>
      </w:r>
      <w:r w:rsidRPr="009C07DE">
        <w:rPr>
          <w:bCs/>
        </w:rPr>
        <w:t>,</w:t>
      </w:r>
      <w:r w:rsidR="009C27C9" w:rsidRPr="009C07DE">
        <w:rPr>
          <w:bCs/>
        </w:rPr>
        <w:t xml:space="preserve"> </w:t>
      </w:r>
      <w:r w:rsidRPr="009C07DE">
        <w:t xml:space="preserve">where reasonably practicable, must comprise a mix of qualitative and quantitative measures. </w:t>
      </w:r>
    </w:p>
    <w:p w14:paraId="459AE520" w14:textId="77777777" w:rsidR="00785AE3" w:rsidRPr="009C07DE" w:rsidRDefault="00785AE3" w:rsidP="00BC3AB9">
      <w:pPr>
        <w:rPr>
          <w:bCs/>
        </w:rPr>
      </w:pPr>
    </w:p>
    <w:p w14:paraId="06FABB0A" w14:textId="63B16A48" w:rsidR="009C27C9" w:rsidRPr="009C07DE" w:rsidRDefault="009C27C9" w:rsidP="00BC3AB9">
      <w:pPr>
        <w:rPr>
          <w:bCs/>
        </w:rPr>
      </w:pPr>
      <w:r w:rsidRPr="009C07DE">
        <w:rPr>
          <w:bCs/>
        </w:rPr>
        <w:t>Under paragraph 16EA(</w:t>
      </w:r>
      <w:r w:rsidR="00DE61CB" w:rsidRPr="009C07DE">
        <w:rPr>
          <w:bCs/>
        </w:rPr>
        <w:t>e</w:t>
      </w:r>
      <w:r w:rsidRPr="009C07DE">
        <w:rPr>
          <w:bCs/>
        </w:rPr>
        <w:t xml:space="preserve">), the performance measures must </w:t>
      </w:r>
      <w:r w:rsidR="00DE61CB" w:rsidRPr="009C07DE">
        <w:t xml:space="preserve">include measures of the entity’s outputs, efficiency and effectiveness if those things are appropriate measures of the entity’s performance. </w:t>
      </w:r>
      <w:r w:rsidRPr="009C07DE">
        <w:rPr>
          <w:bCs/>
        </w:rPr>
        <w:t xml:space="preserve">For example, it would generally be appropriate for an entity with one or more key activities that are transactional in nature to have performance measures that assess the efficiency of those key activities. </w:t>
      </w:r>
    </w:p>
    <w:p w14:paraId="34A7763C" w14:textId="77777777" w:rsidR="00785AE3" w:rsidRPr="009C07DE" w:rsidRDefault="00785AE3" w:rsidP="00BC3AB9">
      <w:pPr>
        <w:rPr>
          <w:bCs/>
        </w:rPr>
      </w:pPr>
    </w:p>
    <w:p w14:paraId="5BE612BF" w14:textId="2292FD5D" w:rsidR="009C27C9" w:rsidRPr="009C07DE" w:rsidRDefault="009C27C9" w:rsidP="00BC3AB9">
      <w:pPr>
        <w:rPr>
          <w:bCs/>
        </w:rPr>
      </w:pPr>
      <w:r w:rsidRPr="009C07DE">
        <w:rPr>
          <w:bCs/>
        </w:rPr>
        <w:t>Under paragraph 16EA(</w:t>
      </w:r>
      <w:r w:rsidR="00DE61CB" w:rsidRPr="009C07DE">
        <w:rPr>
          <w:bCs/>
        </w:rPr>
        <w:t>f</w:t>
      </w:r>
      <w:r w:rsidRPr="009C07DE">
        <w:rPr>
          <w:bCs/>
        </w:rPr>
        <w:t xml:space="preserve">), the performance measures </w:t>
      </w:r>
      <w:r w:rsidR="00DE61CB" w:rsidRPr="009C07DE">
        <w:rPr>
          <w:bCs/>
        </w:rPr>
        <w:t xml:space="preserve">must </w:t>
      </w:r>
      <w:r w:rsidR="00DE61CB" w:rsidRPr="009C07DE">
        <w:t>provide a basis for an assessment of the entity’s performance over time.</w:t>
      </w:r>
    </w:p>
    <w:p w14:paraId="198A5CAA" w14:textId="77777777" w:rsidR="001C5D33" w:rsidRPr="009C07DE" w:rsidRDefault="001C5D33" w:rsidP="003B0E86">
      <w:pPr>
        <w:rPr>
          <w:rFonts w:ascii="Calibri" w:eastAsia="Calibri" w:hAnsi="Calibri"/>
          <w:lang w:eastAsia="en-US"/>
        </w:rPr>
      </w:pPr>
    </w:p>
    <w:p w14:paraId="3483CC2B" w14:textId="77777777" w:rsidR="004D20B8" w:rsidRPr="009C07DE" w:rsidRDefault="004D20B8">
      <w:pPr>
        <w:spacing w:after="200" w:line="276" w:lineRule="auto"/>
        <w:rPr>
          <w:b/>
        </w:rPr>
      </w:pPr>
      <w:r w:rsidRPr="009C07DE">
        <w:rPr>
          <w:b/>
        </w:rPr>
        <w:br w:type="page"/>
      </w:r>
    </w:p>
    <w:p w14:paraId="088461CC" w14:textId="47376E00" w:rsidR="00327FE5" w:rsidRPr="009C07DE" w:rsidRDefault="00327FE5" w:rsidP="00327FE5">
      <w:pPr>
        <w:rPr>
          <w:b/>
        </w:rPr>
      </w:pPr>
      <w:r w:rsidRPr="009C07DE">
        <w:rPr>
          <w:b/>
        </w:rPr>
        <w:t xml:space="preserve">Item </w:t>
      </w:r>
      <w:r w:rsidR="00A87CFC" w:rsidRPr="009C07DE">
        <w:rPr>
          <w:b/>
        </w:rPr>
        <w:t>6</w:t>
      </w:r>
      <w:r w:rsidRPr="009C07DE">
        <w:rPr>
          <w:b/>
        </w:rPr>
        <w:t xml:space="preserve"> – Subsection 17(4)</w:t>
      </w:r>
    </w:p>
    <w:p w14:paraId="22CED9D6" w14:textId="51B34559" w:rsidR="000215F8" w:rsidRPr="009C07DE" w:rsidRDefault="000215F8" w:rsidP="00327FE5"/>
    <w:p w14:paraId="5B62E6C8" w14:textId="5244DAD9" w:rsidR="00F7399E" w:rsidRPr="009C07DE" w:rsidRDefault="002E4A4F" w:rsidP="00F7399E">
      <w:r w:rsidRPr="009C07DE">
        <w:t xml:space="preserve">Item 6 </w:t>
      </w:r>
      <w:r w:rsidR="00B80B90" w:rsidRPr="009C07DE">
        <w:t>amend</w:t>
      </w:r>
      <w:r w:rsidR="00725977" w:rsidRPr="009C07DE">
        <w:t>s</w:t>
      </w:r>
      <w:r w:rsidR="00B80B90" w:rsidRPr="009C07DE">
        <w:t xml:space="preserve"> </w:t>
      </w:r>
      <w:r w:rsidR="00AF2309" w:rsidRPr="009C07DE">
        <w:t>sub</w:t>
      </w:r>
      <w:r w:rsidR="00B80B90" w:rsidRPr="009C07DE">
        <w:t>section 17(4)</w:t>
      </w:r>
      <w:r w:rsidR="00AB06E1" w:rsidRPr="009C07DE">
        <w:t xml:space="preserve"> </w:t>
      </w:r>
      <w:r w:rsidR="00174B1D" w:rsidRPr="009C07DE">
        <w:t xml:space="preserve">of the </w:t>
      </w:r>
      <w:proofErr w:type="spellStart"/>
      <w:r w:rsidR="00174B1D" w:rsidRPr="009C07DE">
        <w:t>PGPA</w:t>
      </w:r>
      <w:proofErr w:type="spellEnd"/>
      <w:r w:rsidR="00174B1D" w:rsidRPr="009C07DE">
        <w:t xml:space="preserve"> Rule </w:t>
      </w:r>
      <w:r w:rsidR="00B80B90" w:rsidRPr="009C07DE">
        <w:t xml:space="preserve">to </w:t>
      </w:r>
      <w:r w:rsidR="00586A24" w:rsidRPr="009C07DE">
        <w:t xml:space="preserve">prescribe </w:t>
      </w:r>
      <w:r w:rsidR="00AF2309" w:rsidRPr="009C07DE">
        <w:t xml:space="preserve">that </w:t>
      </w:r>
      <w:r w:rsidR="00F7399E" w:rsidRPr="009C07DE">
        <w:t>if the entity is a non</w:t>
      </w:r>
      <w:r w:rsidR="00F7399E" w:rsidRPr="009C07DE">
        <w:noBreakHyphen/>
        <w:t>corporate Commonwealth entity:</w:t>
      </w:r>
    </w:p>
    <w:p w14:paraId="10B2B6AF" w14:textId="77777777" w:rsidR="00F7399E" w:rsidRPr="009C07DE" w:rsidRDefault="00F7399E" w:rsidP="00F7399E">
      <w:pPr>
        <w:pStyle w:val="ListParagraph"/>
        <w:numPr>
          <w:ilvl w:val="0"/>
          <w:numId w:val="28"/>
        </w:numPr>
      </w:pPr>
      <w:r w:rsidRPr="009C07DE">
        <w:t>all of the members of the audit committee must be persons who are not officials of the entity; and</w:t>
      </w:r>
    </w:p>
    <w:p w14:paraId="341DB080" w14:textId="2030F1A3" w:rsidR="00F7399E" w:rsidRPr="009C07DE" w:rsidRDefault="00F7399E" w:rsidP="00F7399E">
      <w:pPr>
        <w:pStyle w:val="ListParagraph"/>
        <w:numPr>
          <w:ilvl w:val="0"/>
          <w:numId w:val="28"/>
        </w:numPr>
      </w:pPr>
      <w:r w:rsidRPr="009C07DE">
        <w:t>a majority of the members must be persons who are not officials of any Commonwealth entity.</w:t>
      </w:r>
    </w:p>
    <w:p w14:paraId="1C2FFD70" w14:textId="77777777" w:rsidR="00F7399E" w:rsidRPr="009C07DE" w:rsidRDefault="00F7399E" w:rsidP="00F7399E"/>
    <w:p w14:paraId="219A1F79" w14:textId="6E22FB65" w:rsidR="00B80B90" w:rsidRPr="009C07DE" w:rsidRDefault="009F1ACA" w:rsidP="00327FE5">
      <w:r w:rsidRPr="009C07DE">
        <w:t>Subsection 17(4AA) prescribes that i</w:t>
      </w:r>
      <w:r w:rsidR="00F7399E" w:rsidRPr="009C07DE">
        <w:t xml:space="preserve">f the entity is a corporate Commonwealth entity, all of the members of the audit committee must be persons who are not employees of the entity. </w:t>
      </w:r>
      <w:r w:rsidR="00174B1D" w:rsidRPr="009C07DE">
        <w:rPr>
          <w:color w:val="000000"/>
        </w:rPr>
        <w:t>This means that audit committees of corporate Commonwealth entities may be officials of other Commonwealth entities.</w:t>
      </w:r>
    </w:p>
    <w:p w14:paraId="54C3217B" w14:textId="7DC724FE" w:rsidR="00495BFB" w:rsidRPr="009C07DE" w:rsidRDefault="00495BFB" w:rsidP="00327FE5"/>
    <w:p w14:paraId="55D3F237" w14:textId="257AD696" w:rsidR="00174B1D" w:rsidRPr="009C07DE" w:rsidRDefault="00174B1D" w:rsidP="00174B1D">
      <w:r w:rsidRPr="009C07DE">
        <w:t>This change to existing legislative requirements</w:t>
      </w:r>
      <w:r w:rsidR="00AB06E1" w:rsidRPr="009C07DE">
        <w:t>,</w:t>
      </w:r>
      <w:r w:rsidRPr="009C07DE">
        <w:t xml:space="preserve"> is intended to strengthen the capacity of audit committees to provide an independent perspective to entity management that draws on the broader knowledge and experience of committee members. </w:t>
      </w:r>
    </w:p>
    <w:p w14:paraId="53BCE7DC" w14:textId="19420AB2" w:rsidR="00993912" w:rsidRPr="009C07DE" w:rsidRDefault="00993912" w:rsidP="00327FE5"/>
    <w:p w14:paraId="1CF3AC09" w14:textId="7CFC2B35" w:rsidR="00B17B5A" w:rsidRPr="009C07DE" w:rsidRDefault="00B17B5A" w:rsidP="00B17B5A">
      <w:r w:rsidRPr="009C07DE">
        <w:rPr>
          <w:color w:val="000000"/>
        </w:rPr>
        <w:t xml:space="preserve">Section 17 </w:t>
      </w:r>
      <w:r w:rsidR="00AF2309" w:rsidRPr="009C07DE">
        <w:rPr>
          <w:color w:val="000000"/>
        </w:rPr>
        <w:t xml:space="preserve">of the </w:t>
      </w:r>
      <w:proofErr w:type="spellStart"/>
      <w:r w:rsidR="00AF2309" w:rsidRPr="009C07DE">
        <w:rPr>
          <w:color w:val="000000"/>
        </w:rPr>
        <w:t>PGPA</w:t>
      </w:r>
      <w:proofErr w:type="spellEnd"/>
      <w:r w:rsidR="00AF2309" w:rsidRPr="009C07DE">
        <w:rPr>
          <w:color w:val="000000"/>
        </w:rPr>
        <w:t xml:space="preserve"> Rule </w:t>
      </w:r>
      <w:r w:rsidRPr="009C07DE">
        <w:rPr>
          <w:color w:val="000000"/>
        </w:rPr>
        <w:t>applies to both non-corporate and corporate Commonwealth entities.</w:t>
      </w:r>
      <w:r w:rsidRPr="009C07DE">
        <w:t xml:space="preserve"> Under section 28 of the </w:t>
      </w:r>
      <w:proofErr w:type="spellStart"/>
      <w:r w:rsidRPr="009C07DE">
        <w:t>PGPA</w:t>
      </w:r>
      <w:proofErr w:type="spellEnd"/>
      <w:r w:rsidRPr="009C07DE">
        <w:t xml:space="preserve"> Rule, these requirements apply to a wholly owned Commonwealth Company in the same way as they apply to a corporate Commonwealth entity. </w:t>
      </w:r>
    </w:p>
    <w:p w14:paraId="15A11D91" w14:textId="77777777" w:rsidR="00B17B5A" w:rsidRPr="009C07DE" w:rsidRDefault="00B17B5A" w:rsidP="00327FE5"/>
    <w:p w14:paraId="6A11FC1D" w14:textId="0E04D264" w:rsidR="00AB06E1" w:rsidRPr="009C07DE" w:rsidRDefault="00AB06E1" w:rsidP="00AB06E1">
      <w:r w:rsidRPr="009C07DE">
        <w:t>In accordance with item 1</w:t>
      </w:r>
      <w:r w:rsidR="00C023B0" w:rsidRPr="009C07DE">
        <w:t xml:space="preserve">5 </w:t>
      </w:r>
      <w:r w:rsidRPr="009C07DE">
        <w:t>of the Amending Rule, these new requirements apply in relation to an audit committee for a Commonwealth entity on and after 1 July 2021. This delayed commencement period is to allow sufficient time to transition from current audit committee membership requirements.</w:t>
      </w:r>
    </w:p>
    <w:p w14:paraId="15037809" w14:textId="77777777" w:rsidR="00AB06E1" w:rsidRPr="009C07DE" w:rsidRDefault="00AB06E1" w:rsidP="00AB06E1"/>
    <w:p w14:paraId="488E09F7" w14:textId="3D5BBD5B" w:rsidR="00725977" w:rsidRPr="009C07DE" w:rsidRDefault="00725977" w:rsidP="00AB06E1">
      <w:pPr>
        <w:rPr>
          <w:b/>
        </w:rPr>
      </w:pPr>
      <w:r w:rsidRPr="009C07DE">
        <w:rPr>
          <w:b/>
        </w:rPr>
        <w:t>Item</w:t>
      </w:r>
      <w:r w:rsidR="00101B64" w:rsidRPr="009C07DE">
        <w:rPr>
          <w:b/>
        </w:rPr>
        <w:t>s</w:t>
      </w:r>
      <w:r w:rsidRPr="009C07DE">
        <w:rPr>
          <w:b/>
        </w:rPr>
        <w:t xml:space="preserve"> 7 and 8 – Subsection 17(4A) and subsection 17(5)</w:t>
      </w:r>
    </w:p>
    <w:p w14:paraId="31C4CB54" w14:textId="2FD8F49E" w:rsidR="00AB06E1" w:rsidRPr="009C07DE" w:rsidRDefault="00AB06E1" w:rsidP="00AB06E1"/>
    <w:p w14:paraId="65B92FE1" w14:textId="7535FD6E" w:rsidR="00AB06E1" w:rsidRPr="009C07DE" w:rsidRDefault="00725977" w:rsidP="00AB06E1">
      <w:r w:rsidRPr="009C07DE">
        <w:t>The</w:t>
      </w:r>
      <w:r w:rsidR="00AB06E1" w:rsidRPr="009C07DE">
        <w:t>s</w:t>
      </w:r>
      <w:r w:rsidRPr="009C07DE">
        <w:t xml:space="preserve">e items </w:t>
      </w:r>
      <w:r w:rsidR="00AB06E1" w:rsidRPr="009C07DE">
        <w:t>contains technical amendments to reflect amendments made by item 6.</w:t>
      </w:r>
    </w:p>
    <w:p w14:paraId="0867721F" w14:textId="331D458A" w:rsidR="000C5A1A" w:rsidRPr="009C07DE" w:rsidRDefault="000C5A1A" w:rsidP="00A85736"/>
    <w:p w14:paraId="4702B548" w14:textId="016A3B80" w:rsidR="00A85736" w:rsidRPr="009C07DE" w:rsidRDefault="00A85736" w:rsidP="00A85736">
      <w:pPr>
        <w:rPr>
          <w:b/>
        </w:rPr>
      </w:pPr>
      <w:r w:rsidRPr="009C07DE">
        <w:rPr>
          <w:b/>
        </w:rPr>
        <w:t>Item</w:t>
      </w:r>
      <w:r w:rsidR="00C54714" w:rsidRPr="009C07DE">
        <w:rPr>
          <w:b/>
        </w:rPr>
        <w:t>s</w:t>
      </w:r>
      <w:r w:rsidRPr="009C07DE">
        <w:rPr>
          <w:b/>
        </w:rPr>
        <w:t xml:space="preserve"> </w:t>
      </w:r>
      <w:r w:rsidR="00F5696E" w:rsidRPr="009C07DE">
        <w:rPr>
          <w:b/>
        </w:rPr>
        <w:t>9</w:t>
      </w:r>
      <w:r w:rsidRPr="009C07DE">
        <w:rPr>
          <w:b/>
        </w:rPr>
        <w:t xml:space="preserve">, </w:t>
      </w:r>
      <w:r w:rsidR="001C7548" w:rsidRPr="009C07DE">
        <w:rPr>
          <w:b/>
        </w:rPr>
        <w:t>1</w:t>
      </w:r>
      <w:r w:rsidR="00F5696E" w:rsidRPr="009C07DE">
        <w:rPr>
          <w:b/>
        </w:rPr>
        <w:t>0</w:t>
      </w:r>
      <w:r w:rsidRPr="009C07DE">
        <w:rPr>
          <w:b/>
        </w:rPr>
        <w:t xml:space="preserve"> and </w:t>
      </w:r>
      <w:r w:rsidR="00F5696E" w:rsidRPr="009C07DE">
        <w:rPr>
          <w:b/>
        </w:rPr>
        <w:t>14</w:t>
      </w:r>
      <w:r w:rsidRPr="009C07DE">
        <w:rPr>
          <w:b/>
        </w:rPr>
        <w:t xml:space="preserve"> – After subsection 17AG(2), after paragraph 17BE(t), and after paragraph 28E(</w:t>
      </w:r>
      <w:proofErr w:type="spellStart"/>
      <w:r w:rsidRPr="009C07DE">
        <w:rPr>
          <w:b/>
        </w:rPr>
        <w:t>oa</w:t>
      </w:r>
      <w:proofErr w:type="spellEnd"/>
      <w:r w:rsidRPr="009C07DE">
        <w:rPr>
          <w:b/>
        </w:rPr>
        <w:t>)</w:t>
      </w:r>
    </w:p>
    <w:p w14:paraId="4DF15C3A" w14:textId="77777777" w:rsidR="00A85736" w:rsidRPr="009C07DE" w:rsidRDefault="00A85736" w:rsidP="00A85736"/>
    <w:p w14:paraId="3F6C0B71" w14:textId="08444646" w:rsidR="00A85736" w:rsidRPr="009C07DE" w:rsidRDefault="00A85736" w:rsidP="00A85736">
      <w:r w:rsidRPr="009C07DE">
        <w:t xml:space="preserve">Items </w:t>
      </w:r>
      <w:r w:rsidR="00362709" w:rsidRPr="009C07DE">
        <w:t>9, 10</w:t>
      </w:r>
      <w:r w:rsidR="00AB06E1" w:rsidRPr="009C07DE">
        <w:t xml:space="preserve"> and 1</w:t>
      </w:r>
      <w:r w:rsidR="00362709" w:rsidRPr="009C07DE">
        <w:t>4</w:t>
      </w:r>
      <w:r w:rsidRPr="009C07DE">
        <w:t xml:space="preserve"> </w:t>
      </w:r>
      <w:r w:rsidRPr="009C07DE">
        <w:rPr>
          <w:color w:val="000000"/>
        </w:rPr>
        <w:t>insert new subsection 17AG(2A), paragraph 17BE(</w:t>
      </w:r>
      <w:proofErr w:type="spellStart"/>
      <w:r w:rsidRPr="009C07DE">
        <w:rPr>
          <w:color w:val="000000"/>
        </w:rPr>
        <w:t>taa</w:t>
      </w:r>
      <w:proofErr w:type="spellEnd"/>
      <w:r w:rsidRPr="009C07DE">
        <w:rPr>
          <w:color w:val="000000"/>
        </w:rPr>
        <w:t>) and paragraph 28E</w:t>
      </w:r>
      <w:r w:rsidR="00AB06E1" w:rsidRPr="009C07DE">
        <w:rPr>
          <w:color w:val="000000"/>
        </w:rPr>
        <w:t>(</w:t>
      </w:r>
      <w:proofErr w:type="spellStart"/>
      <w:r w:rsidR="00AB06E1" w:rsidRPr="009C07DE">
        <w:rPr>
          <w:color w:val="000000"/>
        </w:rPr>
        <w:t>ob</w:t>
      </w:r>
      <w:proofErr w:type="spellEnd"/>
      <w:r w:rsidR="00AB06E1" w:rsidRPr="009C07DE">
        <w:rPr>
          <w:color w:val="000000"/>
        </w:rPr>
        <w:t>), respectively,</w:t>
      </w:r>
      <w:r w:rsidR="00AB06E1" w:rsidRPr="009C07DE">
        <w:t xml:space="preserve"> prescribing requirements </w:t>
      </w:r>
      <w:r w:rsidRPr="009C07DE">
        <w:t xml:space="preserve">for the annual report of a Commonwealth entity and a Commonwealth company to enhance disclosure about the activities of audit committees. </w:t>
      </w:r>
    </w:p>
    <w:p w14:paraId="2EFFB6E2" w14:textId="77777777" w:rsidR="00A85736" w:rsidRPr="009C07DE" w:rsidRDefault="00A85736" w:rsidP="00A85736"/>
    <w:p w14:paraId="2317C4DC" w14:textId="77777777" w:rsidR="00A85736" w:rsidRPr="009C07DE" w:rsidRDefault="00A85736" w:rsidP="00A85736">
      <w:r w:rsidRPr="009C07DE">
        <w:t>The following information must be included in an annual report of a Commonwealth entity or Commonwealth company for the reporting period:</w:t>
      </w:r>
    </w:p>
    <w:p w14:paraId="190974B8" w14:textId="77777777" w:rsidR="00EB51C7" w:rsidRPr="009C07DE" w:rsidRDefault="00EB51C7" w:rsidP="00EB51C7">
      <w:pPr>
        <w:pStyle w:val="ListParagraph"/>
        <w:numPr>
          <w:ilvl w:val="0"/>
          <w:numId w:val="44"/>
        </w:numPr>
      </w:pPr>
      <w:r w:rsidRPr="009C07DE">
        <w:t>a direct electronic address of the charter determining the functions of the audit committee;</w:t>
      </w:r>
    </w:p>
    <w:p w14:paraId="1ACF6A79" w14:textId="2FC2F1C9" w:rsidR="00EB51C7" w:rsidRPr="009C07DE" w:rsidRDefault="00EB51C7" w:rsidP="00EB51C7">
      <w:pPr>
        <w:pStyle w:val="ListParagraph"/>
        <w:numPr>
          <w:ilvl w:val="0"/>
          <w:numId w:val="44"/>
        </w:numPr>
      </w:pPr>
      <w:r w:rsidRPr="009C07DE">
        <w:t>the name of each member of the audit committee during the period;</w:t>
      </w:r>
    </w:p>
    <w:p w14:paraId="22345D34" w14:textId="10A41E15" w:rsidR="00EB51C7" w:rsidRPr="009C07DE" w:rsidRDefault="00EB51C7" w:rsidP="00EB51C7">
      <w:pPr>
        <w:pStyle w:val="ListParagraph"/>
        <w:numPr>
          <w:ilvl w:val="0"/>
          <w:numId w:val="44"/>
        </w:numPr>
      </w:pPr>
      <w:r w:rsidRPr="009C07DE">
        <w:t>the qualifications, knowledge, skills or experience of those members;</w:t>
      </w:r>
    </w:p>
    <w:p w14:paraId="4DE8650A" w14:textId="60BEEFA1" w:rsidR="00EB51C7" w:rsidRPr="009C07DE" w:rsidRDefault="00EB51C7" w:rsidP="00EB51C7">
      <w:pPr>
        <w:pStyle w:val="ListParagraph"/>
        <w:numPr>
          <w:ilvl w:val="0"/>
          <w:numId w:val="44"/>
        </w:numPr>
      </w:pPr>
      <w:r w:rsidRPr="009C07DE">
        <w:t>information about each of those members’ attendance at meetings of the audit committee during the period;</w:t>
      </w:r>
      <w:r w:rsidR="002B464C" w:rsidRPr="009C07DE">
        <w:t xml:space="preserve"> and</w:t>
      </w:r>
    </w:p>
    <w:p w14:paraId="6778FF9B" w14:textId="7FBD8A9F" w:rsidR="00EB51C7" w:rsidRPr="009C07DE" w:rsidRDefault="00EB51C7" w:rsidP="00EB51C7">
      <w:pPr>
        <w:pStyle w:val="ListParagraph"/>
        <w:numPr>
          <w:ilvl w:val="0"/>
          <w:numId w:val="44"/>
        </w:numPr>
        <w:rPr>
          <w:lang w:val="en-AU"/>
        </w:rPr>
      </w:pPr>
      <w:r w:rsidRPr="009C07DE">
        <w:rPr>
          <w:lang w:val="en-AU"/>
        </w:rPr>
        <w:t xml:space="preserve">the </w:t>
      </w:r>
      <w:r w:rsidR="00AB06E1" w:rsidRPr="009C07DE">
        <w:rPr>
          <w:lang w:val="en-AU"/>
        </w:rPr>
        <w:t>remuneration</w:t>
      </w:r>
      <w:r w:rsidRPr="009C07DE">
        <w:t xml:space="preserve"> of each of those members.</w:t>
      </w:r>
    </w:p>
    <w:p w14:paraId="0AB49991" w14:textId="77777777" w:rsidR="00A85736" w:rsidRPr="009C07DE" w:rsidRDefault="00A85736" w:rsidP="00A85736"/>
    <w:p w14:paraId="4D7416C8" w14:textId="77777777" w:rsidR="00A85736" w:rsidRPr="009C07DE" w:rsidRDefault="00A85736" w:rsidP="00A85736">
      <w:r w:rsidRPr="009C07DE">
        <w:t xml:space="preserve">The </w:t>
      </w:r>
      <w:proofErr w:type="spellStart"/>
      <w:r w:rsidRPr="009C07DE">
        <w:t>PGPA</w:t>
      </w:r>
      <w:proofErr w:type="spellEnd"/>
      <w:r w:rsidRPr="009C07DE">
        <w:t xml:space="preserve"> Rule at section 17 provides requirements in relation to the charter, functions, qualifications and membership of the audit committee.  </w:t>
      </w:r>
    </w:p>
    <w:p w14:paraId="799ADEF4" w14:textId="77777777" w:rsidR="00A85736" w:rsidRPr="009C07DE" w:rsidRDefault="00A85736" w:rsidP="00A85736"/>
    <w:p w14:paraId="456830D9" w14:textId="77777777" w:rsidR="00A85736" w:rsidRPr="009C07DE" w:rsidRDefault="00A85736" w:rsidP="00A85736">
      <w:r w:rsidRPr="009C07DE">
        <w:t>Information about each member’s attendance at meetings of the audit committee should be expressed in comparison to the total number of audit committee meetings conducted during the reporting period.</w:t>
      </w:r>
    </w:p>
    <w:p w14:paraId="4926D890" w14:textId="77777777" w:rsidR="00A85736" w:rsidRPr="009C07DE" w:rsidRDefault="00A85736" w:rsidP="00A85736"/>
    <w:p w14:paraId="724EDD15" w14:textId="69481FEA" w:rsidR="00A85736" w:rsidRPr="009C07DE" w:rsidRDefault="00A85736" w:rsidP="00A85736">
      <w:r w:rsidRPr="009C07DE">
        <w:t xml:space="preserve">The total remuneration of each of those members is defined by section 4 of the </w:t>
      </w:r>
      <w:proofErr w:type="spellStart"/>
      <w:r w:rsidRPr="009C07DE">
        <w:t>PGPA</w:t>
      </w:r>
      <w:proofErr w:type="spellEnd"/>
      <w:r w:rsidRPr="009C07DE">
        <w:t xml:space="preserve"> Rule to mean the sum of the following (calculated on an accrual basis):</w:t>
      </w:r>
    </w:p>
    <w:p w14:paraId="5684677D" w14:textId="77777777" w:rsidR="00A85736" w:rsidRPr="009C07DE" w:rsidRDefault="00A85736" w:rsidP="00A85736">
      <w:pPr>
        <w:pStyle w:val="ListParagraph"/>
        <w:numPr>
          <w:ilvl w:val="0"/>
          <w:numId w:val="36"/>
        </w:numPr>
      </w:pPr>
      <w:r w:rsidRPr="009C07DE">
        <w:t>base salary;</w:t>
      </w:r>
    </w:p>
    <w:p w14:paraId="3082FFCD" w14:textId="77777777" w:rsidR="00A85736" w:rsidRPr="009C07DE" w:rsidRDefault="00A85736" w:rsidP="00A85736">
      <w:pPr>
        <w:pStyle w:val="ListParagraph"/>
        <w:numPr>
          <w:ilvl w:val="0"/>
          <w:numId w:val="36"/>
        </w:numPr>
      </w:pPr>
      <w:r w:rsidRPr="009C07DE">
        <w:t>bonuses;</w:t>
      </w:r>
    </w:p>
    <w:p w14:paraId="2C9C29B3" w14:textId="77777777" w:rsidR="00A85736" w:rsidRPr="009C07DE" w:rsidRDefault="00A85736" w:rsidP="00A85736">
      <w:pPr>
        <w:pStyle w:val="ListParagraph"/>
        <w:numPr>
          <w:ilvl w:val="0"/>
          <w:numId w:val="36"/>
        </w:numPr>
      </w:pPr>
      <w:r w:rsidRPr="009C07DE">
        <w:t>other benefits and allowances;</w:t>
      </w:r>
    </w:p>
    <w:p w14:paraId="7DF883C7" w14:textId="77777777" w:rsidR="00A85736" w:rsidRPr="009C07DE" w:rsidRDefault="00A85736" w:rsidP="00A85736">
      <w:pPr>
        <w:pStyle w:val="ListParagraph"/>
        <w:numPr>
          <w:ilvl w:val="0"/>
          <w:numId w:val="36"/>
        </w:numPr>
      </w:pPr>
      <w:r w:rsidRPr="009C07DE">
        <w:t>superannuation contributions (made by the employer);</w:t>
      </w:r>
    </w:p>
    <w:p w14:paraId="41E45BA2" w14:textId="77777777" w:rsidR="00A85736" w:rsidRPr="009C07DE" w:rsidRDefault="00A85736" w:rsidP="00A85736">
      <w:pPr>
        <w:pStyle w:val="ListParagraph"/>
        <w:numPr>
          <w:ilvl w:val="0"/>
          <w:numId w:val="36"/>
        </w:numPr>
      </w:pPr>
      <w:r w:rsidRPr="009C07DE">
        <w:t>long service leave;</w:t>
      </w:r>
    </w:p>
    <w:p w14:paraId="709C36E2" w14:textId="77777777" w:rsidR="00A85736" w:rsidRPr="009C07DE" w:rsidRDefault="00A85736" w:rsidP="00A85736">
      <w:pPr>
        <w:pStyle w:val="ListParagraph"/>
        <w:numPr>
          <w:ilvl w:val="0"/>
          <w:numId w:val="36"/>
        </w:numPr>
      </w:pPr>
      <w:r w:rsidRPr="009C07DE">
        <w:t>other long</w:t>
      </w:r>
      <w:r w:rsidRPr="009C07DE">
        <w:noBreakHyphen/>
        <w:t>term benefits; and</w:t>
      </w:r>
    </w:p>
    <w:p w14:paraId="33F25E8F" w14:textId="77777777" w:rsidR="00A85736" w:rsidRPr="009C07DE" w:rsidRDefault="00A85736" w:rsidP="00A85736">
      <w:pPr>
        <w:pStyle w:val="ListParagraph"/>
        <w:numPr>
          <w:ilvl w:val="0"/>
          <w:numId w:val="36"/>
        </w:numPr>
      </w:pPr>
      <w:r w:rsidRPr="009C07DE">
        <w:t>termination benefits.</w:t>
      </w:r>
    </w:p>
    <w:p w14:paraId="7422617F" w14:textId="77777777" w:rsidR="00A85736" w:rsidRPr="009C07DE" w:rsidRDefault="00A85736" w:rsidP="00A85736">
      <w:pPr>
        <w:pStyle w:val="ListParagraph"/>
      </w:pPr>
    </w:p>
    <w:p w14:paraId="593F8F08" w14:textId="79413F1C" w:rsidR="00A85736" w:rsidRPr="009C07DE" w:rsidRDefault="00A85736" w:rsidP="00A85736">
      <w:r w:rsidRPr="009C07DE">
        <w:t xml:space="preserve">The purpose of items </w:t>
      </w:r>
      <w:r w:rsidR="00362709" w:rsidRPr="009C07DE">
        <w:t>9</w:t>
      </w:r>
      <w:r w:rsidR="00157B84" w:rsidRPr="009C07DE">
        <w:t>,</w:t>
      </w:r>
      <w:r w:rsidR="00362709" w:rsidRPr="009C07DE">
        <w:t xml:space="preserve"> 10 and 14</w:t>
      </w:r>
      <w:r w:rsidRPr="009C07DE">
        <w:t xml:space="preserve"> is to align the disclosure of Commonwealth public sector audit committee member’s information in relation to names, qualifications, skills, attendance at meetings and remuneration with better practice in the corporate sector. For example, the </w:t>
      </w:r>
      <w:proofErr w:type="spellStart"/>
      <w:r w:rsidRPr="009C07DE">
        <w:t>ASX</w:t>
      </w:r>
      <w:proofErr w:type="spellEnd"/>
      <w:r w:rsidRPr="009C07DE">
        <w:t xml:space="preserve"> Corporate Governance Principles and Recommendations (</w:t>
      </w:r>
      <w:r w:rsidR="00AD674D" w:rsidRPr="009C07DE">
        <w:t>4</w:t>
      </w:r>
      <w:r w:rsidR="00AD674D" w:rsidRPr="009C07DE">
        <w:rPr>
          <w:vertAlign w:val="superscript"/>
        </w:rPr>
        <w:t>th</w:t>
      </w:r>
      <w:r w:rsidR="00AD674D" w:rsidRPr="009C07DE">
        <w:t xml:space="preserve"> </w:t>
      </w:r>
      <w:proofErr w:type="spellStart"/>
      <w:r w:rsidRPr="009C07DE">
        <w:t>edn</w:t>
      </w:r>
      <w:proofErr w:type="spellEnd"/>
      <w:r w:rsidRPr="009C07DE">
        <w:t xml:space="preserve">, recommendation 4.1) recommends that listed companies disclose much of the information included in these items. Therefore, these amendments ensure that Commonwealth practice matches recommended better practice in the private sector and the Commonwealth continues to demonstrate a high standard of governance of Commonwealth entities and companies.  </w:t>
      </w:r>
    </w:p>
    <w:p w14:paraId="765F11E0" w14:textId="77777777" w:rsidR="00A85736" w:rsidRPr="009C07DE" w:rsidRDefault="00A85736" w:rsidP="00A85736"/>
    <w:p w14:paraId="383DB4C3" w14:textId="3DE20D7E" w:rsidR="00A85736" w:rsidRPr="009C07DE" w:rsidRDefault="00A85736" w:rsidP="00A85736">
      <w:r w:rsidRPr="009C07DE">
        <w:t xml:space="preserve">In accordance item </w:t>
      </w:r>
      <w:r w:rsidR="00C05602" w:rsidRPr="009C07DE">
        <w:t>1</w:t>
      </w:r>
      <w:r w:rsidR="00362709" w:rsidRPr="009C07DE">
        <w:t>5</w:t>
      </w:r>
      <w:r w:rsidRPr="009C07DE">
        <w:t xml:space="preserve"> of the Amending Rule, these requirements apply in relation to an annual report for a reporting period that begins on or after 1 July 2019.</w:t>
      </w:r>
    </w:p>
    <w:p w14:paraId="70A0B2C3" w14:textId="61FB271B" w:rsidR="00766294" w:rsidRPr="009C07DE" w:rsidRDefault="00766294" w:rsidP="001C0C5D"/>
    <w:p w14:paraId="12184D63" w14:textId="66DD09B2" w:rsidR="009D157E" w:rsidRPr="009C07DE" w:rsidRDefault="009D157E" w:rsidP="00C350AD">
      <w:pPr>
        <w:rPr>
          <w:b/>
        </w:rPr>
      </w:pPr>
      <w:r w:rsidRPr="009C07DE">
        <w:rPr>
          <w:b/>
        </w:rPr>
        <w:t xml:space="preserve">Item </w:t>
      </w:r>
      <w:r w:rsidR="00A87CFC" w:rsidRPr="009C07DE">
        <w:rPr>
          <w:b/>
        </w:rPr>
        <w:t>1</w:t>
      </w:r>
      <w:r w:rsidR="00F5696E" w:rsidRPr="009C07DE">
        <w:rPr>
          <w:b/>
        </w:rPr>
        <w:t>1</w:t>
      </w:r>
      <w:r w:rsidRPr="009C07DE">
        <w:rPr>
          <w:b/>
        </w:rPr>
        <w:t xml:space="preserve"> –</w:t>
      </w:r>
      <w:r w:rsidR="001C7548" w:rsidRPr="009C07DE">
        <w:rPr>
          <w:b/>
        </w:rPr>
        <w:t xml:space="preserve"> </w:t>
      </w:r>
      <w:r w:rsidR="007D3962" w:rsidRPr="009C07DE">
        <w:rPr>
          <w:b/>
        </w:rPr>
        <w:t>After Division 4 of Part 2-4</w:t>
      </w:r>
    </w:p>
    <w:p w14:paraId="05F8BDB8" w14:textId="5F3ABD74" w:rsidR="00537150" w:rsidRPr="009C07DE" w:rsidRDefault="00537150" w:rsidP="007B6E27"/>
    <w:p w14:paraId="6F56780F" w14:textId="13FD8A5F" w:rsidR="0074182C" w:rsidRPr="009C07DE" w:rsidRDefault="008D7618" w:rsidP="002038B4">
      <w:r w:rsidRPr="009C07DE">
        <w:t>Item 1</w:t>
      </w:r>
      <w:r w:rsidR="00362709" w:rsidRPr="009C07DE">
        <w:t>1</w:t>
      </w:r>
      <w:r w:rsidR="00537150" w:rsidRPr="009C07DE">
        <w:t xml:space="preserve"> inserts a</w:t>
      </w:r>
      <w:r w:rsidR="007D3962" w:rsidRPr="009C07DE">
        <w:t xml:space="preserve"> new</w:t>
      </w:r>
      <w:r w:rsidR="00537150" w:rsidRPr="009C07DE">
        <w:t xml:space="preserve"> </w:t>
      </w:r>
      <w:r w:rsidR="007D3962" w:rsidRPr="009C07DE">
        <w:rPr>
          <w:i/>
        </w:rPr>
        <w:t xml:space="preserve">Division 4A – Indemnities </w:t>
      </w:r>
      <w:r w:rsidR="00C05602" w:rsidRPr="009C07DE">
        <w:rPr>
          <w:i/>
        </w:rPr>
        <w:t xml:space="preserve">and exemptions </w:t>
      </w:r>
      <w:r w:rsidR="007D3962" w:rsidRPr="009C07DE">
        <w:rPr>
          <w:i/>
        </w:rPr>
        <w:t>by corporate Commonwealth entities</w:t>
      </w:r>
      <w:r w:rsidR="007D3962" w:rsidRPr="009C07DE">
        <w:t xml:space="preserve"> after Division 4 of Part 2-4. </w:t>
      </w:r>
      <w:r w:rsidR="0074182C" w:rsidRPr="009C07DE">
        <w:t>Division 4</w:t>
      </w:r>
      <w:r w:rsidR="00ED1FF3" w:rsidRPr="009C07DE">
        <w:t>A</w:t>
      </w:r>
      <w:r w:rsidR="0074182C" w:rsidRPr="009C07DE">
        <w:t xml:space="preserve"> contains a new section, s</w:t>
      </w:r>
      <w:r w:rsidR="00D337B9" w:rsidRPr="009C07DE">
        <w:t>ection 22B</w:t>
      </w:r>
      <w:r w:rsidR="0074182C" w:rsidRPr="009C07DE">
        <w:t xml:space="preserve">, which prescribes requirements about the granting of indemnities by corporate Commonwealth entities. Section 22B is </w:t>
      </w:r>
      <w:r w:rsidR="00FC56DB" w:rsidRPr="009C07DE">
        <w:t>made for the purpose</w:t>
      </w:r>
      <w:r w:rsidR="009515B6" w:rsidRPr="009C07DE">
        <w:t xml:space="preserve">s of Section 61 of the </w:t>
      </w:r>
      <w:proofErr w:type="spellStart"/>
      <w:r w:rsidR="009515B6" w:rsidRPr="009C07DE">
        <w:t>PGPA</w:t>
      </w:r>
      <w:proofErr w:type="spellEnd"/>
      <w:r w:rsidR="009515B6" w:rsidRPr="009C07DE">
        <w:t xml:space="preserve"> Act.</w:t>
      </w:r>
      <w:r w:rsidR="0074182C" w:rsidRPr="009C07DE">
        <w:t xml:space="preserve"> </w:t>
      </w:r>
    </w:p>
    <w:p w14:paraId="0F07DC83" w14:textId="77777777" w:rsidR="0074182C" w:rsidRPr="009C07DE" w:rsidRDefault="0074182C" w:rsidP="002038B4"/>
    <w:p w14:paraId="7B87AC99" w14:textId="14D2FD82" w:rsidR="003B7109" w:rsidRPr="009C07DE" w:rsidRDefault="00DA30F3" w:rsidP="00DA30F3">
      <w:pPr>
        <w:rPr>
          <w:color w:val="000000"/>
        </w:rPr>
      </w:pPr>
      <w:r w:rsidRPr="009C07DE">
        <w:t xml:space="preserve">Section 22B is not a source of power for corporate Commonwealth entities to grant indemnities. Generally, corporate Commonwealth entities have the power to grant indemnities by virtue of their body corporate status and/or their enabling legislation. </w:t>
      </w:r>
      <w:r w:rsidR="00C05602" w:rsidRPr="009C07DE">
        <w:t xml:space="preserve">However, section 22B does regulate the granting of indemnities by corporate Commonwealth entities in certain circumstances, by providing </w:t>
      </w:r>
      <w:r w:rsidR="00C05602" w:rsidRPr="009C07DE">
        <w:rPr>
          <w:color w:val="000000"/>
        </w:rPr>
        <w:t>that in certain circumstances corporate Commonwealth entities, or their subsidiaries, are not allowed to grant indemnities to a person if liabilities are incurred as an official of the entity. Under subsection 22B(1) the circumstances are</w:t>
      </w:r>
      <w:r w:rsidRPr="009C07DE">
        <w:rPr>
          <w:color w:val="000000"/>
        </w:rPr>
        <w:t xml:space="preserve">: </w:t>
      </w:r>
    </w:p>
    <w:p w14:paraId="7D541933" w14:textId="77777777" w:rsidR="003B7109" w:rsidRPr="009C07DE" w:rsidRDefault="003B7109">
      <w:pPr>
        <w:spacing w:after="200" w:line="276" w:lineRule="auto"/>
        <w:rPr>
          <w:color w:val="000000"/>
        </w:rPr>
      </w:pPr>
      <w:r w:rsidRPr="009C07DE">
        <w:rPr>
          <w:color w:val="000000"/>
        </w:rPr>
        <w:br w:type="page"/>
      </w:r>
    </w:p>
    <w:p w14:paraId="1EF570FB" w14:textId="77777777" w:rsidR="00DA30F3" w:rsidRPr="009C07DE" w:rsidRDefault="00DA30F3" w:rsidP="00DA30F3">
      <w:pPr>
        <w:pStyle w:val="ListParagraph"/>
        <w:widowControl w:val="0"/>
        <w:numPr>
          <w:ilvl w:val="0"/>
          <w:numId w:val="38"/>
        </w:numPr>
        <w:spacing w:after="160" w:line="259" w:lineRule="auto"/>
        <w:rPr>
          <w:color w:val="000000"/>
        </w:rPr>
      </w:pPr>
      <w:r w:rsidRPr="009C07DE">
        <w:rPr>
          <w:color w:val="000000"/>
        </w:rPr>
        <w:t>liabilities for pecuniary penalties for the contravention of/offence against a Commonwealth/State/Territory law;</w:t>
      </w:r>
    </w:p>
    <w:p w14:paraId="48FC095A" w14:textId="77777777" w:rsidR="00DA30F3" w:rsidRPr="009C07DE" w:rsidRDefault="00DA30F3" w:rsidP="00DA30F3">
      <w:pPr>
        <w:pStyle w:val="ListParagraph"/>
        <w:widowControl w:val="0"/>
        <w:numPr>
          <w:ilvl w:val="0"/>
          <w:numId w:val="38"/>
        </w:numPr>
        <w:spacing w:after="160" w:line="259" w:lineRule="auto"/>
        <w:rPr>
          <w:color w:val="000000"/>
        </w:rPr>
      </w:pPr>
      <w:r w:rsidRPr="009C07DE">
        <w:rPr>
          <w:color w:val="000000"/>
        </w:rPr>
        <w:t>liability that arises out of conduct not in good faith and owed to someone other than the entity/a subsidiary of the entity; and</w:t>
      </w:r>
    </w:p>
    <w:p w14:paraId="07FF9611" w14:textId="4A050864" w:rsidR="00DA30F3" w:rsidRPr="009C07DE" w:rsidRDefault="00DA30F3" w:rsidP="00DA30F3">
      <w:pPr>
        <w:pStyle w:val="ListParagraph"/>
        <w:widowControl w:val="0"/>
        <w:numPr>
          <w:ilvl w:val="0"/>
          <w:numId w:val="38"/>
        </w:numPr>
        <w:spacing w:after="160" w:line="259" w:lineRule="auto"/>
        <w:rPr>
          <w:color w:val="000000"/>
        </w:rPr>
      </w:pPr>
      <w:r w:rsidRPr="009C07DE">
        <w:rPr>
          <w:color w:val="000000"/>
        </w:rPr>
        <w:t>a liability to the entity/subsidiary</w:t>
      </w:r>
      <w:r w:rsidR="00872630" w:rsidRPr="009C07DE">
        <w:rPr>
          <w:color w:val="000000"/>
        </w:rPr>
        <w:t>.</w:t>
      </w:r>
    </w:p>
    <w:p w14:paraId="732CD1E1" w14:textId="77777777" w:rsidR="00DA30F3" w:rsidRPr="009C07DE" w:rsidRDefault="00DA30F3" w:rsidP="00DA30F3">
      <w:pPr>
        <w:widowControl w:val="0"/>
      </w:pPr>
      <w:r w:rsidRPr="009C07DE">
        <w:rPr>
          <w:color w:val="000000"/>
        </w:rPr>
        <w:t>Subsection 22B(2) prescribes the circumstances where indemnities for legal costs are not allowed where the costs are incurred in defending an action for a liability incurred as an official of the entity:</w:t>
      </w:r>
    </w:p>
    <w:p w14:paraId="197C9E6D" w14:textId="77777777" w:rsidR="00DA30F3" w:rsidRPr="009C07DE" w:rsidRDefault="00DA30F3" w:rsidP="00DA30F3">
      <w:pPr>
        <w:pStyle w:val="ListParagraph"/>
        <w:widowControl w:val="0"/>
        <w:numPr>
          <w:ilvl w:val="0"/>
          <w:numId w:val="38"/>
        </w:numPr>
        <w:spacing w:after="160" w:line="259" w:lineRule="auto"/>
      </w:pPr>
      <w:r w:rsidRPr="009C07DE">
        <w:t>defending in a proceeding in which the person is found to have a liability for which they could not be indemnified under subsection 22B(1); and</w:t>
      </w:r>
    </w:p>
    <w:p w14:paraId="5CD66E79" w14:textId="77777777" w:rsidR="00DA30F3" w:rsidRPr="009C07DE" w:rsidRDefault="00DA30F3" w:rsidP="00DA30F3">
      <w:pPr>
        <w:pStyle w:val="ListParagraph"/>
        <w:widowControl w:val="0"/>
        <w:numPr>
          <w:ilvl w:val="0"/>
          <w:numId w:val="38"/>
        </w:numPr>
        <w:spacing w:after="160" w:line="259" w:lineRule="auto"/>
      </w:pPr>
      <w:r w:rsidRPr="009C07DE">
        <w:t>the costs are incurred in defending criminal proceedings where the outcome is guilty.</w:t>
      </w:r>
    </w:p>
    <w:p w14:paraId="2958FE9C" w14:textId="75C090E7" w:rsidR="00DA30F3" w:rsidRPr="009C07DE" w:rsidRDefault="00DA30F3" w:rsidP="00DA30F3">
      <w:pPr>
        <w:widowControl w:val="0"/>
        <w:rPr>
          <w:color w:val="000000"/>
        </w:rPr>
      </w:pPr>
      <w:r w:rsidRPr="009C07DE">
        <w:rPr>
          <w:color w:val="000000"/>
        </w:rPr>
        <w:t>Indemnit</w:t>
      </w:r>
      <w:r w:rsidR="00680E69" w:rsidRPr="009C07DE">
        <w:rPr>
          <w:color w:val="000000"/>
        </w:rPr>
        <w:t xml:space="preserve">ies in these circumstances are </w:t>
      </w:r>
      <w:r w:rsidRPr="009C07DE">
        <w:rPr>
          <w:color w:val="000000"/>
        </w:rPr>
        <w:t>prohibited whether it occurs through an agreement or by making a payment and whether directly or through an interposed entity.</w:t>
      </w:r>
    </w:p>
    <w:p w14:paraId="70BC1495" w14:textId="77777777" w:rsidR="00A80771" w:rsidRPr="009C07DE" w:rsidRDefault="00A80771" w:rsidP="00DA30F3">
      <w:pPr>
        <w:widowControl w:val="0"/>
        <w:rPr>
          <w:color w:val="000000"/>
        </w:rPr>
      </w:pPr>
    </w:p>
    <w:p w14:paraId="20EF3A74" w14:textId="15D1CFBA" w:rsidR="00622BBE" w:rsidRPr="009C07DE" w:rsidRDefault="000F1F13" w:rsidP="00622BBE">
      <w:r w:rsidRPr="009C07DE">
        <w:t>Section 22B</w:t>
      </w:r>
      <w:r w:rsidR="00BF6F7A" w:rsidRPr="009C07DE">
        <w:t xml:space="preserve"> </w:t>
      </w:r>
      <w:r w:rsidR="00B3206F" w:rsidRPr="009C07DE">
        <w:t xml:space="preserve">also </w:t>
      </w:r>
      <w:r w:rsidR="008266F2" w:rsidRPr="009C07DE">
        <w:t>prescribes</w:t>
      </w:r>
      <w:r w:rsidR="00BF6F7A" w:rsidRPr="009C07DE">
        <w:t xml:space="preserve"> that</w:t>
      </w:r>
      <w:r w:rsidR="008266F2" w:rsidRPr="009C07DE">
        <w:t xml:space="preserve"> a corporate Commonwealth entity</w:t>
      </w:r>
      <w:r w:rsidR="00C05602" w:rsidRPr="009C07DE">
        <w:t>,</w:t>
      </w:r>
      <w:r w:rsidR="00BF6F7A" w:rsidRPr="009C07DE">
        <w:t xml:space="preserve"> </w:t>
      </w:r>
      <w:r w:rsidR="00C259A5" w:rsidRPr="009C07DE">
        <w:t>or a subsidiary of a corporate Commonwealth entity, must not exempt a person from a liability to the entity incurred as an official of the entity.</w:t>
      </w:r>
      <w:r w:rsidR="00622BBE" w:rsidRPr="009C07DE">
        <w:t xml:space="preserve"> </w:t>
      </w:r>
      <w:r w:rsidR="000A5D83" w:rsidRPr="009C07DE">
        <w:rPr>
          <w:color w:val="000000"/>
        </w:rPr>
        <w:t>An exemption of this type will be prohibited whether it occurs directly or through an interposed entity.</w:t>
      </w:r>
    </w:p>
    <w:p w14:paraId="4C871B40" w14:textId="3917C577" w:rsidR="002038B4" w:rsidRPr="009C07DE" w:rsidRDefault="002038B4" w:rsidP="00622BBE"/>
    <w:p w14:paraId="086E563C" w14:textId="2366C315" w:rsidR="00A80771" w:rsidRPr="009C07DE" w:rsidRDefault="00A80771" w:rsidP="00A80771">
      <w:pPr>
        <w:widowControl w:val="0"/>
      </w:pPr>
      <w:r w:rsidRPr="009C07DE">
        <w:t>A corporate Commonwealth entity must ensure that the risk management arrangements are appropriate to the complexity and, potential costs of the indemnity are in place before entering, after entering and for the du</w:t>
      </w:r>
      <w:r w:rsidR="001B7687" w:rsidRPr="009C07DE">
        <w:t>ration of the arrangement.</w:t>
      </w:r>
    </w:p>
    <w:p w14:paraId="0BEEFBA4" w14:textId="77777777" w:rsidR="00A80771" w:rsidRPr="009C07DE" w:rsidRDefault="00A80771" w:rsidP="00A80771">
      <w:pPr>
        <w:rPr>
          <w:bCs/>
        </w:rPr>
      </w:pPr>
    </w:p>
    <w:p w14:paraId="5C9BF530" w14:textId="235D00E9" w:rsidR="0074182C" w:rsidRPr="009C07DE" w:rsidRDefault="00A80771" w:rsidP="00622BBE">
      <w:r w:rsidRPr="009C07DE">
        <w:rPr>
          <w:bCs/>
        </w:rPr>
        <w:t xml:space="preserve">The new provision mirrors the substance of the former section 27M of the </w:t>
      </w:r>
      <w:r w:rsidRPr="009C07DE">
        <w:rPr>
          <w:bCs/>
          <w:i/>
        </w:rPr>
        <w:t xml:space="preserve">Commonwealth Authorities and Companies Act 1997 </w:t>
      </w:r>
      <w:r w:rsidRPr="009C07DE">
        <w:rPr>
          <w:bCs/>
        </w:rPr>
        <w:t xml:space="preserve">as well as </w:t>
      </w:r>
      <w:bookmarkStart w:id="1" w:name="_Toc8395028"/>
      <w:r w:rsidRPr="009C07DE">
        <w:rPr>
          <w:bCs/>
        </w:rPr>
        <w:t xml:space="preserve">section 199A </w:t>
      </w:r>
      <w:bookmarkEnd w:id="1"/>
      <w:r w:rsidRPr="009C07DE">
        <w:rPr>
          <w:bCs/>
        </w:rPr>
        <w:t xml:space="preserve">of the </w:t>
      </w:r>
      <w:r w:rsidRPr="009C07DE">
        <w:rPr>
          <w:bCs/>
          <w:i/>
        </w:rPr>
        <w:t xml:space="preserve">Corporations Act 2001. </w:t>
      </w:r>
      <w:r w:rsidRPr="009C07DE">
        <w:rPr>
          <w:bCs/>
        </w:rPr>
        <w:t xml:space="preserve">However, it has been updated and modified to reflect the </w:t>
      </w:r>
      <w:proofErr w:type="spellStart"/>
      <w:r w:rsidRPr="009C07DE">
        <w:rPr>
          <w:bCs/>
        </w:rPr>
        <w:t>PGPA</w:t>
      </w:r>
      <w:proofErr w:type="spellEnd"/>
      <w:r w:rsidRPr="009C07DE">
        <w:rPr>
          <w:bCs/>
        </w:rPr>
        <w:t xml:space="preserve"> Act framework. The lack of a provision of this sort in the </w:t>
      </w:r>
      <w:proofErr w:type="spellStart"/>
      <w:r w:rsidRPr="009C07DE">
        <w:rPr>
          <w:bCs/>
        </w:rPr>
        <w:t>PGPA</w:t>
      </w:r>
      <w:proofErr w:type="spellEnd"/>
      <w:r w:rsidRPr="009C07DE">
        <w:rPr>
          <w:bCs/>
        </w:rPr>
        <w:t xml:space="preserve"> Act framework resulted in the arrangements for accountable authorities of corporate Commonwealth entities in respect of indemnification being out of step with the requirements under the Corporations Act. The inclusion of this section also better reflects expectations around the regulation of the proper use of public resources</w:t>
      </w:r>
      <w:r w:rsidRPr="009C07DE">
        <w:t xml:space="preserve"> by entities. </w:t>
      </w:r>
    </w:p>
    <w:p w14:paraId="41F8B679" w14:textId="77777777" w:rsidR="00A80771" w:rsidRPr="009C07DE" w:rsidRDefault="00A80771" w:rsidP="00622BBE">
      <w:pPr>
        <w:rPr>
          <w:bCs/>
        </w:rPr>
      </w:pPr>
    </w:p>
    <w:p w14:paraId="4722161F" w14:textId="28AF15E4" w:rsidR="002038B4" w:rsidRPr="009C07DE" w:rsidRDefault="002038B4" w:rsidP="00622BBE">
      <w:r w:rsidRPr="009C07DE">
        <w:t xml:space="preserve">In accordance </w:t>
      </w:r>
      <w:r w:rsidR="00A80771" w:rsidRPr="009C07DE">
        <w:t>with</w:t>
      </w:r>
      <w:r w:rsidRPr="009C07DE">
        <w:t xml:space="preserve"> item </w:t>
      </w:r>
      <w:r w:rsidR="00C05602" w:rsidRPr="009C07DE">
        <w:t>1</w:t>
      </w:r>
      <w:r w:rsidR="00362709" w:rsidRPr="009C07DE">
        <w:t>5</w:t>
      </w:r>
      <w:r w:rsidRPr="009C07DE">
        <w:t xml:space="preserve"> of the Amending Rule, this section applies in relation to a liability incurred on or after the commencement of that instrument.</w:t>
      </w:r>
    </w:p>
    <w:p w14:paraId="6E55384E" w14:textId="6A3B1BC0" w:rsidR="00537150" w:rsidRPr="009C07DE" w:rsidRDefault="00537150" w:rsidP="007B6E27"/>
    <w:p w14:paraId="6E520C41" w14:textId="3981899A" w:rsidR="00214C47" w:rsidRPr="009C07DE" w:rsidRDefault="00214C47" w:rsidP="00C350AD">
      <w:pPr>
        <w:rPr>
          <w:b/>
        </w:rPr>
      </w:pPr>
      <w:r w:rsidRPr="009C07DE">
        <w:rPr>
          <w:b/>
        </w:rPr>
        <w:t xml:space="preserve">Item </w:t>
      </w:r>
      <w:r w:rsidR="001C7548" w:rsidRPr="009C07DE">
        <w:rPr>
          <w:b/>
        </w:rPr>
        <w:t>1</w:t>
      </w:r>
      <w:r w:rsidR="00AD3EC9" w:rsidRPr="009C07DE">
        <w:rPr>
          <w:b/>
        </w:rPr>
        <w:t>2</w:t>
      </w:r>
      <w:r w:rsidR="001C7548" w:rsidRPr="009C07DE">
        <w:rPr>
          <w:b/>
        </w:rPr>
        <w:t xml:space="preserve"> – Section 27A</w:t>
      </w:r>
    </w:p>
    <w:p w14:paraId="241C750C" w14:textId="2F7637EB" w:rsidR="00214C47" w:rsidRPr="009C07DE" w:rsidRDefault="00214C47" w:rsidP="00C350AD">
      <w:pPr>
        <w:rPr>
          <w:b/>
        </w:rPr>
      </w:pPr>
    </w:p>
    <w:p w14:paraId="654BEBFD" w14:textId="306CC39A" w:rsidR="00214C47" w:rsidRPr="009C07DE" w:rsidRDefault="00214C47" w:rsidP="00C350AD">
      <w:r w:rsidRPr="009C07DE">
        <w:t xml:space="preserve">Item </w:t>
      </w:r>
      <w:r w:rsidR="00C05602" w:rsidRPr="009C07DE">
        <w:t>1</w:t>
      </w:r>
      <w:r w:rsidR="00AB0B2F" w:rsidRPr="009C07DE">
        <w:t>2</w:t>
      </w:r>
      <w:r w:rsidRPr="009C07DE">
        <w:t xml:space="preserve"> repeals section 27A and substitutes a new section.</w:t>
      </w:r>
    </w:p>
    <w:p w14:paraId="018C4C32" w14:textId="3F3B5A89" w:rsidR="00214C47" w:rsidRPr="009C07DE" w:rsidRDefault="00214C47" w:rsidP="00C350AD"/>
    <w:p w14:paraId="507ECF9F" w14:textId="3D67D365" w:rsidR="00214C47" w:rsidRPr="009C07DE" w:rsidRDefault="006A1591" w:rsidP="00C350AD">
      <w:r w:rsidRPr="009C07DE">
        <w:t>Subsection 27A(1)</w:t>
      </w:r>
      <w:r w:rsidR="00214C47" w:rsidRPr="009C07DE">
        <w:t xml:space="preserve"> provides that </w:t>
      </w:r>
      <w:r w:rsidR="003322F3" w:rsidRPr="009C07DE">
        <w:t xml:space="preserve">the requirements in </w:t>
      </w:r>
      <w:r w:rsidR="00214C47" w:rsidRPr="009C07DE">
        <w:t>section</w:t>
      </w:r>
      <w:r w:rsidR="00680E69" w:rsidRPr="009C07DE">
        <w:t xml:space="preserve"> 16E </w:t>
      </w:r>
      <w:r w:rsidR="003322F3" w:rsidRPr="009C07DE">
        <w:t xml:space="preserve">(other than item 5 of the table in subsection 16E(2)) </w:t>
      </w:r>
      <w:r w:rsidR="00214C47" w:rsidRPr="009C07DE">
        <w:t>appl</w:t>
      </w:r>
      <w:r w:rsidR="00680E69" w:rsidRPr="009C07DE">
        <w:t>y</w:t>
      </w:r>
      <w:r w:rsidR="00214C47" w:rsidRPr="009C07DE">
        <w:t xml:space="preserve"> to a Commonwealth compa</w:t>
      </w:r>
      <w:r w:rsidR="00680E69" w:rsidRPr="009C07DE">
        <w:t>ny in the same way as they apply</w:t>
      </w:r>
      <w:r w:rsidR="00214C47" w:rsidRPr="009C07DE">
        <w:t xml:space="preserve"> to a Commonwealth entity.</w:t>
      </w:r>
      <w:r w:rsidR="00CD6FB8" w:rsidRPr="009C07DE">
        <w:t xml:space="preserve"> This</w:t>
      </w:r>
      <w:r w:rsidR="00680E69" w:rsidRPr="009C07DE">
        <w:t xml:space="preserve"> </w:t>
      </w:r>
      <w:r w:rsidR="00BC5FDA" w:rsidRPr="009C07DE">
        <w:t>ensur</w:t>
      </w:r>
      <w:r w:rsidR="003322F3" w:rsidRPr="009C07DE">
        <w:t>es</w:t>
      </w:r>
      <w:r w:rsidR="00BC5FDA" w:rsidRPr="009C07DE">
        <w:t xml:space="preserve"> that the requirements for the corporate plans of Commonwealth companies are </w:t>
      </w:r>
      <w:r w:rsidR="003322F3" w:rsidRPr="009C07DE">
        <w:t xml:space="preserve">generally </w:t>
      </w:r>
      <w:r w:rsidR="00BC5FDA" w:rsidRPr="009C07DE">
        <w:t>consistent with the requirements for the corporate plans of Commonwealth entities</w:t>
      </w:r>
      <w:r w:rsidR="00CD6FB8" w:rsidRPr="009C07DE">
        <w:t>.</w:t>
      </w:r>
    </w:p>
    <w:p w14:paraId="3FCBD434" w14:textId="77777777" w:rsidR="00214C47" w:rsidRPr="009C07DE" w:rsidRDefault="00214C47" w:rsidP="00C350AD"/>
    <w:p w14:paraId="1D03D707" w14:textId="53259C1D" w:rsidR="00CD6FB8" w:rsidRPr="009C07DE" w:rsidRDefault="006A1591" w:rsidP="00C350AD">
      <w:r w:rsidRPr="009C07DE">
        <w:t xml:space="preserve">Subsection 27A(2) provides that a reference in section 16E to the accountable authority of the entity is taken to be a reference to the </w:t>
      </w:r>
      <w:r w:rsidR="003322F3" w:rsidRPr="009C07DE">
        <w:t>directors</w:t>
      </w:r>
      <w:r w:rsidRPr="009C07DE">
        <w:t xml:space="preserve"> of the Commonwealth company. This subsection is intended to ensure that the person, or group of persons, in a Commonwealth company with equivalent responsibility as the accountable authority for a Commonwealth entity, has the same powers in relation to the preparation of the company’s corporate plan.</w:t>
      </w:r>
    </w:p>
    <w:p w14:paraId="10FFBDCD" w14:textId="77777777" w:rsidR="00BC5FDA" w:rsidRPr="009C07DE" w:rsidRDefault="00BC5FDA" w:rsidP="00C350AD"/>
    <w:p w14:paraId="1FA1FA1C" w14:textId="77777777" w:rsidR="003322F3" w:rsidRPr="009C07DE" w:rsidRDefault="003322F3" w:rsidP="003322F3">
      <w:r w:rsidRPr="009C07DE">
        <w:t xml:space="preserve">Subsection 27A(3) provides that the corporate plan of a Commonwealth company must include, for each reporting period covered by the plan, a summary of how the company will achieve its purposes, and how the company’s performance will be measured and assessed, including any performance measures and any targets that will be used in the measurement and assessment. </w:t>
      </w:r>
    </w:p>
    <w:p w14:paraId="24954FD6" w14:textId="6239050B" w:rsidR="00513FAD" w:rsidRPr="009C07DE" w:rsidRDefault="00513FAD" w:rsidP="00C350AD"/>
    <w:p w14:paraId="70E75E87" w14:textId="67AD5656" w:rsidR="00392EBF" w:rsidRPr="009C07DE" w:rsidRDefault="00392EBF" w:rsidP="00392EBF">
      <w:r w:rsidRPr="009C07DE">
        <w:t>The amendment is required as a consequence of the amendments made to section 16E and 27A</w:t>
      </w:r>
      <w:r w:rsidR="0020657A" w:rsidRPr="009C07DE">
        <w:t xml:space="preserve">. </w:t>
      </w:r>
    </w:p>
    <w:p w14:paraId="0C50CAF7" w14:textId="38F4FD20" w:rsidR="00392EBF" w:rsidRPr="009C07DE" w:rsidRDefault="00392EBF" w:rsidP="00392EBF"/>
    <w:p w14:paraId="1FCA6E3E" w14:textId="31F63777" w:rsidR="00214C47" w:rsidRPr="009C07DE" w:rsidRDefault="00C94DA4" w:rsidP="00C350AD">
      <w:pPr>
        <w:rPr>
          <w:b/>
        </w:rPr>
      </w:pPr>
      <w:r w:rsidRPr="009C07DE">
        <w:rPr>
          <w:b/>
        </w:rPr>
        <w:t>Item 1</w:t>
      </w:r>
      <w:r w:rsidR="00AD3EC9" w:rsidRPr="009C07DE">
        <w:rPr>
          <w:b/>
        </w:rPr>
        <w:t>3</w:t>
      </w:r>
      <w:r w:rsidRPr="009C07DE">
        <w:rPr>
          <w:b/>
        </w:rPr>
        <w:t xml:space="preserve"> – After paragraph 28E(a)</w:t>
      </w:r>
    </w:p>
    <w:p w14:paraId="14932462" w14:textId="0C423953" w:rsidR="00CD6FB8" w:rsidRPr="009C07DE" w:rsidRDefault="00CD6FB8" w:rsidP="00C350AD">
      <w:pPr>
        <w:rPr>
          <w:b/>
        </w:rPr>
      </w:pPr>
    </w:p>
    <w:p w14:paraId="35129AE9" w14:textId="010E8165" w:rsidR="007F66BE" w:rsidRPr="009C07DE" w:rsidRDefault="00CD6FB8" w:rsidP="00CD6FB8">
      <w:r w:rsidRPr="009C07DE">
        <w:t xml:space="preserve">Item </w:t>
      </w:r>
      <w:r w:rsidR="00C94DA4" w:rsidRPr="009C07DE">
        <w:t>1</w:t>
      </w:r>
      <w:r w:rsidR="00106F22" w:rsidRPr="009C07DE">
        <w:t>3</w:t>
      </w:r>
      <w:r w:rsidRPr="009C07DE">
        <w:t xml:space="preserve"> inserts a new paragraph </w:t>
      </w:r>
      <w:r w:rsidR="00BC5FDA" w:rsidRPr="009C07DE">
        <w:t xml:space="preserve">(aa) </w:t>
      </w:r>
      <w:r w:rsidR="009E2357" w:rsidRPr="009C07DE">
        <w:t xml:space="preserve">into section 28E. Paragraph 28E(aa) </w:t>
      </w:r>
      <w:r w:rsidRPr="009C07DE">
        <w:t>requires Commonwealth</w:t>
      </w:r>
      <w:r w:rsidR="00BC5FDA" w:rsidRPr="009C07DE">
        <w:t xml:space="preserve"> companies, in their annual report, to include the results of a measurement and assessment of the company’s performance against the performance measures, and any targets for those performance measures, included in the company’s corporate plan for the period.</w:t>
      </w:r>
      <w:r w:rsidR="009E1787" w:rsidRPr="009C07DE">
        <w:t xml:space="preserve"> </w:t>
      </w:r>
      <w:r w:rsidR="003322F3" w:rsidRPr="009C07DE">
        <w:t>Subsection 27A(3) sets out the requirement for the corporate plans of Commonwealth companies to include any performance measures and any targets against which the company will measure and assess its performance.</w:t>
      </w:r>
    </w:p>
    <w:p w14:paraId="4CC59C5E" w14:textId="534C3F47" w:rsidR="00B95DCC" w:rsidRPr="009C07DE" w:rsidRDefault="00B95DCC" w:rsidP="00CD6FB8"/>
    <w:p w14:paraId="09211AC7" w14:textId="77777777" w:rsidR="0020657A" w:rsidRPr="009C07DE" w:rsidRDefault="0020657A" w:rsidP="0020657A">
      <w:r w:rsidRPr="009C07DE">
        <w:t xml:space="preserve">The amendment is required as a consequence of the amendments made to section 16E and 27A. The amendment is intended to clarify the existing requirement for Commonwealth companies to report, in their annual report, the actual performance of companies in the annual report against the planned performance information outlined in their corporate plans. </w:t>
      </w:r>
    </w:p>
    <w:p w14:paraId="121735CD" w14:textId="760E2754" w:rsidR="00214C47" w:rsidRPr="009C07DE" w:rsidRDefault="00214C47" w:rsidP="00C350AD">
      <w:pPr>
        <w:rPr>
          <w:b/>
        </w:rPr>
      </w:pPr>
    </w:p>
    <w:p w14:paraId="7CA6D685" w14:textId="0E0B7551" w:rsidR="00537150" w:rsidRPr="009C07DE" w:rsidRDefault="00537150" w:rsidP="00C350AD">
      <w:pPr>
        <w:rPr>
          <w:b/>
        </w:rPr>
      </w:pPr>
      <w:r w:rsidRPr="009C07DE">
        <w:rPr>
          <w:b/>
        </w:rPr>
        <w:t xml:space="preserve">Item </w:t>
      </w:r>
      <w:r w:rsidR="00A87CFC" w:rsidRPr="009C07DE">
        <w:rPr>
          <w:b/>
        </w:rPr>
        <w:t>1</w:t>
      </w:r>
      <w:r w:rsidR="00AD3EC9" w:rsidRPr="009C07DE">
        <w:rPr>
          <w:b/>
        </w:rPr>
        <w:t>5</w:t>
      </w:r>
      <w:r w:rsidRPr="009C07DE">
        <w:rPr>
          <w:b/>
        </w:rPr>
        <w:t xml:space="preserve"> – </w:t>
      </w:r>
      <w:r w:rsidR="009922DC" w:rsidRPr="009C07DE">
        <w:rPr>
          <w:b/>
        </w:rPr>
        <w:t>In the appropriate position in Chapter 5</w:t>
      </w:r>
    </w:p>
    <w:p w14:paraId="17F32F7A" w14:textId="1A14ABDA" w:rsidR="00732255" w:rsidRPr="009C07DE" w:rsidRDefault="00732255" w:rsidP="00C350AD">
      <w:pPr>
        <w:rPr>
          <w:b/>
        </w:rPr>
      </w:pPr>
    </w:p>
    <w:p w14:paraId="629B0A88" w14:textId="0ACDF92D" w:rsidR="009C27C9" w:rsidRPr="009C07DE" w:rsidRDefault="00D60B34" w:rsidP="009C27C9">
      <w:r w:rsidRPr="009C07DE">
        <w:t xml:space="preserve">Item </w:t>
      </w:r>
      <w:r w:rsidR="009922DC" w:rsidRPr="009C07DE">
        <w:t>1</w:t>
      </w:r>
      <w:r w:rsidR="00106F22" w:rsidRPr="009C07DE">
        <w:t>5</w:t>
      </w:r>
      <w:r w:rsidRPr="009C07DE">
        <w:t xml:space="preserve"> inserts and creates a new </w:t>
      </w:r>
      <w:r w:rsidR="009922DC" w:rsidRPr="009C07DE">
        <w:rPr>
          <w:i/>
        </w:rPr>
        <w:t>Part 6 – Amendments made by the Public Governance, Performance and Accountability Amendments (</w:t>
      </w:r>
      <w:r w:rsidR="00D036CF" w:rsidRPr="009C07DE">
        <w:rPr>
          <w:i/>
        </w:rPr>
        <w:t>2020</w:t>
      </w:r>
      <w:r w:rsidR="009922DC" w:rsidRPr="009C07DE">
        <w:rPr>
          <w:i/>
        </w:rPr>
        <w:t xml:space="preserve"> Measures No. </w:t>
      </w:r>
      <w:r w:rsidR="00106F22" w:rsidRPr="009C07DE">
        <w:rPr>
          <w:i/>
        </w:rPr>
        <w:t>1</w:t>
      </w:r>
      <w:r w:rsidR="009922DC" w:rsidRPr="009C07DE">
        <w:rPr>
          <w:i/>
        </w:rPr>
        <w:t xml:space="preserve">) Rules </w:t>
      </w:r>
      <w:r w:rsidR="00D036CF" w:rsidRPr="009C07DE">
        <w:rPr>
          <w:i/>
        </w:rPr>
        <w:t>2020</w:t>
      </w:r>
      <w:r w:rsidR="009922DC" w:rsidRPr="009C07DE">
        <w:t xml:space="preserve"> </w:t>
      </w:r>
      <w:r w:rsidRPr="009C07DE">
        <w:t xml:space="preserve">to reflect the amendments to the </w:t>
      </w:r>
      <w:proofErr w:type="spellStart"/>
      <w:r w:rsidRPr="009C07DE">
        <w:t>PGPA</w:t>
      </w:r>
      <w:proofErr w:type="spellEnd"/>
      <w:r w:rsidRPr="009C07DE">
        <w:t xml:space="preserve"> Rule, ensure the </w:t>
      </w:r>
      <w:proofErr w:type="spellStart"/>
      <w:r w:rsidRPr="009C07DE">
        <w:t>PGPA</w:t>
      </w:r>
      <w:proofErr w:type="spellEnd"/>
      <w:r w:rsidRPr="009C07DE">
        <w:t xml:space="preserve"> Rule sequencing aligns with the </w:t>
      </w:r>
      <w:proofErr w:type="spellStart"/>
      <w:r w:rsidRPr="009C07DE">
        <w:t>PGPA</w:t>
      </w:r>
      <w:proofErr w:type="spellEnd"/>
      <w:r w:rsidRPr="009C07DE">
        <w:t xml:space="preserve"> Act and address the transitional arrangements required for the implementation of the amendments to the </w:t>
      </w:r>
      <w:proofErr w:type="spellStart"/>
      <w:r w:rsidRPr="009C07DE">
        <w:t>PGPA</w:t>
      </w:r>
      <w:proofErr w:type="spellEnd"/>
      <w:r w:rsidRPr="009C07DE">
        <w:t xml:space="preserve"> rule.</w:t>
      </w:r>
    </w:p>
    <w:p w14:paraId="5F1C63C2" w14:textId="77777777" w:rsidR="009C27C9" w:rsidRPr="009C07DE" w:rsidRDefault="009C27C9" w:rsidP="009C27C9"/>
    <w:p w14:paraId="0203B06A" w14:textId="20BC7DBF" w:rsidR="00FA23FB" w:rsidRPr="009C07DE" w:rsidRDefault="00FA23FB" w:rsidP="00FA23FB">
      <w:r w:rsidRPr="009C07DE">
        <w:rPr>
          <w:rFonts w:eastAsia="Calibri"/>
          <w:lang w:eastAsia="en-US"/>
        </w:rPr>
        <w:t>Subsection 36(1) provides that the insertion of subsection 16DA(2), made by the Amending Rule applie</w:t>
      </w:r>
      <w:r w:rsidR="006C6928" w:rsidRPr="009C07DE">
        <w:rPr>
          <w:rFonts w:eastAsia="Calibri"/>
          <w:lang w:eastAsia="en-US"/>
        </w:rPr>
        <w:t>s</w:t>
      </w:r>
      <w:r w:rsidRPr="009C07DE">
        <w:rPr>
          <w:rFonts w:eastAsia="Calibri"/>
          <w:lang w:eastAsia="en-US"/>
        </w:rPr>
        <w:t xml:space="preserve"> in relation to a person </w:t>
      </w:r>
      <w:r w:rsidRPr="009C07DE">
        <w:t xml:space="preserve">who ceases to be the accountable authority, or a member of the accountable authority, of a corporate Commonwealth entity on or after the commencement of </w:t>
      </w:r>
      <w:r w:rsidR="00DC5D95" w:rsidRPr="009C07DE">
        <w:t>the Amending Rule</w:t>
      </w:r>
      <w:r w:rsidRPr="009C07DE">
        <w:t xml:space="preserve">. </w:t>
      </w:r>
    </w:p>
    <w:p w14:paraId="619D2AB7" w14:textId="77777777" w:rsidR="00AD2EC5" w:rsidRPr="009C07DE" w:rsidRDefault="00AD2EC5" w:rsidP="009C27C9">
      <w:pPr>
        <w:rPr>
          <w:rFonts w:eastAsia="Calibri"/>
          <w:lang w:eastAsia="en-US"/>
        </w:rPr>
      </w:pPr>
    </w:p>
    <w:p w14:paraId="6F7ED75F" w14:textId="1AD0FAC7" w:rsidR="009C27C9" w:rsidRPr="009C07DE" w:rsidRDefault="009C27C9" w:rsidP="009C27C9">
      <w:r w:rsidRPr="009C07DE">
        <w:rPr>
          <w:rFonts w:eastAsia="Calibri"/>
          <w:lang w:eastAsia="en-US"/>
        </w:rPr>
        <w:t xml:space="preserve">Subsection 36(2) provides that the amendments of section 16E, and the insertion of 16EA, made by the </w:t>
      </w:r>
      <w:r w:rsidR="00FA23FB" w:rsidRPr="009C07DE">
        <w:rPr>
          <w:rFonts w:eastAsia="Calibri"/>
          <w:iCs/>
          <w:lang w:eastAsia="en-US"/>
        </w:rPr>
        <w:t>Amending Rule</w:t>
      </w:r>
      <w:r w:rsidRPr="009C07DE">
        <w:rPr>
          <w:rFonts w:eastAsia="Calibri"/>
          <w:lang w:eastAsia="en-US"/>
        </w:rPr>
        <w:t xml:space="preserve"> appl</w:t>
      </w:r>
      <w:r w:rsidR="00FA23FB" w:rsidRPr="009C07DE">
        <w:rPr>
          <w:rFonts w:eastAsia="Calibri"/>
          <w:lang w:eastAsia="en-US"/>
        </w:rPr>
        <w:t>ies</w:t>
      </w:r>
      <w:r w:rsidRPr="009C07DE">
        <w:rPr>
          <w:rFonts w:eastAsia="Calibri"/>
          <w:lang w:eastAsia="en-US"/>
        </w:rPr>
        <w:t xml:space="preserve"> in relation to a corporate plan that is prepared under paragraph 35(1)(a) of the Act for a reporting period that begins on or after 1 July 2020. For entities with reporting periods that align with financial years, this means that the amendments will apply from their corporate plan prepared for the 1 July 2020 to 30 June 2021 reporting period. For entities with reporting periods aligned to calendar years, this means that the amendments will apply from their corporate plan prepared for the 1 January 2021 to 31</w:t>
      </w:r>
      <w:r w:rsidR="001B7687" w:rsidRPr="009C07DE">
        <w:rPr>
          <w:rFonts w:eastAsia="Calibri"/>
          <w:lang w:eastAsia="en-US"/>
        </w:rPr>
        <w:t> </w:t>
      </w:r>
      <w:r w:rsidRPr="009C07DE">
        <w:rPr>
          <w:rFonts w:eastAsia="Calibri"/>
          <w:lang w:eastAsia="en-US"/>
        </w:rPr>
        <w:t>December 2021 reporting period.</w:t>
      </w:r>
    </w:p>
    <w:p w14:paraId="4C79740A" w14:textId="328F343A" w:rsidR="009C27C9" w:rsidRPr="009C07DE" w:rsidRDefault="009C27C9" w:rsidP="00D60B34"/>
    <w:p w14:paraId="3AD36146" w14:textId="1458B2B9" w:rsidR="00AD2EC5" w:rsidRPr="009C07DE" w:rsidRDefault="00FA76A8" w:rsidP="00D60B34">
      <w:pPr>
        <w:rPr>
          <w:rFonts w:eastAsia="Calibri"/>
          <w:lang w:eastAsia="en-US"/>
        </w:rPr>
      </w:pPr>
      <w:r w:rsidRPr="009C07DE">
        <w:rPr>
          <w:rFonts w:eastAsia="Calibri"/>
          <w:lang w:eastAsia="en-US"/>
        </w:rPr>
        <w:t>Subsection 36(3) provides that the amendments to section 17 made by the Amending Rule applied in relation to an audit committee for a Commonwealth entity on or after 1 July 2021</w:t>
      </w:r>
      <w:r w:rsidR="00A5601C" w:rsidRPr="009C07DE">
        <w:rPr>
          <w:rFonts w:eastAsia="Calibri"/>
          <w:lang w:eastAsia="en-US"/>
        </w:rPr>
        <w:t>.</w:t>
      </w:r>
    </w:p>
    <w:p w14:paraId="4B164DAB" w14:textId="5DA2F762" w:rsidR="00FA76A8" w:rsidRPr="009C07DE" w:rsidRDefault="00FA76A8" w:rsidP="00D60B34">
      <w:r w:rsidRPr="009C07DE">
        <w:rPr>
          <w:rFonts w:eastAsia="Calibri"/>
          <w:lang w:eastAsia="en-US"/>
        </w:rPr>
        <w:t xml:space="preserve">Subsection 36(4) provides that the amendments to sections 17AG, 17BE and 28E and Schedules 2, 2A and 2B, made by the Amending Rule applies in relation to an annual report for a reporting period that begins on or after 1 July 2019. For entities with reporting periods that align with financial years, this means that the amendments will apply from their </w:t>
      </w:r>
      <w:r w:rsidR="00CD6747" w:rsidRPr="009C07DE">
        <w:rPr>
          <w:rFonts w:eastAsia="Calibri"/>
          <w:lang w:eastAsia="en-US"/>
        </w:rPr>
        <w:t>annual report</w:t>
      </w:r>
      <w:r w:rsidRPr="009C07DE">
        <w:rPr>
          <w:rFonts w:eastAsia="Calibri"/>
          <w:lang w:eastAsia="en-US"/>
        </w:rPr>
        <w:t xml:space="preserve"> prepared for the 1 July 2019 to 30 June 2020 reporting period. For entities with reporting periods aligned to calendar years, this means that the amendments will apply from their </w:t>
      </w:r>
      <w:r w:rsidR="00CD6747" w:rsidRPr="009C07DE">
        <w:rPr>
          <w:rFonts w:eastAsia="Calibri"/>
          <w:lang w:eastAsia="en-US"/>
        </w:rPr>
        <w:t>annual report</w:t>
      </w:r>
      <w:r w:rsidRPr="009C07DE">
        <w:rPr>
          <w:rFonts w:eastAsia="Calibri"/>
          <w:lang w:eastAsia="en-US"/>
        </w:rPr>
        <w:t xml:space="preserve"> prepared for the 1 January 2020 to 31 December 2020 reporting period.</w:t>
      </w:r>
    </w:p>
    <w:p w14:paraId="59A95BE0" w14:textId="7C135A9E" w:rsidR="00FA76A8" w:rsidRPr="009C07DE" w:rsidRDefault="00FA76A8" w:rsidP="00D60B34">
      <w:pPr>
        <w:rPr>
          <w:rFonts w:eastAsia="Calibri"/>
          <w:lang w:eastAsia="en-US"/>
        </w:rPr>
      </w:pPr>
    </w:p>
    <w:p w14:paraId="0D885796" w14:textId="7ED03391" w:rsidR="00FA76A8" w:rsidRPr="009C07DE" w:rsidRDefault="00FA76A8" w:rsidP="00D60B34">
      <w:pPr>
        <w:rPr>
          <w:rFonts w:eastAsia="Calibri"/>
          <w:lang w:eastAsia="en-US"/>
        </w:rPr>
      </w:pPr>
      <w:r w:rsidRPr="009C07DE">
        <w:rPr>
          <w:rFonts w:eastAsia="Calibri"/>
          <w:lang w:eastAsia="en-US"/>
        </w:rPr>
        <w:t xml:space="preserve">Subsection 36(5) provides that the insertion of section 22B, made by the Amending Rule applied in relation to a liability incurred on or after the commencement of </w:t>
      </w:r>
      <w:r w:rsidR="00DC5D95" w:rsidRPr="009C07DE">
        <w:rPr>
          <w:rFonts w:eastAsia="Calibri"/>
          <w:lang w:eastAsia="en-US"/>
        </w:rPr>
        <w:t>the Amending Rule</w:t>
      </w:r>
      <w:r w:rsidRPr="009C07DE">
        <w:rPr>
          <w:rFonts w:eastAsia="Calibri"/>
          <w:lang w:eastAsia="en-US"/>
        </w:rPr>
        <w:t xml:space="preserve">. </w:t>
      </w:r>
    </w:p>
    <w:p w14:paraId="145733B8" w14:textId="68706F51" w:rsidR="00214C47" w:rsidRPr="009C07DE" w:rsidRDefault="00214C47" w:rsidP="00D60B34">
      <w:pPr>
        <w:rPr>
          <w:rFonts w:eastAsia="Calibri"/>
          <w:lang w:eastAsia="en-US"/>
        </w:rPr>
      </w:pPr>
    </w:p>
    <w:p w14:paraId="7E154C19" w14:textId="017C157F" w:rsidR="00214C47" w:rsidRPr="009C07DE" w:rsidRDefault="00214C47" w:rsidP="00214C47">
      <w:pPr>
        <w:rPr>
          <w:rFonts w:eastAsia="Calibri"/>
          <w:lang w:eastAsia="en-US"/>
        </w:rPr>
      </w:pPr>
      <w:r w:rsidRPr="009C07DE">
        <w:rPr>
          <w:rFonts w:eastAsia="Calibri"/>
          <w:lang w:eastAsia="en-US"/>
        </w:rPr>
        <w:t>Subsection 36(6) provides that the repeal and substitution of section 27A</w:t>
      </w:r>
      <w:r w:rsidR="007F66BE" w:rsidRPr="009C07DE">
        <w:rPr>
          <w:rFonts w:eastAsia="Calibri"/>
          <w:lang w:eastAsia="en-US"/>
        </w:rPr>
        <w:t xml:space="preserve"> </w:t>
      </w:r>
      <w:r w:rsidR="004D20B8" w:rsidRPr="009C07DE">
        <w:rPr>
          <w:rFonts w:eastAsia="Calibri"/>
          <w:lang w:eastAsia="en-US"/>
        </w:rPr>
        <w:t>applies in relation to a corporate plan that is prepared for</w:t>
      </w:r>
      <w:r w:rsidRPr="009C07DE">
        <w:rPr>
          <w:rFonts w:eastAsia="Calibri"/>
          <w:lang w:eastAsia="en-US"/>
        </w:rPr>
        <w:t xml:space="preserve"> a reporting period that begins on or after 1 July 2020.</w:t>
      </w:r>
      <w:r w:rsidR="007F66BE" w:rsidRPr="009C07DE">
        <w:rPr>
          <w:rFonts w:eastAsia="Calibri"/>
          <w:lang w:eastAsia="en-US"/>
        </w:rPr>
        <w:t xml:space="preserve"> </w:t>
      </w:r>
      <w:r w:rsidRPr="009C07DE">
        <w:rPr>
          <w:rFonts w:eastAsia="Calibri"/>
          <w:lang w:eastAsia="en-US"/>
        </w:rPr>
        <w:t xml:space="preserve">For Commonwealth companies with reporting periods that align with financial years, this means that the </w:t>
      </w:r>
      <w:r w:rsidR="00825030" w:rsidRPr="009C07DE">
        <w:rPr>
          <w:rFonts w:eastAsia="Calibri"/>
          <w:lang w:eastAsia="en-US"/>
        </w:rPr>
        <w:t>amendments will commence for</w:t>
      </w:r>
      <w:r w:rsidRPr="009C07DE">
        <w:rPr>
          <w:rFonts w:eastAsia="Calibri"/>
          <w:lang w:eastAsia="en-US"/>
        </w:rPr>
        <w:t xml:space="preserve"> </w:t>
      </w:r>
      <w:r w:rsidR="004D20B8" w:rsidRPr="009C07DE">
        <w:rPr>
          <w:rFonts w:eastAsia="Calibri"/>
          <w:lang w:eastAsia="en-US"/>
        </w:rPr>
        <w:t>corporate plan</w:t>
      </w:r>
      <w:r w:rsidR="00825030" w:rsidRPr="009C07DE">
        <w:rPr>
          <w:rFonts w:eastAsia="Calibri"/>
          <w:lang w:eastAsia="en-US"/>
        </w:rPr>
        <w:t>s</w:t>
      </w:r>
      <w:r w:rsidRPr="009C07DE">
        <w:rPr>
          <w:rFonts w:eastAsia="Calibri"/>
          <w:lang w:eastAsia="en-US"/>
        </w:rPr>
        <w:t xml:space="preserve"> pre</w:t>
      </w:r>
      <w:r w:rsidR="00825030" w:rsidRPr="009C07DE">
        <w:rPr>
          <w:rFonts w:eastAsia="Calibri"/>
          <w:lang w:eastAsia="en-US"/>
        </w:rPr>
        <w:t>pared for the 1 July 2020 to 30 June </w:t>
      </w:r>
      <w:r w:rsidRPr="009C07DE">
        <w:rPr>
          <w:rFonts w:eastAsia="Calibri"/>
          <w:lang w:eastAsia="en-US"/>
        </w:rPr>
        <w:t xml:space="preserve">2021 reporting period. </w:t>
      </w:r>
    </w:p>
    <w:p w14:paraId="3B240B67" w14:textId="308D7A35" w:rsidR="002D36A1" w:rsidRPr="009C07DE" w:rsidRDefault="002D36A1" w:rsidP="00214C47">
      <w:pPr>
        <w:rPr>
          <w:rFonts w:eastAsia="Calibri"/>
          <w:lang w:eastAsia="en-US"/>
        </w:rPr>
      </w:pPr>
    </w:p>
    <w:p w14:paraId="3E960E68" w14:textId="54277F5A" w:rsidR="002D36A1" w:rsidRPr="009C07DE" w:rsidRDefault="002D36A1" w:rsidP="00214C47">
      <w:pPr>
        <w:rPr>
          <w:rFonts w:eastAsia="Calibri"/>
          <w:lang w:eastAsia="en-US"/>
        </w:rPr>
      </w:pPr>
      <w:r w:rsidRPr="009C07DE">
        <w:rPr>
          <w:rFonts w:eastAsia="Calibri"/>
          <w:lang w:eastAsia="en-US"/>
        </w:rPr>
        <w:t>Subsection 36(7) provides that the insertion of paragraph 28E(aa) and the corresponding amendment of Schedule 2B, made by the Amending Rule applies in relation to an annual report that is prepared under paragraph 97(1)(a) of the Act for a reporting period that begins on or after 1 July 2020. For Commonwealth companies with reporting periods that align with financial years, this mean</w:t>
      </w:r>
      <w:r w:rsidR="00825030" w:rsidRPr="009C07DE">
        <w:rPr>
          <w:rFonts w:eastAsia="Calibri"/>
          <w:lang w:eastAsia="en-US"/>
        </w:rPr>
        <w:t>s that the amendments will commence for</w:t>
      </w:r>
      <w:r w:rsidRPr="009C07DE">
        <w:rPr>
          <w:rFonts w:eastAsia="Calibri"/>
          <w:lang w:eastAsia="en-US"/>
        </w:rPr>
        <w:t xml:space="preserve"> annual report</w:t>
      </w:r>
      <w:r w:rsidR="00825030" w:rsidRPr="009C07DE">
        <w:rPr>
          <w:rFonts w:eastAsia="Calibri"/>
          <w:lang w:eastAsia="en-US"/>
        </w:rPr>
        <w:t>s</w:t>
      </w:r>
      <w:r w:rsidRPr="009C07DE">
        <w:rPr>
          <w:rFonts w:eastAsia="Calibri"/>
          <w:lang w:eastAsia="en-US"/>
        </w:rPr>
        <w:t xml:space="preserve"> prepared for the 1 July 2020 to</w:t>
      </w:r>
      <w:r w:rsidR="00825030" w:rsidRPr="009C07DE">
        <w:rPr>
          <w:rFonts w:eastAsia="Calibri"/>
          <w:lang w:eastAsia="en-US"/>
        </w:rPr>
        <w:t xml:space="preserve"> 30 June 2021 reporting period.</w:t>
      </w:r>
    </w:p>
    <w:p w14:paraId="0918726E" w14:textId="7FD5F7EA" w:rsidR="00AD2EC5" w:rsidRPr="009C07DE" w:rsidRDefault="00AD2EC5" w:rsidP="00D60B34"/>
    <w:p w14:paraId="205765FE" w14:textId="2FF31CC1" w:rsidR="00806072" w:rsidRPr="009C07DE" w:rsidRDefault="00806072" w:rsidP="00806072">
      <w:pPr>
        <w:rPr>
          <w:b/>
        </w:rPr>
      </w:pPr>
      <w:r w:rsidRPr="009C07DE">
        <w:rPr>
          <w:b/>
        </w:rPr>
        <w:t>Item 1</w:t>
      </w:r>
      <w:r w:rsidR="00AD3EC9" w:rsidRPr="009C07DE">
        <w:rPr>
          <w:b/>
        </w:rPr>
        <w:t>6</w:t>
      </w:r>
      <w:r w:rsidRPr="009C07DE">
        <w:rPr>
          <w:b/>
        </w:rPr>
        <w:t xml:space="preserve"> – Schedule 2</w:t>
      </w:r>
    </w:p>
    <w:p w14:paraId="53F093D8" w14:textId="77777777" w:rsidR="00806072" w:rsidRPr="009C07DE" w:rsidRDefault="00806072" w:rsidP="00806072"/>
    <w:p w14:paraId="4F64A5C0" w14:textId="783FE5BB" w:rsidR="00806072" w:rsidRPr="009C07DE" w:rsidRDefault="00806072" w:rsidP="00806072">
      <w:pPr>
        <w:rPr>
          <w:color w:val="000000"/>
        </w:rPr>
      </w:pPr>
      <w:r w:rsidRPr="009C07DE">
        <w:t>Item 1</w:t>
      </w:r>
      <w:r w:rsidR="00106F22" w:rsidRPr="009C07DE">
        <w:t>6</w:t>
      </w:r>
      <w:r w:rsidRPr="009C07DE">
        <w:t xml:space="preserve"> inserts a new provision in Schedule 2 that provides </w:t>
      </w:r>
      <w:r w:rsidRPr="009C07DE">
        <w:rPr>
          <w:color w:val="000000"/>
        </w:rPr>
        <w:t xml:space="preserve">the mandatory content requirements for non-corporate Commonwealth entities to report information about audit committees. </w:t>
      </w:r>
    </w:p>
    <w:p w14:paraId="6337A03F" w14:textId="77777777" w:rsidR="00806072" w:rsidRPr="009C07DE" w:rsidRDefault="00806072" w:rsidP="00806072">
      <w:pPr>
        <w:rPr>
          <w:color w:val="000000"/>
        </w:rPr>
      </w:pPr>
    </w:p>
    <w:p w14:paraId="680B877F" w14:textId="5EBC2361" w:rsidR="00806072" w:rsidRPr="009C07DE" w:rsidRDefault="00806072" w:rsidP="00806072">
      <w:pPr>
        <w:rPr>
          <w:b/>
        </w:rPr>
      </w:pPr>
      <w:r w:rsidRPr="009C07DE">
        <w:rPr>
          <w:b/>
        </w:rPr>
        <w:t>Item 1</w:t>
      </w:r>
      <w:r w:rsidR="00AD3EC9" w:rsidRPr="009C07DE">
        <w:rPr>
          <w:b/>
        </w:rPr>
        <w:t>7</w:t>
      </w:r>
      <w:r w:rsidRPr="009C07DE">
        <w:rPr>
          <w:b/>
        </w:rPr>
        <w:t xml:space="preserve"> – Schedule 2A</w:t>
      </w:r>
    </w:p>
    <w:p w14:paraId="1D5A0195" w14:textId="77777777" w:rsidR="00806072" w:rsidRPr="009C07DE" w:rsidRDefault="00806072" w:rsidP="00806072"/>
    <w:p w14:paraId="20FB80EE" w14:textId="6A17DFDD" w:rsidR="00806072" w:rsidRPr="009C07DE" w:rsidRDefault="00806072" w:rsidP="00806072">
      <w:pPr>
        <w:rPr>
          <w:color w:val="000000"/>
        </w:rPr>
      </w:pPr>
      <w:r w:rsidRPr="009C07DE">
        <w:t>Item 1</w:t>
      </w:r>
      <w:r w:rsidR="00106F22" w:rsidRPr="009C07DE">
        <w:t>7</w:t>
      </w:r>
      <w:r w:rsidRPr="009C07DE">
        <w:t xml:space="preserve"> inserts a new provision in Schedule 2A that provides </w:t>
      </w:r>
      <w:r w:rsidRPr="009C07DE">
        <w:rPr>
          <w:color w:val="000000"/>
        </w:rPr>
        <w:t xml:space="preserve">the mandatory content requirements for corporate Commonwealth entities to report information about audit committees. </w:t>
      </w:r>
    </w:p>
    <w:p w14:paraId="6B8DEF18" w14:textId="77777777" w:rsidR="00806072" w:rsidRPr="009C07DE" w:rsidRDefault="00806072" w:rsidP="00806072">
      <w:pPr>
        <w:rPr>
          <w:b/>
          <w:color w:val="000000"/>
        </w:rPr>
      </w:pPr>
    </w:p>
    <w:p w14:paraId="3F1A543E" w14:textId="52522B3D" w:rsidR="00806072" w:rsidRPr="009C07DE" w:rsidRDefault="00806072" w:rsidP="00806072">
      <w:pPr>
        <w:rPr>
          <w:b/>
          <w:color w:val="000000"/>
        </w:rPr>
      </w:pPr>
      <w:r w:rsidRPr="009C07DE">
        <w:rPr>
          <w:b/>
          <w:color w:val="000000"/>
        </w:rPr>
        <w:t xml:space="preserve">Item </w:t>
      </w:r>
      <w:r w:rsidR="00AD3EC9" w:rsidRPr="009C07DE">
        <w:rPr>
          <w:b/>
          <w:color w:val="000000"/>
        </w:rPr>
        <w:t xml:space="preserve">18 </w:t>
      </w:r>
      <w:r w:rsidRPr="009C07DE">
        <w:rPr>
          <w:b/>
          <w:color w:val="000000"/>
        </w:rPr>
        <w:t>– Schedule 2B</w:t>
      </w:r>
    </w:p>
    <w:p w14:paraId="701EB758" w14:textId="77777777" w:rsidR="00806072" w:rsidRPr="009C07DE" w:rsidRDefault="00806072" w:rsidP="00806072"/>
    <w:p w14:paraId="656CAF97" w14:textId="5D56B3E0" w:rsidR="00806072" w:rsidRPr="009C07DE" w:rsidRDefault="00806072" w:rsidP="00806072">
      <w:r w:rsidRPr="009C07DE">
        <w:t xml:space="preserve">Item </w:t>
      </w:r>
      <w:r w:rsidR="00106F22" w:rsidRPr="009C07DE">
        <w:t>18</w:t>
      </w:r>
      <w:r w:rsidRPr="009C07DE">
        <w:t xml:space="preserve"> inserts a new provision in Schedule 2B that provides the mandatory content requirements for Commonwealth companies to include the results of a measurement and assessment of the company’s performance against the performance measures, and any targets for those performance measures, included in the company’s corporate plan for the period.</w:t>
      </w:r>
    </w:p>
    <w:p w14:paraId="1599212E" w14:textId="77777777" w:rsidR="00806072" w:rsidRPr="009C07DE" w:rsidRDefault="00806072" w:rsidP="00806072"/>
    <w:p w14:paraId="2E9A95B6" w14:textId="48C8C61C" w:rsidR="00806072" w:rsidRPr="009C07DE" w:rsidRDefault="00806072" w:rsidP="00806072">
      <w:pPr>
        <w:rPr>
          <w:b/>
        </w:rPr>
      </w:pPr>
      <w:r w:rsidRPr="009C07DE">
        <w:rPr>
          <w:b/>
        </w:rPr>
        <w:t xml:space="preserve">Item </w:t>
      </w:r>
      <w:r w:rsidR="00AD3EC9" w:rsidRPr="009C07DE">
        <w:rPr>
          <w:b/>
        </w:rPr>
        <w:t>19</w:t>
      </w:r>
      <w:r w:rsidRPr="009C07DE">
        <w:rPr>
          <w:b/>
        </w:rPr>
        <w:t xml:space="preserve"> – Schedule 2B</w:t>
      </w:r>
    </w:p>
    <w:p w14:paraId="7B6E4333" w14:textId="77777777" w:rsidR="00806072" w:rsidRPr="009C07DE" w:rsidRDefault="00806072" w:rsidP="00806072"/>
    <w:p w14:paraId="45335487" w14:textId="50B92144" w:rsidR="00425FB6" w:rsidRPr="009C07DE" w:rsidRDefault="00806072" w:rsidP="00806072">
      <w:pPr>
        <w:rPr>
          <w:color w:val="000000"/>
        </w:rPr>
      </w:pPr>
      <w:r w:rsidRPr="009C07DE">
        <w:t>Item 1</w:t>
      </w:r>
      <w:r w:rsidR="00106F22" w:rsidRPr="009C07DE">
        <w:t>9</w:t>
      </w:r>
      <w:r w:rsidRPr="009C07DE">
        <w:t xml:space="preserve"> inserts a new provision in Schedule 2B that provides </w:t>
      </w:r>
      <w:r w:rsidRPr="009C07DE">
        <w:rPr>
          <w:color w:val="000000"/>
        </w:rPr>
        <w:t xml:space="preserve">the mandatory content requirements for Commonwealth companies to report information about audit committees. </w:t>
      </w:r>
    </w:p>
    <w:p w14:paraId="51BFFED8" w14:textId="33584C81" w:rsidR="00AC7417" w:rsidRPr="009C07DE" w:rsidRDefault="00AC7417" w:rsidP="00806072">
      <w:pPr>
        <w:rPr>
          <w:color w:val="000000"/>
        </w:rPr>
      </w:pPr>
    </w:p>
    <w:p w14:paraId="5D7BBCC4" w14:textId="6EAF341A" w:rsidR="00AC7417" w:rsidRPr="009C07DE" w:rsidRDefault="00AC7417" w:rsidP="00806072">
      <w:pPr>
        <w:rPr>
          <w:color w:val="000000"/>
        </w:rPr>
      </w:pPr>
    </w:p>
    <w:p w14:paraId="526EB292" w14:textId="77777777" w:rsidR="001B6585" w:rsidRPr="009C07DE" w:rsidRDefault="001B6585" w:rsidP="00806072">
      <w:pPr>
        <w:rPr>
          <w:color w:val="000000"/>
        </w:rPr>
      </w:pPr>
    </w:p>
    <w:p w14:paraId="1F48D2C5" w14:textId="77777777" w:rsidR="001F3558" w:rsidRPr="009C07DE" w:rsidRDefault="001F3558" w:rsidP="001F3558">
      <w:pPr>
        <w:pStyle w:val="NoSpacing"/>
        <w:jc w:val="right"/>
        <w:rPr>
          <w:b/>
          <w:u w:val="single"/>
        </w:rPr>
      </w:pPr>
      <w:r w:rsidRPr="009C07DE">
        <w:rPr>
          <w:b/>
          <w:u w:val="single"/>
        </w:rPr>
        <w:t>Attachment B</w:t>
      </w:r>
    </w:p>
    <w:p w14:paraId="47CA8B0F" w14:textId="77777777" w:rsidR="001F3558" w:rsidRPr="009C07DE" w:rsidRDefault="001F3558" w:rsidP="001F3558">
      <w:pPr>
        <w:pStyle w:val="NoSpacing"/>
      </w:pPr>
    </w:p>
    <w:p w14:paraId="4045A0D5" w14:textId="77777777" w:rsidR="001F3558" w:rsidRPr="009C07DE" w:rsidRDefault="001F3558" w:rsidP="001F3558">
      <w:pPr>
        <w:pStyle w:val="NoSpacing"/>
        <w:jc w:val="center"/>
        <w:rPr>
          <w:b/>
        </w:rPr>
      </w:pPr>
      <w:r w:rsidRPr="009C07DE">
        <w:rPr>
          <w:b/>
        </w:rPr>
        <w:t>Statement of Compatibility with Human Rights</w:t>
      </w:r>
    </w:p>
    <w:p w14:paraId="4A37D1D0" w14:textId="77777777" w:rsidR="001F3558" w:rsidRPr="009C07DE" w:rsidRDefault="001F3558" w:rsidP="001F3558">
      <w:pPr>
        <w:pStyle w:val="NoSpacing"/>
      </w:pPr>
    </w:p>
    <w:p w14:paraId="5A78E882" w14:textId="77777777" w:rsidR="001F3558" w:rsidRPr="009C07DE" w:rsidRDefault="001F3558" w:rsidP="001F3558">
      <w:pPr>
        <w:pStyle w:val="NoSpacing"/>
        <w:rPr>
          <w:i/>
        </w:rPr>
      </w:pPr>
      <w:r w:rsidRPr="009C07DE">
        <w:t xml:space="preserve">Prepared in accordance with Part 3 of the </w:t>
      </w:r>
      <w:r w:rsidRPr="009C07DE">
        <w:rPr>
          <w:i/>
        </w:rPr>
        <w:t>Human Rights (Parliamentary Scrutiny) Act 2011</w:t>
      </w:r>
    </w:p>
    <w:p w14:paraId="6B7CBC29" w14:textId="77777777" w:rsidR="001F3558" w:rsidRPr="009C07DE" w:rsidRDefault="001F3558" w:rsidP="001F3558">
      <w:pPr>
        <w:pStyle w:val="NoSpacing"/>
        <w:rPr>
          <w:i/>
        </w:rPr>
      </w:pPr>
    </w:p>
    <w:p w14:paraId="2B4B512E" w14:textId="60E9E8D2" w:rsidR="001F3558" w:rsidRPr="009C07DE" w:rsidRDefault="001F3558" w:rsidP="001F3558">
      <w:pPr>
        <w:pStyle w:val="NoSpacing"/>
        <w:rPr>
          <w:b/>
          <w:i/>
        </w:rPr>
      </w:pPr>
      <w:r w:rsidRPr="009C07DE">
        <w:rPr>
          <w:b/>
          <w:i/>
        </w:rPr>
        <w:t>Public Governance, Performance and Accountability Amendment (</w:t>
      </w:r>
      <w:r w:rsidR="00D036CF" w:rsidRPr="009C07DE">
        <w:rPr>
          <w:b/>
          <w:i/>
        </w:rPr>
        <w:t>2020</w:t>
      </w:r>
      <w:r w:rsidR="005630F2" w:rsidRPr="009C07DE">
        <w:rPr>
          <w:b/>
          <w:i/>
        </w:rPr>
        <w:t xml:space="preserve"> Measures No.</w:t>
      </w:r>
      <w:r w:rsidR="00106F22" w:rsidRPr="009C07DE">
        <w:rPr>
          <w:b/>
          <w:i/>
        </w:rPr>
        <w:t xml:space="preserve"> 1</w:t>
      </w:r>
      <w:r w:rsidRPr="009C07DE">
        <w:rPr>
          <w:b/>
          <w:i/>
        </w:rPr>
        <w:t xml:space="preserve">) Rules </w:t>
      </w:r>
      <w:r w:rsidR="00D036CF" w:rsidRPr="009C07DE">
        <w:rPr>
          <w:b/>
          <w:i/>
        </w:rPr>
        <w:t>2020</w:t>
      </w:r>
    </w:p>
    <w:p w14:paraId="037614ED" w14:textId="77777777" w:rsidR="001F3558" w:rsidRPr="009C07DE" w:rsidRDefault="001F3558" w:rsidP="001F3558">
      <w:pPr>
        <w:rPr>
          <w:b/>
        </w:rPr>
      </w:pPr>
    </w:p>
    <w:p w14:paraId="640D78F3" w14:textId="600DC5F8" w:rsidR="001F3558" w:rsidRPr="009C07DE" w:rsidRDefault="001F3558" w:rsidP="001F3558">
      <w:pPr>
        <w:rPr>
          <w:i/>
        </w:rPr>
      </w:pPr>
      <w:r w:rsidRPr="009C07DE">
        <w:t xml:space="preserve">The </w:t>
      </w:r>
      <w:r w:rsidRPr="009C07DE">
        <w:rPr>
          <w:i/>
        </w:rPr>
        <w:t>Public Governance, Performance and Accountability Amendment (</w:t>
      </w:r>
      <w:r w:rsidR="00D036CF" w:rsidRPr="009C07DE">
        <w:rPr>
          <w:i/>
        </w:rPr>
        <w:t>2020</w:t>
      </w:r>
      <w:r w:rsidR="00106F22" w:rsidRPr="009C07DE">
        <w:rPr>
          <w:i/>
        </w:rPr>
        <w:t xml:space="preserve"> Measures No. 1</w:t>
      </w:r>
      <w:r w:rsidR="005630F2" w:rsidRPr="009C07DE">
        <w:rPr>
          <w:i/>
        </w:rPr>
        <w:t>)</w:t>
      </w:r>
      <w:r w:rsidRPr="009C07DE">
        <w:rPr>
          <w:i/>
        </w:rPr>
        <w:t xml:space="preserve">) Rules </w:t>
      </w:r>
      <w:r w:rsidR="00D036CF" w:rsidRPr="009C07DE">
        <w:rPr>
          <w:i/>
        </w:rPr>
        <w:t>2020</w:t>
      </w:r>
      <w:r w:rsidRPr="009C07DE">
        <w:rPr>
          <w:i/>
        </w:rPr>
        <w:t xml:space="preserve"> </w:t>
      </w:r>
      <w:r w:rsidRPr="009C07DE">
        <w:t xml:space="preserve">(the Amending Rule) is compatible with the human rights and freedoms recognised or declared in the international instruments listed in section 3 of the </w:t>
      </w:r>
      <w:r w:rsidRPr="009C07DE">
        <w:rPr>
          <w:i/>
        </w:rPr>
        <w:t>Human Rights (Parliamentary Scrutiny) Act 2011.</w:t>
      </w:r>
    </w:p>
    <w:p w14:paraId="73E5EC99" w14:textId="77777777" w:rsidR="001F3558" w:rsidRPr="009C07DE" w:rsidRDefault="001F3558" w:rsidP="001F3558">
      <w:pPr>
        <w:rPr>
          <w:b/>
        </w:rPr>
      </w:pPr>
    </w:p>
    <w:p w14:paraId="56B2A01E" w14:textId="77777777" w:rsidR="001F3558" w:rsidRPr="009C07DE" w:rsidRDefault="001F3558" w:rsidP="001F3558">
      <w:pPr>
        <w:rPr>
          <w:b/>
        </w:rPr>
      </w:pPr>
      <w:r w:rsidRPr="009C07DE">
        <w:rPr>
          <w:b/>
        </w:rPr>
        <w:t>Overview of the Amending Rule</w:t>
      </w:r>
    </w:p>
    <w:p w14:paraId="1DB58687" w14:textId="77777777" w:rsidR="001F3558" w:rsidRPr="009C07DE" w:rsidRDefault="001F3558" w:rsidP="001F3558">
      <w:pPr>
        <w:rPr>
          <w:b/>
        </w:rPr>
      </w:pPr>
    </w:p>
    <w:p w14:paraId="57F6A489" w14:textId="77777777" w:rsidR="001F3558" w:rsidRPr="009C07DE" w:rsidRDefault="001F3558" w:rsidP="001F3558">
      <w:r w:rsidRPr="009C07DE">
        <w:t xml:space="preserve">The </w:t>
      </w:r>
      <w:r w:rsidRPr="009C07DE">
        <w:rPr>
          <w:i/>
        </w:rPr>
        <w:t>Public Governance, Performance and Accountability Act 2013</w:t>
      </w:r>
      <w:r w:rsidRPr="009C07DE">
        <w:t xml:space="preserve"> (</w:t>
      </w:r>
      <w:proofErr w:type="spellStart"/>
      <w:r w:rsidRPr="009C07DE">
        <w:t>PGPA</w:t>
      </w:r>
      <w:proofErr w:type="spellEnd"/>
      <w:r w:rsidRPr="009C07DE">
        <w:t xml:space="preserve"> Act) establishes a framework for regulating resource management by the Commonwealth and relevant entities. Section 101 of the </w:t>
      </w:r>
      <w:proofErr w:type="spellStart"/>
      <w:r w:rsidRPr="009C07DE">
        <w:t>PGPA</w:t>
      </w:r>
      <w:proofErr w:type="spellEnd"/>
      <w:r w:rsidRPr="009C07DE">
        <w:t> Act provides that the Finance Minister may make rules by legislative instrument to prescribe matters giving effect to the Act.</w:t>
      </w:r>
    </w:p>
    <w:p w14:paraId="2C12FE27" w14:textId="627F816F" w:rsidR="001F3558" w:rsidRPr="009C07DE" w:rsidRDefault="001F3558" w:rsidP="001F3558"/>
    <w:p w14:paraId="4B75B718" w14:textId="4DA0437B" w:rsidR="0094110A" w:rsidRPr="009C07DE" w:rsidRDefault="0094110A" w:rsidP="0094110A">
      <w:r w:rsidRPr="009C07DE">
        <w:t xml:space="preserve">The Amending Rule amends the </w:t>
      </w:r>
      <w:proofErr w:type="spellStart"/>
      <w:r w:rsidRPr="009C07DE">
        <w:t>PGPA</w:t>
      </w:r>
      <w:proofErr w:type="spellEnd"/>
      <w:r w:rsidRPr="009C07DE">
        <w:t xml:space="preserve"> Rule to implement several recommendations </w:t>
      </w:r>
      <w:r w:rsidR="00CD43B5" w:rsidRPr="009C07DE">
        <w:t>following from the Review. Specifically the Amending Rule</w:t>
      </w:r>
      <w:r w:rsidRPr="009C07DE">
        <w:t xml:space="preserve">: </w:t>
      </w:r>
    </w:p>
    <w:p w14:paraId="1EB7009F" w14:textId="7EB161CE" w:rsidR="00CD43B5" w:rsidRPr="009C07DE" w:rsidRDefault="00CD43B5" w:rsidP="00CD43B5">
      <w:pPr>
        <w:pStyle w:val="ListParagraph"/>
        <w:numPr>
          <w:ilvl w:val="0"/>
          <w:numId w:val="21"/>
        </w:numPr>
      </w:pPr>
      <w:r w:rsidRPr="009C07DE">
        <w:t xml:space="preserve">allows an accountable authority or former accountable authority of a corporate Commonwealth entity to inspect the books of the entity for the purpose of an eligible legal proceeding; </w:t>
      </w:r>
    </w:p>
    <w:p w14:paraId="6D9F85F6" w14:textId="77777777" w:rsidR="00CD43B5" w:rsidRPr="009C07DE" w:rsidRDefault="00CD43B5" w:rsidP="00CD43B5">
      <w:pPr>
        <w:pStyle w:val="ListParagraph"/>
        <w:numPr>
          <w:ilvl w:val="0"/>
          <w:numId w:val="21"/>
        </w:numPr>
        <w:spacing w:after="160" w:line="259" w:lineRule="auto"/>
      </w:pPr>
      <w:r w:rsidRPr="009C07DE">
        <w:t xml:space="preserve">prescribes requirements for the preparation of corporate plans for Commonwealth entities under the </w:t>
      </w:r>
      <w:proofErr w:type="spellStart"/>
      <w:r w:rsidRPr="009C07DE">
        <w:t>PGPA</w:t>
      </w:r>
      <w:proofErr w:type="spellEnd"/>
      <w:r w:rsidRPr="009C07DE">
        <w:t xml:space="preserve"> Act;</w:t>
      </w:r>
    </w:p>
    <w:p w14:paraId="1BE32308" w14:textId="77777777" w:rsidR="00CD43B5" w:rsidRPr="009C07DE" w:rsidRDefault="00CD43B5" w:rsidP="00CD43B5">
      <w:pPr>
        <w:pStyle w:val="ListParagraph"/>
        <w:numPr>
          <w:ilvl w:val="0"/>
          <w:numId w:val="21"/>
        </w:numPr>
        <w:spacing w:after="160" w:line="259" w:lineRule="auto"/>
      </w:pPr>
      <w:r w:rsidRPr="009C07DE">
        <w:t xml:space="preserve">prescribes requirements that the performance measures of Commonwealth entities must meet for the purposes of the preparation of corporate plans; </w:t>
      </w:r>
    </w:p>
    <w:p w14:paraId="73C3BCB3" w14:textId="0F93701E" w:rsidR="00CD43B5" w:rsidRPr="009C07DE" w:rsidRDefault="00CD43B5" w:rsidP="00CD43B5">
      <w:pPr>
        <w:pStyle w:val="ListParagraph"/>
        <w:numPr>
          <w:ilvl w:val="0"/>
          <w:numId w:val="21"/>
        </w:numPr>
      </w:pPr>
      <w:r w:rsidRPr="009C07DE">
        <w:t xml:space="preserve">prescribes all </w:t>
      </w:r>
      <w:r w:rsidRPr="009C07DE">
        <w:rPr>
          <w:color w:val="000000"/>
        </w:rPr>
        <w:t>of the audit committee members of a non</w:t>
      </w:r>
      <w:r w:rsidRPr="009C07DE">
        <w:rPr>
          <w:color w:val="000000"/>
        </w:rPr>
        <w:noBreakHyphen/>
        <w:t>corporate Commonwealth entity must not be officials of the entity and a majority must not be officials of any Commonwealth entity; and for a corporate Commonwealth entity, all of the audit committee members must not be employees of the entity</w:t>
      </w:r>
      <w:r w:rsidRPr="009C07DE">
        <w:t>;</w:t>
      </w:r>
    </w:p>
    <w:p w14:paraId="2241BD7D" w14:textId="77777777" w:rsidR="00872630" w:rsidRPr="009C07DE" w:rsidRDefault="00872630" w:rsidP="00872630">
      <w:pPr>
        <w:pStyle w:val="ListParagraph"/>
        <w:numPr>
          <w:ilvl w:val="0"/>
          <w:numId w:val="21"/>
        </w:numPr>
      </w:pPr>
      <w:r w:rsidRPr="009C07DE">
        <w:t>requires the disclosure in Commonwealth entities and companies’ annual reports of a direct electronic address for the audit committee charter, the membership, the qualifications, skills, knowledge or experience of each committee member, the details of each members attendance at meetings and the remuneration of each audit committee member; and</w:t>
      </w:r>
    </w:p>
    <w:p w14:paraId="0AB35F1F" w14:textId="77777777" w:rsidR="00CD43B5" w:rsidRPr="009C07DE" w:rsidRDefault="00CD43B5" w:rsidP="00CD43B5">
      <w:pPr>
        <w:pStyle w:val="ListParagraph"/>
        <w:numPr>
          <w:ilvl w:val="0"/>
          <w:numId w:val="21"/>
        </w:numPr>
      </w:pPr>
      <w:r w:rsidRPr="009C07DE">
        <w:t>prescribes requirements about the granting of indemnities and exemptions by corporate Commonwealth entities.</w:t>
      </w:r>
    </w:p>
    <w:p w14:paraId="752CC83E" w14:textId="0A662EC4" w:rsidR="00CD43B5" w:rsidRPr="009C07DE" w:rsidRDefault="00CD43B5" w:rsidP="0094110A"/>
    <w:p w14:paraId="62D03E55" w14:textId="485699B2" w:rsidR="00FC77B4" w:rsidRPr="009C07DE" w:rsidRDefault="00E309C7" w:rsidP="0094110A">
      <w:pPr>
        <w:rPr>
          <w:color w:val="808080" w:themeColor="background1" w:themeShade="80"/>
        </w:rPr>
      </w:pPr>
      <w:r w:rsidRPr="009C07DE">
        <w:t xml:space="preserve">The </w:t>
      </w:r>
      <w:r w:rsidR="00B5407D" w:rsidRPr="009C07DE">
        <w:t>i</w:t>
      </w:r>
      <w:r w:rsidRPr="009C07DE">
        <w:t xml:space="preserve">tems </w:t>
      </w:r>
      <w:r w:rsidR="00446623" w:rsidRPr="009C07DE">
        <w:t>1 to</w:t>
      </w:r>
      <w:r w:rsidR="00BD257A" w:rsidRPr="009C07DE">
        <w:t xml:space="preserve"> 8, 11 to 13</w:t>
      </w:r>
      <w:r w:rsidR="00742179" w:rsidRPr="009C07DE">
        <w:t>,</w:t>
      </w:r>
      <w:r w:rsidR="003364B1" w:rsidRPr="009C07DE">
        <w:t xml:space="preserve"> 15</w:t>
      </w:r>
      <w:r w:rsidR="00742179" w:rsidRPr="009C07DE">
        <w:t xml:space="preserve"> and </w:t>
      </w:r>
      <w:r w:rsidR="00446623" w:rsidRPr="009C07DE">
        <w:t>1</w:t>
      </w:r>
      <w:r w:rsidR="003364B1" w:rsidRPr="009C07DE">
        <w:t>8</w:t>
      </w:r>
      <w:r w:rsidRPr="009C07DE">
        <w:t xml:space="preserve"> of the </w:t>
      </w:r>
      <w:r w:rsidR="00446623" w:rsidRPr="009C07DE">
        <w:t>Amending Rule</w:t>
      </w:r>
      <w:r w:rsidRPr="009C07DE">
        <w:t xml:space="preserve"> do not engage any of the applicable rights or freedoms.</w:t>
      </w:r>
      <w:r w:rsidRPr="009C07DE">
        <w:rPr>
          <w:shd w:val="clear" w:color="auto" w:fill="FFFFFF"/>
        </w:rPr>
        <w:t xml:space="preserve"> </w:t>
      </w:r>
      <w:r w:rsidRPr="009C07DE">
        <w:t xml:space="preserve">Items </w:t>
      </w:r>
      <w:r w:rsidR="00BD257A" w:rsidRPr="009C07DE">
        <w:t>9</w:t>
      </w:r>
      <w:r w:rsidR="00742179" w:rsidRPr="009C07DE">
        <w:t>, 1</w:t>
      </w:r>
      <w:r w:rsidR="00BD257A" w:rsidRPr="009C07DE">
        <w:t>0, 14</w:t>
      </w:r>
      <w:r w:rsidR="00742179" w:rsidRPr="009C07DE">
        <w:t>, 1</w:t>
      </w:r>
      <w:r w:rsidR="00BD257A" w:rsidRPr="009C07DE">
        <w:t>6</w:t>
      </w:r>
      <w:r w:rsidR="00742179" w:rsidRPr="009C07DE">
        <w:t>, 1</w:t>
      </w:r>
      <w:r w:rsidR="00BD257A" w:rsidRPr="009C07DE">
        <w:t xml:space="preserve">7 and </w:t>
      </w:r>
      <w:r w:rsidR="00742179" w:rsidRPr="009C07DE">
        <w:t>1</w:t>
      </w:r>
      <w:r w:rsidR="00BD257A" w:rsidRPr="009C07DE">
        <w:t>9</w:t>
      </w:r>
      <w:r w:rsidR="00446623" w:rsidRPr="009C07DE">
        <w:t xml:space="preserve"> </w:t>
      </w:r>
      <w:r w:rsidRPr="009C07DE">
        <w:t xml:space="preserve">of the </w:t>
      </w:r>
      <w:r w:rsidR="00446623" w:rsidRPr="009C07DE">
        <w:t>Amending Rule</w:t>
      </w:r>
      <w:r w:rsidR="0094110A" w:rsidRPr="009C07DE">
        <w:t xml:space="preserve"> </w:t>
      </w:r>
      <w:r w:rsidR="00AD674D" w:rsidRPr="009C07DE">
        <w:t>are compatible with human rights because, to the extent that they may limit the right to privacy, those limitations are reasonable, necessary and proportionate.</w:t>
      </w:r>
    </w:p>
    <w:p w14:paraId="7A0CE9B3" w14:textId="6B9C536E" w:rsidR="00B5407D" w:rsidRPr="009C07DE" w:rsidRDefault="00B5407D" w:rsidP="00701BAE">
      <w:pPr>
        <w:rPr>
          <w:color w:val="000000"/>
        </w:rPr>
      </w:pPr>
    </w:p>
    <w:p w14:paraId="5130073B" w14:textId="2A227BF3" w:rsidR="0094110A" w:rsidRPr="009C07DE" w:rsidRDefault="00E309C7" w:rsidP="00701BAE">
      <w:r w:rsidRPr="009C07DE">
        <w:t>Item</w:t>
      </w:r>
      <w:r w:rsidR="00446623" w:rsidRPr="009C07DE">
        <w:t>s</w:t>
      </w:r>
      <w:r w:rsidRPr="009C07DE">
        <w:t xml:space="preserve"> </w:t>
      </w:r>
      <w:r w:rsidR="005B20F6" w:rsidRPr="009C07DE">
        <w:t>9</w:t>
      </w:r>
      <w:r w:rsidR="00446623" w:rsidRPr="009C07DE">
        <w:t xml:space="preserve">, </w:t>
      </w:r>
      <w:r w:rsidR="00742179" w:rsidRPr="009C07DE">
        <w:t>1</w:t>
      </w:r>
      <w:r w:rsidR="005B20F6" w:rsidRPr="009C07DE">
        <w:t xml:space="preserve">0 </w:t>
      </w:r>
      <w:r w:rsidR="00446623" w:rsidRPr="009C07DE">
        <w:t>and 1</w:t>
      </w:r>
      <w:r w:rsidR="005B20F6" w:rsidRPr="009C07DE">
        <w:t>4</w:t>
      </w:r>
      <w:r w:rsidRPr="009C07DE">
        <w:t xml:space="preserve"> of the</w:t>
      </w:r>
      <w:r w:rsidR="001F3558" w:rsidRPr="009C07DE">
        <w:t xml:space="preserve"> Amending Rule amends</w:t>
      </w:r>
      <w:r w:rsidR="001F3558" w:rsidRPr="009C07DE">
        <w:rPr>
          <w:i/>
        </w:rPr>
        <w:t xml:space="preserve"> </w:t>
      </w:r>
      <w:r w:rsidR="001F3558" w:rsidRPr="009C07DE">
        <w:t xml:space="preserve">the annual report requirements </w:t>
      </w:r>
      <w:r w:rsidR="005630F2" w:rsidRPr="009C07DE">
        <w:t>at 17AG</w:t>
      </w:r>
      <w:r w:rsidR="00446623" w:rsidRPr="009C07DE">
        <w:t>, 17BE and 28E</w:t>
      </w:r>
      <w:r w:rsidR="005630F2" w:rsidRPr="009C07DE">
        <w:t xml:space="preserve"> of</w:t>
      </w:r>
      <w:r w:rsidR="001F3558" w:rsidRPr="009C07DE">
        <w:t xml:space="preserve"> the </w:t>
      </w:r>
      <w:r w:rsidR="001F3558" w:rsidRPr="009C07DE">
        <w:rPr>
          <w:i/>
        </w:rPr>
        <w:t>Public Governance, Performance and Accountability Rule 2014</w:t>
      </w:r>
      <w:r w:rsidR="001F3558" w:rsidRPr="009C07DE">
        <w:t xml:space="preserve"> (</w:t>
      </w:r>
      <w:proofErr w:type="spellStart"/>
      <w:r w:rsidR="001F3558" w:rsidRPr="009C07DE">
        <w:t>PGPA</w:t>
      </w:r>
      <w:proofErr w:type="spellEnd"/>
      <w:r w:rsidR="003B7109" w:rsidRPr="009C07DE">
        <w:t> </w:t>
      </w:r>
      <w:r w:rsidR="001F3558" w:rsidRPr="009C07DE">
        <w:t xml:space="preserve">Rule) made under the </w:t>
      </w:r>
      <w:proofErr w:type="spellStart"/>
      <w:r w:rsidR="001F3558" w:rsidRPr="009C07DE">
        <w:t>PGPA</w:t>
      </w:r>
      <w:proofErr w:type="spellEnd"/>
      <w:r w:rsidR="001F3558" w:rsidRPr="009C07DE">
        <w:t xml:space="preserve"> Act, to require Commonwealth entities to disclose</w:t>
      </w:r>
      <w:r w:rsidR="005630F2" w:rsidRPr="009C07DE">
        <w:t xml:space="preserve"> in </w:t>
      </w:r>
      <w:r w:rsidR="00615FBC" w:rsidRPr="009C07DE">
        <w:t>its</w:t>
      </w:r>
      <w:r w:rsidR="005630F2" w:rsidRPr="009C07DE">
        <w:t xml:space="preserve"> annual reports</w:t>
      </w:r>
      <w:r w:rsidR="0094110A" w:rsidRPr="009C07DE">
        <w:t>;</w:t>
      </w:r>
    </w:p>
    <w:p w14:paraId="33941548" w14:textId="77777777" w:rsidR="00131E22" w:rsidRPr="009C07DE" w:rsidRDefault="00131E22" w:rsidP="00131E22">
      <w:pPr>
        <w:pStyle w:val="ListParagraph"/>
        <w:numPr>
          <w:ilvl w:val="0"/>
          <w:numId w:val="43"/>
        </w:numPr>
      </w:pPr>
      <w:r w:rsidRPr="009C07DE">
        <w:t>a direct electronic address of the charter determining the functions of the audit committee;</w:t>
      </w:r>
    </w:p>
    <w:p w14:paraId="530133D6" w14:textId="78E165A4" w:rsidR="00131E22" w:rsidRPr="009C07DE" w:rsidRDefault="00131E22" w:rsidP="00131E22">
      <w:pPr>
        <w:pStyle w:val="ListParagraph"/>
        <w:numPr>
          <w:ilvl w:val="0"/>
          <w:numId w:val="43"/>
        </w:numPr>
      </w:pPr>
      <w:r w:rsidRPr="009C07DE">
        <w:t>the name of each member of the audit committee during the period;</w:t>
      </w:r>
    </w:p>
    <w:p w14:paraId="702E79EC" w14:textId="075667FD" w:rsidR="00131E22" w:rsidRPr="009C07DE" w:rsidRDefault="00131E22" w:rsidP="00131E22">
      <w:pPr>
        <w:pStyle w:val="ListParagraph"/>
        <w:numPr>
          <w:ilvl w:val="0"/>
          <w:numId w:val="43"/>
        </w:numPr>
      </w:pPr>
      <w:r w:rsidRPr="009C07DE">
        <w:t>the qualifications, knowledge, skills or experience of those members;</w:t>
      </w:r>
    </w:p>
    <w:p w14:paraId="42084321" w14:textId="266B162E" w:rsidR="00131E22" w:rsidRPr="009C07DE" w:rsidRDefault="00131E22" w:rsidP="00131E22">
      <w:pPr>
        <w:pStyle w:val="ListParagraph"/>
        <w:numPr>
          <w:ilvl w:val="0"/>
          <w:numId w:val="43"/>
        </w:numPr>
      </w:pPr>
      <w:r w:rsidRPr="009C07DE">
        <w:t>information about each of those members’ attendance at meetings of the audit committee during the period;</w:t>
      </w:r>
      <w:r w:rsidR="00EB51C7" w:rsidRPr="009C07DE">
        <w:t xml:space="preserve"> and</w:t>
      </w:r>
    </w:p>
    <w:p w14:paraId="52040E25" w14:textId="359ADCB9" w:rsidR="00131E22" w:rsidRPr="009C07DE" w:rsidRDefault="00131E22" w:rsidP="00131E22">
      <w:pPr>
        <w:pStyle w:val="ListParagraph"/>
        <w:numPr>
          <w:ilvl w:val="0"/>
          <w:numId w:val="43"/>
        </w:numPr>
      </w:pPr>
      <w:r w:rsidRPr="009C07DE">
        <w:t>the remune</w:t>
      </w:r>
      <w:r w:rsidR="00EB51C7" w:rsidRPr="009C07DE">
        <w:t>ration of each of those members.</w:t>
      </w:r>
    </w:p>
    <w:p w14:paraId="48A24968" w14:textId="77777777" w:rsidR="0094110A" w:rsidRPr="009C07DE" w:rsidRDefault="0094110A" w:rsidP="0094110A"/>
    <w:p w14:paraId="4BFA4215" w14:textId="174383FE" w:rsidR="0002009E" w:rsidRPr="009C07DE" w:rsidRDefault="0094110A" w:rsidP="0094110A">
      <w:r w:rsidRPr="009C07DE">
        <w:t>The amendments intend to match Commonwealth government reporting and accountability practice to the corporate sector.</w:t>
      </w:r>
    </w:p>
    <w:p w14:paraId="03C49BAF" w14:textId="2A0D9748" w:rsidR="001F3558" w:rsidRPr="009C07DE" w:rsidRDefault="001F3558" w:rsidP="001F3558">
      <w:pPr>
        <w:rPr>
          <w:b/>
        </w:rPr>
      </w:pPr>
    </w:p>
    <w:p w14:paraId="28952BCB" w14:textId="77777777" w:rsidR="001F3558" w:rsidRPr="009C07DE" w:rsidRDefault="001F3558" w:rsidP="001F3558">
      <w:pPr>
        <w:rPr>
          <w:b/>
        </w:rPr>
      </w:pPr>
      <w:r w:rsidRPr="009C07DE">
        <w:rPr>
          <w:b/>
        </w:rPr>
        <w:t>Human rights implications</w:t>
      </w:r>
    </w:p>
    <w:p w14:paraId="7DBDCC74" w14:textId="77777777" w:rsidR="001F3558" w:rsidRPr="009C07DE" w:rsidRDefault="001F3558" w:rsidP="001F3558">
      <w:pPr>
        <w:rPr>
          <w:b/>
        </w:rPr>
      </w:pPr>
    </w:p>
    <w:p w14:paraId="755989CE" w14:textId="77777777" w:rsidR="001F3558" w:rsidRPr="009C07DE" w:rsidRDefault="001F3558" w:rsidP="001F3558">
      <w:pPr>
        <w:pStyle w:val="Default"/>
      </w:pPr>
      <w:r w:rsidRPr="009C07DE">
        <w:rPr>
          <w:rFonts w:eastAsia="Times New Roman"/>
          <w:color w:val="auto"/>
          <w:lang w:eastAsia="en-AU"/>
        </w:rPr>
        <w:t xml:space="preserve">The Amending Rule engages the right to privacy as contained in Article 17 of the International Covenant on Civil and Political Rights (the </w:t>
      </w:r>
      <w:proofErr w:type="spellStart"/>
      <w:r w:rsidRPr="009C07DE">
        <w:rPr>
          <w:rFonts w:eastAsia="Times New Roman"/>
          <w:color w:val="auto"/>
          <w:lang w:eastAsia="en-AU"/>
        </w:rPr>
        <w:t>ICCPR</w:t>
      </w:r>
      <w:proofErr w:type="spellEnd"/>
      <w:r w:rsidRPr="009C07DE">
        <w:rPr>
          <w:rFonts w:eastAsia="Times New Roman"/>
          <w:color w:val="auto"/>
          <w:lang w:eastAsia="en-AU"/>
        </w:rPr>
        <w:t xml:space="preserve">). Article 17 provides that no one shall be subjected to arbitrary or unlawful interference with his or her privacy, family, home or correspondence. </w:t>
      </w:r>
      <w:r w:rsidRPr="009C07DE">
        <w:t>The right to privacy is not absolute. However, limitations on the right must be authorised by law and must not be arbitrary.</w:t>
      </w:r>
    </w:p>
    <w:p w14:paraId="070893DC" w14:textId="77777777" w:rsidR="001F3558" w:rsidRPr="009C07DE" w:rsidRDefault="001F3558" w:rsidP="001F3558">
      <w:pPr>
        <w:pStyle w:val="Default"/>
        <w:rPr>
          <w:color w:val="auto"/>
        </w:rPr>
      </w:pPr>
    </w:p>
    <w:p w14:paraId="6F1D0150" w14:textId="2E060114" w:rsidR="001F3558" w:rsidRPr="009C07DE" w:rsidRDefault="001F3558" w:rsidP="001F3558">
      <w:pPr>
        <w:pStyle w:val="Default"/>
        <w:rPr>
          <w:rFonts w:eastAsia="Times New Roman"/>
          <w:color w:val="auto"/>
          <w:lang w:eastAsia="en-AU"/>
        </w:rPr>
      </w:pPr>
      <w:r w:rsidRPr="009C07DE">
        <w:rPr>
          <w:rFonts w:eastAsia="Times New Roman"/>
          <w:color w:val="auto"/>
          <w:lang w:eastAsia="en-AU"/>
        </w:rPr>
        <w:t xml:space="preserve">The Amending Rule engages the right to </w:t>
      </w:r>
      <w:r w:rsidR="008F294B" w:rsidRPr="009C07DE">
        <w:rPr>
          <w:rFonts w:eastAsia="Times New Roman"/>
          <w:color w:val="auto"/>
          <w:lang w:eastAsia="en-AU"/>
        </w:rPr>
        <w:t>privacy</w:t>
      </w:r>
      <w:r w:rsidR="0094110A" w:rsidRPr="009C07DE">
        <w:rPr>
          <w:rFonts w:eastAsia="Times New Roman"/>
          <w:color w:val="auto"/>
          <w:lang w:eastAsia="en-AU"/>
        </w:rPr>
        <w:t>,</w:t>
      </w:r>
      <w:r w:rsidR="008F294B" w:rsidRPr="009C07DE">
        <w:rPr>
          <w:rFonts w:eastAsia="Times New Roman"/>
          <w:color w:val="auto"/>
          <w:lang w:eastAsia="en-AU"/>
        </w:rPr>
        <w:t xml:space="preserve"> </w:t>
      </w:r>
      <w:r w:rsidRPr="009C07DE">
        <w:rPr>
          <w:rFonts w:eastAsia="Times New Roman"/>
          <w:color w:val="auto"/>
          <w:lang w:eastAsia="en-AU"/>
        </w:rPr>
        <w:t>as it requires publication, in Common</w:t>
      </w:r>
      <w:r w:rsidR="00D853ED" w:rsidRPr="009C07DE">
        <w:rPr>
          <w:rFonts w:eastAsia="Times New Roman"/>
          <w:color w:val="auto"/>
          <w:lang w:eastAsia="en-AU"/>
        </w:rPr>
        <w:t xml:space="preserve">wealth entities’ </w:t>
      </w:r>
      <w:r w:rsidRPr="009C07DE">
        <w:rPr>
          <w:rFonts w:eastAsia="Times New Roman"/>
          <w:color w:val="auto"/>
          <w:lang w:eastAsia="en-AU"/>
        </w:rPr>
        <w:t xml:space="preserve">annual reports, </w:t>
      </w:r>
      <w:r w:rsidR="0094110A" w:rsidRPr="009C07DE">
        <w:rPr>
          <w:rFonts w:eastAsia="Times New Roman"/>
          <w:color w:val="auto"/>
          <w:lang w:eastAsia="en-AU"/>
        </w:rPr>
        <w:t>of t</w:t>
      </w:r>
      <w:r w:rsidR="00D853ED" w:rsidRPr="009C07DE">
        <w:rPr>
          <w:rFonts w:eastAsia="Times New Roman"/>
          <w:color w:val="auto"/>
          <w:lang w:eastAsia="en-AU"/>
        </w:rPr>
        <w:t xml:space="preserve">he name of each member of the audit committee, the qualifications, skills and experience of each audit committee member, information about each </w:t>
      </w:r>
      <w:r w:rsidR="008F294B" w:rsidRPr="009C07DE">
        <w:rPr>
          <w:rFonts w:eastAsia="Times New Roman"/>
          <w:color w:val="auto"/>
          <w:lang w:eastAsia="en-AU"/>
        </w:rPr>
        <w:t>member’s</w:t>
      </w:r>
      <w:r w:rsidR="00D853ED" w:rsidRPr="009C07DE">
        <w:rPr>
          <w:rFonts w:eastAsia="Times New Roman"/>
          <w:color w:val="auto"/>
          <w:lang w:eastAsia="en-AU"/>
        </w:rPr>
        <w:t xml:space="preserve"> attendance at meetings of the audit committee and the remuneration of each member of the entity’s audit committee. </w:t>
      </w:r>
    </w:p>
    <w:p w14:paraId="46C84236" w14:textId="77777777" w:rsidR="001F3558" w:rsidRPr="009C07DE" w:rsidRDefault="001F3558" w:rsidP="001F3558">
      <w:pPr>
        <w:pStyle w:val="Default"/>
        <w:rPr>
          <w:rFonts w:eastAsia="Times New Roman"/>
          <w:color w:val="auto"/>
          <w:lang w:eastAsia="en-AU"/>
        </w:rPr>
      </w:pPr>
    </w:p>
    <w:p w14:paraId="0BA0FE0B" w14:textId="77777777" w:rsidR="001F3558" w:rsidRPr="009C07DE" w:rsidRDefault="001F3558" w:rsidP="001F3558">
      <w:pPr>
        <w:pStyle w:val="Default"/>
        <w:spacing w:after="120"/>
        <w:rPr>
          <w:rFonts w:eastAsia="Calibri"/>
          <w:u w:val="single"/>
        </w:rPr>
      </w:pPr>
      <w:r w:rsidRPr="009C07DE">
        <w:rPr>
          <w:rFonts w:eastAsia="Calibri"/>
          <w:u w:val="single"/>
        </w:rPr>
        <w:t>Authorised by law</w:t>
      </w:r>
    </w:p>
    <w:p w14:paraId="3A3E991B" w14:textId="05CF2D55" w:rsidR="001F3558" w:rsidRPr="009C07DE" w:rsidRDefault="001F3558" w:rsidP="001F3558">
      <w:pPr>
        <w:pStyle w:val="Default"/>
      </w:pPr>
      <w:r w:rsidRPr="009C07DE">
        <w:t xml:space="preserve">To the extent that the right to privacy is limited by the reporting </w:t>
      </w:r>
      <w:r w:rsidR="008F294B" w:rsidRPr="009C07DE">
        <w:t xml:space="preserve">of </w:t>
      </w:r>
      <w:r w:rsidR="00D853ED" w:rsidRPr="009C07DE">
        <w:t xml:space="preserve">names, qualifications, skills, attendance at meetings and </w:t>
      </w:r>
      <w:r w:rsidRPr="009C07DE">
        <w:t xml:space="preserve">remuneration information of </w:t>
      </w:r>
      <w:r w:rsidR="00D853ED" w:rsidRPr="009C07DE">
        <w:t>audit committee members</w:t>
      </w:r>
      <w:r w:rsidR="00615FBC" w:rsidRPr="009C07DE">
        <w:t>, this</w:t>
      </w:r>
      <w:r w:rsidR="00D853ED" w:rsidRPr="009C07DE">
        <w:t xml:space="preserve"> </w:t>
      </w:r>
      <w:r w:rsidRPr="009C07DE">
        <w:t>is provided for in the Amending Rule and is therefore authorised by law.</w:t>
      </w:r>
    </w:p>
    <w:p w14:paraId="0E8461A0" w14:textId="77777777" w:rsidR="001F3558" w:rsidRPr="009C07DE" w:rsidRDefault="001F3558" w:rsidP="001F3558">
      <w:pPr>
        <w:pStyle w:val="Default"/>
        <w:rPr>
          <w:rFonts w:eastAsia="Times New Roman"/>
          <w:color w:val="auto"/>
          <w:lang w:eastAsia="en-AU"/>
        </w:rPr>
      </w:pPr>
    </w:p>
    <w:p w14:paraId="44553AF1" w14:textId="763A6281" w:rsidR="0094110A" w:rsidRPr="009C07DE" w:rsidRDefault="0094110A" w:rsidP="0094110A">
      <w:pPr>
        <w:pStyle w:val="Default"/>
      </w:pPr>
      <w:r w:rsidRPr="009C07DE">
        <w:rPr>
          <w:rFonts w:eastAsia="Times New Roman"/>
          <w:color w:val="auto"/>
          <w:lang w:eastAsia="en-AU"/>
        </w:rPr>
        <w:t>Section</w:t>
      </w:r>
      <w:r w:rsidR="00B5407D" w:rsidRPr="009C07DE">
        <w:rPr>
          <w:rFonts w:eastAsia="Times New Roman"/>
          <w:color w:val="auto"/>
          <w:lang w:eastAsia="en-AU"/>
        </w:rPr>
        <w:t>s</w:t>
      </w:r>
      <w:r w:rsidRPr="009C07DE">
        <w:rPr>
          <w:rFonts w:eastAsia="Times New Roman"/>
          <w:color w:val="auto"/>
          <w:lang w:eastAsia="en-AU"/>
        </w:rPr>
        <w:t xml:space="preserve"> 17AG</w:t>
      </w:r>
      <w:r w:rsidRPr="009C07DE">
        <w:t>, 17BE and 28E</w:t>
      </w:r>
      <w:r w:rsidRPr="009C07DE">
        <w:rPr>
          <w:rFonts w:eastAsia="Times New Roman"/>
          <w:color w:val="auto"/>
          <w:lang w:eastAsia="en-AU"/>
        </w:rPr>
        <w:t xml:space="preserve"> of the Amending Rule sets out the information requirements about audit committee members to be published in the annual report of a Commonwealth entity and Commonwealth company. Commonwealth</w:t>
      </w:r>
      <w:r w:rsidRPr="009C07DE">
        <w:t xml:space="preserve"> entities and Commonwealth companies are subject to the </w:t>
      </w:r>
      <w:r w:rsidRPr="009C07DE">
        <w:rPr>
          <w:i/>
        </w:rPr>
        <w:t>Privacy Act 1988</w:t>
      </w:r>
      <w:r w:rsidRPr="009C07DE">
        <w:t xml:space="preserve"> and any collection, use, or disclosure of personal information will be in accordance with that Act and the applicable Australian Privacy Principles. Furthermore, the ability of Commonwealth entities to publish individual audit committee members’ information is limited to the extent required by the Amending Rule.</w:t>
      </w:r>
    </w:p>
    <w:p w14:paraId="340E6449" w14:textId="77777777" w:rsidR="00866EC0" w:rsidRPr="009C07DE" w:rsidRDefault="00866EC0" w:rsidP="00866EC0">
      <w:pPr>
        <w:pStyle w:val="Default"/>
      </w:pPr>
    </w:p>
    <w:p w14:paraId="2FD6AD1F" w14:textId="1577E810" w:rsidR="001F3558" w:rsidRPr="009C07DE" w:rsidRDefault="001F3558" w:rsidP="00B5407D">
      <w:pPr>
        <w:pStyle w:val="Default"/>
        <w:spacing w:after="120"/>
        <w:rPr>
          <w:rFonts w:eastAsia="Calibri"/>
          <w:u w:val="single"/>
        </w:rPr>
      </w:pPr>
      <w:r w:rsidRPr="009C07DE">
        <w:rPr>
          <w:rFonts w:eastAsia="Calibri"/>
          <w:u w:val="single"/>
        </w:rPr>
        <w:t>Not arbitrary</w:t>
      </w:r>
    </w:p>
    <w:p w14:paraId="59BC3CFA" w14:textId="77777777" w:rsidR="001F3558" w:rsidRPr="009C07DE" w:rsidRDefault="001F3558" w:rsidP="001F3558">
      <w:pPr>
        <w:pStyle w:val="Default"/>
        <w:rPr>
          <w:rFonts w:eastAsia="Times New Roman"/>
          <w:color w:val="auto"/>
          <w:lang w:eastAsia="en-AU"/>
        </w:rPr>
      </w:pPr>
      <w:r w:rsidRPr="009C07DE">
        <w:t xml:space="preserve">Interference with privacy will be arbitrary where the relevant provisions of the Amending Rule are not in accordance with the provisions, aims and objectives of the </w:t>
      </w:r>
      <w:proofErr w:type="spellStart"/>
      <w:r w:rsidRPr="009C07DE">
        <w:t>ICCPR</w:t>
      </w:r>
      <w:proofErr w:type="spellEnd"/>
      <w:r w:rsidRPr="009C07DE">
        <w:t xml:space="preserve"> and are not ‘reasonable in the particular circumstances’.</w:t>
      </w:r>
      <w:r w:rsidRPr="009C07DE">
        <w:rPr>
          <w:rStyle w:val="FootnoteReference"/>
        </w:rPr>
        <w:footnoteReference w:id="1"/>
      </w:r>
      <w:r w:rsidRPr="009C07DE">
        <w:t xml:space="preserve"> The Human Rights Committee interprets the requirement of reasonableness to ‘imply that any interference with privacy must be proportional to the end sought and be necessary in the circumstances of any given case’.</w:t>
      </w:r>
      <w:r w:rsidRPr="009C07DE">
        <w:rPr>
          <w:rStyle w:val="FootnoteReference"/>
        </w:rPr>
        <w:footnoteReference w:id="2"/>
      </w:r>
      <w:r w:rsidRPr="009C07DE">
        <w:t xml:space="preserve"> </w:t>
      </w:r>
    </w:p>
    <w:p w14:paraId="257C1DEF" w14:textId="77777777" w:rsidR="001F3558" w:rsidRPr="009C07DE" w:rsidRDefault="001F3558" w:rsidP="001F3558">
      <w:pPr>
        <w:pStyle w:val="Default"/>
        <w:rPr>
          <w:rFonts w:eastAsia="Times New Roman"/>
          <w:color w:val="auto"/>
          <w:lang w:eastAsia="en-AU"/>
        </w:rPr>
      </w:pPr>
    </w:p>
    <w:p w14:paraId="7696B4DE" w14:textId="56637B27" w:rsidR="00866EC0" w:rsidRPr="009C07DE" w:rsidRDefault="001F3558" w:rsidP="001F3558">
      <w:pPr>
        <w:pStyle w:val="Default"/>
        <w:rPr>
          <w:rFonts w:eastAsia="Times New Roman"/>
          <w:color w:val="auto"/>
          <w:lang w:eastAsia="en-AU"/>
        </w:rPr>
      </w:pPr>
      <w:r w:rsidRPr="009C07DE">
        <w:rPr>
          <w:rFonts w:eastAsia="Times New Roman"/>
          <w:color w:val="auto"/>
          <w:lang w:eastAsia="en-AU"/>
        </w:rPr>
        <w:t xml:space="preserve">The purpose of the relevant provisions in the Amending Rule is to promote public transparency and scrutiny relating to the use of public resources through the disclosure of </w:t>
      </w:r>
      <w:r w:rsidR="001517DB" w:rsidRPr="009C07DE">
        <w:rPr>
          <w:rFonts w:eastAsia="Times New Roman"/>
          <w:color w:val="auto"/>
          <w:lang w:eastAsia="en-AU"/>
        </w:rPr>
        <w:t>audit committee members names, qualifications, skills, attendance at meetings and remuneration information of audit committee members</w:t>
      </w:r>
      <w:r w:rsidRPr="009C07DE">
        <w:rPr>
          <w:rFonts w:eastAsia="Times New Roman"/>
          <w:color w:val="auto"/>
          <w:lang w:eastAsia="en-AU"/>
        </w:rPr>
        <w:t>.</w:t>
      </w:r>
      <w:r w:rsidRPr="009C07DE">
        <w:rPr>
          <w:color w:val="auto"/>
        </w:rPr>
        <w:t xml:space="preserve"> </w:t>
      </w:r>
    </w:p>
    <w:p w14:paraId="43409C2D" w14:textId="77777777" w:rsidR="00866EC0" w:rsidRPr="009C07DE" w:rsidRDefault="00866EC0" w:rsidP="001F3558">
      <w:pPr>
        <w:pStyle w:val="Default"/>
        <w:rPr>
          <w:color w:val="auto"/>
        </w:rPr>
      </w:pPr>
    </w:p>
    <w:p w14:paraId="4C112CE7" w14:textId="77777777" w:rsidR="0094110A" w:rsidRPr="009C07DE" w:rsidRDefault="0094110A" w:rsidP="0094110A">
      <w:pPr>
        <w:pStyle w:val="Default"/>
        <w:rPr>
          <w:rFonts w:eastAsia="Times New Roman"/>
          <w:color w:val="auto"/>
          <w:lang w:eastAsia="en-AU"/>
        </w:rPr>
      </w:pPr>
      <w:r w:rsidRPr="009C07DE">
        <w:rPr>
          <w:rFonts w:eastAsia="Times New Roman"/>
          <w:color w:val="auto"/>
          <w:lang w:eastAsia="en-AU"/>
        </w:rPr>
        <w:t>Increased transparency ensures</w:t>
      </w:r>
      <w:r w:rsidR="001F3558" w:rsidRPr="009C07DE">
        <w:rPr>
          <w:rFonts w:eastAsia="Times New Roman"/>
          <w:color w:val="auto"/>
          <w:lang w:eastAsia="en-AU"/>
        </w:rPr>
        <w:t xml:space="preserve"> that Com</w:t>
      </w:r>
      <w:r w:rsidR="001517DB" w:rsidRPr="009C07DE">
        <w:rPr>
          <w:rFonts w:eastAsia="Times New Roman"/>
          <w:color w:val="auto"/>
          <w:lang w:eastAsia="en-AU"/>
        </w:rPr>
        <w:t xml:space="preserve">monwealth entities </w:t>
      </w:r>
      <w:r w:rsidR="001F3558" w:rsidRPr="009C07DE">
        <w:rPr>
          <w:rFonts w:eastAsia="Times New Roman"/>
          <w:color w:val="auto"/>
          <w:lang w:eastAsia="en-AU"/>
        </w:rPr>
        <w:t xml:space="preserve">are more accountable to the Parliament and the Australian public. Furthermore, it aligns the disclosure of Commonwealth public sector </w:t>
      </w:r>
      <w:r w:rsidR="001517DB" w:rsidRPr="009C07DE">
        <w:rPr>
          <w:rFonts w:eastAsia="Times New Roman"/>
          <w:color w:val="auto"/>
          <w:lang w:eastAsia="en-AU"/>
        </w:rPr>
        <w:t xml:space="preserve">audit committee </w:t>
      </w:r>
      <w:r w:rsidR="009A6CC8" w:rsidRPr="009C07DE">
        <w:rPr>
          <w:rFonts w:eastAsia="Times New Roman"/>
          <w:color w:val="auto"/>
          <w:lang w:eastAsia="en-AU"/>
        </w:rPr>
        <w:t>member</w:t>
      </w:r>
      <w:r w:rsidR="00131D4A" w:rsidRPr="009C07DE">
        <w:rPr>
          <w:rFonts w:eastAsia="Times New Roman"/>
          <w:color w:val="auto"/>
          <w:lang w:eastAsia="en-AU"/>
        </w:rPr>
        <w:t>s’</w:t>
      </w:r>
      <w:r w:rsidR="001517DB" w:rsidRPr="009C07DE">
        <w:rPr>
          <w:rFonts w:eastAsia="Times New Roman"/>
          <w:color w:val="auto"/>
          <w:lang w:eastAsia="en-AU"/>
        </w:rPr>
        <w:t xml:space="preserve"> information in relation to</w:t>
      </w:r>
      <w:r w:rsidR="001517DB" w:rsidRPr="009C07DE">
        <w:t xml:space="preserve"> </w:t>
      </w:r>
      <w:r w:rsidR="001517DB" w:rsidRPr="009C07DE">
        <w:rPr>
          <w:rFonts w:eastAsia="Times New Roman"/>
          <w:color w:val="auto"/>
          <w:lang w:eastAsia="en-AU"/>
        </w:rPr>
        <w:t xml:space="preserve">names, qualifications, skills, attendance at meetings and </w:t>
      </w:r>
      <w:r w:rsidRPr="009C07DE">
        <w:rPr>
          <w:rFonts w:eastAsia="Times New Roman"/>
          <w:color w:val="auto"/>
          <w:lang w:eastAsia="en-AU"/>
        </w:rPr>
        <w:t xml:space="preserve">remuneration with better practice in the private sector, ensuring that the Commonwealth continues to demonstrate the high standards of governance that the Parliament and public come to expect. This objective is legitimate and is in accordance with the provisions, aims and objectives of the </w:t>
      </w:r>
      <w:proofErr w:type="spellStart"/>
      <w:r w:rsidRPr="009C07DE">
        <w:rPr>
          <w:rFonts w:eastAsia="Times New Roman"/>
          <w:color w:val="auto"/>
          <w:lang w:eastAsia="en-AU"/>
        </w:rPr>
        <w:t>ICCPR</w:t>
      </w:r>
      <w:proofErr w:type="spellEnd"/>
      <w:r w:rsidRPr="009C07DE">
        <w:rPr>
          <w:rFonts w:eastAsia="Times New Roman"/>
          <w:color w:val="auto"/>
          <w:lang w:eastAsia="en-AU"/>
        </w:rPr>
        <w:t>.</w:t>
      </w:r>
    </w:p>
    <w:p w14:paraId="6733DAB4" w14:textId="2C5ECDFD" w:rsidR="001F3558" w:rsidRPr="009C07DE" w:rsidRDefault="001F3558" w:rsidP="001F3558">
      <w:pPr>
        <w:pStyle w:val="Default"/>
        <w:rPr>
          <w:rFonts w:eastAsia="Times New Roman"/>
          <w:color w:val="auto"/>
          <w:lang w:eastAsia="en-AU"/>
        </w:rPr>
      </w:pPr>
    </w:p>
    <w:p w14:paraId="4B5A2659" w14:textId="60FA3410" w:rsidR="001F3558" w:rsidRPr="009C07DE" w:rsidRDefault="001F3558" w:rsidP="001F3558">
      <w:pPr>
        <w:pStyle w:val="Default"/>
        <w:rPr>
          <w:rFonts w:eastAsia="Times New Roman"/>
          <w:color w:val="auto"/>
          <w:lang w:eastAsia="en-AU"/>
        </w:rPr>
      </w:pPr>
      <w:r w:rsidRPr="009C07DE">
        <w:rPr>
          <w:rFonts w:eastAsia="Times New Roman"/>
          <w:color w:val="auto"/>
          <w:lang w:eastAsia="en-AU"/>
        </w:rPr>
        <w:t xml:space="preserve">The interference permitted by the provisions is necessary in the circumstances because there is a strong interest from the Parliament and the public in ensuring there is sufficient transparency regarding the </w:t>
      </w:r>
      <w:r w:rsidR="009438E0" w:rsidRPr="009C07DE">
        <w:rPr>
          <w:rFonts w:eastAsia="Times New Roman"/>
          <w:color w:val="auto"/>
          <w:lang w:eastAsia="en-AU"/>
        </w:rPr>
        <w:t>governance of Commonwealth entities</w:t>
      </w:r>
      <w:r w:rsidRPr="009C07DE">
        <w:rPr>
          <w:rFonts w:eastAsia="Times New Roman"/>
          <w:color w:val="auto"/>
          <w:lang w:eastAsia="en-AU"/>
        </w:rPr>
        <w:t xml:space="preserve">. This public interest is detailed by the </w:t>
      </w:r>
      <w:proofErr w:type="spellStart"/>
      <w:r w:rsidRPr="009C07DE">
        <w:rPr>
          <w:rFonts w:eastAsia="Times New Roman"/>
          <w:color w:val="auto"/>
          <w:lang w:eastAsia="en-AU"/>
        </w:rPr>
        <w:t>PGPA</w:t>
      </w:r>
      <w:proofErr w:type="spellEnd"/>
      <w:r w:rsidRPr="009C07DE">
        <w:rPr>
          <w:rFonts w:eastAsia="Times New Roman"/>
          <w:color w:val="auto"/>
          <w:lang w:eastAsia="en-AU"/>
        </w:rPr>
        <w:t xml:space="preserve"> Review</w:t>
      </w:r>
      <w:r w:rsidR="00AD674D" w:rsidRPr="009C07DE">
        <w:rPr>
          <w:rStyle w:val="FootnoteReference"/>
          <w:rFonts w:eastAsia="Times New Roman"/>
          <w:color w:val="auto"/>
          <w:lang w:eastAsia="en-AU"/>
        </w:rPr>
        <w:footnoteReference w:id="3"/>
      </w:r>
      <w:r w:rsidRPr="009C07DE">
        <w:rPr>
          <w:rFonts w:eastAsia="Times New Roman"/>
          <w:color w:val="auto"/>
          <w:lang w:eastAsia="en-AU"/>
        </w:rPr>
        <w:t>, which notes that:</w:t>
      </w:r>
    </w:p>
    <w:p w14:paraId="232807B3" w14:textId="306EF834" w:rsidR="009438E0" w:rsidRPr="009C07DE" w:rsidRDefault="009438E0" w:rsidP="001F3558">
      <w:pPr>
        <w:pStyle w:val="Default"/>
        <w:rPr>
          <w:rFonts w:eastAsia="Times New Roman"/>
          <w:color w:val="auto"/>
          <w:lang w:eastAsia="en-AU"/>
        </w:rPr>
      </w:pPr>
    </w:p>
    <w:p w14:paraId="27F88550" w14:textId="77777777" w:rsidR="009A6CC8" w:rsidRPr="009C07DE" w:rsidRDefault="009438E0" w:rsidP="00C37B28">
      <w:pPr>
        <w:pStyle w:val="Default"/>
        <w:ind w:left="720"/>
        <w:rPr>
          <w:rFonts w:eastAsia="Times New Roman"/>
          <w:i/>
          <w:color w:val="auto"/>
          <w:lang w:eastAsia="en-AU"/>
        </w:rPr>
      </w:pPr>
      <w:r w:rsidRPr="009C07DE">
        <w:rPr>
          <w:rFonts w:eastAsia="Times New Roman"/>
          <w:i/>
          <w:color w:val="auto"/>
          <w:lang w:eastAsia="en-AU"/>
        </w:rPr>
        <w:t xml:space="preserve">There are currently no disclosure requirements in relation to the audit committee activities of entities. This is out of step with the practice of listed companies. It is our consistent view that Commonwealth government reporting and accountability practice should match better practice in the corporate sector. Currently, the extent of disclosure of audit committee arrangements by entities is voluntary and inconsistent. </w:t>
      </w:r>
    </w:p>
    <w:p w14:paraId="7482AF2B" w14:textId="77777777" w:rsidR="009A6CC8" w:rsidRPr="009C07DE" w:rsidRDefault="009A6CC8" w:rsidP="00C37B28">
      <w:pPr>
        <w:pStyle w:val="Default"/>
        <w:ind w:left="720"/>
        <w:rPr>
          <w:rFonts w:eastAsia="Times New Roman"/>
          <w:i/>
          <w:color w:val="auto"/>
          <w:lang w:eastAsia="en-AU"/>
        </w:rPr>
      </w:pPr>
    </w:p>
    <w:p w14:paraId="5788A773" w14:textId="19CD4FFF" w:rsidR="009438E0" w:rsidRPr="009C07DE" w:rsidRDefault="009438E0" w:rsidP="00C37B28">
      <w:pPr>
        <w:pStyle w:val="Default"/>
        <w:ind w:left="720"/>
        <w:rPr>
          <w:rFonts w:eastAsia="Times New Roman"/>
          <w:i/>
          <w:color w:val="auto"/>
          <w:lang w:eastAsia="en-AU"/>
        </w:rPr>
      </w:pPr>
      <w:r w:rsidRPr="009C07DE">
        <w:rPr>
          <w:rFonts w:eastAsia="Times New Roman"/>
          <w:i/>
          <w:color w:val="auto"/>
          <w:lang w:eastAsia="en-AU"/>
        </w:rPr>
        <w:t>The Australian Securities Exchange corporate governance principles and recommendations</w:t>
      </w:r>
      <w:r w:rsidRPr="009C07DE">
        <w:rPr>
          <w:rStyle w:val="FootnoteReference"/>
          <w:rFonts w:eastAsia="Times New Roman"/>
          <w:i/>
          <w:color w:val="auto"/>
          <w:lang w:eastAsia="en-AU"/>
        </w:rPr>
        <w:footnoteReference w:id="4"/>
      </w:r>
      <w:r w:rsidRPr="009C07DE">
        <w:rPr>
          <w:rFonts w:eastAsia="Times New Roman"/>
          <w:i/>
          <w:color w:val="auto"/>
          <w:lang w:eastAsia="en-AU"/>
        </w:rPr>
        <w:t xml:space="preserve"> include a recommendation that listed companies disclose the charter of their audit committee, the qualifications and experience of audit committee members, the number of times the committee met through a reporting period, and individual attendances of committee members at those meetings.</w:t>
      </w:r>
      <w:r w:rsidRPr="009C07DE">
        <w:rPr>
          <w:rStyle w:val="FootnoteReference"/>
          <w:rFonts w:eastAsia="Times New Roman"/>
          <w:i/>
          <w:color w:val="auto"/>
          <w:lang w:eastAsia="en-AU"/>
        </w:rPr>
        <w:footnoteReference w:id="5"/>
      </w:r>
      <w:r w:rsidRPr="009C07DE">
        <w:rPr>
          <w:rFonts w:eastAsia="Times New Roman"/>
          <w:i/>
          <w:color w:val="auto"/>
          <w:lang w:eastAsia="en-AU"/>
        </w:rPr>
        <w:t xml:space="preserve"> The remuneration of audit committee members for performing their audit committee role is also disclosed in company remuneration reports. Entities should be required to disclose similar information about their audit committees in their annual reports to improve transparency and accountability. </w:t>
      </w:r>
    </w:p>
    <w:p w14:paraId="4533A546" w14:textId="52160E1E" w:rsidR="001F3558" w:rsidRPr="009C07DE" w:rsidRDefault="001F3558" w:rsidP="001F3558">
      <w:pPr>
        <w:pStyle w:val="Default"/>
        <w:rPr>
          <w:rFonts w:eastAsia="Times New Roman"/>
          <w:color w:val="auto"/>
          <w:lang w:eastAsia="en-AU"/>
        </w:rPr>
      </w:pPr>
    </w:p>
    <w:p w14:paraId="65AE4766" w14:textId="2C8CB1DF" w:rsidR="0094110A" w:rsidRPr="009C07DE" w:rsidRDefault="0094110A" w:rsidP="0094110A">
      <w:pPr>
        <w:pStyle w:val="Default"/>
        <w:rPr>
          <w:rFonts w:eastAsia="Times New Roman"/>
          <w:color w:val="auto"/>
          <w:lang w:eastAsia="en-AU"/>
        </w:rPr>
      </w:pPr>
      <w:r w:rsidRPr="009C07DE">
        <w:rPr>
          <w:rFonts w:eastAsia="Times New Roman"/>
          <w:color w:val="auto"/>
          <w:lang w:eastAsia="en-AU"/>
        </w:rPr>
        <w:t xml:space="preserve">This reporting of audit committee information is consistent with the objects of the </w:t>
      </w:r>
      <w:r w:rsidRPr="009C07DE">
        <w:rPr>
          <w:rFonts w:eastAsia="Times New Roman"/>
          <w:color w:val="auto"/>
          <w:lang w:eastAsia="en-AU"/>
        </w:rPr>
        <w:br/>
      </w:r>
      <w:proofErr w:type="spellStart"/>
      <w:r w:rsidRPr="009C07DE">
        <w:rPr>
          <w:rFonts w:eastAsia="Times New Roman"/>
          <w:color w:val="auto"/>
          <w:lang w:eastAsia="en-AU"/>
        </w:rPr>
        <w:t>PGPA</w:t>
      </w:r>
      <w:proofErr w:type="spellEnd"/>
      <w:r w:rsidRPr="009C07DE">
        <w:rPr>
          <w:rFonts w:eastAsia="Times New Roman"/>
          <w:color w:val="auto"/>
          <w:lang w:eastAsia="en-AU"/>
        </w:rPr>
        <w:t xml:space="preserve"> Act. The objects include establishing a coherent system of governance and accountability across Commonwealth entities and, that the Commonwealth and Commonwealth entities meet high standards of governance, performance and accountability. The objects also require that the Commonwealth and Commonwealth entities provide meaningful information to the Parliament and public, and use and manage public resources properly. </w:t>
      </w:r>
    </w:p>
    <w:p w14:paraId="74089D5F" w14:textId="77777777" w:rsidR="0094110A" w:rsidRPr="009C07DE" w:rsidRDefault="0094110A" w:rsidP="001F3558">
      <w:pPr>
        <w:pStyle w:val="Default"/>
      </w:pPr>
    </w:p>
    <w:p w14:paraId="4CF9992B" w14:textId="1489582E" w:rsidR="001F3558" w:rsidRPr="009C07DE" w:rsidRDefault="001F3558" w:rsidP="001F3558">
      <w:pPr>
        <w:pStyle w:val="Default"/>
      </w:pPr>
      <w:r w:rsidRPr="009C07DE">
        <w:t xml:space="preserve">The potential interference with privacy occasioned by the publication of </w:t>
      </w:r>
      <w:r w:rsidR="00C37B28" w:rsidRPr="009C07DE">
        <w:t xml:space="preserve">names, qualifications, skills, attendance at meetings and remuneration information </w:t>
      </w:r>
      <w:r w:rsidRPr="009C07DE">
        <w:t xml:space="preserve">for </w:t>
      </w:r>
      <w:r w:rsidR="00C37B28" w:rsidRPr="009C07DE">
        <w:t xml:space="preserve">audit committee members </w:t>
      </w:r>
      <w:r w:rsidRPr="009C07DE">
        <w:t xml:space="preserve">in annual reports is also proportionate to the end sought, and could not be achieved in a less rights restrictive way. </w:t>
      </w:r>
    </w:p>
    <w:p w14:paraId="2E38FD9F" w14:textId="3ED0B341" w:rsidR="001F3558" w:rsidRPr="009C07DE" w:rsidRDefault="001F3558" w:rsidP="001F3558">
      <w:pPr>
        <w:pStyle w:val="Default"/>
        <w:rPr>
          <w:rFonts w:eastAsia="Times New Roman"/>
          <w:color w:val="auto"/>
          <w:lang w:eastAsia="en-AU"/>
        </w:rPr>
      </w:pPr>
    </w:p>
    <w:p w14:paraId="5B669600" w14:textId="65817CCE" w:rsidR="001F3558" w:rsidRPr="009C07DE" w:rsidRDefault="001F3558" w:rsidP="001F3558">
      <w:pPr>
        <w:pStyle w:val="Default"/>
      </w:pPr>
      <w:r w:rsidRPr="009C07DE">
        <w:rPr>
          <w:rFonts w:eastAsia="Times New Roman"/>
          <w:color w:val="auto"/>
          <w:lang w:eastAsia="en-AU"/>
        </w:rPr>
        <w:t>Less detailed reporting of this information would not be consistent with the principle that Com</w:t>
      </w:r>
      <w:r w:rsidR="00C37B28" w:rsidRPr="009C07DE">
        <w:rPr>
          <w:rFonts w:eastAsia="Times New Roman"/>
          <w:color w:val="auto"/>
          <w:lang w:eastAsia="en-AU"/>
        </w:rPr>
        <w:t>monwealth entities</w:t>
      </w:r>
      <w:r w:rsidRPr="009C07DE">
        <w:rPr>
          <w:rFonts w:eastAsia="Times New Roman"/>
          <w:color w:val="auto"/>
          <w:lang w:eastAsia="en-AU"/>
        </w:rPr>
        <w:t xml:space="preserve"> should be held to high standards of accountability, as reflected in relevant recommendations of the </w:t>
      </w:r>
      <w:proofErr w:type="spellStart"/>
      <w:r w:rsidRPr="009C07DE">
        <w:rPr>
          <w:rFonts w:eastAsia="Times New Roman"/>
          <w:color w:val="auto"/>
          <w:lang w:eastAsia="en-AU"/>
        </w:rPr>
        <w:t>PGPA</w:t>
      </w:r>
      <w:proofErr w:type="spellEnd"/>
      <w:r w:rsidRPr="009C07DE">
        <w:rPr>
          <w:rFonts w:eastAsia="Times New Roman"/>
          <w:color w:val="auto"/>
          <w:lang w:eastAsia="en-AU"/>
        </w:rPr>
        <w:t xml:space="preserve"> Review, and would not fully address the concerns relating to transparency and accountability to the Parliament and the public discussed in the </w:t>
      </w:r>
      <w:proofErr w:type="spellStart"/>
      <w:r w:rsidRPr="009C07DE">
        <w:rPr>
          <w:rFonts w:eastAsia="Times New Roman"/>
          <w:color w:val="auto"/>
          <w:lang w:eastAsia="en-AU"/>
        </w:rPr>
        <w:t>PGPA</w:t>
      </w:r>
      <w:proofErr w:type="spellEnd"/>
      <w:r w:rsidRPr="009C07DE">
        <w:rPr>
          <w:rFonts w:eastAsia="Times New Roman"/>
          <w:color w:val="auto"/>
          <w:lang w:eastAsia="en-AU"/>
        </w:rPr>
        <w:t xml:space="preserve"> Review report.</w:t>
      </w:r>
    </w:p>
    <w:p w14:paraId="099564A8" w14:textId="77777777" w:rsidR="001F3558" w:rsidRPr="009C07DE" w:rsidRDefault="001F3558" w:rsidP="001F3558">
      <w:pPr>
        <w:pStyle w:val="Default"/>
      </w:pPr>
    </w:p>
    <w:p w14:paraId="43432EAA" w14:textId="77777777" w:rsidR="001F3558" w:rsidRPr="009C07DE" w:rsidRDefault="001F3558" w:rsidP="001F3558">
      <w:pPr>
        <w:rPr>
          <w:b/>
        </w:rPr>
      </w:pPr>
      <w:r w:rsidRPr="009C07DE">
        <w:rPr>
          <w:b/>
        </w:rPr>
        <w:t>Conclusion</w:t>
      </w:r>
    </w:p>
    <w:p w14:paraId="0361FAFD" w14:textId="77777777" w:rsidR="001F3558" w:rsidRPr="009C07DE" w:rsidRDefault="001F3558" w:rsidP="001F3558">
      <w:pPr>
        <w:rPr>
          <w:b/>
        </w:rPr>
      </w:pPr>
    </w:p>
    <w:p w14:paraId="05686254" w14:textId="149BE1C6" w:rsidR="001F3558" w:rsidRPr="009C07DE" w:rsidRDefault="001F3558" w:rsidP="001F3558">
      <w:r w:rsidRPr="009C07DE">
        <w:t>The Amending Rule is compatible with human rights because to the extent that it may limit or restrict the right to privacy, those limitations are reasonable, necessary and proportionate to the objective of ensuring transparency and accountability in the use of public resources.</w:t>
      </w:r>
    </w:p>
    <w:p w14:paraId="1090DC0D" w14:textId="77777777" w:rsidR="001F3558" w:rsidRPr="009C07DE" w:rsidRDefault="001F3558" w:rsidP="001F3558">
      <w:pPr>
        <w:pStyle w:val="paranumbering0"/>
        <w:spacing w:before="0" w:beforeAutospacing="0" w:after="0" w:afterAutospacing="0"/>
        <w:jc w:val="center"/>
        <w:rPr>
          <w:b/>
        </w:rPr>
      </w:pPr>
    </w:p>
    <w:p w14:paraId="37443CE5" w14:textId="6CA8C594" w:rsidR="001F3558" w:rsidRPr="009C07DE" w:rsidRDefault="001F3558" w:rsidP="00BA0AB9">
      <w:pPr>
        <w:pStyle w:val="paranumbering0"/>
        <w:spacing w:before="0" w:beforeAutospacing="0" w:after="0" w:afterAutospacing="0"/>
        <w:rPr>
          <w:b/>
        </w:rPr>
      </w:pPr>
    </w:p>
    <w:p w14:paraId="78DA3553" w14:textId="740242AF" w:rsidR="001F3558" w:rsidRPr="009C07DE" w:rsidRDefault="001F3558" w:rsidP="00BA0AB9">
      <w:pPr>
        <w:pStyle w:val="paranumbering0"/>
        <w:spacing w:before="0" w:beforeAutospacing="0" w:after="0" w:afterAutospacing="0"/>
        <w:jc w:val="center"/>
        <w:rPr>
          <w:b/>
        </w:rPr>
      </w:pPr>
      <w:r w:rsidRPr="009C07DE">
        <w:rPr>
          <w:b/>
        </w:rPr>
        <w:t xml:space="preserve">Senator the Hon Mathias </w:t>
      </w:r>
      <w:proofErr w:type="spellStart"/>
      <w:r w:rsidRPr="009C07DE">
        <w:rPr>
          <w:b/>
        </w:rPr>
        <w:t>Cormann</w:t>
      </w:r>
      <w:proofErr w:type="spellEnd"/>
    </w:p>
    <w:sectPr w:rsidR="001F3558" w:rsidRPr="009C07DE" w:rsidSect="00701BAE">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135" w:left="1440" w:header="709" w:footer="55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23BE4" w14:textId="77777777" w:rsidR="00DA3598" w:rsidRDefault="00DA3598" w:rsidP="00063C9E">
      <w:r>
        <w:separator/>
      </w:r>
    </w:p>
  </w:endnote>
  <w:endnote w:type="continuationSeparator" w:id="0">
    <w:p w14:paraId="01D06F1A" w14:textId="77777777" w:rsidR="00DA3598" w:rsidRDefault="00DA3598" w:rsidP="0006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7377" w14:textId="77777777" w:rsidR="009008CB" w:rsidRDefault="00900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728997"/>
      <w:docPartObj>
        <w:docPartGallery w:val="Page Numbers (Bottom of Page)"/>
        <w:docPartUnique/>
      </w:docPartObj>
    </w:sdtPr>
    <w:sdtEndPr>
      <w:rPr>
        <w:noProof/>
      </w:rPr>
    </w:sdtEndPr>
    <w:sdtContent>
      <w:p w14:paraId="3C572D37" w14:textId="57205192" w:rsidR="00DA3598" w:rsidRDefault="00CE5698" w:rsidP="00701BAE">
        <w:pPr>
          <w:pStyle w:val="Footer"/>
          <w:jc w:val="center"/>
        </w:pPr>
        <w:r>
          <w:fldChar w:fldCharType="begin"/>
        </w:r>
        <w:r>
          <w:instrText xml:space="preserve"> PAGE   \* MERGEFORMAT </w:instrText>
        </w:r>
        <w:r>
          <w:fldChar w:fldCharType="separate"/>
        </w:r>
        <w:r w:rsidR="009C07DE">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CF98D" w14:textId="77777777" w:rsidR="009008CB" w:rsidRDefault="00900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8B50B" w14:textId="77777777" w:rsidR="00DA3598" w:rsidRDefault="00DA3598" w:rsidP="00063C9E">
      <w:r>
        <w:separator/>
      </w:r>
    </w:p>
  </w:footnote>
  <w:footnote w:type="continuationSeparator" w:id="0">
    <w:p w14:paraId="0BC63394" w14:textId="77777777" w:rsidR="00DA3598" w:rsidRDefault="00DA3598" w:rsidP="00063C9E">
      <w:r>
        <w:continuationSeparator/>
      </w:r>
    </w:p>
  </w:footnote>
  <w:footnote w:id="1">
    <w:p w14:paraId="2B547E7A" w14:textId="44AF9C02" w:rsidR="00DA3598" w:rsidRDefault="00DA3598" w:rsidP="001F3558">
      <w:pPr>
        <w:pStyle w:val="FootnoteText"/>
      </w:pPr>
      <w:r>
        <w:rPr>
          <w:rStyle w:val="FootnoteReference"/>
        </w:rPr>
        <w:footnoteRef/>
      </w:r>
      <w:r>
        <w:t xml:space="preserve"> </w:t>
      </w:r>
      <w:r w:rsidRPr="00260D2D">
        <w:rPr>
          <w:rFonts w:ascii="Times New Roman" w:hAnsi="Times New Roman" w:cs="Times New Roman"/>
        </w:rPr>
        <w:t xml:space="preserve">See Human Rights Committee, General Comment No. 16, at </w:t>
      </w:r>
      <w:r w:rsidR="00554520">
        <w:rPr>
          <w:rFonts w:ascii="Times New Roman" w:hAnsi="Times New Roman" w:cs="Times New Roman"/>
        </w:rPr>
        <w:t xml:space="preserve">paragraph </w:t>
      </w:r>
      <w:r w:rsidRPr="00260D2D">
        <w:rPr>
          <w:rFonts w:ascii="Times New Roman" w:hAnsi="Times New Roman" w:cs="Times New Roman"/>
        </w:rPr>
        <w:t>4.</w:t>
      </w:r>
    </w:p>
  </w:footnote>
  <w:footnote w:id="2">
    <w:p w14:paraId="6384CB03" w14:textId="0C8E74A4" w:rsidR="00DA3598" w:rsidRDefault="00DA3598" w:rsidP="001F3558">
      <w:pPr>
        <w:pStyle w:val="FootnoteText"/>
      </w:pPr>
      <w:r>
        <w:rPr>
          <w:rStyle w:val="FootnoteReference"/>
        </w:rPr>
        <w:footnoteRef/>
      </w:r>
      <w:r>
        <w:t xml:space="preserve"> </w:t>
      </w:r>
      <w:r w:rsidRPr="00260D2D">
        <w:rPr>
          <w:rFonts w:ascii="Times New Roman" w:hAnsi="Times New Roman" w:cs="Times New Roman"/>
        </w:rPr>
        <w:t xml:space="preserve">See </w:t>
      </w:r>
      <w:proofErr w:type="spellStart"/>
      <w:r w:rsidRPr="00260D2D">
        <w:rPr>
          <w:rFonts w:ascii="Times New Roman" w:hAnsi="Times New Roman" w:cs="Times New Roman"/>
          <w:i/>
        </w:rPr>
        <w:t>Toonen</w:t>
      </w:r>
      <w:proofErr w:type="spellEnd"/>
      <w:r w:rsidRPr="00260D2D">
        <w:rPr>
          <w:rFonts w:ascii="Times New Roman" w:hAnsi="Times New Roman" w:cs="Times New Roman"/>
          <w:i/>
        </w:rPr>
        <w:t xml:space="preserve"> v. Australia</w:t>
      </w:r>
      <w:r w:rsidRPr="00260D2D">
        <w:rPr>
          <w:rFonts w:ascii="Times New Roman" w:hAnsi="Times New Roman" w:cs="Times New Roman"/>
        </w:rPr>
        <w:t xml:space="preserve"> (</w:t>
      </w:r>
      <w:proofErr w:type="spellStart"/>
      <w:r w:rsidRPr="00260D2D">
        <w:rPr>
          <w:rFonts w:ascii="Times New Roman" w:hAnsi="Times New Roman" w:cs="Times New Roman"/>
        </w:rPr>
        <w:t>CCPR</w:t>
      </w:r>
      <w:proofErr w:type="spellEnd"/>
      <w:r w:rsidRPr="00260D2D">
        <w:rPr>
          <w:rFonts w:ascii="Times New Roman" w:hAnsi="Times New Roman" w:cs="Times New Roman"/>
        </w:rPr>
        <w:t>/C/50/D/488/1992),</w:t>
      </w:r>
      <w:r w:rsidR="00554520">
        <w:rPr>
          <w:rFonts w:ascii="Times New Roman" w:hAnsi="Times New Roman" w:cs="Times New Roman"/>
        </w:rPr>
        <w:t xml:space="preserve"> at</w:t>
      </w:r>
      <w:r w:rsidRPr="00260D2D">
        <w:rPr>
          <w:rFonts w:ascii="Times New Roman" w:hAnsi="Times New Roman" w:cs="Times New Roman"/>
        </w:rPr>
        <w:t xml:space="preserve"> para</w:t>
      </w:r>
      <w:r w:rsidR="00554520">
        <w:rPr>
          <w:rFonts w:ascii="Times New Roman" w:hAnsi="Times New Roman" w:cs="Times New Roman"/>
        </w:rPr>
        <w:t>graph</w:t>
      </w:r>
      <w:r w:rsidRPr="00260D2D">
        <w:rPr>
          <w:rFonts w:ascii="Times New Roman" w:hAnsi="Times New Roman" w:cs="Times New Roman"/>
        </w:rPr>
        <w:t xml:space="preserve"> 8.3.</w:t>
      </w:r>
    </w:p>
  </w:footnote>
  <w:footnote w:id="3">
    <w:p w14:paraId="79AC2FA3" w14:textId="47EFCEFA" w:rsidR="00AD674D" w:rsidRDefault="00AD674D">
      <w:pPr>
        <w:pStyle w:val="FootnoteText"/>
      </w:pPr>
      <w:r>
        <w:rPr>
          <w:rStyle w:val="FootnoteReference"/>
        </w:rPr>
        <w:footnoteRef/>
      </w:r>
      <w:r>
        <w:t xml:space="preserve"> </w:t>
      </w:r>
      <w:r w:rsidR="001C5D33">
        <w:t xml:space="preserve">See </w:t>
      </w:r>
      <w:r w:rsidRPr="00AD674D">
        <w:rPr>
          <w:rFonts w:ascii="Times New Roman" w:hAnsi="Times New Roman" w:cs="Times New Roman"/>
        </w:rPr>
        <w:t>Independent Review into the Operation of the Public Governance, Performance and Accountability Act 2013 and Rule (p. 31).</w:t>
      </w:r>
      <w:r>
        <w:t xml:space="preserve"> </w:t>
      </w:r>
    </w:p>
  </w:footnote>
  <w:footnote w:id="4">
    <w:p w14:paraId="59E6FCBD" w14:textId="5B9A8196" w:rsidR="009438E0" w:rsidRPr="009438E0" w:rsidRDefault="009438E0">
      <w:pPr>
        <w:pStyle w:val="FootnoteText"/>
        <w:rPr>
          <w:rFonts w:ascii="Times New Roman" w:hAnsi="Times New Roman" w:cs="Times New Roman"/>
        </w:rPr>
      </w:pPr>
      <w:r>
        <w:rPr>
          <w:rStyle w:val="FootnoteReference"/>
        </w:rPr>
        <w:footnoteRef/>
      </w:r>
      <w:r>
        <w:t xml:space="preserve"> </w:t>
      </w:r>
      <w:r w:rsidRPr="009438E0">
        <w:rPr>
          <w:rFonts w:ascii="Times New Roman" w:hAnsi="Times New Roman" w:cs="Times New Roman"/>
        </w:rPr>
        <w:t>In its submission on the draft report, the Australian Securities and Investments Commission noted that these principles are not mandatory and perhaps a better approach might be to adapt an ‘if not, why not’ approach  to their application (p. 2).</w:t>
      </w:r>
    </w:p>
  </w:footnote>
  <w:footnote w:id="5">
    <w:p w14:paraId="4C25D4D2" w14:textId="5F0546E4" w:rsidR="009438E0" w:rsidRPr="009438E0" w:rsidRDefault="009438E0">
      <w:pPr>
        <w:pStyle w:val="FootnoteText"/>
        <w:rPr>
          <w:rFonts w:ascii="Times New Roman" w:hAnsi="Times New Roman" w:cs="Times New Roman"/>
        </w:rPr>
      </w:pPr>
      <w:r>
        <w:rPr>
          <w:rStyle w:val="FootnoteReference"/>
        </w:rPr>
        <w:footnoteRef/>
      </w:r>
      <w:r>
        <w:t xml:space="preserve"> </w:t>
      </w:r>
      <w:r w:rsidRPr="009438E0">
        <w:rPr>
          <w:rFonts w:ascii="Times New Roman" w:hAnsi="Times New Roman" w:cs="Times New Roman"/>
        </w:rPr>
        <w:t xml:space="preserve">See </w:t>
      </w:r>
      <w:proofErr w:type="spellStart"/>
      <w:r w:rsidRPr="009438E0">
        <w:rPr>
          <w:rFonts w:ascii="Times New Roman" w:hAnsi="Times New Roman" w:cs="Times New Roman"/>
        </w:rPr>
        <w:t>ASX</w:t>
      </w:r>
      <w:proofErr w:type="spellEnd"/>
      <w:r w:rsidRPr="009438E0">
        <w:rPr>
          <w:rFonts w:ascii="Times New Roman" w:hAnsi="Times New Roman" w:cs="Times New Roman"/>
        </w:rPr>
        <w:t xml:space="preserve"> Corporate Governance Council, Corporate Governance Principles and Recommendations (3rd </w:t>
      </w:r>
      <w:proofErr w:type="spellStart"/>
      <w:r w:rsidRPr="009438E0">
        <w:rPr>
          <w:rFonts w:ascii="Times New Roman" w:hAnsi="Times New Roman" w:cs="Times New Roman"/>
        </w:rPr>
        <w:t>edn</w:t>
      </w:r>
      <w:proofErr w:type="spellEnd"/>
      <w:r w:rsidRPr="009438E0">
        <w:rPr>
          <w:rFonts w:ascii="Times New Roman" w:hAnsi="Times New Roman" w:cs="Times New Roman"/>
        </w:rPr>
        <w:t>),    Recommendation 4.1 (p.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9DDE7" w14:textId="77777777" w:rsidR="009008CB" w:rsidRDefault="009008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FB0A4" w14:textId="1D53C7E5" w:rsidR="00DA3598" w:rsidRDefault="00DA3598" w:rsidP="0004505E">
    <w:pPr>
      <w:pStyle w:val="Header"/>
      <w:tabs>
        <w:tab w:val="left" w:pos="497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4AD49" w14:textId="2BC3C695" w:rsidR="00DA3598" w:rsidRDefault="00DA359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213"/>
    <w:multiLevelType w:val="hybridMultilevel"/>
    <w:tmpl w:val="0FAEFC3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nsid w:val="02E53CD9"/>
    <w:multiLevelType w:val="hybridMultilevel"/>
    <w:tmpl w:val="124C3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237808"/>
    <w:multiLevelType w:val="hybridMultilevel"/>
    <w:tmpl w:val="5336B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9438A4"/>
    <w:multiLevelType w:val="hybridMultilevel"/>
    <w:tmpl w:val="5EBE1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8C639A"/>
    <w:multiLevelType w:val="hybridMultilevel"/>
    <w:tmpl w:val="7826B848"/>
    <w:lvl w:ilvl="0" w:tplc="BF129D3C">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3C3D6C"/>
    <w:multiLevelType w:val="hybridMultilevel"/>
    <w:tmpl w:val="0DB41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EB704A"/>
    <w:multiLevelType w:val="hybridMultilevel"/>
    <w:tmpl w:val="38F6B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BF72B8"/>
    <w:multiLevelType w:val="hybridMultilevel"/>
    <w:tmpl w:val="A740B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F31406"/>
    <w:multiLevelType w:val="hybridMultilevel"/>
    <w:tmpl w:val="AF0A8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7B2DF8"/>
    <w:multiLevelType w:val="hybridMultilevel"/>
    <w:tmpl w:val="81F41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E82F7A"/>
    <w:multiLevelType w:val="hybridMultilevel"/>
    <w:tmpl w:val="6F04771E"/>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32434B"/>
    <w:multiLevelType w:val="hybridMultilevel"/>
    <w:tmpl w:val="BE460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420D72"/>
    <w:multiLevelType w:val="hybridMultilevel"/>
    <w:tmpl w:val="FB1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A53D38"/>
    <w:multiLevelType w:val="hybridMultilevel"/>
    <w:tmpl w:val="7752169C"/>
    <w:lvl w:ilvl="0" w:tplc="0C09001B">
      <w:start w:val="1"/>
      <w:numFmt w:val="lowerRoman"/>
      <w:lvlText w:val="%1."/>
      <w:lvlJc w:val="right"/>
      <w:pPr>
        <w:ind w:left="1571" w:hanging="360"/>
      </w:pPr>
    </w:lvl>
    <w:lvl w:ilvl="1" w:tplc="0C090019">
      <w:start w:val="1"/>
      <w:numFmt w:val="lowerLetter"/>
      <w:lvlText w:val="%2."/>
      <w:lvlJc w:val="left"/>
      <w:pPr>
        <w:ind w:left="2291" w:hanging="360"/>
      </w:pPr>
    </w:lvl>
    <w:lvl w:ilvl="2" w:tplc="0C09001B">
      <w:start w:val="1"/>
      <w:numFmt w:val="lowerRoman"/>
      <w:lvlText w:val="%3."/>
      <w:lvlJc w:val="right"/>
      <w:pPr>
        <w:ind w:left="3011" w:hanging="180"/>
      </w:pPr>
    </w:lvl>
    <w:lvl w:ilvl="3" w:tplc="0C09000F">
      <w:start w:val="1"/>
      <w:numFmt w:val="decimal"/>
      <w:lvlText w:val="%4."/>
      <w:lvlJc w:val="left"/>
      <w:pPr>
        <w:ind w:left="3731" w:hanging="360"/>
      </w:pPr>
    </w:lvl>
    <w:lvl w:ilvl="4" w:tplc="0C090019">
      <w:start w:val="1"/>
      <w:numFmt w:val="lowerLetter"/>
      <w:lvlText w:val="%5."/>
      <w:lvlJc w:val="left"/>
      <w:pPr>
        <w:ind w:left="4451" w:hanging="360"/>
      </w:pPr>
    </w:lvl>
    <w:lvl w:ilvl="5" w:tplc="0C09001B">
      <w:start w:val="1"/>
      <w:numFmt w:val="lowerRoman"/>
      <w:lvlText w:val="%6."/>
      <w:lvlJc w:val="right"/>
      <w:pPr>
        <w:ind w:left="5171" w:hanging="180"/>
      </w:pPr>
    </w:lvl>
    <w:lvl w:ilvl="6" w:tplc="0C09000F">
      <w:start w:val="1"/>
      <w:numFmt w:val="decimal"/>
      <w:lvlText w:val="%7."/>
      <w:lvlJc w:val="left"/>
      <w:pPr>
        <w:ind w:left="5891" w:hanging="360"/>
      </w:pPr>
    </w:lvl>
    <w:lvl w:ilvl="7" w:tplc="0C090019">
      <w:start w:val="1"/>
      <w:numFmt w:val="lowerLetter"/>
      <w:lvlText w:val="%8."/>
      <w:lvlJc w:val="left"/>
      <w:pPr>
        <w:ind w:left="6611" w:hanging="360"/>
      </w:pPr>
    </w:lvl>
    <w:lvl w:ilvl="8" w:tplc="0C09001B">
      <w:start w:val="1"/>
      <w:numFmt w:val="lowerRoman"/>
      <w:lvlText w:val="%9."/>
      <w:lvlJc w:val="right"/>
      <w:pPr>
        <w:ind w:left="7331" w:hanging="180"/>
      </w:pPr>
    </w:lvl>
  </w:abstractNum>
  <w:abstractNum w:abstractNumId="14">
    <w:nsid w:val="2F5C1B26"/>
    <w:multiLevelType w:val="hybridMultilevel"/>
    <w:tmpl w:val="7B16A0D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5">
    <w:nsid w:val="30D339E6"/>
    <w:multiLevelType w:val="hybridMultilevel"/>
    <w:tmpl w:val="BDDC2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1B0695"/>
    <w:multiLevelType w:val="hybridMultilevel"/>
    <w:tmpl w:val="508C6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1DD2E37"/>
    <w:multiLevelType w:val="hybridMultilevel"/>
    <w:tmpl w:val="3C6A0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BC0D99"/>
    <w:multiLevelType w:val="hybridMultilevel"/>
    <w:tmpl w:val="0C6264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3B15A90"/>
    <w:multiLevelType w:val="hybridMultilevel"/>
    <w:tmpl w:val="0456C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A7C5DC8"/>
    <w:multiLevelType w:val="hybridMultilevel"/>
    <w:tmpl w:val="24D2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9B7CAD"/>
    <w:multiLevelType w:val="hybridMultilevel"/>
    <w:tmpl w:val="76CC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FD749F1"/>
    <w:multiLevelType w:val="multilevel"/>
    <w:tmpl w:val="B6BA7F0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D566C8"/>
    <w:multiLevelType w:val="hybridMultilevel"/>
    <w:tmpl w:val="C06A2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2CD6CB6"/>
    <w:multiLevelType w:val="hybridMultilevel"/>
    <w:tmpl w:val="8ECCC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3222A7D"/>
    <w:multiLevelType w:val="hybridMultilevel"/>
    <w:tmpl w:val="D4205C12"/>
    <w:lvl w:ilvl="0" w:tplc="B4E8CCBC">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38D305F"/>
    <w:multiLevelType w:val="hybridMultilevel"/>
    <w:tmpl w:val="D68A2DA4"/>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7">
    <w:nsid w:val="43D205A4"/>
    <w:multiLevelType w:val="hybridMultilevel"/>
    <w:tmpl w:val="1EDE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509226F"/>
    <w:multiLevelType w:val="hybridMultilevel"/>
    <w:tmpl w:val="648E22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nsid w:val="48CA28B9"/>
    <w:multiLevelType w:val="hybridMultilevel"/>
    <w:tmpl w:val="DD5CC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A44696E"/>
    <w:multiLevelType w:val="hybridMultilevel"/>
    <w:tmpl w:val="F2DA1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AA82E43"/>
    <w:multiLevelType w:val="hybridMultilevel"/>
    <w:tmpl w:val="E9E4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B8B1FFB"/>
    <w:multiLevelType w:val="hybridMultilevel"/>
    <w:tmpl w:val="3CE0B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F7D15EF"/>
    <w:multiLevelType w:val="hybridMultilevel"/>
    <w:tmpl w:val="673CE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4A71BA9"/>
    <w:multiLevelType w:val="hybridMultilevel"/>
    <w:tmpl w:val="C06C6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7962765"/>
    <w:multiLevelType w:val="hybridMultilevel"/>
    <w:tmpl w:val="0E88D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86837AB"/>
    <w:multiLevelType w:val="hybridMultilevel"/>
    <w:tmpl w:val="21F87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AB743B6"/>
    <w:multiLevelType w:val="hybridMultilevel"/>
    <w:tmpl w:val="A1FCB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F4F7D97"/>
    <w:multiLevelType w:val="hybridMultilevel"/>
    <w:tmpl w:val="D4347B4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nsid w:val="71BA3D4F"/>
    <w:multiLevelType w:val="hybridMultilevel"/>
    <w:tmpl w:val="10280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39148A8"/>
    <w:multiLevelType w:val="hybridMultilevel"/>
    <w:tmpl w:val="1990118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A4B6062"/>
    <w:multiLevelType w:val="hybridMultilevel"/>
    <w:tmpl w:val="D95E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E4A42C8"/>
    <w:multiLevelType w:val="hybridMultilevel"/>
    <w:tmpl w:val="8C148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27"/>
  </w:num>
  <w:num w:numId="5">
    <w:abstractNumId w:val="37"/>
  </w:num>
  <w:num w:numId="6">
    <w:abstractNumId w:val="25"/>
  </w:num>
  <w:num w:numId="7">
    <w:abstractNumId w:val="13"/>
  </w:num>
  <w:num w:numId="8">
    <w:abstractNumId w:val="13"/>
  </w:num>
  <w:num w:numId="9">
    <w:abstractNumId w:val="19"/>
  </w:num>
  <w:num w:numId="10">
    <w:abstractNumId w:val="18"/>
  </w:num>
  <w:num w:numId="11">
    <w:abstractNumId w:val="40"/>
  </w:num>
  <w:num w:numId="12">
    <w:abstractNumId w:val="26"/>
  </w:num>
  <w:num w:numId="13">
    <w:abstractNumId w:val="28"/>
  </w:num>
  <w:num w:numId="14">
    <w:abstractNumId w:val="16"/>
  </w:num>
  <w:num w:numId="15">
    <w:abstractNumId w:val="7"/>
  </w:num>
  <w:num w:numId="16">
    <w:abstractNumId w:val="36"/>
  </w:num>
  <w:num w:numId="17">
    <w:abstractNumId w:val="21"/>
  </w:num>
  <w:num w:numId="18">
    <w:abstractNumId w:val="22"/>
  </w:num>
  <w:num w:numId="19">
    <w:abstractNumId w:val="10"/>
  </w:num>
  <w:num w:numId="20">
    <w:abstractNumId w:val="33"/>
  </w:num>
  <w:num w:numId="21">
    <w:abstractNumId w:val="39"/>
  </w:num>
  <w:num w:numId="22">
    <w:abstractNumId w:val="38"/>
  </w:num>
  <w:num w:numId="23">
    <w:abstractNumId w:val="0"/>
  </w:num>
  <w:num w:numId="24">
    <w:abstractNumId w:val="23"/>
  </w:num>
  <w:num w:numId="25">
    <w:abstractNumId w:val="29"/>
  </w:num>
  <w:num w:numId="26">
    <w:abstractNumId w:val="42"/>
  </w:num>
  <w:num w:numId="27">
    <w:abstractNumId w:val="17"/>
  </w:num>
  <w:num w:numId="28">
    <w:abstractNumId w:val="6"/>
  </w:num>
  <w:num w:numId="29">
    <w:abstractNumId w:val="14"/>
  </w:num>
  <w:num w:numId="30">
    <w:abstractNumId w:val="35"/>
  </w:num>
  <w:num w:numId="31">
    <w:abstractNumId w:val="3"/>
  </w:num>
  <w:num w:numId="32">
    <w:abstractNumId w:val="8"/>
  </w:num>
  <w:num w:numId="33">
    <w:abstractNumId w:val="20"/>
  </w:num>
  <w:num w:numId="34">
    <w:abstractNumId w:val="9"/>
  </w:num>
  <w:num w:numId="35">
    <w:abstractNumId w:val="41"/>
  </w:num>
  <w:num w:numId="36">
    <w:abstractNumId w:val="31"/>
  </w:num>
  <w:num w:numId="37">
    <w:abstractNumId w:val="1"/>
  </w:num>
  <w:num w:numId="38">
    <w:abstractNumId w:val="15"/>
  </w:num>
  <w:num w:numId="39">
    <w:abstractNumId w:val="34"/>
  </w:num>
  <w:num w:numId="40">
    <w:abstractNumId w:val="24"/>
  </w:num>
  <w:num w:numId="41">
    <w:abstractNumId w:val="30"/>
  </w:num>
  <w:num w:numId="42">
    <w:abstractNumId w:val="11"/>
  </w:num>
  <w:num w:numId="43">
    <w:abstractNumId w:val="32"/>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4F9"/>
    <w:rsid w:val="0000087E"/>
    <w:rsid w:val="0000138A"/>
    <w:rsid w:val="0000562B"/>
    <w:rsid w:val="00006A61"/>
    <w:rsid w:val="0001177B"/>
    <w:rsid w:val="000120CE"/>
    <w:rsid w:val="00015B31"/>
    <w:rsid w:val="00016690"/>
    <w:rsid w:val="00016FBD"/>
    <w:rsid w:val="00017136"/>
    <w:rsid w:val="00017DC5"/>
    <w:rsid w:val="0002009E"/>
    <w:rsid w:val="000200CF"/>
    <w:rsid w:val="000209F7"/>
    <w:rsid w:val="00020BD0"/>
    <w:rsid w:val="000215F8"/>
    <w:rsid w:val="000236C9"/>
    <w:rsid w:val="00024813"/>
    <w:rsid w:val="00024D0A"/>
    <w:rsid w:val="00025954"/>
    <w:rsid w:val="00025D05"/>
    <w:rsid w:val="0002702A"/>
    <w:rsid w:val="00027364"/>
    <w:rsid w:val="000274FF"/>
    <w:rsid w:val="00027A9C"/>
    <w:rsid w:val="00030505"/>
    <w:rsid w:val="000305FA"/>
    <w:rsid w:val="00031029"/>
    <w:rsid w:val="00031D99"/>
    <w:rsid w:val="0003356E"/>
    <w:rsid w:val="00034E46"/>
    <w:rsid w:val="00035EF5"/>
    <w:rsid w:val="00037964"/>
    <w:rsid w:val="000379B4"/>
    <w:rsid w:val="0004136D"/>
    <w:rsid w:val="00041918"/>
    <w:rsid w:val="00041CB2"/>
    <w:rsid w:val="000428F2"/>
    <w:rsid w:val="00043203"/>
    <w:rsid w:val="0004341B"/>
    <w:rsid w:val="000437A3"/>
    <w:rsid w:val="0004505E"/>
    <w:rsid w:val="000455C1"/>
    <w:rsid w:val="00045614"/>
    <w:rsid w:val="000467A0"/>
    <w:rsid w:val="00046E11"/>
    <w:rsid w:val="000502DB"/>
    <w:rsid w:val="00050309"/>
    <w:rsid w:val="0005039A"/>
    <w:rsid w:val="00052146"/>
    <w:rsid w:val="000523EC"/>
    <w:rsid w:val="00052A24"/>
    <w:rsid w:val="00053970"/>
    <w:rsid w:val="00055BA8"/>
    <w:rsid w:val="0005763C"/>
    <w:rsid w:val="00061A48"/>
    <w:rsid w:val="00061E47"/>
    <w:rsid w:val="000626E9"/>
    <w:rsid w:val="0006315A"/>
    <w:rsid w:val="00063C9E"/>
    <w:rsid w:val="00066049"/>
    <w:rsid w:val="00070FB9"/>
    <w:rsid w:val="0007164D"/>
    <w:rsid w:val="00071BAD"/>
    <w:rsid w:val="00072616"/>
    <w:rsid w:val="00072B13"/>
    <w:rsid w:val="0007310C"/>
    <w:rsid w:val="0007329E"/>
    <w:rsid w:val="00075BE7"/>
    <w:rsid w:val="00075C01"/>
    <w:rsid w:val="00076717"/>
    <w:rsid w:val="00077283"/>
    <w:rsid w:val="00077F72"/>
    <w:rsid w:val="00080FB6"/>
    <w:rsid w:val="00081A2E"/>
    <w:rsid w:val="00082367"/>
    <w:rsid w:val="00082A3E"/>
    <w:rsid w:val="0008306F"/>
    <w:rsid w:val="000836F6"/>
    <w:rsid w:val="00085A0E"/>
    <w:rsid w:val="00085AB1"/>
    <w:rsid w:val="00087AF6"/>
    <w:rsid w:val="000935B0"/>
    <w:rsid w:val="00093C26"/>
    <w:rsid w:val="00095F54"/>
    <w:rsid w:val="0009611E"/>
    <w:rsid w:val="000962A2"/>
    <w:rsid w:val="000973E1"/>
    <w:rsid w:val="00097451"/>
    <w:rsid w:val="00097ABA"/>
    <w:rsid w:val="00097F1F"/>
    <w:rsid w:val="00097F3F"/>
    <w:rsid w:val="000A2A3A"/>
    <w:rsid w:val="000A2CE1"/>
    <w:rsid w:val="000A2ECA"/>
    <w:rsid w:val="000A3D7F"/>
    <w:rsid w:val="000A4A9B"/>
    <w:rsid w:val="000A4DCB"/>
    <w:rsid w:val="000A54AE"/>
    <w:rsid w:val="000A5D83"/>
    <w:rsid w:val="000A6332"/>
    <w:rsid w:val="000A65C2"/>
    <w:rsid w:val="000A7D59"/>
    <w:rsid w:val="000B083A"/>
    <w:rsid w:val="000B100B"/>
    <w:rsid w:val="000B19A3"/>
    <w:rsid w:val="000B2AD3"/>
    <w:rsid w:val="000B2CD2"/>
    <w:rsid w:val="000B31ED"/>
    <w:rsid w:val="000B391C"/>
    <w:rsid w:val="000B3984"/>
    <w:rsid w:val="000B438B"/>
    <w:rsid w:val="000B4868"/>
    <w:rsid w:val="000B486E"/>
    <w:rsid w:val="000B4ED1"/>
    <w:rsid w:val="000B5A84"/>
    <w:rsid w:val="000B6EB5"/>
    <w:rsid w:val="000C1416"/>
    <w:rsid w:val="000C2231"/>
    <w:rsid w:val="000C2A3C"/>
    <w:rsid w:val="000C33DA"/>
    <w:rsid w:val="000C44C6"/>
    <w:rsid w:val="000C53C3"/>
    <w:rsid w:val="000C5A1A"/>
    <w:rsid w:val="000D0975"/>
    <w:rsid w:val="000D1159"/>
    <w:rsid w:val="000D1B54"/>
    <w:rsid w:val="000D2900"/>
    <w:rsid w:val="000D3732"/>
    <w:rsid w:val="000D3914"/>
    <w:rsid w:val="000D43C8"/>
    <w:rsid w:val="000D5752"/>
    <w:rsid w:val="000D5E62"/>
    <w:rsid w:val="000D640B"/>
    <w:rsid w:val="000D6E0E"/>
    <w:rsid w:val="000D76E9"/>
    <w:rsid w:val="000E148C"/>
    <w:rsid w:val="000E2AE8"/>
    <w:rsid w:val="000E42C5"/>
    <w:rsid w:val="000E4D7F"/>
    <w:rsid w:val="000E5345"/>
    <w:rsid w:val="000E78DA"/>
    <w:rsid w:val="000E7EA8"/>
    <w:rsid w:val="000F1448"/>
    <w:rsid w:val="000F1863"/>
    <w:rsid w:val="000F1883"/>
    <w:rsid w:val="000F1F13"/>
    <w:rsid w:val="000F23DF"/>
    <w:rsid w:val="000F2645"/>
    <w:rsid w:val="000F2CB7"/>
    <w:rsid w:val="000F37EC"/>
    <w:rsid w:val="000F3FE4"/>
    <w:rsid w:val="000F410B"/>
    <w:rsid w:val="000F4255"/>
    <w:rsid w:val="000F42A0"/>
    <w:rsid w:val="000F44BA"/>
    <w:rsid w:val="001000C4"/>
    <w:rsid w:val="00101B64"/>
    <w:rsid w:val="00101F19"/>
    <w:rsid w:val="00102DD5"/>
    <w:rsid w:val="00103439"/>
    <w:rsid w:val="00105655"/>
    <w:rsid w:val="0010579B"/>
    <w:rsid w:val="001057DA"/>
    <w:rsid w:val="00105AD5"/>
    <w:rsid w:val="00105FB4"/>
    <w:rsid w:val="00106F22"/>
    <w:rsid w:val="0010721C"/>
    <w:rsid w:val="00107AA9"/>
    <w:rsid w:val="00107E33"/>
    <w:rsid w:val="00110858"/>
    <w:rsid w:val="0011126F"/>
    <w:rsid w:val="001117F4"/>
    <w:rsid w:val="00111F31"/>
    <w:rsid w:val="00111FEC"/>
    <w:rsid w:val="001168C2"/>
    <w:rsid w:val="00117EC8"/>
    <w:rsid w:val="00122856"/>
    <w:rsid w:val="00122BDA"/>
    <w:rsid w:val="00125FF4"/>
    <w:rsid w:val="00130C06"/>
    <w:rsid w:val="001311F0"/>
    <w:rsid w:val="00131D4A"/>
    <w:rsid w:val="00131E22"/>
    <w:rsid w:val="00131FD7"/>
    <w:rsid w:val="00132F8A"/>
    <w:rsid w:val="001340F9"/>
    <w:rsid w:val="00134469"/>
    <w:rsid w:val="001344B5"/>
    <w:rsid w:val="00134D92"/>
    <w:rsid w:val="0013533A"/>
    <w:rsid w:val="00135D7E"/>
    <w:rsid w:val="001367DE"/>
    <w:rsid w:val="0014138C"/>
    <w:rsid w:val="00141FE8"/>
    <w:rsid w:val="0014294F"/>
    <w:rsid w:val="00142C28"/>
    <w:rsid w:val="00145624"/>
    <w:rsid w:val="00145E67"/>
    <w:rsid w:val="00147325"/>
    <w:rsid w:val="00147703"/>
    <w:rsid w:val="001517DB"/>
    <w:rsid w:val="00152C36"/>
    <w:rsid w:val="00153315"/>
    <w:rsid w:val="001543F6"/>
    <w:rsid w:val="001544B4"/>
    <w:rsid w:val="001553B7"/>
    <w:rsid w:val="00155D89"/>
    <w:rsid w:val="00156676"/>
    <w:rsid w:val="00157B84"/>
    <w:rsid w:val="00160EC1"/>
    <w:rsid w:val="00164A68"/>
    <w:rsid w:val="0016582E"/>
    <w:rsid w:val="001661B7"/>
    <w:rsid w:val="00166317"/>
    <w:rsid w:val="00166488"/>
    <w:rsid w:val="00167D04"/>
    <w:rsid w:val="00167DE0"/>
    <w:rsid w:val="00171EF0"/>
    <w:rsid w:val="00174A68"/>
    <w:rsid w:val="00174A9E"/>
    <w:rsid w:val="00174B1D"/>
    <w:rsid w:val="00174BA7"/>
    <w:rsid w:val="001758EE"/>
    <w:rsid w:val="00175E81"/>
    <w:rsid w:val="001762E1"/>
    <w:rsid w:val="001763BA"/>
    <w:rsid w:val="00176E66"/>
    <w:rsid w:val="00176FFE"/>
    <w:rsid w:val="0017738E"/>
    <w:rsid w:val="0017775D"/>
    <w:rsid w:val="001777C2"/>
    <w:rsid w:val="001778AF"/>
    <w:rsid w:val="00181B25"/>
    <w:rsid w:val="00182A0F"/>
    <w:rsid w:val="00183C30"/>
    <w:rsid w:val="00184F2E"/>
    <w:rsid w:val="001859D5"/>
    <w:rsid w:val="00187EAE"/>
    <w:rsid w:val="0019170E"/>
    <w:rsid w:val="00192235"/>
    <w:rsid w:val="001926F2"/>
    <w:rsid w:val="00192BF3"/>
    <w:rsid w:val="001933F6"/>
    <w:rsid w:val="001936BE"/>
    <w:rsid w:val="00193EEA"/>
    <w:rsid w:val="0019405E"/>
    <w:rsid w:val="001942C8"/>
    <w:rsid w:val="001944E4"/>
    <w:rsid w:val="00194A27"/>
    <w:rsid w:val="0019502E"/>
    <w:rsid w:val="00196B57"/>
    <w:rsid w:val="001A08DE"/>
    <w:rsid w:val="001A12D0"/>
    <w:rsid w:val="001A1B8F"/>
    <w:rsid w:val="001A2E7A"/>
    <w:rsid w:val="001A2FB3"/>
    <w:rsid w:val="001A3CEF"/>
    <w:rsid w:val="001A47E9"/>
    <w:rsid w:val="001A4917"/>
    <w:rsid w:val="001A59B4"/>
    <w:rsid w:val="001A5B13"/>
    <w:rsid w:val="001A6249"/>
    <w:rsid w:val="001A6323"/>
    <w:rsid w:val="001A6C88"/>
    <w:rsid w:val="001A77C4"/>
    <w:rsid w:val="001B017E"/>
    <w:rsid w:val="001B01F0"/>
    <w:rsid w:val="001B0E11"/>
    <w:rsid w:val="001B1033"/>
    <w:rsid w:val="001B122D"/>
    <w:rsid w:val="001B1DE8"/>
    <w:rsid w:val="001B2C4F"/>
    <w:rsid w:val="001B473A"/>
    <w:rsid w:val="001B52F2"/>
    <w:rsid w:val="001B5B8E"/>
    <w:rsid w:val="001B6585"/>
    <w:rsid w:val="001B7687"/>
    <w:rsid w:val="001B782E"/>
    <w:rsid w:val="001C0468"/>
    <w:rsid w:val="001C0C5D"/>
    <w:rsid w:val="001C0DFD"/>
    <w:rsid w:val="001C2194"/>
    <w:rsid w:val="001C3839"/>
    <w:rsid w:val="001C5D33"/>
    <w:rsid w:val="001C7548"/>
    <w:rsid w:val="001D0C07"/>
    <w:rsid w:val="001D0D82"/>
    <w:rsid w:val="001D1390"/>
    <w:rsid w:val="001D323A"/>
    <w:rsid w:val="001D419F"/>
    <w:rsid w:val="001D4D1B"/>
    <w:rsid w:val="001D6672"/>
    <w:rsid w:val="001D66FE"/>
    <w:rsid w:val="001D707A"/>
    <w:rsid w:val="001D7161"/>
    <w:rsid w:val="001D7A67"/>
    <w:rsid w:val="001E0BDF"/>
    <w:rsid w:val="001E1B51"/>
    <w:rsid w:val="001E1C6F"/>
    <w:rsid w:val="001E2290"/>
    <w:rsid w:val="001E2495"/>
    <w:rsid w:val="001E3D9D"/>
    <w:rsid w:val="001E40EA"/>
    <w:rsid w:val="001E500D"/>
    <w:rsid w:val="001E62FD"/>
    <w:rsid w:val="001E78EC"/>
    <w:rsid w:val="001E7C02"/>
    <w:rsid w:val="001F02C4"/>
    <w:rsid w:val="001F0897"/>
    <w:rsid w:val="001F14AF"/>
    <w:rsid w:val="001F31E2"/>
    <w:rsid w:val="001F3558"/>
    <w:rsid w:val="001F465D"/>
    <w:rsid w:val="001F74E0"/>
    <w:rsid w:val="00201DA9"/>
    <w:rsid w:val="002021CE"/>
    <w:rsid w:val="00202352"/>
    <w:rsid w:val="00202399"/>
    <w:rsid w:val="0020244E"/>
    <w:rsid w:val="00203112"/>
    <w:rsid w:val="002034DF"/>
    <w:rsid w:val="002038B4"/>
    <w:rsid w:val="002038E5"/>
    <w:rsid w:val="00203ADD"/>
    <w:rsid w:val="00204BE6"/>
    <w:rsid w:val="0020635C"/>
    <w:rsid w:val="0020657A"/>
    <w:rsid w:val="0020679A"/>
    <w:rsid w:val="00210582"/>
    <w:rsid w:val="00211094"/>
    <w:rsid w:val="0021123D"/>
    <w:rsid w:val="002117C2"/>
    <w:rsid w:val="00212BD9"/>
    <w:rsid w:val="00213D7B"/>
    <w:rsid w:val="00214860"/>
    <w:rsid w:val="002149E8"/>
    <w:rsid w:val="00214C47"/>
    <w:rsid w:val="00215279"/>
    <w:rsid w:val="00215EC2"/>
    <w:rsid w:val="00217F16"/>
    <w:rsid w:val="00221768"/>
    <w:rsid w:val="00221DAB"/>
    <w:rsid w:val="002220E6"/>
    <w:rsid w:val="0022227A"/>
    <w:rsid w:val="0022238D"/>
    <w:rsid w:val="002225FB"/>
    <w:rsid w:val="00225D8B"/>
    <w:rsid w:val="00227FDC"/>
    <w:rsid w:val="002307E1"/>
    <w:rsid w:val="002317C4"/>
    <w:rsid w:val="00232081"/>
    <w:rsid w:val="002346F4"/>
    <w:rsid w:val="002360E8"/>
    <w:rsid w:val="00237271"/>
    <w:rsid w:val="00237A18"/>
    <w:rsid w:val="00241A61"/>
    <w:rsid w:val="00241F66"/>
    <w:rsid w:val="0024227E"/>
    <w:rsid w:val="002427DC"/>
    <w:rsid w:val="00242DCE"/>
    <w:rsid w:val="0024386B"/>
    <w:rsid w:val="00243B24"/>
    <w:rsid w:val="00243B3D"/>
    <w:rsid w:val="00244D35"/>
    <w:rsid w:val="00244EC4"/>
    <w:rsid w:val="002453AB"/>
    <w:rsid w:val="002464A5"/>
    <w:rsid w:val="0025195A"/>
    <w:rsid w:val="00252E5C"/>
    <w:rsid w:val="002539B4"/>
    <w:rsid w:val="00253D00"/>
    <w:rsid w:val="00254F43"/>
    <w:rsid w:val="00255AF3"/>
    <w:rsid w:val="00256FE4"/>
    <w:rsid w:val="002573BB"/>
    <w:rsid w:val="00257B3A"/>
    <w:rsid w:val="002610DA"/>
    <w:rsid w:val="0026304C"/>
    <w:rsid w:val="0026427D"/>
    <w:rsid w:val="00264EED"/>
    <w:rsid w:val="00265A16"/>
    <w:rsid w:val="00265C8C"/>
    <w:rsid w:val="00267075"/>
    <w:rsid w:val="002670F4"/>
    <w:rsid w:val="002673F1"/>
    <w:rsid w:val="002707FB"/>
    <w:rsid w:val="0027154E"/>
    <w:rsid w:val="00272E52"/>
    <w:rsid w:val="00274435"/>
    <w:rsid w:val="0027520E"/>
    <w:rsid w:val="00275443"/>
    <w:rsid w:val="00275B02"/>
    <w:rsid w:val="002767A4"/>
    <w:rsid w:val="002800CE"/>
    <w:rsid w:val="00287ABC"/>
    <w:rsid w:val="00287C86"/>
    <w:rsid w:val="00291511"/>
    <w:rsid w:val="00292D30"/>
    <w:rsid w:val="00293442"/>
    <w:rsid w:val="00294B3F"/>
    <w:rsid w:val="00294D1C"/>
    <w:rsid w:val="00294FBA"/>
    <w:rsid w:val="00296A1E"/>
    <w:rsid w:val="00297FF0"/>
    <w:rsid w:val="002A0F8F"/>
    <w:rsid w:val="002A21F2"/>
    <w:rsid w:val="002A2651"/>
    <w:rsid w:val="002A365B"/>
    <w:rsid w:val="002A3A53"/>
    <w:rsid w:val="002A3BC9"/>
    <w:rsid w:val="002A7EDE"/>
    <w:rsid w:val="002B005C"/>
    <w:rsid w:val="002B0D32"/>
    <w:rsid w:val="002B11A6"/>
    <w:rsid w:val="002B264E"/>
    <w:rsid w:val="002B31E5"/>
    <w:rsid w:val="002B464C"/>
    <w:rsid w:val="002B46AE"/>
    <w:rsid w:val="002B4B18"/>
    <w:rsid w:val="002B531A"/>
    <w:rsid w:val="002B5EC1"/>
    <w:rsid w:val="002B7044"/>
    <w:rsid w:val="002C1FAE"/>
    <w:rsid w:val="002C2383"/>
    <w:rsid w:val="002C2AD3"/>
    <w:rsid w:val="002C34DF"/>
    <w:rsid w:val="002C509B"/>
    <w:rsid w:val="002C534F"/>
    <w:rsid w:val="002C56CD"/>
    <w:rsid w:val="002C699B"/>
    <w:rsid w:val="002C7B17"/>
    <w:rsid w:val="002D0562"/>
    <w:rsid w:val="002D2219"/>
    <w:rsid w:val="002D241B"/>
    <w:rsid w:val="002D36A1"/>
    <w:rsid w:val="002D3D3C"/>
    <w:rsid w:val="002D45E6"/>
    <w:rsid w:val="002D4BFA"/>
    <w:rsid w:val="002D5218"/>
    <w:rsid w:val="002D6705"/>
    <w:rsid w:val="002D76F1"/>
    <w:rsid w:val="002E06CD"/>
    <w:rsid w:val="002E24D5"/>
    <w:rsid w:val="002E41C8"/>
    <w:rsid w:val="002E464D"/>
    <w:rsid w:val="002E4A4F"/>
    <w:rsid w:val="002E4B31"/>
    <w:rsid w:val="002E4C10"/>
    <w:rsid w:val="002E4CAE"/>
    <w:rsid w:val="002E725A"/>
    <w:rsid w:val="002F0593"/>
    <w:rsid w:val="002F0D29"/>
    <w:rsid w:val="002F0DB1"/>
    <w:rsid w:val="002F201B"/>
    <w:rsid w:val="002F2240"/>
    <w:rsid w:val="002F35FC"/>
    <w:rsid w:val="002F3BB3"/>
    <w:rsid w:val="002F3E1A"/>
    <w:rsid w:val="002F3F7A"/>
    <w:rsid w:val="002F5B33"/>
    <w:rsid w:val="002F74AD"/>
    <w:rsid w:val="003002DA"/>
    <w:rsid w:val="003018F0"/>
    <w:rsid w:val="00301A16"/>
    <w:rsid w:val="0030226A"/>
    <w:rsid w:val="0030381B"/>
    <w:rsid w:val="003045BC"/>
    <w:rsid w:val="00304A1C"/>
    <w:rsid w:val="00305C2C"/>
    <w:rsid w:val="00306B69"/>
    <w:rsid w:val="00307571"/>
    <w:rsid w:val="0031066F"/>
    <w:rsid w:val="003109EC"/>
    <w:rsid w:val="00312786"/>
    <w:rsid w:val="00313747"/>
    <w:rsid w:val="00314EDE"/>
    <w:rsid w:val="00315045"/>
    <w:rsid w:val="00315D4B"/>
    <w:rsid w:val="003178F8"/>
    <w:rsid w:val="00320255"/>
    <w:rsid w:val="00320C94"/>
    <w:rsid w:val="0032123A"/>
    <w:rsid w:val="00321933"/>
    <w:rsid w:val="00322DF1"/>
    <w:rsid w:val="00324025"/>
    <w:rsid w:val="00324561"/>
    <w:rsid w:val="00324AF2"/>
    <w:rsid w:val="00324F39"/>
    <w:rsid w:val="00325624"/>
    <w:rsid w:val="00325FD5"/>
    <w:rsid w:val="003263B5"/>
    <w:rsid w:val="00326E83"/>
    <w:rsid w:val="00327FE5"/>
    <w:rsid w:val="00330183"/>
    <w:rsid w:val="00330338"/>
    <w:rsid w:val="00330FB9"/>
    <w:rsid w:val="00331DA7"/>
    <w:rsid w:val="003322F3"/>
    <w:rsid w:val="00332724"/>
    <w:rsid w:val="00334D0B"/>
    <w:rsid w:val="003364B1"/>
    <w:rsid w:val="0033726B"/>
    <w:rsid w:val="00337A28"/>
    <w:rsid w:val="003413B5"/>
    <w:rsid w:val="0034206A"/>
    <w:rsid w:val="003426B7"/>
    <w:rsid w:val="00342CA2"/>
    <w:rsid w:val="00342DD2"/>
    <w:rsid w:val="00345585"/>
    <w:rsid w:val="0034564C"/>
    <w:rsid w:val="00346199"/>
    <w:rsid w:val="00346A5E"/>
    <w:rsid w:val="00346F1D"/>
    <w:rsid w:val="00347A00"/>
    <w:rsid w:val="0035011E"/>
    <w:rsid w:val="0035026F"/>
    <w:rsid w:val="00350579"/>
    <w:rsid w:val="00352766"/>
    <w:rsid w:val="00354382"/>
    <w:rsid w:val="00354FB7"/>
    <w:rsid w:val="00355019"/>
    <w:rsid w:val="003570EA"/>
    <w:rsid w:val="00357B52"/>
    <w:rsid w:val="00357DEF"/>
    <w:rsid w:val="0036135A"/>
    <w:rsid w:val="00361B7C"/>
    <w:rsid w:val="003620B0"/>
    <w:rsid w:val="00362709"/>
    <w:rsid w:val="00363243"/>
    <w:rsid w:val="003639EE"/>
    <w:rsid w:val="003653B0"/>
    <w:rsid w:val="003661C2"/>
    <w:rsid w:val="0037026E"/>
    <w:rsid w:val="003708B8"/>
    <w:rsid w:val="003710CA"/>
    <w:rsid w:val="003711E9"/>
    <w:rsid w:val="00371321"/>
    <w:rsid w:val="00371574"/>
    <w:rsid w:val="00371BD2"/>
    <w:rsid w:val="00372C7B"/>
    <w:rsid w:val="00375C75"/>
    <w:rsid w:val="00376204"/>
    <w:rsid w:val="003765D9"/>
    <w:rsid w:val="003772E2"/>
    <w:rsid w:val="00380AE8"/>
    <w:rsid w:val="003812EA"/>
    <w:rsid w:val="00381964"/>
    <w:rsid w:val="0038298F"/>
    <w:rsid w:val="00383793"/>
    <w:rsid w:val="00384B22"/>
    <w:rsid w:val="00385EF6"/>
    <w:rsid w:val="003875A7"/>
    <w:rsid w:val="00387766"/>
    <w:rsid w:val="00387CD3"/>
    <w:rsid w:val="003900FF"/>
    <w:rsid w:val="003903EF"/>
    <w:rsid w:val="003916BA"/>
    <w:rsid w:val="00391979"/>
    <w:rsid w:val="0039227C"/>
    <w:rsid w:val="00392EBF"/>
    <w:rsid w:val="00392EF1"/>
    <w:rsid w:val="00393B66"/>
    <w:rsid w:val="00393DDB"/>
    <w:rsid w:val="00395155"/>
    <w:rsid w:val="00396775"/>
    <w:rsid w:val="00396A7F"/>
    <w:rsid w:val="003A0090"/>
    <w:rsid w:val="003A07A5"/>
    <w:rsid w:val="003A0A31"/>
    <w:rsid w:val="003A16BB"/>
    <w:rsid w:val="003A1787"/>
    <w:rsid w:val="003A2761"/>
    <w:rsid w:val="003A36F3"/>
    <w:rsid w:val="003A4C24"/>
    <w:rsid w:val="003A4C51"/>
    <w:rsid w:val="003A73FB"/>
    <w:rsid w:val="003A7470"/>
    <w:rsid w:val="003A760B"/>
    <w:rsid w:val="003B0E86"/>
    <w:rsid w:val="003B2D12"/>
    <w:rsid w:val="003B33F4"/>
    <w:rsid w:val="003B5300"/>
    <w:rsid w:val="003B5426"/>
    <w:rsid w:val="003B6E5D"/>
    <w:rsid w:val="003B7109"/>
    <w:rsid w:val="003B7B9E"/>
    <w:rsid w:val="003B7D39"/>
    <w:rsid w:val="003C1231"/>
    <w:rsid w:val="003C3251"/>
    <w:rsid w:val="003C33B8"/>
    <w:rsid w:val="003C4DF6"/>
    <w:rsid w:val="003C5FC3"/>
    <w:rsid w:val="003C76D7"/>
    <w:rsid w:val="003C7A02"/>
    <w:rsid w:val="003D00A7"/>
    <w:rsid w:val="003D189C"/>
    <w:rsid w:val="003D332E"/>
    <w:rsid w:val="003D4FC8"/>
    <w:rsid w:val="003D4FE0"/>
    <w:rsid w:val="003D5689"/>
    <w:rsid w:val="003D5A7E"/>
    <w:rsid w:val="003D7B87"/>
    <w:rsid w:val="003E018E"/>
    <w:rsid w:val="003E07D6"/>
    <w:rsid w:val="003E0C9C"/>
    <w:rsid w:val="003E1CF8"/>
    <w:rsid w:val="003E31CE"/>
    <w:rsid w:val="003E331E"/>
    <w:rsid w:val="003E64F9"/>
    <w:rsid w:val="003E6A13"/>
    <w:rsid w:val="003E7B14"/>
    <w:rsid w:val="003E7BB4"/>
    <w:rsid w:val="003E7C11"/>
    <w:rsid w:val="003E7C8A"/>
    <w:rsid w:val="003F0270"/>
    <w:rsid w:val="003F18BE"/>
    <w:rsid w:val="003F3802"/>
    <w:rsid w:val="003F39D8"/>
    <w:rsid w:val="003F3EA8"/>
    <w:rsid w:val="003F7605"/>
    <w:rsid w:val="00400008"/>
    <w:rsid w:val="00400828"/>
    <w:rsid w:val="00401647"/>
    <w:rsid w:val="00401A60"/>
    <w:rsid w:val="00401ED8"/>
    <w:rsid w:val="00402881"/>
    <w:rsid w:val="004038DD"/>
    <w:rsid w:val="004043FA"/>
    <w:rsid w:val="00404F25"/>
    <w:rsid w:val="004061A6"/>
    <w:rsid w:val="0040786A"/>
    <w:rsid w:val="00407DE1"/>
    <w:rsid w:val="00411117"/>
    <w:rsid w:val="00411BB0"/>
    <w:rsid w:val="00411DA0"/>
    <w:rsid w:val="004124BB"/>
    <w:rsid w:val="00412E9A"/>
    <w:rsid w:val="0041313F"/>
    <w:rsid w:val="0041410B"/>
    <w:rsid w:val="0041464B"/>
    <w:rsid w:val="00414BC1"/>
    <w:rsid w:val="00415313"/>
    <w:rsid w:val="004160F3"/>
    <w:rsid w:val="004164EB"/>
    <w:rsid w:val="00416C74"/>
    <w:rsid w:val="004204B2"/>
    <w:rsid w:val="00420558"/>
    <w:rsid w:val="00420B58"/>
    <w:rsid w:val="00421DA5"/>
    <w:rsid w:val="00422B59"/>
    <w:rsid w:val="00422DEC"/>
    <w:rsid w:val="004230A1"/>
    <w:rsid w:val="004238EE"/>
    <w:rsid w:val="00424471"/>
    <w:rsid w:val="0042468B"/>
    <w:rsid w:val="00425107"/>
    <w:rsid w:val="00425FB6"/>
    <w:rsid w:val="004307B6"/>
    <w:rsid w:val="00431599"/>
    <w:rsid w:val="00431B99"/>
    <w:rsid w:val="00432638"/>
    <w:rsid w:val="00432AAB"/>
    <w:rsid w:val="004330A7"/>
    <w:rsid w:val="00433FED"/>
    <w:rsid w:val="00435B5A"/>
    <w:rsid w:val="00435F84"/>
    <w:rsid w:val="004368A7"/>
    <w:rsid w:val="00437ACF"/>
    <w:rsid w:val="004403BB"/>
    <w:rsid w:val="004407B6"/>
    <w:rsid w:val="00440E78"/>
    <w:rsid w:val="00441894"/>
    <w:rsid w:val="00442724"/>
    <w:rsid w:val="004436FE"/>
    <w:rsid w:val="00445636"/>
    <w:rsid w:val="0044615C"/>
    <w:rsid w:val="00446623"/>
    <w:rsid w:val="00446AEF"/>
    <w:rsid w:val="0044702A"/>
    <w:rsid w:val="00447091"/>
    <w:rsid w:val="00447F6C"/>
    <w:rsid w:val="00451665"/>
    <w:rsid w:val="004518A1"/>
    <w:rsid w:val="00452D3A"/>
    <w:rsid w:val="0045522D"/>
    <w:rsid w:val="004559B4"/>
    <w:rsid w:val="00456099"/>
    <w:rsid w:val="00456A96"/>
    <w:rsid w:val="00456F6C"/>
    <w:rsid w:val="0046026A"/>
    <w:rsid w:val="00460480"/>
    <w:rsid w:val="00460793"/>
    <w:rsid w:val="00460EE5"/>
    <w:rsid w:val="00461256"/>
    <w:rsid w:val="00462054"/>
    <w:rsid w:val="0046279E"/>
    <w:rsid w:val="00464A8B"/>
    <w:rsid w:val="00464E36"/>
    <w:rsid w:val="00465389"/>
    <w:rsid w:val="00466717"/>
    <w:rsid w:val="004668D5"/>
    <w:rsid w:val="00466DC0"/>
    <w:rsid w:val="004709BB"/>
    <w:rsid w:val="00470F90"/>
    <w:rsid w:val="004710C8"/>
    <w:rsid w:val="0047165B"/>
    <w:rsid w:val="004722A2"/>
    <w:rsid w:val="00472378"/>
    <w:rsid w:val="0047254D"/>
    <w:rsid w:val="00472F3F"/>
    <w:rsid w:val="00474F8B"/>
    <w:rsid w:val="0047573D"/>
    <w:rsid w:val="00480908"/>
    <w:rsid w:val="0048117F"/>
    <w:rsid w:val="00481FA8"/>
    <w:rsid w:val="00482B5E"/>
    <w:rsid w:val="00482C9F"/>
    <w:rsid w:val="00486DEB"/>
    <w:rsid w:val="00486E2C"/>
    <w:rsid w:val="004877BB"/>
    <w:rsid w:val="00491B5D"/>
    <w:rsid w:val="00493F66"/>
    <w:rsid w:val="00494036"/>
    <w:rsid w:val="004944AB"/>
    <w:rsid w:val="00494B3E"/>
    <w:rsid w:val="00495BFB"/>
    <w:rsid w:val="00496DED"/>
    <w:rsid w:val="00497454"/>
    <w:rsid w:val="004A0F06"/>
    <w:rsid w:val="004A1F1B"/>
    <w:rsid w:val="004A32FF"/>
    <w:rsid w:val="004A5BD2"/>
    <w:rsid w:val="004A5FBC"/>
    <w:rsid w:val="004A6CCC"/>
    <w:rsid w:val="004A7090"/>
    <w:rsid w:val="004B14CB"/>
    <w:rsid w:val="004B18CE"/>
    <w:rsid w:val="004B24D1"/>
    <w:rsid w:val="004B29B8"/>
    <w:rsid w:val="004B3077"/>
    <w:rsid w:val="004B339C"/>
    <w:rsid w:val="004B33BE"/>
    <w:rsid w:val="004B3705"/>
    <w:rsid w:val="004B3BC6"/>
    <w:rsid w:val="004B44A2"/>
    <w:rsid w:val="004B4986"/>
    <w:rsid w:val="004B4BE0"/>
    <w:rsid w:val="004B5F98"/>
    <w:rsid w:val="004B6201"/>
    <w:rsid w:val="004B6664"/>
    <w:rsid w:val="004B68A9"/>
    <w:rsid w:val="004B6B5D"/>
    <w:rsid w:val="004B78A5"/>
    <w:rsid w:val="004B7A7B"/>
    <w:rsid w:val="004C1081"/>
    <w:rsid w:val="004C21A7"/>
    <w:rsid w:val="004C2503"/>
    <w:rsid w:val="004C4026"/>
    <w:rsid w:val="004C403F"/>
    <w:rsid w:val="004C5151"/>
    <w:rsid w:val="004C54ED"/>
    <w:rsid w:val="004C5856"/>
    <w:rsid w:val="004C6568"/>
    <w:rsid w:val="004C7FCD"/>
    <w:rsid w:val="004D059A"/>
    <w:rsid w:val="004D14CB"/>
    <w:rsid w:val="004D20B8"/>
    <w:rsid w:val="004D23B2"/>
    <w:rsid w:val="004D3015"/>
    <w:rsid w:val="004D4019"/>
    <w:rsid w:val="004D5760"/>
    <w:rsid w:val="004D5DF8"/>
    <w:rsid w:val="004D6363"/>
    <w:rsid w:val="004D64BA"/>
    <w:rsid w:val="004D6929"/>
    <w:rsid w:val="004D727B"/>
    <w:rsid w:val="004D7BD1"/>
    <w:rsid w:val="004D7EB0"/>
    <w:rsid w:val="004E2AE3"/>
    <w:rsid w:val="004E34E4"/>
    <w:rsid w:val="004E3E72"/>
    <w:rsid w:val="004E49B1"/>
    <w:rsid w:val="004E4AD1"/>
    <w:rsid w:val="004E54DC"/>
    <w:rsid w:val="004E56E2"/>
    <w:rsid w:val="004E6ED9"/>
    <w:rsid w:val="004F0A75"/>
    <w:rsid w:val="004F338B"/>
    <w:rsid w:val="004F34AB"/>
    <w:rsid w:val="004F401C"/>
    <w:rsid w:val="004F49A5"/>
    <w:rsid w:val="004F573E"/>
    <w:rsid w:val="00500BA5"/>
    <w:rsid w:val="005011AD"/>
    <w:rsid w:val="00501CDD"/>
    <w:rsid w:val="00501D0A"/>
    <w:rsid w:val="00501E38"/>
    <w:rsid w:val="00503CCA"/>
    <w:rsid w:val="00504A6E"/>
    <w:rsid w:val="0050535F"/>
    <w:rsid w:val="005054A8"/>
    <w:rsid w:val="005057E9"/>
    <w:rsid w:val="005100A5"/>
    <w:rsid w:val="00511393"/>
    <w:rsid w:val="0051153F"/>
    <w:rsid w:val="0051182D"/>
    <w:rsid w:val="00511CFF"/>
    <w:rsid w:val="005127E7"/>
    <w:rsid w:val="00512A98"/>
    <w:rsid w:val="00513FAD"/>
    <w:rsid w:val="00515507"/>
    <w:rsid w:val="00515663"/>
    <w:rsid w:val="00516634"/>
    <w:rsid w:val="005175BE"/>
    <w:rsid w:val="00517AE1"/>
    <w:rsid w:val="0052002F"/>
    <w:rsid w:val="00520CB2"/>
    <w:rsid w:val="00520D23"/>
    <w:rsid w:val="00522DAE"/>
    <w:rsid w:val="00524272"/>
    <w:rsid w:val="0052493C"/>
    <w:rsid w:val="0052537E"/>
    <w:rsid w:val="005255A5"/>
    <w:rsid w:val="00525CB3"/>
    <w:rsid w:val="00526CFD"/>
    <w:rsid w:val="00527185"/>
    <w:rsid w:val="0053130F"/>
    <w:rsid w:val="0053211B"/>
    <w:rsid w:val="00532E58"/>
    <w:rsid w:val="005345CA"/>
    <w:rsid w:val="00535D85"/>
    <w:rsid w:val="00535DF5"/>
    <w:rsid w:val="00537150"/>
    <w:rsid w:val="00540136"/>
    <w:rsid w:val="005401B6"/>
    <w:rsid w:val="00540E57"/>
    <w:rsid w:val="00541592"/>
    <w:rsid w:val="00541D81"/>
    <w:rsid w:val="00541E48"/>
    <w:rsid w:val="005425A7"/>
    <w:rsid w:val="00542E7D"/>
    <w:rsid w:val="0054316D"/>
    <w:rsid w:val="00543750"/>
    <w:rsid w:val="00543771"/>
    <w:rsid w:val="00544F03"/>
    <w:rsid w:val="005473A7"/>
    <w:rsid w:val="005476E2"/>
    <w:rsid w:val="00547872"/>
    <w:rsid w:val="00547E92"/>
    <w:rsid w:val="00550720"/>
    <w:rsid w:val="005508ED"/>
    <w:rsid w:val="005521B0"/>
    <w:rsid w:val="00552ED8"/>
    <w:rsid w:val="00553029"/>
    <w:rsid w:val="00554520"/>
    <w:rsid w:val="00555186"/>
    <w:rsid w:val="0055623C"/>
    <w:rsid w:val="00557342"/>
    <w:rsid w:val="00561302"/>
    <w:rsid w:val="00562496"/>
    <w:rsid w:val="005630F2"/>
    <w:rsid w:val="005631F4"/>
    <w:rsid w:val="00563508"/>
    <w:rsid w:val="00564621"/>
    <w:rsid w:val="00564D49"/>
    <w:rsid w:val="00566197"/>
    <w:rsid w:val="005671F9"/>
    <w:rsid w:val="0056722B"/>
    <w:rsid w:val="00571095"/>
    <w:rsid w:val="0057258D"/>
    <w:rsid w:val="005727D3"/>
    <w:rsid w:val="005732B9"/>
    <w:rsid w:val="005733B9"/>
    <w:rsid w:val="00573556"/>
    <w:rsid w:val="00573CA3"/>
    <w:rsid w:val="00576B68"/>
    <w:rsid w:val="00576E09"/>
    <w:rsid w:val="00577155"/>
    <w:rsid w:val="0057717E"/>
    <w:rsid w:val="0058552C"/>
    <w:rsid w:val="00585CB1"/>
    <w:rsid w:val="005863C0"/>
    <w:rsid w:val="00586A24"/>
    <w:rsid w:val="00593465"/>
    <w:rsid w:val="005935B6"/>
    <w:rsid w:val="005935EE"/>
    <w:rsid w:val="0059381A"/>
    <w:rsid w:val="005951A7"/>
    <w:rsid w:val="00595D23"/>
    <w:rsid w:val="00597C86"/>
    <w:rsid w:val="005A0D82"/>
    <w:rsid w:val="005A5762"/>
    <w:rsid w:val="005A66F9"/>
    <w:rsid w:val="005B0F4E"/>
    <w:rsid w:val="005B1B8E"/>
    <w:rsid w:val="005B1C52"/>
    <w:rsid w:val="005B1EA7"/>
    <w:rsid w:val="005B20F6"/>
    <w:rsid w:val="005B2D1C"/>
    <w:rsid w:val="005B31A6"/>
    <w:rsid w:val="005B3766"/>
    <w:rsid w:val="005B37EB"/>
    <w:rsid w:val="005B467E"/>
    <w:rsid w:val="005B4E77"/>
    <w:rsid w:val="005B4EC5"/>
    <w:rsid w:val="005B7F5F"/>
    <w:rsid w:val="005C058C"/>
    <w:rsid w:val="005C08E8"/>
    <w:rsid w:val="005C09AE"/>
    <w:rsid w:val="005C24DE"/>
    <w:rsid w:val="005C3790"/>
    <w:rsid w:val="005C3EFF"/>
    <w:rsid w:val="005C5E00"/>
    <w:rsid w:val="005C5E76"/>
    <w:rsid w:val="005C6B7F"/>
    <w:rsid w:val="005C7017"/>
    <w:rsid w:val="005D0FC6"/>
    <w:rsid w:val="005D1E72"/>
    <w:rsid w:val="005D312C"/>
    <w:rsid w:val="005D3CB9"/>
    <w:rsid w:val="005D63E3"/>
    <w:rsid w:val="005D67FB"/>
    <w:rsid w:val="005D68D2"/>
    <w:rsid w:val="005D6F59"/>
    <w:rsid w:val="005E08B2"/>
    <w:rsid w:val="005E11A0"/>
    <w:rsid w:val="005E34DA"/>
    <w:rsid w:val="005E34FC"/>
    <w:rsid w:val="005E3771"/>
    <w:rsid w:val="005E3C2A"/>
    <w:rsid w:val="005E4F95"/>
    <w:rsid w:val="005E5613"/>
    <w:rsid w:val="005E789B"/>
    <w:rsid w:val="005F0FAB"/>
    <w:rsid w:val="005F181B"/>
    <w:rsid w:val="005F47C2"/>
    <w:rsid w:val="005F5244"/>
    <w:rsid w:val="005F561B"/>
    <w:rsid w:val="005F5BAA"/>
    <w:rsid w:val="005F72CD"/>
    <w:rsid w:val="005F7F53"/>
    <w:rsid w:val="00600B7A"/>
    <w:rsid w:val="006011DB"/>
    <w:rsid w:val="006012CF"/>
    <w:rsid w:val="0060283F"/>
    <w:rsid w:val="0060302C"/>
    <w:rsid w:val="00603FBB"/>
    <w:rsid w:val="006041E5"/>
    <w:rsid w:val="00604A10"/>
    <w:rsid w:val="00604B42"/>
    <w:rsid w:val="00605AC8"/>
    <w:rsid w:val="00605D32"/>
    <w:rsid w:val="006068E2"/>
    <w:rsid w:val="006068ED"/>
    <w:rsid w:val="00610743"/>
    <w:rsid w:val="006114A7"/>
    <w:rsid w:val="0061247A"/>
    <w:rsid w:val="00612E32"/>
    <w:rsid w:val="00614FAB"/>
    <w:rsid w:val="00615FBC"/>
    <w:rsid w:val="00616335"/>
    <w:rsid w:val="00617588"/>
    <w:rsid w:val="00617EB2"/>
    <w:rsid w:val="00622BBE"/>
    <w:rsid w:val="00622E16"/>
    <w:rsid w:val="006231A4"/>
    <w:rsid w:val="00625552"/>
    <w:rsid w:val="00625AF4"/>
    <w:rsid w:val="006265DD"/>
    <w:rsid w:val="00626BFD"/>
    <w:rsid w:val="00627CE0"/>
    <w:rsid w:val="006314AD"/>
    <w:rsid w:val="00631662"/>
    <w:rsid w:val="006318FC"/>
    <w:rsid w:val="0063231B"/>
    <w:rsid w:val="00633011"/>
    <w:rsid w:val="006356F1"/>
    <w:rsid w:val="00635CD2"/>
    <w:rsid w:val="0063630B"/>
    <w:rsid w:val="00636F71"/>
    <w:rsid w:val="00637BB4"/>
    <w:rsid w:val="00637DF8"/>
    <w:rsid w:val="0064042E"/>
    <w:rsid w:val="006419D1"/>
    <w:rsid w:val="00643328"/>
    <w:rsid w:val="006441E7"/>
    <w:rsid w:val="0064758D"/>
    <w:rsid w:val="00647A9C"/>
    <w:rsid w:val="0065121B"/>
    <w:rsid w:val="0065144E"/>
    <w:rsid w:val="006520A5"/>
    <w:rsid w:val="00652C15"/>
    <w:rsid w:val="00653AD7"/>
    <w:rsid w:val="00653CFB"/>
    <w:rsid w:val="0065424E"/>
    <w:rsid w:val="00654E77"/>
    <w:rsid w:val="00655B79"/>
    <w:rsid w:val="00655E5E"/>
    <w:rsid w:val="00656840"/>
    <w:rsid w:val="00657200"/>
    <w:rsid w:val="00657B2C"/>
    <w:rsid w:val="006600D9"/>
    <w:rsid w:val="006609CE"/>
    <w:rsid w:val="0066107E"/>
    <w:rsid w:val="00661982"/>
    <w:rsid w:val="00661FB3"/>
    <w:rsid w:val="006627A3"/>
    <w:rsid w:val="00662F91"/>
    <w:rsid w:val="00664653"/>
    <w:rsid w:val="00664B42"/>
    <w:rsid w:val="006654F7"/>
    <w:rsid w:val="006655BD"/>
    <w:rsid w:val="006656A0"/>
    <w:rsid w:val="00666FEC"/>
    <w:rsid w:val="006677EB"/>
    <w:rsid w:val="00670C9E"/>
    <w:rsid w:val="00672B7E"/>
    <w:rsid w:val="006737BD"/>
    <w:rsid w:val="00673AE4"/>
    <w:rsid w:val="00674311"/>
    <w:rsid w:val="006749F9"/>
    <w:rsid w:val="00675CCC"/>
    <w:rsid w:val="0067666C"/>
    <w:rsid w:val="00676D19"/>
    <w:rsid w:val="00677A86"/>
    <w:rsid w:val="00677D56"/>
    <w:rsid w:val="006800A1"/>
    <w:rsid w:val="006802DC"/>
    <w:rsid w:val="006809C5"/>
    <w:rsid w:val="00680C17"/>
    <w:rsid w:val="00680E69"/>
    <w:rsid w:val="00680ED8"/>
    <w:rsid w:val="006847E9"/>
    <w:rsid w:val="00684BDD"/>
    <w:rsid w:val="00686C58"/>
    <w:rsid w:val="00687425"/>
    <w:rsid w:val="006877D5"/>
    <w:rsid w:val="00687D43"/>
    <w:rsid w:val="0069011E"/>
    <w:rsid w:val="00692B91"/>
    <w:rsid w:val="00693275"/>
    <w:rsid w:val="00694183"/>
    <w:rsid w:val="006943B7"/>
    <w:rsid w:val="0069492C"/>
    <w:rsid w:val="00695724"/>
    <w:rsid w:val="00696D10"/>
    <w:rsid w:val="006970AD"/>
    <w:rsid w:val="006978B8"/>
    <w:rsid w:val="006979BA"/>
    <w:rsid w:val="006A0E51"/>
    <w:rsid w:val="006A150A"/>
    <w:rsid w:val="006A1591"/>
    <w:rsid w:val="006A1958"/>
    <w:rsid w:val="006A36B1"/>
    <w:rsid w:val="006A39E8"/>
    <w:rsid w:val="006A3A4A"/>
    <w:rsid w:val="006A3AB6"/>
    <w:rsid w:val="006A3BCC"/>
    <w:rsid w:val="006A6327"/>
    <w:rsid w:val="006A66BD"/>
    <w:rsid w:val="006A737A"/>
    <w:rsid w:val="006A7D7D"/>
    <w:rsid w:val="006B0D75"/>
    <w:rsid w:val="006B1218"/>
    <w:rsid w:val="006B1BF7"/>
    <w:rsid w:val="006B1DDF"/>
    <w:rsid w:val="006B4397"/>
    <w:rsid w:val="006B4E6B"/>
    <w:rsid w:val="006B5AD5"/>
    <w:rsid w:val="006B5F38"/>
    <w:rsid w:val="006B6C0B"/>
    <w:rsid w:val="006B7092"/>
    <w:rsid w:val="006B775A"/>
    <w:rsid w:val="006C0923"/>
    <w:rsid w:val="006C0B55"/>
    <w:rsid w:val="006C0C5A"/>
    <w:rsid w:val="006C0D64"/>
    <w:rsid w:val="006C2519"/>
    <w:rsid w:val="006C3F12"/>
    <w:rsid w:val="006C4985"/>
    <w:rsid w:val="006C4F9C"/>
    <w:rsid w:val="006C5847"/>
    <w:rsid w:val="006C5EC9"/>
    <w:rsid w:val="006C6525"/>
    <w:rsid w:val="006C6928"/>
    <w:rsid w:val="006C7637"/>
    <w:rsid w:val="006D050E"/>
    <w:rsid w:val="006D0C94"/>
    <w:rsid w:val="006D0CBB"/>
    <w:rsid w:val="006D2341"/>
    <w:rsid w:val="006D2A1D"/>
    <w:rsid w:val="006D5437"/>
    <w:rsid w:val="006D5D52"/>
    <w:rsid w:val="006D7AC4"/>
    <w:rsid w:val="006E0058"/>
    <w:rsid w:val="006E332E"/>
    <w:rsid w:val="006E37DB"/>
    <w:rsid w:val="006E3865"/>
    <w:rsid w:val="006E3995"/>
    <w:rsid w:val="006E529E"/>
    <w:rsid w:val="006E671B"/>
    <w:rsid w:val="006F07D4"/>
    <w:rsid w:val="006F3AB2"/>
    <w:rsid w:val="006F3EF7"/>
    <w:rsid w:val="006F3FDA"/>
    <w:rsid w:val="006F41BE"/>
    <w:rsid w:val="006F4803"/>
    <w:rsid w:val="006F4E0D"/>
    <w:rsid w:val="006F5260"/>
    <w:rsid w:val="006F5331"/>
    <w:rsid w:val="006F6F86"/>
    <w:rsid w:val="006F7D5C"/>
    <w:rsid w:val="006F7F63"/>
    <w:rsid w:val="00700BFB"/>
    <w:rsid w:val="00701BAE"/>
    <w:rsid w:val="0070241D"/>
    <w:rsid w:val="00702666"/>
    <w:rsid w:val="007028BE"/>
    <w:rsid w:val="00702D11"/>
    <w:rsid w:val="007036DD"/>
    <w:rsid w:val="007044CF"/>
    <w:rsid w:val="00704D1B"/>
    <w:rsid w:val="00705219"/>
    <w:rsid w:val="00706594"/>
    <w:rsid w:val="007072D2"/>
    <w:rsid w:val="0071005E"/>
    <w:rsid w:val="007122BE"/>
    <w:rsid w:val="00712306"/>
    <w:rsid w:val="0071301D"/>
    <w:rsid w:val="00713090"/>
    <w:rsid w:val="00713106"/>
    <w:rsid w:val="0071364A"/>
    <w:rsid w:val="007138EC"/>
    <w:rsid w:val="0071395D"/>
    <w:rsid w:val="00713B27"/>
    <w:rsid w:val="00713FA3"/>
    <w:rsid w:val="0071486F"/>
    <w:rsid w:val="00715B21"/>
    <w:rsid w:val="00716020"/>
    <w:rsid w:val="0071668D"/>
    <w:rsid w:val="00716869"/>
    <w:rsid w:val="00720C1B"/>
    <w:rsid w:val="0072130D"/>
    <w:rsid w:val="00721542"/>
    <w:rsid w:val="00722A90"/>
    <w:rsid w:val="00722EFA"/>
    <w:rsid w:val="007236CC"/>
    <w:rsid w:val="00723F62"/>
    <w:rsid w:val="00724F00"/>
    <w:rsid w:val="00725080"/>
    <w:rsid w:val="00725977"/>
    <w:rsid w:val="007276CA"/>
    <w:rsid w:val="00727D83"/>
    <w:rsid w:val="00730B73"/>
    <w:rsid w:val="00731386"/>
    <w:rsid w:val="00731E21"/>
    <w:rsid w:val="00732255"/>
    <w:rsid w:val="00733A11"/>
    <w:rsid w:val="00734501"/>
    <w:rsid w:val="0073570A"/>
    <w:rsid w:val="0073768B"/>
    <w:rsid w:val="00740BD1"/>
    <w:rsid w:val="0074182C"/>
    <w:rsid w:val="00741A5A"/>
    <w:rsid w:val="00742179"/>
    <w:rsid w:val="00743BAC"/>
    <w:rsid w:val="00743CE3"/>
    <w:rsid w:val="00744360"/>
    <w:rsid w:val="00746410"/>
    <w:rsid w:val="00746A1F"/>
    <w:rsid w:val="00747C2E"/>
    <w:rsid w:val="007506BA"/>
    <w:rsid w:val="007527CC"/>
    <w:rsid w:val="00752BF6"/>
    <w:rsid w:val="00754212"/>
    <w:rsid w:val="007544A8"/>
    <w:rsid w:val="007553C2"/>
    <w:rsid w:val="0075565B"/>
    <w:rsid w:val="00755D9A"/>
    <w:rsid w:val="00755EAC"/>
    <w:rsid w:val="00756595"/>
    <w:rsid w:val="00756625"/>
    <w:rsid w:val="007569C0"/>
    <w:rsid w:val="007571A7"/>
    <w:rsid w:val="00760435"/>
    <w:rsid w:val="00760C65"/>
    <w:rsid w:val="00761103"/>
    <w:rsid w:val="00762077"/>
    <w:rsid w:val="007620EB"/>
    <w:rsid w:val="00763CC6"/>
    <w:rsid w:val="00764C5A"/>
    <w:rsid w:val="007659B6"/>
    <w:rsid w:val="00765ED8"/>
    <w:rsid w:val="007661A0"/>
    <w:rsid w:val="00766294"/>
    <w:rsid w:val="007675DC"/>
    <w:rsid w:val="007678E9"/>
    <w:rsid w:val="00767A75"/>
    <w:rsid w:val="007710B0"/>
    <w:rsid w:val="00771849"/>
    <w:rsid w:val="00774B35"/>
    <w:rsid w:val="007758BD"/>
    <w:rsid w:val="00776EAE"/>
    <w:rsid w:val="00780592"/>
    <w:rsid w:val="007824B9"/>
    <w:rsid w:val="0078466E"/>
    <w:rsid w:val="00784672"/>
    <w:rsid w:val="00785AE3"/>
    <w:rsid w:val="00790FFD"/>
    <w:rsid w:val="007923D8"/>
    <w:rsid w:val="0079285F"/>
    <w:rsid w:val="00792DEB"/>
    <w:rsid w:val="0079327D"/>
    <w:rsid w:val="00793D3B"/>
    <w:rsid w:val="00793E5B"/>
    <w:rsid w:val="00794988"/>
    <w:rsid w:val="0079509E"/>
    <w:rsid w:val="007966F0"/>
    <w:rsid w:val="007967FF"/>
    <w:rsid w:val="00796E97"/>
    <w:rsid w:val="007A1F4E"/>
    <w:rsid w:val="007A1F66"/>
    <w:rsid w:val="007A270C"/>
    <w:rsid w:val="007A2B1F"/>
    <w:rsid w:val="007A3E78"/>
    <w:rsid w:val="007A6F11"/>
    <w:rsid w:val="007B000E"/>
    <w:rsid w:val="007B0126"/>
    <w:rsid w:val="007B114A"/>
    <w:rsid w:val="007B135C"/>
    <w:rsid w:val="007B20CE"/>
    <w:rsid w:val="007B23A5"/>
    <w:rsid w:val="007B2A41"/>
    <w:rsid w:val="007B315B"/>
    <w:rsid w:val="007B3498"/>
    <w:rsid w:val="007B3ECC"/>
    <w:rsid w:val="007B4FAD"/>
    <w:rsid w:val="007B5451"/>
    <w:rsid w:val="007B573A"/>
    <w:rsid w:val="007B6140"/>
    <w:rsid w:val="007B6E27"/>
    <w:rsid w:val="007C0C1F"/>
    <w:rsid w:val="007C14A4"/>
    <w:rsid w:val="007C282E"/>
    <w:rsid w:val="007C297B"/>
    <w:rsid w:val="007C3B16"/>
    <w:rsid w:val="007C410C"/>
    <w:rsid w:val="007C5FCC"/>
    <w:rsid w:val="007C6BBA"/>
    <w:rsid w:val="007D15F5"/>
    <w:rsid w:val="007D1725"/>
    <w:rsid w:val="007D239D"/>
    <w:rsid w:val="007D2776"/>
    <w:rsid w:val="007D3962"/>
    <w:rsid w:val="007D3B7E"/>
    <w:rsid w:val="007E0017"/>
    <w:rsid w:val="007E0F33"/>
    <w:rsid w:val="007E2796"/>
    <w:rsid w:val="007E2D1E"/>
    <w:rsid w:val="007E3261"/>
    <w:rsid w:val="007E41E0"/>
    <w:rsid w:val="007E4456"/>
    <w:rsid w:val="007E5CF0"/>
    <w:rsid w:val="007E5D24"/>
    <w:rsid w:val="007F012A"/>
    <w:rsid w:val="007F02AE"/>
    <w:rsid w:val="007F1749"/>
    <w:rsid w:val="007F1AB4"/>
    <w:rsid w:val="007F2602"/>
    <w:rsid w:val="007F4823"/>
    <w:rsid w:val="007F5CCC"/>
    <w:rsid w:val="007F61A7"/>
    <w:rsid w:val="007F66BE"/>
    <w:rsid w:val="007F6750"/>
    <w:rsid w:val="007F7A54"/>
    <w:rsid w:val="007F7E25"/>
    <w:rsid w:val="008000D7"/>
    <w:rsid w:val="00800372"/>
    <w:rsid w:val="00800651"/>
    <w:rsid w:val="00800AE8"/>
    <w:rsid w:val="00801400"/>
    <w:rsid w:val="008014C6"/>
    <w:rsid w:val="00801BDD"/>
    <w:rsid w:val="00801F4A"/>
    <w:rsid w:val="00802934"/>
    <w:rsid w:val="00802D0C"/>
    <w:rsid w:val="008038F4"/>
    <w:rsid w:val="00803BBA"/>
    <w:rsid w:val="00803C8E"/>
    <w:rsid w:val="00806072"/>
    <w:rsid w:val="008105BD"/>
    <w:rsid w:val="00811ED8"/>
    <w:rsid w:val="00813851"/>
    <w:rsid w:val="00813DEF"/>
    <w:rsid w:val="00814301"/>
    <w:rsid w:val="00816816"/>
    <w:rsid w:val="00816AE1"/>
    <w:rsid w:val="00817AB9"/>
    <w:rsid w:val="00820E8F"/>
    <w:rsid w:val="00820F76"/>
    <w:rsid w:val="00822361"/>
    <w:rsid w:val="00823351"/>
    <w:rsid w:val="00824924"/>
    <w:rsid w:val="00825030"/>
    <w:rsid w:val="0082577C"/>
    <w:rsid w:val="0082638D"/>
    <w:rsid w:val="008266F2"/>
    <w:rsid w:val="00826D39"/>
    <w:rsid w:val="00827235"/>
    <w:rsid w:val="00833337"/>
    <w:rsid w:val="00835499"/>
    <w:rsid w:val="00835A38"/>
    <w:rsid w:val="00835C07"/>
    <w:rsid w:val="008406F9"/>
    <w:rsid w:val="008409A8"/>
    <w:rsid w:val="00840D5A"/>
    <w:rsid w:val="00842E86"/>
    <w:rsid w:val="0084304D"/>
    <w:rsid w:val="00843BB4"/>
    <w:rsid w:val="00844CDD"/>
    <w:rsid w:val="0084659D"/>
    <w:rsid w:val="0084707F"/>
    <w:rsid w:val="00847269"/>
    <w:rsid w:val="0085292F"/>
    <w:rsid w:val="008529ED"/>
    <w:rsid w:val="008536B9"/>
    <w:rsid w:val="00853CBC"/>
    <w:rsid w:val="008571A1"/>
    <w:rsid w:val="00857F64"/>
    <w:rsid w:val="008624A0"/>
    <w:rsid w:val="00862711"/>
    <w:rsid w:val="00862789"/>
    <w:rsid w:val="008666A3"/>
    <w:rsid w:val="00866DA4"/>
    <w:rsid w:val="00866EC0"/>
    <w:rsid w:val="00867E7A"/>
    <w:rsid w:val="00871812"/>
    <w:rsid w:val="00871C6D"/>
    <w:rsid w:val="00872630"/>
    <w:rsid w:val="0087265B"/>
    <w:rsid w:val="00872B98"/>
    <w:rsid w:val="00872C0D"/>
    <w:rsid w:val="008733F1"/>
    <w:rsid w:val="0087651A"/>
    <w:rsid w:val="00876756"/>
    <w:rsid w:val="008769C1"/>
    <w:rsid w:val="00877589"/>
    <w:rsid w:val="00877EDF"/>
    <w:rsid w:val="00881914"/>
    <w:rsid w:val="00883C73"/>
    <w:rsid w:val="0088438B"/>
    <w:rsid w:val="008854BF"/>
    <w:rsid w:val="0088616F"/>
    <w:rsid w:val="00887F29"/>
    <w:rsid w:val="0089125E"/>
    <w:rsid w:val="0089167F"/>
    <w:rsid w:val="00891D5D"/>
    <w:rsid w:val="00893113"/>
    <w:rsid w:val="008936C4"/>
    <w:rsid w:val="00893777"/>
    <w:rsid w:val="0089693F"/>
    <w:rsid w:val="008969A7"/>
    <w:rsid w:val="00897268"/>
    <w:rsid w:val="008A09E3"/>
    <w:rsid w:val="008A0D54"/>
    <w:rsid w:val="008A1D4A"/>
    <w:rsid w:val="008A264E"/>
    <w:rsid w:val="008A2A77"/>
    <w:rsid w:val="008A2AEB"/>
    <w:rsid w:val="008A5B54"/>
    <w:rsid w:val="008A5EF9"/>
    <w:rsid w:val="008A7F38"/>
    <w:rsid w:val="008A7F9E"/>
    <w:rsid w:val="008B14D8"/>
    <w:rsid w:val="008B1B47"/>
    <w:rsid w:val="008B2A52"/>
    <w:rsid w:val="008B37A6"/>
    <w:rsid w:val="008B3AB2"/>
    <w:rsid w:val="008B418F"/>
    <w:rsid w:val="008B4D54"/>
    <w:rsid w:val="008B6818"/>
    <w:rsid w:val="008B6B7E"/>
    <w:rsid w:val="008B7330"/>
    <w:rsid w:val="008C0D07"/>
    <w:rsid w:val="008C0D0F"/>
    <w:rsid w:val="008C10B7"/>
    <w:rsid w:val="008C13D7"/>
    <w:rsid w:val="008C14CC"/>
    <w:rsid w:val="008C2308"/>
    <w:rsid w:val="008C2DD3"/>
    <w:rsid w:val="008C3650"/>
    <w:rsid w:val="008C5046"/>
    <w:rsid w:val="008C5225"/>
    <w:rsid w:val="008C62F5"/>
    <w:rsid w:val="008D09EA"/>
    <w:rsid w:val="008D162B"/>
    <w:rsid w:val="008D1FC4"/>
    <w:rsid w:val="008D325D"/>
    <w:rsid w:val="008D3C9E"/>
    <w:rsid w:val="008D65B8"/>
    <w:rsid w:val="008D7618"/>
    <w:rsid w:val="008D7B7B"/>
    <w:rsid w:val="008E1301"/>
    <w:rsid w:val="008E1886"/>
    <w:rsid w:val="008E1EB1"/>
    <w:rsid w:val="008E2052"/>
    <w:rsid w:val="008E21BE"/>
    <w:rsid w:val="008E25ED"/>
    <w:rsid w:val="008E2C5E"/>
    <w:rsid w:val="008E3C89"/>
    <w:rsid w:val="008E53CC"/>
    <w:rsid w:val="008E5D68"/>
    <w:rsid w:val="008E661B"/>
    <w:rsid w:val="008E6D0E"/>
    <w:rsid w:val="008E6D13"/>
    <w:rsid w:val="008F1A60"/>
    <w:rsid w:val="008F28BC"/>
    <w:rsid w:val="008F294B"/>
    <w:rsid w:val="008F34F9"/>
    <w:rsid w:val="008F4473"/>
    <w:rsid w:val="008F4AFC"/>
    <w:rsid w:val="008F4B06"/>
    <w:rsid w:val="008F713B"/>
    <w:rsid w:val="009008CB"/>
    <w:rsid w:val="00901AA9"/>
    <w:rsid w:val="00902F85"/>
    <w:rsid w:val="009033E6"/>
    <w:rsid w:val="00903C05"/>
    <w:rsid w:val="0090404E"/>
    <w:rsid w:val="0090509F"/>
    <w:rsid w:val="00907136"/>
    <w:rsid w:val="009111CB"/>
    <w:rsid w:val="00911D32"/>
    <w:rsid w:val="00912887"/>
    <w:rsid w:val="009129D5"/>
    <w:rsid w:val="00913A3F"/>
    <w:rsid w:val="00913EA5"/>
    <w:rsid w:val="00914523"/>
    <w:rsid w:val="00914878"/>
    <w:rsid w:val="00915153"/>
    <w:rsid w:val="009155B5"/>
    <w:rsid w:val="009162EE"/>
    <w:rsid w:val="009167F8"/>
    <w:rsid w:val="00916DF0"/>
    <w:rsid w:val="0092016A"/>
    <w:rsid w:val="00921836"/>
    <w:rsid w:val="00922147"/>
    <w:rsid w:val="009221E9"/>
    <w:rsid w:val="00922287"/>
    <w:rsid w:val="00922409"/>
    <w:rsid w:val="00922860"/>
    <w:rsid w:val="00923096"/>
    <w:rsid w:val="00924D8C"/>
    <w:rsid w:val="00924E9B"/>
    <w:rsid w:val="0092586C"/>
    <w:rsid w:val="00926E15"/>
    <w:rsid w:val="0093093F"/>
    <w:rsid w:val="009310CF"/>
    <w:rsid w:val="0093158F"/>
    <w:rsid w:val="00931D93"/>
    <w:rsid w:val="00932730"/>
    <w:rsid w:val="00933199"/>
    <w:rsid w:val="00933630"/>
    <w:rsid w:val="00933B88"/>
    <w:rsid w:val="00934E7A"/>
    <w:rsid w:val="0093591A"/>
    <w:rsid w:val="00935E33"/>
    <w:rsid w:val="00936B42"/>
    <w:rsid w:val="00936E65"/>
    <w:rsid w:val="00936F51"/>
    <w:rsid w:val="009378E9"/>
    <w:rsid w:val="009400B1"/>
    <w:rsid w:val="00940AC3"/>
    <w:rsid w:val="00940BA2"/>
    <w:rsid w:val="00940E38"/>
    <w:rsid w:val="00940FD5"/>
    <w:rsid w:val="0094110A"/>
    <w:rsid w:val="0094112F"/>
    <w:rsid w:val="00941BDB"/>
    <w:rsid w:val="009435C1"/>
    <w:rsid w:val="009438E0"/>
    <w:rsid w:val="00943B4D"/>
    <w:rsid w:val="0094491F"/>
    <w:rsid w:val="00944EF4"/>
    <w:rsid w:val="00945890"/>
    <w:rsid w:val="00950CAB"/>
    <w:rsid w:val="009515B6"/>
    <w:rsid w:val="0095282E"/>
    <w:rsid w:val="009531A0"/>
    <w:rsid w:val="0095357A"/>
    <w:rsid w:val="009539D5"/>
    <w:rsid w:val="00953D4D"/>
    <w:rsid w:val="00954E7F"/>
    <w:rsid w:val="00955368"/>
    <w:rsid w:val="0095610E"/>
    <w:rsid w:val="009563C9"/>
    <w:rsid w:val="0095740E"/>
    <w:rsid w:val="0095758F"/>
    <w:rsid w:val="0096025D"/>
    <w:rsid w:val="00960D4E"/>
    <w:rsid w:val="00960F8F"/>
    <w:rsid w:val="00961727"/>
    <w:rsid w:val="0096513E"/>
    <w:rsid w:val="00965D89"/>
    <w:rsid w:val="009670E1"/>
    <w:rsid w:val="00967EB6"/>
    <w:rsid w:val="00967ED6"/>
    <w:rsid w:val="009722E4"/>
    <w:rsid w:val="009736EB"/>
    <w:rsid w:val="0097395E"/>
    <w:rsid w:val="00974044"/>
    <w:rsid w:val="009765B3"/>
    <w:rsid w:val="00981D5E"/>
    <w:rsid w:val="00982751"/>
    <w:rsid w:val="0098298E"/>
    <w:rsid w:val="00982F01"/>
    <w:rsid w:val="00984728"/>
    <w:rsid w:val="00984CCD"/>
    <w:rsid w:val="009850EE"/>
    <w:rsid w:val="009851B5"/>
    <w:rsid w:val="009851F5"/>
    <w:rsid w:val="00985A34"/>
    <w:rsid w:val="00987427"/>
    <w:rsid w:val="00990295"/>
    <w:rsid w:val="009915BE"/>
    <w:rsid w:val="009922DC"/>
    <w:rsid w:val="00993912"/>
    <w:rsid w:val="00993B4D"/>
    <w:rsid w:val="009945E4"/>
    <w:rsid w:val="00994ADE"/>
    <w:rsid w:val="00996223"/>
    <w:rsid w:val="009964C7"/>
    <w:rsid w:val="00996818"/>
    <w:rsid w:val="00996A40"/>
    <w:rsid w:val="00996F99"/>
    <w:rsid w:val="00996FB9"/>
    <w:rsid w:val="0099755F"/>
    <w:rsid w:val="00997607"/>
    <w:rsid w:val="009A016F"/>
    <w:rsid w:val="009A060D"/>
    <w:rsid w:val="009A1202"/>
    <w:rsid w:val="009A1575"/>
    <w:rsid w:val="009A1AA9"/>
    <w:rsid w:val="009A35BF"/>
    <w:rsid w:val="009A4300"/>
    <w:rsid w:val="009A6775"/>
    <w:rsid w:val="009A6CC8"/>
    <w:rsid w:val="009A73EB"/>
    <w:rsid w:val="009A7D9B"/>
    <w:rsid w:val="009B06E6"/>
    <w:rsid w:val="009B0DEA"/>
    <w:rsid w:val="009B17D1"/>
    <w:rsid w:val="009B1D75"/>
    <w:rsid w:val="009B2201"/>
    <w:rsid w:val="009B2300"/>
    <w:rsid w:val="009B27D8"/>
    <w:rsid w:val="009B3F5F"/>
    <w:rsid w:val="009B40FB"/>
    <w:rsid w:val="009C01DC"/>
    <w:rsid w:val="009C07DE"/>
    <w:rsid w:val="009C1C87"/>
    <w:rsid w:val="009C2351"/>
    <w:rsid w:val="009C26C6"/>
    <w:rsid w:val="009C27C9"/>
    <w:rsid w:val="009C2D6E"/>
    <w:rsid w:val="009C4366"/>
    <w:rsid w:val="009C44AE"/>
    <w:rsid w:val="009C5207"/>
    <w:rsid w:val="009C67ED"/>
    <w:rsid w:val="009C682E"/>
    <w:rsid w:val="009C6B49"/>
    <w:rsid w:val="009C6EBD"/>
    <w:rsid w:val="009C7461"/>
    <w:rsid w:val="009C7ACF"/>
    <w:rsid w:val="009D056B"/>
    <w:rsid w:val="009D157E"/>
    <w:rsid w:val="009D167D"/>
    <w:rsid w:val="009D2206"/>
    <w:rsid w:val="009D29F4"/>
    <w:rsid w:val="009D2C3E"/>
    <w:rsid w:val="009D3602"/>
    <w:rsid w:val="009D3879"/>
    <w:rsid w:val="009D3A3F"/>
    <w:rsid w:val="009D3E5D"/>
    <w:rsid w:val="009D52C3"/>
    <w:rsid w:val="009D538F"/>
    <w:rsid w:val="009D63BB"/>
    <w:rsid w:val="009D73B4"/>
    <w:rsid w:val="009E0361"/>
    <w:rsid w:val="009E0B46"/>
    <w:rsid w:val="009E0E9A"/>
    <w:rsid w:val="009E1535"/>
    <w:rsid w:val="009E1787"/>
    <w:rsid w:val="009E1BB1"/>
    <w:rsid w:val="009E22FD"/>
    <w:rsid w:val="009E2357"/>
    <w:rsid w:val="009E2864"/>
    <w:rsid w:val="009E30ED"/>
    <w:rsid w:val="009E4B0D"/>
    <w:rsid w:val="009E53CA"/>
    <w:rsid w:val="009E60DE"/>
    <w:rsid w:val="009E6743"/>
    <w:rsid w:val="009E6BF4"/>
    <w:rsid w:val="009E7EEC"/>
    <w:rsid w:val="009F1ACA"/>
    <w:rsid w:val="009F1E43"/>
    <w:rsid w:val="009F25AA"/>
    <w:rsid w:val="009F2E6A"/>
    <w:rsid w:val="009F4EA3"/>
    <w:rsid w:val="009F5CF2"/>
    <w:rsid w:val="009F68FE"/>
    <w:rsid w:val="009F69AF"/>
    <w:rsid w:val="009F6A21"/>
    <w:rsid w:val="00A001D4"/>
    <w:rsid w:val="00A018CB"/>
    <w:rsid w:val="00A03864"/>
    <w:rsid w:val="00A04FAA"/>
    <w:rsid w:val="00A0611E"/>
    <w:rsid w:val="00A0651C"/>
    <w:rsid w:val="00A06A55"/>
    <w:rsid w:val="00A10E84"/>
    <w:rsid w:val="00A11EBD"/>
    <w:rsid w:val="00A13878"/>
    <w:rsid w:val="00A138C1"/>
    <w:rsid w:val="00A142C6"/>
    <w:rsid w:val="00A1674A"/>
    <w:rsid w:val="00A16792"/>
    <w:rsid w:val="00A172DD"/>
    <w:rsid w:val="00A2077F"/>
    <w:rsid w:val="00A20A6B"/>
    <w:rsid w:val="00A21581"/>
    <w:rsid w:val="00A22460"/>
    <w:rsid w:val="00A23E50"/>
    <w:rsid w:val="00A259FC"/>
    <w:rsid w:val="00A26C9E"/>
    <w:rsid w:val="00A30A02"/>
    <w:rsid w:val="00A30A9D"/>
    <w:rsid w:val="00A315D0"/>
    <w:rsid w:val="00A31D0A"/>
    <w:rsid w:val="00A326FB"/>
    <w:rsid w:val="00A34452"/>
    <w:rsid w:val="00A347D6"/>
    <w:rsid w:val="00A355FC"/>
    <w:rsid w:val="00A362D4"/>
    <w:rsid w:val="00A36AB8"/>
    <w:rsid w:val="00A40029"/>
    <w:rsid w:val="00A40040"/>
    <w:rsid w:val="00A41B9A"/>
    <w:rsid w:val="00A4282D"/>
    <w:rsid w:val="00A42A72"/>
    <w:rsid w:val="00A4642F"/>
    <w:rsid w:val="00A471D5"/>
    <w:rsid w:val="00A476E1"/>
    <w:rsid w:val="00A47973"/>
    <w:rsid w:val="00A501C0"/>
    <w:rsid w:val="00A50245"/>
    <w:rsid w:val="00A50CA1"/>
    <w:rsid w:val="00A50E73"/>
    <w:rsid w:val="00A514E9"/>
    <w:rsid w:val="00A515DE"/>
    <w:rsid w:val="00A51624"/>
    <w:rsid w:val="00A51A41"/>
    <w:rsid w:val="00A51D77"/>
    <w:rsid w:val="00A5238A"/>
    <w:rsid w:val="00A538F9"/>
    <w:rsid w:val="00A53D36"/>
    <w:rsid w:val="00A541E8"/>
    <w:rsid w:val="00A55020"/>
    <w:rsid w:val="00A5562F"/>
    <w:rsid w:val="00A558BC"/>
    <w:rsid w:val="00A5601C"/>
    <w:rsid w:val="00A56DAA"/>
    <w:rsid w:val="00A6027C"/>
    <w:rsid w:val="00A61574"/>
    <w:rsid w:val="00A6326A"/>
    <w:rsid w:val="00A650CC"/>
    <w:rsid w:val="00A6516F"/>
    <w:rsid w:val="00A653AC"/>
    <w:rsid w:val="00A65538"/>
    <w:rsid w:val="00A655B3"/>
    <w:rsid w:val="00A6638C"/>
    <w:rsid w:val="00A669F6"/>
    <w:rsid w:val="00A676D0"/>
    <w:rsid w:val="00A7024D"/>
    <w:rsid w:val="00A72B84"/>
    <w:rsid w:val="00A72BAA"/>
    <w:rsid w:val="00A7316C"/>
    <w:rsid w:val="00A759C8"/>
    <w:rsid w:val="00A80771"/>
    <w:rsid w:val="00A819E3"/>
    <w:rsid w:val="00A81A21"/>
    <w:rsid w:val="00A8233D"/>
    <w:rsid w:val="00A82805"/>
    <w:rsid w:val="00A82DBB"/>
    <w:rsid w:val="00A83EB5"/>
    <w:rsid w:val="00A84608"/>
    <w:rsid w:val="00A84A7E"/>
    <w:rsid w:val="00A84E73"/>
    <w:rsid w:val="00A85736"/>
    <w:rsid w:val="00A86D2A"/>
    <w:rsid w:val="00A87CFC"/>
    <w:rsid w:val="00A9007D"/>
    <w:rsid w:val="00A919E0"/>
    <w:rsid w:val="00A91B21"/>
    <w:rsid w:val="00A93905"/>
    <w:rsid w:val="00A941FA"/>
    <w:rsid w:val="00A94C54"/>
    <w:rsid w:val="00A95FCF"/>
    <w:rsid w:val="00AA0FF2"/>
    <w:rsid w:val="00AA1941"/>
    <w:rsid w:val="00AA1948"/>
    <w:rsid w:val="00AA2243"/>
    <w:rsid w:val="00AA28CD"/>
    <w:rsid w:val="00AA2BDA"/>
    <w:rsid w:val="00AA3423"/>
    <w:rsid w:val="00AA3B8A"/>
    <w:rsid w:val="00AA42B4"/>
    <w:rsid w:val="00AA78BD"/>
    <w:rsid w:val="00AB06E1"/>
    <w:rsid w:val="00AB08D3"/>
    <w:rsid w:val="00AB0B2F"/>
    <w:rsid w:val="00AB0D21"/>
    <w:rsid w:val="00AB104B"/>
    <w:rsid w:val="00AB12E9"/>
    <w:rsid w:val="00AB155D"/>
    <w:rsid w:val="00AB19E8"/>
    <w:rsid w:val="00AB3051"/>
    <w:rsid w:val="00AB3260"/>
    <w:rsid w:val="00AB4C7A"/>
    <w:rsid w:val="00AB57F4"/>
    <w:rsid w:val="00AB5ED6"/>
    <w:rsid w:val="00AB78B6"/>
    <w:rsid w:val="00AB7F64"/>
    <w:rsid w:val="00AC05F2"/>
    <w:rsid w:val="00AC0F29"/>
    <w:rsid w:val="00AC1590"/>
    <w:rsid w:val="00AC1BC7"/>
    <w:rsid w:val="00AC2169"/>
    <w:rsid w:val="00AC24E8"/>
    <w:rsid w:val="00AC5A05"/>
    <w:rsid w:val="00AC6528"/>
    <w:rsid w:val="00AC6ED6"/>
    <w:rsid w:val="00AC7417"/>
    <w:rsid w:val="00AD0D23"/>
    <w:rsid w:val="00AD2EC5"/>
    <w:rsid w:val="00AD3BCB"/>
    <w:rsid w:val="00AD3EC9"/>
    <w:rsid w:val="00AD420D"/>
    <w:rsid w:val="00AD5055"/>
    <w:rsid w:val="00AD5CC5"/>
    <w:rsid w:val="00AD6108"/>
    <w:rsid w:val="00AD65E4"/>
    <w:rsid w:val="00AD674D"/>
    <w:rsid w:val="00AD6F9E"/>
    <w:rsid w:val="00AE171F"/>
    <w:rsid w:val="00AE1CC5"/>
    <w:rsid w:val="00AE265F"/>
    <w:rsid w:val="00AE2C10"/>
    <w:rsid w:val="00AE2CF3"/>
    <w:rsid w:val="00AE498F"/>
    <w:rsid w:val="00AE5C2E"/>
    <w:rsid w:val="00AF1784"/>
    <w:rsid w:val="00AF17E8"/>
    <w:rsid w:val="00AF1A1B"/>
    <w:rsid w:val="00AF2309"/>
    <w:rsid w:val="00AF2623"/>
    <w:rsid w:val="00AF2926"/>
    <w:rsid w:val="00AF53AB"/>
    <w:rsid w:val="00AF5914"/>
    <w:rsid w:val="00B00C60"/>
    <w:rsid w:val="00B01966"/>
    <w:rsid w:val="00B01E4B"/>
    <w:rsid w:val="00B032BC"/>
    <w:rsid w:val="00B036C3"/>
    <w:rsid w:val="00B03ADE"/>
    <w:rsid w:val="00B03F9D"/>
    <w:rsid w:val="00B043B1"/>
    <w:rsid w:val="00B0463D"/>
    <w:rsid w:val="00B04DEA"/>
    <w:rsid w:val="00B05A8D"/>
    <w:rsid w:val="00B05DE0"/>
    <w:rsid w:val="00B05F77"/>
    <w:rsid w:val="00B05F93"/>
    <w:rsid w:val="00B062EF"/>
    <w:rsid w:val="00B073A9"/>
    <w:rsid w:val="00B1126D"/>
    <w:rsid w:val="00B11BEB"/>
    <w:rsid w:val="00B12D16"/>
    <w:rsid w:val="00B13F16"/>
    <w:rsid w:val="00B13FC1"/>
    <w:rsid w:val="00B1693F"/>
    <w:rsid w:val="00B17B5A"/>
    <w:rsid w:val="00B20237"/>
    <w:rsid w:val="00B21125"/>
    <w:rsid w:val="00B22324"/>
    <w:rsid w:val="00B22E34"/>
    <w:rsid w:val="00B23468"/>
    <w:rsid w:val="00B237AA"/>
    <w:rsid w:val="00B276F3"/>
    <w:rsid w:val="00B3023B"/>
    <w:rsid w:val="00B3039C"/>
    <w:rsid w:val="00B307D7"/>
    <w:rsid w:val="00B31CD7"/>
    <w:rsid w:val="00B3206F"/>
    <w:rsid w:val="00B328BF"/>
    <w:rsid w:val="00B338B0"/>
    <w:rsid w:val="00B33EB3"/>
    <w:rsid w:val="00B3490A"/>
    <w:rsid w:val="00B3798A"/>
    <w:rsid w:val="00B40106"/>
    <w:rsid w:val="00B404E4"/>
    <w:rsid w:val="00B40693"/>
    <w:rsid w:val="00B41E51"/>
    <w:rsid w:val="00B45182"/>
    <w:rsid w:val="00B45752"/>
    <w:rsid w:val="00B45913"/>
    <w:rsid w:val="00B4669C"/>
    <w:rsid w:val="00B46853"/>
    <w:rsid w:val="00B468BD"/>
    <w:rsid w:val="00B470B2"/>
    <w:rsid w:val="00B47942"/>
    <w:rsid w:val="00B5026F"/>
    <w:rsid w:val="00B5058A"/>
    <w:rsid w:val="00B51F4C"/>
    <w:rsid w:val="00B522D0"/>
    <w:rsid w:val="00B5407D"/>
    <w:rsid w:val="00B556A3"/>
    <w:rsid w:val="00B56222"/>
    <w:rsid w:val="00B56948"/>
    <w:rsid w:val="00B576F8"/>
    <w:rsid w:val="00B57D33"/>
    <w:rsid w:val="00B6195F"/>
    <w:rsid w:val="00B62C2A"/>
    <w:rsid w:val="00B64B47"/>
    <w:rsid w:val="00B64B8F"/>
    <w:rsid w:val="00B65E25"/>
    <w:rsid w:val="00B66569"/>
    <w:rsid w:val="00B67B45"/>
    <w:rsid w:val="00B7082C"/>
    <w:rsid w:val="00B7090F"/>
    <w:rsid w:val="00B74AD7"/>
    <w:rsid w:val="00B75FE0"/>
    <w:rsid w:val="00B76DE0"/>
    <w:rsid w:val="00B76E0D"/>
    <w:rsid w:val="00B77445"/>
    <w:rsid w:val="00B77911"/>
    <w:rsid w:val="00B80525"/>
    <w:rsid w:val="00B80B90"/>
    <w:rsid w:val="00B80CE1"/>
    <w:rsid w:val="00B80CE5"/>
    <w:rsid w:val="00B8129E"/>
    <w:rsid w:val="00B81850"/>
    <w:rsid w:val="00B828F6"/>
    <w:rsid w:val="00B82A1D"/>
    <w:rsid w:val="00B83DDB"/>
    <w:rsid w:val="00B8461D"/>
    <w:rsid w:val="00B8482D"/>
    <w:rsid w:val="00B91D8C"/>
    <w:rsid w:val="00B923D7"/>
    <w:rsid w:val="00B95DCC"/>
    <w:rsid w:val="00B96267"/>
    <w:rsid w:val="00B96983"/>
    <w:rsid w:val="00B9723B"/>
    <w:rsid w:val="00B97E38"/>
    <w:rsid w:val="00BA0150"/>
    <w:rsid w:val="00BA0AB9"/>
    <w:rsid w:val="00BA0E7B"/>
    <w:rsid w:val="00BA2EE5"/>
    <w:rsid w:val="00BA38B7"/>
    <w:rsid w:val="00BA51BC"/>
    <w:rsid w:val="00BA584A"/>
    <w:rsid w:val="00BA7152"/>
    <w:rsid w:val="00BB0EAA"/>
    <w:rsid w:val="00BB23B4"/>
    <w:rsid w:val="00BB2ACA"/>
    <w:rsid w:val="00BB2F3C"/>
    <w:rsid w:val="00BB3627"/>
    <w:rsid w:val="00BB48E0"/>
    <w:rsid w:val="00BB48F4"/>
    <w:rsid w:val="00BB4A65"/>
    <w:rsid w:val="00BB4CC3"/>
    <w:rsid w:val="00BB4FDF"/>
    <w:rsid w:val="00BB68ED"/>
    <w:rsid w:val="00BB6968"/>
    <w:rsid w:val="00BC2BDF"/>
    <w:rsid w:val="00BC37ED"/>
    <w:rsid w:val="00BC3AB9"/>
    <w:rsid w:val="00BC4462"/>
    <w:rsid w:val="00BC5437"/>
    <w:rsid w:val="00BC546B"/>
    <w:rsid w:val="00BC5B33"/>
    <w:rsid w:val="00BC5FDA"/>
    <w:rsid w:val="00BC67F1"/>
    <w:rsid w:val="00BC69D7"/>
    <w:rsid w:val="00BC6E1F"/>
    <w:rsid w:val="00BC70B1"/>
    <w:rsid w:val="00BC72F4"/>
    <w:rsid w:val="00BC7636"/>
    <w:rsid w:val="00BC7641"/>
    <w:rsid w:val="00BC7715"/>
    <w:rsid w:val="00BD0988"/>
    <w:rsid w:val="00BD257A"/>
    <w:rsid w:val="00BD3314"/>
    <w:rsid w:val="00BD4E3C"/>
    <w:rsid w:val="00BD5F20"/>
    <w:rsid w:val="00BD64D7"/>
    <w:rsid w:val="00BD652A"/>
    <w:rsid w:val="00BD6598"/>
    <w:rsid w:val="00BD65A8"/>
    <w:rsid w:val="00BD6D11"/>
    <w:rsid w:val="00BD7068"/>
    <w:rsid w:val="00BE0C91"/>
    <w:rsid w:val="00BE0D74"/>
    <w:rsid w:val="00BE0FF6"/>
    <w:rsid w:val="00BE1409"/>
    <w:rsid w:val="00BE24E7"/>
    <w:rsid w:val="00BE2A62"/>
    <w:rsid w:val="00BE349A"/>
    <w:rsid w:val="00BE3694"/>
    <w:rsid w:val="00BE49C0"/>
    <w:rsid w:val="00BE6CAF"/>
    <w:rsid w:val="00BE73ED"/>
    <w:rsid w:val="00BE79E8"/>
    <w:rsid w:val="00BF0216"/>
    <w:rsid w:val="00BF05BE"/>
    <w:rsid w:val="00BF0A1E"/>
    <w:rsid w:val="00BF3F01"/>
    <w:rsid w:val="00BF4AF3"/>
    <w:rsid w:val="00BF4E9D"/>
    <w:rsid w:val="00BF5224"/>
    <w:rsid w:val="00BF524E"/>
    <w:rsid w:val="00BF5CE2"/>
    <w:rsid w:val="00BF63E8"/>
    <w:rsid w:val="00BF6BA6"/>
    <w:rsid w:val="00BF6F06"/>
    <w:rsid w:val="00BF6F7A"/>
    <w:rsid w:val="00C003C6"/>
    <w:rsid w:val="00C00742"/>
    <w:rsid w:val="00C023B0"/>
    <w:rsid w:val="00C02474"/>
    <w:rsid w:val="00C04EBB"/>
    <w:rsid w:val="00C05381"/>
    <w:rsid w:val="00C05602"/>
    <w:rsid w:val="00C0679A"/>
    <w:rsid w:val="00C0779C"/>
    <w:rsid w:val="00C07899"/>
    <w:rsid w:val="00C07BDB"/>
    <w:rsid w:val="00C07CA4"/>
    <w:rsid w:val="00C10F5A"/>
    <w:rsid w:val="00C114A3"/>
    <w:rsid w:val="00C117C5"/>
    <w:rsid w:val="00C1234C"/>
    <w:rsid w:val="00C13B9C"/>
    <w:rsid w:val="00C13CE6"/>
    <w:rsid w:val="00C13D84"/>
    <w:rsid w:val="00C15743"/>
    <w:rsid w:val="00C15D14"/>
    <w:rsid w:val="00C162AD"/>
    <w:rsid w:val="00C16C9B"/>
    <w:rsid w:val="00C17A99"/>
    <w:rsid w:val="00C24EAD"/>
    <w:rsid w:val="00C259A5"/>
    <w:rsid w:val="00C26090"/>
    <w:rsid w:val="00C3030F"/>
    <w:rsid w:val="00C30423"/>
    <w:rsid w:val="00C322B0"/>
    <w:rsid w:val="00C32AEE"/>
    <w:rsid w:val="00C34C95"/>
    <w:rsid w:val="00C350AD"/>
    <w:rsid w:val="00C35472"/>
    <w:rsid w:val="00C359A1"/>
    <w:rsid w:val="00C359FF"/>
    <w:rsid w:val="00C37466"/>
    <w:rsid w:val="00C37508"/>
    <w:rsid w:val="00C37B28"/>
    <w:rsid w:val="00C41BBE"/>
    <w:rsid w:val="00C41CC4"/>
    <w:rsid w:val="00C447AA"/>
    <w:rsid w:val="00C44A6B"/>
    <w:rsid w:val="00C4507A"/>
    <w:rsid w:val="00C451C2"/>
    <w:rsid w:val="00C469C2"/>
    <w:rsid w:val="00C52300"/>
    <w:rsid w:val="00C52790"/>
    <w:rsid w:val="00C52D85"/>
    <w:rsid w:val="00C5312C"/>
    <w:rsid w:val="00C54714"/>
    <w:rsid w:val="00C54B6D"/>
    <w:rsid w:val="00C55113"/>
    <w:rsid w:val="00C56657"/>
    <w:rsid w:val="00C5690E"/>
    <w:rsid w:val="00C5692C"/>
    <w:rsid w:val="00C57FAB"/>
    <w:rsid w:val="00C60FD8"/>
    <w:rsid w:val="00C61540"/>
    <w:rsid w:val="00C61FE2"/>
    <w:rsid w:val="00C63B9D"/>
    <w:rsid w:val="00C6463A"/>
    <w:rsid w:val="00C653C0"/>
    <w:rsid w:val="00C660C2"/>
    <w:rsid w:val="00C670B3"/>
    <w:rsid w:val="00C70352"/>
    <w:rsid w:val="00C71E29"/>
    <w:rsid w:val="00C7266B"/>
    <w:rsid w:val="00C7327A"/>
    <w:rsid w:val="00C7376E"/>
    <w:rsid w:val="00C743CF"/>
    <w:rsid w:val="00C74CF1"/>
    <w:rsid w:val="00C74E78"/>
    <w:rsid w:val="00C75876"/>
    <w:rsid w:val="00C75A77"/>
    <w:rsid w:val="00C76A6E"/>
    <w:rsid w:val="00C80099"/>
    <w:rsid w:val="00C81C15"/>
    <w:rsid w:val="00C82275"/>
    <w:rsid w:val="00C83B21"/>
    <w:rsid w:val="00C83B66"/>
    <w:rsid w:val="00C84245"/>
    <w:rsid w:val="00C8613C"/>
    <w:rsid w:val="00C866BD"/>
    <w:rsid w:val="00C86B26"/>
    <w:rsid w:val="00C9094E"/>
    <w:rsid w:val="00C911F1"/>
    <w:rsid w:val="00C91E06"/>
    <w:rsid w:val="00C92FCB"/>
    <w:rsid w:val="00C937E5"/>
    <w:rsid w:val="00C94987"/>
    <w:rsid w:val="00C94DA4"/>
    <w:rsid w:val="00C9514F"/>
    <w:rsid w:val="00C95604"/>
    <w:rsid w:val="00C956F2"/>
    <w:rsid w:val="00C96471"/>
    <w:rsid w:val="00C96595"/>
    <w:rsid w:val="00C978C2"/>
    <w:rsid w:val="00CA0D8A"/>
    <w:rsid w:val="00CA16AF"/>
    <w:rsid w:val="00CA1936"/>
    <w:rsid w:val="00CA4058"/>
    <w:rsid w:val="00CA49F7"/>
    <w:rsid w:val="00CA54EE"/>
    <w:rsid w:val="00CA7A54"/>
    <w:rsid w:val="00CB0300"/>
    <w:rsid w:val="00CB0BA0"/>
    <w:rsid w:val="00CB136F"/>
    <w:rsid w:val="00CB2723"/>
    <w:rsid w:val="00CB515A"/>
    <w:rsid w:val="00CB603F"/>
    <w:rsid w:val="00CB62C5"/>
    <w:rsid w:val="00CC00C9"/>
    <w:rsid w:val="00CC06A0"/>
    <w:rsid w:val="00CC0EE8"/>
    <w:rsid w:val="00CC112D"/>
    <w:rsid w:val="00CC240B"/>
    <w:rsid w:val="00CC33B3"/>
    <w:rsid w:val="00CC4765"/>
    <w:rsid w:val="00CC4CA8"/>
    <w:rsid w:val="00CC5681"/>
    <w:rsid w:val="00CC5BFD"/>
    <w:rsid w:val="00CC779D"/>
    <w:rsid w:val="00CC7D6A"/>
    <w:rsid w:val="00CD04A1"/>
    <w:rsid w:val="00CD0F7A"/>
    <w:rsid w:val="00CD1168"/>
    <w:rsid w:val="00CD15EE"/>
    <w:rsid w:val="00CD1CA9"/>
    <w:rsid w:val="00CD2042"/>
    <w:rsid w:val="00CD25C7"/>
    <w:rsid w:val="00CD284C"/>
    <w:rsid w:val="00CD2D4A"/>
    <w:rsid w:val="00CD4173"/>
    <w:rsid w:val="00CD43B5"/>
    <w:rsid w:val="00CD4760"/>
    <w:rsid w:val="00CD4925"/>
    <w:rsid w:val="00CD5D7B"/>
    <w:rsid w:val="00CD6297"/>
    <w:rsid w:val="00CD6635"/>
    <w:rsid w:val="00CD6747"/>
    <w:rsid w:val="00CD685D"/>
    <w:rsid w:val="00CD6FB8"/>
    <w:rsid w:val="00CE077E"/>
    <w:rsid w:val="00CE0F76"/>
    <w:rsid w:val="00CE2743"/>
    <w:rsid w:val="00CE41C3"/>
    <w:rsid w:val="00CE4492"/>
    <w:rsid w:val="00CE49FB"/>
    <w:rsid w:val="00CE5698"/>
    <w:rsid w:val="00CE5C4B"/>
    <w:rsid w:val="00CE7BBB"/>
    <w:rsid w:val="00CF1100"/>
    <w:rsid w:val="00CF11EC"/>
    <w:rsid w:val="00CF1AB4"/>
    <w:rsid w:val="00CF45BA"/>
    <w:rsid w:val="00CF7CA5"/>
    <w:rsid w:val="00D036CF"/>
    <w:rsid w:val="00D0440D"/>
    <w:rsid w:val="00D053C7"/>
    <w:rsid w:val="00D063A6"/>
    <w:rsid w:val="00D06934"/>
    <w:rsid w:val="00D06942"/>
    <w:rsid w:val="00D07EE8"/>
    <w:rsid w:val="00D11C3D"/>
    <w:rsid w:val="00D132C5"/>
    <w:rsid w:val="00D137A8"/>
    <w:rsid w:val="00D13B61"/>
    <w:rsid w:val="00D14169"/>
    <w:rsid w:val="00D15C3C"/>
    <w:rsid w:val="00D169C0"/>
    <w:rsid w:val="00D174D2"/>
    <w:rsid w:val="00D20109"/>
    <w:rsid w:val="00D20779"/>
    <w:rsid w:val="00D20920"/>
    <w:rsid w:val="00D224DB"/>
    <w:rsid w:val="00D23A1F"/>
    <w:rsid w:val="00D23D36"/>
    <w:rsid w:val="00D2425F"/>
    <w:rsid w:val="00D24BF5"/>
    <w:rsid w:val="00D25025"/>
    <w:rsid w:val="00D25CAE"/>
    <w:rsid w:val="00D26ADC"/>
    <w:rsid w:val="00D3160C"/>
    <w:rsid w:val="00D31E83"/>
    <w:rsid w:val="00D33681"/>
    <w:rsid w:val="00D337B9"/>
    <w:rsid w:val="00D33928"/>
    <w:rsid w:val="00D33E30"/>
    <w:rsid w:val="00D35F0A"/>
    <w:rsid w:val="00D3619E"/>
    <w:rsid w:val="00D3685A"/>
    <w:rsid w:val="00D37F40"/>
    <w:rsid w:val="00D400AD"/>
    <w:rsid w:val="00D4118C"/>
    <w:rsid w:val="00D43B4D"/>
    <w:rsid w:val="00D45457"/>
    <w:rsid w:val="00D458FC"/>
    <w:rsid w:val="00D4657C"/>
    <w:rsid w:val="00D4675D"/>
    <w:rsid w:val="00D46A7A"/>
    <w:rsid w:val="00D46FC1"/>
    <w:rsid w:val="00D475A1"/>
    <w:rsid w:val="00D47865"/>
    <w:rsid w:val="00D47D13"/>
    <w:rsid w:val="00D511EB"/>
    <w:rsid w:val="00D513B7"/>
    <w:rsid w:val="00D52B05"/>
    <w:rsid w:val="00D536C5"/>
    <w:rsid w:val="00D54BAC"/>
    <w:rsid w:val="00D5539C"/>
    <w:rsid w:val="00D5619C"/>
    <w:rsid w:val="00D56439"/>
    <w:rsid w:val="00D5708A"/>
    <w:rsid w:val="00D60714"/>
    <w:rsid w:val="00D60B34"/>
    <w:rsid w:val="00D60C97"/>
    <w:rsid w:val="00D60CAE"/>
    <w:rsid w:val="00D62A11"/>
    <w:rsid w:val="00D63B14"/>
    <w:rsid w:val="00D63E0A"/>
    <w:rsid w:val="00D64361"/>
    <w:rsid w:val="00D64838"/>
    <w:rsid w:val="00D65FCD"/>
    <w:rsid w:val="00D67530"/>
    <w:rsid w:val="00D67F41"/>
    <w:rsid w:val="00D67F5B"/>
    <w:rsid w:val="00D71ABD"/>
    <w:rsid w:val="00D720BB"/>
    <w:rsid w:val="00D72AC1"/>
    <w:rsid w:val="00D73735"/>
    <w:rsid w:val="00D739FC"/>
    <w:rsid w:val="00D74927"/>
    <w:rsid w:val="00D74E8E"/>
    <w:rsid w:val="00D75483"/>
    <w:rsid w:val="00D75E5B"/>
    <w:rsid w:val="00D76579"/>
    <w:rsid w:val="00D77526"/>
    <w:rsid w:val="00D77A5E"/>
    <w:rsid w:val="00D77A92"/>
    <w:rsid w:val="00D77FA8"/>
    <w:rsid w:val="00D82D56"/>
    <w:rsid w:val="00D8339E"/>
    <w:rsid w:val="00D84CCB"/>
    <w:rsid w:val="00D85109"/>
    <w:rsid w:val="00D853ED"/>
    <w:rsid w:val="00D859E2"/>
    <w:rsid w:val="00D86D26"/>
    <w:rsid w:val="00D86DE8"/>
    <w:rsid w:val="00D87553"/>
    <w:rsid w:val="00D9069A"/>
    <w:rsid w:val="00D90AFD"/>
    <w:rsid w:val="00D914F0"/>
    <w:rsid w:val="00D91D21"/>
    <w:rsid w:val="00D92911"/>
    <w:rsid w:val="00D92E3E"/>
    <w:rsid w:val="00D93D0D"/>
    <w:rsid w:val="00D94460"/>
    <w:rsid w:val="00D94887"/>
    <w:rsid w:val="00D94EBE"/>
    <w:rsid w:val="00D960E8"/>
    <w:rsid w:val="00D97576"/>
    <w:rsid w:val="00D97C50"/>
    <w:rsid w:val="00DA055B"/>
    <w:rsid w:val="00DA05D8"/>
    <w:rsid w:val="00DA0872"/>
    <w:rsid w:val="00DA1152"/>
    <w:rsid w:val="00DA164C"/>
    <w:rsid w:val="00DA2273"/>
    <w:rsid w:val="00DA2A39"/>
    <w:rsid w:val="00DA2F2B"/>
    <w:rsid w:val="00DA30F3"/>
    <w:rsid w:val="00DA3445"/>
    <w:rsid w:val="00DA3598"/>
    <w:rsid w:val="00DA4208"/>
    <w:rsid w:val="00DA4418"/>
    <w:rsid w:val="00DA6A95"/>
    <w:rsid w:val="00DA71FE"/>
    <w:rsid w:val="00DA76D7"/>
    <w:rsid w:val="00DA7777"/>
    <w:rsid w:val="00DB06B2"/>
    <w:rsid w:val="00DB4883"/>
    <w:rsid w:val="00DB7BC2"/>
    <w:rsid w:val="00DB7BD6"/>
    <w:rsid w:val="00DC0C8D"/>
    <w:rsid w:val="00DC2412"/>
    <w:rsid w:val="00DC25AA"/>
    <w:rsid w:val="00DC2FF6"/>
    <w:rsid w:val="00DC398C"/>
    <w:rsid w:val="00DC3C41"/>
    <w:rsid w:val="00DC4B8E"/>
    <w:rsid w:val="00DC51B8"/>
    <w:rsid w:val="00DC57BF"/>
    <w:rsid w:val="00DC5934"/>
    <w:rsid w:val="00DC5D95"/>
    <w:rsid w:val="00DC797F"/>
    <w:rsid w:val="00DC7A07"/>
    <w:rsid w:val="00DC7C2A"/>
    <w:rsid w:val="00DD0038"/>
    <w:rsid w:val="00DD0194"/>
    <w:rsid w:val="00DD0B56"/>
    <w:rsid w:val="00DD3981"/>
    <w:rsid w:val="00DD3A94"/>
    <w:rsid w:val="00DD416C"/>
    <w:rsid w:val="00DD4384"/>
    <w:rsid w:val="00DD451B"/>
    <w:rsid w:val="00DE1674"/>
    <w:rsid w:val="00DE2CC5"/>
    <w:rsid w:val="00DE38F4"/>
    <w:rsid w:val="00DE482A"/>
    <w:rsid w:val="00DE616E"/>
    <w:rsid w:val="00DE61CB"/>
    <w:rsid w:val="00DE77D3"/>
    <w:rsid w:val="00DE7D88"/>
    <w:rsid w:val="00DF03F2"/>
    <w:rsid w:val="00DF0B32"/>
    <w:rsid w:val="00DF0EAB"/>
    <w:rsid w:val="00DF33A0"/>
    <w:rsid w:val="00DF35BC"/>
    <w:rsid w:val="00DF42D8"/>
    <w:rsid w:val="00DF768B"/>
    <w:rsid w:val="00E010F3"/>
    <w:rsid w:val="00E01247"/>
    <w:rsid w:val="00E01841"/>
    <w:rsid w:val="00E01C76"/>
    <w:rsid w:val="00E02272"/>
    <w:rsid w:val="00E02A41"/>
    <w:rsid w:val="00E02A4B"/>
    <w:rsid w:val="00E032B1"/>
    <w:rsid w:val="00E0350D"/>
    <w:rsid w:val="00E03971"/>
    <w:rsid w:val="00E047C6"/>
    <w:rsid w:val="00E05AFB"/>
    <w:rsid w:val="00E060F6"/>
    <w:rsid w:val="00E11245"/>
    <w:rsid w:val="00E12A8C"/>
    <w:rsid w:val="00E14623"/>
    <w:rsid w:val="00E16003"/>
    <w:rsid w:val="00E16CB0"/>
    <w:rsid w:val="00E173A8"/>
    <w:rsid w:val="00E212C2"/>
    <w:rsid w:val="00E23E03"/>
    <w:rsid w:val="00E24D09"/>
    <w:rsid w:val="00E24EE5"/>
    <w:rsid w:val="00E25EEE"/>
    <w:rsid w:val="00E26F4C"/>
    <w:rsid w:val="00E3051D"/>
    <w:rsid w:val="00E307AC"/>
    <w:rsid w:val="00E309C7"/>
    <w:rsid w:val="00E30F3A"/>
    <w:rsid w:val="00E31DEC"/>
    <w:rsid w:val="00E32947"/>
    <w:rsid w:val="00E32EBE"/>
    <w:rsid w:val="00E33902"/>
    <w:rsid w:val="00E37F27"/>
    <w:rsid w:val="00E40B5A"/>
    <w:rsid w:val="00E42488"/>
    <w:rsid w:val="00E42B2A"/>
    <w:rsid w:val="00E438FF"/>
    <w:rsid w:val="00E44076"/>
    <w:rsid w:val="00E44372"/>
    <w:rsid w:val="00E45EDA"/>
    <w:rsid w:val="00E45F2A"/>
    <w:rsid w:val="00E46884"/>
    <w:rsid w:val="00E474B0"/>
    <w:rsid w:val="00E5123D"/>
    <w:rsid w:val="00E52905"/>
    <w:rsid w:val="00E52B65"/>
    <w:rsid w:val="00E53821"/>
    <w:rsid w:val="00E53964"/>
    <w:rsid w:val="00E540CD"/>
    <w:rsid w:val="00E54461"/>
    <w:rsid w:val="00E5546D"/>
    <w:rsid w:val="00E57909"/>
    <w:rsid w:val="00E57B26"/>
    <w:rsid w:val="00E57BD0"/>
    <w:rsid w:val="00E57C0D"/>
    <w:rsid w:val="00E57D1B"/>
    <w:rsid w:val="00E60365"/>
    <w:rsid w:val="00E60FE5"/>
    <w:rsid w:val="00E62146"/>
    <w:rsid w:val="00E62894"/>
    <w:rsid w:val="00E63D14"/>
    <w:rsid w:val="00E65037"/>
    <w:rsid w:val="00E65710"/>
    <w:rsid w:val="00E67DD3"/>
    <w:rsid w:val="00E70024"/>
    <w:rsid w:val="00E70CEA"/>
    <w:rsid w:val="00E713DA"/>
    <w:rsid w:val="00E72A70"/>
    <w:rsid w:val="00E73932"/>
    <w:rsid w:val="00E7425F"/>
    <w:rsid w:val="00E7468A"/>
    <w:rsid w:val="00E74812"/>
    <w:rsid w:val="00E74E14"/>
    <w:rsid w:val="00E758D4"/>
    <w:rsid w:val="00E76A60"/>
    <w:rsid w:val="00E76E16"/>
    <w:rsid w:val="00E77A1D"/>
    <w:rsid w:val="00E77CA6"/>
    <w:rsid w:val="00E80375"/>
    <w:rsid w:val="00E80DE4"/>
    <w:rsid w:val="00E80EA4"/>
    <w:rsid w:val="00E81146"/>
    <w:rsid w:val="00E8174E"/>
    <w:rsid w:val="00E83498"/>
    <w:rsid w:val="00E83C9B"/>
    <w:rsid w:val="00E862C4"/>
    <w:rsid w:val="00E86EBE"/>
    <w:rsid w:val="00E8768D"/>
    <w:rsid w:val="00E907A1"/>
    <w:rsid w:val="00E9204D"/>
    <w:rsid w:val="00E9228A"/>
    <w:rsid w:val="00E94CA6"/>
    <w:rsid w:val="00E94F78"/>
    <w:rsid w:val="00E96000"/>
    <w:rsid w:val="00E976F6"/>
    <w:rsid w:val="00E97E45"/>
    <w:rsid w:val="00EA000A"/>
    <w:rsid w:val="00EA01C6"/>
    <w:rsid w:val="00EA1143"/>
    <w:rsid w:val="00EA162E"/>
    <w:rsid w:val="00EA227C"/>
    <w:rsid w:val="00EA319B"/>
    <w:rsid w:val="00EA4D94"/>
    <w:rsid w:val="00EA4ECB"/>
    <w:rsid w:val="00EA6C95"/>
    <w:rsid w:val="00EB0897"/>
    <w:rsid w:val="00EB1AAB"/>
    <w:rsid w:val="00EB1B49"/>
    <w:rsid w:val="00EB201A"/>
    <w:rsid w:val="00EB2584"/>
    <w:rsid w:val="00EB3871"/>
    <w:rsid w:val="00EB3ED0"/>
    <w:rsid w:val="00EB4044"/>
    <w:rsid w:val="00EB47BA"/>
    <w:rsid w:val="00EB51C7"/>
    <w:rsid w:val="00EB5309"/>
    <w:rsid w:val="00EB54F3"/>
    <w:rsid w:val="00EB6031"/>
    <w:rsid w:val="00EB674E"/>
    <w:rsid w:val="00EB7E2F"/>
    <w:rsid w:val="00EC05DE"/>
    <w:rsid w:val="00EC14C2"/>
    <w:rsid w:val="00EC18D2"/>
    <w:rsid w:val="00EC1DFB"/>
    <w:rsid w:val="00EC1F20"/>
    <w:rsid w:val="00EC2F00"/>
    <w:rsid w:val="00EC43E4"/>
    <w:rsid w:val="00EC4730"/>
    <w:rsid w:val="00EC6CCE"/>
    <w:rsid w:val="00EC6FBD"/>
    <w:rsid w:val="00EC6FEB"/>
    <w:rsid w:val="00EC7CB9"/>
    <w:rsid w:val="00ED095E"/>
    <w:rsid w:val="00ED1FF3"/>
    <w:rsid w:val="00ED237A"/>
    <w:rsid w:val="00ED2585"/>
    <w:rsid w:val="00ED2888"/>
    <w:rsid w:val="00ED2C44"/>
    <w:rsid w:val="00ED2E25"/>
    <w:rsid w:val="00ED3A9C"/>
    <w:rsid w:val="00EE00AC"/>
    <w:rsid w:val="00EE0602"/>
    <w:rsid w:val="00EE24A9"/>
    <w:rsid w:val="00EE24EE"/>
    <w:rsid w:val="00EE4B12"/>
    <w:rsid w:val="00EE5426"/>
    <w:rsid w:val="00EE5D69"/>
    <w:rsid w:val="00EE61FC"/>
    <w:rsid w:val="00EE682A"/>
    <w:rsid w:val="00EE686F"/>
    <w:rsid w:val="00EE6A94"/>
    <w:rsid w:val="00EE7EF7"/>
    <w:rsid w:val="00EE7F06"/>
    <w:rsid w:val="00EF22F6"/>
    <w:rsid w:val="00EF28EC"/>
    <w:rsid w:val="00EF327E"/>
    <w:rsid w:val="00EF3B97"/>
    <w:rsid w:val="00EF4D9E"/>
    <w:rsid w:val="00EF538A"/>
    <w:rsid w:val="00EF5EA0"/>
    <w:rsid w:val="00EF5F06"/>
    <w:rsid w:val="00EF6487"/>
    <w:rsid w:val="00F0024D"/>
    <w:rsid w:val="00F0029C"/>
    <w:rsid w:val="00F007B4"/>
    <w:rsid w:val="00F015DF"/>
    <w:rsid w:val="00F01E43"/>
    <w:rsid w:val="00F020B9"/>
    <w:rsid w:val="00F02649"/>
    <w:rsid w:val="00F03706"/>
    <w:rsid w:val="00F070C6"/>
    <w:rsid w:val="00F10456"/>
    <w:rsid w:val="00F1066A"/>
    <w:rsid w:val="00F1298D"/>
    <w:rsid w:val="00F131F4"/>
    <w:rsid w:val="00F1354F"/>
    <w:rsid w:val="00F13778"/>
    <w:rsid w:val="00F13FED"/>
    <w:rsid w:val="00F1452A"/>
    <w:rsid w:val="00F14958"/>
    <w:rsid w:val="00F1539D"/>
    <w:rsid w:val="00F155A1"/>
    <w:rsid w:val="00F15891"/>
    <w:rsid w:val="00F17CE0"/>
    <w:rsid w:val="00F200A4"/>
    <w:rsid w:val="00F200EA"/>
    <w:rsid w:val="00F20375"/>
    <w:rsid w:val="00F203B5"/>
    <w:rsid w:val="00F207B2"/>
    <w:rsid w:val="00F22664"/>
    <w:rsid w:val="00F22922"/>
    <w:rsid w:val="00F24D6C"/>
    <w:rsid w:val="00F251E9"/>
    <w:rsid w:val="00F25211"/>
    <w:rsid w:val="00F254D8"/>
    <w:rsid w:val="00F254E5"/>
    <w:rsid w:val="00F26D6B"/>
    <w:rsid w:val="00F276EA"/>
    <w:rsid w:val="00F30FBE"/>
    <w:rsid w:val="00F32F09"/>
    <w:rsid w:val="00F34189"/>
    <w:rsid w:val="00F35207"/>
    <w:rsid w:val="00F3560B"/>
    <w:rsid w:val="00F35D7E"/>
    <w:rsid w:val="00F3720E"/>
    <w:rsid w:val="00F3757C"/>
    <w:rsid w:val="00F37AB0"/>
    <w:rsid w:val="00F42343"/>
    <w:rsid w:val="00F43BB5"/>
    <w:rsid w:val="00F43C4E"/>
    <w:rsid w:val="00F458FA"/>
    <w:rsid w:val="00F45B28"/>
    <w:rsid w:val="00F4632A"/>
    <w:rsid w:val="00F469CA"/>
    <w:rsid w:val="00F508C6"/>
    <w:rsid w:val="00F51A12"/>
    <w:rsid w:val="00F51F87"/>
    <w:rsid w:val="00F5265D"/>
    <w:rsid w:val="00F54501"/>
    <w:rsid w:val="00F54B9D"/>
    <w:rsid w:val="00F5508A"/>
    <w:rsid w:val="00F550DC"/>
    <w:rsid w:val="00F550E4"/>
    <w:rsid w:val="00F5559D"/>
    <w:rsid w:val="00F5696E"/>
    <w:rsid w:val="00F573CA"/>
    <w:rsid w:val="00F573DC"/>
    <w:rsid w:val="00F57F49"/>
    <w:rsid w:val="00F57F79"/>
    <w:rsid w:val="00F621D2"/>
    <w:rsid w:val="00F64AAF"/>
    <w:rsid w:val="00F64C9E"/>
    <w:rsid w:val="00F70745"/>
    <w:rsid w:val="00F71DFF"/>
    <w:rsid w:val="00F72560"/>
    <w:rsid w:val="00F728D7"/>
    <w:rsid w:val="00F72E79"/>
    <w:rsid w:val="00F7362A"/>
    <w:rsid w:val="00F7399E"/>
    <w:rsid w:val="00F77A66"/>
    <w:rsid w:val="00F80966"/>
    <w:rsid w:val="00F80A17"/>
    <w:rsid w:val="00F80D98"/>
    <w:rsid w:val="00F81909"/>
    <w:rsid w:val="00F81FF1"/>
    <w:rsid w:val="00F83821"/>
    <w:rsid w:val="00F84350"/>
    <w:rsid w:val="00F85950"/>
    <w:rsid w:val="00F85D49"/>
    <w:rsid w:val="00F86A98"/>
    <w:rsid w:val="00F87E70"/>
    <w:rsid w:val="00F908DA"/>
    <w:rsid w:val="00F921BD"/>
    <w:rsid w:val="00F9610C"/>
    <w:rsid w:val="00F9685A"/>
    <w:rsid w:val="00F96A1F"/>
    <w:rsid w:val="00F97D28"/>
    <w:rsid w:val="00FA0439"/>
    <w:rsid w:val="00FA0619"/>
    <w:rsid w:val="00FA06AC"/>
    <w:rsid w:val="00FA11B6"/>
    <w:rsid w:val="00FA23FB"/>
    <w:rsid w:val="00FA3909"/>
    <w:rsid w:val="00FA401E"/>
    <w:rsid w:val="00FA4A00"/>
    <w:rsid w:val="00FA4F52"/>
    <w:rsid w:val="00FA5469"/>
    <w:rsid w:val="00FA58F2"/>
    <w:rsid w:val="00FA6B3B"/>
    <w:rsid w:val="00FA6E99"/>
    <w:rsid w:val="00FA76A8"/>
    <w:rsid w:val="00FA7A30"/>
    <w:rsid w:val="00FB017A"/>
    <w:rsid w:val="00FB07B3"/>
    <w:rsid w:val="00FB445D"/>
    <w:rsid w:val="00FB60D2"/>
    <w:rsid w:val="00FB6C93"/>
    <w:rsid w:val="00FB718C"/>
    <w:rsid w:val="00FB78FF"/>
    <w:rsid w:val="00FB7969"/>
    <w:rsid w:val="00FB7DEC"/>
    <w:rsid w:val="00FC04EF"/>
    <w:rsid w:val="00FC2C59"/>
    <w:rsid w:val="00FC42B4"/>
    <w:rsid w:val="00FC4489"/>
    <w:rsid w:val="00FC52F4"/>
    <w:rsid w:val="00FC56D3"/>
    <w:rsid w:val="00FC56DB"/>
    <w:rsid w:val="00FC77B4"/>
    <w:rsid w:val="00FC79D8"/>
    <w:rsid w:val="00FC7E65"/>
    <w:rsid w:val="00FD0288"/>
    <w:rsid w:val="00FD06EA"/>
    <w:rsid w:val="00FD1ED9"/>
    <w:rsid w:val="00FD1F6D"/>
    <w:rsid w:val="00FD1FA7"/>
    <w:rsid w:val="00FD36B1"/>
    <w:rsid w:val="00FD3CDE"/>
    <w:rsid w:val="00FD59AB"/>
    <w:rsid w:val="00FD6BF2"/>
    <w:rsid w:val="00FE00AF"/>
    <w:rsid w:val="00FE0579"/>
    <w:rsid w:val="00FE0609"/>
    <w:rsid w:val="00FE073A"/>
    <w:rsid w:val="00FE0E3E"/>
    <w:rsid w:val="00FE2D10"/>
    <w:rsid w:val="00FE4588"/>
    <w:rsid w:val="00FE5098"/>
    <w:rsid w:val="00FE56A9"/>
    <w:rsid w:val="00FE58C3"/>
    <w:rsid w:val="00FE5BC3"/>
    <w:rsid w:val="00FE6228"/>
    <w:rsid w:val="00FE645C"/>
    <w:rsid w:val="00FE67BA"/>
    <w:rsid w:val="00FE67DF"/>
    <w:rsid w:val="00FE6D75"/>
    <w:rsid w:val="00FE6EE9"/>
    <w:rsid w:val="00FE7CE3"/>
    <w:rsid w:val="00FF0EDC"/>
    <w:rsid w:val="00FF1CDB"/>
    <w:rsid w:val="00FF1F33"/>
    <w:rsid w:val="00FF2174"/>
    <w:rsid w:val="00FF23AB"/>
    <w:rsid w:val="00FF2F23"/>
    <w:rsid w:val="00FF37B2"/>
    <w:rsid w:val="00FF42B4"/>
    <w:rsid w:val="00FF5CBF"/>
    <w:rsid w:val="00FF65BC"/>
    <w:rsid w:val="00FF6C6A"/>
    <w:rsid w:val="00FF6DF8"/>
    <w:rsid w:val="00FF7356"/>
    <w:rsid w:val="00FF7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07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B8"/>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3E64F9"/>
    <w:pPr>
      <w:spacing w:before="480"/>
      <w:contextualSpacing/>
      <w:outlineLvl w:val="0"/>
    </w:pPr>
    <w:rPr>
      <w:rFonts w:asciiTheme="majorHAnsi" w:eastAsiaTheme="majorEastAsia" w:hAnsiTheme="majorHAnsi" w:cstheme="majorBidi"/>
      <w:b/>
      <w:bCs/>
      <w:sz w:val="28"/>
      <w:szCs w:val="28"/>
      <w:lang w:val="en-US" w:eastAsia="en-US" w:bidi="en-US"/>
    </w:rPr>
  </w:style>
  <w:style w:type="paragraph" w:styleId="Heading2">
    <w:name w:val="heading 2"/>
    <w:basedOn w:val="Normal"/>
    <w:next w:val="Normal"/>
    <w:link w:val="Heading2Char"/>
    <w:uiPriority w:val="9"/>
    <w:semiHidden/>
    <w:unhideWhenUsed/>
    <w:qFormat/>
    <w:rsid w:val="00997607"/>
    <w:pPr>
      <w:keepNext/>
      <w:keepLines/>
      <w:spacing w:before="200"/>
      <w:outlineLvl w:val="1"/>
    </w:pPr>
    <w:rPr>
      <w:rFonts w:asciiTheme="majorHAnsi" w:eastAsiaTheme="majorEastAsia" w:hAnsiTheme="majorHAnsi" w:cstheme="majorBidi"/>
      <w:b/>
      <w:bCs/>
      <w:color w:val="4F81BD" w:themeColor="accent1"/>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4F9"/>
    <w:rPr>
      <w:rFonts w:asciiTheme="majorHAnsi" w:eastAsiaTheme="majorEastAsia" w:hAnsiTheme="majorHAnsi" w:cstheme="majorBidi"/>
      <w:b/>
      <w:bCs/>
      <w:sz w:val="28"/>
      <w:szCs w:val="28"/>
      <w:lang w:val="en-US" w:bidi="en-US"/>
    </w:rPr>
  </w:style>
  <w:style w:type="paragraph" w:customStyle="1" w:styleId="ParaNumbering">
    <w:name w:val="Para Numbering"/>
    <w:basedOn w:val="Normal"/>
    <w:rsid w:val="00D513B7"/>
    <w:pPr>
      <w:tabs>
        <w:tab w:val="num" w:pos="360"/>
        <w:tab w:val="left" w:pos="567"/>
      </w:tabs>
      <w:spacing w:line="240" w:lineRule="atLeast"/>
    </w:pPr>
    <w:rPr>
      <w:szCs w:val="20"/>
      <w:lang w:eastAsia="en-US"/>
    </w:rPr>
  </w:style>
  <w:style w:type="paragraph" w:styleId="ListParagraph">
    <w:name w:val="List Paragraph"/>
    <w:aliases w:val="NFP GP Bulleted List,List Paragraph1,Recommendation,List Paragraph11"/>
    <w:basedOn w:val="Normal"/>
    <w:link w:val="ListParagraphChar"/>
    <w:uiPriority w:val="34"/>
    <w:qFormat/>
    <w:rsid w:val="00D513B7"/>
    <w:pPr>
      <w:ind w:left="720"/>
      <w:contextualSpacing/>
    </w:pPr>
    <w:rPr>
      <w:rFonts w:eastAsiaTheme="minorEastAsia"/>
      <w:lang w:val="en-US" w:eastAsia="en-US" w:bidi="en-US"/>
    </w:rPr>
  </w:style>
  <w:style w:type="paragraph" w:styleId="NoSpacing">
    <w:name w:val="No Spacing"/>
    <w:uiPriority w:val="1"/>
    <w:qFormat/>
    <w:rsid w:val="00776EAE"/>
    <w:pPr>
      <w:spacing w:after="0" w:line="240" w:lineRule="auto"/>
    </w:pPr>
    <w:rPr>
      <w:rFonts w:ascii="Times New Roman" w:eastAsiaTheme="minorEastAsia"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997607"/>
    <w:rPr>
      <w:rFonts w:asciiTheme="majorHAnsi" w:eastAsiaTheme="majorEastAsia" w:hAnsiTheme="majorHAnsi" w:cstheme="majorBidi"/>
      <w:b/>
      <w:bCs/>
      <w:color w:val="4F81BD" w:themeColor="accent1"/>
      <w:sz w:val="26"/>
      <w:szCs w:val="26"/>
      <w:lang w:val="en-US" w:bidi="en-US"/>
    </w:rPr>
  </w:style>
  <w:style w:type="paragraph" w:customStyle="1" w:styleId="paranumbering0">
    <w:name w:val="paranumbering"/>
    <w:basedOn w:val="Normal"/>
    <w:uiPriority w:val="99"/>
    <w:rsid w:val="00997607"/>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A51D77"/>
    <w:rPr>
      <w:sz w:val="16"/>
      <w:szCs w:val="16"/>
    </w:rPr>
  </w:style>
  <w:style w:type="paragraph" w:styleId="CommentText">
    <w:name w:val="annotation text"/>
    <w:basedOn w:val="Normal"/>
    <w:link w:val="CommentTextChar"/>
    <w:uiPriority w:val="99"/>
    <w:unhideWhenUsed/>
    <w:rsid w:val="00A51D77"/>
    <w:rPr>
      <w:rFonts w:eastAsiaTheme="minorEastAsia"/>
      <w:sz w:val="20"/>
      <w:szCs w:val="20"/>
      <w:lang w:val="en-US" w:eastAsia="en-US" w:bidi="en-US"/>
    </w:rPr>
  </w:style>
  <w:style w:type="character" w:customStyle="1" w:styleId="CommentTextChar">
    <w:name w:val="Comment Text Char"/>
    <w:basedOn w:val="DefaultParagraphFont"/>
    <w:link w:val="CommentText"/>
    <w:uiPriority w:val="99"/>
    <w:rsid w:val="00A51D77"/>
    <w:rPr>
      <w:rFonts w:ascii="Times New Roman" w:eastAsiaTheme="minorEastAsia" w:hAnsi="Times New Roman" w:cs="Times New Roman"/>
      <w:sz w:val="20"/>
      <w:szCs w:val="20"/>
      <w:lang w:val="en-US" w:bidi="en-US"/>
    </w:rPr>
  </w:style>
  <w:style w:type="paragraph" w:styleId="BalloonText">
    <w:name w:val="Balloon Text"/>
    <w:basedOn w:val="Normal"/>
    <w:link w:val="BalloonTextChar"/>
    <w:uiPriority w:val="99"/>
    <w:semiHidden/>
    <w:unhideWhenUsed/>
    <w:rsid w:val="00A51D77"/>
    <w:rPr>
      <w:rFonts w:ascii="Tahoma" w:eastAsiaTheme="minorEastAsia" w:hAnsi="Tahoma" w:cs="Tahoma"/>
      <w:sz w:val="16"/>
      <w:szCs w:val="16"/>
      <w:lang w:val="en-US" w:eastAsia="en-US" w:bidi="en-US"/>
    </w:rPr>
  </w:style>
  <w:style w:type="character" w:customStyle="1" w:styleId="BalloonTextChar">
    <w:name w:val="Balloon Text Char"/>
    <w:basedOn w:val="DefaultParagraphFont"/>
    <w:link w:val="BalloonText"/>
    <w:uiPriority w:val="99"/>
    <w:semiHidden/>
    <w:rsid w:val="00A51D77"/>
    <w:rPr>
      <w:rFonts w:ascii="Tahoma" w:eastAsiaTheme="minorEastAsia" w:hAnsi="Tahoma" w:cs="Tahoma"/>
      <w:sz w:val="16"/>
      <w:szCs w:val="16"/>
      <w:lang w:val="en-US" w:bidi="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A6027C"/>
    <w:rPr>
      <w:rFonts w:ascii="Times New Roman" w:eastAsiaTheme="minorEastAsia" w:hAnsi="Times New Roman" w:cs="Times New Roman"/>
      <w:sz w:val="24"/>
      <w:szCs w:val="24"/>
      <w:lang w:val="en-US" w:bidi="en-US"/>
    </w:rPr>
  </w:style>
  <w:style w:type="paragraph" w:styleId="Header">
    <w:name w:val="header"/>
    <w:basedOn w:val="Normal"/>
    <w:link w:val="HeaderChar"/>
    <w:uiPriority w:val="99"/>
    <w:unhideWhenUsed/>
    <w:rsid w:val="00063C9E"/>
    <w:pPr>
      <w:tabs>
        <w:tab w:val="center" w:pos="4513"/>
        <w:tab w:val="right" w:pos="9026"/>
      </w:tabs>
    </w:pPr>
    <w:rPr>
      <w:rFonts w:eastAsiaTheme="minorEastAsia"/>
      <w:lang w:val="en-US" w:eastAsia="en-US" w:bidi="en-US"/>
    </w:rPr>
  </w:style>
  <w:style w:type="character" w:customStyle="1" w:styleId="HeaderChar">
    <w:name w:val="Header Char"/>
    <w:basedOn w:val="DefaultParagraphFont"/>
    <w:link w:val="Header"/>
    <w:uiPriority w:val="99"/>
    <w:rsid w:val="00063C9E"/>
    <w:rPr>
      <w:rFonts w:ascii="Times New Roman" w:eastAsiaTheme="minorEastAsia" w:hAnsi="Times New Roman" w:cs="Times New Roman"/>
      <w:sz w:val="24"/>
      <w:szCs w:val="24"/>
      <w:lang w:val="en-US" w:bidi="en-US"/>
    </w:rPr>
  </w:style>
  <w:style w:type="paragraph" w:styleId="Footer">
    <w:name w:val="footer"/>
    <w:basedOn w:val="Normal"/>
    <w:link w:val="FooterChar"/>
    <w:uiPriority w:val="99"/>
    <w:unhideWhenUsed/>
    <w:rsid w:val="00063C9E"/>
    <w:pPr>
      <w:tabs>
        <w:tab w:val="center" w:pos="4513"/>
        <w:tab w:val="right" w:pos="9026"/>
      </w:tabs>
    </w:pPr>
    <w:rPr>
      <w:rFonts w:eastAsiaTheme="minorEastAsia"/>
      <w:lang w:val="en-US" w:eastAsia="en-US" w:bidi="en-US"/>
    </w:rPr>
  </w:style>
  <w:style w:type="character" w:customStyle="1" w:styleId="FooterChar">
    <w:name w:val="Footer Char"/>
    <w:basedOn w:val="DefaultParagraphFont"/>
    <w:link w:val="Footer"/>
    <w:uiPriority w:val="99"/>
    <w:rsid w:val="00063C9E"/>
    <w:rPr>
      <w:rFonts w:ascii="Times New Roman" w:eastAsiaTheme="minorEastAsia" w:hAnsi="Times New Roman" w:cs="Times New Roman"/>
      <w:sz w:val="24"/>
      <w:szCs w:val="24"/>
      <w:lang w:val="en-US" w:bidi="en-US"/>
    </w:rPr>
  </w:style>
  <w:style w:type="character" w:customStyle="1" w:styleId="apple-converted-space">
    <w:name w:val="apple-converted-space"/>
    <w:basedOn w:val="DefaultParagraphFont"/>
    <w:rsid w:val="00F203B5"/>
  </w:style>
  <w:style w:type="paragraph" w:styleId="CommentSubject">
    <w:name w:val="annotation subject"/>
    <w:basedOn w:val="CommentText"/>
    <w:next w:val="CommentText"/>
    <w:link w:val="CommentSubjectChar"/>
    <w:uiPriority w:val="99"/>
    <w:semiHidden/>
    <w:unhideWhenUsed/>
    <w:rsid w:val="00296A1E"/>
    <w:rPr>
      <w:rFonts w:eastAsia="Times New Roman"/>
      <w:b/>
      <w:bCs/>
      <w:lang w:val="en-AU" w:eastAsia="en-AU" w:bidi="ar-SA"/>
    </w:rPr>
  </w:style>
  <w:style w:type="character" w:customStyle="1" w:styleId="CommentSubjectChar">
    <w:name w:val="Comment Subject Char"/>
    <w:basedOn w:val="CommentTextChar"/>
    <w:link w:val="CommentSubject"/>
    <w:uiPriority w:val="99"/>
    <w:semiHidden/>
    <w:rsid w:val="00296A1E"/>
    <w:rPr>
      <w:rFonts w:ascii="Times New Roman" w:eastAsia="Times New Roman" w:hAnsi="Times New Roman" w:cs="Times New Roman"/>
      <w:b/>
      <w:bCs/>
      <w:sz w:val="20"/>
      <w:szCs w:val="20"/>
      <w:lang w:val="en-US" w:eastAsia="en-AU" w:bidi="en-US"/>
    </w:rPr>
  </w:style>
  <w:style w:type="character" w:customStyle="1" w:styleId="chardivno">
    <w:name w:val="chardivno"/>
    <w:basedOn w:val="DefaultParagraphFont"/>
    <w:rsid w:val="00661982"/>
  </w:style>
  <w:style w:type="paragraph" w:customStyle="1" w:styleId="paragraph">
    <w:name w:val="paragraph"/>
    <w:aliases w:val="a"/>
    <w:basedOn w:val="Normal"/>
    <w:rsid w:val="002D3D3C"/>
    <w:pPr>
      <w:tabs>
        <w:tab w:val="right" w:pos="1531"/>
      </w:tabs>
      <w:spacing w:before="40"/>
      <w:ind w:left="1644" w:hanging="1644"/>
    </w:pPr>
    <w:rPr>
      <w:sz w:val="22"/>
      <w:szCs w:val="20"/>
    </w:rPr>
  </w:style>
  <w:style w:type="paragraph" w:customStyle="1" w:styleId="paragraphsub">
    <w:name w:val="paragraph(sub)"/>
    <w:aliases w:val="aa"/>
    <w:basedOn w:val="Normal"/>
    <w:rsid w:val="00595D23"/>
    <w:pPr>
      <w:tabs>
        <w:tab w:val="right" w:pos="1985"/>
      </w:tabs>
      <w:spacing w:before="40"/>
      <w:ind w:left="2098" w:hanging="2098"/>
    </w:pPr>
    <w:rPr>
      <w:sz w:val="22"/>
      <w:szCs w:val="20"/>
    </w:rPr>
  </w:style>
  <w:style w:type="paragraph" w:customStyle="1" w:styleId="SubsectionHead">
    <w:name w:val="SubsectionHead"/>
    <w:aliases w:val="ssh"/>
    <w:basedOn w:val="Normal"/>
    <w:next w:val="Normal"/>
    <w:rsid w:val="006B0D75"/>
    <w:pPr>
      <w:keepNext/>
      <w:keepLines/>
      <w:spacing w:before="240"/>
      <w:ind w:left="1134"/>
    </w:pPr>
    <w:rPr>
      <w:i/>
      <w:sz w:val="22"/>
      <w:szCs w:val="20"/>
    </w:rPr>
  </w:style>
  <w:style w:type="paragraph" w:customStyle="1" w:styleId="Default">
    <w:name w:val="Default"/>
    <w:rsid w:val="008F713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F713B"/>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F713B"/>
    <w:rPr>
      <w:sz w:val="20"/>
      <w:szCs w:val="20"/>
    </w:rPr>
  </w:style>
  <w:style w:type="character" w:styleId="FootnoteReference">
    <w:name w:val="footnote reference"/>
    <w:basedOn w:val="DefaultParagraphFont"/>
    <w:uiPriority w:val="99"/>
    <w:semiHidden/>
    <w:unhideWhenUsed/>
    <w:rsid w:val="008F713B"/>
    <w:rPr>
      <w:vertAlign w:val="superscript"/>
    </w:rPr>
  </w:style>
  <w:style w:type="paragraph" w:customStyle="1" w:styleId="ActHead5">
    <w:name w:val="ActHead 5"/>
    <w:aliases w:val="s"/>
    <w:basedOn w:val="Normal"/>
    <w:next w:val="Normal"/>
    <w:link w:val="ActHead5Char"/>
    <w:qFormat/>
    <w:rsid w:val="009310CF"/>
    <w:pPr>
      <w:keepNext/>
      <w:keepLines/>
      <w:spacing w:before="280"/>
      <w:ind w:left="1134" w:hanging="1134"/>
      <w:outlineLvl w:val="4"/>
    </w:pPr>
    <w:rPr>
      <w:b/>
      <w:kern w:val="28"/>
      <w:szCs w:val="20"/>
    </w:rPr>
  </w:style>
  <w:style w:type="character" w:customStyle="1" w:styleId="CharSectno">
    <w:name w:val="CharSectno"/>
    <w:basedOn w:val="DefaultParagraphFont"/>
    <w:qFormat/>
    <w:rsid w:val="009310CF"/>
  </w:style>
  <w:style w:type="character" w:customStyle="1" w:styleId="ActHead5Char">
    <w:name w:val="ActHead 5 Char"/>
    <w:aliases w:val="s Char"/>
    <w:link w:val="ActHead5"/>
    <w:rsid w:val="009310CF"/>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437ACF"/>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A0D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B8"/>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3E64F9"/>
    <w:pPr>
      <w:spacing w:before="480"/>
      <w:contextualSpacing/>
      <w:outlineLvl w:val="0"/>
    </w:pPr>
    <w:rPr>
      <w:rFonts w:asciiTheme="majorHAnsi" w:eastAsiaTheme="majorEastAsia" w:hAnsiTheme="majorHAnsi" w:cstheme="majorBidi"/>
      <w:b/>
      <w:bCs/>
      <w:sz w:val="28"/>
      <w:szCs w:val="28"/>
      <w:lang w:val="en-US" w:eastAsia="en-US" w:bidi="en-US"/>
    </w:rPr>
  </w:style>
  <w:style w:type="paragraph" w:styleId="Heading2">
    <w:name w:val="heading 2"/>
    <w:basedOn w:val="Normal"/>
    <w:next w:val="Normal"/>
    <w:link w:val="Heading2Char"/>
    <w:uiPriority w:val="9"/>
    <w:semiHidden/>
    <w:unhideWhenUsed/>
    <w:qFormat/>
    <w:rsid w:val="00997607"/>
    <w:pPr>
      <w:keepNext/>
      <w:keepLines/>
      <w:spacing w:before="200"/>
      <w:outlineLvl w:val="1"/>
    </w:pPr>
    <w:rPr>
      <w:rFonts w:asciiTheme="majorHAnsi" w:eastAsiaTheme="majorEastAsia" w:hAnsiTheme="majorHAnsi" w:cstheme="majorBidi"/>
      <w:b/>
      <w:bCs/>
      <w:color w:val="4F81BD" w:themeColor="accent1"/>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4F9"/>
    <w:rPr>
      <w:rFonts w:asciiTheme="majorHAnsi" w:eastAsiaTheme="majorEastAsia" w:hAnsiTheme="majorHAnsi" w:cstheme="majorBidi"/>
      <w:b/>
      <w:bCs/>
      <w:sz w:val="28"/>
      <w:szCs w:val="28"/>
      <w:lang w:val="en-US" w:bidi="en-US"/>
    </w:rPr>
  </w:style>
  <w:style w:type="paragraph" w:customStyle="1" w:styleId="ParaNumbering">
    <w:name w:val="Para Numbering"/>
    <w:basedOn w:val="Normal"/>
    <w:rsid w:val="00D513B7"/>
    <w:pPr>
      <w:tabs>
        <w:tab w:val="num" w:pos="360"/>
        <w:tab w:val="left" w:pos="567"/>
      </w:tabs>
      <w:spacing w:line="240" w:lineRule="atLeast"/>
    </w:pPr>
    <w:rPr>
      <w:szCs w:val="20"/>
      <w:lang w:eastAsia="en-US"/>
    </w:rPr>
  </w:style>
  <w:style w:type="paragraph" w:styleId="ListParagraph">
    <w:name w:val="List Paragraph"/>
    <w:aliases w:val="NFP GP Bulleted List,List Paragraph1,Recommendation,List Paragraph11"/>
    <w:basedOn w:val="Normal"/>
    <w:link w:val="ListParagraphChar"/>
    <w:uiPriority w:val="34"/>
    <w:qFormat/>
    <w:rsid w:val="00D513B7"/>
    <w:pPr>
      <w:ind w:left="720"/>
      <w:contextualSpacing/>
    </w:pPr>
    <w:rPr>
      <w:rFonts w:eastAsiaTheme="minorEastAsia"/>
      <w:lang w:val="en-US" w:eastAsia="en-US" w:bidi="en-US"/>
    </w:rPr>
  </w:style>
  <w:style w:type="paragraph" w:styleId="NoSpacing">
    <w:name w:val="No Spacing"/>
    <w:uiPriority w:val="1"/>
    <w:qFormat/>
    <w:rsid w:val="00776EAE"/>
    <w:pPr>
      <w:spacing w:after="0" w:line="240" w:lineRule="auto"/>
    </w:pPr>
    <w:rPr>
      <w:rFonts w:ascii="Times New Roman" w:eastAsiaTheme="minorEastAsia"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997607"/>
    <w:rPr>
      <w:rFonts w:asciiTheme="majorHAnsi" w:eastAsiaTheme="majorEastAsia" w:hAnsiTheme="majorHAnsi" w:cstheme="majorBidi"/>
      <w:b/>
      <w:bCs/>
      <w:color w:val="4F81BD" w:themeColor="accent1"/>
      <w:sz w:val="26"/>
      <w:szCs w:val="26"/>
      <w:lang w:val="en-US" w:bidi="en-US"/>
    </w:rPr>
  </w:style>
  <w:style w:type="paragraph" w:customStyle="1" w:styleId="paranumbering0">
    <w:name w:val="paranumbering"/>
    <w:basedOn w:val="Normal"/>
    <w:uiPriority w:val="99"/>
    <w:rsid w:val="00997607"/>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A51D77"/>
    <w:rPr>
      <w:sz w:val="16"/>
      <w:szCs w:val="16"/>
    </w:rPr>
  </w:style>
  <w:style w:type="paragraph" w:styleId="CommentText">
    <w:name w:val="annotation text"/>
    <w:basedOn w:val="Normal"/>
    <w:link w:val="CommentTextChar"/>
    <w:uiPriority w:val="99"/>
    <w:unhideWhenUsed/>
    <w:rsid w:val="00A51D77"/>
    <w:rPr>
      <w:rFonts w:eastAsiaTheme="minorEastAsia"/>
      <w:sz w:val="20"/>
      <w:szCs w:val="20"/>
      <w:lang w:val="en-US" w:eastAsia="en-US" w:bidi="en-US"/>
    </w:rPr>
  </w:style>
  <w:style w:type="character" w:customStyle="1" w:styleId="CommentTextChar">
    <w:name w:val="Comment Text Char"/>
    <w:basedOn w:val="DefaultParagraphFont"/>
    <w:link w:val="CommentText"/>
    <w:uiPriority w:val="99"/>
    <w:rsid w:val="00A51D77"/>
    <w:rPr>
      <w:rFonts w:ascii="Times New Roman" w:eastAsiaTheme="minorEastAsia" w:hAnsi="Times New Roman" w:cs="Times New Roman"/>
      <w:sz w:val="20"/>
      <w:szCs w:val="20"/>
      <w:lang w:val="en-US" w:bidi="en-US"/>
    </w:rPr>
  </w:style>
  <w:style w:type="paragraph" w:styleId="BalloonText">
    <w:name w:val="Balloon Text"/>
    <w:basedOn w:val="Normal"/>
    <w:link w:val="BalloonTextChar"/>
    <w:uiPriority w:val="99"/>
    <w:semiHidden/>
    <w:unhideWhenUsed/>
    <w:rsid w:val="00A51D77"/>
    <w:rPr>
      <w:rFonts w:ascii="Tahoma" w:eastAsiaTheme="minorEastAsia" w:hAnsi="Tahoma" w:cs="Tahoma"/>
      <w:sz w:val="16"/>
      <w:szCs w:val="16"/>
      <w:lang w:val="en-US" w:eastAsia="en-US" w:bidi="en-US"/>
    </w:rPr>
  </w:style>
  <w:style w:type="character" w:customStyle="1" w:styleId="BalloonTextChar">
    <w:name w:val="Balloon Text Char"/>
    <w:basedOn w:val="DefaultParagraphFont"/>
    <w:link w:val="BalloonText"/>
    <w:uiPriority w:val="99"/>
    <w:semiHidden/>
    <w:rsid w:val="00A51D77"/>
    <w:rPr>
      <w:rFonts w:ascii="Tahoma" w:eastAsiaTheme="minorEastAsia" w:hAnsi="Tahoma" w:cs="Tahoma"/>
      <w:sz w:val="16"/>
      <w:szCs w:val="16"/>
      <w:lang w:val="en-US" w:bidi="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A6027C"/>
    <w:rPr>
      <w:rFonts w:ascii="Times New Roman" w:eastAsiaTheme="minorEastAsia" w:hAnsi="Times New Roman" w:cs="Times New Roman"/>
      <w:sz w:val="24"/>
      <w:szCs w:val="24"/>
      <w:lang w:val="en-US" w:bidi="en-US"/>
    </w:rPr>
  </w:style>
  <w:style w:type="paragraph" w:styleId="Header">
    <w:name w:val="header"/>
    <w:basedOn w:val="Normal"/>
    <w:link w:val="HeaderChar"/>
    <w:uiPriority w:val="99"/>
    <w:unhideWhenUsed/>
    <w:rsid w:val="00063C9E"/>
    <w:pPr>
      <w:tabs>
        <w:tab w:val="center" w:pos="4513"/>
        <w:tab w:val="right" w:pos="9026"/>
      </w:tabs>
    </w:pPr>
    <w:rPr>
      <w:rFonts w:eastAsiaTheme="minorEastAsia"/>
      <w:lang w:val="en-US" w:eastAsia="en-US" w:bidi="en-US"/>
    </w:rPr>
  </w:style>
  <w:style w:type="character" w:customStyle="1" w:styleId="HeaderChar">
    <w:name w:val="Header Char"/>
    <w:basedOn w:val="DefaultParagraphFont"/>
    <w:link w:val="Header"/>
    <w:uiPriority w:val="99"/>
    <w:rsid w:val="00063C9E"/>
    <w:rPr>
      <w:rFonts w:ascii="Times New Roman" w:eastAsiaTheme="minorEastAsia" w:hAnsi="Times New Roman" w:cs="Times New Roman"/>
      <w:sz w:val="24"/>
      <w:szCs w:val="24"/>
      <w:lang w:val="en-US" w:bidi="en-US"/>
    </w:rPr>
  </w:style>
  <w:style w:type="paragraph" w:styleId="Footer">
    <w:name w:val="footer"/>
    <w:basedOn w:val="Normal"/>
    <w:link w:val="FooterChar"/>
    <w:uiPriority w:val="99"/>
    <w:unhideWhenUsed/>
    <w:rsid w:val="00063C9E"/>
    <w:pPr>
      <w:tabs>
        <w:tab w:val="center" w:pos="4513"/>
        <w:tab w:val="right" w:pos="9026"/>
      </w:tabs>
    </w:pPr>
    <w:rPr>
      <w:rFonts w:eastAsiaTheme="minorEastAsia"/>
      <w:lang w:val="en-US" w:eastAsia="en-US" w:bidi="en-US"/>
    </w:rPr>
  </w:style>
  <w:style w:type="character" w:customStyle="1" w:styleId="FooterChar">
    <w:name w:val="Footer Char"/>
    <w:basedOn w:val="DefaultParagraphFont"/>
    <w:link w:val="Footer"/>
    <w:uiPriority w:val="99"/>
    <w:rsid w:val="00063C9E"/>
    <w:rPr>
      <w:rFonts w:ascii="Times New Roman" w:eastAsiaTheme="minorEastAsia" w:hAnsi="Times New Roman" w:cs="Times New Roman"/>
      <w:sz w:val="24"/>
      <w:szCs w:val="24"/>
      <w:lang w:val="en-US" w:bidi="en-US"/>
    </w:rPr>
  </w:style>
  <w:style w:type="character" w:customStyle="1" w:styleId="apple-converted-space">
    <w:name w:val="apple-converted-space"/>
    <w:basedOn w:val="DefaultParagraphFont"/>
    <w:rsid w:val="00F203B5"/>
  </w:style>
  <w:style w:type="paragraph" w:styleId="CommentSubject">
    <w:name w:val="annotation subject"/>
    <w:basedOn w:val="CommentText"/>
    <w:next w:val="CommentText"/>
    <w:link w:val="CommentSubjectChar"/>
    <w:uiPriority w:val="99"/>
    <w:semiHidden/>
    <w:unhideWhenUsed/>
    <w:rsid w:val="00296A1E"/>
    <w:rPr>
      <w:rFonts w:eastAsia="Times New Roman"/>
      <w:b/>
      <w:bCs/>
      <w:lang w:val="en-AU" w:eastAsia="en-AU" w:bidi="ar-SA"/>
    </w:rPr>
  </w:style>
  <w:style w:type="character" w:customStyle="1" w:styleId="CommentSubjectChar">
    <w:name w:val="Comment Subject Char"/>
    <w:basedOn w:val="CommentTextChar"/>
    <w:link w:val="CommentSubject"/>
    <w:uiPriority w:val="99"/>
    <w:semiHidden/>
    <w:rsid w:val="00296A1E"/>
    <w:rPr>
      <w:rFonts w:ascii="Times New Roman" w:eastAsia="Times New Roman" w:hAnsi="Times New Roman" w:cs="Times New Roman"/>
      <w:b/>
      <w:bCs/>
      <w:sz w:val="20"/>
      <w:szCs w:val="20"/>
      <w:lang w:val="en-US" w:eastAsia="en-AU" w:bidi="en-US"/>
    </w:rPr>
  </w:style>
  <w:style w:type="character" w:customStyle="1" w:styleId="chardivno">
    <w:name w:val="chardivno"/>
    <w:basedOn w:val="DefaultParagraphFont"/>
    <w:rsid w:val="00661982"/>
  </w:style>
  <w:style w:type="paragraph" w:customStyle="1" w:styleId="paragraph">
    <w:name w:val="paragraph"/>
    <w:aliases w:val="a"/>
    <w:basedOn w:val="Normal"/>
    <w:rsid w:val="002D3D3C"/>
    <w:pPr>
      <w:tabs>
        <w:tab w:val="right" w:pos="1531"/>
      </w:tabs>
      <w:spacing w:before="40"/>
      <w:ind w:left="1644" w:hanging="1644"/>
    </w:pPr>
    <w:rPr>
      <w:sz w:val="22"/>
      <w:szCs w:val="20"/>
    </w:rPr>
  </w:style>
  <w:style w:type="paragraph" w:customStyle="1" w:styleId="paragraphsub">
    <w:name w:val="paragraph(sub)"/>
    <w:aliases w:val="aa"/>
    <w:basedOn w:val="Normal"/>
    <w:rsid w:val="00595D23"/>
    <w:pPr>
      <w:tabs>
        <w:tab w:val="right" w:pos="1985"/>
      </w:tabs>
      <w:spacing w:before="40"/>
      <w:ind w:left="2098" w:hanging="2098"/>
    </w:pPr>
    <w:rPr>
      <w:sz w:val="22"/>
      <w:szCs w:val="20"/>
    </w:rPr>
  </w:style>
  <w:style w:type="paragraph" w:customStyle="1" w:styleId="SubsectionHead">
    <w:name w:val="SubsectionHead"/>
    <w:aliases w:val="ssh"/>
    <w:basedOn w:val="Normal"/>
    <w:next w:val="Normal"/>
    <w:rsid w:val="006B0D75"/>
    <w:pPr>
      <w:keepNext/>
      <w:keepLines/>
      <w:spacing w:before="240"/>
      <w:ind w:left="1134"/>
    </w:pPr>
    <w:rPr>
      <w:i/>
      <w:sz w:val="22"/>
      <w:szCs w:val="20"/>
    </w:rPr>
  </w:style>
  <w:style w:type="paragraph" w:customStyle="1" w:styleId="Default">
    <w:name w:val="Default"/>
    <w:rsid w:val="008F713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F713B"/>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F713B"/>
    <w:rPr>
      <w:sz w:val="20"/>
      <w:szCs w:val="20"/>
    </w:rPr>
  </w:style>
  <w:style w:type="character" w:styleId="FootnoteReference">
    <w:name w:val="footnote reference"/>
    <w:basedOn w:val="DefaultParagraphFont"/>
    <w:uiPriority w:val="99"/>
    <w:semiHidden/>
    <w:unhideWhenUsed/>
    <w:rsid w:val="008F713B"/>
    <w:rPr>
      <w:vertAlign w:val="superscript"/>
    </w:rPr>
  </w:style>
  <w:style w:type="paragraph" w:customStyle="1" w:styleId="ActHead5">
    <w:name w:val="ActHead 5"/>
    <w:aliases w:val="s"/>
    <w:basedOn w:val="Normal"/>
    <w:next w:val="Normal"/>
    <w:link w:val="ActHead5Char"/>
    <w:qFormat/>
    <w:rsid w:val="009310CF"/>
    <w:pPr>
      <w:keepNext/>
      <w:keepLines/>
      <w:spacing w:before="280"/>
      <w:ind w:left="1134" w:hanging="1134"/>
      <w:outlineLvl w:val="4"/>
    </w:pPr>
    <w:rPr>
      <w:b/>
      <w:kern w:val="28"/>
      <w:szCs w:val="20"/>
    </w:rPr>
  </w:style>
  <w:style w:type="character" w:customStyle="1" w:styleId="CharSectno">
    <w:name w:val="CharSectno"/>
    <w:basedOn w:val="DefaultParagraphFont"/>
    <w:qFormat/>
    <w:rsid w:val="009310CF"/>
  </w:style>
  <w:style w:type="character" w:customStyle="1" w:styleId="ActHead5Char">
    <w:name w:val="ActHead 5 Char"/>
    <w:aliases w:val="s Char"/>
    <w:link w:val="ActHead5"/>
    <w:rsid w:val="009310CF"/>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437ACF"/>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A0D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374">
      <w:bodyDiv w:val="1"/>
      <w:marLeft w:val="0"/>
      <w:marRight w:val="0"/>
      <w:marTop w:val="0"/>
      <w:marBottom w:val="0"/>
      <w:divBdr>
        <w:top w:val="none" w:sz="0" w:space="0" w:color="auto"/>
        <w:left w:val="none" w:sz="0" w:space="0" w:color="auto"/>
        <w:bottom w:val="none" w:sz="0" w:space="0" w:color="auto"/>
        <w:right w:val="none" w:sz="0" w:space="0" w:color="auto"/>
      </w:divBdr>
      <w:divsChild>
        <w:div w:id="898050311">
          <w:marLeft w:val="0"/>
          <w:marRight w:val="0"/>
          <w:marTop w:val="0"/>
          <w:marBottom w:val="0"/>
          <w:divBdr>
            <w:top w:val="none" w:sz="0" w:space="0" w:color="auto"/>
            <w:left w:val="none" w:sz="0" w:space="0" w:color="auto"/>
            <w:bottom w:val="none" w:sz="0" w:space="0" w:color="auto"/>
            <w:right w:val="none" w:sz="0" w:space="0" w:color="auto"/>
          </w:divBdr>
          <w:divsChild>
            <w:div w:id="869951950">
              <w:marLeft w:val="0"/>
              <w:marRight w:val="0"/>
              <w:marTop w:val="0"/>
              <w:marBottom w:val="0"/>
              <w:divBdr>
                <w:top w:val="none" w:sz="0" w:space="0" w:color="auto"/>
                <w:left w:val="none" w:sz="0" w:space="0" w:color="auto"/>
                <w:bottom w:val="none" w:sz="0" w:space="0" w:color="auto"/>
                <w:right w:val="none" w:sz="0" w:space="0" w:color="auto"/>
              </w:divBdr>
              <w:divsChild>
                <w:div w:id="887378718">
                  <w:marLeft w:val="0"/>
                  <w:marRight w:val="0"/>
                  <w:marTop w:val="0"/>
                  <w:marBottom w:val="0"/>
                  <w:divBdr>
                    <w:top w:val="none" w:sz="0" w:space="0" w:color="auto"/>
                    <w:left w:val="none" w:sz="0" w:space="0" w:color="auto"/>
                    <w:bottom w:val="none" w:sz="0" w:space="0" w:color="auto"/>
                    <w:right w:val="none" w:sz="0" w:space="0" w:color="auto"/>
                  </w:divBdr>
                  <w:divsChild>
                    <w:div w:id="2040011385">
                      <w:marLeft w:val="0"/>
                      <w:marRight w:val="0"/>
                      <w:marTop w:val="0"/>
                      <w:marBottom w:val="0"/>
                      <w:divBdr>
                        <w:top w:val="none" w:sz="0" w:space="0" w:color="auto"/>
                        <w:left w:val="none" w:sz="0" w:space="0" w:color="auto"/>
                        <w:bottom w:val="none" w:sz="0" w:space="0" w:color="auto"/>
                        <w:right w:val="none" w:sz="0" w:space="0" w:color="auto"/>
                      </w:divBdr>
                      <w:divsChild>
                        <w:div w:id="1372918905">
                          <w:marLeft w:val="0"/>
                          <w:marRight w:val="0"/>
                          <w:marTop w:val="0"/>
                          <w:marBottom w:val="0"/>
                          <w:divBdr>
                            <w:top w:val="none" w:sz="0" w:space="0" w:color="auto"/>
                            <w:left w:val="none" w:sz="0" w:space="0" w:color="auto"/>
                            <w:bottom w:val="none" w:sz="0" w:space="0" w:color="auto"/>
                            <w:right w:val="none" w:sz="0" w:space="0" w:color="auto"/>
                          </w:divBdr>
                          <w:divsChild>
                            <w:div w:id="143545726">
                              <w:marLeft w:val="0"/>
                              <w:marRight w:val="0"/>
                              <w:marTop w:val="0"/>
                              <w:marBottom w:val="0"/>
                              <w:divBdr>
                                <w:top w:val="none" w:sz="0" w:space="0" w:color="auto"/>
                                <w:left w:val="none" w:sz="0" w:space="0" w:color="auto"/>
                                <w:bottom w:val="none" w:sz="0" w:space="0" w:color="auto"/>
                                <w:right w:val="none" w:sz="0" w:space="0" w:color="auto"/>
                              </w:divBdr>
                              <w:divsChild>
                                <w:div w:id="971911598">
                                  <w:marLeft w:val="0"/>
                                  <w:marRight w:val="0"/>
                                  <w:marTop w:val="0"/>
                                  <w:marBottom w:val="0"/>
                                  <w:divBdr>
                                    <w:top w:val="none" w:sz="0" w:space="0" w:color="auto"/>
                                    <w:left w:val="none" w:sz="0" w:space="0" w:color="auto"/>
                                    <w:bottom w:val="none" w:sz="0" w:space="0" w:color="auto"/>
                                    <w:right w:val="none" w:sz="0" w:space="0" w:color="auto"/>
                                  </w:divBdr>
                                  <w:divsChild>
                                    <w:div w:id="1417553784">
                                      <w:marLeft w:val="0"/>
                                      <w:marRight w:val="0"/>
                                      <w:marTop w:val="0"/>
                                      <w:marBottom w:val="0"/>
                                      <w:divBdr>
                                        <w:top w:val="none" w:sz="0" w:space="0" w:color="auto"/>
                                        <w:left w:val="none" w:sz="0" w:space="0" w:color="auto"/>
                                        <w:bottom w:val="none" w:sz="0" w:space="0" w:color="auto"/>
                                        <w:right w:val="none" w:sz="0" w:space="0" w:color="auto"/>
                                      </w:divBdr>
                                      <w:divsChild>
                                        <w:div w:id="792793622">
                                          <w:marLeft w:val="0"/>
                                          <w:marRight w:val="0"/>
                                          <w:marTop w:val="0"/>
                                          <w:marBottom w:val="0"/>
                                          <w:divBdr>
                                            <w:top w:val="none" w:sz="0" w:space="0" w:color="auto"/>
                                            <w:left w:val="none" w:sz="0" w:space="0" w:color="auto"/>
                                            <w:bottom w:val="none" w:sz="0" w:space="0" w:color="auto"/>
                                            <w:right w:val="none" w:sz="0" w:space="0" w:color="auto"/>
                                          </w:divBdr>
                                          <w:divsChild>
                                            <w:div w:id="1130317283">
                                              <w:marLeft w:val="0"/>
                                              <w:marRight w:val="0"/>
                                              <w:marTop w:val="0"/>
                                              <w:marBottom w:val="0"/>
                                              <w:divBdr>
                                                <w:top w:val="none" w:sz="0" w:space="0" w:color="auto"/>
                                                <w:left w:val="none" w:sz="0" w:space="0" w:color="auto"/>
                                                <w:bottom w:val="none" w:sz="0" w:space="0" w:color="auto"/>
                                                <w:right w:val="none" w:sz="0" w:space="0" w:color="auto"/>
                                              </w:divBdr>
                                              <w:divsChild>
                                                <w:div w:id="1539002615">
                                                  <w:marLeft w:val="0"/>
                                                  <w:marRight w:val="0"/>
                                                  <w:marTop w:val="0"/>
                                                  <w:marBottom w:val="0"/>
                                                  <w:divBdr>
                                                    <w:top w:val="none" w:sz="0" w:space="0" w:color="auto"/>
                                                    <w:left w:val="none" w:sz="0" w:space="0" w:color="auto"/>
                                                    <w:bottom w:val="none" w:sz="0" w:space="0" w:color="auto"/>
                                                    <w:right w:val="none" w:sz="0" w:space="0" w:color="auto"/>
                                                  </w:divBdr>
                                                  <w:divsChild>
                                                    <w:div w:id="1163817464">
                                                      <w:marLeft w:val="0"/>
                                                      <w:marRight w:val="0"/>
                                                      <w:marTop w:val="0"/>
                                                      <w:marBottom w:val="0"/>
                                                      <w:divBdr>
                                                        <w:top w:val="none" w:sz="0" w:space="0" w:color="auto"/>
                                                        <w:left w:val="none" w:sz="0" w:space="0" w:color="auto"/>
                                                        <w:bottom w:val="none" w:sz="0" w:space="0" w:color="auto"/>
                                                        <w:right w:val="none" w:sz="0" w:space="0" w:color="auto"/>
                                                      </w:divBdr>
                                                      <w:divsChild>
                                                        <w:div w:id="4569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07256">
      <w:bodyDiv w:val="1"/>
      <w:marLeft w:val="0"/>
      <w:marRight w:val="0"/>
      <w:marTop w:val="0"/>
      <w:marBottom w:val="0"/>
      <w:divBdr>
        <w:top w:val="none" w:sz="0" w:space="0" w:color="auto"/>
        <w:left w:val="none" w:sz="0" w:space="0" w:color="auto"/>
        <w:bottom w:val="none" w:sz="0" w:space="0" w:color="auto"/>
        <w:right w:val="none" w:sz="0" w:space="0" w:color="auto"/>
      </w:divBdr>
    </w:div>
    <w:div w:id="285936557">
      <w:bodyDiv w:val="1"/>
      <w:marLeft w:val="0"/>
      <w:marRight w:val="0"/>
      <w:marTop w:val="0"/>
      <w:marBottom w:val="0"/>
      <w:divBdr>
        <w:top w:val="none" w:sz="0" w:space="0" w:color="auto"/>
        <w:left w:val="none" w:sz="0" w:space="0" w:color="auto"/>
        <w:bottom w:val="none" w:sz="0" w:space="0" w:color="auto"/>
        <w:right w:val="none" w:sz="0" w:space="0" w:color="auto"/>
      </w:divBdr>
    </w:div>
    <w:div w:id="522138053">
      <w:bodyDiv w:val="1"/>
      <w:marLeft w:val="0"/>
      <w:marRight w:val="0"/>
      <w:marTop w:val="0"/>
      <w:marBottom w:val="0"/>
      <w:divBdr>
        <w:top w:val="none" w:sz="0" w:space="0" w:color="auto"/>
        <w:left w:val="none" w:sz="0" w:space="0" w:color="auto"/>
        <w:bottom w:val="none" w:sz="0" w:space="0" w:color="auto"/>
        <w:right w:val="none" w:sz="0" w:space="0" w:color="auto"/>
      </w:divBdr>
    </w:div>
    <w:div w:id="637881125">
      <w:bodyDiv w:val="1"/>
      <w:marLeft w:val="0"/>
      <w:marRight w:val="0"/>
      <w:marTop w:val="0"/>
      <w:marBottom w:val="0"/>
      <w:divBdr>
        <w:top w:val="none" w:sz="0" w:space="0" w:color="auto"/>
        <w:left w:val="none" w:sz="0" w:space="0" w:color="auto"/>
        <w:bottom w:val="none" w:sz="0" w:space="0" w:color="auto"/>
        <w:right w:val="none" w:sz="0" w:space="0" w:color="auto"/>
      </w:divBdr>
      <w:divsChild>
        <w:div w:id="79639940">
          <w:marLeft w:val="0"/>
          <w:marRight w:val="0"/>
          <w:marTop w:val="0"/>
          <w:marBottom w:val="0"/>
          <w:divBdr>
            <w:top w:val="none" w:sz="0" w:space="0" w:color="auto"/>
            <w:left w:val="none" w:sz="0" w:space="0" w:color="auto"/>
            <w:bottom w:val="none" w:sz="0" w:space="0" w:color="auto"/>
            <w:right w:val="none" w:sz="0" w:space="0" w:color="auto"/>
          </w:divBdr>
          <w:divsChild>
            <w:div w:id="218513459">
              <w:marLeft w:val="0"/>
              <w:marRight w:val="0"/>
              <w:marTop w:val="0"/>
              <w:marBottom w:val="0"/>
              <w:divBdr>
                <w:top w:val="none" w:sz="0" w:space="0" w:color="auto"/>
                <w:left w:val="none" w:sz="0" w:space="0" w:color="auto"/>
                <w:bottom w:val="none" w:sz="0" w:space="0" w:color="auto"/>
                <w:right w:val="none" w:sz="0" w:space="0" w:color="auto"/>
              </w:divBdr>
              <w:divsChild>
                <w:div w:id="845436404">
                  <w:marLeft w:val="0"/>
                  <w:marRight w:val="0"/>
                  <w:marTop w:val="0"/>
                  <w:marBottom w:val="0"/>
                  <w:divBdr>
                    <w:top w:val="none" w:sz="0" w:space="0" w:color="auto"/>
                    <w:left w:val="none" w:sz="0" w:space="0" w:color="auto"/>
                    <w:bottom w:val="none" w:sz="0" w:space="0" w:color="auto"/>
                    <w:right w:val="none" w:sz="0" w:space="0" w:color="auto"/>
                  </w:divBdr>
                  <w:divsChild>
                    <w:div w:id="248855958">
                      <w:marLeft w:val="0"/>
                      <w:marRight w:val="0"/>
                      <w:marTop w:val="0"/>
                      <w:marBottom w:val="0"/>
                      <w:divBdr>
                        <w:top w:val="none" w:sz="0" w:space="0" w:color="auto"/>
                        <w:left w:val="none" w:sz="0" w:space="0" w:color="auto"/>
                        <w:bottom w:val="none" w:sz="0" w:space="0" w:color="auto"/>
                        <w:right w:val="none" w:sz="0" w:space="0" w:color="auto"/>
                      </w:divBdr>
                      <w:divsChild>
                        <w:div w:id="63726349">
                          <w:marLeft w:val="0"/>
                          <w:marRight w:val="0"/>
                          <w:marTop w:val="0"/>
                          <w:marBottom w:val="0"/>
                          <w:divBdr>
                            <w:top w:val="none" w:sz="0" w:space="0" w:color="auto"/>
                            <w:left w:val="none" w:sz="0" w:space="0" w:color="auto"/>
                            <w:bottom w:val="none" w:sz="0" w:space="0" w:color="auto"/>
                            <w:right w:val="none" w:sz="0" w:space="0" w:color="auto"/>
                          </w:divBdr>
                          <w:divsChild>
                            <w:div w:id="2088066361">
                              <w:marLeft w:val="0"/>
                              <w:marRight w:val="0"/>
                              <w:marTop w:val="0"/>
                              <w:marBottom w:val="0"/>
                              <w:divBdr>
                                <w:top w:val="none" w:sz="0" w:space="0" w:color="auto"/>
                                <w:left w:val="none" w:sz="0" w:space="0" w:color="auto"/>
                                <w:bottom w:val="none" w:sz="0" w:space="0" w:color="auto"/>
                                <w:right w:val="none" w:sz="0" w:space="0" w:color="auto"/>
                              </w:divBdr>
                              <w:divsChild>
                                <w:div w:id="106850158">
                                  <w:marLeft w:val="0"/>
                                  <w:marRight w:val="0"/>
                                  <w:marTop w:val="0"/>
                                  <w:marBottom w:val="0"/>
                                  <w:divBdr>
                                    <w:top w:val="none" w:sz="0" w:space="0" w:color="auto"/>
                                    <w:left w:val="none" w:sz="0" w:space="0" w:color="auto"/>
                                    <w:bottom w:val="none" w:sz="0" w:space="0" w:color="auto"/>
                                    <w:right w:val="none" w:sz="0" w:space="0" w:color="auto"/>
                                  </w:divBdr>
                                  <w:divsChild>
                                    <w:div w:id="324169045">
                                      <w:marLeft w:val="0"/>
                                      <w:marRight w:val="0"/>
                                      <w:marTop w:val="0"/>
                                      <w:marBottom w:val="0"/>
                                      <w:divBdr>
                                        <w:top w:val="none" w:sz="0" w:space="0" w:color="auto"/>
                                        <w:left w:val="none" w:sz="0" w:space="0" w:color="auto"/>
                                        <w:bottom w:val="none" w:sz="0" w:space="0" w:color="auto"/>
                                        <w:right w:val="none" w:sz="0" w:space="0" w:color="auto"/>
                                      </w:divBdr>
                                      <w:divsChild>
                                        <w:div w:id="151799119">
                                          <w:marLeft w:val="0"/>
                                          <w:marRight w:val="0"/>
                                          <w:marTop w:val="0"/>
                                          <w:marBottom w:val="0"/>
                                          <w:divBdr>
                                            <w:top w:val="none" w:sz="0" w:space="0" w:color="auto"/>
                                            <w:left w:val="none" w:sz="0" w:space="0" w:color="auto"/>
                                            <w:bottom w:val="none" w:sz="0" w:space="0" w:color="auto"/>
                                            <w:right w:val="none" w:sz="0" w:space="0" w:color="auto"/>
                                          </w:divBdr>
                                          <w:divsChild>
                                            <w:div w:id="290017836">
                                              <w:marLeft w:val="0"/>
                                              <w:marRight w:val="0"/>
                                              <w:marTop w:val="0"/>
                                              <w:marBottom w:val="0"/>
                                              <w:divBdr>
                                                <w:top w:val="none" w:sz="0" w:space="0" w:color="auto"/>
                                                <w:left w:val="none" w:sz="0" w:space="0" w:color="auto"/>
                                                <w:bottom w:val="none" w:sz="0" w:space="0" w:color="auto"/>
                                                <w:right w:val="none" w:sz="0" w:space="0" w:color="auto"/>
                                              </w:divBdr>
                                              <w:divsChild>
                                                <w:div w:id="1883204853">
                                                  <w:marLeft w:val="0"/>
                                                  <w:marRight w:val="0"/>
                                                  <w:marTop w:val="0"/>
                                                  <w:marBottom w:val="0"/>
                                                  <w:divBdr>
                                                    <w:top w:val="none" w:sz="0" w:space="0" w:color="auto"/>
                                                    <w:left w:val="none" w:sz="0" w:space="0" w:color="auto"/>
                                                    <w:bottom w:val="none" w:sz="0" w:space="0" w:color="auto"/>
                                                    <w:right w:val="none" w:sz="0" w:space="0" w:color="auto"/>
                                                  </w:divBdr>
                                                  <w:divsChild>
                                                    <w:div w:id="732889818">
                                                      <w:marLeft w:val="0"/>
                                                      <w:marRight w:val="0"/>
                                                      <w:marTop w:val="0"/>
                                                      <w:marBottom w:val="0"/>
                                                      <w:divBdr>
                                                        <w:top w:val="none" w:sz="0" w:space="0" w:color="auto"/>
                                                        <w:left w:val="none" w:sz="0" w:space="0" w:color="auto"/>
                                                        <w:bottom w:val="none" w:sz="0" w:space="0" w:color="auto"/>
                                                        <w:right w:val="none" w:sz="0" w:space="0" w:color="auto"/>
                                                      </w:divBdr>
                                                      <w:divsChild>
                                                        <w:div w:id="4028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2082990">
      <w:bodyDiv w:val="1"/>
      <w:marLeft w:val="0"/>
      <w:marRight w:val="0"/>
      <w:marTop w:val="0"/>
      <w:marBottom w:val="0"/>
      <w:divBdr>
        <w:top w:val="none" w:sz="0" w:space="0" w:color="auto"/>
        <w:left w:val="none" w:sz="0" w:space="0" w:color="auto"/>
        <w:bottom w:val="none" w:sz="0" w:space="0" w:color="auto"/>
        <w:right w:val="none" w:sz="0" w:space="0" w:color="auto"/>
      </w:divBdr>
    </w:div>
    <w:div w:id="736167456">
      <w:bodyDiv w:val="1"/>
      <w:marLeft w:val="0"/>
      <w:marRight w:val="0"/>
      <w:marTop w:val="0"/>
      <w:marBottom w:val="0"/>
      <w:divBdr>
        <w:top w:val="none" w:sz="0" w:space="0" w:color="auto"/>
        <w:left w:val="none" w:sz="0" w:space="0" w:color="auto"/>
        <w:bottom w:val="none" w:sz="0" w:space="0" w:color="auto"/>
        <w:right w:val="none" w:sz="0" w:space="0" w:color="auto"/>
      </w:divBdr>
    </w:div>
    <w:div w:id="756026209">
      <w:bodyDiv w:val="1"/>
      <w:marLeft w:val="0"/>
      <w:marRight w:val="0"/>
      <w:marTop w:val="0"/>
      <w:marBottom w:val="0"/>
      <w:divBdr>
        <w:top w:val="none" w:sz="0" w:space="0" w:color="auto"/>
        <w:left w:val="none" w:sz="0" w:space="0" w:color="auto"/>
        <w:bottom w:val="none" w:sz="0" w:space="0" w:color="auto"/>
        <w:right w:val="none" w:sz="0" w:space="0" w:color="auto"/>
      </w:divBdr>
    </w:div>
    <w:div w:id="954482232">
      <w:bodyDiv w:val="1"/>
      <w:marLeft w:val="0"/>
      <w:marRight w:val="0"/>
      <w:marTop w:val="0"/>
      <w:marBottom w:val="0"/>
      <w:divBdr>
        <w:top w:val="none" w:sz="0" w:space="0" w:color="auto"/>
        <w:left w:val="none" w:sz="0" w:space="0" w:color="auto"/>
        <w:bottom w:val="none" w:sz="0" w:space="0" w:color="auto"/>
        <w:right w:val="none" w:sz="0" w:space="0" w:color="auto"/>
      </w:divBdr>
      <w:divsChild>
        <w:div w:id="1494252147">
          <w:marLeft w:val="0"/>
          <w:marRight w:val="0"/>
          <w:marTop w:val="0"/>
          <w:marBottom w:val="0"/>
          <w:divBdr>
            <w:top w:val="none" w:sz="0" w:space="0" w:color="auto"/>
            <w:left w:val="none" w:sz="0" w:space="0" w:color="auto"/>
            <w:bottom w:val="none" w:sz="0" w:space="0" w:color="auto"/>
            <w:right w:val="none" w:sz="0" w:space="0" w:color="auto"/>
          </w:divBdr>
          <w:divsChild>
            <w:div w:id="2082557229">
              <w:marLeft w:val="0"/>
              <w:marRight w:val="0"/>
              <w:marTop w:val="0"/>
              <w:marBottom w:val="0"/>
              <w:divBdr>
                <w:top w:val="none" w:sz="0" w:space="0" w:color="auto"/>
                <w:left w:val="none" w:sz="0" w:space="0" w:color="auto"/>
                <w:bottom w:val="none" w:sz="0" w:space="0" w:color="auto"/>
                <w:right w:val="none" w:sz="0" w:space="0" w:color="auto"/>
              </w:divBdr>
              <w:divsChild>
                <w:div w:id="1305430575">
                  <w:marLeft w:val="0"/>
                  <w:marRight w:val="0"/>
                  <w:marTop w:val="0"/>
                  <w:marBottom w:val="0"/>
                  <w:divBdr>
                    <w:top w:val="none" w:sz="0" w:space="0" w:color="auto"/>
                    <w:left w:val="none" w:sz="0" w:space="0" w:color="auto"/>
                    <w:bottom w:val="none" w:sz="0" w:space="0" w:color="auto"/>
                    <w:right w:val="none" w:sz="0" w:space="0" w:color="auto"/>
                  </w:divBdr>
                  <w:divsChild>
                    <w:div w:id="259459592">
                      <w:marLeft w:val="0"/>
                      <w:marRight w:val="0"/>
                      <w:marTop w:val="0"/>
                      <w:marBottom w:val="0"/>
                      <w:divBdr>
                        <w:top w:val="none" w:sz="0" w:space="0" w:color="auto"/>
                        <w:left w:val="none" w:sz="0" w:space="0" w:color="auto"/>
                        <w:bottom w:val="none" w:sz="0" w:space="0" w:color="auto"/>
                        <w:right w:val="none" w:sz="0" w:space="0" w:color="auto"/>
                      </w:divBdr>
                      <w:divsChild>
                        <w:div w:id="950939892">
                          <w:marLeft w:val="0"/>
                          <w:marRight w:val="0"/>
                          <w:marTop w:val="0"/>
                          <w:marBottom w:val="0"/>
                          <w:divBdr>
                            <w:top w:val="none" w:sz="0" w:space="0" w:color="auto"/>
                            <w:left w:val="none" w:sz="0" w:space="0" w:color="auto"/>
                            <w:bottom w:val="none" w:sz="0" w:space="0" w:color="auto"/>
                            <w:right w:val="none" w:sz="0" w:space="0" w:color="auto"/>
                          </w:divBdr>
                          <w:divsChild>
                            <w:div w:id="585192375">
                              <w:marLeft w:val="0"/>
                              <w:marRight w:val="0"/>
                              <w:marTop w:val="0"/>
                              <w:marBottom w:val="0"/>
                              <w:divBdr>
                                <w:top w:val="none" w:sz="0" w:space="0" w:color="auto"/>
                                <w:left w:val="none" w:sz="0" w:space="0" w:color="auto"/>
                                <w:bottom w:val="none" w:sz="0" w:space="0" w:color="auto"/>
                                <w:right w:val="none" w:sz="0" w:space="0" w:color="auto"/>
                              </w:divBdr>
                              <w:divsChild>
                                <w:div w:id="1218324093">
                                  <w:marLeft w:val="0"/>
                                  <w:marRight w:val="0"/>
                                  <w:marTop w:val="0"/>
                                  <w:marBottom w:val="0"/>
                                  <w:divBdr>
                                    <w:top w:val="none" w:sz="0" w:space="0" w:color="auto"/>
                                    <w:left w:val="none" w:sz="0" w:space="0" w:color="auto"/>
                                    <w:bottom w:val="none" w:sz="0" w:space="0" w:color="auto"/>
                                    <w:right w:val="none" w:sz="0" w:space="0" w:color="auto"/>
                                  </w:divBdr>
                                  <w:divsChild>
                                    <w:div w:id="1780879106">
                                      <w:marLeft w:val="0"/>
                                      <w:marRight w:val="0"/>
                                      <w:marTop w:val="0"/>
                                      <w:marBottom w:val="0"/>
                                      <w:divBdr>
                                        <w:top w:val="none" w:sz="0" w:space="0" w:color="auto"/>
                                        <w:left w:val="none" w:sz="0" w:space="0" w:color="auto"/>
                                        <w:bottom w:val="none" w:sz="0" w:space="0" w:color="auto"/>
                                        <w:right w:val="none" w:sz="0" w:space="0" w:color="auto"/>
                                      </w:divBdr>
                                      <w:divsChild>
                                        <w:div w:id="1097823553">
                                          <w:marLeft w:val="0"/>
                                          <w:marRight w:val="0"/>
                                          <w:marTop w:val="0"/>
                                          <w:marBottom w:val="0"/>
                                          <w:divBdr>
                                            <w:top w:val="none" w:sz="0" w:space="0" w:color="auto"/>
                                            <w:left w:val="none" w:sz="0" w:space="0" w:color="auto"/>
                                            <w:bottom w:val="none" w:sz="0" w:space="0" w:color="auto"/>
                                            <w:right w:val="none" w:sz="0" w:space="0" w:color="auto"/>
                                          </w:divBdr>
                                          <w:divsChild>
                                            <w:div w:id="1691370299">
                                              <w:marLeft w:val="0"/>
                                              <w:marRight w:val="0"/>
                                              <w:marTop w:val="0"/>
                                              <w:marBottom w:val="0"/>
                                              <w:divBdr>
                                                <w:top w:val="none" w:sz="0" w:space="0" w:color="auto"/>
                                                <w:left w:val="none" w:sz="0" w:space="0" w:color="auto"/>
                                                <w:bottom w:val="none" w:sz="0" w:space="0" w:color="auto"/>
                                                <w:right w:val="none" w:sz="0" w:space="0" w:color="auto"/>
                                              </w:divBdr>
                                              <w:divsChild>
                                                <w:div w:id="1984381602">
                                                  <w:marLeft w:val="0"/>
                                                  <w:marRight w:val="0"/>
                                                  <w:marTop w:val="0"/>
                                                  <w:marBottom w:val="0"/>
                                                  <w:divBdr>
                                                    <w:top w:val="none" w:sz="0" w:space="0" w:color="auto"/>
                                                    <w:left w:val="none" w:sz="0" w:space="0" w:color="auto"/>
                                                    <w:bottom w:val="none" w:sz="0" w:space="0" w:color="auto"/>
                                                    <w:right w:val="none" w:sz="0" w:space="0" w:color="auto"/>
                                                  </w:divBdr>
                                                  <w:divsChild>
                                                    <w:div w:id="1328749730">
                                                      <w:marLeft w:val="0"/>
                                                      <w:marRight w:val="0"/>
                                                      <w:marTop w:val="0"/>
                                                      <w:marBottom w:val="0"/>
                                                      <w:divBdr>
                                                        <w:top w:val="none" w:sz="0" w:space="0" w:color="auto"/>
                                                        <w:left w:val="none" w:sz="0" w:space="0" w:color="auto"/>
                                                        <w:bottom w:val="none" w:sz="0" w:space="0" w:color="auto"/>
                                                        <w:right w:val="none" w:sz="0" w:space="0" w:color="auto"/>
                                                      </w:divBdr>
                                                      <w:divsChild>
                                                        <w:div w:id="12237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750186">
      <w:bodyDiv w:val="1"/>
      <w:marLeft w:val="0"/>
      <w:marRight w:val="0"/>
      <w:marTop w:val="0"/>
      <w:marBottom w:val="0"/>
      <w:divBdr>
        <w:top w:val="none" w:sz="0" w:space="0" w:color="auto"/>
        <w:left w:val="none" w:sz="0" w:space="0" w:color="auto"/>
        <w:bottom w:val="none" w:sz="0" w:space="0" w:color="auto"/>
        <w:right w:val="none" w:sz="0" w:space="0" w:color="auto"/>
      </w:divBdr>
    </w:div>
    <w:div w:id="1034503648">
      <w:bodyDiv w:val="1"/>
      <w:marLeft w:val="0"/>
      <w:marRight w:val="0"/>
      <w:marTop w:val="0"/>
      <w:marBottom w:val="0"/>
      <w:divBdr>
        <w:top w:val="none" w:sz="0" w:space="0" w:color="auto"/>
        <w:left w:val="none" w:sz="0" w:space="0" w:color="auto"/>
        <w:bottom w:val="none" w:sz="0" w:space="0" w:color="auto"/>
        <w:right w:val="none" w:sz="0" w:space="0" w:color="auto"/>
      </w:divBdr>
    </w:div>
    <w:div w:id="1296831934">
      <w:bodyDiv w:val="1"/>
      <w:marLeft w:val="0"/>
      <w:marRight w:val="0"/>
      <w:marTop w:val="0"/>
      <w:marBottom w:val="0"/>
      <w:divBdr>
        <w:top w:val="none" w:sz="0" w:space="0" w:color="auto"/>
        <w:left w:val="none" w:sz="0" w:space="0" w:color="auto"/>
        <w:bottom w:val="none" w:sz="0" w:space="0" w:color="auto"/>
        <w:right w:val="none" w:sz="0" w:space="0" w:color="auto"/>
      </w:divBdr>
    </w:div>
    <w:div w:id="1437554408">
      <w:bodyDiv w:val="1"/>
      <w:marLeft w:val="0"/>
      <w:marRight w:val="0"/>
      <w:marTop w:val="0"/>
      <w:marBottom w:val="0"/>
      <w:divBdr>
        <w:top w:val="none" w:sz="0" w:space="0" w:color="auto"/>
        <w:left w:val="none" w:sz="0" w:space="0" w:color="auto"/>
        <w:bottom w:val="none" w:sz="0" w:space="0" w:color="auto"/>
        <w:right w:val="none" w:sz="0" w:space="0" w:color="auto"/>
      </w:divBdr>
    </w:div>
    <w:div w:id="1488595576">
      <w:bodyDiv w:val="1"/>
      <w:marLeft w:val="0"/>
      <w:marRight w:val="0"/>
      <w:marTop w:val="0"/>
      <w:marBottom w:val="0"/>
      <w:divBdr>
        <w:top w:val="none" w:sz="0" w:space="0" w:color="auto"/>
        <w:left w:val="none" w:sz="0" w:space="0" w:color="auto"/>
        <w:bottom w:val="none" w:sz="0" w:space="0" w:color="auto"/>
        <w:right w:val="none" w:sz="0" w:space="0" w:color="auto"/>
      </w:divBdr>
    </w:div>
    <w:div w:id="1504315802">
      <w:bodyDiv w:val="1"/>
      <w:marLeft w:val="0"/>
      <w:marRight w:val="0"/>
      <w:marTop w:val="0"/>
      <w:marBottom w:val="0"/>
      <w:divBdr>
        <w:top w:val="none" w:sz="0" w:space="0" w:color="auto"/>
        <w:left w:val="none" w:sz="0" w:space="0" w:color="auto"/>
        <w:bottom w:val="none" w:sz="0" w:space="0" w:color="auto"/>
        <w:right w:val="none" w:sz="0" w:space="0" w:color="auto"/>
      </w:divBdr>
    </w:div>
    <w:div w:id="1542471498">
      <w:bodyDiv w:val="1"/>
      <w:marLeft w:val="0"/>
      <w:marRight w:val="0"/>
      <w:marTop w:val="0"/>
      <w:marBottom w:val="0"/>
      <w:divBdr>
        <w:top w:val="none" w:sz="0" w:space="0" w:color="auto"/>
        <w:left w:val="none" w:sz="0" w:space="0" w:color="auto"/>
        <w:bottom w:val="none" w:sz="0" w:space="0" w:color="auto"/>
        <w:right w:val="none" w:sz="0" w:space="0" w:color="auto"/>
      </w:divBdr>
    </w:div>
    <w:div w:id="1763527940">
      <w:bodyDiv w:val="1"/>
      <w:marLeft w:val="0"/>
      <w:marRight w:val="0"/>
      <w:marTop w:val="0"/>
      <w:marBottom w:val="0"/>
      <w:divBdr>
        <w:top w:val="none" w:sz="0" w:space="0" w:color="auto"/>
        <w:left w:val="none" w:sz="0" w:space="0" w:color="auto"/>
        <w:bottom w:val="none" w:sz="0" w:space="0" w:color="auto"/>
        <w:right w:val="none" w:sz="0" w:space="0" w:color="auto"/>
      </w:divBdr>
    </w:div>
    <w:div w:id="200188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EmCC xmlns="http://schemas.microsoft.com/sharepoint/v3/fields" xsi:nil="true"/>
    <EmCCSMTPAddress xmlns="http://schemas.microsoft.com/sharepoint/v3/fields" xsi:nil="true"/>
    <EmSentOnBehalfOfName xmlns="http://schemas.microsoft.com/sharepoint/v3/fields" xsi:nil="true"/>
    <EmReceivedByName xmlns="http://schemas.microsoft.com/sharepoint/v3/fields" xsi:nil="true"/>
    <TaxCatchAll xmlns="82ff9d9b-d3fc-4aad-bc42-9949ee83b815">
      <Value>2</Value>
      <Value>1</Value>
    </TaxCatchAll>
    <EmID xmlns="http://schemas.microsoft.com/sharepoint/v3/fields" xsi:nil="true"/>
    <EmCompanies xmlns="http://schemas.microsoft.com/sharepoint/v3/fields" xsi:nil="true"/>
    <TaxKeywordTaxHTField xmlns="82ff9d9b-d3fc-4aad-bc42-9949ee83b815">
      <Terms xmlns="http://schemas.microsoft.com/office/infopath/2007/PartnerControls"/>
    </TaxKeywordTaxHTField>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LMName xmlns="82ff9d9b-d3fc-4aad-bc42-9949ee83b815"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ToAddress xmlns="http://schemas.microsoft.com/sharepoint/v3/fields" xsi:nil="true"/>
    <EmDateReceived xmlns="http://schemas.microsoft.com/sharepoint/v3/fields" xsi:nil="true"/>
    <LastModDate xmlns="82ff9d9b-d3fc-4aad-bc42-9949ee83b815" xsi:nil="true"/>
    <EmTo xmlns="http://schemas.microsoft.com/sharepoint/v3/fields" xsi:nil="true"/>
    <EmFrom xmlns="http://schemas.microsoft.com/sharepoint/v3/fields" xsi:nil="true"/>
    <EmToSMTPAddress xmlns="http://schemas.microsoft.com/sharepoint/v3/fields" xsi:nil="true"/>
    <SecClass xmlns="82ff9d9b-d3fc-4aad-bc42-9949ee83b815">UNCLASSIFIED</SecClass>
    <EmDate xmlns="http://schemas.microsoft.com/sharepoint/v3/fields" xsi:nil="true"/>
    <EmSensitivity xmlns="http://schemas.microsoft.com/sharepoint/v3/fields" xsi:nil="true"/>
    <EmCategory xmlns="http://schemas.microsoft.com/sharepoint/v3/fields" xsi:nil="true"/>
    <EmBody xmlns="http://schemas.microsoft.com/sharepoint/v3/fields" xsi:nil="true"/>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Admin and Public Law</TermName>
          <TermId xmlns="http://schemas.microsoft.com/office/infopath/2007/PartnerControls">5202c132-9c9f-436f-a5ca-abd69606100b</TermId>
        </TermInfo>
      </Terms>
    </iee44f6412bf40639855518abb1a08cc>
    <EmFromSMTPAddress xmlns="http://schemas.microsoft.com/sharepoint/v3/fields" xsi:nil="true"/>
    <k90b8697a98d4606834ec03f7c33303a xmlns="82ff9d9b-d3fc-4aad-bc42-9949ee83b815">
      <Terms xmlns="http://schemas.microsoft.com/office/infopath/2007/PartnerControls"/>
    </k90b8697a98d4606834ec03f7c33303a>
    <EmConversationID xmlns="http://schemas.microsoft.com/sharepoint/v3/fields" xsi:nil="true"/>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EmConversationIndex xmlns="http://schemas.microsoft.com/sharepoint/v3/fields" xsi:nil="true"/>
    <RelatedItems xmlns="http://schemas.microsoft.com/sharepoint/v3" xsi:nil="true"/>
    <_dlc_DocId xmlns="67a709a9-7539-4d0f-aed5-94eb6312c732">FIN201933931-22883953-73215</_dlc_DocId>
    <_dlc_DocIdUrl xmlns="67a709a9-7539-4d0f-aed5-94eb6312c732">
      <Url>https://f1.prdmgd.finance.gov.au/sites/50033931/_layouts/15/DocIdRedir.aspx?ID=FIN201933931-22883953-73215</Url>
      <Description>FIN201933931-22883953-73215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inance Email" ma:contentTypeID="0x0101002EFF4F6709F446E5AD064DC20BBE6855008F70CE3E60DE154B8B99D468DE12E03200DBAD0A8EA0A7564189FAF5B3A45B07A6" ma:contentTypeVersion="15" ma:contentTypeDescription="" ma:contentTypeScope="" ma:versionID="5b1155f4618e7a856bb4dcd210d7bd17">
  <xsd:schema xmlns:xsd="http://www.w3.org/2001/XMLSchema" xmlns:xs="http://www.w3.org/2001/XMLSchema" xmlns:p="http://schemas.microsoft.com/office/2006/metadata/properties" xmlns:ns1="http://schemas.microsoft.com/sharepoint/v3" xmlns:ns2="http://schemas.microsoft.com/sharepoint/v3/fields" xmlns:ns3="82ff9d9b-d3fc-4aad-bc42-9949ee83b815" xmlns:ns4="67a709a9-7539-4d0f-aed5-94eb6312c732" targetNamespace="http://schemas.microsoft.com/office/2006/metadata/properties" ma:root="true" ma:fieldsID="1b168617b65e6020cdfb288191e89360" ns1:_="" ns2:_="" ns3:_="" ns4:_="">
    <xsd:import namespace="http://schemas.microsoft.com/sharepoint/v3"/>
    <xsd:import namespace="http://schemas.microsoft.com/sharepoint/v3/fields"/>
    <xsd:import namespace="82ff9d9b-d3fc-4aad-bc42-9949ee83b815"/>
    <xsd:import namespace="67a709a9-7539-4d0f-aed5-94eb6312c732"/>
    <xsd:element name="properties">
      <xsd:complexType>
        <xsd:sequence>
          <xsd:element name="documentManagement">
            <xsd:complexType>
              <xsd:all>
                <xsd:element ref="ns2:EmSubject" minOccurs="0"/>
                <xsd:element ref="ns2:EmTo" minOccurs="0"/>
                <xsd:element ref="ns2:EmCC" minOccurs="0"/>
                <xsd:element ref="ns2:EmBCC" minOccurs="0"/>
                <xsd:element ref="ns2:EmFrom" minOccurs="0"/>
                <xsd:element ref="ns2:EmFromName" minOccurs="0"/>
                <xsd:element ref="ns2:EmType" minOccurs="0"/>
                <xsd:element ref="ns2:EmDate" minOccurs="0"/>
                <xsd:element ref="ns2:EmID" minOccurs="0"/>
                <xsd:element ref="ns2:EmAttachCount" minOccurs="0"/>
                <xsd:element ref="ns2:EmCon" minOccurs="0"/>
                <xsd:element ref="ns2:EmCategory" minOccurs="0"/>
                <xsd:element ref="ns2:EmConversationID" minOccurs="0"/>
                <xsd:element ref="ns2:EmConversationIndex" minOccurs="0"/>
                <xsd:element ref="ns2:EmAttachmentNames" minOccurs="0"/>
                <xsd:element ref="ns2:EmBody" minOccurs="0"/>
                <xsd:element ref="ns2:EmToAddress" minOccurs="0"/>
                <xsd:element ref="ns2:EmDateSent" minOccurs="0"/>
                <xsd:element ref="ns2:EmDateReceived" minOccurs="0"/>
                <xsd:element ref="ns2:EmSensitivity" minOccurs="0"/>
                <xsd:element ref="ns2:EmImportance" minOccurs="0"/>
                <xsd:element ref="ns2:EmToSMTPAddress" minOccurs="0"/>
                <xsd:element ref="ns2:EmCCSMTPAddress" minOccurs="0"/>
                <xsd:element ref="ns2:EmBCCSMTPAddress" minOccurs="0"/>
                <xsd:element ref="ns2:EmFromSMTPAddress" minOccurs="0"/>
                <xsd:element ref="ns2:EmHasAttachments" minOccurs="0"/>
                <xsd:element ref="ns2:EmSentOnBehalfOfName" minOccurs="0"/>
                <xsd:element ref="ns2:EmReceivedByName" minOccurs="0"/>
                <xsd:element ref="ns2:EmReceivedOnBehalfOfName" minOccurs="0"/>
                <xsd:element ref="ns2:EmCompanies" minOccurs="0"/>
                <xsd:element ref="ns2:EmRetentionPolicyName" minOccurs="0"/>
                <xsd:element ref="ns2:EmReplyRecipientNames" minOccurs="0"/>
                <xsd:element ref="ns2:EmReplyRecipients" minOccurs="0"/>
                <xsd:element ref="ns3:k90b8697a98d4606834ec03f7c33303a" minOccurs="0"/>
                <xsd:element ref="ns3:TaxCatchAll" minOccurs="0"/>
                <xsd:element ref="ns3:TaxCatchAllLabel" minOccurs="0"/>
                <xsd:element ref="ns3:SecClass" minOccurs="0"/>
                <xsd:element ref="ns3:iee44f6412bf40639855518abb1a08cc" minOccurs="0"/>
                <xsd:element ref="ns3:k710d1823c744f64b20abec111d3c509" minOccurs="0"/>
                <xsd:element ref="ns3:kb73b3df24114868a21db4ce3ca83710" minOccurs="0"/>
                <xsd:element ref="ns1:RelatedItems" minOccurs="0"/>
                <xsd:element ref="ns3:TaxKeywordTaxHTField" minOccurs="0"/>
                <xsd:element ref="ns3:LMName" minOccurs="0"/>
                <xsd:element ref="ns3:LastMod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52"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8" nillable="true" ma:displayName="Email Subject" ma:internalName="EmSubject" ma:readOnly="false">
      <xsd:simpleType>
        <xsd:restriction base="dms:Text"/>
      </xsd:simpleType>
    </xsd:element>
    <xsd:element name="EmTo" ma:index="9" nillable="true" ma:displayName="Email To" ma:internalName="EmTo" ma:readOnly="false">
      <xsd:simpleType>
        <xsd:restriction base="dms:Note"/>
      </xsd:simpleType>
    </xsd:element>
    <xsd:element name="EmCC" ma:index="10" nillable="true" ma:displayName="Email CC" ma:internalName="EmCC" ma:readOnly="false">
      <xsd:simpleType>
        <xsd:restriction base="dms:Note"/>
      </xsd:simpleType>
    </xsd:element>
    <xsd:element name="EmBCC" ma:index="11" nillable="true" ma:displayName="Email BCC" ma:internalName="EmBCC" ma:readOnly="false">
      <xsd:simpleType>
        <xsd:restriction base="dms:Note"/>
      </xsd:simpleType>
    </xsd:element>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Type" ma:index="14" nillable="true" ma:displayName="Email Type" ma:internalName="EmType" ma:readOnly="false">
      <xsd:simpleType>
        <xsd:restriction base="dms:Text"/>
      </xsd:simpleType>
    </xsd:element>
    <xsd:element name="EmDate" ma:index="15" nillable="true" ma:displayName="Email Date" ma:format="DateTime" ma:internalName="EmDate" ma:readOnly="false">
      <xsd:simpleType>
        <xsd:restriction base="dms:DateTime"/>
      </xsd:simpleType>
    </xsd:element>
    <xsd:element name="EmID" ma:index="16" nillable="true" ma:displayName="Email ID" ma:internalName="EmID" ma:readOnly="false">
      <xsd:simpleType>
        <xsd:restriction base="dms:Text"/>
      </xsd:simpleType>
    </xsd:element>
    <xsd:element name="EmAttachCount" ma:index="17" nillable="true" ma:displayName="Email Attachment Count" ma:internalName="EmAttachCount" ma:readOnly="false">
      <xsd:simpleType>
        <xsd:restriction base="dms:Text"/>
      </xsd:simpleType>
    </xsd:element>
    <xsd:element name="EmCon" ma:index="18" nillable="true" ma:displayName="Email Conversation" ma:internalName="EmCon" ma:readOnly="false">
      <xsd:simpleType>
        <xsd:restriction base="dms:Text"/>
      </xsd:simpleType>
    </xsd:element>
    <xsd:element name="EmCategory" ma:index="19" nillable="true" ma:displayName="Email Category" ma:internalName="EmCategory" ma:readOnly="false">
      <xsd:simpleType>
        <xsd:restriction base="dms:Text"/>
      </xsd:simpleType>
    </xsd:element>
    <xsd:element name="EmConversationID" ma:index="20" nillable="true" ma:displayName="Email Conversation ID" ma:internalName="EmConversationID" ma:readOnly="false">
      <xsd:simpleType>
        <xsd:restriction base="dms:Note">
          <xsd:maxLength value="255"/>
        </xsd:restriction>
      </xsd:simpleType>
    </xsd:element>
    <xsd:element name="EmConversationIndex" ma:index="21" nillable="true" ma:displayName="Email Conversation Index" ma:internalName="EmConversationIndex" ma:readOnly="false">
      <xsd:simpleType>
        <xsd:restriction base="dms:Note">
          <xsd:maxLength value="255"/>
        </xsd:restriction>
      </xsd:simpleType>
    </xsd:element>
    <xsd:element name="EmAttachmentNames" ma:index="22" nillable="true" ma:displayName="Email Attachment Names" ma:internalName="EmAttachmentNames" ma:readOnly="false">
      <xsd:simpleType>
        <xsd:restriction base="dms:Note"/>
      </xsd:simpleType>
    </xsd:element>
    <xsd:element name="EmBody" ma:index="23" nillable="true" ma:displayName="Email Body" ma:internalName="EmBody" ma:readOnly="false">
      <xsd:simpleType>
        <xsd:restriction base="dms:Note"/>
      </xsd:simpleType>
    </xsd:element>
    <xsd:element name="EmToAddress" ma:index="24" nillable="true" ma:displayName="Email To Address" ma:internalName="EmToAddress" ma:readOnly="false">
      <xsd:simpleType>
        <xsd:restriction base="dms:Note"/>
      </xsd:simpleType>
    </xsd:element>
    <xsd:element name="EmDateSent" ma:index="25" nillable="true" ma:displayName="Email Date Sent" ma:format="DateTime" ma:internalName="EmDateSent" ma:readOnly="false">
      <xsd:simpleType>
        <xsd:restriction base="dms:DateTime"/>
      </xsd:simpleType>
    </xsd:element>
    <xsd:element name="EmDateReceived" ma:index="26" nillable="true" ma:displayName="Email Date Received" ma:format="DateTime" ma:internalName="EmDateReceived" ma:readOnly="false">
      <xsd:simpleType>
        <xsd:restriction base="dms:DateTime"/>
      </xsd:simpleType>
    </xsd:element>
    <xsd:element name="EmSensitivity" ma:index="27" nillable="true" ma:displayName="Email Sensitivity" ma:internalName="EmSensitivity" ma:readOnly="false">
      <xsd:simpleType>
        <xsd:restriction base="dms:Number"/>
      </xsd:simpleType>
    </xsd:element>
    <xsd:element name="EmImportance" ma:index="28" nillable="true" ma:displayName="Email Importance" ma:internalName="EmImportance" ma:readOnly="false">
      <xsd:simpleType>
        <xsd:restriction base="dms:Number"/>
      </xsd:simpleType>
    </xsd:element>
    <xsd:element name="EmToSMTPAddress" ma:index="29" nillable="true" ma:displayName="Email To SMTP Address" ma:internalName="EmToSMTPAddress" ma:readOnly="false">
      <xsd:simpleType>
        <xsd:restriction base="dms:Note"/>
      </xsd:simpleType>
    </xsd:element>
    <xsd:element name="EmCCSMTPAddress" ma:index="30" nillable="true" ma:displayName="Email CC SMTP Address" ma:internalName="EmCCSMTPAddress" ma:readOnly="false">
      <xsd:simpleType>
        <xsd:restriction base="dms:Note"/>
      </xsd:simpleType>
    </xsd:element>
    <xsd:element name="EmBCCSMTPAddress" ma:index="31" nillable="true" ma:displayName="Email BCC SMTP Address" ma:internalName="EmBCCSMTPAddress" ma:readOnly="false">
      <xsd:simpleType>
        <xsd:restriction base="dms:Note"/>
      </xsd:simpleType>
    </xsd:element>
    <xsd:element name="EmFromSMTPAddress" ma:index="32" nillable="true" ma:displayName="Email From SMTP Address" ma:internalName="EmFromSMTPAddress" ma:readOnly="false">
      <xsd:simpleType>
        <xsd:restriction base="dms:Text"/>
      </xsd:simpleType>
    </xsd:element>
    <xsd:element name="EmHasAttachments" ma:index="33" nillable="true" ma:displayName="Email Has Attachments" ma:internalName="EmHasAttachments" ma:readOnly="false">
      <xsd:simpleType>
        <xsd:restriction base="dms:Boolean"/>
      </xsd:simpleType>
    </xsd:element>
    <xsd:element name="EmSentOnBehalfOfName" ma:index="34" nillable="true" ma:displayName="Email Sent On Behalf Of Name" ma:internalName="EmSentOnBehalfOfName" ma:readOnly="false">
      <xsd:simpleType>
        <xsd:restriction base="dms:Text"/>
      </xsd:simpleType>
    </xsd:element>
    <xsd:element name="EmReceivedByName" ma:index="35" nillable="true" ma:displayName="Email Received By Name" ma:internalName="EmReceivedByName" ma:readOnly="false">
      <xsd:simpleType>
        <xsd:restriction base="dms:Text"/>
      </xsd:simpleType>
    </xsd:element>
    <xsd:element name="EmReceivedOnBehalfOfName" ma:index="36" nillable="true" ma:displayName="Email Received On Behalf Of Name" ma:internalName="EmReceivedOnBehalfOfName" ma:readOnly="false">
      <xsd:simpleType>
        <xsd:restriction base="dms:Text"/>
      </xsd:simpleType>
    </xsd:element>
    <xsd:element name="EmCompanies" ma:index="37" nillable="true" ma:displayName="Email Companies" ma:internalName="EmCompanies" ma:readOnly="false">
      <xsd:simpleType>
        <xsd:restriction base="dms:Text"/>
      </xsd:simpleType>
    </xsd:element>
    <xsd:element name="EmRetentionPolicyName" ma:index="38" nillable="true" ma:displayName="Email Retention Policy Name" ma:internalName="EmRetentionPolicyName" ma:readOnly="false">
      <xsd:simpleType>
        <xsd:restriction base="dms:Text"/>
      </xsd:simpleType>
    </xsd:element>
    <xsd:element name="EmReplyRecipientNames" ma:index="39" nillable="true" ma:displayName="Email Reply Recipient Names" ma:internalName="EmReplyRecipientNames" ma:readOnly="false">
      <xsd:simpleType>
        <xsd:restriction base="dms:Text"/>
      </xsd:simpleType>
    </xsd:element>
    <xsd:element name="EmReplyRecipients" ma:index="40" nillable="true" ma:displayName="Email Reply Recipients" ma:internalName="EmReplyRecipi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k90b8697a98d4606834ec03f7c33303a" ma:index="41"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TaxCatchAll" ma:index="42"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SecClass" ma:index="45" nillable="true" ma:displayName="Security Classification" ma:default="UNCLASSIFIED" ma:description="Security Classification" ma:format="Dropdown" ma:internalName="SecClass">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iee44f6412bf40639855518abb1a08cc" ma:index="46"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k710d1823c744f64b20abec111d3c509" ma:index="48"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50"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53"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LMName" ma:index="55" nillable="true" ma:displayName="Last Modified by Name" ma:description="For archiving purposes" ma:internalName="LMName">
      <xsd:simpleType>
        <xsd:restriction base="dms:Text"/>
      </xsd:simpleType>
    </xsd:element>
    <xsd:element name="LastModDate" ma:index="56" nillable="true" ma:displayName="Last User Modified Date" ma:description="Date/time when document was last time modified by a user (as opposed to system updtates)" ma:format="DateTime" ma:internalName="LastMo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5fb5116-7131-45fb-9d92-926478776364" ContentTypeId="0x0101002EFF4F6709F446E5AD064DC20BBE6855008F70CE3E60DE154B8B99D468DE12E032"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46E35-58D2-4412-B937-AECA6E99E7D6}">
  <ds:schemaRefs>
    <ds:schemaRef ds:uri="http://schemas.microsoft.com/sharepoint/v3/contenttype/forms"/>
  </ds:schemaRefs>
</ds:datastoreItem>
</file>

<file path=customXml/itemProps2.xml><?xml version="1.0" encoding="utf-8"?>
<ds:datastoreItem xmlns:ds="http://schemas.openxmlformats.org/officeDocument/2006/customXml" ds:itemID="{7F872270-0EF6-4172-9678-DA4F47868E2E}">
  <ds:schemaRefs>
    <ds:schemaRef ds:uri="27A39A5E-DCAB-4C7E-9DB8-19CF692DB6F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schemas.microsoft.com/sharepoint/v3/fields"/>
    <ds:schemaRef ds:uri="82ff9d9b-d3fc-4aad-bc42-9949ee83b815"/>
    <ds:schemaRef ds:uri="http://schemas.microsoft.com/sharepoint/v3"/>
    <ds:schemaRef ds:uri="67a709a9-7539-4d0f-aed5-94eb6312c732"/>
  </ds:schemaRefs>
</ds:datastoreItem>
</file>

<file path=customXml/itemProps3.xml><?xml version="1.0" encoding="utf-8"?>
<ds:datastoreItem xmlns:ds="http://schemas.openxmlformats.org/officeDocument/2006/customXml" ds:itemID="{61333495-4A40-44C1-B285-F86FC49465C7}">
  <ds:schemaRefs>
    <ds:schemaRef ds:uri="http://schemas.microsoft.com/sharepoint/events"/>
  </ds:schemaRefs>
</ds:datastoreItem>
</file>

<file path=customXml/itemProps4.xml><?xml version="1.0" encoding="utf-8"?>
<ds:datastoreItem xmlns:ds="http://schemas.openxmlformats.org/officeDocument/2006/customXml" ds:itemID="{0AB9632B-21D2-4422-AFD6-495D6472D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82ff9d9b-d3fc-4aad-bc42-9949ee83b815"/>
    <ds:schemaRef ds:uri="67a709a9-7539-4d0f-aed5-94eb6312c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1D4DEB-03FD-4DF9-83B5-B00308DAB49D}">
  <ds:schemaRefs>
    <ds:schemaRef ds:uri="Microsoft.SharePoint.Taxonomy.ContentTypeSync"/>
  </ds:schemaRefs>
</ds:datastoreItem>
</file>

<file path=customXml/itemProps6.xml><?xml version="1.0" encoding="utf-8"?>
<ds:datastoreItem xmlns:ds="http://schemas.openxmlformats.org/officeDocument/2006/customXml" ds:itemID="{1CEFE021-D038-46BF-A1D7-92B8FAA8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5772</Words>
  <Characters>32904</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38599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McCarron</dc:creator>
  <cp:lastModifiedBy>Farrell, Jeremy</cp:lastModifiedBy>
  <cp:revision>2</cp:revision>
  <cp:lastPrinted>2020-02-09T23:14:00Z</cp:lastPrinted>
  <dcterms:created xsi:type="dcterms:W3CDTF">2020-02-26T22:43:00Z</dcterms:created>
  <dcterms:modified xsi:type="dcterms:W3CDTF">2020-02-26T22:43:00Z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0x0101002EFF4F6709F446E5AD064DC20BBE6855008F70CE3E60DE154B8B99D468DE12E03200DBAD0A8EA0A7564189FAF5B3A45B07A6</vt:lpwstr>
  </property>
  <property fmtid="{D5CDD505-2E9C-101B-9397-08002B2CF9AE}" pid="3" name="_dlc_DocIdItemGuid">
    <vt:lpwstr>c4bd42bb-2fae-477e-8dfc-e219490efc4b</vt:lpwstr>
  </property>
  <property fmtid="{D5CDD505-2E9C-101B-9397-08002B2CF9AE}" pid="4" name="TaxKeyword">
    <vt:lpwstr/>
  </property>
  <property fmtid="{D5CDD505-2E9C-101B-9397-08002B2CF9AE}" pid="5" name="AbtEntity">
    <vt:lpwstr>1;#Department of Finance|fd660e8f-8f31-49bd-92a3-d31d4da31afe</vt:lpwstr>
  </property>
  <property fmtid="{D5CDD505-2E9C-101B-9397-08002B2CF9AE}" pid="6" name="InitiatingEntity">
    <vt:lpwstr>1;#Department of Finance|fd660e8f-8f31-49bd-92a3-d31d4da31afe</vt:lpwstr>
  </property>
  <property fmtid="{D5CDD505-2E9C-101B-9397-08002B2CF9AE}" pid="7" name="Function and Activity">
    <vt:lpwstr/>
  </property>
  <property fmtid="{D5CDD505-2E9C-101B-9397-08002B2CF9AE}" pid="8" name="OrgUnit">
    <vt:lpwstr>2;#Admin and Public Law|5202c132-9c9f-436f-a5ca-abd69606100b</vt:lpwstr>
  </property>
</Properties>
</file>