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77777777"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7A143476" w14:textId="77777777" w:rsidR="00B60F0C" w:rsidRPr="00625284" w:rsidRDefault="00B60F0C" w:rsidP="00B60F0C">
      <w:pPr>
        <w:jc w:val="center"/>
        <w:rPr>
          <w:rFonts w:ascii="Times New Roman" w:hAnsi="Times New Roman"/>
          <w:bCs/>
          <w:i/>
          <w:iCs/>
          <w:szCs w:val="24"/>
        </w:rPr>
      </w:pPr>
      <w:r w:rsidRPr="00625284">
        <w:rPr>
          <w:rFonts w:ascii="Times New Roman" w:hAnsi="Times New Roman"/>
          <w:bCs/>
          <w:i/>
          <w:iCs/>
          <w:szCs w:val="24"/>
        </w:rPr>
        <w:t>Therapeutic Goods Act 1989</w:t>
      </w:r>
    </w:p>
    <w:p w14:paraId="742D9337" w14:textId="047427CA" w:rsidR="00EF1F18" w:rsidRPr="008727AB" w:rsidRDefault="00EF1F18" w:rsidP="009A530B">
      <w:pPr>
        <w:spacing w:before="100" w:beforeAutospacing="1" w:after="100" w:afterAutospacing="1"/>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9A1C10">
        <w:rPr>
          <w:rFonts w:ascii="Times New Roman" w:eastAsia="Times New Roman" w:hAnsi="Times New Roman" w:cs="Times New Roman"/>
          <w:bCs/>
          <w:i/>
          <w:sz w:val="24"/>
          <w:szCs w:val="24"/>
          <w:lang w:eastAsia="en-AU"/>
        </w:rPr>
        <w:t>1</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20</w:t>
      </w:r>
    </w:p>
    <w:p w14:paraId="1375AB08"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772732FE"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9A1C10">
        <w:rPr>
          <w:rFonts w:ascii="Times New Roman" w:eastAsia="Times New Roman" w:hAnsi="Times New Roman" w:cs="Times New Roman"/>
          <w:i/>
          <w:sz w:val="24"/>
          <w:szCs w:val="24"/>
          <w:lang w:eastAsia="en-AU"/>
        </w:rPr>
        <w:t>4</w:t>
      </w:r>
      <w:r w:rsidRPr="004E05C9">
        <w:rPr>
          <w:rFonts w:ascii="Times New Roman" w:eastAsia="Times New Roman" w:hAnsi="Times New Roman" w:cs="Times New Roman"/>
          <w:i/>
          <w:sz w:val="24"/>
          <w:szCs w:val="24"/>
          <w:lang w:eastAsia="en-AU"/>
        </w:rPr>
        <w:t>) 2019</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 xml:space="preserve">. </w:t>
      </w:r>
    </w:p>
    <w:p w14:paraId="013E1782" w14:textId="77777777"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46189311"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37CEDFE6"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 26A and 26AE may only contain ingredients from an approved list of ingredients that have been evaluated in relation to their quality and safety and suitability for use in such medicines. Sponsors of such medicines may </w:t>
      </w:r>
      <w:r w:rsidR="008E082F">
        <w:rPr>
          <w:rFonts w:ascii="Times New Roman" w:eastAsia="Times New Roman" w:hAnsi="Times New Roman" w:cs="Times New Roman"/>
          <w:sz w:val="24"/>
          <w:szCs w:val="24"/>
          <w:lang w:eastAsia="en-AU"/>
        </w:rPr>
        <w:lastRenderedPageBreak/>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16704F00"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6D9381AC"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EE2990C" w14:textId="5BA6F8D4" w:rsidR="00D4773E" w:rsidRDefault="00226F3C" w:rsidP="00D4773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2B026CDA" w14:textId="33F8974E" w:rsidR="00A4560C" w:rsidRPr="00A4560C" w:rsidRDefault="00A4560C" w:rsidP="00AF44AF">
      <w:pPr>
        <w:spacing w:before="100" w:beforeAutospacing="1" w:after="100" w:afterAutospacing="1"/>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5B4C9B44" w14:textId="77777777" w:rsidR="007445FE" w:rsidRDefault="007445FE" w:rsidP="00DF0880">
      <w:pPr>
        <w:spacing w:after="0"/>
        <w:contextualSpacing/>
        <w:rPr>
          <w:rFonts w:ascii="Times New Roman" w:eastAsia="Times New Roman" w:hAnsi="Times New Roman" w:cs="Times New Roman"/>
          <w:sz w:val="24"/>
          <w:szCs w:val="24"/>
          <w:lang w:eastAsia="en-AU"/>
        </w:rPr>
      </w:pPr>
    </w:p>
    <w:p w14:paraId="1C9706BC" w14:textId="45DD5E87" w:rsidR="006D4AB8" w:rsidRDefault="006D4AB8" w:rsidP="004761AE">
      <w:pPr>
        <w:keepNext/>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036E3A22" w14:textId="0674D0F2" w:rsidR="00967425" w:rsidRDefault="00020744">
      <w:pPr>
        <w:pStyle w:val="ListParagraph"/>
        <w:numPr>
          <w:ilvl w:val="0"/>
          <w:numId w:val="11"/>
        </w:numPr>
        <w:spacing w:before="120" w:beforeAutospacing="0" w:after="120" w:afterAutospacing="0" w:line="276" w:lineRule="auto"/>
      </w:pPr>
      <w:r>
        <w:t>the in</w:t>
      </w:r>
      <w:r w:rsidR="00A65FD1">
        <w:t>troduction</w:t>
      </w:r>
      <w:r>
        <w:t xml:space="preserve"> of </w:t>
      </w:r>
      <w:r w:rsidR="00967425">
        <w:t>5</w:t>
      </w:r>
      <w:r>
        <w:t xml:space="preserve"> new ingredients </w:t>
      </w:r>
      <w:r w:rsidR="00A65FD1">
        <w:t>for use in listed and assessed listed medicines</w:t>
      </w:r>
      <w:r w:rsidR="00967425">
        <w:t>:</w:t>
      </w:r>
    </w:p>
    <w:p w14:paraId="48901103" w14:textId="1D5BF183" w:rsidR="00967425" w:rsidRDefault="00967425" w:rsidP="00FB59B2">
      <w:pPr>
        <w:pStyle w:val="ListParagraph"/>
        <w:numPr>
          <w:ilvl w:val="1"/>
          <w:numId w:val="11"/>
        </w:numPr>
        <w:spacing w:before="120" w:beforeAutospacing="0" w:after="120" w:afterAutospacing="0" w:line="276" w:lineRule="auto"/>
      </w:pPr>
      <w:r w:rsidRPr="00967425">
        <w:t>hydrogenated polydextrose</w:t>
      </w:r>
      <w:r>
        <w:t>;</w:t>
      </w:r>
    </w:p>
    <w:p w14:paraId="775BF280" w14:textId="3F64E96E" w:rsidR="00967425" w:rsidRDefault="00967425" w:rsidP="00FB59B2">
      <w:pPr>
        <w:pStyle w:val="ListParagraph"/>
        <w:numPr>
          <w:ilvl w:val="1"/>
          <w:numId w:val="11"/>
        </w:numPr>
        <w:spacing w:before="120" w:beforeAutospacing="0" w:after="120" w:afterAutospacing="0" w:line="276" w:lineRule="auto"/>
      </w:pPr>
      <w:r w:rsidRPr="00967425">
        <w:lastRenderedPageBreak/>
        <w:t>citrulline</w:t>
      </w:r>
      <w:r>
        <w:t>;</w:t>
      </w:r>
    </w:p>
    <w:p w14:paraId="2E05A6CA" w14:textId="66FE2882" w:rsidR="00967425" w:rsidRDefault="00967425" w:rsidP="00FB59B2">
      <w:pPr>
        <w:pStyle w:val="ListParagraph"/>
        <w:numPr>
          <w:ilvl w:val="1"/>
          <w:numId w:val="11"/>
        </w:numPr>
        <w:spacing w:before="120" w:beforeAutospacing="0" w:after="120" w:afterAutospacing="0" w:line="276" w:lineRule="auto"/>
      </w:pPr>
      <w:r w:rsidRPr="00967425">
        <w:t>3,7-dimethyl-2,6-octadienal reaction products with ethanol</w:t>
      </w:r>
      <w:r>
        <w:t>;</w:t>
      </w:r>
    </w:p>
    <w:p w14:paraId="138750D8" w14:textId="50B332E8" w:rsidR="00967425" w:rsidRDefault="00967425" w:rsidP="00FB59B2">
      <w:pPr>
        <w:pStyle w:val="ListParagraph"/>
        <w:numPr>
          <w:ilvl w:val="1"/>
          <w:numId w:val="11"/>
        </w:numPr>
        <w:spacing w:before="120" w:beforeAutospacing="0" w:after="120" w:afterAutospacing="0" w:line="276" w:lineRule="auto"/>
      </w:pPr>
      <w:r w:rsidRPr="00967425">
        <w:t>4-cyclohexyl-2-methyl-2-butanol</w:t>
      </w:r>
      <w:r>
        <w:t>; and</w:t>
      </w:r>
    </w:p>
    <w:p w14:paraId="58802E98" w14:textId="75568709" w:rsidR="00020744" w:rsidRDefault="00967425" w:rsidP="00FB59B2">
      <w:pPr>
        <w:pStyle w:val="ListParagraph"/>
        <w:numPr>
          <w:ilvl w:val="1"/>
          <w:numId w:val="11"/>
        </w:numPr>
        <w:spacing w:before="120" w:beforeAutospacing="0" w:after="120" w:afterAutospacing="0" w:line="276" w:lineRule="auto"/>
      </w:pPr>
      <w:r w:rsidRPr="00967425">
        <w:t>methyl 2,6,6-trimethylcyclohex-2-ene-1-carboxylate</w:t>
      </w:r>
      <w:r w:rsidR="00A65FD1">
        <w:t>;</w:t>
      </w:r>
    </w:p>
    <w:p w14:paraId="18331445" w14:textId="0BECB0CF" w:rsidR="006A6288" w:rsidRDefault="00A65FD1" w:rsidP="00020744">
      <w:pPr>
        <w:pStyle w:val="ListParagraph"/>
        <w:numPr>
          <w:ilvl w:val="0"/>
          <w:numId w:val="11"/>
        </w:numPr>
        <w:spacing w:before="120" w:beforeAutospacing="0" w:after="120" w:afterAutospacing="0" w:line="276" w:lineRule="auto"/>
        <w:ind w:left="714" w:hanging="357"/>
      </w:pPr>
      <w:r>
        <w:t xml:space="preserve">minor changes to reduce regulatory burden in relation to the </w:t>
      </w:r>
      <w:r w:rsidR="001160DE">
        <w:t xml:space="preserve">applicable requirements relating to the </w:t>
      </w:r>
      <w:r>
        <w:t xml:space="preserve">use of the ingredient </w:t>
      </w:r>
      <w:r w:rsidR="006A6288">
        <w:t>propan-1-ol as a fragrance</w:t>
      </w:r>
      <w:r>
        <w:t>;</w:t>
      </w:r>
    </w:p>
    <w:p w14:paraId="126FA8FD" w14:textId="5D95F9D9" w:rsidR="00977431" w:rsidRDefault="00020744" w:rsidP="00020744">
      <w:pPr>
        <w:pStyle w:val="ListParagraph"/>
        <w:numPr>
          <w:ilvl w:val="0"/>
          <w:numId w:val="11"/>
        </w:numPr>
        <w:spacing w:before="120" w:beforeAutospacing="0" w:after="120" w:afterAutospacing="0" w:line="276" w:lineRule="auto"/>
        <w:ind w:left="714" w:hanging="357"/>
      </w:pPr>
      <w:r>
        <w:t>changes to 2</w:t>
      </w:r>
      <w:r w:rsidR="008A5EAC">
        <w:t>4</w:t>
      </w:r>
      <w:r>
        <w:t xml:space="preserve"> ingredients </w:t>
      </w:r>
      <w:r w:rsidR="00845A80">
        <w:t xml:space="preserve">following </w:t>
      </w:r>
      <w:hyperlink r:id="rId8" w:history="1">
        <w:r w:rsidR="00845A80" w:rsidRPr="00D3180C">
          <w:rPr>
            <w:rStyle w:val="Hyperlink"/>
          </w:rPr>
          <w:t>public consultation</w:t>
        </w:r>
      </w:hyperlink>
      <w:r w:rsidR="00A65FD1">
        <w:t>,</w:t>
      </w:r>
      <w:r w:rsidR="00977431">
        <w:t xml:space="preserve"> </w:t>
      </w:r>
      <w:r w:rsidR="00996D14">
        <w:t>including</w:t>
      </w:r>
      <w:r w:rsidR="00977431">
        <w:t>:</w:t>
      </w:r>
    </w:p>
    <w:p w14:paraId="1796D432" w14:textId="5D9EF157" w:rsidR="00632471" w:rsidRDefault="00A65FD1" w:rsidP="00977431">
      <w:pPr>
        <w:pStyle w:val="ListParagraph"/>
        <w:numPr>
          <w:ilvl w:val="1"/>
          <w:numId w:val="11"/>
        </w:numPr>
        <w:spacing w:before="120" w:beforeAutospacing="0" w:after="120" w:afterAutospacing="0" w:line="276" w:lineRule="auto"/>
      </w:pPr>
      <w:r>
        <w:t xml:space="preserve">the introduction of </w:t>
      </w:r>
      <w:r w:rsidR="00632471">
        <w:t xml:space="preserve">new warning statements for 4 ingredients containing boron </w:t>
      </w:r>
      <w:r>
        <w:t>following</w:t>
      </w:r>
      <w:r w:rsidR="00632471">
        <w:t xml:space="preserve"> concerns </w:t>
      </w:r>
      <w:r>
        <w:t xml:space="preserve">about such ingredients </w:t>
      </w:r>
      <w:r w:rsidR="00632471">
        <w:t>reported by the European Medicines Agency</w:t>
      </w:r>
      <w:r>
        <w:t>;</w:t>
      </w:r>
    </w:p>
    <w:p w14:paraId="7EA67F9E" w14:textId="01CDBC2C" w:rsidR="00020744" w:rsidRDefault="00A65FD1" w:rsidP="00781FEC">
      <w:pPr>
        <w:pStyle w:val="ListParagraph"/>
        <w:numPr>
          <w:ilvl w:val="1"/>
          <w:numId w:val="11"/>
        </w:numPr>
        <w:spacing w:before="120" w:beforeAutospacing="0" w:after="120" w:afterAutospacing="0" w:line="276" w:lineRule="auto"/>
      </w:pPr>
      <w:r>
        <w:t>introducing</w:t>
      </w:r>
      <w:r w:rsidR="00977431">
        <w:t xml:space="preserve"> a </w:t>
      </w:r>
      <w:r>
        <w:t xml:space="preserve">new </w:t>
      </w:r>
      <w:r w:rsidR="00977431">
        <w:t>warning statement for</w:t>
      </w:r>
      <w:r>
        <w:t xml:space="preserve"> the ingredient</w:t>
      </w:r>
      <w:r w:rsidR="00977431">
        <w:t xml:space="preserve"> </w:t>
      </w:r>
      <w:r w:rsidR="00996D14">
        <w:rPr>
          <w:i/>
        </w:rPr>
        <w:t xml:space="preserve">Withania somnifera </w:t>
      </w:r>
      <w:r w:rsidR="00977431">
        <w:t xml:space="preserve">regarding </w:t>
      </w:r>
      <w:r>
        <w:t xml:space="preserve">its </w:t>
      </w:r>
      <w:r w:rsidR="00977431">
        <w:t>use during pregnancy</w:t>
      </w:r>
      <w:r w:rsidR="00663231">
        <w:t xml:space="preserve"> where</w:t>
      </w:r>
      <w:r w:rsidR="004028BD">
        <w:t xml:space="preserve"> the ingredient is other than a </w:t>
      </w:r>
      <w:r w:rsidR="00781FEC">
        <w:t>hydro-alcoholic extract</w:t>
      </w:r>
      <w:r w:rsidR="00781FEC" w:rsidRPr="00781FEC">
        <w:t xml:space="preserve"> equivalent to 12</w:t>
      </w:r>
      <w:r w:rsidR="00781FEC">
        <w:t xml:space="preserve"> </w:t>
      </w:r>
      <w:r w:rsidR="00781FEC" w:rsidRPr="00781FEC">
        <w:t xml:space="preserve">g </w:t>
      </w:r>
      <w:r w:rsidR="00781FEC" w:rsidRPr="00E50E9C">
        <w:rPr>
          <w:i/>
        </w:rPr>
        <w:t>Withania somnifera</w:t>
      </w:r>
      <w:r w:rsidR="00781FEC">
        <w:t xml:space="preserve"> root</w:t>
      </w:r>
      <w:r w:rsidR="004028BD">
        <w:t xml:space="preserve">, as </w:t>
      </w:r>
      <w:r w:rsidR="00663231">
        <w:t xml:space="preserve">aligned with a 2015 study </w:t>
      </w:r>
      <w:r w:rsidR="004028BD">
        <w:t>investigating</w:t>
      </w:r>
      <w:r w:rsidR="00663231">
        <w:t xml:space="preserve"> prenatal development </w:t>
      </w:r>
      <w:r w:rsidR="004028BD">
        <w:t xml:space="preserve">safety </w:t>
      </w:r>
      <w:r w:rsidR="00663231">
        <w:t>by Prabu &amp; Panchapakesan published in the journal ‘Drug and Chemical Toxicology’</w:t>
      </w:r>
      <w:r>
        <w:t>;</w:t>
      </w:r>
    </w:p>
    <w:p w14:paraId="5E385B1B" w14:textId="02A2454D" w:rsidR="00845A80" w:rsidRDefault="00A65FD1" w:rsidP="00977431">
      <w:pPr>
        <w:pStyle w:val="ListParagraph"/>
        <w:numPr>
          <w:ilvl w:val="1"/>
          <w:numId w:val="11"/>
        </w:numPr>
        <w:spacing w:before="120" w:beforeAutospacing="0" w:after="120" w:afterAutospacing="0" w:line="276" w:lineRule="auto"/>
      </w:pPr>
      <w:r>
        <w:t xml:space="preserve">introducing </w:t>
      </w:r>
      <w:r w:rsidR="00632471">
        <w:t>a new warning statement for</w:t>
      </w:r>
      <w:r>
        <w:t xml:space="preserve"> the ingredient</w:t>
      </w:r>
      <w:r w:rsidR="00632471">
        <w:t xml:space="preserve"> </w:t>
      </w:r>
      <w:r w:rsidR="00632471">
        <w:rPr>
          <w:i/>
        </w:rPr>
        <w:t>Vitex agnus-castus</w:t>
      </w:r>
      <w:r>
        <w:t>,</w:t>
      </w:r>
      <w:r w:rsidR="00632471">
        <w:t xml:space="preserve"> related to </w:t>
      </w:r>
      <w:r>
        <w:t xml:space="preserve">its </w:t>
      </w:r>
      <w:r w:rsidR="00B06A14">
        <w:t>interaction</w:t>
      </w:r>
      <w:r w:rsidR="00632471">
        <w:t xml:space="preserve"> with other medicines</w:t>
      </w:r>
      <w:r>
        <w:t>;</w:t>
      </w:r>
    </w:p>
    <w:p w14:paraId="3AEC6CC6" w14:textId="1A18E78E" w:rsidR="00845A80" w:rsidRDefault="00A65FD1" w:rsidP="00632471">
      <w:pPr>
        <w:pStyle w:val="ListParagraph"/>
        <w:numPr>
          <w:ilvl w:val="1"/>
          <w:numId w:val="11"/>
        </w:numPr>
        <w:spacing w:before="120" w:beforeAutospacing="0" w:after="120" w:afterAutospacing="0" w:line="276" w:lineRule="auto"/>
      </w:pPr>
      <w:r>
        <w:t>introducing a new requirement</w:t>
      </w:r>
      <w:r w:rsidR="00632471">
        <w:t xml:space="preserve"> that the ingredient ‘</w:t>
      </w:r>
      <w:r w:rsidR="00632471" w:rsidRPr="00632471">
        <w:t>4-(4-hydroxy-4-methylpentyl)-3-cyclohexene carboxaldehyde</w:t>
      </w:r>
      <w:r w:rsidR="00632471">
        <w:t xml:space="preserve">’ not be used in any new medicines, and not used in any listed </w:t>
      </w:r>
      <w:r>
        <w:t xml:space="preserve">or assessed listed </w:t>
      </w:r>
      <w:r w:rsidR="00632471">
        <w:t>medicines after 2 March 2021</w:t>
      </w:r>
      <w:r>
        <w:t>,</w:t>
      </w:r>
      <w:r w:rsidR="00632471">
        <w:t xml:space="preserve"> as it is a skin sensitiser and </w:t>
      </w:r>
      <w:r w:rsidR="00B06A14">
        <w:t xml:space="preserve">can </w:t>
      </w:r>
      <w:r w:rsidR="00740B2A">
        <w:t>caus</w:t>
      </w:r>
      <w:r w:rsidR="00B06A14">
        <w:t>e</w:t>
      </w:r>
      <w:r w:rsidR="00C77F38">
        <w:t xml:space="preserve"> </w:t>
      </w:r>
      <w:r w:rsidR="00740B2A">
        <w:t xml:space="preserve">allergic </w:t>
      </w:r>
      <w:r w:rsidR="00632471">
        <w:t xml:space="preserve">contact </w:t>
      </w:r>
      <w:r w:rsidR="00C77F38">
        <w:t>dermatitis</w:t>
      </w:r>
      <w:r>
        <w:t>;</w:t>
      </w:r>
    </w:p>
    <w:p w14:paraId="61F1E2D7" w14:textId="1A64362F" w:rsidR="00E3727D" w:rsidRDefault="00E3727D" w:rsidP="00020744">
      <w:pPr>
        <w:pStyle w:val="ListParagraph"/>
        <w:numPr>
          <w:ilvl w:val="0"/>
          <w:numId w:val="11"/>
        </w:numPr>
        <w:spacing w:before="120" w:beforeAutospacing="0" w:after="120" w:afterAutospacing="0" w:line="276" w:lineRule="auto"/>
        <w:ind w:left="714" w:hanging="357"/>
      </w:pPr>
      <w:r>
        <w:t>changes to</w:t>
      </w:r>
      <w:r w:rsidR="00A65FD1">
        <w:t xml:space="preserve"> the ingredient</w:t>
      </w:r>
      <w:r>
        <w:t xml:space="preserve"> coumarin</w:t>
      </w:r>
      <w:r w:rsidR="00A65FD1">
        <w:t>,</w:t>
      </w:r>
      <w:r>
        <w:t xml:space="preserve"> </w:t>
      </w:r>
      <w:r w:rsidR="00285CFE">
        <w:t>which provide permission</w:t>
      </w:r>
      <w:r w:rsidR="000D3185">
        <w:t xml:space="preserve"> and requirements</w:t>
      </w:r>
      <w:r w:rsidR="00285CFE">
        <w:t xml:space="preserve"> for its use a fragrance in topical products </w:t>
      </w:r>
      <w:r>
        <w:t>following a review</w:t>
      </w:r>
      <w:r w:rsidR="00A65FD1">
        <w:t>;</w:t>
      </w:r>
    </w:p>
    <w:p w14:paraId="70AC2A92" w14:textId="0B785A72" w:rsidR="00E3727D" w:rsidRDefault="00A65FD1" w:rsidP="00020744">
      <w:pPr>
        <w:pStyle w:val="ListParagraph"/>
        <w:numPr>
          <w:ilvl w:val="0"/>
          <w:numId w:val="11"/>
        </w:numPr>
        <w:spacing w:before="120" w:beforeAutospacing="0" w:after="120" w:afterAutospacing="0" w:line="276" w:lineRule="auto"/>
        <w:ind w:left="714" w:hanging="357"/>
      </w:pPr>
      <w:r>
        <w:t xml:space="preserve">minor </w:t>
      </w:r>
      <w:r w:rsidR="000A6A62">
        <w:t xml:space="preserve">clarification of </w:t>
      </w:r>
      <w:r w:rsidR="006469D8">
        <w:t xml:space="preserve">the </w:t>
      </w:r>
      <w:r w:rsidR="000A6A62">
        <w:t>r</w:t>
      </w:r>
      <w:r w:rsidR="006A6288">
        <w:t>equirements for 32 ingredients used as colours</w:t>
      </w:r>
      <w:r w:rsidR="000A6A62">
        <w:t xml:space="preserve"> to </w:t>
      </w:r>
      <w:r w:rsidR="006469D8">
        <w:t>specify that</w:t>
      </w:r>
      <w:r w:rsidR="000A6A62">
        <w:t xml:space="preserve"> </w:t>
      </w:r>
      <w:r w:rsidR="006469D8">
        <w:t>all oral routes of administration, including dental use, are permitted</w:t>
      </w:r>
      <w:r w:rsidR="00092EDD">
        <w:t>;</w:t>
      </w:r>
      <w:r w:rsidR="006469D8">
        <w:t xml:space="preserve"> </w:t>
      </w:r>
    </w:p>
    <w:p w14:paraId="3FDFC6CD" w14:textId="77777777" w:rsidR="00967425" w:rsidRDefault="000A6A62" w:rsidP="00020744">
      <w:pPr>
        <w:pStyle w:val="ListParagraph"/>
        <w:numPr>
          <w:ilvl w:val="0"/>
          <w:numId w:val="11"/>
        </w:numPr>
        <w:spacing w:before="120" w:beforeAutospacing="0" w:after="120" w:afterAutospacing="0" w:line="276" w:lineRule="auto"/>
        <w:ind w:left="714" w:hanging="357"/>
      </w:pPr>
      <w:r>
        <w:t xml:space="preserve">removal of </w:t>
      </w:r>
      <w:r w:rsidR="007F3304">
        <w:t xml:space="preserve">expired </w:t>
      </w:r>
      <w:r>
        <w:t>transition period</w:t>
      </w:r>
      <w:r w:rsidR="007F3304">
        <w:t xml:space="preserve"> provisions</w:t>
      </w:r>
      <w:r>
        <w:t xml:space="preserve"> </w:t>
      </w:r>
      <w:r w:rsidR="00092EDD">
        <w:t>for</w:t>
      </w:r>
      <w:r>
        <w:t xml:space="preserve"> 44 ingredients</w:t>
      </w:r>
    </w:p>
    <w:p w14:paraId="0935F7A2" w14:textId="414F680F" w:rsidR="006A6288" w:rsidRDefault="00967425" w:rsidP="004028BD">
      <w:pPr>
        <w:pStyle w:val="ListParagraph"/>
        <w:numPr>
          <w:ilvl w:val="0"/>
          <w:numId w:val="11"/>
        </w:numPr>
        <w:spacing w:before="120" w:beforeAutospacing="0" w:after="120" w:afterAutospacing="0" w:line="276" w:lineRule="auto"/>
      </w:pPr>
      <w:r>
        <w:t>removal of one ingredient (oakmoss), as it is a synonym of another ingredient already available for the same use (oakmoss absolute)</w:t>
      </w:r>
      <w:r w:rsidR="00092EDD">
        <w:t>.</w:t>
      </w:r>
      <w:r>
        <w:t xml:space="preserve"> A search of the </w:t>
      </w:r>
      <w:r w:rsidR="004028BD" w:rsidRPr="004028BD">
        <w:t>Australian Register of Therapeutic Goods (“the Register”)</w:t>
      </w:r>
      <w:r>
        <w:t xml:space="preserve"> on 6 February 2019 </w:t>
      </w:r>
      <w:r w:rsidR="001160DE">
        <w:t>indicated</w:t>
      </w:r>
      <w:r>
        <w:t xml:space="preserve"> that there are no listed medicines with a formulation </w:t>
      </w:r>
      <w:r w:rsidR="001160DE">
        <w:t xml:space="preserve">that </w:t>
      </w:r>
      <w:r>
        <w:t>includ</w:t>
      </w:r>
      <w:r w:rsidR="001160DE">
        <w:t>es</w:t>
      </w:r>
      <w:r>
        <w:t xml:space="preserve"> oakmoss.</w:t>
      </w:r>
    </w:p>
    <w:p w14:paraId="43BACDC7" w14:textId="77777777" w:rsidR="00EF1F18" w:rsidRPr="007313BA"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w:t>
      </w:r>
      <w:r w:rsidR="00E1152E" w:rsidRPr="00B028DC">
        <w:rPr>
          <w:rFonts w:ascii="Times New Roman" w:eastAsia="Times New Roman" w:hAnsi="Times New Roman" w:cs="Times New Roman"/>
          <w:b/>
          <w:bCs/>
          <w:sz w:val="24"/>
          <w:szCs w:val="24"/>
          <w:lang w:eastAsia="en-AU"/>
        </w:rPr>
        <w:t>onsultation</w:t>
      </w:r>
      <w:r w:rsidRPr="00B028DC">
        <w:rPr>
          <w:rFonts w:ascii="Times New Roman" w:eastAsia="Times New Roman" w:hAnsi="Times New Roman" w:cs="Times New Roman"/>
          <w:sz w:val="24"/>
          <w:szCs w:val="24"/>
          <w:lang w:eastAsia="en-AU"/>
        </w:rPr>
        <w:t> </w:t>
      </w:r>
    </w:p>
    <w:p w14:paraId="22AC04D7" w14:textId="684EE42C" w:rsidR="004E03D6" w:rsidRDefault="004E03D6" w:rsidP="00DE415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7F3304">
        <w:rPr>
          <w:rFonts w:ascii="Times New Roman" w:eastAsia="Times New Roman" w:hAnsi="Times New Roman" w:cs="Times New Roman"/>
          <w:sz w:val="24"/>
          <w:szCs w:val="24"/>
          <w:lang w:eastAsia="en-AU"/>
        </w:rPr>
        <w:t xml:space="preserve"> ingredients </w:t>
      </w:r>
      <w:r>
        <w:rPr>
          <w:rFonts w:ascii="Times New Roman" w:eastAsia="Times New Roman" w:hAnsi="Times New Roman" w:cs="Times New Roman"/>
          <w:sz w:val="24"/>
          <w:szCs w:val="24"/>
          <w:lang w:eastAsia="en-AU"/>
        </w:rPr>
        <w:t>hydrogenated polydextrose, citrulline</w:t>
      </w:r>
      <w:r w:rsidR="00DE4154">
        <w:rPr>
          <w:rFonts w:ascii="Times New Roman" w:eastAsia="Times New Roman" w:hAnsi="Times New Roman" w:cs="Times New Roman"/>
          <w:sz w:val="24"/>
          <w:szCs w:val="24"/>
          <w:lang w:eastAsia="en-AU"/>
        </w:rPr>
        <w:t xml:space="preserve">, </w:t>
      </w:r>
      <w:r w:rsidR="00DE4154" w:rsidRPr="00DE4154">
        <w:rPr>
          <w:rFonts w:ascii="Times New Roman" w:eastAsia="Times New Roman" w:hAnsi="Times New Roman" w:cs="Times New Roman"/>
          <w:sz w:val="24"/>
          <w:szCs w:val="24"/>
          <w:lang w:eastAsia="en-AU"/>
        </w:rPr>
        <w:t>3,7-dimethyl-2,6-octadienal</w:t>
      </w:r>
      <w:r w:rsidR="00DE4154">
        <w:rPr>
          <w:rFonts w:ascii="Times New Roman" w:eastAsia="Times New Roman" w:hAnsi="Times New Roman" w:cs="Times New Roman"/>
          <w:sz w:val="24"/>
          <w:szCs w:val="24"/>
          <w:lang w:eastAsia="en-AU"/>
        </w:rPr>
        <w:t xml:space="preserve"> reaction products with ethanol, </w:t>
      </w:r>
      <w:r w:rsidR="00DE4154" w:rsidRPr="00DE4154">
        <w:rPr>
          <w:rFonts w:ascii="Times New Roman" w:eastAsia="Times New Roman" w:hAnsi="Times New Roman" w:cs="Times New Roman"/>
          <w:sz w:val="24"/>
          <w:szCs w:val="24"/>
          <w:lang w:eastAsia="en-AU"/>
        </w:rPr>
        <w:t>4-cyclohexyl-2-methyl-2-butanol</w:t>
      </w:r>
      <w:r w:rsidR="00DE4154">
        <w:rPr>
          <w:rFonts w:ascii="Times New Roman" w:eastAsia="Times New Roman" w:hAnsi="Times New Roman" w:cs="Times New Roman"/>
          <w:sz w:val="24"/>
          <w:szCs w:val="24"/>
          <w:lang w:eastAsia="en-AU"/>
        </w:rPr>
        <w:t>,</w:t>
      </w:r>
      <w:r w:rsidR="00DE4154" w:rsidRPr="00DE4154">
        <w:rPr>
          <w:rFonts w:ascii="Times New Roman" w:eastAsia="Times New Roman" w:hAnsi="Times New Roman" w:cs="Times New Roman"/>
          <w:sz w:val="24"/>
          <w:szCs w:val="24"/>
          <w:lang w:eastAsia="en-AU"/>
        </w:rPr>
        <w:t xml:space="preserve"> methyl 2,6,6-trimethylcyclohex-2-ene-1-carboxylate</w:t>
      </w:r>
      <w:r w:rsidR="00DE4154">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 xml:space="preserve">propan-1-ol were </w:t>
      </w:r>
      <w:r w:rsidRPr="007F3304">
        <w:rPr>
          <w:rFonts w:ascii="Times New Roman" w:eastAsia="Times New Roman" w:hAnsi="Times New Roman" w:cs="Times New Roman"/>
          <w:sz w:val="24"/>
          <w:szCs w:val="24"/>
          <w:lang w:eastAsia="en-AU"/>
        </w:rPr>
        <w:t>the subject of</w:t>
      </w:r>
      <w:r w:rsidR="00D3180C">
        <w:rPr>
          <w:rFonts w:ascii="Times New Roman" w:eastAsia="Times New Roman" w:hAnsi="Times New Roman" w:cs="Times New Roman"/>
          <w:sz w:val="24"/>
          <w:szCs w:val="24"/>
          <w:lang w:eastAsia="en-AU"/>
        </w:rPr>
        <w:t xml:space="preserve"> applications</w:t>
      </w:r>
      <w:r w:rsidRPr="007F3304">
        <w:rPr>
          <w:rFonts w:ascii="Times New Roman" w:eastAsia="Times New Roman" w:hAnsi="Times New Roman" w:cs="Times New Roman"/>
          <w:sz w:val="24"/>
          <w:szCs w:val="24"/>
          <w:lang w:eastAsia="en-AU"/>
        </w:rPr>
        <w:t xml:space="preserve"> to the Secretary </w:t>
      </w:r>
      <w:r w:rsidR="00092EDD">
        <w:rPr>
          <w:rFonts w:ascii="Times New Roman" w:eastAsia="Times New Roman" w:hAnsi="Times New Roman" w:cs="Times New Roman"/>
          <w:sz w:val="24"/>
          <w:szCs w:val="24"/>
          <w:lang w:eastAsia="en-AU"/>
        </w:rPr>
        <w:t>to authorise the use of those ingredients or to make certain changes to the terms of use of propan-1-ol.  The TGA engaged with those applicants in relation to those measures, in connection with those applications</w:t>
      </w:r>
      <w:r w:rsidRPr="007F330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406D5C54" w14:textId="4CAB6C16" w:rsidR="000A6A62" w:rsidRDefault="0002074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w:t>
      </w:r>
      <w:r w:rsidR="00DF6C2A">
        <w:rPr>
          <w:rFonts w:ascii="Times New Roman" w:eastAsia="Times New Roman" w:hAnsi="Times New Roman" w:cs="Times New Roman"/>
          <w:sz w:val="24"/>
          <w:szCs w:val="24"/>
          <w:lang w:eastAsia="en-AU"/>
        </w:rPr>
        <w:t xml:space="preserve">he TGA </w:t>
      </w:r>
      <w:r>
        <w:rPr>
          <w:rFonts w:ascii="Times New Roman" w:eastAsia="Times New Roman" w:hAnsi="Times New Roman" w:cs="Times New Roman"/>
          <w:sz w:val="24"/>
          <w:szCs w:val="24"/>
          <w:lang w:eastAsia="en-AU"/>
        </w:rPr>
        <w:t xml:space="preserve">published a </w:t>
      </w:r>
      <w:hyperlink r:id="rId9" w:history="1">
        <w:r w:rsidRPr="00F37123">
          <w:rPr>
            <w:rStyle w:val="Hyperlink"/>
            <w:rFonts w:ascii="Times New Roman" w:eastAsia="Times New Roman" w:hAnsi="Times New Roman" w:cs="Times New Roman"/>
            <w:sz w:val="24"/>
            <w:szCs w:val="24"/>
            <w:lang w:eastAsia="en-AU"/>
          </w:rPr>
          <w:t>public consultation</w:t>
        </w:r>
      </w:hyperlink>
      <w:r>
        <w:rPr>
          <w:rFonts w:ascii="Times New Roman" w:eastAsia="Times New Roman" w:hAnsi="Times New Roman" w:cs="Times New Roman"/>
          <w:sz w:val="24"/>
          <w:szCs w:val="24"/>
          <w:lang w:eastAsia="en-AU"/>
        </w:rPr>
        <w:t xml:space="preserve"> regarding proposed changes to the </w:t>
      </w:r>
      <w:r w:rsidR="00DF6C2A">
        <w:rPr>
          <w:rFonts w:ascii="Times New Roman" w:eastAsia="Times New Roman" w:hAnsi="Times New Roman" w:cs="Times New Roman"/>
          <w:sz w:val="24"/>
          <w:szCs w:val="24"/>
          <w:lang w:eastAsia="en-AU"/>
        </w:rPr>
        <w:t xml:space="preserve">requirements </w:t>
      </w:r>
      <w:r w:rsidR="00D3180C">
        <w:rPr>
          <w:rFonts w:ascii="Times New Roman" w:eastAsia="Times New Roman" w:hAnsi="Times New Roman" w:cs="Times New Roman"/>
          <w:sz w:val="24"/>
          <w:szCs w:val="24"/>
          <w:lang w:eastAsia="en-AU"/>
        </w:rPr>
        <w:t>for</w:t>
      </w:r>
      <w:r w:rsidR="00DF6C2A">
        <w:rPr>
          <w:rFonts w:ascii="Times New Roman" w:eastAsia="Times New Roman" w:hAnsi="Times New Roman" w:cs="Times New Roman"/>
          <w:sz w:val="24"/>
          <w:szCs w:val="24"/>
          <w:lang w:eastAsia="en-AU"/>
        </w:rPr>
        <w:t xml:space="preserve"> Boron, </w:t>
      </w:r>
      <w:r w:rsidR="00DF6C2A" w:rsidRPr="00020744">
        <w:rPr>
          <w:rFonts w:ascii="Times New Roman" w:eastAsia="Times New Roman" w:hAnsi="Times New Roman" w:cs="Times New Roman"/>
          <w:i/>
          <w:sz w:val="24"/>
          <w:szCs w:val="24"/>
          <w:lang w:eastAsia="en-AU"/>
        </w:rPr>
        <w:t>Withania somnifera</w:t>
      </w:r>
      <w:r w:rsidR="00DF6C2A">
        <w:rPr>
          <w:rFonts w:ascii="Times New Roman" w:eastAsia="Times New Roman" w:hAnsi="Times New Roman" w:cs="Times New Roman"/>
          <w:sz w:val="24"/>
          <w:szCs w:val="24"/>
          <w:lang w:eastAsia="en-AU"/>
        </w:rPr>
        <w:t xml:space="preserve">, </w:t>
      </w:r>
      <w:r w:rsidR="00DF6C2A" w:rsidRPr="00020744">
        <w:rPr>
          <w:rFonts w:ascii="Times New Roman" w:eastAsia="Times New Roman" w:hAnsi="Times New Roman" w:cs="Times New Roman"/>
          <w:i/>
          <w:sz w:val="24"/>
          <w:szCs w:val="24"/>
          <w:lang w:eastAsia="en-AU"/>
        </w:rPr>
        <w:t>Vitex agnus-castus</w:t>
      </w:r>
      <w:r w:rsidR="00DF6C2A">
        <w:rPr>
          <w:rFonts w:ascii="Times New Roman" w:eastAsia="Times New Roman" w:hAnsi="Times New Roman" w:cs="Times New Roman"/>
          <w:sz w:val="24"/>
          <w:szCs w:val="24"/>
          <w:lang w:eastAsia="en-AU"/>
        </w:rPr>
        <w:t xml:space="preserve">, </w:t>
      </w:r>
      <w:r w:rsidR="00055DF5" w:rsidRPr="00055DF5">
        <w:rPr>
          <w:rFonts w:ascii="Times New Roman" w:eastAsia="Times New Roman" w:hAnsi="Times New Roman" w:cs="Times New Roman"/>
          <w:sz w:val="24"/>
          <w:szCs w:val="24"/>
          <w:lang w:eastAsia="en-AU"/>
        </w:rPr>
        <w:t>4-(4-hydroxy-4-methylpentyl)-3-cyclohexene carboxaldehyde</w:t>
      </w:r>
      <w:r>
        <w:rPr>
          <w:rFonts w:ascii="Times New Roman" w:eastAsia="Times New Roman" w:hAnsi="Times New Roman" w:cs="Times New Roman"/>
          <w:sz w:val="24"/>
          <w:szCs w:val="24"/>
          <w:lang w:eastAsia="en-AU"/>
        </w:rPr>
        <w:t>,</w:t>
      </w:r>
      <w:r>
        <w:rPr>
          <w:rFonts w:ascii="Times New Roman" w:eastAsia="Times New Roman" w:hAnsi="Times New Roman" w:cs="Times New Roman"/>
          <w:i/>
          <w:sz w:val="24"/>
          <w:szCs w:val="24"/>
          <w:lang w:eastAsia="en-AU"/>
        </w:rPr>
        <w:t xml:space="preserve"> Malus pumila</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i/>
          <w:sz w:val="24"/>
          <w:szCs w:val="24"/>
          <w:lang w:eastAsia="en-AU"/>
        </w:rPr>
        <w:t>Cymbopogon</w:t>
      </w:r>
      <w:r>
        <w:rPr>
          <w:rFonts w:ascii="Times New Roman" w:eastAsia="Times New Roman" w:hAnsi="Times New Roman" w:cs="Times New Roman"/>
          <w:sz w:val="24"/>
          <w:szCs w:val="24"/>
          <w:lang w:eastAsia="en-AU"/>
        </w:rPr>
        <w:t xml:space="preserve"> species and psyllium-related ingredients</w:t>
      </w:r>
      <w:r w:rsidR="00DF6C2A">
        <w:rPr>
          <w:rFonts w:ascii="Times New Roman" w:eastAsia="Times New Roman" w:hAnsi="Times New Roman" w:cs="Times New Roman"/>
          <w:sz w:val="24"/>
          <w:szCs w:val="24"/>
          <w:lang w:eastAsia="en-AU"/>
        </w:rPr>
        <w:t xml:space="preserve"> </w:t>
      </w:r>
      <w:r w:rsidR="00EF617F">
        <w:rPr>
          <w:rFonts w:ascii="Times New Roman" w:eastAsia="Times New Roman" w:hAnsi="Times New Roman" w:cs="Times New Roman"/>
          <w:sz w:val="24"/>
          <w:szCs w:val="24"/>
          <w:lang w:eastAsia="en-AU"/>
        </w:rPr>
        <w:t xml:space="preserve">on 30 </w:t>
      </w:r>
      <w:r w:rsidR="00DF6C2A">
        <w:rPr>
          <w:rFonts w:ascii="Times New Roman" w:eastAsia="Times New Roman" w:hAnsi="Times New Roman" w:cs="Times New Roman"/>
          <w:sz w:val="24"/>
          <w:szCs w:val="24"/>
          <w:lang w:eastAsia="en-AU"/>
        </w:rPr>
        <w:t>August 2019</w:t>
      </w:r>
      <w:r w:rsidR="001160DE">
        <w:rPr>
          <w:rFonts w:ascii="Times New Roman" w:eastAsia="Times New Roman" w:hAnsi="Times New Roman" w:cs="Times New Roman"/>
          <w:sz w:val="24"/>
          <w:szCs w:val="24"/>
          <w:lang w:eastAsia="en-AU"/>
        </w:rPr>
        <w:t>, with feedback requested by 11 October 2019</w:t>
      </w:r>
      <w:r w:rsidR="00EF617F">
        <w:rPr>
          <w:rFonts w:ascii="Times New Roman" w:eastAsia="Times New Roman" w:hAnsi="Times New Roman" w:cs="Times New Roman"/>
          <w:sz w:val="24"/>
          <w:szCs w:val="24"/>
          <w:lang w:eastAsia="en-AU"/>
        </w:rPr>
        <w:t>.</w:t>
      </w:r>
      <w:r w:rsidR="00F37123">
        <w:rPr>
          <w:rFonts w:ascii="Times New Roman" w:eastAsia="Times New Roman" w:hAnsi="Times New Roman" w:cs="Times New Roman"/>
          <w:sz w:val="24"/>
          <w:szCs w:val="24"/>
          <w:lang w:eastAsia="en-AU"/>
        </w:rPr>
        <w:t xml:space="preserve"> Four</w:t>
      </w:r>
      <w:r w:rsidR="00027571">
        <w:rPr>
          <w:rFonts w:ascii="Times New Roman" w:eastAsia="Times New Roman" w:hAnsi="Times New Roman" w:cs="Times New Roman"/>
          <w:sz w:val="24"/>
          <w:szCs w:val="24"/>
          <w:lang w:eastAsia="en-AU"/>
        </w:rPr>
        <w:t xml:space="preserve"> consultation submission</w:t>
      </w:r>
      <w:r w:rsidR="00F37123">
        <w:rPr>
          <w:rFonts w:ascii="Times New Roman" w:eastAsia="Times New Roman" w:hAnsi="Times New Roman" w:cs="Times New Roman"/>
          <w:sz w:val="24"/>
          <w:szCs w:val="24"/>
          <w:lang w:eastAsia="en-AU"/>
        </w:rPr>
        <w:t>s</w:t>
      </w:r>
      <w:r w:rsidR="00027571">
        <w:rPr>
          <w:rFonts w:ascii="Times New Roman" w:eastAsia="Times New Roman" w:hAnsi="Times New Roman" w:cs="Times New Roman"/>
          <w:sz w:val="24"/>
          <w:szCs w:val="24"/>
          <w:lang w:eastAsia="en-AU"/>
        </w:rPr>
        <w:t xml:space="preserve"> were received. </w:t>
      </w:r>
      <w:r w:rsidR="00C15104">
        <w:rPr>
          <w:rFonts w:ascii="Times New Roman" w:eastAsia="Times New Roman" w:hAnsi="Times New Roman" w:cs="Times New Roman"/>
          <w:sz w:val="24"/>
          <w:szCs w:val="24"/>
          <w:lang w:eastAsia="en-AU"/>
        </w:rPr>
        <w:t>Some respondents supported the changes while others provided further safety information and requested the reconsideration of specific proposals and clarifications.</w:t>
      </w:r>
      <w:r>
        <w:rPr>
          <w:rFonts w:ascii="Times New Roman" w:eastAsia="Times New Roman" w:hAnsi="Times New Roman" w:cs="Times New Roman"/>
          <w:sz w:val="24"/>
          <w:szCs w:val="24"/>
          <w:lang w:eastAsia="en-AU"/>
        </w:rPr>
        <w:t xml:space="preserve"> </w:t>
      </w:r>
      <w:r w:rsidR="00DB1E17">
        <w:rPr>
          <w:rFonts w:ascii="Times New Roman" w:eastAsia="Times New Roman" w:hAnsi="Times New Roman" w:cs="Times New Roman"/>
          <w:sz w:val="24"/>
          <w:szCs w:val="24"/>
          <w:lang w:eastAsia="en-AU"/>
        </w:rPr>
        <w:t>A</w:t>
      </w:r>
      <w:r w:rsidR="00856471">
        <w:rPr>
          <w:rFonts w:ascii="Times New Roman" w:eastAsia="Times New Roman" w:hAnsi="Times New Roman" w:cs="Times New Roman"/>
          <w:sz w:val="24"/>
          <w:szCs w:val="24"/>
          <w:lang w:eastAsia="en-AU"/>
        </w:rPr>
        <w:t xml:space="preserve"> notice outlining the </w:t>
      </w:r>
      <w:hyperlink r:id="rId10" w:history="1">
        <w:r w:rsidR="00856471" w:rsidRPr="00F37123">
          <w:rPr>
            <w:rStyle w:val="Hyperlink"/>
            <w:rFonts w:ascii="Times New Roman" w:eastAsia="Times New Roman" w:hAnsi="Times New Roman" w:cs="Times New Roman"/>
            <w:sz w:val="24"/>
            <w:szCs w:val="24"/>
            <w:lang w:eastAsia="en-AU"/>
          </w:rPr>
          <w:t>final proposal</w:t>
        </w:r>
      </w:hyperlink>
      <w:r w:rsidR="00856471">
        <w:rPr>
          <w:rFonts w:ascii="Times New Roman" w:eastAsia="Times New Roman" w:hAnsi="Times New Roman" w:cs="Times New Roman"/>
          <w:sz w:val="24"/>
          <w:szCs w:val="24"/>
          <w:lang w:eastAsia="en-AU"/>
        </w:rPr>
        <w:t xml:space="preserve"> was published on 2 December 2019</w:t>
      </w:r>
      <w:r w:rsidR="001160DE">
        <w:rPr>
          <w:rFonts w:ascii="Times New Roman" w:eastAsia="Times New Roman" w:hAnsi="Times New Roman" w:cs="Times New Roman"/>
          <w:sz w:val="24"/>
          <w:szCs w:val="24"/>
          <w:lang w:eastAsia="en-AU"/>
        </w:rPr>
        <w:t xml:space="preserve">, with the proposal reflecting the </w:t>
      </w:r>
      <w:r w:rsidR="00DB1E17">
        <w:rPr>
          <w:rFonts w:ascii="Times New Roman" w:eastAsia="Times New Roman" w:hAnsi="Times New Roman" w:cs="Times New Roman"/>
          <w:sz w:val="24"/>
          <w:szCs w:val="24"/>
          <w:lang w:eastAsia="en-AU"/>
        </w:rPr>
        <w:t xml:space="preserve">TGA considerations and </w:t>
      </w:r>
      <w:r w:rsidR="001160DE">
        <w:rPr>
          <w:rFonts w:ascii="Times New Roman" w:eastAsia="Times New Roman" w:hAnsi="Times New Roman" w:cs="Times New Roman"/>
          <w:sz w:val="24"/>
          <w:szCs w:val="24"/>
          <w:lang w:eastAsia="en-AU"/>
        </w:rPr>
        <w:t>incorporation of feedback received</w:t>
      </w:r>
      <w:r w:rsidR="0085647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856471">
        <w:rPr>
          <w:rFonts w:ascii="Times New Roman" w:eastAsia="Times New Roman" w:hAnsi="Times New Roman" w:cs="Times New Roman"/>
          <w:sz w:val="24"/>
          <w:szCs w:val="24"/>
          <w:lang w:eastAsia="en-AU"/>
        </w:rPr>
        <w:t>In this notice, the TGA committed to implementing these changes by 2 March 2020.</w:t>
      </w:r>
      <w:r w:rsidR="006C704D">
        <w:rPr>
          <w:rFonts w:ascii="Times New Roman" w:eastAsia="Times New Roman" w:hAnsi="Times New Roman" w:cs="Times New Roman"/>
          <w:sz w:val="24"/>
          <w:szCs w:val="24"/>
          <w:lang w:eastAsia="en-AU"/>
        </w:rPr>
        <w:t xml:space="preserve"> </w:t>
      </w:r>
      <w:r w:rsidR="00D9710A">
        <w:rPr>
          <w:rFonts w:ascii="Times New Roman" w:eastAsia="Times New Roman" w:hAnsi="Times New Roman" w:cs="Times New Roman"/>
          <w:sz w:val="24"/>
          <w:szCs w:val="24"/>
          <w:lang w:eastAsia="en-AU"/>
        </w:rPr>
        <w:t xml:space="preserve">In addition, the TGA received </w:t>
      </w:r>
      <w:r w:rsidR="001160DE">
        <w:rPr>
          <w:rFonts w:ascii="Times New Roman" w:eastAsia="Times New Roman" w:hAnsi="Times New Roman" w:cs="Times New Roman"/>
          <w:sz w:val="24"/>
          <w:szCs w:val="24"/>
          <w:lang w:eastAsia="en-AU"/>
        </w:rPr>
        <w:t xml:space="preserve">further </w:t>
      </w:r>
      <w:r w:rsidR="00D9710A">
        <w:rPr>
          <w:rFonts w:ascii="Times New Roman" w:eastAsia="Times New Roman" w:hAnsi="Times New Roman" w:cs="Times New Roman"/>
          <w:sz w:val="24"/>
          <w:szCs w:val="24"/>
          <w:lang w:eastAsia="en-AU"/>
        </w:rPr>
        <w:t xml:space="preserve">feedback regarding boron and </w:t>
      </w:r>
      <w:r w:rsidR="00D9710A">
        <w:rPr>
          <w:rFonts w:ascii="Times New Roman" w:eastAsia="Times New Roman" w:hAnsi="Times New Roman" w:cs="Times New Roman"/>
          <w:i/>
          <w:sz w:val="24"/>
          <w:szCs w:val="24"/>
          <w:lang w:eastAsia="en-AU"/>
        </w:rPr>
        <w:t xml:space="preserve">Withania somnifera </w:t>
      </w:r>
      <w:r w:rsidR="00D9710A">
        <w:rPr>
          <w:rFonts w:ascii="Times New Roman" w:eastAsia="Times New Roman" w:hAnsi="Times New Roman" w:cs="Times New Roman"/>
          <w:sz w:val="24"/>
          <w:szCs w:val="24"/>
          <w:lang w:eastAsia="en-AU"/>
        </w:rPr>
        <w:t>following the publication of the final proposal</w:t>
      </w:r>
      <w:r w:rsidR="003A73A0">
        <w:rPr>
          <w:rFonts w:ascii="Times New Roman" w:eastAsia="Times New Roman" w:hAnsi="Times New Roman" w:cs="Times New Roman"/>
          <w:sz w:val="24"/>
          <w:szCs w:val="24"/>
          <w:lang w:eastAsia="en-AU"/>
        </w:rPr>
        <w:t xml:space="preserve"> notice</w:t>
      </w:r>
      <w:r w:rsidR="00D9710A">
        <w:rPr>
          <w:rFonts w:ascii="Times New Roman" w:eastAsia="Times New Roman" w:hAnsi="Times New Roman" w:cs="Times New Roman"/>
          <w:sz w:val="24"/>
          <w:szCs w:val="24"/>
          <w:lang w:eastAsia="en-AU"/>
        </w:rPr>
        <w:t xml:space="preserve">. In consideration of this additional feedback, the requirements for use of the ingredients outcome were </w:t>
      </w:r>
      <w:r w:rsidR="004028BD">
        <w:rPr>
          <w:rFonts w:ascii="Times New Roman" w:eastAsia="Times New Roman" w:hAnsi="Times New Roman" w:cs="Times New Roman"/>
          <w:sz w:val="24"/>
          <w:szCs w:val="24"/>
          <w:lang w:eastAsia="en-AU"/>
        </w:rPr>
        <w:t>revised</w:t>
      </w:r>
      <w:r w:rsidR="00DB1E17">
        <w:rPr>
          <w:rFonts w:ascii="Times New Roman" w:eastAsia="Times New Roman" w:hAnsi="Times New Roman" w:cs="Times New Roman"/>
          <w:sz w:val="24"/>
          <w:szCs w:val="24"/>
          <w:lang w:eastAsia="en-AU"/>
        </w:rPr>
        <w:t>. These revisions were supported by the stakeholders</w:t>
      </w:r>
      <w:r w:rsidR="00D9710A">
        <w:rPr>
          <w:rFonts w:ascii="Times New Roman" w:eastAsia="Times New Roman" w:hAnsi="Times New Roman" w:cs="Times New Roman"/>
          <w:sz w:val="24"/>
          <w:szCs w:val="24"/>
          <w:lang w:eastAsia="en-AU"/>
        </w:rPr>
        <w:t>.</w:t>
      </w:r>
    </w:p>
    <w:p w14:paraId="5EF30716" w14:textId="48424559" w:rsidR="003A73A0" w:rsidRDefault="004E03D6">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ingredient coumarin was identified as being used </w:t>
      </w:r>
      <w:r w:rsidR="00D3180C">
        <w:rPr>
          <w:rFonts w:ascii="Times New Roman" w:eastAsia="Times New Roman" w:hAnsi="Times New Roman" w:cs="Times New Roman"/>
          <w:sz w:val="24"/>
          <w:szCs w:val="24"/>
          <w:lang w:eastAsia="en-AU"/>
        </w:rPr>
        <w:t xml:space="preserve">as a fragrance </w:t>
      </w:r>
      <w:r>
        <w:rPr>
          <w:rFonts w:ascii="Times New Roman" w:eastAsia="Times New Roman" w:hAnsi="Times New Roman" w:cs="Times New Roman"/>
          <w:sz w:val="24"/>
          <w:szCs w:val="24"/>
          <w:lang w:eastAsia="en-AU"/>
        </w:rPr>
        <w:t xml:space="preserve">in sunscreen products during the 2017/2018 </w:t>
      </w:r>
      <w:hyperlink r:id="rId11" w:history="1">
        <w:r w:rsidRPr="004E03D6">
          <w:rPr>
            <w:rStyle w:val="Hyperlink"/>
            <w:rFonts w:ascii="Times New Roman" w:eastAsia="Times New Roman" w:hAnsi="Times New Roman" w:cs="Times New Roman"/>
            <w:sz w:val="24"/>
            <w:szCs w:val="24"/>
            <w:lang w:eastAsia="en-AU"/>
          </w:rPr>
          <w:t>review of listed sunscreen products</w:t>
        </w:r>
      </w:hyperlink>
      <w:r>
        <w:rPr>
          <w:rFonts w:ascii="Times New Roman" w:eastAsia="Times New Roman" w:hAnsi="Times New Roman" w:cs="Times New Roman"/>
          <w:sz w:val="24"/>
          <w:szCs w:val="24"/>
          <w:lang w:eastAsia="en-AU"/>
        </w:rPr>
        <w:t xml:space="preserve">. </w:t>
      </w:r>
      <w:r w:rsidR="003A73A0">
        <w:rPr>
          <w:rFonts w:ascii="Times New Roman" w:eastAsia="Times New Roman" w:hAnsi="Times New Roman" w:cs="Times New Roman"/>
          <w:sz w:val="24"/>
          <w:szCs w:val="24"/>
          <w:lang w:eastAsia="en-AU"/>
        </w:rPr>
        <w:t>As part of this review, t</w:t>
      </w:r>
      <w:r w:rsidR="00727228">
        <w:rPr>
          <w:rFonts w:ascii="Times New Roman" w:eastAsia="Times New Roman" w:hAnsi="Times New Roman" w:cs="Times New Roman"/>
          <w:sz w:val="24"/>
          <w:szCs w:val="24"/>
          <w:lang w:eastAsia="en-AU"/>
        </w:rPr>
        <w:t>he TGA conducted a preliminary review of the safety of coumarin</w:t>
      </w:r>
      <w:r w:rsidR="003A73A0">
        <w:rPr>
          <w:rFonts w:ascii="Times New Roman" w:eastAsia="Times New Roman" w:hAnsi="Times New Roman" w:cs="Times New Roman"/>
          <w:sz w:val="24"/>
          <w:szCs w:val="24"/>
          <w:lang w:eastAsia="en-AU"/>
        </w:rPr>
        <w:t>,</w:t>
      </w:r>
      <w:r w:rsidR="00727228">
        <w:rPr>
          <w:rFonts w:ascii="Times New Roman" w:eastAsia="Times New Roman" w:hAnsi="Times New Roman" w:cs="Times New Roman"/>
          <w:sz w:val="24"/>
          <w:szCs w:val="24"/>
          <w:lang w:eastAsia="en-AU"/>
        </w:rPr>
        <w:t xml:space="preserve"> and establish</w:t>
      </w:r>
      <w:r w:rsidR="00D3180C">
        <w:rPr>
          <w:rFonts w:ascii="Times New Roman" w:eastAsia="Times New Roman" w:hAnsi="Times New Roman" w:cs="Times New Roman"/>
          <w:sz w:val="24"/>
          <w:szCs w:val="24"/>
          <w:lang w:eastAsia="en-AU"/>
        </w:rPr>
        <w:t>ed</w:t>
      </w:r>
      <w:r w:rsidR="00727228">
        <w:rPr>
          <w:rFonts w:ascii="Times New Roman" w:eastAsia="Times New Roman" w:hAnsi="Times New Roman" w:cs="Times New Roman"/>
          <w:sz w:val="24"/>
          <w:szCs w:val="24"/>
          <w:lang w:eastAsia="en-AU"/>
        </w:rPr>
        <w:t xml:space="preserve"> that </w:t>
      </w:r>
      <w:r w:rsidR="00D3180C">
        <w:rPr>
          <w:rFonts w:ascii="Times New Roman" w:eastAsia="Times New Roman" w:hAnsi="Times New Roman" w:cs="Times New Roman"/>
          <w:sz w:val="24"/>
          <w:szCs w:val="24"/>
          <w:lang w:eastAsia="en-AU"/>
        </w:rPr>
        <w:t xml:space="preserve">there </w:t>
      </w:r>
      <w:r w:rsidR="006469D8">
        <w:rPr>
          <w:rFonts w:ascii="Times New Roman" w:eastAsia="Times New Roman" w:hAnsi="Times New Roman" w:cs="Times New Roman"/>
          <w:sz w:val="24"/>
          <w:szCs w:val="24"/>
          <w:lang w:eastAsia="en-AU"/>
        </w:rPr>
        <w:t xml:space="preserve">were </w:t>
      </w:r>
      <w:r w:rsidR="00D3180C">
        <w:rPr>
          <w:rFonts w:ascii="Times New Roman" w:eastAsia="Times New Roman" w:hAnsi="Times New Roman" w:cs="Times New Roman"/>
          <w:sz w:val="24"/>
          <w:szCs w:val="24"/>
          <w:lang w:eastAsia="en-AU"/>
        </w:rPr>
        <w:t xml:space="preserve">potential </w:t>
      </w:r>
      <w:r w:rsidR="00727228">
        <w:rPr>
          <w:rFonts w:ascii="Times New Roman" w:eastAsia="Times New Roman" w:hAnsi="Times New Roman" w:cs="Times New Roman"/>
          <w:sz w:val="24"/>
          <w:szCs w:val="24"/>
          <w:lang w:eastAsia="en-AU"/>
        </w:rPr>
        <w:t>safety concerns</w:t>
      </w:r>
      <w:r w:rsidR="003A73A0">
        <w:rPr>
          <w:rFonts w:ascii="Times New Roman" w:eastAsia="Times New Roman" w:hAnsi="Times New Roman" w:cs="Times New Roman"/>
          <w:sz w:val="24"/>
          <w:szCs w:val="24"/>
          <w:lang w:eastAsia="en-AU"/>
        </w:rPr>
        <w:t xml:space="preserve"> in relation to this substance</w:t>
      </w:r>
      <w:r w:rsidR="00727228">
        <w:rPr>
          <w:rFonts w:ascii="Times New Roman" w:eastAsia="Times New Roman" w:hAnsi="Times New Roman" w:cs="Times New Roman"/>
          <w:sz w:val="24"/>
          <w:szCs w:val="24"/>
          <w:lang w:eastAsia="en-AU"/>
        </w:rPr>
        <w:t xml:space="preserve">. </w:t>
      </w:r>
    </w:p>
    <w:p w14:paraId="5AC555AD" w14:textId="675E56E4" w:rsidR="00967425" w:rsidRDefault="00727228">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light of this, a detailed safety review was performed to consider whether coumarin </w:t>
      </w:r>
      <w:r w:rsidR="00D3180C">
        <w:rPr>
          <w:rFonts w:ascii="Times New Roman" w:eastAsia="Times New Roman" w:hAnsi="Times New Roman" w:cs="Times New Roman"/>
          <w:sz w:val="24"/>
          <w:szCs w:val="24"/>
          <w:lang w:eastAsia="en-AU"/>
        </w:rPr>
        <w:t xml:space="preserve">as an excipient </w:t>
      </w:r>
      <w:r>
        <w:rPr>
          <w:rFonts w:ascii="Times New Roman" w:eastAsia="Times New Roman" w:hAnsi="Times New Roman" w:cs="Times New Roman"/>
          <w:sz w:val="24"/>
          <w:szCs w:val="24"/>
          <w:lang w:eastAsia="en-AU"/>
        </w:rPr>
        <w:t xml:space="preserve">was appropriate in topical listed medicines. </w:t>
      </w:r>
      <w:r w:rsidR="00F37123">
        <w:rPr>
          <w:rFonts w:ascii="Times New Roman" w:eastAsia="Times New Roman" w:hAnsi="Times New Roman" w:cs="Times New Roman"/>
          <w:sz w:val="24"/>
          <w:szCs w:val="24"/>
          <w:lang w:eastAsia="en-AU"/>
        </w:rPr>
        <w:t>In March 2019, t</w:t>
      </w:r>
      <w:r w:rsidR="004E03D6">
        <w:rPr>
          <w:rFonts w:ascii="Times New Roman" w:eastAsia="Times New Roman" w:hAnsi="Times New Roman" w:cs="Times New Roman"/>
          <w:sz w:val="24"/>
          <w:szCs w:val="24"/>
          <w:lang w:eastAsia="en-AU"/>
        </w:rPr>
        <w:t>he TGA</w:t>
      </w:r>
      <w:r w:rsidR="00996D14">
        <w:rPr>
          <w:rFonts w:ascii="Times New Roman" w:eastAsia="Times New Roman" w:hAnsi="Times New Roman" w:cs="Times New Roman"/>
          <w:sz w:val="24"/>
          <w:szCs w:val="24"/>
          <w:lang w:eastAsia="en-AU"/>
        </w:rPr>
        <w:t xml:space="preserve"> sought comment on a preliminary draft of th</w:t>
      </w:r>
      <w:r w:rsidR="003A73A0">
        <w:rPr>
          <w:rFonts w:ascii="Times New Roman" w:eastAsia="Times New Roman" w:hAnsi="Times New Roman" w:cs="Times New Roman"/>
          <w:sz w:val="24"/>
          <w:szCs w:val="24"/>
          <w:lang w:eastAsia="en-AU"/>
        </w:rPr>
        <w:t>at</w:t>
      </w:r>
      <w:r w:rsidR="00996D14">
        <w:rPr>
          <w:rFonts w:ascii="Times New Roman" w:eastAsia="Times New Roman" w:hAnsi="Times New Roman" w:cs="Times New Roman"/>
          <w:sz w:val="24"/>
          <w:szCs w:val="24"/>
          <w:lang w:eastAsia="en-AU"/>
        </w:rPr>
        <w:t xml:space="preserve"> review from all affect</w:t>
      </w:r>
      <w:r w:rsidR="00D3180C">
        <w:rPr>
          <w:rFonts w:ascii="Times New Roman" w:eastAsia="Times New Roman" w:hAnsi="Times New Roman" w:cs="Times New Roman"/>
          <w:sz w:val="24"/>
          <w:szCs w:val="24"/>
          <w:lang w:eastAsia="en-AU"/>
        </w:rPr>
        <w:t>ed</w:t>
      </w:r>
      <w:r w:rsidR="00996D14">
        <w:rPr>
          <w:rFonts w:ascii="Times New Roman" w:eastAsia="Times New Roman" w:hAnsi="Times New Roman" w:cs="Times New Roman"/>
          <w:sz w:val="24"/>
          <w:szCs w:val="24"/>
          <w:lang w:eastAsia="en-AU"/>
        </w:rPr>
        <w:t xml:space="preserve"> listed medicine sponsors, </w:t>
      </w:r>
      <w:r w:rsidR="00D3180C">
        <w:rPr>
          <w:rFonts w:ascii="Times New Roman" w:eastAsia="Times New Roman" w:hAnsi="Times New Roman" w:cs="Times New Roman"/>
          <w:sz w:val="24"/>
          <w:szCs w:val="24"/>
          <w:lang w:eastAsia="en-AU"/>
        </w:rPr>
        <w:t xml:space="preserve">proprietary ingredient suppliers, relevant </w:t>
      </w:r>
      <w:r w:rsidR="00996D14">
        <w:rPr>
          <w:rFonts w:ascii="Times New Roman" w:eastAsia="Times New Roman" w:hAnsi="Times New Roman" w:cs="Times New Roman"/>
          <w:sz w:val="24"/>
          <w:szCs w:val="24"/>
          <w:lang w:eastAsia="en-AU"/>
        </w:rPr>
        <w:t xml:space="preserve">health professionals and </w:t>
      </w:r>
      <w:r w:rsidR="00D3180C">
        <w:rPr>
          <w:rFonts w:ascii="Times New Roman" w:eastAsia="Times New Roman" w:hAnsi="Times New Roman" w:cs="Times New Roman"/>
          <w:sz w:val="24"/>
          <w:szCs w:val="24"/>
          <w:lang w:eastAsia="en-AU"/>
        </w:rPr>
        <w:t xml:space="preserve">peak </w:t>
      </w:r>
      <w:r w:rsidR="00996D14">
        <w:rPr>
          <w:rFonts w:ascii="Times New Roman" w:eastAsia="Times New Roman" w:hAnsi="Times New Roman" w:cs="Times New Roman"/>
          <w:sz w:val="24"/>
          <w:szCs w:val="24"/>
          <w:lang w:eastAsia="en-AU"/>
        </w:rPr>
        <w:t>industry bodies</w:t>
      </w:r>
      <w:r w:rsidR="00D3180C">
        <w:rPr>
          <w:rFonts w:ascii="Times New Roman" w:eastAsia="Times New Roman" w:hAnsi="Times New Roman" w:cs="Times New Roman"/>
          <w:sz w:val="24"/>
          <w:szCs w:val="24"/>
          <w:lang w:eastAsia="en-AU"/>
        </w:rPr>
        <w:t xml:space="preserve"> Complementary Medicines Australia (CMA), Consumer Healthcare Products Australia (CHP Australia) and Accord</w:t>
      </w:r>
      <w:r w:rsidR="00996D14">
        <w:rPr>
          <w:rFonts w:ascii="Times New Roman" w:eastAsia="Times New Roman" w:hAnsi="Times New Roman" w:cs="Times New Roman"/>
          <w:sz w:val="24"/>
          <w:szCs w:val="24"/>
          <w:lang w:eastAsia="en-AU"/>
        </w:rPr>
        <w:t xml:space="preserve">. Seven responses were received, including 2 from health professionals which supported the preliminary findings and the remaining from industry bodies and sponsors which provided additional data for consideration. The TGA considered the additional data and incorporated </w:t>
      </w:r>
      <w:r w:rsidR="00D3180C">
        <w:rPr>
          <w:rFonts w:ascii="Times New Roman" w:eastAsia="Times New Roman" w:hAnsi="Times New Roman" w:cs="Times New Roman"/>
          <w:sz w:val="24"/>
          <w:szCs w:val="24"/>
          <w:lang w:eastAsia="en-AU"/>
        </w:rPr>
        <w:t xml:space="preserve">this </w:t>
      </w:r>
      <w:r w:rsidR="00996D14">
        <w:rPr>
          <w:rFonts w:ascii="Times New Roman" w:eastAsia="Times New Roman" w:hAnsi="Times New Roman" w:cs="Times New Roman"/>
          <w:sz w:val="24"/>
          <w:szCs w:val="24"/>
          <w:lang w:eastAsia="en-AU"/>
        </w:rPr>
        <w:t xml:space="preserve">into the final </w:t>
      </w:r>
      <w:hyperlink r:id="rId12" w:history="1">
        <w:r w:rsidR="00996D14" w:rsidRPr="00996D14">
          <w:rPr>
            <w:rStyle w:val="Hyperlink"/>
            <w:rFonts w:ascii="Times New Roman" w:eastAsia="Times New Roman" w:hAnsi="Times New Roman" w:cs="Times New Roman"/>
            <w:sz w:val="24"/>
            <w:szCs w:val="24"/>
            <w:lang w:eastAsia="en-AU"/>
          </w:rPr>
          <w:t>Safety review of coumarin in topical listed medicines</w:t>
        </w:r>
      </w:hyperlink>
      <w:r w:rsidR="00F37123">
        <w:rPr>
          <w:rStyle w:val="Hyperlink"/>
          <w:rFonts w:ascii="Times New Roman" w:eastAsia="Times New Roman" w:hAnsi="Times New Roman" w:cs="Times New Roman"/>
          <w:sz w:val="24"/>
          <w:szCs w:val="24"/>
          <w:lang w:eastAsia="en-AU"/>
        </w:rPr>
        <w:t>, which was published on 2 December 2019</w:t>
      </w:r>
      <w:r w:rsidR="00996D14">
        <w:rPr>
          <w:rFonts w:ascii="Times New Roman" w:eastAsia="Times New Roman" w:hAnsi="Times New Roman" w:cs="Times New Roman"/>
          <w:sz w:val="24"/>
          <w:szCs w:val="24"/>
          <w:lang w:eastAsia="en-AU"/>
        </w:rPr>
        <w:t>. The review enabled the TGA to establish appropriate requirements for the use of coumarin as an excipient in listed medicine and sunscreens. Sponsors of listed medicines which contain coumarin as an excipient that are not compliant with the requirements have been provided 12 months to bring their products into compliance.</w:t>
      </w:r>
    </w:p>
    <w:p w14:paraId="71C5634A" w14:textId="225DB0D8" w:rsidR="003E5AEA" w:rsidRPr="000011FE" w:rsidRDefault="003E5AEA">
      <w:pPr>
        <w:spacing w:before="100" w:beforeAutospacing="1" w:after="100" w:afterAutospacing="1"/>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OBPR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or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7A00BF75" w14:textId="77777777" w:rsidR="0050197A" w:rsidRPr="00B94E86" w:rsidRDefault="0050197A" w:rsidP="001F063F">
      <w:pPr>
        <w:keepNext/>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09BDDD8C"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53E90904"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The definitions of the pharmacopoeia in subsection 3(1) of the Act refer to the publications of each as in effect immediately before the commencement of the relevant definition in the Act, and to any subsequent amendments or editions. The intention in this Determination is therefore to adopt the defined meaning of the pharmacopoeia as set out in subsection 3(1) of the Act (an approach permitted by subsection 10(4) of the Act). That pharmacopoeia may be accessed from </w:t>
      </w:r>
      <w:hyperlink r:id="rId13"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4"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5"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2E0BD165" w14:textId="77777777" w:rsidR="0050197A" w:rsidRPr="00D35938"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6"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The intended manner of adoption of the FCC is also as it is in force or existing from time to time.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These Acts are available for free from </w:t>
      </w:r>
      <w:hyperlink r:id="rId17" w:history="1">
        <w:r w:rsidRPr="00BB66B5">
          <w:rPr>
            <w:rStyle w:val="Hyperlink"/>
            <w:rFonts w:ascii="Times New Roman" w:hAnsi="Times New Roman" w:cs="Times New Roman"/>
            <w:sz w:val="24"/>
            <w:szCs w:val="24"/>
          </w:rPr>
          <w:t>www.legislation.govt.nz/</w:t>
        </w:r>
      </w:hyperlink>
      <w:r>
        <w:rPr>
          <w:rStyle w:val="Hyperlink"/>
        </w:rPr>
        <w:t>.</w:t>
      </w:r>
    </w:p>
    <w:p w14:paraId="166CDB99" w14:textId="77777777" w:rsidR="0050197A" w:rsidRPr="00950D68" w:rsidRDefault="0050197A" w:rsidP="0034672A">
      <w:pPr>
        <w:spacing w:before="100" w:beforeAutospacing="1" w:after="100" w:afterAutospacing="1"/>
        <w:rPr>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 This document is available for free from</w:t>
      </w:r>
      <w:r w:rsidRPr="00CC73D8">
        <w:rPr>
          <w:rFonts w:ascii="Times New Roman" w:hAnsi="Times New Roman" w:cs="Times New Roman"/>
          <w:sz w:val="24"/>
          <w:szCs w:val="24"/>
          <w:lang w:eastAsia="en-AU"/>
        </w:rPr>
        <w:t xml:space="preserve"> </w:t>
      </w:r>
      <w:hyperlink r:id="rId18"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69313021" w14:textId="2F359116"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Pr="009C06D8">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350BBCA7" w14:textId="69F28153" w:rsidR="00E715AB" w:rsidRPr="00B13B06" w:rsidRDefault="00E715AB" w:rsidP="00E715AB">
      <w:pPr>
        <w:spacing w:before="120" w:line="240" w:lineRule="auto"/>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1F1060FE" w14:textId="6D02EC35" w:rsidR="0050197A" w:rsidRDefault="0050197A" w:rsidP="0034672A">
      <w:pPr>
        <w:spacing w:before="100" w:beforeAutospacing="1" w:after="100" w:afterAutospacing="1"/>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9"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5265C58B"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20"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w:t>
      </w:r>
      <w:r w:rsidRPr="00331C88">
        <w:rPr>
          <w:rFonts w:ascii="Times New Roman" w:hAnsi="Times New Roman" w:cs="Times New Roman"/>
          <w:sz w:val="24"/>
          <w:szCs w:val="24"/>
        </w:rPr>
        <w:lastRenderedPageBreak/>
        <w:t>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 </w:t>
      </w:r>
    </w:p>
    <w:p w14:paraId="25583419"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43D36B50"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4F8CA9DD" w14:textId="0CAB12E9" w:rsidR="0029115B" w:rsidRDefault="0050197A" w:rsidP="0034672A">
      <w:pPr>
        <w:spacing w:before="100" w:beforeAutospacing="1" w:after="100" w:afterAutospacing="1" w:line="240" w:lineRule="auto"/>
        <w:jc w:val="both"/>
        <w:rPr>
          <w:rFonts w:ascii="Times New Roman" w:eastAsia="Times New Roman" w:hAnsi="Times New Roman" w:cs="Times New Roman"/>
          <w:b/>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and commences </w:t>
      </w:r>
      <w:r w:rsidR="00F111D7">
        <w:rPr>
          <w:rFonts w:ascii="Times New Roman" w:hAnsi="Times New Roman" w:cs="Times New Roman"/>
          <w:sz w:val="24"/>
          <w:szCs w:val="24"/>
        </w:rPr>
        <w:t xml:space="preserve">on </w:t>
      </w:r>
      <w:r w:rsidR="009A1C10">
        <w:rPr>
          <w:rFonts w:ascii="Times New Roman" w:hAnsi="Times New Roman" w:cs="Times New Roman"/>
          <w:sz w:val="24"/>
          <w:szCs w:val="24"/>
        </w:rPr>
        <w:t>2</w:t>
      </w:r>
      <w:r w:rsidR="00F111D7">
        <w:rPr>
          <w:rFonts w:ascii="Times New Roman" w:hAnsi="Times New Roman" w:cs="Times New Roman"/>
          <w:sz w:val="24"/>
          <w:szCs w:val="24"/>
        </w:rPr>
        <w:t xml:space="preserve"> </w:t>
      </w:r>
      <w:r w:rsidR="009A1C10">
        <w:rPr>
          <w:rFonts w:ascii="Times New Roman" w:hAnsi="Times New Roman" w:cs="Times New Roman"/>
          <w:sz w:val="24"/>
          <w:szCs w:val="24"/>
        </w:rPr>
        <w:t>March</w:t>
      </w:r>
      <w:r w:rsidR="00F111D7">
        <w:rPr>
          <w:rFonts w:ascii="Times New Roman" w:hAnsi="Times New Roman" w:cs="Times New Roman"/>
          <w:sz w:val="24"/>
          <w:szCs w:val="24"/>
        </w:rPr>
        <w:t xml:space="preserve"> 2020</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37BAF27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9A1C10">
        <w:rPr>
          <w:rFonts w:ascii="Times New Roman" w:eastAsia="Times New Roman" w:hAnsi="Times New Roman" w:cs="Times New Roman"/>
          <w:b/>
          <w:i/>
          <w:sz w:val="24"/>
          <w:szCs w:val="24"/>
          <w:lang w:eastAsia="en-AU"/>
        </w:rPr>
        <w:t>1</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20</w:t>
      </w:r>
    </w:p>
    <w:p w14:paraId="351A8BA8" w14:textId="77777777" w:rsid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1 Name</w:t>
      </w:r>
    </w:p>
    <w:p w14:paraId="566C8079" w14:textId="5314ED9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9A1C10">
        <w:rPr>
          <w:rFonts w:ascii="Times New Roman" w:eastAsia="Times New Roman" w:hAnsi="Times New Roman" w:cs="Times New Roman"/>
          <w:i/>
          <w:sz w:val="24"/>
          <w:szCs w:val="24"/>
          <w:lang w:eastAsia="en-AU"/>
        </w:rPr>
        <w:t>1</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1B8996FF"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 Commencement</w:t>
      </w:r>
    </w:p>
    <w:p w14:paraId="087283D7" w14:textId="39A566D5" w:rsidR="0050197A" w:rsidRDefault="0050197A" w:rsidP="0050197A">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Determination </w:t>
      </w:r>
      <w:r w:rsidR="00FB4355">
        <w:rPr>
          <w:rFonts w:ascii="Times New Roman" w:eastAsia="Times New Roman" w:hAnsi="Times New Roman" w:cs="Times New Roman"/>
          <w:sz w:val="24"/>
          <w:szCs w:val="24"/>
          <w:lang w:eastAsia="en-AU"/>
        </w:rPr>
        <w:t xml:space="preserve">commences </w:t>
      </w:r>
      <w:r w:rsidR="00B830CE">
        <w:rPr>
          <w:rFonts w:ascii="Times New Roman" w:eastAsia="Times New Roman" w:hAnsi="Times New Roman" w:cs="Times New Roman"/>
          <w:sz w:val="24"/>
          <w:szCs w:val="24"/>
          <w:lang w:eastAsia="en-AU"/>
        </w:rPr>
        <w:t xml:space="preserve">on </w:t>
      </w:r>
      <w:r w:rsidR="009A1C10">
        <w:rPr>
          <w:rFonts w:ascii="Times New Roman" w:eastAsia="Times New Roman" w:hAnsi="Times New Roman" w:cs="Times New Roman"/>
          <w:sz w:val="24"/>
          <w:szCs w:val="24"/>
          <w:lang w:eastAsia="en-AU"/>
        </w:rPr>
        <w:t>2</w:t>
      </w:r>
      <w:r w:rsidR="00B830CE">
        <w:rPr>
          <w:rFonts w:ascii="Times New Roman" w:eastAsia="Times New Roman" w:hAnsi="Times New Roman" w:cs="Times New Roman"/>
          <w:sz w:val="24"/>
          <w:szCs w:val="24"/>
          <w:lang w:eastAsia="en-AU"/>
        </w:rPr>
        <w:t xml:space="preserve"> </w:t>
      </w:r>
      <w:r w:rsidR="009A1C10">
        <w:rPr>
          <w:rFonts w:ascii="Times New Roman" w:eastAsia="Times New Roman" w:hAnsi="Times New Roman" w:cs="Times New Roman"/>
          <w:sz w:val="24"/>
          <w:szCs w:val="24"/>
          <w:lang w:eastAsia="en-AU"/>
        </w:rPr>
        <w:t xml:space="preserve">March </w:t>
      </w:r>
      <w:r w:rsidR="00B830CE">
        <w:rPr>
          <w:rFonts w:ascii="Times New Roman" w:eastAsia="Times New Roman" w:hAnsi="Times New Roman" w:cs="Times New Roman"/>
          <w:sz w:val="24"/>
          <w:szCs w:val="24"/>
          <w:lang w:eastAsia="en-AU"/>
        </w:rPr>
        <w:t xml:space="preserve"> 2020</w:t>
      </w:r>
      <w:r w:rsidRPr="0022707A">
        <w:rPr>
          <w:rFonts w:ascii="Times New Roman" w:eastAsia="Times New Roman" w:hAnsi="Times New Roman" w:cs="Times New Roman"/>
          <w:sz w:val="24"/>
          <w:szCs w:val="24"/>
          <w:lang w:eastAsia="en-AU"/>
        </w:rPr>
        <w:t>.</w:t>
      </w:r>
    </w:p>
    <w:p w14:paraId="0EEDC031"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3 Authority</w:t>
      </w:r>
    </w:p>
    <w:p w14:paraId="51F2D730" w14:textId="7CF749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C363FE6" w14:textId="77777777" w:rsidR="0040312B" w:rsidRPr="00AE2E87"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Interpretation</w:t>
      </w:r>
    </w:p>
    <w:p w14:paraId="0D82FB5D" w14:textId="383CE956"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DCB529C" w14:textId="77777777"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783E573B" w14:textId="6B1AAD65" w:rsidR="00AE2E87"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‘Indications’ or ‘Product Warning’, and are not required to be included on the label of the medicine.</w:t>
      </w:r>
    </w:p>
    <w:p w14:paraId="0AA57C3B" w14:textId="77777777" w:rsidR="001B7ED3" w:rsidRPr="007B443E" w:rsidRDefault="001B7ED3" w:rsidP="001B7ED3">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Permissible ingredients </w:t>
      </w:r>
    </w:p>
    <w:p w14:paraId="099B9869"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ingredients specified in column 2 of the table in Schedule 1 to the Determination are specified for the purposes of paragraph 26BB(1)(a) of the Act. </w:t>
      </w:r>
    </w:p>
    <w:p w14:paraId="3132B7BB" w14:textId="77777777" w:rsidR="001B7ED3" w:rsidRPr="006B644D" w:rsidRDefault="001B7ED3" w:rsidP="001B7ED3">
      <w:pPr>
        <w:spacing w:before="240"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 Requirements in relation to permissible ingredients being contained in medicine</w:t>
      </w:r>
    </w:p>
    <w:p w14:paraId="01BF54A2"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for an ingredient mentioned in column 2 of an item in the table in Schedule 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p>
    <w:p w14:paraId="241E7A35" w14:textId="77777777" w:rsidR="001B7ED3" w:rsidRPr="007B443E" w:rsidRDefault="001B7ED3" w:rsidP="001B7ED3">
      <w:pPr>
        <w:keepNext/>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Repeals</w:t>
      </w:r>
    </w:p>
    <w:p w14:paraId="4043154E"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3AC09063" w14:textId="13D0598B" w:rsidR="00AE2E87" w:rsidRDefault="00AE2E87">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lastRenderedPageBreak/>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086FF46B" w14:textId="34C0F3D5" w:rsidR="00045C71" w:rsidRDefault="00CA2F70" w:rsidP="005F1175">
      <w:pPr>
        <w:spacing w:before="100" w:beforeAutospacing="1" w:after="100" w:afterAutospacing="1"/>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r>
        <w:rPr>
          <w:rFonts w:ascii="Times New Roman" w:eastAsia="Times New Roman" w:hAnsi="Times New Roman" w:cs="Times New Roman"/>
          <w:sz w:val="24"/>
          <w:szCs w:val="24"/>
          <w:lang w:eastAsia="en-AU"/>
        </w:rPr>
        <w:t xml:space="preserve"> </w:t>
      </w:r>
    </w:p>
    <w:p w14:paraId="023BE486" w14:textId="2EC5EE95" w:rsidR="00CA2F70" w:rsidRPr="00CA2F70" w:rsidRDefault="00CA2F70" w:rsidP="00CA2F70">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b/>
          <w:bCs/>
          <w:sz w:val="24"/>
          <w:szCs w:val="24"/>
          <w:lang w:eastAsia="en-AU"/>
        </w:rPr>
        <w:t>Schedule 2 – Repeals</w:t>
      </w:r>
    </w:p>
    <w:p w14:paraId="09B08BCF" w14:textId="1966CBF4" w:rsidR="00045C71" w:rsidRPr="00F111D7" w:rsidRDefault="00CA2F70" w:rsidP="00F111D7">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9A1C10">
        <w:rPr>
          <w:rFonts w:ascii="Times New Roman" w:eastAsia="Times New Roman" w:hAnsi="Times New Roman" w:cs="Times New Roman"/>
          <w:i/>
          <w:iCs/>
          <w:sz w:val="24"/>
          <w:szCs w:val="24"/>
          <w:lang w:eastAsia="en-AU"/>
        </w:rPr>
        <w:t>4</w:t>
      </w:r>
      <w:r w:rsidRPr="00CA2F70">
        <w:rPr>
          <w:rFonts w:ascii="Times New Roman" w:eastAsia="Times New Roman" w:hAnsi="Times New Roman" w:cs="Times New Roman"/>
          <w:i/>
          <w:iCs/>
          <w:sz w:val="24"/>
          <w:szCs w:val="24"/>
          <w:lang w:eastAsia="en-AU"/>
        </w:rPr>
        <w:t>) 2019.</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34672A">
      <w:pPr>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179A9C73"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9A1C10">
        <w:rPr>
          <w:rFonts w:ascii="Times New Roman" w:eastAsia="Times New Roman" w:hAnsi="Times New Roman" w:cs="Times New Roman"/>
          <w:b/>
          <w:i/>
          <w:sz w:val="24"/>
          <w:szCs w:val="24"/>
          <w:lang w:eastAsia="en-AU"/>
        </w:rPr>
        <w:t>1</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20</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77777777"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7C50AC9F"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9A1C10">
        <w:rPr>
          <w:rFonts w:ascii="Times New Roman" w:eastAsia="Times New Roman" w:hAnsi="Times New Roman" w:cs="Times New Roman"/>
          <w:i/>
          <w:sz w:val="24"/>
          <w:szCs w:val="24"/>
          <w:lang w:eastAsia="en-AU"/>
        </w:rPr>
        <w:t>1</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3DFB45E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also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9A1C10">
        <w:rPr>
          <w:rFonts w:ascii="Times New Roman" w:eastAsia="Times New Roman" w:hAnsi="Times New Roman" w:cs="Times New Roman"/>
          <w:i/>
          <w:iCs/>
          <w:sz w:val="24"/>
          <w:szCs w:val="24"/>
          <w:lang w:eastAsia="en-AU"/>
        </w:rPr>
        <w:t>4</w:t>
      </w:r>
      <w:r w:rsidRPr="00D731D4">
        <w:rPr>
          <w:rFonts w:ascii="Times New Roman" w:eastAsia="Times New Roman" w:hAnsi="Times New Roman" w:cs="Times New Roman"/>
          <w:i/>
          <w:iCs/>
          <w:sz w:val="24"/>
          <w:szCs w:val="24"/>
          <w:lang w:eastAsia="en-AU"/>
        </w:rPr>
        <w:t xml:space="preserve">) </w:t>
      </w:r>
      <w:r w:rsidRPr="00D731D4">
        <w:rPr>
          <w:rFonts w:ascii="Times New Roman" w:eastAsia="Times New Roman" w:hAnsi="Times New Roman" w:cs="Times New Roman"/>
          <w:sz w:val="24"/>
          <w:szCs w:val="24"/>
          <w:lang w:eastAsia="en-AU"/>
        </w:rPr>
        <w:t>2019 (“the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4E3871A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they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C210DB6"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320CED50"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Paragraphs 26AB(2)(d) and (e) set out equivalent certification requirements for applicants seeking marketing approval for an assessed listed medicine.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67EE0D69"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7FAED2B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 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B43AAE4" w14:textId="3B9B7374" w:rsidR="003A7110" w:rsidRDefault="00D731D4" w:rsidP="00D731D4">
      <w:pPr>
        <w:autoSpaceDE w:val="0"/>
        <w:autoSpaceDN w:val="0"/>
        <w:adjustRightInd w:val="0"/>
        <w:spacing w:after="0"/>
        <w:rPr>
          <w:rFonts w:ascii="Times New Roman" w:eastAsia="Times New Roman" w:hAnsi="Times New Roman" w:cs="Times New Roman"/>
          <w:sz w:val="24"/>
          <w:szCs w:val="24"/>
          <w:lang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5F1F9131" w14:textId="77777777" w:rsidR="00E50E9C" w:rsidRDefault="00E50E9C" w:rsidP="00E50E9C">
      <w:pPr>
        <w:pStyle w:val="ListParagraph"/>
        <w:numPr>
          <w:ilvl w:val="0"/>
          <w:numId w:val="11"/>
        </w:numPr>
        <w:spacing w:before="120" w:beforeAutospacing="0" w:after="120" w:afterAutospacing="0" w:line="276" w:lineRule="auto"/>
      </w:pPr>
      <w:r>
        <w:t>the introduction of 5 new ingredients for use in listed and assessed listed medicines, namely:</w:t>
      </w:r>
    </w:p>
    <w:p w14:paraId="5911F498" w14:textId="77777777" w:rsidR="00E50E9C" w:rsidRDefault="00E50E9C" w:rsidP="00E50E9C">
      <w:pPr>
        <w:pStyle w:val="ListParagraph"/>
        <w:numPr>
          <w:ilvl w:val="1"/>
          <w:numId w:val="11"/>
        </w:numPr>
        <w:spacing w:before="120" w:beforeAutospacing="0" w:after="120" w:afterAutospacing="0" w:line="276" w:lineRule="auto"/>
      </w:pPr>
      <w:r w:rsidRPr="00967425">
        <w:t>hydrogenated polydextrose</w:t>
      </w:r>
      <w:r>
        <w:t>;</w:t>
      </w:r>
    </w:p>
    <w:p w14:paraId="20E1455C" w14:textId="77777777" w:rsidR="00E50E9C" w:rsidRDefault="00E50E9C" w:rsidP="00E50E9C">
      <w:pPr>
        <w:pStyle w:val="ListParagraph"/>
        <w:numPr>
          <w:ilvl w:val="1"/>
          <w:numId w:val="11"/>
        </w:numPr>
        <w:spacing w:before="120" w:beforeAutospacing="0" w:after="120" w:afterAutospacing="0" w:line="276" w:lineRule="auto"/>
      </w:pPr>
      <w:r w:rsidRPr="00967425">
        <w:t>citrulline</w:t>
      </w:r>
      <w:r>
        <w:t>;</w:t>
      </w:r>
    </w:p>
    <w:p w14:paraId="7D2EA19A" w14:textId="77777777" w:rsidR="00E50E9C" w:rsidRDefault="00E50E9C" w:rsidP="00E50E9C">
      <w:pPr>
        <w:pStyle w:val="ListParagraph"/>
        <w:numPr>
          <w:ilvl w:val="1"/>
          <w:numId w:val="11"/>
        </w:numPr>
        <w:spacing w:before="120" w:beforeAutospacing="0" w:after="120" w:afterAutospacing="0" w:line="276" w:lineRule="auto"/>
      </w:pPr>
      <w:r w:rsidRPr="00967425">
        <w:t>3,7-dimethyl-2,6-octadienal reaction products with ethanol</w:t>
      </w:r>
      <w:r>
        <w:t>;</w:t>
      </w:r>
    </w:p>
    <w:p w14:paraId="00FA8038" w14:textId="77777777" w:rsidR="00E50E9C" w:rsidRDefault="00E50E9C" w:rsidP="00E50E9C">
      <w:pPr>
        <w:pStyle w:val="ListParagraph"/>
        <w:numPr>
          <w:ilvl w:val="1"/>
          <w:numId w:val="11"/>
        </w:numPr>
        <w:spacing w:before="120" w:beforeAutospacing="0" w:after="120" w:afterAutospacing="0" w:line="276" w:lineRule="auto"/>
      </w:pPr>
      <w:r w:rsidRPr="00967425">
        <w:t>4-cyclohexyl-2-methyl-2-butanol</w:t>
      </w:r>
      <w:r>
        <w:t>; and</w:t>
      </w:r>
    </w:p>
    <w:p w14:paraId="25158DC8" w14:textId="77777777" w:rsidR="00E50E9C" w:rsidRDefault="00E50E9C" w:rsidP="00E50E9C">
      <w:pPr>
        <w:pStyle w:val="ListParagraph"/>
        <w:numPr>
          <w:ilvl w:val="1"/>
          <w:numId w:val="11"/>
        </w:numPr>
        <w:spacing w:before="120" w:beforeAutospacing="0" w:after="120" w:afterAutospacing="0" w:line="276" w:lineRule="auto"/>
      </w:pPr>
      <w:r w:rsidRPr="00967425">
        <w:t>methyl 2,6,6-trimethylcyclohex-2-ene-1-carboxylate</w:t>
      </w:r>
      <w:r>
        <w:t>;</w:t>
      </w:r>
    </w:p>
    <w:p w14:paraId="46ECF64B" w14:textId="77777777" w:rsidR="00E50E9C" w:rsidRDefault="00E50E9C" w:rsidP="00E50E9C">
      <w:pPr>
        <w:pStyle w:val="ListParagraph"/>
        <w:numPr>
          <w:ilvl w:val="0"/>
          <w:numId w:val="11"/>
        </w:numPr>
        <w:spacing w:before="120" w:beforeAutospacing="0" w:after="120" w:afterAutospacing="0" w:line="276" w:lineRule="auto"/>
        <w:ind w:left="714" w:hanging="357"/>
      </w:pPr>
      <w:r>
        <w:t>minor changes to reduce regulatory burden in relation to the use of the ingredient propan-1-ol as a fragrance;</w:t>
      </w:r>
    </w:p>
    <w:p w14:paraId="0BB168EA" w14:textId="77777777" w:rsidR="00E50E9C" w:rsidRDefault="00E50E9C" w:rsidP="00E50E9C">
      <w:pPr>
        <w:pStyle w:val="ListParagraph"/>
        <w:numPr>
          <w:ilvl w:val="0"/>
          <w:numId w:val="11"/>
        </w:numPr>
        <w:spacing w:before="120" w:beforeAutospacing="0" w:after="120" w:afterAutospacing="0" w:line="276" w:lineRule="auto"/>
        <w:ind w:left="714" w:hanging="357"/>
      </w:pPr>
      <w:r>
        <w:t xml:space="preserve">changes to 24 ingredients following </w:t>
      </w:r>
      <w:hyperlink r:id="rId21" w:history="1">
        <w:r w:rsidRPr="00D3180C">
          <w:rPr>
            <w:rStyle w:val="Hyperlink"/>
          </w:rPr>
          <w:t>public consultation</w:t>
        </w:r>
      </w:hyperlink>
      <w:r>
        <w:t>, including:</w:t>
      </w:r>
    </w:p>
    <w:p w14:paraId="301283B8" w14:textId="77777777" w:rsidR="00E50E9C" w:rsidRDefault="00E50E9C" w:rsidP="00E50E9C">
      <w:pPr>
        <w:pStyle w:val="ListParagraph"/>
        <w:numPr>
          <w:ilvl w:val="1"/>
          <w:numId w:val="11"/>
        </w:numPr>
        <w:spacing w:before="120" w:beforeAutospacing="0" w:after="120" w:afterAutospacing="0" w:line="276" w:lineRule="auto"/>
      </w:pPr>
      <w:r>
        <w:lastRenderedPageBreak/>
        <w:t>the introduction of new warning statements for 4 ingredients containing boron following concerns about such ingredients reported by the European Medicines Agency;</w:t>
      </w:r>
    </w:p>
    <w:p w14:paraId="5153F1D9" w14:textId="77777777" w:rsidR="00E50E9C" w:rsidRDefault="00E50E9C" w:rsidP="00E50E9C">
      <w:pPr>
        <w:pStyle w:val="ListParagraph"/>
        <w:numPr>
          <w:ilvl w:val="1"/>
          <w:numId w:val="11"/>
        </w:numPr>
        <w:spacing w:before="120" w:beforeAutospacing="0" w:after="120" w:afterAutospacing="0" w:line="276" w:lineRule="auto"/>
      </w:pPr>
      <w:r>
        <w:t xml:space="preserve">introducing a new warning statement for the ingredient </w:t>
      </w:r>
      <w:r>
        <w:rPr>
          <w:i/>
        </w:rPr>
        <w:t xml:space="preserve">Withania somnifera </w:t>
      </w:r>
      <w:r>
        <w:t>regarding its use during pregnancy where the ingredient is other than a hydro-alcoholic extract</w:t>
      </w:r>
      <w:r w:rsidRPr="00781FEC">
        <w:t xml:space="preserve"> equivalent to 12</w:t>
      </w:r>
      <w:r>
        <w:t xml:space="preserve"> </w:t>
      </w:r>
      <w:r w:rsidRPr="00781FEC">
        <w:t xml:space="preserve">g </w:t>
      </w:r>
      <w:r w:rsidRPr="00E50E9C">
        <w:rPr>
          <w:i/>
        </w:rPr>
        <w:t>Withania somnifera</w:t>
      </w:r>
      <w:r>
        <w:t xml:space="preserve"> root, as aligned with a 2015 study investigating prenatal development safety by Prabu &amp; Panchapakesan published in the journal ‘Drug and Chemical Toxicology’;</w:t>
      </w:r>
    </w:p>
    <w:p w14:paraId="1C720107" w14:textId="77777777" w:rsidR="00E50E9C" w:rsidRDefault="00E50E9C" w:rsidP="00E50E9C">
      <w:pPr>
        <w:pStyle w:val="ListParagraph"/>
        <w:numPr>
          <w:ilvl w:val="1"/>
          <w:numId w:val="11"/>
        </w:numPr>
        <w:spacing w:before="120" w:beforeAutospacing="0" w:after="120" w:afterAutospacing="0" w:line="276" w:lineRule="auto"/>
      </w:pPr>
      <w:r>
        <w:t xml:space="preserve">introducing a new warning statement for the ingredient </w:t>
      </w:r>
      <w:r>
        <w:rPr>
          <w:i/>
        </w:rPr>
        <w:t>Vitex agnus-castus</w:t>
      </w:r>
      <w:r>
        <w:t>, related to its interaction with other medicines;</w:t>
      </w:r>
    </w:p>
    <w:p w14:paraId="5C9E324C" w14:textId="77777777" w:rsidR="00E50E9C" w:rsidRDefault="00E50E9C" w:rsidP="00E50E9C">
      <w:pPr>
        <w:pStyle w:val="ListParagraph"/>
        <w:numPr>
          <w:ilvl w:val="1"/>
          <w:numId w:val="11"/>
        </w:numPr>
        <w:spacing w:before="120" w:beforeAutospacing="0" w:after="120" w:afterAutospacing="0" w:line="276" w:lineRule="auto"/>
      </w:pPr>
      <w:r>
        <w:t>introducing a new requirement that the ingredient ‘</w:t>
      </w:r>
      <w:r w:rsidRPr="00632471">
        <w:t>4-(4-hydroxy-4-methylpentyl)-3-cyclohexene carboxaldehyde</w:t>
      </w:r>
      <w:r>
        <w:t>’ not be used in any new medicines, and not used in any listed or assessed listed medicines after 2 March 2021, as it is a skin sensitiser and can cause allergic contact dermatitis;</w:t>
      </w:r>
    </w:p>
    <w:p w14:paraId="3BFC75C3" w14:textId="77777777" w:rsidR="00E50E9C" w:rsidRDefault="00E50E9C" w:rsidP="00E50E9C">
      <w:pPr>
        <w:pStyle w:val="ListParagraph"/>
        <w:numPr>
          <w:ilvl w:val="0"/>
          <w:numId w:val="11"/>
        </w:numPr>
        <w:spacing w:before="120" w:beforeAutospacing="0" w:after="120" w:afterAutospacing="0" w:line="276" w:lineRule="auto"/>
        <w:ind w:left="714" w:hanging="357"/>
      </w:pPr>
      <w:r>
        <w:t>changes to the ingredient coumarin, which provide permission and requirements for its use a fragrance in topical products following a review;</w:t>
      </w:r>
    </w:p>
    <w:p w14:paraId="5F3E7FBF" w14:textId="77777777" w:rsidR="00E50E9C" w:rsidRDefault="00E50E9C" w:rsidP="00E50E9C">
      <w:pPr>
        <w:pStyle w:val="ListParagraph"/>
        <w:numPr>
          <w:ilvl w:val="0"/>
          <w:numId w:val="11"/>
        </w:numPr>
        <w:spacing w:before="120" w:beforeAutospacing="0" w:after="120" w:afterAutospacing="0" w:line="276" w:lineRule="auto"/>
        <w:ind w:left="714" w:hanging="357"/>
      </w:pPr>
      <w:r>
        <w:t xml:space="preserve">minor clarification of the requirements for 32 ingredients used as colours to specify that all oral routes of administration, including dental use, are permitted; </w:t>
      </w:r>
    </w:p>
    <w:p w14:paraId="024EB6F8" w14:textId="77777777" w:rsidR="00E50E9C" w:rsidRDefault="00E50E9C" w:rsidP="000D444D">
      <w:pPr>
        <w:pStyle w:val="ListParagraph"/>
        <w:numPr>
          <w:ilvl w:val="0"/>
          <w:numId w:val="11"/>
        </w:numPr>
        <w:spacing w:before="120" w:beforeAutospacing="0" w:after="120" w:afterAutospacing="0" w:line="276" w:lineRule="auto"/>
        <w:ind w:left="714" w:hanging="357"/>
      </w:pPr>
      <w:r>
        <w:t>removal of expired transition period provisions for 44 ingredients</w:t>
      </w:r>
    </w:p>
    <w:p w14:paraId="59C81C1F" w14:textId="7986F223" w:rsidR="00FC394E" w:rsidRDefault="00E50E9C" w:rsidP="000D444D">
      <w:pPr>
        <w:pStyle w:val="ListParagraph"/>
        <w:numPr>
          <w:ilvl w:val="0"/>
          <w:numId w:val="11"/>
        </w:numPr>
        <w:spacing w:before="120" w:beforeAutospacing="0" w:after="120" w:afterAutospacing="0" w:line="276" w:lineRule="auto"/>
        <w:ind w:left="714" w:hanging="357"/>
      </w:pPr>
      <w:r>
        <w:t>removal of one ingredient (oakmoss), as it is a synonym of another ingredient already available for the same use (oakmoss absolute). A search of the Register on 6 February 2019 reported that there are no listed medicines with a formulation including oakmoss.</w:t>
      </w:r>
    </w:p>
    <w:p w14:paraId="72EE7DAE" w14:textId="77777777" w:rsidR="00E50E9C" w:rsidRDefault="00E50E9C" w:rsidP="00720518">
      <w:pPr>
        <w:spacing w:after="0"/>
        <w:rPr>
          <w:rFonts w:ascii="Times New Roman" w:eastAsia="Times New Roman" w:hAnsi="Times New Roman" w:cs="Times New Roman"/>
          <w:b/>
          <w:bCs/>
          <w:sz w:val="24"/>
          <w:szCs w:val="24"/>
          <w:lang w:eastAsia="en-AU"/>
        </w:rPr>
      </w:pPr>
    </w:p>
    <w:p w14:paraId="685A0A7D" w14:textId="1647C11C"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1F8E43D7"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77777777"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w:t>
      </w:r>
      <w:r w:rsidRPr="00DD5F7F">
        <w:rPr>
          <w:rFonts w:ascii="Times New Roman" w:hAnsi="Times New Roman" w:cs="Times New Roman"/>
          <w:sz w:val="24"/>
          <w:szCs w:val="24"/>
        </w:rPr>
        <w:lastRenderedPageBreak/>
        <w:t>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510EB5">
      <w:pPr>
        <w:spacing w:after="0"/>
        <w:contextualSpacing/>
        <w:rPr>
          <w:rFonts w:ascii="Times New Roman" w:eastAsia="Times New Roman" w:hAnsi="Times New Roman" w:cs="Times New Roman"/>
          <w:sz w:val="24"/>
          <w:szCs w:val="24"/>
          <w:lang w:eastAsia="en-AU"/>
        </w:rPr>
      </w:pPr>
    </w:p>
    <w:p w14:paraId="04806E92" w14:textId="77777777" w:rsidR="00EF1F18" w:rsidRPr="00A419EA" w:rsidRDefault="00EF1F18" w:rsidP="00720518">
      <w:pPr>
        <w:keepNext/>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14:paraId="4E1E7F6D" w14:textId="77777777" w:rsidR="00EF1F18" w:rsidRPr="0034672A" w:rsidRDefault="00EF1F18" w:rsidP="0034672A">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030B4EC5" w14:textId="77777777" w:rsidR="004761AE" w:rsidRDefault="004761AE">
      <w:pPr>
        <w:spacing w:before="120" w:after="120"/>
        <w:rPr>
          <w:rFonts w:ascii="Times New Roman" w:eastAsia="Times New Roman" w:hAnsi="Times New Roman" w:cs="Times New Roman"/>
          <w:b/>
          <w:bCs/>
          <w:sz w:val="24"/>
          <w:szCs w:val="24"/>
          <w:lang w:eastAsia="en-AU"/>
        </w:rPr>
      </w:pPr>
    </w:p>
    <w:p w14:paraId="63D98AB2" w14:textId="77777777" w:rsidR="008C0845" w:rsidRDefault="00E36564">
      <w:pPr>
        <w:spacing w:before="120" w:after="120"/>
      </w:pPr>
      <w:r>
        <w:rPr>
          <w:rFonts w:ascii="Times New Roman" w:eastAsia="Times New Roman" w:hAnsi="Times New Roman" w:cs="Times New Roman"/>
          <w:b/>
          <w:bCs/>
          <w:sz w:val="24"/>
          <w:szCs w:val="24"/>
          <w:lang w:eastAsia="en-AU"/>
        </w:rPr>
        <w:t>Cheryl McRae</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bookmarkStart w:id="0" w:name="_GoBack"/>
      <w:bookmarkEnd w:id="0"/>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740B2A" w:rsidRDefault="00740B2A" w:rsidP="008939B1">
      <w:pPr>
        <w:spacing w:after="0" w:line="240" w:lineRule="auto"/>
      </w:pPr>
      <w:r>
        <w:separator/>
      </w:r>
    </w:p>
  </w:endnote>
  <w:endnote w:type="continuationSeparator" w:id="0">
    <w:p w14:paraId="5911F7C5" w14:textId="77777777" w:rsidR="00740B2A" w:rsidRDefault="00740B2A"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740B2A" w:rsidRDefault="00740B2A" w:rsidP="008939B1">
      <w:pPr>
        <w:spacing w:after="0" w:line="240" w:lineRule="auto"/>
      </w:pPr>
      <w:r>
        <w:separator/>
      </w:r>
    </w:p>
  </w:footnote>
  <w:footnote w:type="continuationSeparator" w:id="0">
    <w:p w14:paraId="15FEDFBC" w14:textId="77777777" w:rsidR="00740B2A" w:rsidRDefault="00740B2A" w:rsidP="0089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762D3"/>
    <w:multiLevelType w:val="hybridMultilevel"/>
    <w:tmpl w:val="0C74F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0"/>
  </w:num>
  <w:num w:numId="5">
    <w:abstractNumId w:val="3"/>
  </w:num>
  <w:num w:numId="6">
    <w:abstractNumId w:val="6"/>
  </w:num>
  <w:num w:numId="7">
    <w:abstractNumId w:val="10"/>
  </w:num>
  <w:num w:numId="8">
    <w:abstractNumId w:val="9"/>
  </w:num>
  <w:num w:numId="9">
    <w:abstractNumId w:val="4"/>
  </w:num>
  <w:num w:numId="10">
    <w:abstractNumId w:val="7"/>
  </w:num>
  <w:num w:numId="11">
    <w:abstractNumId w:val="8"/>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0508"/>
    <w:rsid w:val="000011FE"/>
    <w:rsid w:val="00005653"/>
    <w:rsid w:val="00007539"/>
    <w:rsid w:val="00014A86"/>
    <w:rsid w:val="00020744"/>
    <w:rsid w:val="000253EC"/>
    <w:rsid w:val="00027571"/>
    <w:rsid w:val="00042274"/>
    <w:rsid w:val="00045C71"/>
    <w:rsid w:val="00050B0F"/>
    <w:rsid w:val="00055505"/>
    <w:rsid w:val="00055DF5"/>
    <w:rsid w:val="0006051F"/>
    <w:rsid w:val="00066B2F"/>
    <w:rsid w:val="00066CCA"/>
    <w:rsid w:val="00072A36"/>
    <w:rsid w:val="00073166"/>
    <w:rsid w:val="00073AFE"/>
    <w:rsid w:val="000743AA"/>
    <w:rsid w:val="000805C8"/>
    <w:rsid w:val="00082CAB"/>
    <w:rsid w:val="00083EC1"/>
    <w:rsid w:val="00092EDD"/>
    <w:rsid w:val="0009412D"/>
    <w:rsid w:val="000A6A62"/>
    <w:rsid w:val="000A7327"/>
    <w:rsid w:val="000C363D"/>
    <w:rsid w:val="000D3185"/>
    <w:rsid w:val="000D444D"/>
    <w:rsid w:val="000D45A0"/>
    <w:rsid w:val="000D4786"/>
    <w:rsid w:val="000E1C1C"/>
    <w:rsid w:val="000E3020"/>
    <w:rsid w:val="000F4D51"/>
    <w:rsid w:val="000F7DDF"/>
    <w:rsid w:val="00113AE2"/>
    <w:rsid w:val="001160DE"/>
    <w:rsid w:val="00123510"/>
    <w:rsid w:val="001260D9"/>
    <w:rsid w:val="0013266B"/>
    <w:rsid w:val="0013620C"/>
    <w:rsid w:val="00142FE8"/>
    <w:rsid w:val="00143BEC"/>
    <w:rsid w:val="00145ED6"/>
    <w:rsid w:val="00151C11"/>
    <w:rsid w:val="0015421F"/>
    <w:rsid w:val="00180117"/>
    <w:rsid w:val="00187288"/>
    <w:rsid w:val="00187B3D"/>
    <w:rsid w:val="00192658"/>
    <w:rsid w:val="0019281D"/>
    <w:rsid w:val="00197C3F"/>
    <w:rsid w:val="001A1891"/>
    <w:rsid w:val="001B7ED3"/>
    <w:rsid w:val="001C38AF"/>
    <w:rsid w:val="001C5A13"/>
    <w:rsid w:val="001D15A8"/>
    <w:rsid w:val="001D3782"/>
    <w:rsid w:val="001D5FD1"/>
    <w:rsid w:val="001D6B26"/>
    <w:rsid w:val="001D75F6"/>
    <w:rsid w:val="001E00EE"/>
    <w:rsid w:val="001F063F"/>
    <w:rsid w:val="001F1830"/>
    <w:rsid w:val="001F626E"/>
    <w:rsid w:val="0020180F"/>
    <w:rsid w:val="00201DC1"/>
    <w:rsid w:val="00202641"/>
    <w:rsid w:val="0020404A"/>
    <w:rsid w:val="00207B8A"/>
    <w:rsid w:val="00210E3C"/>
    <w:rsid w:val="00216B37"/>
    <w:rsid w:val="00226F3C"/>
    <w:rsid w:val="002323CF"/>
    <w:rsid w:val="00232972"/>
    <w:rsid w:val="00236ECD"/>
    <w:rsid w:val="0023720D"/>
    <w:rsid w:val="002374AC"/>
    <w:rsid w:val="00254970"/>
    <w:rsid w:val="0025627C"/>
    <w:rsid w:val="0025799D"/>
    <w:rsid w:val="0026142F"/>
    <w:rsid w:val="00272FA2"/>
    <w:rsid w:val="002751D3"/>
    <w:rsid w:val="00275D92"/>
    <w:rsid w:val="00284FF6"/>
    <w:rsid w:val="00285CFE"/>
    <w:rsid w:val="00287D9F"/>
    <w:rsid w:val="0029115B"/>
    <w:rsid w:val="00293C0C"/>
    <w:rsid w:val="002968E0"/>
    <w:rsid w:val="0029743B"/>
    <w:rsid w:val="00297C07"/>
    <w:rsid w:val="002B741E"/>
    <w:rsid w:val="002B7A34"/>
    <w:rsid w:val="002C1322"/>
    <w:rsid w:val="002C4652"/>
    <w:rsid w:val="002D1160"/>
    <w:rsid w:val="002D3CD4"/>
    <w:rsid w:val="002D67DA"/>
    <w:rsid w:val="002E6160"/>
    <w:rsid w:val="002F5583"/>
    <w:rsid w:val="002F6548"/>
    <w:rsid w:val="00316B98"/>
    <w:rsid w:val="00322EC3"/>
    <w:rsid w:val="0032369E"/>
    <w:rsid w:val="003260F5"/>
    <w:rsid w:val="003307B8"/>
    <w:rsid w:val="003327D3"/>
    <w:rsid w:val="00337FDB"/>
    <w:rsid w:val="00340F3C"/>
    <w:rsid w:val="00345822"/>
    <w:rsid w:val="0034672A"/>
    <w:rsid w:val="003650CC"/>
    <w:rsid w:val="003811C0"/>
    <w:rsid w:val="0038203D"/>
    <w:rsid w:val="003A0BFB"/>
    <w:rsid w:val="003A20C5"/>
    <w:rsid w:val="003A2811"/>
    <w:rsid w:val="003A3E75"/>
    <w:rsid w:val="003A4D8C"/>
    <w:rsid w:val="003A59EA"/>
    <w:rsid w:val="003A7110"/>
    <w:rsid w:val="003A73A0"/>
    <w:rsid w:val="003B4F23"/>
    <w:rsid w:val="003B7DAB"/>
    <w:rsid w:val="003C6D6E"/>
    <w:rsid w:val="003C7446"/>
    <w:rsid w:val="003D610C"/>
    <w:rsid w:val="003E5AEA"/>
    <w:rsid w:val="003F01C5"/>
    <w:rsid w:val="004028BD"/>
    <w:rsid w:val="00402AD7"/>
    <w:rsid w:val="0040312B"/>
    <w:rsid w:val="004031E5"/>
    <w:rsid w:val="00403263"/>
    <w:rsid w:val="0040482D"/>
    <w:rsid w:val="00406749"/>
    <w:rsid w:val="00410EC3"/>
    <w:rsid w:val="00414CD9"/>
    <w:rsid w:val="00424E87"/>
    <w:rsid w:val="0042665D"/>
    <w:rsid w:val="004325B5"/>
    <w:rsid w:val="00432CF7"/>
    <w:rsid w:val="00437C00"/>
    <w:rsid w:val="00437C42"/>
    <w:rsid w:val="00444741"/>
    <w:rsid w:val="0044599A"/>
    <w:rsid w:val="00446EA8"/>
    <w:rsid w:val="00456FF8"/>
    <w:rsid w:val="00461ED8"/>
    <w:rsid w:val="0046549C"/>
    <w:rsid w:val="004761AE"/>
    <w:rsid w:val="00477283"/>
    <w:rsid w:val="00490585"/>
    <w:rsid w:val="00495C5F"/>
    <w:rsid w:val="0049672B"/>
    <w:rsid w:val="004A68BB"/>
    <w:rsid w:val="004A7F16"/>
    <w:rsid w:val="004B4DF3"/>
    <w:rsid w:val="004C2B84"/>
    <w:rsid w:val="004C6EFE"/>
    <w:rsid w:val="004D7D5D"/>
    <w:rsid w:val="004E03D6"/>
    <w:rsid w:val="004E05C9"/>
    <w:rsid w:val="004F11F8"/>
    <w:rsid w:val="004F52D9"/>
    <w:rsid w:val="004F5754"/>
    <w:rsid w:val="004F601B"/>
    <w:rsid w:val="0050197A"/>
    <w:rsid w:val="00503A36"/>
    <w:rsid w:val="00504F4D"/>
    <w:rsid w:val="005058A2"/>
    <w:rsid w:val="00510EB5"/>
    <w:rsid w:val="005110EF"/>
    <w:rsid w:val="00511E85"/>
    <w:rsid w:val="00516446"/>
    <w:rsid w:val="00522A66"/>
    <w:rsid w:val="005300AF"/>
    <w:rsid w:val="00530B7D"/>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E4E3D"/>
    <w:rsid w:val="005F1175"/>
    <w:rsid w:val="005F192D"/>
    <w:rsid w:val="005F2423"/>
    <w:rsid w:val="005F516E"/>
    <w:rsid w:val="005F524B"/>
    <w:rsid w:val="006003F5"/>
    <w:rsid w:val="0060127F"/>
    <w:rsid w:val="00601754"/>
    <w:rsid w:val="00603428"/>
    <w:rsid w:val="006068A0"/>
    <w:rsid w:val="0062190F"/>
    <w:rsid w:val="00622033"/>
    <w:rsid w:val="006320B2"/>
    <w:rsid w:val="00632471"/>
    <w:rsid w:val="00632A23"/>
    <w:rsid w:val="00633529"/>
    <w:rsid w:val="00634921"/>
    <w:rsid w:val="0063789C"/>
    <w:rsid w:val="00644F7C"/>
    <w:rsid w:val="006469D8"/>
    <w:rsid w:val="00652960"/>
    <w:rsid w:val="00653B08"/>
    <w:rsid w:val="00663231"/>
    <w:rsid w:val="00664338"/>
    <w:rsid w:val="00664CE0"/>
    <w:rsid w:val="00665E71"/>
    <w:rsid w:val="00673DE0"/>
    <w:rsid w:val="00680B29"/>
    <w:rsid w:val="006850DB"/>
    <w:rsid w:val="00685980"/>
    <w:rsid w:val="00686884"/>
    <w:rsid w:val="0069146E"/>
    <w:rsid w:val="006A3A8C"/>
    <w:rsid w:val="006A6288"/>
    <w:rsid w:val="006A63BE"/>
    <w:rsid w:val="006B6D92"/>
    <w:rsid w:val="006C1D61"/>
    <w:rsid w:val="006C6DF0"/>
    <w:rsid w:val="006C704D"/>
    <w:rsid w:val="006D48D4"/>
    <w:rsid w:val="006D4AB8"/>
    <w:rsid w:val="006D5E19"/>
    <w:rsid w:val="006D768D"/>
    <w:rsid w:val="006E3745"/>
    <w:rsid w:val="006E787D"/>
    <w:rsid w:val="006F0BA2"/>
    <w:rsid w:val="006F49F6"/>
    <w:rsid w:val="006F4A40"/>
    <w:rsid w:val="006F6F98"/>
    <w:rsid w:val="007040CD"/>
    <w:rsid w:val="0070680E"/>
    <w:rsid w:val="00706B96"/>
    <w:rsid w:val="007075E6"/>
    <w:rsid w:val="00716D98"/>
    <w:rsid w:val="00720518"/>
    <w:rsid w:val="00726DAE"/>
    <w:rsid w:val="00727228"/>
    <w:rsid w:val="00730B3D"/>
    <w:rsid w:val="007313BA"/>
    <w:rsid w:val="0073245E"/>
    <w:rsid w:val="00737E1D"/>
    <w:rsid w:val="00740B2A"/>
    <w:rsid w:val="0074268C"/>
    <w:rsid w:val="007445FE"/>
    <w:rsid w:val="0074493B"/>
    <w:rsid w:val="0075281F"/>
    <w:rsid w:val="007537FC"/>
    <w:rsid w:val="00753C5B"/>
    <w:rsid w:val="007541DC"/>
    <w:rsid w:val="00763767"/>
    <w:rsid w:val="00766F34"/>
    <w:rsid w:val="0077454E"/>
    <w:rsid w:val="00781FEC"/>
    <w:rsid w:val="00784A51"/>
    <w:rsid w:val="00786056"/>
    <w:rsid w:val="007925F3"/>
    <w:rsid w:val="00794D3C"/>
    <w:rsid w:val="007A0C05"/>
    <w:rsid w:val="007A251F"/>
    <w:rsid w:val="007B019E"/>
    <w:rsid w:val="007B1478"/>
    <w:rsid w:val="007C503B"/>
    <w:rsid w:val="007C6937"/>
    <w:rsid w:val="007C7B0A"/>
    <w:rsid w:val="007D161A"/>
    <w:rsid w:val="007E62AA"/>
    <w:rsid w:val="007E7331"/>
    <w:rsid w:val="007F3304"/>
    <w:rsid w:val="007F6345"/>
    <w:rsid w:val="00804BAA"/>
    <w:rsid w:val="00807896"/>
    <w:rsid w:val="00810BFB"/>
    <w:rsid w:val="00814F7B"/>
    <w:rsid w:val="00815399"/>
    <w:rsid w:val="00822DF8"/>
    <w:rsid w:val="008238B7"/>
    <w:rsid w:val="008403C0"/>
    <w:rsid w:val="008416DD"/>
    <w:rsid w:val="008452B5"/>
    <w:rsid w:val="00845A4E"/>
    <w:rsid w:val="00845A80"/>
    <w:rsid w:val="00850146"/>
    <w:rsid w:val="008501F3"/>
    <w:rsid w:val="008515B1"/>
    <w:rsid w:val="00856471"/>
    <w:rsid w:val="008666FC"/>
    <w:rsid w:val="008727AB"/>
    <w:rsid w:val="00873780"/>
    <w:rsid w:val="00873CEF"/>
    <w:rsid w:val="008833F0"/>
    <w:rsid w:val="00887720"/>
    <w:rsid w:val="00890B01"/>
    <w:rsid w:val="008939B1"/>
    <w:rsid w:val="00893D80"/>
    <w:rsid w:val="00894393"/>
    <w:rsid w:val="00895420"/>
    <w:rsid w:val="008957CE"/>
    <w:rsid w:val="008A5EAC"/>
    <w:rsid w:val="008B20FC"/>
    <w:rsid w:val="008B341F"/>
    <w:rsid w:val="008C0845"/>
    <w:rsid w:val="008C1892"/>
    <w:rsid w:val="008C64E0"/>
    <w:rsid w:val="008C7CA5"/>
    <w:rsid w:val="008D2E76"/>
    <w:rsid w:val="008D3A14"/>
    <w:rsid w:val="008D4189"/>
    <w:rsid w:val="008E082F"/>
    <w:rsid w:val="008E298E"/>
    <w:rsid w:val="008E5682"/>
    <w:rsid w:val="008E6A84"/>
    <w:rsid w:val="008E75B9"/>
    <w:rsid w:val="008F25EE"/>
    <w:rsid w:val="008F596A"/>
    <w:rsid w:val="008F5C4E"/>
    <w:rsid w:val="00903A99"/>
    <w:rsid w:val="00905BC7"/>
    <w:rsid w:val="00907B73"/>
    <w:rsid w:val="0091180B"/>
    <w:rsid w:val="009127C8"/>
    <w:rsid w:val="009139B4"/>
    <w:rsid w:val="00913CF7"/>
    <w:rsid w:val="00916D96"/>
    <w:rsid w:val="00917AD5"/>
    <w:rsid w:val="009357A3"/>
    <w:rsid w:val="0094113C"/>
    <w:rsid w:val="0094479A"/>
    <w:rsid w:val="00945858"/>
    <w:rsid w:val="00955B2F"/>
    <w:rsid w:val="00955E93"/>
    <w:rsid w:val="00960091"/>
    <w:rsid w:val="00960206"/>
    <w:rsid w:val="009629C3"/>
    <w:rsid w:val="00967425"/>
    <w:rsid w:val="00977431"/>
    <w:rsid w:val="00977EF7"/>
    <w:rsid w:val="00987467"/>
    <w:rsid w:val="00990D02"/>
    <w:rsid w:val="009959B1"/>
    <w:rsid w:val="00996D14"/>
    <w:rsid w:val="009A1C10"/>
    <w:rsid w:val="009A530B"/>
    <w:rsid w:val="009A537D"/>
    <w:rsid w:val="009B1DA1"/>
    <w:rsid w:val="009B31D6"/>
    <w:rsid w:val="009D3627"/>
    <w:rsid w:val="009D51D2"/>
    <w:rsid w:val="009E5A87"/>
    <w:rsid w:val="009F1E49"/>
    <w:rsid w:val="009F2BD2"/>
    <w:rsid w:val="009F3777"/>
    <w:rsid w:val="00A01E31"/>
    <w:rsid w:val="00A03B13"/>
    <w:rsid w:val="00A06715"/>
    <w:rsid w:val="00A10B2D"/>
    <w:rsid w:val="00A10F78"/>
    <w:rsid w:val="00A268EA"/>
    <w:rsid w:val="00A34A44"/>
    <w:rsid w:val="00A409E1"/>
    <w:rsid w:val="00A419EA"/>
    <w:rsid w:val="00A4560C"/>
    <w:rsid w:val="00A47C69"/>
    <w:rsid w:val="00A521FE"/>
    <w:rsid w:val="00A62B26"/>
    <w:rsid w:val="00A63D97"/>
    <w:rsid w:val="00A63F95"/>
    <w:rsid w:val="00A641CC"/>
    <w:rsid w:val="00A65FD1"/>
    <w:rsid w:val="00A70EDF"/>
    <w:rsid w:val="00A73FA2"/>
    <w:rsid w:val="00A84DEA"/>
    <w:rsid w:val="00A8608C"/>
    <w:rsid w:val="00A94F6E"/>
    <w:rsid w:val="00AB4D85"/>
    <w:rsid w:val="00AB7E03"/>
    <w:rsid w:val="00AC0E83"/>
    <w:rsid w:val="00AC3DBC"/>
    <w:rsid w:val="00AC41A5"/>
    <w:rsid w:val="00AD01A3"/>
    <w:rsid w:val="00AE2E87"/>
    <w:rsid w:val="00AF2374"/>
    <w:rsid w:val="00AF3859"/>
    <w:rsid w:val="00AF44AF"/>
    <w:rsid w:val="00AF70C1"/>
    <w:rsid w:val="00B028DC"/>
    <w:rsid w:val="00B03322"/>
    <w:rsid w:val="00B06A14"/>
    <w:rsid w:val="00B136FA"/>
    <w:rsid w:val="00B16543"/>
    <w:rsid w:val="00B17AB3"/>
    <w:rsid w:val="00B229D8"/>
    <w:rsid w:val="00B43CEF"/>
    <w:rsid w:val="00B4506D"/>
    <w:rsid w:val="00B46639"/>
    <w:rsid w:val="00B5769D"/>
    <w:rsid w:val="00B60F0C"/>
    <w:rsid w:val="00B66E04"/>
    <w:rsid w:val="00B72803"/>
    <w:rsid w:val="00B7641E"/>
    <w:rsid w:val="00B80545"/>
    <w:rsid w:val="00B82A8D"/>
    <w:rsid w:val="00B830CE"/>
    <w:rsid w:val="00B877B0"/>
    <w:rsid w:val="00BA016B"/>
    <w:rsid w:val="00BA150B"/>
    <w:rsid w:val="00BA3FDB"/>
    <w:rsid w:val="00BB0C79"/>
    <w:rsid w:val="00BB3518"/>
    <w:rsid w:val="00BC1EFA"/>
    <w:rsid w:val="00BC40E4"/>
    <w:rsid w:val="00BD02A2"/>
    <w:rsid w:val="00BD2902"/>
    <w:rsid w:val="00BE184C"/>
    <w:rsid w:val="00BE7EA1"/>
    <w:rsid w:val="00BF0F92"/>
    <w:rsid w:val="00BF7DD9"/>
    <w:rsid w:val="00C1038C"/>
    <w:rsid w:val="00C10BAC"/>
    <w:rsid w:val="00C15104"/>
    <w:rsid w:val="00C30116"/>
    <w:rsid w:val="00C37F4E"/>
    <w:rsid w:val="00C55EE9"/>
    <w:rsid w:val="00C666E3"/>
    <w:rsid w:val="00C72689"/>
    <w:rsid w:val="00C74D38"/>
    <w:rsid w:val="00C77F38"/>
    <w:rsid w:val="00C85FBC"/>
    <w:rsid w:val="00C86005"/>
    <w:rsid w:val="00C87CCD"/>
    <w:rsid w:val="00C92827"/>
    <w:rsid w:val="00C93C1A"/>
    <w:rsid w:val="00CA2F70"/>
    <w:rsid w:val="00CA566F"/>
    <w:rsid w:val="00CA768A"/>
    <w:rsid w:val="00CC6EC4"/>
    <w:rsid w:val="00CC7D63"/>
    <w:rsid w:val="00CD6D87"/>
    <w:rsid w:val="00CE0B2D"/>
    <w:rsid w:val="00CE1E8C"/>
    <w:rsid w:val="00CE49AE"/>
    <w:rsid w:val="00CE5103"/>
    <w:rsid w:val="00D00D43"/>
    <w:rsid w:val="00D054A9"/>
    <w:rsid w:val="00D064A3"/>
    <w:rsid w:val="00D06C24"/>
    <w:rsid w:val="00D104BF"/>
    <w:rsid w:val="00D132B4"/>
    <w:rsid w:val="00D202AD"/>
    <w:rsid w:val="00D25169"/>
    <w:rsid w:val="00D2675E"/>
    <w:rsid w:val="00D31199"/>
    <w:rsid w:val="00D3180C"/>
    <w:rsid w:val="00D40842"/>
    <w:rsid w:val="00D450ED"/>
    <w:rsid w:val="00D460EB"/>
    <w:rsid w:val="00D4773E"/>
    <w:rsid w:val="00D506AB"/>
    <w:rsid w:val="00D71DFE"/>
    <w:rsid w:val="00D731D4"/>
    <w:rsid w:val="00D732D5"/>
    <w:rsid w:val="00D73363"/>
    <w:rsid w:val="00D73E6B"/>
    <w:rsid w:val="00D84DF2"/>
    <w:rsid w:val="00D9710A"/>
    <w:rsid w:val="00DA0372"/>
    <w:rsid w:val="00DA2CCD"/>
    <w:rsid w:val="00DA4B10"/>
    <w:rsid w:val="00DA5DA3"/>
    <w:rsid w:val="00DB1E17"/>
    <w:rsid w:val="00DB706A"/>
    <w:rsid w:val="00DB7FF6"/>
    <w:rsid w:val="00DC4741"/>
    <w:rsid w:val="00DC4C8C"/>
    <w:rsid w:val="00DC56A0"/>
    <w:rsid w:val="00DD12DA"/>
    <w:rsid w:val="00DD5F7F"/>
    <w:rsid w:val="00DD7962"/>
    <w:rsid w:val="00DE0E9F"/>
    <w:rsid w:val="00DE4154"/>
    <w:rsid w:val="00DE79DF"/>
    <w:rsid w:val="00DF0880"/>
    <w:rsid w:val="00DF112F"/>
    <w:rsid w:val="00DF5293"/>
    <w:rsid w:val="00DF6C2A"/>
    <w:rsid w:val="00E01934"/>
    <w:rsid w:val="00E05ACE"/>
    <w:rsid w:val="00E06731"/>
    <w:rsid w:val="00E1152E"/>
    <w:rsid w:val="00E1463E"/>
    <w:rsid w:val="00E2024D"/>
    <w:rsid w:val="00E20723"/>
    <w:rsid w:val="00E21E29"/>
    <w:rsid w:val="00E32ED1"/>
    <w:rsid w:val="00E35A16"/>
    <w:rsid w:val="00E36564"/>
    <w:rsid w:val="00E368A6"/>
    <w:rsid w:val="00E3727D"/>
    <w:rsid w:val="00E41C3E"/>
    <w:rsid w:val="00E436CF"/>
    <w:rsid w:val="00E501C6"/>
    <w:rsid w:val="00E50E9C"/>
    <w:rsid w:val="00E516A3"/>
    <w:rsid w:val="00E5765F"/>
    <w:rsid w:val="00E663A0"/>
    <w:rsid w:val="00E67371"/>
    <w:rsid w:val="00E715AB"/>
    <w:rsid w:val="00E757B0"/>
    <w:rsid w:val="00E77437"/>
    <w:rsid w:val="00E82B82"/>
    <w:rsid w:val="00E83143"/>
    <w:rsid w:val="00E87D5E"/>
    <w:rsid w:val="00E93B09"/>
    <w:rsid w:val="00E9519B"/>
    <w:rsid w:val="00E97E68"/>
    <w:rsid w:val="00EA670C"/>
    <w:rsid w:val="00EB1BE3"/>
    <w:rsid w:val="00EB25AF"/>
    <w:rsid w:val="00EB67BE"/>
    <w:rsid w:val="00EC4FAB"/>
    <w:rsid w:val="00EC7FEA"/>
    <w:rsid w:val="00ED02ED"/>
    <w:rsid w:val="00ED081D"/>
    <w:rsid w:val="00ED0A40"/>
    <w:rsid w:val="00EE4214"/>
    <w:rsid w:val="00EF1F18"/>
    <w:rsid w:val="00EF2A8C"/>
    <w:rsid w:val="00EF617F"/>
    <w:rsid w:val="00EF6D39"/>
    <w:rsid w:val="00EF6E66"/>
    <w:rsid w:val="00F0557E"/>
    <w:rsid w:val="00F111D7"/>
    <w:rsid w:val="00F125E1"/>
    <w:rsid w:val="00F12793"/>
    <w:rsid w:val="00F211CC"/>
    <w:rsid w:val="00F340FC"/>
    <w:rsid w:val="00F37123"/>
    <w:rsid w:val="00F464DC"/>
    <w:rsid w:val="00F52A03"/>
    <w:rsid w:val="00F610A7"/>
    <w:rsid w:val="00F67EF7"/>
    <w:rsid w:val="00F70C6F"/>
    <w:rsid w:val="00F84B7B"/>
    <w:rsid w:val="00F86FEE"/>
    <w:rsid w:val="00F951C9"/>
    <w:rsid w:val="00F954D2"/>
    <w:rsid w:val="00F96347"/>
    <w:rsid w:val="00F96537"/>
    <w:rsid w:val="00F977F5"/>
    <w:rsid w:val="00FA19D6"/>
    <w:rsid w:val="00FA555C"/>
    <w:rsid w:val="00FB1FD6"/>
    <w:rsid w:val="00FB4355"/>
    <w:rsid w:val="00FB538B"/>
    <w:rsid w:val="00FB59B2"/>
    <w:rsid w:val="00FC26CD"/>
    <w:rsid w:val="00FC38CE"/>
    <w:rsid w:val="00FC394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consultation-changes-permissible-ingredients-low-negligible-risk" TargetMode="External"/><Relationship Id="rId13" Type="http://schemas.openxmlformats.org/officeDocument/2006/relationships/hyperlink" Target="http://www.pharmacopoeia.com/" TargetMode="External"/><Relationship Id="rId18" Type="http://schemas.openxmlformats.org/officeDocument/2006/relationships/hyperlink" Target="http://www.rehydrate.org/ors/expert-consultation.html" TargetMode="External"/><Relationship Id="rId3" Type="http://schemas.openxmlformats.org/officeDocument/2006/relationships/styles" Target="styles.xml"/><Relationship Id="rId21" Type="http://schemas.openxmlformats.org/officeDocument/2006/relationships/hyperlink" Target="https://www.tga.gov.au/consultation/consultation-changes-permissible-ingredients-low-negligible-risk" TargetMode="External"/><Relationship Id="rId7" Type="http://schemas.openxmlformats.org/officeDocument/2006/relationships/endnotes" Target="endnotes.xml"/><Relationship Id="rId12" Type="http://schemas.openxmlformats.org/officeDocument/2006/relationships/hyperlink" Target="https://www.tga.gov.au/safety-review-coumarin-topical-listed-medicines" TargetMode="External"/><Relationship Id="rId17" Type="http://schemas.openxmlformats.org/officeDocument/2006/relationships/hyperlink" Target="http://www.legislation.govt.nz/" TargetMode="External"/><Relationship Id="rId2" Type="http://schemas.openxmlformats.org/officeDocument/2006/relationships/numbering" Target="numbering.xml"/><Relationship Id="rId16" Type="http://schemas.openxmlformats.org/officeDocument/2006/relationships/hyperlink" Target="http://www.online.foodchemicalscodex.org" TargetMode="External"/><Relationship Id="rId20" Type="http://schemas.openxmlformats.org/officeDocument/2006/relationships/hyperlink" Target="http://www.openlibrary.org/books/OL22071008M/European_pharmacopoe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review-listed-sunscreen-products" TargetMode="External"/><Relationship Id="rId5" Type="http://schemas.openxmlformats.org/officeDocument/2006/relationships/webSettings" Target="webSettings.xml"/><Relationship Id="rId15" Type="http://schemas.openxmlformats.org/officeDocument/2006/relationships/hyperlink" Target="http://www.uspnf.com/" TargetMode="External"/><Relationship Id="rId23" Type="http://schemas.openxmlformats.org/officeDocument/2006/relationships/theme" Target="theme/theme1.xml"/><Relationship Id="rId10" Type="http://schemas.openxmlformats.org/officeDocument/2006/relationships/hyperlink" Target="https://www.tga.gov.au/outcomes-changes-permissible-ingredients-low-negligible-risk" TargetMode="External"/><Relationship Id="rId19" Type="http://schemas.openxmlformats.org/officeDocument/2006/relationships/hyperlink" Target="http://www.trove.nla.gov.au/" TargetMode="External"/><Relationship Id="rId4" Type="http://schemas.openxmlformats.org/officeDocument/2006/relationships/settings" Target="settings.xml"/><Relationship Id="rId9" Type="http://schemas.openxmlformats.org/officeDocument/2006/relationships/hyperlink" Target="https://www.tga.gov.au/consultation/consultation-changes-permissible-ingredients-low-negligible-risk" TargetMode="External"/><Relationship Id="rId14" Type="http://schemas.openxmlformats.org/officeDocument/2006/relationships/hyperlink" Target="http://www.edqm.eu/en/european-pharmacopoeia-ph-eur-9th-ed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0DB5-B021-428A-B338-E8A3778A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3</cp:revision>
  <cp:lastPrinted>2019-08-27T07:02:00Z</cp:lastPrinted>
  <dcterms:created xsi:type="dcterms:W3CDTF">2020-02-19T05:06:00Z</dcterms:created>
  <dcterms:modified xsi:type="dcterms:W3CDTF">2020-02-19T05:20:00Z</dcterms:modified>
</cp:coreProperties>
</file>