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661A8"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682D273F" w14:textId="1952A5AD" w:rsidR="007662C7" w:rsidRPr="00663634" w:rsidRDefault="00F109D4" w:rsidP="003E1CE3">
      <w:pPr>
        <w:pStyle w:val="Heading2"/>
        <w:jc w:val="center"/>
        <w:rPr>
          <w:sz w:val="24"/>
          <w:szCs w:val="24"/>
        </w:rPr>
      </w:pPr>
      <w:r w:rsidRPr="00663634">
        <w:rPr>
          <w:sz w:val="24"/>
          <w:szCs w:val="24"/>
        </w:rPr>
        <w:t>Issued by authority of the</w:t>
      </w:r>
      <w:r w:rsidR="00076178" w:rsidRPr="00663634">
        <w:rPr>
          <w:sz w:val="24"/>
          <w:szCs w:val="24"/>
        </w:rPr>
        <w:t xml:space="preserve"> </w:t>
      </w:r>
      <w:sdt>
        <w:sdtPr>
          <w:rPr>
            <w:sz w:val="24"/>
            <w:szCs w:val="24"/>
          </w:rPr>
          <w:id w:val="435951383"/>
          <w:placeholder>
            <w:docPart w:val="D20B40EDE7744305BE0C60F52F5EBA6E"/>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663634" w:rsidRPr="00DB6B9B">
            <w:rPr>
              <w:sz w:val="24"/>
              <w:szCs w:val="24"/>
            </w:rPr>
            <w:t>Minister for Housing and Assistant Treasurer</w:t>
          </w:r>
        </w:sdtContent>
      </w:sdt>
    </w:p>
    <w:p w14:paraId="27478516" w14:textId="72E10B13" w:rsidR="00F109D4" w:rsidRDefault="004677E8" w:rsidP="003C7907">
      <w:pPr>
        <w:spacing w:before="240" w:after="240"/>
        <w:jc w:val="center"/>
        <w:rPr>
          <w:i/>
        </w:rPr>
      </w:pPr>
      <w:r w:rsidRPr="00DB6B9B">
        <w:rPr>
          <w:i/>
        </w:rPr>
        <w:t>Income Tax Assessment Act 1997</w:t>
      </w:r>
    </w:p>
    <w:p w14:paraId="7DC977BA" w14:textId="56973874" w:rsidR="00F109D4" w:rsidRPr="00503E44" w:rsidRDefault="004677E8" w:rsidP="00AA1689">
      <w:pPr>
        <w:tabs>
          <w:tab w:val="left" w:pos="1418"/>
        </w:tabs>
        <w:spacing w:before="0" w:after="240"/>
        <w:jc w:val="center"/>
        <w:rPr>
          <w:i/>
        </w:rPr>
      </w:pPr>
      <w:r w:rsidRPr="004677E8">
        <w:rPr>
          <w:i/>
        </w:rPr>
        <w:t>Income Tax Assessment Amendment (Exploration for Minerals) Regulations 2020</w:t>
      </w:r>
    </w:p>
    <w:p w14:paraId="6A2A391D" w14:textId="2DCFECD3" w:rsidR="00FB7251" w:rsidRDefault="004B2941" w:rsidP="004B2941">
      <w:r>
        <w:t xml:space="preserve">The </w:t>
      </w:r>
      <w:r w:rsidR="00137D46" w:rsidRPr="00137D46">
        <w:rPr>
          <w:i/>
        </w:rPr>
        <w:t>Income Tax Assessment Act 1997</w:t>
      </w:r>
      <w:r>
        <w:rPr>
          <w:i/>
        </w:rPr>
        <w:t xml:space="preserve"> </w:t>
      </w:r>
      <w:r>
        <w:t>(</w:t>
      </w:r>
      <w:r w:rsidR="00237EE1">
        <w:t>Income Tax</w:t>
      </w:r>
      <w:r>
        <w:t xml:space="preserve"> Act)</w:t>
      </w:r>
      <w:r>
        <w:rPr>
          <w:i/>
        </w:rPr>
        <w:t xml:space="preserve"> </w:t>
      </w:r>
      <w:r w:rsidR="009C0A39">
        <w:t xml:space="preserve">provides </w:t>
      </w:r>
      <w:r w:rsidR="00727F5C">
        <w:t>for the calculation of the income tax liability of taxpayers</w:t>
      </w:r>
      <w:r w:rsidR="00237EE1">
        <w:t>. The Income Tax Act</w:t>
      </w:r>
      <w:r w:rsidR="002C434D">
        <w:t xml:space="preserve"> also</w:t>
      </w:r>
      <w:r w:rsidR="00237EE1">
        <w:t xml:space="preserve"> provides </w:t>
      </w:r>
      <w:r w:rsidR="002C434D">
        <w:t xml:space="preserve">a range of incentives including </w:t>
      </w:r>
      <w:r w:rsidR="00237EE1">
        <w:t xml:space="preserve">an incentive </w:t>
      </w:r>
      <w:r w:rsidR="009C0A39">
        <w:t>for</w:t>
      </w:r>
      <w:r w:rsidR="00237EE1">
        <w:t xml:space="preserve"> </w:t>
      </w:r>
      <w:r w:rsidR="009C0A39">
        <w:t>investment in small minerals exploration companies undertaking greenfields minerals exploration in Australia</w:t>
      </w:r>
      <w:r w:rsidR="00313D78">
        <w:t xml:space="preserve"> – </w:t>
      </w:r>
      <w:r w:rsidR="00A81E34">
        <w:t>the junior minerals exploration i</w:t>
      </w:r>
      <w:r w:rsidR="00313D78">
        <w:t>ncentive</w:t>
      </w:r>
      <w:r w:rsidR="009C0A39">
        <w:t>. The amount of th</w:t>
      </w:r>
      <w:r w:rsidR="009A39CD">
        <w:t>is</w:t>
      </w:r>
      <w:r w:rsidR="009C0A39">
        <w:t xml:space="preserve"> tax</w:t>
      </w:r>
      <w:r w:rsidR="00237EE1">
        <w:t>ation</w:t>
      </w:r>
      <w:r w:rsidR="009C0A39">
        <w:t xml:space="preserve"> incentive available in relevant income years is capped. </w:t>
      </w:r>
    </w:p>
    <w:p w14:paraId="26295FDB" w14:textId="189B07CB" w:rsidR="0090080B" w:rsidRDefault="0090080B" w:rsidP="00230FF4">
      <w:r w:rsidRPr="0090080B">
        <w:t xml:space="preserve">Section 909-1 of the Income Tax Act provides that the Governor-General may make regulations prescribing matters required or permitted by the Income Tax Act to be prescribed, or necessary or convenient to be prescribed for carrying out or giving effect to the </w:t>
      </w:r>
      <w:r>
        <w:t xml:space="preserve">Income Tax </w:t>
      </w:r>
      <w:r w:rsidRPr="0090080B">
        <w:t>Act.</w:t>
      </w:r>
    </w:p>
    <w:p w14:paraId="2A36324B" w14:textId="769AA7EE" w:rsidR="002C434D" w:rsidRDefault="00230FF4" w:rsidP="00230FF4">
      <w:r w:rsidRPr="007018BD">
        <w:t>T</w:t>
      </w:r>
      <w:r>
        <w:t xml:space="preserve">he purpose of the </w:t>
      </w:r>
      <w:r w:rsidR="00663634" w:rsidRPr="00663634">
        <w:rPr>
          <w:i/>
        </w:rPr>
        <w:t>Income Tax Assessment Amendment (Exploration for Minerals) Regulations 2020</w:t>
      </w:r>
      <w:r w:rsidR="00F541B0">
        <w:t xml:space="preserve"> </w:t>
      </w:r>
      <w:r>
        <w:t>(</w:t>
      </w:r>
      <w:r w:rsidR="008D7554">
        <w:t>the </w:t>
      </w:r>
      <w:r w:rsidR="002A3BBA">
        <w:t xml:space="preserve">Amending </w:t>
      </w:r>
      <w:r>
        <w:t xml:space="preserve">Regulations) is to amend the </w:t>
      </w:r>
      <w:r w:rsidR="00733A60" w:rsidRPr="00733A60">
        <w:rPr>
          <w:i/>
        </w:rPr>
        <w:t>Income Tax Assessment</w:t>
      </w:r>
      <w:r w:rsidR="00733A60">
        <w:rPr>
          <w:i/>
        </w:rPr>
        <w:t xml:space="preserve"> Regulations 1997</w:t>
      </w:r>
      <w:r w:rsidR="00733A60">
        <w:t xml:space="preserve"> </w:t>
      </w:r>
      <w:r>
        <w:t xml:space="preserve">to </w:t>
      </w:r>
      <w:r w:rsidR="00E9749E">
        <w:t xml:space="preserve">maximise the utilisation of exploration credits under the junior minerals exploration incentive. </w:t>
      </w:r>
    </w:p>
    <w:p w14:paraId="4B4E19DC" w14:textId="16E9A3C9" w:rsidR="00B20E5A" w:rsidRDefault="00C029C8" w:rsidP="00B20E5A">
      <w:r>
        <w:t>Broadly, the junior minerals exploration i</w:t>
      </w:r>
      <w:r w:rsidR="00B20E5A">
        <w:t xml:space="preserve">ncentive provides a mechanism for small minerals exploration companies to encourage investment by converting the tax losses they incur while undertaking exploration activity into exploration credits that they may distribute to new investors. Exploration credits entitle Australian resident investors to receive a refundable tax offset or equivalent tax benefit. </w:t>
      </w:r>
    </w:p>
    <w:p w14:paraId="5D0C8CE5" w14:textId="70069528" w:rsidR="00B20E5A" w:rsidRDefault="00B20E5A" w:rsidP="00B20E5A">
      <w:r>
        <w:t xml:space="preserve">There is an annual cap on the total amount of exploration credits that can be created – the annual exploration cap. Entities that wish to create and distribute credits must apply to the Commissioner of Taxation who determines the exploration credit allocation of each entity </w:t>
      </w:r>
      <w:r w:rsidR="00F82600">
        <w:t>in the order of receipt of applications</w:t>
      </w:r>
      <w:r>
        <w:t xml:space="preserve"> until the available credits are exhausted.</w:t>
      </w:r>
    </w:p>
    <w:p w14:paraId="4A92BD90" w14:textId="62AB3491" w:rsidR="002C434D" w:rsidRDefault="002C434D" w:rsidP="002C434D">
      <w:r>
        <w:t xml:space="preserve">In some circumstances credits may be allocated under the incentive by the Australian Taxation Office to small minerals exploration companies but have become unusable because </w:t>
      </w:r>
      <w:r w:rsidRPr="00FB7251">
        <w:t>the explor</w:t>
      </w:r>
      <w:r>
        <w:t>ation companies have</w:t>
      </w:r>
      <w:r w:rsidRPr="00FB7251">
        <w:t xml:space="preserve"> failed to raise capital in relation to that allocation in the income year, or they have not incurred expenditure in relation to the capital raising within the allowed time, or not realised a tax loss.</w:t>
      </w:r>
    </w:p>
    <w:p w14:paraId="451B77EF" w14:textId="5051A5B9" w:rsidR="00230FF4" w:rsidRDefault="002C434D" w:rsidP="00DB6B9B">
      <w:pPr>
        <w:spacing w:before="240"/>
      </w:pPr>
      <w:r>
        <w:t>In these circumstances the unused credits may, in effect, be transferred to a later income year for allocation to ensure that the maximum benefit of the incentive is available to use over the life of the program to encourage additional greenfields minerals exploration in Australia.</w:t>
      </w:r>
    </w:p>
    <w:p w14:paraId="49D4F1CD" w14:textId="20E43F56" w:rsidR="00230FF4" w:rsidRDefault="00230FF4" w:rsidP="00DB6B9B">
      <w:pPr>
        <w:spacing w:before="240"/>
      </w:pPr>
      <w:r>
        <w:t>The</w:t>
      </w:r>
      <w:r w:rsidR="002A3BBA">
        <w:t xml:space="preserve"> Amending</w:t>
      </w:r>
      <w:r>
        <w:t xml:space="preserve"> Regulations </w:t>
      </w:r>
      <w:r w:rsidR="002C434D" w:rsidRPr="002C434D">
        <w:t xml:space="preserve">maximise the utilisation of exploration credits under the junior minerals exploration incentive </w:t>
      </w:r>
      <w:r>
        <w:t xml:space="preserve">by </w:t>
      </w:r>
      <w:r w:rsidR="00A10093">
        <w:t>increasing the amount of the annual exploration cap for the 2020-21 income year</w:t>
      </w:r>
      <w:r w:rsidR="00066CFC">
        <w:t xml:space="preserve"> that is</w:t>
      </w:r>
      <w:r w:rsidR="00A10093">
        <w:t xml:space="preserve"> available to be allocated by the </w:t>
      </w:r>
      <w:r w:rsidR="00A55B34">
        <w:t>Commissioner</w:t>
      </w:r>
      <w:r w:rsidR="00965315">
        <w:t xml:space="preserve"> of Taxation</w:t>
      </w:r>
      <w:r w:rsidR="00A10093">
        <w:t xml:space="preserve"> under the incentive. The amount of the increase in the cap </w:t>
      </w:r>
      <w:r w:rsidR="00AC0DBE">
        <w:lastRenderedPageBreak/>
        <w:t xml:space="preserve">is </w:t>
      </w:r>
      <w:r w:rsidR="009331EF">
        <w:t xml:space="preserve">equal to </w:t>
      </w:r>
      <w:r w:rsidR="00AC0DBE">
        <w:t xml:space="preserve">the amount of credits </w:t>
      </w:r>
      <w:r w:rsidR="00EE34E6">
        <w:t xml:space="preserve">identified </w:t>
      </w:r>
      <w:r w:rsidR="00AC0DBE">
        <w:t>that have become</w:t>
      </w:r>
      <w:r w:rsidR="00A10093" w:rsidRPr="00A10093">
        <w:t xml:space="preserve"> unusable</w:t>
      </w:r>
      <w:r w:rsidR="00EE34E6">
        <w:t xml:space="preserve"> in prior income years despite having been allocated to small mineral</w:t>
      </w:r>
      <w:r w:rsidR="00BC0BDC">
        <w:t>s</w:t>
      </w:r>
      <w:r w:rsidR="00EE34E6">
        <w:t xml:space="preserve"> exploration companies in a prior year.</w:t>
      </w:r>
      <w:r w:rsidR="00A10093" w:rsidRPr="00A10093">
        <w:t xml:space="preserve"> </w:t>
      </w:r>
    </w:p>
    <w:p w14:paraId="6FF063A3" w14:textId="25EF19B1" w:rsidR="004B2941" w:rsidRDefault="004B2941" w:rsidP="004B2941">
      <w:pPr>
        <w:spacing w:before="240"/>
      </w:pPr>
      <w:r>
        <w:t xml:space="preserve">Targeted consultation on the </w:t>
      </w:r>
      <w:r w:rsidR="002A3BBA">
        <w:t xml:space="preserve">Amending </w:t>
      </w:r>
      <w:r>
        <w:t xml:space="preserve">Regulations was undertaken with the </w:t>
      </w:r>
      <w:r w:rsidR="00137D46">
        <w:t>Australian Taxation Office</w:t>
      </w:r>
      <w:r>
        <w:t xml:space="preserve">, however, pursuant to </w:t>
      </w:r>
      <w:r w:rsidRPr="00BB3A42">
        <w:t xml:space="preserve">section 17 of the </w:t>
      </w:r>
      <w:r w:rsidRPr="00BB3A42">
        <w:rPr>
          <w:i/>
        </w:rPr>
        <w:t>Legislation Act 2003</w:t>
      </w:r>
      <w:r w:rsidRPr="00BB3A42">
        <w:t>,</w:t>
      </w:r>
      <w:r w:rsidRPr="00C80652">
        <w:t xml:space="preserve"> no public consultation was undertaken on the </w:t>
      </w:r>
      <w:r w:rsidR="002A3BBA">
        <w:t xml:space="preserve">Amending </w:t>
      </w:r>
      <w:r w:rsidRPr="00C80652">
        <w:t>Regulation</w:t>
      </w:r>
      <w:r>
        <w:t>s</w:t>
      </w:r>
      <w:r w:rsidRPr="00C80652">
        <w:t xml:space="preserve"> as </w:t>
      </w:r>
      <w:r>
        <w:t>they are</w:t>
      </w:r>
      <w:r w:rsidRPr="00C80652">
        <w:t xml:space="preserve"> </w:t>
      </w:r>
      <w:r w:rsidR="00362ECB">
        <w:t>administrative</w:t>
      </w:r>
      <w:r w:rsidRPr="00C80652">
        <w:t xml:space="preserve"> in nature.</w:t>
      </w:r>
    </w:p>
    <w:p w14:paraId="742B48C4" w14:textId="632E93C0" w:rsidR="002C226C" w:rsidRPr="00C94391" w:rsidRDefault="004B2941" w:rsidP="004B2941">
      <w:pPr>
        <w:spacing w:before="0" w:after="0"/>
      </w:pPr>
      <w:r>
        <w:rPr>
          <w:color w:val="000000"/>
          <w:shd w:val="clear" w:color="auto" w:fill="FFFFFF"/>
        </w:rPr>
        <w:t>The changes do not affect the substantive meaning or operation of the provisions</w:t>
      </w:r>
      <w:r w:rsidR="00F541B0">
        <w:rPr>
          <w:color w:val="000000"/>
          <w:shd w:val="clear" w:color="auto" w:fill="FFFFFF"/>
        </w:rPr>
        <w:t xml:space="preserve"> other than </w:t>
      </w:r>
      <w:r w:rsidR="00727F5C">
        <w:rPr>
          <w:color w:val="000000"/>
          <w:shd w:val="clear" w:color="auto" w:fill="FFFFFF"/>
        </w:rPr>
        <w:t>transferring an amount of unusable exploration</w:t>
      </w:r>
      <w:r w:rsidR="00DB6B9B">
        <w:rPr>
          <w:color w:val="000000"/>
          <w:shd w:val="clear" w:color="auto" w:fill="FFFFFF"/>
        </w:rPr>
        <w:t xml:space="preserve"> credits to a later income year</w:t>
      </w:r>
      <w:r>
        <w:rPr>
          <w:color w:val="000000"/>
          <w:shd w:val="clear" w:color="auto" w:fill="FFFFFF"/>
        </w:rPr>
        <w:t>.</w:t>
      </w:r>
      <w:r>
        <w:t xml:space="preserve"> </w:t>
      </w:r>
      <w:r w:rsidR="002C226C">
        <w:t xml:space="preserve">Details of the </w:t>
      </w:r>
      <w:r w:rsidR="002A3BBA">
        <w:t xml:space="preserve">Amending </w:t>
      </w:r>
      <w:r w:rsidR="00EB2AEF">
        <w:t>Regulations are set out in</w:t>
      </w:r>
      <w:r w:rsidR="002C226C">
        <w:t xml:space="preserve"> </w:t>
      </w:r>
      <w:r w:rsidR="002C226C" w:rsidRPr="00317816">
        <w:rPr>
          <w:u w:val="single"/>
        </w:rPr>
        <w:t>Attachment</w:t>
      </w:r>
      <w:r w:rsidR="00EB2AEF">
        <w:rPr>
          <w:u w:val="single"/>
        </w:rPr>
        <w:t xml:space="preserve"> </w:t>
      </w:r>
      <w:r>
        <w:rPr>
          <w:u w:val="single"/>
        </w:rPr>
        <w:t>A</w:t>
      </w:r>
      <w:r w:rsidR="003E3FBC" w:rsidRPr="00C94391">
        <w:t>.</w:t>
      </w:r>
      <w:r w:rsidR="00013390" w:rsidRPr="00C94391">
        <w:t xml:space="preserve"> </w:t>
      </w:r>
    </w:p>
    <w:p w14:paraId="3B937E6A" w14:textId="16AA3897" w:rsidR="002C226C" w:rsidRDefault="002C226C" w:rsidP="00647BB7">
      <w:pPr>
        <w:spacing w:before="240"/>
      </w:pPr>
      <w:r>
        <w:t>The</w:t>
      </w:r>
      <w:r w:rsidRPr="00D3322F">
        <w:t xml:space="preserve"> </w:t>
      </w:r>
      <w:r w:rsidR="002A3BBA">
        <w:t xml:space="preserve">Amending </w:t>
      </w:r>
      <w:r w:rsidRPr="00D3322F">
        <w:t>Regulation</w:t>
      </w:r>
      <w:r>
        <w:t>s are</w:t>
      </w:r>
      <w:r w:rsidRPr="00D3322F">
        <w:t xml:space="preserve"> a legislative instrument for the purposes of the</w:t>
      </w:r>
      <w:r w:rsidRPr="00322524">
        <w:t xml:space="preserve"> </w:t>
      </w:r>
      <w:r w:rsidRPr="00D3322F">
        <w:rPr>
          <w:i/>
        </w:rPr>
        <w:t>Legislation Act 2003</w:t>
      </w:r>
      <w:r w:rsidRPr="00D3322F">
        <w:t>.</w:t>
      </w:r>
    </w:p>
    <w:p w14:paraId="2465820D" w14:textId="7FF1FDEE" w:rsidR="009143A0" w:rsidRDefault="00F109D4" w:rsidP="00647BB7">
      <w:pPr>
        <w:spacing w:before="240"/>
      </w:pPr>
      <w:r w:rsidRPr="00503E44">
        <w:t xml:space="preserve">The </w:t>
      </w:r>
      <w:r w:rsidR="002A3BBA">
        <w:t xml:space="preserve">Amending </w:t>
      </w:r>
      <w:r w:rsidRPr="00604AF4">
        <w:t>Regulations commence</w:t>
      </w:r>
      <w:r w:rsidR="00604AF4" w:rsidRPr="00604AF4">
        <w:t xml:space="preserve"> </w:t>
      </w:r>
      <w:r w:rsidR="00604AF4">
        <w:t>o</w:t>
      </w:r>
      <w:r w:rsidR="00604AF4" w:rsidRPr="00DB6B9B">
        <w:t>n the first</w:t>
      </w:r>
      <w:r w:rsidRPr="00604AF4">
        <w:t xml:space="preserve"> </w:t>
      </w:r>
      <w:r w:rsidR="00230FF4" w:rsidRPr="00604AF4">
        <w:t xml:space="preserve">day </w:t>
      </w:r>
      <w:r w:rsidR="00604AF4" w:rsidRPr="00DB6B9B">
        <w:t xml:space="preserve">of the first quarterly period </w:t>
      </w:r>
      <w:r w:rsidR="00230FF4" w:rsidRPr="00604AF4">
        <w:t>after registration on the Federal Register of Legislation</w:t>
      </w:r>
      <w:r w:rsidR="00BF40E3" w:rsidRPr="00604AF4">
        <w:t>.</w:t>
      </w:r>
    </w:p>
    <w:p w14:paraId="653AE285" w14:textId="77777777" w:rsidR="00BF40E3" w:rsidRPr="00647BB7" w:rsidRDefault="00BF40E3" w:rsidP="00BF40E3">
      <w:pPr>
        <w:spacing w:before="0" w:after="0"/>
        <w:rPr>
          <w:i/>
        </w:rPr>
      </w:pPr>
      <w:r>
        <w:rPr>
          <w:color w:val="000000"/>
          <w:shd w:val="clear" w:color="auto" w:fill="FFFFFF"/>
        </w:rPr>
        <w:t>A Statement of Compatibility with Human Rights is at </w:t>
      </w:r>
      <w:r>
        <w:rPr>
          <w:color w:val="000000"/>
          <w:u w:val="single"/>
          <w:shd w:val="clear" w:color="auto" w:fill="FFFFFF"/>
        </w:rPr>
        <w:t>Attachment B</w:t>
      </w:r>
      <w:r w:rsidRPr="00C94391">
        <w:rPr>
          <w:color w:val="000000"/>
          <w:shd w:val="clear" w:color="auto" w:fill="FFFFFF"/>
        </w:rPr>
        <w:t>. </w:t>
      </w:r>
      <w:r>
        <w:rPr>
          <w:color w:val="000000"/>
          <w:shd w:val="clear" w:color="auto" w:fill="FFFFFF"/>
        </w:rPr>
        <w:t>The Legislative Instrument is compatible with human rights as it does not raise any human rights issues.</w:t>
      </w:r>
    </w:p>
    <w:p w14:paraId="1F10F231" w14:textId="77777777" w:rsidR="00EA4DD8" w:rsidRDefault="00EA4DD8" w:rsidP="00EA4DD8">
      <w:pPr>
        <w:pageBreakBefore/>
        <w:spacing w:before="240"/>
        <w:jc w:val="right"/>
        <w:rPr>
          <w:b/>
          <w:u w:val="single"/>
        </w:rPr>
      </w:pPr>
      <w:r w:rsidRPr="007B335E">
        <w:rPr>
          <w:b/>
          <w:u w:val="single"/>
        </w:rPr>
        <w:lastRenderedPageBreak/>
        <w:t xml:space="preserve">ATTACHMENT </w:t>
      </w:r>
      <w:r w:rsidR="00E91A13">
        <w:rPr>
          <w:b/>
          <w:u w:val="single"/>
        </w:rPr>
        <w:t>A</w:t>
      </w:r>
    </w:p>
    <w:p w14:paraId="68280E86" w14:textId="4B7CD649" w:rsidR="00EA4DD8" w:rsidRDefault="00EA4DD8" w:rsidP="00EA4DD8">
      <w:pPr>
        <w:spacing w:before="240"/>
        <w:ind w:right="91"/>
        <w:rPr>
          <w:b/>
          <w:bCs/>
          <w:szCs w:val="24"/>
          <w:u w:val="single"/>
        </w:rPr>
      </w:pPr>
      <w:r>
        <w:rPr>
          <w:b/>
          <w:bCs/>
          <w:u w:val="single"/>
        </w:rPr>
        <w:t xml:space="preserve">Details of the </w:t>
      </w:r>
      <w:r w:rsidR="00137D46" w:rsidRPr="00137D46">
        <w:rPr>
          <w:b/>
          <w:i/>
          <w:u w:val="single"/>
        </w:rPr>
        <w:t>Income Tax Assessment Amendment (Exploration for Minerals) Regulations 2020</w:t>
      </w:r>
    </w:p>
    <w:p w14:paraId="63C22AE1"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2AF3F1C6" w14:textId="1369A6D9" w:rsidR="00EA4DD8" w:rsidRDefault="00EA4DD8" w:rsidP="00EA4DD8">
      <w:pPr>
        <w:spacing w:before="240"/>
      </w:pPr>
      <w:r>
        <w:t xml:space="preserve">This section provides that the name of the Regulations is the </w:t>
      </w:r>
      <w:r w:rsidR="00137D46" w:rsidRPr="00137D46">
        <w:rPr>
          <w:i/>
        </w:rPr>
        <w:t>Income Tax Assessment Amendment (Exploration for Miner</w:t>
      </w:r>
      <w:r w:rsidR="00137D46">
        <w:rPr>
          <w:i/>
        </w:rPr>
        <w:t>als) Regulations 2020</w:t>
      </w:r>
      <w:r w:rsidR="00BF40E3">
        <w:t xml:space="preserve"> (</w:t>
      </w:r>
      <w:r>
        <w:t>the</w:t>
      </w:r>
      <w:r w:rsidR="00BF40E3">
        <w:t xml:space="preserve"> </w:t>
      </w:r>
      <w:r w:rsidR="002A3BBA">
        <w:t xml:space="preserve">Amending </w:t>
      </w:r>
      <w:r>
        <w:t>Regulations).</w:t>
      </w:r>
    </w:p>
    <w:p w14:paraId="6B8F1251" w14:textId="77777777" w:rsidR="00EA4DD8" w:rsidRDefault="00EA4DD8" w:rsidP="00EA4DD8">
      <w:pPr>
        <w:spacing w:before="240"/>
        <w:ind w:right="91"/>
        <w:rPr>
          <w:u w:val="single"/>
        </w:rPr>
      </w:pPr>
      <w:r>
        <w:rPr>
          <w:u w:val="single"/>
        </w:rPr>
        <w:t>Section 2 – Commencement</w:t>
      </w:r>
    </w:p>
    <w:p w14:paraId="6ABEA203" w14:textId="41578A22" w:rsidR="00EA4DD8" w:rsidRDefault="003E3FBC" w:rsidP="00EA4DD8">
      <w:pPr>
        <w:spacing w:before="240"/>
        <w:ind w:right="91"/>
      </w:pPr>
      <w:r>
        <w:t>T</w:t>
      </w:r>
      <w:r w:rsidR="00EA4DD8">
        <w:t xml:space="preserve">he </w:t>
      </w:r>
      <w:r w:rsidR="002A3BBA">
        <w:t xml:space="preserve">Amending </w:t>
      </w:r>
      <w:r w:rsidR="00EA4DD8">
        <w:t xml:space="preserve">Regulations </w:t>
      </w:r>
      <w:r w:rsidR="00EA4DD8" w:rsidRPr="00BF40E3">
        <w:t xml:space="preserve">commence </w:t>
      </w:r>
      <w:r w:rsidR="00C50EF0">
        <w:t xml:space="preserve">on the </w:t>
      </w:r>
      <w:r w:rsidR="00C50EF0" w:rsidRPr="00C50EF0">
        <w:t>first day of the first quarterly period after registration on the Federal Register of Legislation</w:t>
      </w:r>
      <w:r w:rsidR="00EA4DD8">
        <w:t>.</w:t>
      </w:r>
    </w:p>
    <w:p w14:paraId="2E5A3F35" w14:textId="77777777" w:rsidR="00EA4DD8" w:rsidRDefault="00EA4DD8" w:rsidP="00EA4DD8">
      <w:pPr>
        <w:spacing w:before="240"/>
        <w:ind w:right="91"/>
        <w:rPr>
          <w:u w:val="single"/>
        </w:rPr>
      </w:pPr>
      <w:r>
        <w:rPr>
          <w:u w:val="single"/>
        </w:rPr>
        <w:t>Section 3 – Authority</w:t>
      </w:r>
    </w:p>
    <w:p w14:paraId="5737A03B" w14:textId="5D4A54C0" w:rsidR="00EA4DD8" w:rsidRDefault="00EA4DD8" w:rsidP="00EA4DD8">
      <w:pPr>
        <w:spacing w:before="240"/>
        <w:ind w:right="91"/>
      </w:pPr>
      <w:r>
        <w:t xml:space="preserve">The </w:t>
      </w:r>
      <w:r w:rsidR="00EB16BB">
        <w:t xml:space="preserve">Amending </w:t>
      </w:r>
      <w:r>
        <w:t xml:space="preserve">Regulations are made under the </w:t>
      </w:r>
      <w:r w:rsidR="00137D46" w:rsidRPr="00137D46">
        <w:rPr>
          <w:i/>
        </w:rPr>
        <w:t>Income Tax Assessment Act 1997</w:t>
      </w:r>
      <w:r w:rsidR="00604AF4">
        <w:rPr>
          <w:i/>
        </w:rPr>
        <w:t>.</w:t>
      </w:r>
    </w:p>
    <w:p w14:paraId="0C0AD852" w14:textId="77777777" w:rsidR="00EA4DD8" w:rsidRDefault="00EA4DD8" w:rsidP="00EA4DD8">
      <w:pPr>
        <w:spacing w:before="240"/>
        <w:ind w:right="91"/>
        <w:rPr>
          <w:u w:val="single"/>
        </w:rPr>
      </w:pPr>
      <w:r>
        <w:rPr>
          <w:u w:val="single"/>
        </w:rPr>
        <w:t>Section 4 – Schedule</w:t>
      </w:r>
    </w:p>
    <w:p w14:paraId="17196FF3"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5E86C8F" w14:textId="77777777" w:rsidR="00EA4DD8" w:rsidRPr="008422E5" w:rsidRDefault="00EA4DD8" w:rsidP="00BE05B6">
      <w:pPr>
        <w:spacing w:after="0"/>
        <w:ind w:right="91"/>
        <w:rPr>
          <w:color w:val="FF0000"/>
        </w:rPr>
      </w:pPr>
      <w:r>
        <w:rPr>
          <w:u w:val="single"/>
        </w:rPr>
        <w:t xml:space="preserve">Schedule 1 – Amendments </w:t>
      </w:r>
    </w:p>
    <w:p w14:paraId="74E0F2EA" w14:textId="3AF1218B" w:rsidR="003E3FBC" w:rsidRDefault="002C434D" w:rsidP="00B516EC">
      <w:pPr>
        <w:pStyle w:val="base-text-paragraph"/>
        <w:tabs>
          <w:tab w:val="clear" w:pos="1987"/>
        </w:tabs>
        <w:spacing w:before="240" w:after="240"/>
        <w:ind w:left="0"/>
      </w:pPr>
      <w:r>
        <w:rPr>
          <w:bCs/>
          <w:color w:val="000000"/>
          <w:shd w:val="clear" w:color="auto" w:fill="FFFFFF"/>
        </w:rPr>
        <w:t>Section 418-103.01 of i</w:t>
      </w:r>
      <w:r w:rsidR="00BD39E7">
        <w:rPr>
          <w:bCs/>
          <w:color w:val="000000"/>
          <w:shd w:val="clear" w:color="auto" w:fill="FFFFFF"/>
        </w:rPr>
        <w:t xml:space="preserve">tem 1 of Schedule 1 to the </w:t>
      </w:r>
      <w:r w:rsidR="002A3BBA">
        <w:rPr>
          <w:bCs/>
          <w:color w:val="000000"/>
          <w:shd w:val="clear" w:color="auto" w:fill="FFFFFF"/>
        </w:rPr>
        <w:t xml:space="preserve">Amending </w:t>
      </w:r>
      <w:r w:rsidR="00BD39E7">
        <w:rPr>
          <w:bCs/>
          <w:color w:val="000000"/>
          <w:shd w:val="clear" w:color="auto" w:fill="FFFFFF"/>
        </w:rPr>
        <w:t xml:space="preserve">Regulations </w:t>
      </w:r>
      <w:r w:rsidR="00A517D1" w:rsidRPr="00A517D1">
        <w:t>increas</w:t>
      </w:r>
      <w:r w:rsidR="00066CFC">
        <w:t>es</w:t>
      </w:r>
      <w:r w:rsidR="00A517D1" w:rsidRPr="00A517D1">
        <w:t xml:space="preserve"> the amount of the annual exploration cap for </w:t>
      </w:r>
      <w:r w:rsidR="00066CFC">
        <w:t>the 2020-21 income year that is</w:t>
      </w:r>
      <w:r w:rsidR="00A517D1" w:rsidRPr="00A517D1">
        <w:t xml:space="preserve"> available to be allocated by the Australian Taxation Office under the incentive. The amount of the increase in the cap is the amount of credits</w:t>
      </w:r>
      <w:r w:rsidR="00DB6B9B">
        <w:t xml:space="preserve"> identified that has</w:t>
      </w:r>
      <w:r w:rsidR="00A517D1" w:rsidRPr="00A517D1">
        <w:t xml:space="preserve"> become unusable in prior income years despite having been allocated to small mineral</w:t>
      </w:r>
      <w:r w:rsidR="00BC0BDC">
        <w:t>s</w:t>
      </w:r>
      <w:r w:rsidR="00A517D1" w:rsidRPr="00A517D1">
        <w:t xml:space="preserve"> explor</w:t>
      </w:r>
      <w:r w:rsidR="00604AF4">
        <w:t>ation companies in a prior year</w:t>
      </w:r>
      <w:r w:rsidR="003E3FBC" w:rsidRPr="007C3BBA">
        <w:t>.</w:t>
      </w:r>
    </w:p>
    <w:p w14:paraId="1A2B6789" w14:textId="77777777" w:rsidR="00EA4DD8" w:rsidRDefault="00EA4DD8" w:rsidP="00EA4DD8">
      <w:pPr>
        <w:spacing w:before="0" w:after="0"/>
        <w:rPr>
          <w:b/>
          <w:kern w:val="28"/>
        </w:rPr>
      </w:pPr>
      <w:r>
        <w:br w:type="page"/>
      </w:r>
    </w:p>
    <w:p w14:paraId="0E2FAC05" w14:textId="77777777" w:rsidR="007A55A7" w:rsidRDefault="007A55A7" w:rsidP="00013390">
      <w:pPr>
        <w:pageBreakBefore/>
        <w:spacing w:before="240"/>
        <w:jc w:val="right"/>
        <w:rPr>
          <w:b/>
          <w:u w:val="single"/>
        </w:rPr>
      </w:pPr>
      <w:r w:rsidRPr="007B335E">
        <w:rPr>
          <w:b/>
          <w:u w:val="single"/>
        </w:rPr>
        <w:lastRenderedPageBreak/>
        <w:t xml:space="preserve">ATTACHMENT </w:t>
      </w:r>
      <w:r w:rsidR="00E91A13">
        <w:rPr>
          <w:b/>
          <w:u w:val="single"/>
        </w:rPr>
        <w:t>B</w:t>
      </w:r>
    </w:p>
    <w:p w14:paraId="55E6F21A" w14:textId="77777777" w:rsidR="00E4438C" w:rsidRPr="00462095" w:rsidRDefault="00E4438C" w:rsidP="008D7554">
      <w:pPr>
        <w:pStyle w:val="Heading3"/>
        <w:jc w:val="center"/>
      </w:pPr>
      <w:r w:rsidRPr="00462095">
        <w:t>Statement of Compatibility with Human Rights</w:t>
      </w:r>
    </w:p>
    <w:p w14:paraId="17E2AD12"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E16509F" w14:textId="1BA08934" w:rsidR="00E4438C" w:rsidRPr="00DB6B9B" w:rsidRDefault="00604AF4" w:rsidP="003E1CE3">
      <w:pPr>
        <w:pStyle w:val="Heading3"/>
        <w:jc w:val="center"/>
        <w:rPr>
          <w:i/>
        </w:rPr>
      </w:pPr>
      <w:r w:rsidRPr="00DB6B9B">
        <w:rPr>
          <w:i/>
        </w:rPr>
        <w:t>Income Tax Assessment Amendment (Exploration for Minerals) Regulations 2020</w:t>
      </w:r>
    </w:p>
    <w:p w14:paraId="691FCFBB"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4712F66" w14:textId="77777777" w:rsidR="00E4438C" w:rsidRPr="00647BB7" w:rsidRDefault="00E4438C" w:rsidP="003E1CE3">
      <w:pPr>
        <w:pStyle w:val="Heading3"/>
      </w:pPr>
      <w:r w:rsidRPr="00647BB7">
        <w:t>Overview of the Legislative Instrument</w:t>
      </w:r>
    </w:p>
    <w:p w14:paraId="05341634" w14:textId="60D27764" w:rsidR="00697D1B" w:rsidRPr="00647BB7" w:rsidRDefault="00697D1B" w:rsidP="00697D1B">
      <w:pPr>
        <w:spacing w:before="240"/>
      </w:pPr>
      <w:r>
        <w:t xml:space="preserve">The purpose of the </w:t>
      </w:r>
      <w:r w:rsidR="00066CFC" w:rsidRPr="00663634">
        <w:rPr>
          <w:i/>
        </w:rPr>
        <w:t>Income Tax Assessment Amendment (Exploration for Minerals) Regulations 2020</w:t>
      </w:r>
      <w:r w:rsidR="00066CFC">
        <w:t xml:space="preserve"> (the Amending Regulations) is to amend the </w:t>
      </w:r>
      <w:r w:rsidR="00066CFC" w:rsidRPr="00733A60">
        <w:rPr>
          <w:i/>
        </w:rPr>
        <w:t>Income Tax Assessment</w:t>
      </w:r>
      <w:r w:rsidR="00066CFC">
        <w:rPr>
          <w:i/>
        </w:rPr>
        <w:t xml:space="preserve"> Regulations 1997</w:t>
      </w:r>
      <w:r w:rsidR="00066CFC">
        <w:t xml:space="preserve"> to maximise the utilisation of exploration credits under the junior minerals exploration incentive.</w:t>
      </w:r>
    </w:p>
    <w:p w14:paraId="3A447A92" w14:textId="77777777" w:rsidR="00E4438C" w:rsidRPr="00647BB7" w:rsidRDefault="00E4438C" w:rsidP="003E1CE3">
      <w:pPr>
        <w:pStyle w:val="Heading3"/>
      </w:pPr>
      <w:r w:rsidRPr="00647BB7">
        <w:t>Human rights implications</w:t>
      </w:r>
    </w:p>
    <w:p w14:paraId="701EF6EC" w14:textId="77777777" w:rsidR="00E4438C" w:rsidRPr="00647BB7" w:rsidRDefault="00E4438C" w:rsidP="00647BB7">
      <w:pPr>
        <w:spacing w:before="240"/>
      </w:pPr>
      <w:r w:rsidRPr="00647BB7">
        <w:t>This Legislative Instrument does not engage any of the applicable rights or freedoms.</w:t>
      </w:r>
    </w:p>
    <w:p w14:paraId="6EF3AB4D" w14:textId="77777777" w:rsidR="00E4438C" w:rsidRPr="00647BB7" w:rsidRDefault="00E4438C" w:rsidP="003E1CE3">
      <w:pPr>
        <w:pStyle w:val="Heading3"/>
      </w:pPr>
      <w:r w:rsidRPr="00647BB7">
        <w:t>Conclusion</w:t>
      </w:r>
    </w:p>
    <w:p w14:paraId="14FF94A6" w14:textId="77777777" w:rsidR="00482B81" w:rsidRDefault="00E4438C" w:rsidP="00647BB7">
      <w:pPr>
        <w:spacing w:before="240"/>
      </w:pPr>
      <w:r w:rsidRPr="00647BB7">
        <w:t>This Legislative Instrument is compatible with human rights as it does not raise any human rights issues.</w:t>
      </w:r>
    </w:p>
    <w:p w14:paraId="2BF65888"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96E78" w14:textId="77777777" w:rsidR="00B57A43" w:rsidRDefault="00B57A43" w:rsidP="00954679">
      <w:pPr>
        <w:spacing w:before="0" w:after="0"/>
      </w:pPr>
      <w:r>
        <w:separator/>
      </w:r>
    </w:p>
  </w:endnote>
  <w:endnote w:type="continuationSeparator" w:id="0">
    <w:p w14:paraId="7FE9743B" w14:textId="77777777" w:rsidR="00B57A43" w:rsidRDefault="00B57A43" w:rsidP="00954679">
      <w:pPr>
        <w:spacing w:before="0" w:after="0"/>
      </w:pPr>
      <w:r>
        <w:continuationSeparator/>
      </w:r>
    </w:p>
  </w:endnote>
  <w:endnote w:type="continuationNotice" w:id="1">
    <w:p w14:paraId="029E489B" w14:textId="77777777" w:rsidR="00B57A43" w:rsidRDefault="00B57A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D39DEC6" w14:textId="10DAAFAE" w:rsidR="00B57A43" w:rsidRDefault="00B57A4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0631A">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0631A">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FD9B6" w14:textId="77777777" w:rsidR="00B57A43" w:rsidRDefault="00B57A43" w:rsidP="00954679">
      <w:pPr>
        <w:spacing w:before="0" w:after="0"/>
      </w:pPr>
      <w:r>
        <w:separator/>
      </w:r>
    </w:p>
  </w:footnote>
  <w:footnote w:type="continuationSeparator" w:id="0">
    <w:p w14:paraId="4734D167" w14:textId="77777777" w:rsidR="00B57A43" w:rsidRDefault="00B57A43" w:rsidP="00954679">
      <w:pPr>
        <w:spacing w:before="0" w:after="0"/>
      </w:pPr>
      <w:r>
        <w:continuationSeparator/>
      </w:r>
    </w:p>
  </w:footnote>
  <w:footnote w:type="continuationNotice" w:id="1">
    <w:p w14:paraId="7FD272CC" w14:textId="77777777" w:rsidR="00B57A43" w:rsidRDefault="00B57A4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F7"/>
    <w:rsid w:val="00013390"/>
    <w:rsid w:val="00016EA2"/>
    <w:rsid w:val="00066CFC"/>
    <w:rsid w:val="00066E7B"/>
    <w:rsid w:val="00076178"/>
    <w:rsid w:val="00095211"/>
    <w:rsid w:val="000B39A1"/>
    <w:rsid w:val="000C10DF"/>
    <w:rsid w:val="000C6935"/>
    <w:rsid w:val="000D0D8A"/>
    <w:rsid w:val="000F528F"/>
    <w:rsid w:val="0010388E"/>
    <w:rsid w:val="00113B45"/>
    <w:rsid w:val="00137D46"/>
    <w:rsid w:val="001B7535"/>
    <w:rsid w:val="001E6A74"/>
    <w:rsid w:val="001F41D0"/>
    <w:rsid w:val="002147FE"/>
    <w:rsid w:val="00220F16"/>
    <w:rsid w:val="00230FF4"/>
    <w:rsid w:val="00237EE1"/>
    <w:rsid w:val="00246948"/>
    <w:rsid w:val="00254C5B"/>
    <w:rsid w:val="002A3BBA"/>
    <w:rsid w:val="002A7E1F"/>
    <w:rsid w:val="002B7B30"/>
    <w:rsid w:val="002C226C"/>
    <w:rsid w:val="002C434D"/>
    <w:rsid w:val="003041FA"/>
    <w:rsid w:val="00313D78"/>
    <w:rsid w:val="003171BD"/>
    <w:rsid w:val="003342CD"/>
    <w:rsid w:val="00335042"/>
    <w:rsid w:val="00362B70"/>
    <w:rsid w:val="00362ECB"/>
    <w:rsid w:val="00382C99"/>
    <w:rsid w:val="00392BBA"/>
    <w:rsid w:val="003954FD"/>
    <w:rsid w:val="003C7907"/>
    <w:rsid w:val="003D60D7"/>
    <w:rsid w:val="003E1CE3"/>
    <w:rsid w:val="003E3FBC"/>
    <w:rsid w:val="0040631A"/>
    <w:rsid w:val="00462095"/>
    <w:rsid w:val="004677E8"/>
    <w:rsid w:val="00482B81"/>
    <w:rsid w:val="00482D4C"/>
    <w:rsid w:val="004B2941"/>
    <w:rsid w:val="004B3C0F"/>
    <w:rsid w:val="004C05E4"/>
    <w:rsid w:val="004E39E1"/>
    <w:rsid w:val="004F56D0"/>
    <w:rsid w:val="00503E44"/>
    <w:rsid w:val="00515283"/>
    <w:rsid w:val="005161E7"/>
    <w:rsid w:val="00533926"/>
    <w:rsid w:val="0055675D"/>
    <w:rsid w:val="00566E8F"/>
    <w:rsid w:val="0057422E"/>
    <w:rsid w:val="005833BE"/>
    <w:rsid w:val="005D7D5A"/>
    <w:rsid w:val="005E4BAC"/>
    <w:rsid w:val="0060130D"/>
    <w:rsid w:val="00604AF4"/>
    <w:rsid w:val="0064129F"/>
    <w:rsid w:val="00647BB7"/>
    <w:rsid w:val="00663634"/>
    <w:rsid w:val="00680297"/>
    <w:rsid w:val="006873CE"/>
    <w:rsid w:val="00697D1B"/>
    <w:rsid w:val="006A0786"/>
    <w:rsid w:val="006F6AFD"/>
    <w:rsid w:val="00710E94"/>
    <w:rsid w:val="00727D8A"/>
    <w:rsid w:val="00727F5C"/>
    <w:rsid w:val="00731FEA"/>
    <w:rsid w:val="00733A60"/>
    <w:rsid w:val="00736F61"/>
    <w:rsid w:val="00742253"/>
    <w:rsid w:val="00763B6F"/>
    <w:rsid w:val="007662C7"/>
    <w:rsid w:val="00776306"/>
    <w:rsid w:val="007A55A7"/>
    <w:rsid w:val="007B1F10"/>
    <w:rsid w:val="007B335E"/>
    <w:rsid w:val="007E018D"/>
    <w:rsid w:val="007F1B71"/>
    <w:rsid w:val="00806D25"/>
    <w:rsid w:val="00807E7D"/>
    <w:rsid w:val="00831675"/>
    <w:rsid w:val="00843D98"/>
    <w:rsid w:val="0088467C"/>
    <w:rsid w:val="00894579"/>
    <w:rsid w:val="008A5B67"/>
    <w:rsid w:val="008D16F7"/>
    <w:rsid w:val="008D7554"/>
    <w:rsid w:val="008E1427"/>
    <w:rsid w:val="008F3447"/>
    <w:rsid w:val="008F7327"/>
    <w:rsid w:val="0090080B"/>
    <w:rsid w:val="009124C2"/>
    <w:rsid w:val="009143A0"/>
    <w:rsid w:val="009331EF"/>
    <w:rsid w:val="00936902"/>
    <w:rsid w:val="00954679"/>
    <w:rsid w:val="009557B6"/>
    <w:rsid w:val="00965315"/>
    <w:rsid w:val="00966847"/>
    <w:rsid w:val="009A39CD"/>
    <w:rsid w:val="009C0A39"/>
    <w:rsid w:val="009C6A1E"/>
    <w:rsid w:val="009E2F86"/>
    <w:rsid w:val="009F6FF7"/>
    <w:rsid w:val="00A10093"/>
    <w:rsid w:val="00A12209"/>
    <w:rsid w:val="00A20895"/>
    <w:rsid w:val="00A36DF3"/>
    <w:rsid w:val="00A517D1"/>
    <w:rsid w:val="00A532DD"/>
    <w:rsid w:val="00A55B34"/>
    <w:rsid w:val="00A80BCF"/>
    <w:rsid w:val="00A81E34"/>
    <w:rsid w:val="00A8369C"/>
    <w:rsid w:val="00A95450"/>
    <w:rsid w:val="00AA1689"/>
    <w:rsid w:val="00AA5770"/>
    <w:rsid w:val="00AC0DBE"/>
    <w:rsid w:val="00AC1D15"/>
    <w:rsid w:val="00AF0D06"/>
    <w:rsid w:val="00B07B0C"/>
    <w:rsid w:val="00B20E5A"/>
    <w:rsid w:val="00B25563"/>
    <w:rsid w:val="00B26D48"/>
    <w:rsid w:val="00B4067B"/>
    <w:rsid w:val="00B42EE1"/>
    <w:rsid w:val="00B516EC"/>
    <w:rsid w:val="00B57A43"/>
    <w:rsid w:val="00B8293D"/>
    <w:rsid w:val="00B92478"/>
    <w:rsid w:val="00BA6188"/>
    <w:rsid w:val="00BC0BDC"/>
    <w:rsid w:val="00BC7066"/>
    <w:rsid w:val="00BD39E7"/>
    <w:rsid w:val="00BD61A2"/>
    <w:rsid w:val="00BE05B6"/>
    <w:rsid w:val="00BE484D"/>
    <w:rsid w:val="00BF40E3"/>
    <w:rsid w:val="00C029C8"/>
    <w:rsid w:val="00C03F97"/>
    <w:rsid w:val="00C37E05"/>
    <w:rsid w:val="00C50EF0"/>
    <w:rsid w:val="00C55955"/>
    <w:rsid w:val="00C55D29"/>
    <w:rsid w:val="00C94391"/>
    <w:rsid w:val="00CA0BE9"/>
    <w:rsid w:val="00CA138D"/>
    <w:rsid w:val="00CC7641"/>
    <w:rsid w:val="00CD73F4"/>
    <w:rsid w:val="00CE2CD5"/>
    <w:rsid w:val="00D13794"/>
    <w:rsid w:val="00D24052"/>
    <w:rsid w:val="00D24386"/>
    <w:rsid w:val="00D31575"/>
    <w:rsid w:val="00D34626"/>
    <w:rsid w:val="00D34FB4"/>
    <w:rsid w:val="00D4257A"/>
    <w:rsid w:val="00D46156"/>
    <w:rsid w:val="00D476E3"/>
    <w:rsid w:val="00D62665"/>
    <w:rsid w:val="00D82E47"/>
    <w:rsid w:val="00DA1757"/>
    <w:rsid w:val="00DB6B9B"/>
    <w:rsid w:val="00DC0CDE"/>
    <w:rsid w:val="00DC4D72"/>
    <w:rsid w:val="00E03A4B"/>
    <w:rsid w:val="00E0624D"/>
    <w:rsid w:val="00E13A9C"/>
    <w:rsid w:val="00E4438C"/>
    <w:rsid w:val="00E457F3"/>
    <w:rsid w:val="00E91A13"/>
    <w:rsid w:val="00E9749E"/>
    <w:rsid w:val="00EA4DD8"/>
    <w:rsid w:val="00EB16BB"/>
    <w:rsid w:val="00EB2AEF"/>
    <w:rsid w:val="00EB7E71"/>
    <w:rsid w:val="00EE34E6"/>
    <w:rsid w:val="00F109D4"/>
    <w:rsid w:val="00F15EE9"/>
    <w:rsid w:val="00F47585"/>
    <w:rsid w:val="00F541B0"/>
    <w:rsid w:val="00F64FA6"/>
    <w:rsid w:val="00F74B59"/>
    <w:rsid w:val="00F80BEF"/>
    <w:rsid w:val="00F82600"/>
    <w:rsid w:val="00F85E6F"/>
    <w:rsid w:val="00FB7251"/>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384E6"/>
  <w15:docId w15:val="{AF72FEF3-0595-4677-ABE2-D00BD39F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0B40EDE7744305BE0C60F52F5EBA6E"/>
        <w:category>
          <w:name w:val="General"/>
          <w:gallery w:val="placeholder"/>
        </w:category>
        <w:types>
          <w:type w:val="bbPlcHdr"/>
        </w:types>
        <w:behaviors>
          <w:behavior w:val="content"/>
        </w:behaviors>
        <w:guid w:val="{4211695F-32A6-4C8D-95C4-6D9E1E860E09}"/>
      </w:docPartPr>
      <w:docPartBody>
        <w:p w:rsidR="00C5267E" w:rsidRDefault="00C5267E">
          <w:pPr>
            <w:pStyle w:val="D20B40EDE7744305BE0C60F52F5EBA6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7E"/>
    <w:rsid w:val="00412432"/>
    <w:rsid w:val="00C52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0B40EDE7744305BE0C60F52F5EBA6E">
    <w:name w:val="D20B40EDE7744305BE0C60F52F5EBA6E"/>
  </w:style>
  <w:style w:type="paragraph" w:customStyle="1" w:styleId="E3BF95412933460CAF355323F5DD19D9">
    <w:name w:val="E3BF95412933460CAF355323F5DD19D9"/>
  </w:style>
  <w:style w:type="paragraph" w:customStyle="1" w:styleId="C7FE59694C934DADAEB9F4FAF0037558">
    <w:name w:val="C7FE59694C934DADAEB9F4FAF0037558"/>
  </w:style>
  <w:style w:type="paragraph" w:customStyle="1" w:styleId="1B7B4C4DDDE144BF8E9279658B60A4DD">
    <w:name w:val="1B7B4C4DDDE144BF8E9279658B60A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6232" ma:contentTypeDescription=" " ma:contentTypeScope="" ma:versionID="4786267383e695c4a35ff5d961bb745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2020RG-111-13457</_dlc_DocId>
    <_dlc_DocIdUrl xmlns="0f563589-9cf9-4143-b1eb-fb0534803d38">
      <Url>http://tweb/sites/rg/ldp/lmu/_layouts/15/DocIdRedir.aspx?ID=2020RG-111-13457</Url>
      <Description>2020RG-111-13457</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0E3E53B5-65C9-4A82-AE80-D3FE51E81AA5}"/>
</file>

<file path=customXml/itemProps3.xml><?xml version="1.0" encoding="utf-8"?>
<ds:datastoreItem xmlns:ds="http://schemas.openxmlformats.org/officeDocument/2006/customXml" ds:itemID="{46278533-3486-40E5-9013-DD26FD164D39}">
  <ds:schemaRefs>
    <ds:schemaRef ds:uri="http://schemas.microsoft.com/sharepoint/v4"/>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9f7bc583-7cbe-45b9-a2bd-8bbb6543b37e"/>
    <ds:schemaRef ds:uri="0f563589-9cf9-4143-b1eb-fb0534803d38"/>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FA832907-CE75-4DCD-9705-A49F5D0ABF27}">
  <ds:schemaRefs>
    <ds:schemaRef ds:uri="http://schemas.microsoft.com/sharepoint/event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2A01AF70-BA90-464B-98F2-21C1A9A7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4</Pages>
  <Words>960</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Rizalar, Suna</dc:creator>
  <cp:lastModifiedBy>Anderson, Roslyn</cp:lastModifiedBy>
  <cp:revision>2</cp:revision>
  <cp:lastPrinted>2019-02-17T23:23:00Z</cp:lastPrinted>
  <dcterms:created xsi:type="dcterms:W3CDTF">2020-01-17T03:18:00Z</dcterms:created>
  <dcterms:modified xsi:type="dcterms:W3CDTF">2020-01-17T03:18:00Z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-1802473204</vt:i4>
  </property>
  <property fmtid="{D5CDD505-2E9C-101B-9397-08002B2CF9AE}" pid="3" name="_NewReviewCycle">
    <vt:lpwstr/>
  </property>
  <property fmtid="{D5CDD505-2E9C-101B-9397-08002B2CF9AE}" pid="4" name="_EmailSubject">
    <vt:lpwstr>Final documents junior minerals regulations</vt:lpwstr>
  </property>
  <property fmtid="{D5CDD505-2E9C-101B-9397-08002B2CF9AE}" pid="5" name="_AuthorEmail">
    <vt:lpwstr>Phil.Bignell@TREASURY.GOV.AU</vt:lpwstr>
  </property>
  <property fmtid="{D5CDD505-2E9C-101B-9397-08002B2CF9AE}" pid="6" name="_AuthorEmailDisplayName">
    <vt:lpwstr>Bignell, Phil</vt:lpwstr>
  </property>
  <property fmtid="{D5CDD505-2E9C-101B-9397-08002B2CF9AE}" pid="7" name="ContentTypeId">
    <vt:lpwstr>0x01010036BB8DE7EC542E42A8B2E98CC20CB69700D5C18F41BA18FB44827A222ACD6776F5</vt:lpwstr>
  </property>
  <property fmtid="{D5CDD505-2E9C-101B-9397-08002B2CF9AE}" pid="8" name="_PreviousAdHocReviewCycleID">
    <vt:i4>-1533705720</vt:i4>
  </property>
  <property fmtid="{D5CDD505-2E9C-101B-9397-08002B2CF9AE}" pid="9" name="TSYRecordClass">
    <vt:lpwstr>11;#TSY RA-9237 - Destroy 5 years after action completed|9f1a030e-81bf-44c5-98eb-4d5d869a40d5</vt:lpwstr>
  </property>
  <property fmtid="{D5CDD505-2E9C-101B-9397-08002B2CF9AE}" pid="10" name="_dlc_DocIdItemGuid">
    <vt:lpwstr>46a6efdd-4950-4e1f-975b-e7bb759ae897</vt:lpwstr>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ActiveItemUniqueId">
    <vt:lpwstr>{46a6efdd-4950-4e1f-975b-e7bb759ae897}</vt:lpwstr>
  </property>
  <property fmtid="{D5CDD505-2E9C-101B-9397-08002B2CF9AE}" pid="16" name="RecordPoint_SubmissionDate">
    <vt:lpwstr/>
  </property>
  <property fmtid="{D5CDD505-2E9C-101B-9397-08002B2CF9AE}" pid="17" name="RecordPoint_RecordNumberSubmitted">
    <vt:lpwstr>R0002210332</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2020-02-02T12:49:45.0551258+11:00</vt:lpwstr>
  </property>
  <property fmtid="{D5CDD505-2E9C-101B-9397-08002B2CF9AE}" pid="21" name="_ReviewingToolsShownOnce">
    <vt:lpwstr/>
  </property>
</Properties>
</file>