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F633D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4A70A022" wp14:editId="5DBC157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F0449" w14:textId="77777777" w:rsidR="00715914" w:rsidRPr="00E500D4" w:rsidRDefault="00715914" w:rsidP="00715914">
      <w:pPr>
        <w:rPr>
          <w:sz w:val="19"/>
        </w:rPr>
      </w:pPr>
    </w:p>
    <w:p w14:paraId="3A74385D" w14:textId="23EA39D1" w:rsidR="00715914" w:rsidRPr="00833FD6" w:rsidRDefault="00A85002" w:rsidP="00715914">
      <w:pPr>
        <w:pStyle w:val="ShortT"/>
        <w:rPr>
          <w:szCs w:val="40"/>
        </w:rPr>
      </w:pPr>
      <w:r w:rsidRPr="00833FD6">
        <w:rPr>
          <w:szCs w:val="40"/>
        </w:rPr>
        <w:t>Migration</w:t>
      </w:r>
      <w:r w:rsidR="0038049F" w:rsidRPr="00833FD6">
        <w:rPr>
          <w:szCs w:val="40"/>
        </w:rPr>
        <w:t xml:space="preserve"> (</w:t>
      </w:r>
      <w:r w:rsidR="00176A3B" w:rsidRPr="00833FD6">
        <w:rPr>
          <w:szCs w:val="40"/>
        </w:rPr>
        <w:t>LIN</w:t>
      </w:r>
      <w:r w:rsidR="00032FA6">
        <w:rPr>
          <w:szCs w:val="40"/>
        </w:rPr>
        <w:t xml:space="preserve"> 20/029</w:t>
      </w:r>
      <w:r w:rsidRPr="00833FD6">
        <w:rPr>
          <w:szCs w:val="40"/>
        </w:rPr>
        <w:t xml:space="preserve">: Determination of International Trade Obligations </w:t>
      </w:r>
      <w:r w:rsidR="00662F7E" w:rsidRPr="00833FD6">
        <w:rPr>
          <w:szCs w:val="40"/>
        </w:rPr>
        <w:t>R</w:t>
      </w:r>
      <w:r w:rsidRPr="00833FD6">
        <w:rPr>
          <w:szCs w:val="40"/>
        </w:rPr>
        <w:t>elating to Labour Market Testing</w:t>
      </w:r>
      <w:r w:rsidR="0038049F" w:rsidRPr="00833FD6">
        <w:rPr>
          <w:szCs w:val="40"/>
        </w:rPr>
        <w:t xml:space="preserve">) Instrument </w:t>
      </w:r>
      <w:r w:rsidR="00032FA6">
        <w:rPr>
          <w:szCs w:val="40"/>
        </w:rPr>
        <w:t>2020</w:t>
      </w:r>
    </w:p>
    <w:p w14:paraId="258EEE4A" w14:textId="73FFC941" w:rsidR="00A75FE9" w:rsidRPr="00BA64B0" w:rsidRDefault="00A75FE9" w:rsidP="0097524B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BA64B0">
        <w:rPr>
          <w:szCs w:val="22"/>
        </w:rPr>
        <w:t xml:space="preserve">I, </w:t>
      </w:r>
      <w:r w:rsidR="00182B6B" w:rsidRPr="00BA64B0">
        <w:rPr>
          <w:szCs w:val="22"/>
        </w:rPr>
        <w:t>Alan Tudge</w:t>
      </w:r>
      <w:r w:rsidRPr="00BA64B0">
        <w:rPr>
          <w:szCs w:val="22"/>
        </w:rPr>
        <w:t>,</w:t>
      </w:r>
      <w:r w:rsidR="004033A3" w:rsidRPr="00BA64B0">
        <w:rPr>
          <w:szCs w:val="22"/>
        </w:rPr>
        <w:t xml:space="preserve"> </w:t>
      </w:r>
      <w:r w:rsidR="004033A3" w:rsidRPr="00BA64B0">
        <w:rPr>
          <w:szCs w:val="22"/>
          <w:lang w:val="en"/>
        </w:rPr>
        <w:t>Minister for Population, Cities and Urban Infrastructure, on behalf of</w:t>
      </w:r>
      <w:r w:rsidR="004033A3" w:rsidRPr="00BA64B0">
        <w:rPr>
          <w:szCs w:val="22"/>
        </w:rPr>
        <w:t xml:space="preserve"> </w:t>
      </w:r>
      <w:r w:rsidR="0014077B" w:rsidRPr="00BA64B0">
        <w:rPr>
          <w:szCs w:val="22"/>
        </w:rPr>
        <w:t xml:space="preserve">the </w:t>
      </w:r>
      <w:r w:rsidR="00A85002" w:rsidRPr="00BA64B0">
        <w:rPr>
          <w:szCs w:val="22"/>
        </w:rPr>
        <w:t xml:space="preserve">Minister for </w:t>
      </w:r>
      <w:r w:rsidR="0018488D" w:rsidRPr="00BA64B0">
        <w:rPr>
          <w:szCs w:val="22"/>
        </w:rPr>
        <w:t>Immigration, Citizenship</w:t>
      </w:r>
      <w:r w:rsidR="0080792E" w:rsidRPr="00BA64B0">
        <w:rPr>
          <w:szCs w:val="22"/>
        </w:rPr>
        <w:t>, Migrant Services</w:t>
      </w:r>
      <w:r w:rsidR="0018488D" w:rsidRPr="00BA64B0">
        <w:rPr>
          <w:szCs w:val="22"/>
        </w:rPr>
        <w:t xml:space="preserve"> and Multicultural Affa</w:t>
      </w:r>
      <w:r w:rsidR="00176A3B" w:rsidRPr="00BA64B0">
        <w:rPr>
          <w:szCs w:val="22"/>
        </w:rPr>
        <w:t>irs</w:t>
      </w:r>
      <w:r w:rsidRPr="00BA64B0">
        <w:rPr>
          <w:szCs w:val="22"/>
        </w:rPr>
        <w:t xml:space="preserve">, </w:t>
      </w:r>
      <w:r w:rsidR="00BB1533" w:rsidRPr="00BA64B0">
        <w:rPr>
          <w:szCs w:val="22"/>
        </w:rPr>
        <w:t>make the following</w:t>
      </w:r>
      <w:r w:rsidR="004C4E59" w:rsidRPr="00BA64B0">
        <w:rPr>
          <w:szCs w:val="22"/>
        </w:rPr>
        <w:t xml:space="preserve"> instrument</w:t>
      </w:r>
      <w:r w:rsidRPr="00BA64B0">
        <w:rPr>
          <w:szCs w:val="22"/>
        </w:rPr>
        <w:t>.</w:t>
      </w:r>
    </w:p>
    <w:p w14:paraId="166272F3" w14:textId="77777777" w:rsidR="00607AD8" w:rsidRDefault="00A75FE9" w:rsidP="00607AD8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  <w:r w:rsidRPr="00BA64B0">
        <w:rPr>
          <w:rFonts w:cs="Times New Roman"/>
          <w:szCs w:val="22"/>
        </w:rPr>
        <w:t>Dated</w:t>
      </w:r>
      <w:r w:rsidR="00607AD8">
        <w:rPr>
          <w:rFonts w:cs="Times New Roman"/>
          <w:szCs w:val="22"/>
        </w:rPr>
        <w:t>:  28.01.</w:t>
      </w:r>
      <w:r w:rsidR="004033A3" w:rsidRPr="00BA64B0">
        <w:rPr>
          <w:rFonts w:cs="Times New Roman"/>
          <w:szCs w:val="22"/>
        </w:rPr>
        <w:t>2020</w:t>
      </w:r>
    </w:p>
    <w:p w14:paraId="3D1AEA63" w14:textId="77777777" w:rsidR="00607AD8" w:rsidRDefault="00607AD8" w:rsidP="00607AD8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</w:p>
    <w:p w14:paraId="6125F1A1" w14:textId="77777777" w:rsidR="00607AD8" w:rsidRDefault="00607AD8" w:rsidP="00607AD8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Alan Tudge </w:t>
      </w:r>
    </w:p>
    <w:p w14:paraId="08EFFBB2" w14:textId="77777777" w:rsidR="00607AD8" w:rsidRDefault="00607AD8" w:rsidP="00607AD8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</w:p>
    <w:p w14:paraId="4B46F7B8" w14:textId="31439676" w:rsidR="0014077B" w:rsidRPr="00607AD8" w:rsidRDefault="0080792E" w:rsidP="00607AD8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  <w:bookmarkStart w:id="0" w:name="_GoBack"/>
      <w:bookmarkEnd w:id="0"/>
      <w:r w:rsidRPr="00BA64B0">
        <w:rPr>
          <w:rFonts w:cs="Times New Roman"/>
          <w:szCs w:val="22"/>
        </w:rPr>
        <w:t xml:space="preserve">The Hon </w:t>
      </w:r>
      <w:r w:rsidR="00182B6B" w:rsidRPr="00BA64B0">
        <w:rPr>
          <w:rFonts w:cs="Times New Roman"/>
          <w:szCs w:val="22"/>
        </w:rPr>
        <w:t>Alan Tudge</w:t>
      </w:r>
      <w:r w:rsidRPr="00BA64B0">
        <w:rPr>
          <w:rFonts w:cs="Times New Roman"/>
          <w:szCs w:val="22"/>
        </w:rPr>
        <w:t xml:space="preserve"> MP </w:t>
      </w:r>
      <w:r w:rsidR="00330510">
        <w:rPr>
          <w:rFonts w:cs="Times New Roman"/>
          <w:szCs w:val="22"/>
        </w:rPr>
        <w:tab/>
      </w:r>
    </w:p>
    <w:p w14:paraId="01942420" w14:textId="77777777" w:rsidR="0014077B" w:rsidRPr="00BA64B0" w:rsidRDefault="004033A3" w:rsidP="0014077B">
      <w:pPr>
        <w:keepNext/>
        <w:tabs>
          <w:tab w:val="left" w:pos="3402"/>
        </w:tabs>
        <w:spacing w:line="300" w:lineRule="atLeast"/>
        <w:ind w:right="397"/>
        <w:rPr>
          <w:rFonts w:cs="Times New Roman"/>
          <w:szCs w:val="22"/>
          <w:lang w:val="en"/>
        </w:rPr>
      </w:pPr>
      <w:r w:rsidRPr="00BA64B0">
        <w:rPr>
          <w:rFonts w:cs="Times New Roman"/>
          <w:szCs w:val="22"/>
          <w:lang w:val="en"/>
        </w:rPr>
        <w:t xml:space="preserve">Minister for Population, </w:t>
      </w:r>
      <w:r w:rsidR="00117A03" w:rsidRPr="00BA64B0">
        <w:rPr>
          <w:rFonts w:cs="Times New Roman"/>
          <w:szCs w:val="22"/>
          <w:lang w:val="en"/>
        </w:rPr>
        <w:t>Cities and Urban Infrastructure</w:t>
      </w:r>
      <w:r w:rsidR="0014077B" w:rsidRPr="00BA64B0">
        <w:rPr>
          <w:rFonts w:cs="Times New Roman"/>
          <w:szCs w:val="22"/>
          <w:lang w:val="en"/>
        </w:rPr>
        <w:t xml:space="preserve"> </w:t>
      </w:r>
    </w:p>
    <w:p w14:paraId="0D631A37" w14:textId="48CA4360" w:rsidR="004033A3" w:rsidRPr="00BA64B0" w:rsidRDefault="004033A3" w:rsidP="0014077B">
      <w:pPr>
        <w:keepNext/>
        <w:tabs>
          <w:tab w:val="left" w:pos="3402"/>
        </w:tabs>
        <w:spacing w:line="300" w:lineRule="atLeast"/>
        <w:ind w:right="397"/>
        <w:rPr>
          <w:rFonts w:cs="Times New Roman"/>
          <w:szCs w:val="22"/>
          <w:lang w:val="en"/>
        </w:rPr>
      </w:pPr>
      <w:proofErr w:type="gramStart"/>
      <w:r w:rsidRPr="00BA64B0">
        <w:rPr>
          <w:rFonts w:cs="Times New Roman"/>
          <w:szCs w:val="22"/>
          <w:lang w:val="en"/>
        </w:rPr>
        <w:t>on</w:t>
      </w:r>
      <w:proofErr w:type="gramEnd"/>
      <w:r w:rsidRPr="00BA64B0">
        <w:rPr>
          <w:rFonts w:cs="Times New Roman"/>
          <w:szCs w:val="22"/>
          <w:lang w:val="en"/>
        </w:rPr>
        <w:t xml:space="preserve"> behalf of </w:t>
      </w:r>
      <w:r w:rsidR="0014077B" w:rsidRPr="00BA64B0">
        <w:rPr>
          <w:rFonts w:cs="Times New Roman"/>
          <w:szCs w:val="22"/>
          <w:lang w:val="en"/>
        </w:rPr>
        <w:t xml:space="preserve">the </w:t>
      </w:r>
      <w:r w:rsidRPr="00BA64B0">
        <w:rPr>
          <w:rFonts w:cs="Times New Roman"/>
          <w:szCs w:val="22"/>
        </w:rPr>
        <w:t>Minister for Immigration, Citizenship, Migrant Services and</w:t>
      </w:r>
      <w:r w:rsidR="0097524B" w:rsidRPr="00BA64B0">
        <w:rPr>
          <w:rFonts w:cs="Times New Roman"/>
          <w:szCs w:val="22"/>
        </w:rPr>
        <w:br/>
      </w:r>
      <w:r w:rsidRPr="00BA64B0">
        <w:rPr>
          <w:rFonts w:cs="Times New Roman"/>
          <w:szCs w:val="22"/>
        </w:rPr>
        <w:t>Multicultural Affairs</w:t>
      </w:r>
    </w:p>
    <w:p w14:paraId="05A0B9FA" w14:textId="583E56B1" w:rsidR="00205D77" w:rsidRDefault="00205D77" w:rsidP="00205D77">
      <w:pPr>
        <w:pStyle w:val="SignCoverPageEnd"/>
        <w:spacing w:line="240" w:lineRule="auto"/>
        <w:rPr>
          <w:sz w:val="22"/>
          <w:szCs w:val="22"/>
        </w:rPr>
      </w:pPr>
    </w:p>
    <w:p w14:paraId="020B551C" w14:textId="77777777" w:rsidR="00205D77" w:rsidRDefault="00205D77" w:rsidP="00205D77">
      <w:pPr>
        <w:rPr>
          <w:lang w:eastAsia="en-AU"/>
        </w:rPr>
      </w:pPr>
    </w:p>
    <w:p w14:paraId="07CCC9E0" w14:textId="77777777" w:rsidR="00205D77" w:rsidRPr="004033A3" w:rsidRDefault="00205D77" w:rsidP="00205D77">
      <w:pPr>
        <w:rPr>
          <w:lang w:eastAsia="en-AU"/>
        </w:rPr>
      </w:pPr>
    </w:p>
    <w:p w14:paraId="296935C9" w14:textId="77777777" w:rsidR="004033A3" w:rsidRPr="00205D77" w:rsidRDefault="004033A3" w:rsidP="004033A3"/>
    <w:p w14:paraId="07154578" w14:textId="77777777" w:rsidR="00F6696E" w:rsidRDefault="00F6696E" w:rsidP="00F6696E"/>
    <w:p w14:paraId="5616D007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43788A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182BFB8" w14:textId="77777777" w:rsidR="0026551E" w:rsidRDefault="0026551E" w:rsidP="00715914">
      <w:pPr>
        <w:outlineLvl w:val="0"/>
        <w:rPr>
          <w:rFonts w:eastAsia="Times New Roman" w:cs="Times New Roman"/>
          <w:b/>
          <w:noProof/>
          <w:kern w:val="28"/>
          <w:sz w:val="24"/>
          <w:lang w:eastAsia="en-AU"/>
        </w:rPr>
      </w:pPr>
    </w:p>
    <w:p w14:paraId="7BBC1822" w14:textId="77FD0DBD" w:rsidR="00330510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330510" w:rsidRPr="00916A22">
        <w:rPr>
          <w:noProof/>
        </w:rPr>
        <w:t>Part 1 – Preliminary</w:t>
      </w:r>
      <w:r w:rsidR="00330510">
        <w:rPr>
          <w:noProof/>
        </w:rPr>
        <w:tab/>
      </w:r>
      <w:r w:rsidR="00330510">
        <w:rPr>
          <w:noProof/>
        </w:rPr>
        <w:fldChar w:fldCharType="begin"/>
      </w:r>
      <w:r w:rsidR="00330510">
        <w:rPr>
          <w:noProof/>
        </w:rPr>
        <w:instrText xml:space="preserve"> PAGEREF _Toc29906122 \h </w:instrText>
      </w:r>
      <w:r w:rsidR="00330510">
        <w:rPr>
          <w:noProof/>
        </w:rPr>
      </w:r>
      <w:r w:rsidR="00330510">
        <w:rPr>
          <w:noProof/>
        </w:rPr>
        <w:fldChar w:fldCharType="separate"/>
      </w:r>
      <w:r w:rsidR="00330510">
        <w:rPr>
          <w:noProof/>
        </w:rPr>
        <w:t>1</w:t>
      </w:r>
      <w:r w:rsidR="00330510">
        <w:rPr>
          <w:noProof/>
        </w:rPr>
        <w:fldChar w:fldCharType="end"/>
      </w:r>
    </w:p>
    <w:p w14:paraId="79F6CB4E" w14:textId="360B30C3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BE27264" w14:textId="3E3BFCF4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4B0DF8" w14:textId="404832BF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F6399F2" w14:textId="3B1FFBD7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158AE4" w14:textId="7904B606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7E2C97" w14:textId="31B9AC1E" w:rsidR="00330510" w:rsidRDefault="0033051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916A22">
        <w:rPr>
          <w:noProof/>
        </w:rPr>
        <w:t>Part 2 – Determination of international trade obligations relating to labour market testing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7815593" w14:textId="4920DF6D" w:rsidR="00330510" w:rsidRDefault="003305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6  International trade obligations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_Toc29906129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7DA0C3A" w14:textId="10ADEF25" w:rsidR="00F6696E" w:rsidRDefault="00B418CB" w:rsidP="00BF647F">
      <w:pPr>
        <w:pStyle w:val="TOC9"/>
      </w:pPr>
      <w:r>
        <w:fldChar w:fldCharType="end"/>
      </w:r>
    </w:p>
    <w:p w14:paraId="33140854" w14:textId="77777777" w:rsidR="00F6696E" w:rsidRPr="00A802BC" w:rsidRDefault="00F6696E" w:rsidP="00F6696E">
      <w:pPr>
        <w:outlineLvl w:val="0"/>
        <w:rPr>
          <w:sz w:val="20"/>
        </w:rPr>
      </w:pPr>
    </w:p>
    <w:p w14:paraId="229050A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725A0E" w14:textId="77777777" w:rsidR="00E03F87" w:rsidRPr="009E2664" w:rsidRDefault="00C24B6E" w:rsidP="009E2664">
      <w:pPr>
        <w:pStyle w:val="ActHead6"/>
        <w:rPr>
          <w:b w:val="0"/>
        </w:rPr>
      </w:pPr>
      <w:bookmarkStart w:id="1" w:name="_Toc29906122"/>
      <w:r w:rsidRPr="009E2664">
        <w:rPr>
          <w:rFonts w:ascii="Times New Roman" w:hAnsi="Times New Roman"/>
        </w:rPr>
        <w:lastRenderedPageBreak/>
        <w:t>Part 1 –</w:t>
      </w:r>
      <w:r w:rsidR="00E03F87" w:rsidRPr="009E2664">
        <w:rPr>
          <w:rFonts w:ascii="Times New Roman" w:hAnsi="Times New Roman"/>
        </w:rPr>
        <w:t xml:space="preserve"> Preliminary</w:t>
      </w:r>
      <w:bookmarkEnd w:id="1"/>
    </w:p>
    <w:p w14:paraId="5EF58095" w14:textId="77777777" w:rsidR="00A75FE9" w:rsidRPr="009C2562" w:rsidRDefault="00A75FE9" w:rsidP="00A75FE9">
      <w:pPr>
        <w:pStyle w:val="ActHead5"/>
      </w:pPr>
      <w:bookmarkStart w:id="2" w:name="_Toc29906123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2"/>
      <w:proofErr w:type="gramEnd"/>
    </w:p>
    <w:p w14:paraId="088431DD" w14:textId="7369CADE" w:rsidR="006C1D47" w:rsidRDefault="006C1D47" w:rsidP="00AB4D6E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 w:rsidR="00A75FE9" w:rsidRPr="009C2562">
        <w:tab/>
        <w:t xml:space="preserve">This </w:t>
      </w:r>
      <w:r w:rsidR="004C4E59">
        <w:t xml:space="preserve">instrument </w:t>
      </w:r>
      <w:r w:rsidR="00A75FE9" w:rsidRPr="009C2562">
        <w:t xml:space="preserve">is the </w:t>
      </w:r>
      <w:bookmarkStart w:id="3" w:name="BKCheck15B_3"/>
      <w:bookmarkEnd w:id="3"/>
      <w:r w:rsidR="00A85002" w:rsidRPr="00A85002">
        <w:rPr>
          <w:i/>
        </w:rPr>
        <w:t>Migration (</w:t>
      </w:r>
      <w:r>
        <w:rPr>
          <w:i/>
        </w:rPr>
        <w:t>LIN</w:t>
      </w:r>
      <w:r w:rsidR="00032FA6">
        <w:rPr>
          <w:i/>
        </w:rPr>
        <w:t xml:space="preserve"> 20/029</w:t>
      </w:r>
      <w:r w:rsidR="00A85002" w:rsidRPr="00A85002">
        <w:rPr>
          <w:i/>
        </w:rPr>
        <w:t xml:space="preserve">: Determination of International Trade Obligations </w:t>
      </w:r>
      <w:r w:rsidR="00934418">
        <w:rPr>
          <w:i/>
        </w:rPr>
        <w:t>R</w:t>
      </w:r>
      <w:r w:rsidR="00A85002" w:rsidRPr="00A85002">
        <w:rPr>
          <w:i/>
        </w:rPr>
        <w:t xml:space="preserve">elating to Labour Market Testing) Instrument </w:t>
      </w:r>
      <w:r w:rsidR="00934418" w:rsidRPr="00A85002">
        <w:rPr>
          <w:i/>
        </w:rPr>
        <w:t>20</w:t>
      </w:r>
      <w:r w:rsidR="00934418">
        <w:rPr>
          <w:i/>
        </w:rPr>
        <w:t>20</w:t>
      </w:r>
      <w:r w:rsidR="00A75FE9" w:rsidRPr="009C2562">
        <w:t>.</w:t>
      </w:r>
      <w:r w:rsidR="00100531">
        <w:t xml:space="preserve"> </w:t>
      </w:r>
    </w:p>
    <w:p w14:paraId="0B52C87F" w14:textId="3742D38B" w:rsidR="00A75FE9" w:rsidRDefault="006C1D47" w:rsidP="00AB4D6E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 xml:space="preserve">(2) </w:t>
      </w:r>
      <w:r>
        <w:tab/>
        <w:t xml:space="preserve">This instrument </w:t>
      </w:r>
      <w:r w:rsidR="00100531">
        <w:t xml:space="preserve">may be cited as </w:t>
      </w:r>
      <w:r>
        <w:t>LIN</w:t>
      </w:r>
      <w:r w:rsidR="00100531">
        <w:t xml:space="preserve"> </w:t>
      </w:r>
      <w:r w:rsidR="00032FA6">
        <w:t>20/029</w:t>
      </w:r>
      <w:r w:rsidR="00A85002">
        <w:t>.</w:t>
      </w:r>
      <w:r w:rsidR="00100531">
        <w:t xml:space="preserve"> </w:t>
      </w:r>
    </w:p>
    <w:p w14:paraId="01E266FD" w14:textId="42165BD4" w:rsidR="00A75FE9" w:rsidRDefault="00A75FE9" w:rsidP="00AB4D6E">
      <w:pPr>
        <w:pStyle w:val="ActHead5"/>
        <w:spacing w:line="276" w:lineRule="auto"/>
      </w:pPr>
      <w:bookmarkStart w:id="4" w:name="_Toc2990612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48CA7554" w14:textId="061AE67A" w:rsidR="00EA24ED" w:rsidRDefault="00F41CB8" w:rsidP="00AB4D6E">
      <w:pPr>
        <w:pStyle w:val="subsection"/>
        <w:numPr>
          <w:ilvl w:val="0"/>
          <w:numId w:val="23"/>
        </w:numPr>
        <w:tabs>
          <w:tab w:val="clear" w:pos="1021"/>
          <w:tab w:val="left" w:pos="1134"/>
        </w:tabs>
        <w:spacing w:after="240" w:line="276" w:lineRule="auto"/>
        <w:rPr>
          <w:szCs w:val="22"/>
        </w:rPr>
      </w:pPr>
      <w:r>
        <w:rPr>
          <w:szCs w:val="22"/>
        </w:rPr>
        <w:t xml:space="preserve">Each provision </w:t>
      </w:r>
      <w:r w:rsidR="00EA24ED">
        <w:rPr>
          <w:szCs w:val="22"/>
        </w:rPr>
        <w:t xml:space="preserve">specified in column 1 of the table </w:t>
      </w:r>
      <w:r>
        <w:rPr>
          <w:szCs w:val="22"/>
        </w:rPr>
        <w:t xml:space="preserve">below </w:t>
      </w:r>
      <w:r w:rsidR="00EA24ED">
        <w:rPr>
          <w:szCs w:val="22"/>
        </w:rPr>
        <w:t xml:space="preserve">commences, or is taken to have commenced, in accordance with column 2 of the table. 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8"/>
        <w:gridCol w:w="3793"/>
        <w:gridCol w:w="1843"/>
      </w:tblGrid>
      <w:tr w:rsidR="00D071FB" w:rsidRPr="00536F43" w14:paraId="5BED5E5D" w14:textId="77777777" w:rsidTr="008F311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5FF957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Commencement information</w:t>
            </w:r>
          </w:p>
        </w:tc>
      </w:tr>
      <w:tr w:rsidR="00D071FB" w:rsidRPr="00536F43" w14:paraId="352A7866" w14:textId="77777777" w:rsidTr="00FF5A57">
        <w:trPr>
          <w:tblHeader/>
        </w:trPr>
        <w:tc>
          <w:tcPr>
            <w:tcW w:w="27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C49F505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Column 1</w:t>
            </w:r>
          </w:p>
        </w:tc>
        <w:tc>
          <w:tcPr>
            <w:tcW w:w="37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49957B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F899A1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Column 3</w:t>
            </w:r>
          </w:p>
        </w:tc>
      </w:tr>
      <w:tr w:rsidR="00D071FB" w:rsidRPr="00536F43" w14:paraId="2FFCAF5D" w14:textId="77777777" w:rsidTr="00FF5A57">
        <w:trPr>
          <w:tblHeader/>
        </w:trPr>
        <w:tc>
          <w:tcPr>
            <w:tcW w:w="2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59C2C3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Provisions</w:t>
            </w:r>
          </w:p>
        </w:tc>
        <w:tc>
          <w:tcPr>
            <w:tcW w:w="3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3918749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FFCA32" w14:textId="77777777" w:rsidR="00D071FB" w:rsidRPr="00536F43" w:rsidRDefault="00D071FB" w:rsidP="00225253">
            <w:pPr>
              <w:pStyle w:val="TableHeading"/>
              <w:spacing w:line="276" w:lineRule="auto"/>
            </w:pPr>
            <w:r w:rsidRPr="00536F43">
              <w:t>Date/Details</w:t>
            </w:r>
          </w:p>
        </w:tc>
      </w:tr>
      <w:tr w:rsidR="00A46BE1" w:rsidRPr="00536F43" w14:paraId="27E71A1E" w14:textId="77777777" w:rsidTr="00FF5A57">
        <w:trPr>
          <w:trHeight w:val="1122"/>
        </w:trPr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E05C67" w14:textId="64CCDB54" w:rsidR="00A46BE1" w:rsidRPr="00536F43" w:rsidRDefault="009F4DA5" w:rsidP="00225253">
            <w:pPr>
              <w:pStyle w:val="Tabletext"/>
              <w:spacing w:line="276" w:lineRule="auto"/>
            </w:pPr>
            <w:r>
              <w:t>S</w:t>
            </w:r>
            <w:r w:rsidR="00A46BE1">
              <w:t>ections 1 to 6 except subsection</w:t>
            </w:r>
            <w:r w:rsidR="00205D77">
              <w:t>s</w:t>
            </w:r>
            <w:r w:rsidR="00A46BE1">
              <w:t xml:space="preserve"> 6(g) and 6(c) </w:t>
            </w:r>
          </w:p>
        </w:tc>
        <w:tc>
          <w:tcPr>
            <w:tcW w:w="3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459830" w14:textId="4F6F4013" w:rsidR="00A46BE1" w:rsidRPr="00536F43" w:rsidRDefault="00A46BE1" w:rsidP="00225253">
            <w:pPr>
              <w:pStyle w:val="Tabletext"/>
              <w:spacing w:line="276" w:lineRule="auto"/>
            </w:pPr>
            <w:r>
              <w:t xml:space="preserve">At the same time as Schedule 1 to the </w:t>
            </w:r>
            <w:r>
              <w:rPr>
                <w:i/>
              </w:rPr>
              <w:t xml:space="preserve">Customs Amendment (Growing Australian Export Opportunities Across the Asia-Pacific) Act 2019 </w:t>
            </w:r>
            <w:r w:rsidRPr="00536F43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EC28D4" w14:textId="04BEC061" w:rsidR="00A46BE1" w:rsidRPr="00536F43" w:rsidRDefault="00A46BE1" w:rsidP="00225253">
            <w:pPr>
              <w:pStyle w:val="Tabletext"/>
              <w:spacing w:line="276" w:lineRule="auto"/>
            </w:pPr>
          </w:p>
        </w:tc>
      </w:tr>
      <w:tr w:rsidR="00A46BE1" w:rsidRPr="00536F43" w14:paraId="13BBB386" w14:textId="77777777" w:rsidTr="00FF5A57">
        <w:trPr>
          <w:trHeight w:val="1208"/>
        </w:trPr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299CFC" w14:textId="67A73EF0" w:rsidR="00A46BE1" w:rsidRPr="00536F43" w:rsidRDefault="009F4DA5" w:rsidP="00225253">
            <w:pPr>
              <w:pStyle w:val="Tabletext"/>
              <w:spacing w:line="276" w:lineRule="auto"/>
            </w:pPr>
            <w:r>
              <w:t>S</w:t>
            </w:r>
            <w:r w:rsidR="00A46BE1">
              <w:t xml:space="preserve">ubsection 6(g) </w:t>
            </w:r>
          </w:p>
        </w:tc>
        <w:tc>
          <w:tcPr>
            <w:tcW w:w="3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783C6D" w14:textId="25910802" w:rsidR="00A46BE1" w:rsidRDefault="00A46BE1" w:rsidP="00225253">
            <w:pPr>
              <w:pStyle w:val="Tabletext"/>
              <w:spacing w:line="276" w:lineRule="auto"/>
            </w:pPr>
            <w:r>
              <w:t xml:space="preserve">At the same time as Schedule 2 to the </w:t>
            </w:r>
            <w:r>
              <w:rPr>
                <w:i/>
              </w:rPr>
              <w:t xml:space="preserve">Customs Amendment (Growing Australian Export Opportunities Across the Asia-Pacific) Act 2019 </w:t>
            </w:r>
            <w:r w:rsidRPr="00536F43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B2E303" w14:textId="77777777" w:rsidR="00A46BE1" w:rsidRPr="00536F43" w:rsidRDefault="00A46BE1" w:rsidP="00225253">
            <w:pPr>
              <w:pStyle w:val="Tabletext"/>
              <w:spacing w:line="276" w:lineRule="auto"/>
            </w:pPr>
          </w:p>
        </w:tc>
      </w:tr>
      <w:tr w:rsidR="00A46BE1" w:rsidRPr="00536F43" w14:paraId="619BC844" w14:textId="77777777" w:rsidTr="00FF5A57">
        <w:trPr>
          <w:trHeight w:val="1152"/>
        </w:trPr>
        <w:tc>
          <w:tcPr>
            <w:tcW w:w="2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E2CF75" w14:textId="71E609B0" w:rsidR="00A46BE1" w:rsidRPr="00536F43" w:rsidRDefault="009F4DA5" w:rsidP="00225253">
            <w:pPr>
              <w:pStyle w:val="Tabletext"/>
              <w:spacing w:line="276" w:lineRule="auto"/>
            </w:pPr>
            <w:r>
              <w:t>S</w:t>
            </w:r>
            <w:r w:rsidR="00A46BE1">
              <w:t xml:space="preserve">ubsection 6(c) </w:t>
            </w:r>
          </w:p>
        </w:tc>
        <w:tc>
          <w:tcPr>
            <w:tcW w:w="3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3D82AF" w14:textId="32575A63" w:rsidR="00A46BE1" w:rsidRDefault="00A46BE1" w:rsidP="00225253">
            <w:pPr>
              <w:pStyle w:val="Tabletext"/>
              <w:spacing w:line="276" w:lineRule="auto"/>
            </w:pPr>
            <w:r>
              <w:t xml:space="preserve">At the same time as Schedule 3 to the </w:t>
            </w:r>
            <w:r>
              <w:rPr>
                <w:i/>
              </w:rPr>
              <w:t xml:space="preserve">Customs Amendment (Growing Australian Export Opportunities Across the Asia-Pacific) Act 2019 </w:t>
            </w:r>
            <w:r w:rsidRPr="00536F43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CB62D8" w14:textId="77777777" w:rsidR="00A46BE1" w:rsidRPr="00536F43" w:rsidRDefault="00A46BE1" w:rsidP="00225253">
            <w:pPr>
              <w:pStyle w:val="Tabletext"/>
              <w:spacing w:line="276" w:lineRule="auto"/>
            </w:pPr>
          </w:p>
        </w:tc>
      </w:tr>
    </w:tbl>
    <w:p w14:paraId="578D97B5" w14:textId="77777777" w:rsidR="00EA24ED" w:rsidRDefault="00EA24ED" w:rsidP="00EA24ED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18"/>
          <w:szCs w:val="18"/>
        </w:rPr>
      </w:pPr>
    </w:p>
    <w:p w14:paraId="5A105108" w14:textId="0F63EB2A" w:rsidR="00EA24ED" w:rsidRDefault="00EA24ED" w:rsidP="00AB4D6E">
      <w:pPr>
        <w:autoSpaceDE w:val="0"/>
        <w:autoSpaceDN w:val="0"/>
        <w:adjustRightInd w:val="0"/>
        <w:spacing w:line="276" w:lineRule="auto"/>
        <w:ind w:left="1134" w:hanging="567"/>
      </w:pPr>
      <w:r w:rsidRPr="00EA24ED">
        <w:t xml:space="preserve">(2) </w:t>
      </w:r>
      <w:r>
        <w:tab/>
      </w:r>
      <w:r w:rsidRPr="00EA24ED">
        <w:t xml:space="preserve">Any information in column 3 of the table </w:t>
      </w:r>
      <w:r w:rsidR="007E6955">
        <w:t xml:space="preserve">is not part of this instrument. </w:t>
      </w:r>
      <w:r w:rsidRPr="00EA24ED">
        <w:t>Information may be inserted in this column, or information in it may be edited, in any published version of this instrument.</w:t>
      </w:r>
    </w:p>
    <w:p w14:paraId="39A3493A" w14:textId="332CD5BC" w:rsidR="00A75FE9" w:rsidRPr="009E2664" w:rsidRDefault="00A75FE9" w:rsidP="00AB4D6E">
      <w:pPr>
        <w:pStyle w:val="ActHead5"/>
        <w:spacing w:line="276" w:lineRule="auto"/>
        <w:ind w:left="0" w:firstLine="0"/>
      </w:pPr>
      <w:bookmarkStart w:id="5" w:name="_Toc29906125"/>
      <w:proofErr w:type="gramStart"/>
      <w:r w:rsidRPr="009E2664">
        <w:t>3</w:t>
      </w:r>
      <w:r w:rsidRPr="009C2562">
        <w:t xml:space="preserve">  Authority</w:t>
      </w:r>
      <w:bookmarkEnd w:id="5"/>
      <w:proofErr w:type="gramEnd"/>
    </w:p>
    <w:p w14:paraId="483D05CB" w14:textId="0DF7BC03" w:rsidR="00A75FE9" w:rsidRPr="009C2562" w:rsidRDefault="00A75FE9" w:rsidP="00AB4D6E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 xml:space="preserve">This instrument is made under </w:t>
      </w:r>
      <w:r w:rsidR="00675214" w:rsidRPr="00675214">
        <w:t xml:space="preserve">subsection </w:t>
      </w:r>
      <w:proofErr w:type="gramStart"/>
      <w:r w:rsidR="00675214" w:rsidRPr="00675214">
        <w:t>140GBA(</w:t>
      </w:r>
      <w:proofErr w:type="gramEnd"/>
      <w:r w:rsidR="00675214" w:rsidRPr="00675214">
        <w:t>2) of the</w:t>
      </w:r>
      <w:r w:rsidR="00675214">
        <w:t xml:space="preserve"> Act</w:t>
      </w:r>
      <w:r w:rsidRPr="009C2562">
        <w:t>.</w:t>
      </w:r>
    </w:p>
    <w:p w14:paraId="1C0CA8BF" w14:textId="2A410367" w:rsidR="00EA24ED" w:rsidRPr="00EA24ED" w:rsidRDefault="00A75FE9" w:rsidP="00AB4D6E">
      <w:pPr>
        <w:pStyle w:val="ActHead5"/>
        <w:spacing w:line="276" w:lineRule="auto"/>
      </w:pPr>
      <w:bookmarkStart w:id="6" w:name="_Toc29906126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6"/>
      <w:proofErr w:type="gramEnd"/>
    </w:p>
    <w:p w14:paraId="673A3893" w14:textId="1A619098" w:rsidR="00A75FE9" w:rsidRPr="009C2562" w:rsidRDefault="00A75FE9" w:rsidP="00AB4D6E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3F9947C7" w14:textId="77777777" w:rsidR="00A75FE9" w:rsidRPr="009C2562" w:rsidRDefault="00A75FE9" w:rsidP="00AB4D6E">
      <w:pPr>
        <w:pStyle w:val="Definition"/>
        <w:ind w:left="1418"/>
      </w:pPr>
      <w:r w:rsidRPr="009C2562">
        <w:rPr>
          <w:b/>
          <w:i/>
        </w:rPr>
        <w:t>Act</w:t>
      </w:r>
      <w:r w:rsidRPr="009C2562">
        <w:t xml:space="preserve"> means </w:t>
      </w:r>
      <w:r w:rsidR="00675214" w:rsidRPr="00675214">
        <w:rPr>
          <w:i/>
        </w:rPr>
        <w:t>Migration Act 1958</w:t>
      </w:r>
      <w:r w:rsidRPr="00675214">
        <w:t>.</w:t>
      </w:r>
    </w:p>
    <w:p w14:paraId="4094857E" w14:textId="77777777" w:rsidR="00A31C51" w:rsidRDefault="00675214" w:rsidP="00AB4D6E">
      <w:pPr>
        <w:pStyle w:val="Definition"/>
        <w:ind w:left="1418"/>
        <w:rPr>
          <w:i/>
        </w:rPr>
      </w:pPr>
      <w:r w:rsidRPr="00FD7922">
        <w:rPr>
          <w:b/>
          <w:i/>
        </w:rPr>
        <w:t xml:space="preserve">ASEAN </w:t>
      </w:r>
      <w:r w:rsidR="00A75FE9" w:rsidRPr="00FD7922">
        <w:t xml:space="preserve">means </w:t>
      </w:r>
      <w:r w:rsidR="00FD7922" w:rsidRPr="00FD7922">
        <w:rPr>
          <w:i/>
        </w:rPr>
        <w:t>Association</w:t>
      </w:r>
      <w:r w:rsidR="00FD7922" w:rsidRPr="00366C8D">
        <w:rPr>
          <w:i/>
        </w:rPr>
        <w:t xml:space="preserve"> of Southeast Asian Nations</w:t>
      </w:r>
      <w:r w:rsidR="00A31C51">
        <w:rPr>
          <w:i/>
        </w:rPr>
        <w:t>.</w:t>
      </w:r>
    </w:p>
    <w:p w14:paraId="7F3FAA5E" w14:textId="4084FB8D" w:rsidR="00A31C51" w:rsidRPr="00DA112E" w:rsidRDefault="00DA112E" w:rsidP="00AB4D6E">
      <w:pPr>
        <w:pStyle w:val="Definition"/>
        <w:ind w:left="1418"/>
      </w:pPr>
      <w:proofErr w:type="gramStart"/>
      <w:r>
        <w:rPr>
          <w:b/>
          <w:i/>
        </w:rPr>
        <w:lastRenderedPageBreak/>
        <w:t>labour</w:t>
      </w:r>
      <w:proofErr w:type="gramEnd"/>
      <w:r>
        <w:rPr>
          <w:b/>
          <w:i/>
        </w:rPr>
        <w:t xml:space="preserve"> market testing </w:t>
      </w:r>
      <w:r>
        <w:t>is defined in subsection</w:t>
      </w:r>
      <w:r w:rsidR="00BE0066">
        <w:t xml:space="preserve"> 1</w:t>
      </w:r>
      <w:r>
        <w:t>40GBA(7) of the Act.</w:t>
      </w:r>
    </w:p>
    <w:p w14:paraId="61038357" w14:textId="56D17842" w:rsidR="007F51B2" w:rsidRPr="005A65D5" w:rsidRDefault="007F51B2" w:rsidP="00AB4D6E">
      <w:pPr>
        <w:pStyle w:val="ActHead5"/>
        <w:spacing w:line="276" w:lineRule="auto"/>
      </w:pPr>
      <w:bookmarkStart w:id="7" w:name="_Toc454781205"/>
      <w:bookmarkStart w:id="8" w:name="_Toc29906127"/>
      <w:proofErr w:type="gramStart"/>
      <w:r w:rsidRPr="005A65D5">
        <w:t xml:space="preserve">5  </w:t>
      </w:r>
      <w:r w:rsidR="00C15521">
        <w:t>Repeal</w:t>
      </w:r>
      <w:bookmarkEnd w:id="7"/>
      <w:bookmarkEnd w:id="8"/>
      <w:proofErr w:type="gramEnd"/>
    </w:p>
    <w:p w14:paraId="32DD07D3" w14:textId="58954954" w:rsidR="00C15521" w:rsidRPr="00BA64B0" w:rsidRDefault="00C15521" w:rsidP="00AB4D6E">
      <w:pPr>
        <w:pStyle w:val="subsection"/>
        <w:tabs>
          <w:tab w:val="clear" w:pos="1021"/>
          <w:tab w:val="right" w:pos="1134"/>
        </w:tabs>
        <w:spacing w:line="276" w:lineRule="auto"/>
        <w:ind w:firstLine="0"/>
        <w:rPr>
          <w:szCs w:val="22"/>
        </w:rPr>
      </w:pPr>
      <w:r w:rsidRPr="00BA64B0">
        <w:rPr>
          <w:szCs w:val="22"/>
        </w:rPr>
        <w:t>According to section 33 of the</w:t>
      </w:r>
      <w:r w:rsidR="007A0BA6">
        <w:rPr>
          <w:i/>
          <w:szCs w:val="22"/>
        </w:rPr>
        <w:t xml:space="preserve"> Acts </w:t>
      </w:r>
      <w:r w:rsidR="00BA64B0">
        <w:rPr>
          <w:i/>
          <w:szCs w:val="22"/>
        </w:rPr>
        <w:t>I</w:t>
      </w:r>
      <w:r w:rsidRPr="00BA64B0">
        <w:rPr>
          <w:i/>
          <w:szCs w:val="22"/>
        </w:rPr>
        <w:t>nterpretation Act 1901</w:t>
      </w:r>
      <w:r w:rsidRPr="00BA64B0">
        <w:rPr>
          <w:szCs w:val="22"/>
        </w:rPr>
        <w:t xml:space="preserve">, the instrument </w:t>
      </w:r>
      <w:r w:rsidRPr="00BA64B0">
        <w:rPr>
          <w:i/>
          <w:szCs w:val="22"/>
        </w:rPr>
        <w:t xml:space="preserve">Migration (LIN 18/183: Determination of International Trade Obligations Relating to Labour Market Testing) Instrument 2018, </w:t>
      </w:r>
      <w:r w:rsidRPr="00BA64B0">
        <w:rPr>
          <w:szCs w:val="22"/>
        </w:rPr>
        <w:t>(F2018L01479), is repealed.</w:t>
      </w:r>
      <w:bookmarkStart w:id="9" w:name="_Toc454512518"/>
    </w:p>
    <w:p w14:paraId="702BB7B6" w14:textId="69A3255B" w:rsidR="00477677" w:rsidRPr="00BA64B0" w:rsidRDefault="00477677" w:rsidP="00AB4D6E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BA64B0">
        <w:br w:type="page"/>
      </w:r>
    </w:p>
    <w:p w14:paraId="4E87ED78" w14:textId="2A6E9A8C" w:rsidR="00E03F87" w:rsidRPr="009E2664" w:rsidRDefault="00E03F87" w:rsidP="009E2664">
      <w:pPr>
        <w:pStyle w:val="ActHead6"/>
        <w:rPr>
          <w:b w:val="0"/>
        </w:rPr>
      </w:pPr>
      <w:bookmarkStart w:id="10" w:name="_Toc29906128"/>
      <w:r w:rsidRPr="009E2664">
        <w:rPr>
          <w:rFonts w:ascii="Times New Roman" w:hAnsi="Times New Roman"/>
        </w:rPr>
        <w:lastRenderedPageBreak/>
        <w:t xml:space="preserve">Part 2 – </w:t>
      </w:r>
      <w:r w:rsidR="00873455" w:rsidRPr="009E2664">
        <w:rPr>
          <w:rFonts w:ascii="Times New Roman" w:hAnsi="Times New Roman"/>
        </w:rPr>
        <w:t>Determination of i</w:t>
      </w:r>
      <w:r w:rsidR="00D93510" w:rsidRPr="009E2664">
        <w:rPr>
          <w:rFonts w:ascii="Times New Roman" w:hAnsi="Times New Roman"/>
        </w:rPr>
        <w:t>nternational trad</w:t>
      </w:r>
      <w:r w:rsidR="00873455" w:rsidRPr="009E2664">
        <w:rPr>
          <w:rFonts w:ascii="Times New Roman" w:hAnsi="Times New Roman"/>
        </w:rPr>
        <w:t>e obligations relating to labour</w:t>
      </w:r>
      <w:r w:rsidR="00D93510" w:rsidRPr="009E2664">
        <w:rPr>
          <w:rFonts w:ascii="Times New Roman" w:hAnsi="Times New Roman"/>
        </w:rPr>
        <w:t xml:space="preserve"> market testing</w:t>
      </w:r>
      <w:bookmarkEnd w:id="10"/>
    </w:p>
    <w:p w14:paraId="4FADE3F1" w14:textId="4ECE3D3A" w:rsidR="00675214" w:rsidRPr="00E419FA" w:rsidRDefault="00675214" w:rsidP="00137EA0">
      <w:pPr>
        <w:pStyle w:val="ActHead5"/>
        <w:spacing w:line="276" w:lineRule="auto"/>
        <w:ind w:left="567" w:hanging="567"/>
      </w:pPr>
      <w:bookmarkStart w:id="11" w:name="_Toc29906129"/>
      <w:proofErr w:type="gramStart"/>
      <w:r w:rsidRPr="00D93510">
        <w:t xml:space="preserve">6  </w:t>
      </w:r>
      <w:r w:rsidR="00873455">
        <w:t>I</w:t>
      </w:r>
      <w:r w:rsidR="00873455" w:rsidRPr="00873455">
        <w:t>nternational</w:t>
      </w:r>
      <w:proofErr w:type="gramEnd"/>
      <w:r w:rsidR="00873455" w:rsidRPr="00873455">
        <w:t xml:space="preserve"> trade obligations</w:t>
      </w:r>
      <w:bookmarkEnd w:id="11"/>
      <w:r w:rsidR="00873455" w:rsidRPr="00873455">
        <w:t xml:space="preserve"> </w:t>
      </w:r>
    </w:p>
    <w:p w14:paraId="34B80C98" w14:textId="77777777" w:rsidR="008727C2" w:rsidRPr="002A70D9" w:rsidRDefault="008727C2" w:rsidP="00AB4D6E">
      <w:pPr>
        <w:pStyle w:val="subsection"/>
        <w:tabs>
          <w:tab w:val="clear" w:pos="1021"/>
        </w:tabs>
        <w:spacing w:line="276" w:lineRule="auto"/>
        <w:ind w:left="567" w:firstLine="0"/>
      </w:pPr>
      <w:r w:rsidRPr="002A70D9">
        <w:t xml:space="preserve">For the purposes of paragraph </w:t>
      </w:r>
      <w:proofErr w:type="gramStart"/>
      <w:r w:rsidRPr="002A70D9">
        <w:t>140GBA(</w:t>
      </w:r>
      <w:proofErr w:type="gramEnd"/>
      <w:r w:rsidRPr="002A70D9">
        <w:t>1)(c) of the Act, each obligation of Australia under international law, that relates to international trade, under the following agreements is determined as an international trade obligation of Australia:</w:t>
      </w:r>
    </w:p>
    <w:p w14:paraId="30B6979A" w14:textId="16DB16CA" w:rsidR="00BE2FB2" w:rsidRPr="00A11C6F" w:rsidRDefault="00BE2FB2" w:rsidP="00AB4D6E">
      <w:pPr>
        <w:pStyle w:val="ListParagraph"/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6"/>
        <w:rPr>
          <w:rFonts w:ascii="Times New Roman" w:hAnsi="Times New Roman" w:cs="Times New Roman"/>
        </w:rPr>
      </w:pPr>
      <w:r w:rsidRPr="00A11C6F">
        <w:rPr>
          <w:rFonts w:ascii="Times New Roman" w:hAnsi="Times New Roman" w:cs="Times New Roman"/>
        </w:rPr>
        <w:t>Agreement Establishing the ASEAN-Australia-New Zealand Free Trade Area</w:t>
      </w:r>
      <w:r w:rsidR="00E87428">
        <w:rPr>
          <w:rFonts w:ascii="Times New Roman" w:hAnsi="Times New Roman" w:cs="Times New Roman"/>
        </w:rPr>
        <w:t xml:space="preserve"> (</w:t>
      </w:r>
      <w:r w:rsidR="00CE408E" w:rsidRPr="00A11C6F">
        <w:rPr>
          <w:rFonts w:ascii="Times New Roman" w:hAnsi="Times New Roman" w:cs="Times New Roman"/>
        </w:rPr>
        <w:t>AANZFTA)</w:t>
      </w:r>
      <w:r w:rsidRPr="00A11C6F">
        <w:rPr>
          <w:rFonts w:ascii="Times New Roman" w:hAnsi="Times New Roman" w:cs="Times New Roman"/>
        </w:rPr>
        <w:t>;</w:t>
      </w:r>
    </w:p>
    <w:p w14:paraId="66583A40" w14:textId="37C92595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Australia-Chile Free Trade Agreement</w:t>
      </w:r>
      <w:r w:rsidR="00CE408E" w:rsidRPr="00A11C6F">
        <w:rPr>
          <w:rFonts w:cs="Times New Roman"/>
          <w:szCs w:val="22"/>
        </w:rPr>
        <w:t xml:space="preserve"> (</w:t>
      </w:r>
      <w:proofErr w:type="spellStart"/>
      <w:r w:rsidR="00CE408E" w:rsidRPr="00A11C6F">
        <w:rPr>
          <w:rFonts w:cs="Times New Roman"/>
          <w:szCs w:val="22"/>
        </w:rPr>
        <w:t>ACl</w:t>
      </w:r>
      <w:proofErr w:type="spellEnd"/>
      <w:r w:rsidR="00CE408E" w:rsidRPr="00A11C6F">
        <w:rPr>
          <w:rFonts w:cs="Times New Roman"/>
          <w:szCs w:val="22"/>
        </w:rPr>
        <w:t>-FTA)</w:t>
      </w:r>
      <w:r w:rsidRPr="00A11C6F">
        <w:rPr>
          <w:rFonts w:cs="Times New Roman"/>
          <w:szCs w:val="22"/>
        </w:rPr>
        <w:t>;</w:t>
      </w:r>
    </w:p>
    <w:p w14:paraId="0614C77D" w14:textId="20E4B272" w:rsidR="00B56CE9" w:rsidRPr="00A11C6F" w:rsidRDefault="006A33AE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Free Trade Agreement between Australia and Hong Kong, China</w:t>
      </w:r>
      <w:r w:rsidRPr="00A11C6F" w:rsidDel="006A33AE">
        <w:rPr>
          <w:rFonts w:cs="Times New Roman"/>
          <w:szCs w:val="22"/>
        </w:rPr>
        <w:t xml:space="preserve"> </w:t>
      </w:r>
      <w:r w:rsidR="006D08B9" w:rsidRPr="00A11C6F">
        <w:rPr>
          <w:rFonts w:cs="Times New Roman"/>
          <w:szCs w:val="22"/>
        </w:rPr>
        <w:t>(A</w:t>
      </w:r>
      <w:r w:rsidR="004D0242" w:rsidRPr="00A11C6F">
        <w:rPr>
          <w:rFonts w:cs="Times New Roman"/>
          <w:szCs w:val="22"/>
        </w:rPr>
        <w:noBreakHyphen/>
      </w:r>
      <w:r w:rsidR="006D08B9" w:rsidRPr="00A11C6F">
        <w:rPr>
          <w:rFonts w:cs="Times New Roman"/>
          <w:szCs w:val="22"/>
        </w:rPr>
        <w:t>HKFTA)</w:t>
      </w:r>
      <w:r w:rsidR="00B56CE9" w:rsidRPr="00A11C6F">
        <w:rPr>
          <w:rFonts w:cs="Times New Roman"/>
          <w:szCs w:val="22"/>
        </w:rPr>
        <w:t xml:space="preserve">; </w:t>
      </w:r>
    </w:p>
    <w:p w14:paraId="372B4D89" w14:textId="4B4E6B70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China-Australia Free Trade Agreement</w:t>
      </w:r>
      <w:r w:rsidR="00CE408E" w:rsidRPr="00A11C6F">
        <w:rPr>
          <w:rFonts w:cs="Times New Roman"/>
          <w:szCs w:val="22"/>
        </w:rPr>
        <w:t xml:space="preserve"> (</w:t>
      </w:r>
      <w:proofErr w:type="spellStart"/>
      <w:r w:rsidR="00CE408E" w:rsidRPr="00A11C6F">
        <w:rPr>
          <w:rFonts w:cs="Times New Roman"/>
          <w:szCs w:val="22"/>
        </w:rPr>
        <w:t>ChAFTA</w:t>
      </w:r>
      <w:proofErr w:type="spellEnd"/>
      <w:r w:rsidR="00CE408E" w:rsidRPr="00A11C6F">
        <w:rPr>
          <w:rFonts w:cs="Times New Roman"/>
          <w:szCs w:val="22"/>
        </w:rPr>
        <w:t>)</w:t>
      </w:r>
      <w:r w:rsidRPr="00A11C6F">
        <w:rPr>
          <w:rFonts w:cs="Times New Roman"/>
          <w:szCs w:val="22"/>
        </w:rPr>
        <w:t>;</w:t>
      </w:r>
    </w:p>
    <w:p w14:paraId="1ACD421C" w14:textId="05EEF737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Comprehensive and Progressive Agreement for Trans-Pacific Partnership</w:t>
      </w:r>
      <w:r w:rsidR="00CE408E" w:rsidRPr="00A11C6F">
        <w:rPr>
          <w:rFonts w:cs="Times New Roman"/>
          <w:szCs w:val="22"/>
        </w:rPr>
        <w:t xml:space="preserve"> (CPTPP)</w:t>
      </w:r>
      <w:r w:rsidRPr="00A11C6F">
        <w:rPr>
          <w:rFonts w:cs="Times New Roman"/>
          <w:szCs w:val="22"/>
        </w:rPr>
        <w:t>;</w:t>
      </w:r>
    </w:p>
    <w:p w14:paraId="0CFDDC4D" w14:textId="3332D73A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General Agreement on Trade in Services at Annex 1B to the Marrakesh Agreement Establishing the World Trade Organization</w:t>
      </w:r>
      <w:r w:rsidR="006D08B9" w:rsidRPr="00A11C6F">
        <w:rPr>
          <w:rFonts w:cs="Times New Roman"/>
          <w:szCs w:val="22"/>
        </w:rPr>
        <w:t xml:space="preserve"> </w:t>
      </w:r>
      <w:r w:rsidR="001E012A" w:rsidRPr="00A11C6F">
        <w:rPr>
          <w:rFonts w:cs="Times New Roman"/>
          <w:szCs w:val="22"/>
        </w:rPr>
        <w:t>(</w:t>
      </w:r>
      <w:r w:rsidR="006D08B9" w:rsidRPr="00A11C6F">
        <w:rPr>
          <w:rFonts w:cs="Times New Roman"/>
          <w:szCs w:val="22"/>
        </w:rPr>
        <w:t>GATS</w:t>
      </w:r>
      <w:r w:rsidR="001E012A" w:rsidRPr="00A11C6F">
        <w:rPr>
          <w:rFonts w:cs="Times New Roman"/>
          <w:szCs w:val="22"/>
        </w:rPr>
        <w:t>)</w:t>
      </w:r>
      <w:r w:rsidRPr="00A11C6F">
        <w:rPr>
          <w:rFonts w:cs="Times New Roman"/>
          <w:szCs w:val="22"/>
        </w:rPr>
        <w:t>;</w:t>
      </w:r>
    </w:p>
    <w:p w14:paraId="00A2FA13" w14:textId="4224F0BC" w:rsidR="00B56CE9" w:rsidRPr="00A11C6F" w:rsidRDefault="00B56CE9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Indonesia-Australia Comprehensive</w:t>
      </w:r>
      <w:r w:rsidR="001B5721" w:rsidRPr="00A11C6F">
        <w:rPr>
          <w:rFonts w:cs="Times New Roman"/>
          <w:szCs w:val="22"/>
        </w:rPr>
        <w:t xml:space="preserve"> Economic</w:t>
      </w:r>
      <w:r w:rsidRPr="00A11C6F">
        <w:rPr>
          <w:rFonts w:cs="Times New Roman"/>
          <w:szCs w:val="22"/>
        </w:rPr>
        <w:t xml:space="preserve"> Partnership</w:t>
      </w:r>
      <w:r w:rsidR="001B5721" w:rsidRPr="00A11C6F">
        <w:rPr>
          <w:rFonts w:cs="Times New Roman"/>
          <w:szCs w:val="22"/>
        </w:rPr>
        <w:t xml:space="preserve"> Agreement</w:t>
      </w:r>
      <w:r w:rsidR="006D08B9" w:rsidRPr="00A11C6F">
        <w:rPr>
          <w:rFonts w:cs="Times New Roman"/>
          <w:szCs w:val="22"/>
        </w:rPr>
        <w:t xml:space="preserve"> </w:t>
      </w:r>
      <w:r w:rsidR="009F4DA5">
        <w:rPr>
          <w:rFonts w:cs="Times New Roman"/>
          <w:szCs w:val="22"/>
        </w:rPr>
        <w:br/>
      </w:r>
      <w:r w:rsidR="006D08B9" w:rsidRPr="00A11C6F">
        <w:rPr>
          <w:rFonts w:cs="Times New Roman"/>
          <w:szCs w:val="22"/>
        </w:rPr>
        <w:t>(IA-CEPA)</w:t>
      </w:r>
      <w:r w:rsidRPr="00A11C6F">
        <w:rPr>
          <w:rFonts w:cs="Times New Roman"/>
          <w:szCs w:val="22"/>
        </w:rPr>
        <w:t xml:space="preserve">; </w:t>
      </w:r>
    </w:p>
    <w:p w14:paraId="789F85B2" w14:textId="37F8D216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Japan-Australia Economic Partnership Agreement</w:t>
      </w:r>
      <w:r w:rsidR="00CE408E" w:rsidRPr="00A11C6F">
        <w:rPr>
          <w:rFonts w:cs="Times New Roman"/>
          <w:szCs w:val="22"/>
        </w:rPr>
        <w:t xml:space="preserve"> (JAEPA)</w:t>
      </w:r>
      <w:r w:rsidRPr="00A11C6F">
        <w:rPr>
          <w:rFonts w:cs="Times New Roman"/>
          <w:szCs w:val="22"/>
        </w:rPr>
        <w:t xml:space="preserve">; </w:t>
      </w:r>
    </w:p>
    <w:p w14:paraId="50D43271" w14:textId="5F7CC9C9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Korea-Australia Free Trade Agreement</w:t>
      </w:r>
      <w:r w:rsidR="00CE408E" w:rsidRPr="00A11C6F">
        <w:rPr>
          <w:rFonts w:cs="Times New Roman"/>
          <w:szCs w:val="22"/>
        </w:rPr>
        <w:t xml:space="preserve"> (KAFTA)</w:t>
      </w:r>
      <w:r w:rsidRPr="00A11C6F">
        <w:rPr>
          <w:rFonts w:cs="Times New Roman"/>
          <w:szCs w:val="22"/>
        </w:rPr>
        <w:t>;</w:t>
      </w:r>
    </w:p>
    <w:p w14:paraId="213DC81A" w14:textId="208C359A" w:rsidR="004F3028" w:rsidRPr="00A11C6F" w:rsidRDefault="004F3028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Malaysia-Australia Free Trade Agreement</w:t>
      </w:r>
      <w:r w:rsidR="00CE408E" w:rsidRPr="00A11C6F">
        <w:rPr>
          <w:rFonts w:cs="Times New Roman"/>
          <w:szCs w:val="22"/>
        </w:rPr>
        <w:t xml:space="preserve"> (MAFTA)</w:t>
      </w:r>
      <w:r w:rsidRPr="00A11C6F">
        <w:rPr>
          <w:rFonts w:cs="Times New Roman"/>
          <w:szCs w:val="22"/>
        </w:rPr>
        <w:t>;</w:t>
      </w:r>
    </w:p>
    <w:p w14:paraId="70A7BF3C" w14:textId="1A27B2B7" w:rsidR="009817F1" w:rsidRPr="00A11C6F" w:rsidRDefault="00B56CE9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Peru-Australia Free Trade Agreement</w:t>
      </w:r>
      <w:r w:rsidR="006D08B9" w:rsidRPr="00A11C6F">
        <w:rPr>
          <w:rFonts w:cs="Times New Roman"/>
          <w:szCs w:val="22"/>
        </w:rPr>
        <w:t xml:space="preserve"> </w:t>
      </w:r>
      <w:r w:rsidR="001E012A" w:rsidRPr="00A11C6F">
        <w:rPr>
          <w:rFonts w:cs="Times New Roman"/>
          <w:szCs w:val="22"/>
        </w:rPr>
        <w:t>(</w:t>
      </w:r>
      <w:r w:rsidR="006D08B9" w:rsidRPr="00A11C6F">
        <w:rPr>
          <w:rFonts w:cs="Times New Roman"/>
          <w:szCs w:val="22"/>
        </w:rPr>
        <w:t>PAFTA</w:t>
      </w:r>
      <w:r w:rsidR="001E012A" w:rsidRPr="00A11C6F">
        <w:rPr>
          <w:rFonts w:cs="Times New Roman"/>
          <w:szCs w:val="22"/>
        </w:rPr>
        <w:t>)</w:t>
      </w:r>
      <w:r w:rsidRPr="00A11C6F">
        <w:rPr>
          <w:rFonts w:cs="Times New Roman"/>
          <w:szCs w:val="22"/>
        </w:rPr>
        <w:t>;</w:t>
      </w:r>
    </w:p>
    <w:p w14:paraId="0FBBCC56" w14:textId="68D794D9" w:rsidR="00E419FA" w:rsidRPr="00A11C6F" w:rsidRDefault="00E419FA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Protocol on Trade in Services to the Australia-New Zealand Closer Economic Relations Trade Agreement</w:t>
      </w:r>
      <w:r w:rsidR="00CE408E" w:rsidRPr="00A11C6F">
        <w:rPr>
          <w:rFonts w:cs="Times New Roman"/>
          <w:szCs w:val="22"/>
        </w:rPr>
        <w:t xml:space="preserve"> (ANZCERTA)</w:t>
      </w:r>
      <w:r w:rsidRPr="00A11C6F">
        <w:rPr>
          <w:rFonts w:cs="Times New Roman"/>
          <w:szCs w:val="22"/>
        </w:rPr>
        <w:t>;</w:t>
      </w:r>
    </w:p>
    <w:p w14:paraId="75ACD8A8" w14:textId="22F706A3" w:rsidR="00E419FA" w:rsidRPr="00A11C6F" w:rsidRDefault="00E419FA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Singapore-Australia Free Trade Agreement</w:t>
      </w:r>
      <w:r w:rsidR="00CE408E" w:rsidRPr="00A11C6F">
        <w:rPr>
          <w:rFonts w:cs="Times New Roman"/>
          <w:szCs w:val="22"/>
        </w:rPr>
        <w:t xml:space="preserve"> (SAFTA)</w:t>
      </w:r>
      <w:r w:rsidRPr="00A11C6F">
        <w:rPr>
          <w:rFonts w:cs="Times New Roman"/>
          <w:szCs w:val="22"/>
        </w:rPr>
        <w:t>;</w:t>
      </w:r>
    </w:p>
    <w:p w14:paraId="03009EDE" w14:textId="0110E207" w:rsidR="00E419FA" w:rsidRPr="00A11C6F" w:rsidRDefault="00E419FA" w:rsidP="00AB4D6E">
      <w:pPr>
        <w:widowControl w:val="0"/>
        <w:numPr>
          <w:ilvl w:val="1"/>
          <w:numId w:val="14"/>
        </w:numPr>
        <w:tabs>
          <w:tab w:val="left" w:pos="1418"/>
        </w:tabs>
        <w:spacing w:before="120" w:line="276" w:lineRule="auto"/>
        <w:ind w:left="1418" w:right="57" w:hanging="567"/>
        <w:rPr>
          <w:rFonts w:cs="Times New Roman"/>
          <w:szCs w:val="22"/>
        </w:rPr>
      </w:pPr>
      <w:r w:rsidRPr="00A11C6F">
        <w:rPr>
          <w:rFonts w:cs="Times New Roman"/>
          <w:szCs w:val="22"/>
        </w:rPr>
        <w:t>Thailand-Australia Free Trade Agreement</w:t>
      </w:r>
      <w:r w:rsidR="00CE408E" w:rsidRPr="00A11C6F">
        <w:rPr>
          <w:rFonts w:cs="Times New Roman"/>
          <w:szCs w:val="22"/>
        </w:rPr>
        <w:t xml:space="preserve"> (TAFTA)</w:t>
      </w:r>
      <w:r w:rsidR="00BE2FB2" w:rsidRPr="00A11C6F">
        <w:rPr>
          <w:rFonts w:cs="Times New Roman"/>
          <w:szCs w:val="22"/>
        </w:rPr>
        <w:t>.</w:t>
      </w:r>
    </w:p>
    <w:bookmarkEnd w:id="9"/>
    <w:p w14:paraId="3F00B8DD" w14:textId="77777777" w:rsidR="0095155E" w:rsidRPr="0095155E" w:rsidRDefault="0095155E" w:rsidP="00AB4D6E">
      <w:pPr>
        <w:pStyle w:val="ItemHead"/>
        <w:spacing w:line="276" w:lineRule="auto"/>
      </w:pPr>
    </w:p>
    <w:sectPr w:rsidR="0095155E" w:rsidRPr="0095155E" w:rsidSect="00A93E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377B8" w14:textId="77777777" w:rsidR="004E05DE" w:rsidRDefault="004E05DE" w:rsidP="00715914">
      <w:pPr>
        <w:spacing w:line="240" w:lineRule="auto"/>
      </w:pPr>
      <w:r>
        <w:separator/>
      </w:r>
    </w:p>
  </w:endnote>
  <w:endnote w:type="continuationSeparator" w:id="0">
    <w:p w14:paraId="0D2C3292" w14:textId="77777777" w:rsidR="004E05DE" w:rsidRDefault="004E05D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51C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B50791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732320" w14:textId="240262CD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6ED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1773EC" w14:textId="127F480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F6ED1">
            <w:rPr>
              <w:i/>
              <w:noProof/>
              <w:sz w:val="18"/>
            </w:rPr>
            <w:t>Migration (LIN 20/029: Determination of International Trade Obligations Relating to Labour Market Testing)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C6CA6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8AD27C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421F0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15DD08F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064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AA0A10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67DAF6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47BFB2" w14:textId="05273B3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41B">
            <w:rPr>
              <w:i/>
              <w:noProof/>
              <w:sz w:val="18"/>
            </w:rPr>
            <w:t>Migration (LIN19/071: Determination of International Trade Obligations Relating to Labour Market Testing)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91EF9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CEBF38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4FA14D" w14:textId="77777777" w:rsidR="0072147A" w:rsidRDefault="0072147A" w:rsidP="00A369E3">
          <w:pPr>
            <w:rPr>
              <w:sz w:val="18"/>
            </w:rPr>
          </w:pPr>
        </w:p>
      </w:tc>
    </w:tr>
  </w:tbl>
  <w:p w14:paraId="52EAFCE7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2C2D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45C491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D8A32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F8AD3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1B10B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36CDBB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5E7E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60BB816" w14:textId="77777777" w:rsidTr="00A87A58">
      <w:tc>
        <w:tcPr>
          <w:tcW w:w="365" w:type="pct"/>
        </w:tcPr>
        <w:p w14:paraId="2F0F57EC" w14:textId="4962BCB0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553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ACD6FE" w14:textId="15C50FB4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5541B">
            <w:rPr>
              <w:i/>
              <w:noProof/>
              <w:sz w:val="18"/>
            </w:rPr>
            <w:t>Migration (LIN19/071: Determination of International Trade Obligations Relating to Labour Market Testing)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3C0C9D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299914E" w14:textId="77777777" w:rsidTr="00A87A58">
      <w:tc>
        <w:tcPr>
          <w:tcW w:w="5000" w:type="pct"/>
          <w:gridSpan w:val="3"/>
        </w:tcPr>
        <w:p w14:paraId="2AA1F750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8681D9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0B9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532DE57" w14:textId="77777777" w:rsidTr="00A87A58">
      <w:tc>
        <w:tcPr>
          <w:tcW w:w="947" w:type="pct"/>
        </w:tcPr>
        <w:p w14:paraId="4CC48235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C3FE80" w14:textId="6D9EB30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7AD8">
            <w:rPr>
              <w:i/>
              <w:noProof/>
              <w:sz w:val="18"/>
            </w:rPr>
            <w:t>Migration (LIN 20/029: Determination of International Trade Obligations Relating to Labour Market Testing)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0746C5" w14:textId="794A432D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7AD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F1F16D2" w14:textId="77777777" w:rsidTr="00A87A58">
      <w:tc>
        <w:tcPr>
          <w:tcW w:w="5000" w:type="pct"/>
          <w:gridSpan w:val="3"/>
        </w:tcPr>
        <w:p w14:paraId="7B888339" w14:textId="77777777" w:rsidR="00F6696E" w:rsidRDefault="00F6696E" w:rsidP="000850AC">
          <w:pPr>
            <w:rPr>
              <w:sz w:val="18"/>
            </w:rPr>
          </w:pPr>
        </w:p>
      </w:tc>
    </w:tr>
  </w:tbl>
  <w:p w14:paraId="26BB4C8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AFB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77677" w14:paraId="0D892E2D" w14:textId="77777777" w:rsidTr="00204420">
      <w:tc>
        <w:tcPr>
          <w:tcW w:w="365" w:type="pct"/>
        </w:tcPr>
        <w:p w14:paraId="4CE6B2CF" w14:textId="1604C973" w:rsidR="00477677" w:rsidRDefault="00477677" w:rsidP="004776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9667B07" w14:textId="4CFE68F1" w:rsidR="00477677" w:rsidRDefault="00477677" w:rsidP="004776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7AD8">
            <w:rPr>
              <w:i/>
              <w:noProof/>
              <w:sz w:val="18"/>
            </w:rPr>
            <w:t>Migration (LIN 20/029: Determination of International Trade Obligations Relating to Labour Market Testing)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8A8E7C" w14:textId="206D419D" w:rsidR="00477677" w:rsidRDefault="00A93E07" w:rsidP="00477677">
          <w:pPr>
            <w:spacing w:line="0" w:lineRule="atLeast"/>
            <w:jc w:val="right"/>
            <w:rPr>
              <w:sz w:val="18"/>
            </w:rPr>
          </w:pPr>
          <w:r w:rsidRPr="00477677">
            <w:rPr>
              <w:sz w:val="18"/>
            </w:rPr>
            <w:fldChar w:fldCharType="begin"/>
          </w:r>
          <w:r w:rsidRPr="00477677">
            <w:rPr>
              <w:sz w:val="18"/>
            </w:rPr>
            <w:instrText xml:space="preserve"> PAGE   \* MERGEFORMAT </w:instrText>
          </w:r>
          <w:r w:rsidRPr="00477677">
            <w:rPr>
              <w:sz w:val="18"/>
            </w:rPr>
            <w:fldChar w:fldCharType="separate"/>
          </w:r>
          <w:r w:rsidR="00607AD8">
            <w:rPr>
              <w:noProof/>
              <w:sz w:val="18"/>
            </w:rPr>
            <w:t>2</w:t>
          </w:r>
          <w:r w:rsidRPr="00477677">
            <w:rPr>
              <w:noProof/>
              <w:sz w:val="18"/>
            </w:rPr>
            <w:fldChar w:fldCharType="end"/>
          </w:r>
        </w:p>
      </w:tc>
    </w:tr>
    <w:tr w:rsidR="00477677" w14:paraId="0CF5A39B" w14:textId="77777777" w:rsidTr="00204420">
      <w:tc>
        <w:tcPr>
          <w:tcW w:w="5000" w:type="pct"/>
          <w:gridSpan w:val="3"/>
        </w:tcPr>
        <w:p w14:paraId="62BD2307" w14:textId="77777777" w:rsidR="00477677" w:rsidRDefault="00477677" w:rsidP="00477677">
          <w:pPr>
            <w:jc w:val="right"/>
            <w:rPr>
              <w:sz w:val="18"/>
            </w:rPr>
          </w:pPr>
        </w:p>
      </w:tc>
    </w:tr>
  </w:tbl>
  <w:p w14:paraId="22DFD153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BBF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77677" w14:paraId="4505D43E" w14:textId="77777777" w:rsidTr="00204420">
      <w:tc>
        <w:tcPr>
          <w:tcW w:w="365" w:type="pct"/>
        </w:tcPr>
        <w:p w14:paraId="3D348777" w14:textId="1BACE676" w:rsidR="00477677" w:rsidRDefault="00477677" w:rsidP="0047767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3DBA99" w14:textId="63E1F263" w:rsidR="00477677" w:rsidRDefault="00477677" w:rsidP="0047767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07AD8">
            <w:rPr>
              <w:i/>
              <w:noProof/>
              <w:sz w:val="18"/>
            </w:rPr>
            <w:t>Migration (LIN 20/029: Determination of International Trade Obligations Relating to Labour Market Testing)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22C354F" w14:textId="5E41B798" w:rsidR="00477677" w:rsidRDefault="00477677" w:rsidP="00477677">
          <w:pPr>
            <w:spacing w:line="0" w:lineRule="atLeast"/>
            <w:jc w:val="right"/>
            <w:rPr>
              <w:sz w:val="18"/>
            </w:rPr>
          </w:pPr>
          <w:r w:rsidRPr="00477677">
            <w:rPr>
              <w:sz w:val="18"/>
            </w:rPr>
            <w:fldChar w:fldCharType="begin"/>
          </w:r>
          <w:r w:rsidRPr="00477677">
            <w:rPr>
              <w:sz w:val="18"/>
            </w:rPr>
            <w:instrText xml:space="preserve"> PAGE   \* MERGEFORMAT </w:instrText>
          </w:r>
          <w:r w:rsidRPr="00477677">
            <w:rPr>
              <w:sz w:val="18"/>
            </w:rPr>
            <w:fldChar w:fldCharType="separate"/>
          </w:r>
          <w:r w:rsidR="00607AD8">
            <w:rPr>
              <w:noProof/>
              <w:sz w:val="18"/>
            </w:rPr>
            <w:t>3</w:t>
          </w:r>
          <w:r w:rsidRPr="00477677">
            <w:rPr>
              <w:noProof/>
              <w:sz w:val="18"/>
            </w:rPr>
            <w:fldChar w:fldCharType="end"/>
          </w:r>
        </w:p>
      </w:tc>
    </w:tr>
    <w:tr w:rsidR="00477677" w14:paraId="653C58F9" w14:textId="77777777" w:rsidTr="00204420">
      <w:tc>
        <w:tcPr>
          <w:tcW w:w="5000" w:type="pct"/>
          <w:gridSpan w:val="3"/>
        </w:tcPr>
        <w:p w14:paraId="0BAC1F60" w14:textId="77777777" w:rsidR="00477677" w:rsidRDefault="00477677" w:rsidP="00477677">
          <w:pPr>
            <w:jc w:val="right"/>
            <w:rPr>
              <w:sz w:val="18"/>
            </w:rPr>
          </w:pPr>
        </w:p>
      </w:tc>
    </w:tr>
  </w:tbl>
  <w:p w14:paraId="3EDB882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115AE" w14:textId="77777777" w:rsidR="004E05DE" w:rsidRDefault="004E05DE" w:rsidP="00715914">
      <w:pPr>
        <w:spacing w:line="240" w:lineRule="auto"/>
      </w:pPr>
      <w:r>
        <w:separator/>
      </w:r>
    </w:p>
  </w:footnote>
  <w:footnote w:type="continuationSeparator" w:id="0">
    <w:p w14:paraId="6BBED199" w14:textId="77777777" w:rsidR="004E05DE" w:rsidRDefault="004E05D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9D9C" w14:textId="51143600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5961" w14:textId="0F6891C4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A73E" w14:textId="5A2ED0FC" w:rsidR="004F3028" w:rsidRDefault="006A3242" w:rsidP="006A3242">
    <w:pPr>
      <w:pStyle w:val="Header"/>
      <w:ind w:left="720"/>
      <w:jc w:val="right"/>
    </w:pPr>
    <w:r>
      <w:t>LIN 20/029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9FD3" w14:textId="36E87DDA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152E" w14:textId="1030F0F6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9F908" w14:textId="39ACD808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87ECD" w14:textId="3E6D38AD" w:rsidR="004E1307" w:rsidRDefault="004E1307" w:rsidP="00715914">
    <w:pPr>
      <w:rPr>
        <w:sz w:val="20"/>
      </w:rPr>
    </w:pPr>
  </w:p>
  <w:p w14:paraId="7A253DEF" w14:textId="77777777" w:rsidR="004E1307" w:rsidRDefault="004E1307" w:rsidP="00715914">
    <w:pPr>
      <w:rPr>
        <w:sz w:val="20"/>
      </w:rPr>
    </w:pPr>
  </w:p>
  <w:p w14:paraId="01C5F443" w14:textId="77777777" w:rsidR="004E1307" w:rsidRPr="007A1328" w:rsidRDefault="004E1307" w:rsidP="00715914">
    <w:pPr>
      <w:rPr>
        <w:sz w:val="20"/>
      </w:rPr>
    </w:pPr>
  </w:p>
  <w:p w14:paraId="22385A53" w14:textId="77777777" w:rsidR="004E1307" w:rsidRPr="007A1328" w:rsidRDefault="004E1307" w:rsidP="00715914">
    <w:pPr>
      <w:rPr>
        <w:b/>
        <w:sz w:val="24"/>
      </w:rPr>
    </w:pPr>
  </w:p>
  <w:p w14:paraId="66EDED8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90B4" w14:textId="7F2421AE" w:rsidR="004E1307" w:rsidRPr="007A1328" w:rsidRDefault="004E1307" w:rsidP="00715914">
    <w:pPr>
      <w:jc w:val="right"/>
      <w:rPr>
        <w:sz w:val="20"/>
      </w:rPr>
    </w:pPr>
  </w:p>
  <w:p w14:paraId="21F41CDD" w14:textId="77777777" w:rsidR="004E1307" w:rsidRPr="007A1328" w:rsidRDefault="004E1307" w:rsidP="00715914">
    <w:pPr>
      <w:jc w:val="right"/>
      <w:rPr>
        <w:sz w:val="20"/>
      </w:rPr>
    </w:pPr>
  </w:p>
  <w:p w14:paraId="2D040B1A" w14:textId="77777777" w:rsidR="004E1307" w:rsidRPr="007A1328" w:rsidRDefault="004E1307" w:rsidP="00715914">
    <w:pPr>
      <w:jc w:val="right"/>
      <w:rPr>
        <w:sz w:val="20"/>
      </w:rPr>
    </w:pPr>
  </w:p>
  <w:p w14:paraId="0F2A9C7F" w14:textId="77777777" w:rsidR="004E1307" w:rsidRPr="007A1328" w:rsidRDefault="004E1307" w:rsidP="00715914">
    <w:pPr>
      <w:jc w:val="right"/>
      <w:rPr>
        <w:b/>
        <w:sz w:val="24"/>
      </w:rPr>
    </w:pPr>
  </w:p>
  <w:p w14:paraId="70C2628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CBC49" w14:textId="4098BBE6" w:rsidR="00A13278" w:rsidRDefault="00A1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A16E5"/>
    <w:multiLevelType w:val="hybridMultilevel"/>
    <w:tmpl w:val="2B722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141FB3"/>
    <w:multiLevelType w:val="hybridMultilevel"/>
    <w:tmpl w:val="79D2E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537"/>
    <w:multiLevelType w:val="hybridMultilevel"/>
    <w:tmpl w:val="F5C2DEFC"/>
    <w:lvl w:ilvl="0" w:tplc="79228A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007E1"/>
    <w:multiLevelType w:val="hybridMultilevel"/>
    <w:tmpl w:val="87486F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13C3B3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DF05399"/>
    <w:multiLevelType w:val="hybridMultilevel"/>
    <w:tmpl w:val="3F2E50FC"/>
    <w:lvl w:ilvl="0" w:tplc="3C2E190E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05F27"/>
    <w:multiLevelType w:val="hybridMultilevel"/>
    <w:tmpl w:val="66D6B0DA"/>
    <w:lvl w:ilvl="0" w:tplc="3DF8AEC0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1074DA3"/>
    <w:multiLevelType w:val="hybridMultilevel"/>
    <w:tmpl w:val="12D4C8E8"/>
    <w:lvl w:ilvl="0" w:tplc="DE923C6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8414BA"/>
    <w:multiLevelType w:val="hybridMultilevel"/>
    <w:tmpl w:val="25A0CD6A"/>
    <w:lvl w:ilvl="0" w:tplc="6B982C6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79A21D4F"/>
    <w:multiLevelType w:val="hybridMultilevel"/>
    <w:tmpl w:val="AB3C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E4391"/>
    <w:multiLevelType w:val="hybridMultilevel"/>
    <w:tmpl w:val="2376ACFC"/>
    <w:lvl w:ilvl="0" w:tplc="6B982C6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D3DEA05E">
      <w:start w:val="1"/>
      <w:numFmt w:val="lowerLetter"/>
      <w:lvlText w:val="(%2)"/>
      <w:lvlJc w:val="left"/>
      <w:pPr>
        <w:ind w:left="1212" w:hanging="360"/>
      </w:pPr>
      <w:rPr>
        <w:rFonts w:ascii="Times New Roman" w:eastAsiaTheme="minorHAnsi" w:hAnsi="Times New Roman" w:cstheme="minorBidi"/>
        <w:b w:val="0"/>
      </w:rPr>
    </w:lvl>
    <w:lvl w:ilvl="2" w:tplc="0C09001B">
      <w:start w:val="1"/>
      <w:numFmt w:val="lowerRoman"/>
      <w:lvlText w:val="%3."/>
      <w:lvlJc w:val="right"/>
      <w:pPr>
        <w:ind w:left="2550" w:hanging="180"/>
      </w:pPr>
    </w:lvl>
    <w:lvl w:ilvl="3" w:tplc="0C09000F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3"/>
  </w:num>
  <w:num w:numId="14">
    <w:abstractNumId w:val="23"/>
  </w:num>
  <w:num w:numId="15">
    <w:abstractNumId w:val="16"/>
  </w:num>
  <w:num w:numId="16">
    <w:abstractNumId w:val="21"/>
  </w:num>
  <w:num w:numId="17">
    <w:abstractNumId w:val="19"/>
  </w:num>
  <w:num w:numId="18">
    <w:abstractNumId w:val="15"/>
  </w:num>
  <w:num w:numId="19">
    <w:abstractNumId w:val="14"/>
  </w:num>
  <w:num w:numId="20">
    <w:abstractNumId w:val="10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DE"/>
    <w:rsid w:val="00004174"/>
    <w:rsid w:val="00004470"/>
    <w:rsid w:val="000136AF"/>
    <w:rsid w:val="0002059F"/>
    <w:rsid w:val="000258B1"/>
    <w:rsid w:val="00032FA6"/>
    <w:rsid w:val="00033555"/>
    <w:rsid w:val="00040A89"/>
    <w:rsid w:val="000437C1"/>
    <w:rsid w:val="0004455A"/>
    <w:rsid w:val="00044C02"/>
    <w:rsid w:val="00051C36"/>
    <w:rsid w:val="000526C3"/>
    <w:rsid w:val="0005365D"/>
    <w:rsid w:val="00055399"/>
    <w:rsid w:val="000614BF"/>
    <w:rsid w:val="00061CDE"/>
    <w:rsid w:val="00064067"/>
    <w:rsid w:val="0006709C"/>
    <w:rsid w:val="00074376"/>
    <w:rsid w:val="00085493"/>
    <w:rsid w:val="000978F5"/>
    <w:rsid w:val="000A0E88"/>
    <w:rsid w:val="000B15CD"/>
    <w:rsid w:val="000B1F61"/>
    <w:rsid w:val="000B35EB"/>
    <w:rsid w:val="000C1BAD"/>
    <w:rsid w:val="000C1E12"/>
    <w:rsid w:val="000D05EF"/>
    <w:rsid w:val="000D6918"/>
    <w:rsid w:val="000E041F"/>
    <w:rsid w:val="000E2261"/>
    <w:rsid w:val="000E2972"/>
    <w:rsid w:val="000E78B7"/>
    <w:rsid w:val="000F21C1"/>
    <w:rsid w:val="00100277"/>
    <w:rsid w:val="00100531"/>
    <w:rsid w:val="00103944"/>
    <w:rsid w:val="0010745C"/>
    <w:rsid w:val="0011076B"/>
    <w:rsid w:val="00114257"/>
    <w:rsid w:val="00117A03"/>
    <w:rsid w:val="001236AF"/>
    <w:rsid w:val="00127D11"/>
    <w:rsid w:val="00132CEB"/>
    <w:rsid w:val="001339B0"/>
    <w:rsid w:val="00137EA0"/>
    <w:rsid w:val="0014077B"/>
    <w:rsid w:val="00142B62"/>
    <w:rsid w:val="001441B7"/>
    <w:rsid w:val="00150B1C"/>
    <w:rsid w:val="001516CB"/>
    <w:rsid w:val="00152336"/>
    <w:rsid w:val="001529C3"/>
    <w:rsid w:val="00157B8B"/>
    <w:rsid w:val="001615F8"/>
    <w:rsid w:val="0016476F"/>
    <w:rsid w:val="00166C2F"/>
    <w:rsid w:val="00167026"/>
    <w:rsid w:val="00176A3B"/>
    <w:rsid w:val="00177B8F"/>
    <w:rsid w:val="001804D5"/>
    <w:rsid w:val="001809D7"/>
    <w:rsid w:val="00182B6B"/>
    <w:rsid w:val="0018488D"/>
    <w:rsid w:val="001939E1"/>
    <w:rsid w:val="00194C3E"/>
    <w:rsid w:val="00195382"/>
    <w:rsid w:val="001B2CB6"/>
    <w:rsid w:val="001B32F4"/>
    <w:rsid w:val="001B5721"/>
    <w:rsid w:val="001B5C49"/>
    <w:rsid w:val="001C61C5"/>
    <w:rsid w:val="001C69C4"/>
    <w:rsid w:val="001D37EF"/>
    <w:rsid w:val="001E012A"/>
    <w:rsid w:val="001E0D19"/>
    <w:rsid w:val="001E3590"/>
    <w:rsid w:val="001E5FFA"/>
    <w:rsid w:val="001E7407"/>
    <w:rsid w:val="001F5D5E"/>
    <w:rsid w:val="001F6219"/>
    <w:rsid w:val="001F6CD4"/>
    <w:rsid w:val="00205D77"/>
    <w:rsid w:val="00206C4D"/>
    <w:rsid w:val="00213773"/>
    <w:rsid w:val="00215AF1"/>
    <w:rsid w:val="002168D1"/>
    <w:rsid w:val="00225253"/>
    <w:rsid w:val="00225726"/>
    <w:rsid w:val="00226E17"/>
    <w:rsid w:val="002270D1"/>
    <w:rsid w:val="00227277"/>
    <w:rsid w:val="002321E8"/>
    <w:rsid w:val="00232984"/>
    <w:rsid w:val="00232BCA"/>
    <w:rsid w:val="0024010F"/>
    <w:rsid w:val="00240749"/>
    <w:rsid w:val="00241311"/>
    <w:rsid w:val="00243018"/>
    <w:rsid w:val="002564A4"/>
    <w:rsid w:val="0026551E"/>
    <w:rsid w:val="0026736C"/>
    <w:rsid w:val="00270E01"/>
    <w:rsid w:val="00272806"/>
    <w:rsid w:val="00277782"/>
    <w:rsid w:val="00281308"/>
    <w:rsid w:val="00284719"/>
    <w:rsid w:val="00285800"/>
    <w:rsid w:val="00291CFF"/>
    <w:rsid w:val="00293E4F"/>
    <w:rsid w:val="00297ECB"/>
    <w:rsid w:val="002A4228"/>
    <w:rsid w:val="002A62C3"/>
    <w:rsid w:val="002A70D9"/>
    <w:rsid w:val="002A7BCF"/>
    <w:rsid w:val="002B6CA4"/>
    <w:rsid w:val="002C3FD1"/>
    <w:rsid w:val="002D043A"/>
    <w:rsid w:val="002D266B"/>
    <w:rsid w:val="002D6224"/>
    <w:rsid w:val="002D74E1"/>
    <w:rsid w:val="002E6216"/>
    <w:rsid w:val="002F6839"/>
    <w:rsid w:val="00304F8B"/>
    <w:rsid w:val="00330510"/>
    <w:rsid w:val="00330DAC"/>
    <w:rsid w:val="0033193B"/>
    <w:rsid w:val="00335BC6"/>
    <w:rsid w:val="003415D3"/>
    <w:rsid w:val="00344338"/>
    <w:rsid w:val="00344701"/>
    <w:rsid w:val="00352B0F"/>
    <w:rsid w:val="00360459"/>
    <w:rsid w:val="00363234"/>
    <w:rsid w:val="0036378A"/>
    <w:rsid w:val="00366CDF"/>
    <w:rsid w:val="00370C98"/>
    <w:rsid w:val="00370DA5"/>
    <w:rsid w:val="003721F0"/>
    <w:rsid w:val="003733AA"/>
    <w:rsid w:val="00373604"/>
    <w:rsid w:val="003775A1"/>
    <w:rsid w:val="0038049F"/>
    <w:rsid w:val="00381FA0"/>
    <w:rsid w:val="003A553A"/>
    <w:rsid w:val="003A5DE5"/>
    <w:rsid w:val="003C114D"/>
    <w:rsid w:val="003C3247"/>
    <w:rsid w:val="003C6231"/>
    <w:rsid w:val="003C7A31"/>
    <w:rsid w:val="003D0BFE"/>
    <w:rsid w:val="003D5700"/>
    <w:rsid w:val="003E341B"/>
    <w:rsid w:val="003E4D00"/>
    <w:rsid w:val="003F56A6"/>
    <w:rsid w:val="004033A3"/>
    <w:rsid w:val="00404917"/>
    <w:rsid w:val="004116CD"/>
    <w:rsid w:val="004178BD"/>
    <w:rsid w:val="00417EB9"/>
    <w:rsid w:val="004230D9"/>
    <w:rsid w:val="00424CA9"/>
    <w:rsid w:val="004276DF"/>
    <w:rsid w:val="00431E9B"/>
    <w:rsid w:val="004379E3"/>
    <w:rsid w:val="0044015E"/>
    <w:rsid w:val="0044291A"/>
    <w:rsid w:val="00444FC2"/>
    <w:rsid w:val="00451F34"/>
    <w:rsid w:val="00457293"/>
    <w:rsid w:val="00460B45"/>
    <w:rsid w:val="004649DE"/>
    <w:rsid w:val="00467661"/>
    <w:rsid w:val="00470141"/>
    <w:rsid w:val="00472DBE"/>
    <w:rsid w:val="00474A19"/>
    <w:rsid w:val="00477677"/>
    <w:rsid w:val="00477830"/>
    <w:rsid w:val="00487764"/>
    <w:rsid w:val="00492678"/>
    <w:rsid w:val="00496F97"/>
    <w:rsid w:val="004A0362"/>
    <w:rsid w:val="004A102A"/>
    <w:rsid w:val="004B6C48"/>
    <w:rsid w:val="004C4E59"/>
    <w:rsid w:val="004C6809"/>
    <w:rsid w:val="004D0242"/>
    <w:rsid w:val="004D18B5"/>
    <w:rsid w:val="004D4A55"/>
    <w:rsid w:val="004D52E5"/>
    <w:rsid w:val="004E05DE"/>
    <w:rsid w:val="004E063A"/>
    <w:rsid w:val="004E12D2"/>
    <w:rsid w:val="004E1307"/>
    <w:rsid w:val="004E7BEC"/>
    <w:rsid w:val="004F3028"/>
    <w:rsid w:val="004F3A5C"/>
    <w:rsid w:val="00505D3D"/>
    <w:rsid w:val="00506AF6"/>
    <w:rsid w:val="00507319"/>
    <w:rsid w:val="00511F6C"/>
    <w:rsid w:val="00516B8D"/>
    <w:rsid w:val="005301FF"/>
    <w:rsid w:val="005303C8"/>
    <w:rsid w:val="00534AF9"/>
    <w:rsid w:val="00537FBC"/>
    <w:rsid w:val="005503EE"/>
    <w:rsid w:val="005548C7"/>
    <w:rsid w:val="00562341"/>
    <w:rsid w:val="00562ED6"/>
    <w:rsid w:val="005747A7"/>
    <w:rsid w:val="00584811"/>
    <w:rsid w:val="00585784"/>
    <w:rsid w:val="00585B4C"/>
    <w:rsid w:val="00593AA6"/>
    <w:rsid w:val="00594161"/>
    <w:rsid w:val="00594749"/>
    <w:rsid w:val="005A65D5"/>
    <w:rsid w:val="005B4067"/>
    <w:rsid w:val="005C2029"/>
    <w:rsid w:val="005C3F41"/>
    <w:rsid w:val="005D1D92"/>
    <w:rsid w:val="005D2D09"/>
    <w:rsid w:val="005D7C8D"/>
    <w:rsid w:val="005E11B1"/>
    <w:rsid w:val="005E6DBA"/>
    <w:rsid w:val="00600219"/>
    <w:rsid w:val="00604F2A"/>
    <w:rsid w:val="00607AD8"/>
    <w:rsid w:val="00611DE0"/>
    <w:rsid w:val="00611F31"/>
    <w:rsid w:val="006133E6"/>
    <w:rsid w:val="00615638"/>
    <w:rsid w:val="00620076"/>
    <w:rsid w:val="00625D55"/>
    <w:rsid w:val="00627E0A"/>
    <w:rsid w:val="0065488B"/>
    <w:rsid w:val="00656234"/>
    <w:rsid w:val="00662F7E"/>
    <w:rsid w:val="00670EA1"/>
    <w:rsid w:val="00675214"/>
    <w:rsid w:val="00677CC2"/>
    <w:rsid w:val="006846EE"/>
    <w:rsid w:val="006851D5"/>
    <w:rsid w:val="0068744B"/>
    <w:rsid w:val="006905DE"/>
    <w:rsid w:val="0069207B"/>
    <w:rsid w:val="0069463F"/>
    <w:rsid w:val="006970A2"/>
    <w:rsid w:val="006A154F"/>
    <w:rsid w:val="006A3242"/>
    <w:rsid w:val="006A33AE"/>
    <w:rsid w:val="006A437B"/>
    <w:rsid w:val="006B1830"/>
    <w:rsid w:val="006B5789"/>
    <w:rsid w:val="006B64DF"/>
    <w:rsid w:val="006C1D47"/>
    <w:rsid w:val="006C30C5"/>
    <w:rsid w:val="006C7F8C"/>
    <w:rsid w:val="006D08B9"/>
    <w:rsid w:val="006E20DF"/>
    <w:rsid w:val="006E2E1C"/>
    <w:rsid w:val="006E2F4D"/>
    <w:rsid w:val="006E503C"/>
    <w:rsid w:val="006E5A02"/>
    <w:rsid w:val="006E6246"/>
    <w:rsid w:val="006E69C2"/>
    <w:rsid w:val="006E6DCC"/>
    <w:rsid w:val="006F318F"/>
    <w:rsid w:val="006F5CD0"/>
    <w:rsid w:val="0070017E"/>
    <w:rsid w:val="00700B2C"/>
    <w:rsid w:val="0070231C"/>
    <w:rsid w:val="007050A2"/>
    <w:rsid w:val="00713084"/>
    <w:rsid w:val="007130DB"/>
    <w:rsid w:val="00714F20"/>
    <w:rsid w:val="0071590F"/>
    <w:rsid w:val="00715914"/>
    <w:rsid w:val="00717A74"/>
    <w:rsid w:val="00720C92"/>
    <w:rsid w:val="0072147A"/>
    <w:rsid w:val="00723791"/>
    <w:rsid w:val="00731E00"/>
    <w:rsid w:val="00734B61"/>
    <w:rsid w:val="0073705B"/>
    <w:rsid w:val="00741E1B"/>
    <w:rsid w:val="007440B7"/>
    <w:rsid w:val="007500C8"/>
    <w:rsid w:val="0075055F"/>
    <w:rsid w:val="00751E24"/>
    <w:rsid w:val="00756272"/>
    <w:rsid w:val="00762D38"/>
    <w:rsid w:val="007715C9"/>
    <w:rsid w:val="00771613"/>
    <w:rsid w:val="00774EDD"/>
    <w:rsid w:val="007757EC"/>
    <w:rsid w:val="00776DC8"/>
    <w:rsid w:val="00783E89"/>
    <w:rsid w:val="00784F0D"/>
    <w:rsid w:val="00785379"/>
    <w:rsid w:val="007920E6"/>
    <w:rsid w:val="00793915"/>
    <w:rsid w:val="007943BC"/>
    <w:rsid w:val="007A0BA6"/>
    <w:rsid w:val="007A289C"/>
    <w:rsid w:val="007A2D77"/>
    <w:rsid w:val="007C2253"/>
    <w:rsid w:val="007D7911"/>
    <w:rsid w:val="007E163D"/>
    <w:rsid w:val="007E2F8A"/>
    <w:rsid w:val="007E667A"/>
    <w:rsid w:val="007E6955"/>
    <w:rsid w:val="007F28C9"/>
    <w:rsid w:val="007F51B2"/>
    <w:rsid w:val="008040DD"/>
    <w:rsid w:val="0080792E"/>
    <w:rsid w:val="008117E9"/>
    <w:rsid w:val="00824498"/>
    <w:rsid w:val="00826BD1"/>
    <w:rsid w:val="008322FF"/>
    <w:rsid w:val="00833FD6"/>
    <w:rsid w:val="00837ADA"/>
    <w:rsid w:val="0084529D"/>
    <w:rsid w:val="0085175A"/>
    <w:rsid w:val="00851B4F"/>
    <w:rsid w:val="0085390F"/>
    <w:rsid w:val="00854D0B"/>
    <w:rsid w:val="00856A31"/>
    <w:rsid w:val="00857886"/>
    <w:rsid w:val="00860B4E"/>
    <w:rsid w:val="00865B1F"/>
    <w:rsid w:val="00866B29"/>
    <w:rsid w:val="00867B37"/>
    <w:rsid w:val="008711AA"/>
    <w:rsid w:val="008727C2"/>
    <w:rsid w:val="00873455"/>
    <w:rsid w:val="0087441B"/>
    <w:rsid w:val="008754D0"/>
    <w:rsid w:val="00875D13"/>
    <w:rsid w:val="00882264"/>
    <w:rsid w:val="00884584"/>
    <w:rsid w:val="008855C9"/>
    <w:rsid w:val="00886456"/>
    <w:rsid w:val="0089164C"/>
    <w:rsid w:val="00896176"/>
    <w:rsid w:val="008A46E1"/>
    <w:rsid w:val="008A4F43"/>
    <w:rsid w:val="008B2706"/>
    <w:rsid w:val="008B7D0F"/>
    <w:rsid w:val="008C2EAC"/>
    <w:rsid w:val="008C3C09"/>
    <w:rsid w:val="008C5CB3"/>
    <w:rsid w:val="008C6AAC"/>
    <w:rsid w:val="008D0EE0"/>
    <w:rsid w:val="008D3318"/>
    <w:rsid w:val="008D7138"/>
    <w:rsid w:val="008E0027"/>
    <w:rsid w:val="008E444F"/>
    <w:rsid w:val="008E4A4C"/>
    <w:rsid w:val="008E6067"/>
    <w:rsid w:val="008F27BF"/>
    <w:rsid w:val="008F3118"/>
    <w:rsid w:val="008F54E7"/>
    <w:rsid w:val="00903422"/>
    <w:rsid w:val="009248CD"/>
    <w:rsid w:val="009254C3"/>
    <w:rsid w:val="009305FD"/>
    <w:rsid w:val="00930D73"/>
    <w:rsid w:val="009312DA"/>
    <w:rsid w:val="00932377"/>
    <w:rsid w:val="0093260E"/>
    <w:rsid w:val="00934418"/>
    <w:rsid w:val="00941236"/>
    <w:rsid w:val="00943FD5"/>
    <w:rsid w:val="009441F1"/>
    <w:rsid w:val="00945C60"/>
    <w:rsid w:val="00947D5A"/>
    <w:rsid w:val="0095155E"/>
    <w:rsid w:val="009532A5"/>
    <w:rsid w:val="009545BD"/>
    <w:rsid w:val="0095541B"/>
    <w:rsid w:val="00964CF0"/>
    <w:rsid w:val="009674D7"/>
    <w:rsid w:val="00970BCC"/>
    <w:rsid w:val="0097524B"/>
    <w:rsid w:val="00977806"/>
    <w:rsid w:val="00980187"/>
    <w:rsid w:val="009817F1"/>
    <w:rsid w:val="00982242"/>
    <w:rsid w:val="0098287B"/>
    <w:rsid w:val="009868E9"/>
    <w:rsid w:val="009900A3"/>
    <w:rsid w:val="0099170E"/>
    <w:rsid w:val="009927EA"/>
    <w:rsid w:val="009A45A1"/>
    <w:rsid w:val="009A4A0A"/>
    <w:rsid w:val="009B0B93"/>
    <w:rsid w:val="009C3413"/>
    <w:rsid w:val="009E2664"/>
    <w:rsid w:val="009E3C1F"/>
    <w:rsid w:val="009E531A"/>
    <w:rsid w:val="009E747D"/>
    <w:rsid w:val="009F3B96"/>
    <w:rsid w:val="009F4DA5"/>
    <w:rsid w:val="009F6ED1"/>
    <w:rsid w:val="00A0014B"/>
    <w:rsid w:val="00A0441E"/>
    <w:rsid w:val="00A070D6"/>
    <w:rsid w:val="00A10D0E"/>
    <w:rsid w:val="00A11C6F"/>
    <w:rsid w:val="00A12128"/>
    <w:rsid w:val="00A13278"/>
    <w:rsid w:val="00A13BB1"/>
    <w:rsid w:val="00A20057"/>
    <w:rsid w:val="00A22C98"/>
    <w:rsid w:val="00A231E2"/>
    <w:rsid w:val="00A31C51"/>
    <w:rsid w:val="00A369E3"/>
    <w:rsid w:val="00A4077D"/>
    <w:rsid w:val="00A46BE1"/>
    <w:rsid w:val="00A54154"/>
    <w:rsid w:val="00A57600"/>
    <w:rsid w:val="00A624AB"/>
    <w:rsid w:val="00A64912"/>
    <w:rsid w:val="00A70A74"/>
    <w:rsid w:val="00A72787"/>
    <w:rsid w:val="00A75FE9"/>
    <w:rsid w:val="00A85002"/>
    <w:rsid w:val="00A93E07"/>
    <w:rsid w:val="00AA5E10"/>
    <w:rsid w:val="00AB4D6E"/>
    <w:rsid w:val="00AD53CC"/>
    <w:rsid w:val="00AD5641"/>
    <w:rsid w:val="00AE2032"/>
    <w:rsid w:val="00AE20D0"/>
    <w:rsid w:val="00AF06CF"/>
    <w:rsid w:val="00AF7271"/>
    <w:rsid w:val="00B07CDB"/>
    <w:rsid w:val="00B11E97"/>
    <w:rsid w:val="00B140C0"/>
    <w:rsid w:val="00B16A31"/>
    <w:rsid w:val="00B1738A"/>
    <w:rsid w:val="00B17DFD"/>
    <w:rsid w:val="00B25EB7"/>
    <w:rsid w:val="00B27831"/>
    <w:rsid w:val="00B308FE"/>
    <w:rsid w:val="00B33709"/>
    <w:rsid w:val="00B33B3C"/>
    <w:rsid w:val="00B35B5C"/>
    <w:rsid w:val="00B36392"/>
    <w:rsid w:val="00B418CB"/>
    <w:rsid w:val="00B441CE"/>
    <w:rsid w:val="00B45EDB"/>
    <w:rsid w:val="00B47444"/>
    <w:rsid w:val="00B50ADC"/>
    <w:rsid w:val="00B566B1"/>
    <w:rsid w:val="00B56CE9"/>
    <w:rsid w:val="00B62442"/>
    <w:rsid w:val="00B63834"/>
    <w:rsid w:val="00B64518"/>
    <w:rsid w:val="00B70E75"/>
    <w:rsid w:val="00B71E19"/>
    <w:rsid w:val="00B77357"/>
    <w:rsid w:val="00B7770D"/>
    <w:rsid w:val="00B80199"/>
    <w:rsid w:val="00B83204"/>
    <w:rsid w:val="00B856E7"/>
    <w:rsid w:val="00B93C4C"/>
    <w:rsid w:val="00B95BE1"/>
    <w:rsid w:val="00BA220B"/>
    <w:rsid w:val="00BA3A57"/>
    <w:rsid w:val="00BA64B0"/>
    <w:rsid w:val="00BB1533"/>
    <w:rsid w:val="00BB4E1A"/>
    <w:rsid w:val="00BB7120"/>
    <w:rsid w:val="00BC015E"/>
    <w:rsid w:val="00BC6CB0"/>
    <w:rsid w:val="00BC76AC"/>
    <w:rsid w:val="00BD0ECB"/>
    <w:rsid w:val="00BD268A"/>
    <w:rsid w:val="00BE0066"/>
    <w:rsid w:val="00BE2155"/>
    <w:rsid w:val="00BE2FB2"/>
    <w:rsid w:val="00BE617B"/>
    <w:rsid w:val="00BE719A"/>
    <w:rsid w:val="00BE720A"/>
    <w:rsid w:val="00BF0D73"/>
    <w:rsid w:val="00BF2465"/>
    <w:rsid w:val="00BF647F"/>
    <w:rsid w:val="00BF6AF1"/>
    <w:rsid w:val="00C15521"/>
    <w:rsid w:val="00C16619"/>
    <w:rsid w:val="00C24B6E"/>
    <w:rsid w:val="00C25E7F"/>
    <w:rsid w:val="00C2746F"/>
    <w:rsid w:val="00C323D6"/>
    <w:rsid w:val="00C324A0"/>
    <w:rsid w:val="00C35D04"/>
    <w:rsid w:val="00C42BF8"/>
    <w:rsid w:val="00C50043"/>
    <w:rsid w:val="00C53E03"/>
    <w:rsid w:val="00C70604"/>
    <w:rsid w:val="00C70899"/>
    <w:rsid w:val="00C7573B"/>
    <w:rsid w:val="00C80138"/>
    <w:rsid w:val="00C94AE9"/>
    <w:rsid w:val="00C97A54"/>
    <w:rsid w:val="00CA5B23"/>
    <w:rsid w:val="00CA6865"/>
    <w:rsid w:val="00CB20C1"/>
    <w:rsid w:val="00CB602E"/>
    <w:rsid w:val="00CB7E90"/>
    <w:rsid w:val="00CE051D"/>
    <w:rsid w:val="00CE1335"/>
    <w:rsid w:val="00CE408E"/>
    <w:rsid w:val="00CE493D"/>
    <w:rsid w:val="00CF07FA"/>
    <w:rsid w:val="00CF0BB2"/>
    <w:rsid w:val="00CF3EE8"/>
    <w:rsid w:val="00CF60CC"/>
    <w:rsid w:val="00D03398"/>
    <w:rsid w:val="00D04551"/>
    <w:rsid w:val="00D071FB"/>
    <w:rsid w:val="00D076E5"/>
    <w:rsid w:val="00D13441"/>
    <w:rsid w:val="00D13FE1"/>
    <w:rsid w:val="00D150E7"/>
    <w:rsid w:val="00D15BA9"/>
    <w:rsid w:val="00D2374D"/>
    <w:rsid w:val="00D30F44"/>
    <w:rsid w:val="00D36C24"/>
    <w:rsid w:val="00D45745"/>
    <w:rsid w:val="00D4665F"/>
    <w:rsid w:val="00D52DC2"/>
    <w:rsid w:val="00D53BCC"/>
    <w:rsid w:val="00D54C9E"/>
    <w:rsid w:val="00D6537E"/>
    <w:rsid w:val="00D653D9"/>
    <w:rsid w:val="00D658FE"/>
    <w:rsid w:val="00D70153"/>
    <w:rsid w:val="00D70DFB"/>
    <w:rsid w:val="00D766DF"/>
    <w:rsid w:val="00D7736E"/>
    <w:rsid w:val="00D8206C"/>
    <w:rsid w:val="00D91F10"/>
    <w:rsid w:val="00D93510"/>
    <w:rsid w:val="00DA112E"/>
    <w:rsid w:val="00DA1846"/>
    <w:rsid w:val="00DA186E"/>
    <w:rsid w:val="00DA4116"/>
    <w:rsid w:val="00DB2061"/>
    <w:rsid w:val="00DB251C"/>
    <w:rsid w:val="00DB4630"/>
    <w:rsid w:val="00DC3604"/>
    <w:rsid w:val="00DC4F88"/>
    <w:rsid w:val="00DC51B4"/>
    <w:rsid w:val="00DE107C"/>
    <w:rsid w:val="00DF2388"/>
    <w:rsid w:val="00DF55E5"/>
    <w:rsid w:val="00E00BC8"/>
    <w:rsid w:val="00E03729"/>
    <w:rsid w:val="00E03F87"/>
    <w:rsid w:val="00E05704"/>
    <w:rsid w:val="00E0630E"/>
    <w:rsid w:val="00E161FF"/>
    <w:rsid w:val="00E27E37"/>
    <w:rsid w:val="00E338EF"/>
    <w:rsid w:val="00E37771"/>
    <w:rsid w:val="00E419FA"/>
    <w:rsid w:val="00E539D8"/>
    <w:rsid w:val="00E544BB"/>
    <w:rsid w:val="00E674CF"/>
    <w:rsid w:val="00E74DC7"/>
    <w:rsid w:val="00E8075A"/>
    <w:rsid w:val="00E87428"/>
    <w:rsid w:val="00E940D8"/>
    <w:rsid w:val="00E94D31"/>
    <w:rsid w:val="00E94D5E"/>
    <w:rsid w:val="00EA24ED"/>
    <w:rsid w:val="00EA3577"/>
    <w:rsid w:val="00EA7100"/>
    <w:rsid w:val="00EA7F9F"/>
    <w:rsid w:val="00EB1274"/>
    <w:rsid w:val="00EC51A5"/>
    <w:rsid w:val="00ED0C8D"/>
    <w:rsid w:val="00ED2BB6"/>
    <w:rsid w:val="00ED31EB"/>
    <w:rsid w:val="00ED34E1"/>
    <w:rsid w:val="00ED3B8D"/>
    <w:rsid w:val="00ED7933"/>
    <w:rsid w:val="00EE3F38"/>
    <w:rsid w:val="00EE5E36"/>
    <w:rsid w:val="00EF1C70"/>
    <w:rsid w:val="00EF2E3A"/>
    <w:rsid w:val="00EF7589"/>
    <w:rsid w:val="00F02C7C"/>
    <w:rsid w:val="00F05F0B"/>
    <w:rsid w:val="00F072A7"/>
    <w:rsid w:val="00F078DC"/>
    <w:rsid w:val="00F32BA8"/>
    <w:rsid w:val="00F32EE0"/>
    <w:rsid w:val="00F349F1"/>
    <w:rsid w:val="00F40FBD"/>
    <w:rsid w:val="00F41CB8"/>
    <w:rsid w:val="00F4350D"/>
    <w:rsid w:val="00F43A88"/>
    <w:rsid w:val="00F479C4"/>
    <w:rsid w:val="00F511E5"/>
    <w:rsid w:val="00F55016"/>
    <w:rsid w:val="00F567F3"/>
    <w:rsid w:val="00F567F7"/>
    <w:rsid w:val="00F65552"/>
    <w:rsid w:val="00F6696E"/>
    <w:rsid w:val="00F73BD6"/>
    <w:rsid w:val="00F7436F"/>
    <w:rsid w:val="00F83465"/>
    <w:rsid w:val="00F83989"/>
    <w:rsid w:val="00F85099"/>
    <w:rsid w:val="00F8540B"/>
    <w:rsid w:val="00F85F06"/>
    <w:rsid w:val="00F9379C"/>
    <w:rsid w:val="00F93E3B"/>
    <w:rsid w:val="00F9632C"/>
    <w:rsid w:val="00FA1E52"/>
    <w:rsid w:val="00FA437A"/>
    <w:rsid w:val="00FA7DCF"/>
    <w:rsid w:val="00FB0F76"/>
    <w:rsid w:val="00FB104D"/>
    <w:rsid w:val="00FB5A08"/>
    <w:rsid w:val="00FC6A80"/>
    <w:rsid w:val="00FD4A78"/>
    <w:rsid w:val="00FD7922"/>
    <w:rsid w:val="00FD7B6F"/>
    <w:rsid w:val="00FE2892"/>
    <w:rsid w:val="00FE4688"/>
    <w:rsid w:val="00FE6ADB"/>
    <w:rsid w:val="00FF5704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CBA5F13"/>
  <w15:docId w15:val="{99A5052D-A39D-4337-896A-46A06C3C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138"/>
    <w:pPr>
      <w:spacing w:line="276" w:lineRule="auto"/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D71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3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51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5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510"/>
    <w:rPr>
      <w:b/>
      <w:bCs/>
    </w:rPr>
  </w:style>
  <w:style w:type="character" w:customStyle="1" w:styleId="legsubtitle1">
    <w:name w:val="legsubtitle1"/>
    <w:basedOn w:val="DefaultParagraphFont"/>
    <w:rsid w:val="00226E17"/>
    <w:rPr>
      <w:b/>
      <w:bCs/>
    </w:rPr>
  </w:style>
  <w:style w:type="paragraph" w:styleId="Revision">
    <w:name w:val="Revision"/>
    <w:hidden/>
    <w:uiPriority w:val="99"/>
    <w:semiHidden/>
    <w:rsid w:val="001B5C49"/>
    <w:rPr>
      <w:sz w:val="22"/>
    </w:rPr>
  </w:style>
  <w:style w:type="paragraph" w:styleId="ListParagraph">
    <w:name w:val="List Paragraph"/>
    <w:basedOn w:val="Normal"/>
    <w:uiPriority w:val="34"/>
    <w:qFormat/>
    <w:rsid w:val="004E12D2"/>
    <w:pPr>
      <w:spacing w:line="240" w:lineRule="auto"/>
      <w:ind w:left="720"/>
    </w:pPr>
    <w:rPr>
      <w:rFonts w:ascii="Calibri" w:hAnsi="Calibri" w:cs="Calibri"/>
      <w:szCs w:val="22"/>
      <w:lang w:val="en-US"/>
    </w:rPr>
  </w:style>
  <w:style w:type="paragraph" w:customStyle="1" w:styleId="Default">
    <w:name w:val="Default"/>
    <w:rsid w:val="00D076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47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5409-A205-4EC1-85F2-1A81BFEF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LONG</dc:creator>
  <cp:lastModifiedBy>Anastasia TZOTZIS</cp:lastModifiedBy>
  <cp:revision>39</cp:revision>
  <cp:lastPrinted>2019-11-29T03:04:00Z</cp:lastPrinted>
  <dcterms:created xsi:type="dcterms:W3CDTF">2020-01-13T02:19:00Z</dcterms:created>
  <dcterms:modified xsi:type="dcterms:W3CDTF">2020-01-31T06:33:00Z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807762270</vt:i4>
  </property>
</Properties>
</file>