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7FC73" w14:textId="77777777" w:rsidR="00E94180" w:rsidRPr="00355CBF" w:rsidRDefault="00E94180" w:rsidP="004B5491">
      <w:pPr>
        <w:pStyle w:val="Heading1"/>
        <w:spacing w:line="360" w:lineRule="auto"/>
        <w:rPr>
          <w:szCs w:val="24"/>
        </w:rPr>
      </w:pPr>
      <w:r w:rsidRPr="00355CBF">
        <w:rPr>
          <w:szCs w:val="24"/>
        </w:rPr>
        <w:t>EXPLANATORY STATEMENT</w:t>
      </w:r>
    </w:p>
    <w:p w14:paraId="0DFC77A9" w14:textId="77777777" w:rsidR="00E94180" w:rsidRPr="00355CBF" w:rsidRDefault="00E94180" w:rsidP="004B5491">
      <w:pPr>
        <w:pStyle w:val="Heading2"/>
        <w:spacing w:before="120" w:after="240" w:line="360" w:lineRule="auto"/>
        <w:ind w:left="0" w:firstLine="0"/>
        <w:rPr>
          <w:szCs w:val="24"/>
        </w:rPr>
      </w:pPr>
      <w:r w:rsidRPr="00355CBF">
        <w:rPr>
          <w:i/>
          <w:szCs w:val="24"/>
        </w:rPr>
        <w:t>Migration Act 1958</w:t>
      </w:r>
    </w:p>
    <w:p w14:paraId="2987447F" w14:textId="47CA621E" w:rsidR="00E94180" w:rsidRPr="00355CBF" w:rsidRDefault="00E94180" w:rsidP="004B5491">
      <w:pPr>
        <w:spacing w:after="120" w:line="360" w:lineRule="auto"/>
        <w:ind w:hanging="23"/>
        <w:jc w:val="center"/>
        <w:rPr>
          <w:b/>
          <w:sz w:val="24"/>
          <w:szCs w:val="24"/>
        </w:rPr>
      </w:pPr>
      <w:r w:rsidRPr="00355CBF">
        <w:rPr>
          <w:b/>
          <w:sz w:val="24"/>
          <w:szCs w:val="24"/>
        </w:rPr>
        <w:t>Migration (</w:t>
      </w:r>
      <w:r w:rsidR="00001D19" w:rsidRPr="00355CBF">
        <w:rPr>
          <w:b/>
          <w:sz w:val="24"/>
          <w:szCs w:val="24"/>
        </w:rPr>
        <w:t>LIN</w:t>
      </w:r>
      <w:r w:rsidRPr="00355CBF">
        <w:rPr>
          <w:b/>
          <w:sz w:val="24"/>
          <w:szCs w:val="24"/>
        </w:rPr>
        <w:t xml:space="preserve"> </w:t>
      </w:r>
      <w:r w:rsidR="00E27F17" w:rsidRPr="00355CBF">
        <w:rPr>
          <w:b/>
          <w:sz w:val="24"/>
          <w:szCs w:val="24"/>
        </w:rPr>
        <w:t>20/029</w:t>
      </w:r>
      <w:r w:rsidRPr="00355CBF">
        <w:rPr>
          <w:b/>
          <w:sz w:val="24"/>
          <w:szCs w:val="24"/>
        </w:rPr>
        <w:t xml:space="preserve">: Determination of International Trade Obligations </w:t>
      </w:r>
      <w:r w:rsidR="00DB06BF" w:rsidRPr="00355CBF">
        <w:rPr>
          <w:b/>
          <w:sz w:val="24"/>
          <w:szCs w:val="24"/>
        </w:rPr>
        <w:t>R</w:t>
      </w:r>
      <w:r w:rsidRPr="00355CBF">
        <w:rPr>
          <w:b/>
          <w:sz w:val="24"/>
          <w:szCs w:val="24"/>
        </w:rPr>
        <w:t>elating to Labou</w:t>
      </w:r>
      <w:r w:rsidR="00E27F17" w:rsidRPr="00355CBF">
        <w:rPr>
          <w:b/>
          <w:sz w:val="24"/>
          <w:szCs w:val="24"/>
        </w:rPr>
        <w:t>r Market Testing) Instrument 2020</w:t>
      </w:r>
    </w:p>
    <w:p w14:paraId="455B7528" w14:textId="77777777" w:rsidR="00E94180" w:rsidRPr="00355CBF" w:rsidRDefault="00E94180" w:rsidP="004B5491">
      <w:pPr>
        <w:spacing w:after="360" w:line="360" w:lineRule="auto"/>
        <w:ind w:hanging="23"/>
        <w:jc w:val="center"/>
        <w:rPr>
          <w:i/>
          <w:sz w:val="24"/>
          <w:szCs w:val="24"/>
        </w:rPr>
      </w:pPr>
      <w:r w:rsidRPr="00355CBF">
        <w:rPr>
          <w:i/>
          <w:sz w:val="24"/>
          <w:szCs w:val="24"/>
        </w:rPr>
        <w:t xml:space="preserve">(Subsection </w:t>
      </w:r>
      <w:proofErr w:type="gramStart"/>
      <w:r w:rsidRPr="00355CBF">
        <w:rPr>
          <w:i/>
          <w:sz w:val="24"/>
          <w:szCs w:val="24"/>
        </w:rPr>
        <w:t>140GBA(</w:t>
      </w:r>
      <w:proofErr w:type="gramEnd"/>
      <w:r w:rsidRPr="00355CBF">
        <w:rPr>
          <w:i/>
          <w:sz w:val="24"/>
          <w:szCs w:val="24"/>
        </w:rPr>
        <w:t>2))</w:t>
      </w:r>
    </w:p>
    <w:p w14:paraId="60AA6223" w14:textId="24B66809" w:rsidR="00E94180" w:rsidRPr="00355CBF" w:rsidRDefault="00361192" w:rsidP="004B5491">
      <w:pPr>
        <w:numPr>
          <w:ilvl w:val="0"/>
          <w:numId w:val="1"/>
        </w:numPr>
        <w:spacing w:before="240" w:line="360" w:lineRule="auto"/>
        <w:ind w:left="567" w:hanging="567"/>
        <w:jc w:val="both"/>
        <w:rPr>
          <w:sz w:val="24"/>
          <w:szCs w:val="24"/>
        </w:rPr>
      </w:pPr>
      <w:r w:rsidRPr="00355CBF">
        <w:rPr>
          <w:sz w:val="24"/>
          <w:szCs w:val="24"/>
        </w:rPr>
        <w:t>This i</w:t>
      </w:r>
      <w:r w:rsidR="00E94180" w:rsidRPr="00355CBF">
        <w:rPr>
          <w:sz w:val="24"/>
          <w:szCs w:val="24"/>
        </w:rPr>
        <w:t>nstrument</w:t>
      </w:r>
      <w:r w:rsidRPr="00355CBF">
        <w:rPr>
          <w:sz w:val="24"/>
          <w:szCs w:val="24"/>
        </w:rPr>
        <w:t>,</w:t>
      </w:r>
      <w:r w:rsidR="00E94180" w:rsidRPr="00355CBF">
        <w:rPr>
          <w:sz w:val="24"/>
          <w:szCs w:val="24"/>
        </w:rPr>
        <w:t xml:space="preserve"> </w:t>
      </w:r>
      <w:r w:rsidR="00AF4E79" w:rsidRPr="00355CBF">
        <w:rPr>
          <w:i/>
          <w:sz w:val="24"/>
          <w:szCs w:val="24"/>
        </w:rPr>
        <w:t>Migration (LIN 20/029: Determination of I</w:t>
      </w:r>
      <w:r w:rsidR="00DB06BF" w:rsidRPr="00355CBF">
        <w:rPr>
          <w:i/>
          <w:sz w:val="24"/>
          <w:szCs w:val="24"/>
        </w:rPr>
        <w:t>nternational Trade Obligations R</w:t>
      </w:r>
      <w:r w:rsidR="00AF4E79" w:rsidRPr="00355CBF">
        <w:rPr>
          <w:i/>
          <w:sz w:val="24"/>
          <w:szCs w:val="24"/>
        </w:rPr>
        <w:t>elating to Labour Market Testing) Instrument 2020</w:t>
      </w:r>
      <w:r w:rsidR="00AF4E79" w:rsidRPr="00355CBF">
        <w:rPr>
          <w:sz w:val="24"/>
          <w:szCs w:val="24"/>
        </w:rPr>
        <w:t xml:space="preserve"> (</w:t>
      </w:r>
      <w:r w:rsidR="00001D19" w:rsidRPr="00355CBF">
        <w:rPr>
          <w:sz w:val="24"/>
          <w:szCs w:val="24"/>
        </w:rPr>
        <w:t>LIN</w:t>
      </w:r>
      <w:r w:rsidR="00E94180" w:rsidRPr="00355CBF">
        <w:rPr>
          <w:sz w:val="24"/>
          <w:szCs w:val="24"/>
        </w:rPr>
        <w:t xml:space="preserve"> </w:t>
      </w:r>
      <w:r w:rsidR="00E27F17" w:rsidRPr="00355CBF">
        <w:rPr>
          <w:sz w:val="24"/>
          <w:szCs w:val="24"/>
        </w:rPr>
        <w:t>20/029</w:t>
      </w:r>
      <w:r w:rsidR="00AF4E79" w:rsidRPr="00355CBF">
        <w:rPr>
          <w:sz w:val="24"/>
          <w:szCs w:val="24"/>
        </w:rPr>
        <w:t>)</w:t>
      </w:r>
      <w:r w:rsidRPr="00355CBF">
        <w:rPr>
          <w:sz w:val="24"/>
          <w:szCs w:val="24"/>
        </w:rPr>
        <w:t>,</w:t>
      </w:r>
      <w:r w:rsidR="00E94180" w:rsidRPr="00355CBF">
        <w:rPr>
          <w:sz w:val="24"/>
          <w:szCs w:val="24"/>
        </w:rPr>
        <w:t xml:space="preserve"> is made</w:t>
      </w:r>
      <w:r w:rsidR="00AF4E79" w:rsidRPr="00355CBF">
        <w:rPr>
          <w:sz w:val="24"/>
          <w:szCs w:val="24"/>
        </w:rPr>
        <w:t xml:space="preserve"> under subsection </w:t>
      </w:r>
      <w:proofErr w:type="gramStart"/>
      <w:r w:rsidR="00AF4E79" w:rsidRPr="00355CBF">
        <w:rPr>
          <w:sz w:val="24"/>
          <w:szCs w:val="24"/>
        </w:rPr>
        <w:t>140GBA(</w:t>
      </w:r>
      <w:proofErr w:type="gramEnd"/>
      <w:r w:rsidR="00AF4E79" w:rsidRPr="00355CBF">
        <w:rPr>
          <w:sz w:val="24"/>
          <w:szCs w:val="24"/>
        </w:rPr>
        <w:t xml:space="preserve">2) of the </w:t>
      </w:r>
      <w:r w:rsidR="00AF4E79" w:rsidRPr="00355CBF">
        <w:rPr>
          <w:i/>
          <w:sz w:val="24"/>
          <w:szCs w:val="24"/>
        </w:rPr>
        <w:t>Migration Act 1958</w:t>
      </w:r>
      <w:r w:rsidR="00AF4E79" w:rsidRPr="00355CBF">
        <w:rPr>
          <w:sz w:val="24"/>
          <w:szCs w:val="24"/>
        </w:rPr>
        <w:t xml:space="preserve"> (the Act).</w:t>
      </w:r>
      <w:r w:rsidR="00E94180" w:rsidRPr="00355CBF">
        <w:rPr>
          <w:sz w:val="24"/>
          <w:szCs w:val="24"/>
        </w:rPr>
        <w:t xml:space="preserve"> </w:t>
      </w:r>
    </w:p>
    <w:p w14:paraId="0383B40E" w14:textId="6B603C5D" w:rsidR="00E94180" w:rsidRPr="00355CBF" w:rsidRDefault="005F48AA" w:rsidP="004B5491">
      <w:pPr>
        <w:numPr>
          <w:ilvl w:val="0"/>
          <w:numId w:val="1"/>
        </w:numPr>
        <w:spacing w:before="240" w:line="360" w:lineRule="auto"/>
        <w:ind w:left="567" w:hanging="567"/>
        <w:jc w:val="both"/>
        <w:rPr>
          <w:sz w:val="24"/>
          <w:szCs w:val="24"/>
        </w:rPr>
      </w:pPr>
      <w:r w:rsidRPr="00355CBF">
        <w:rPr>
          <w:sz w:val="24"/>
          <w:szCs w:val="24"/>
        </w:rPr>
        <w:t>This i</w:t>
      </w:r>
      <w:r w:rsidR="00E94180" w:rsidRPr="00355CBF">
        <w:rPr>
          <w:sz w:val="24"/>
          <w:szCs w:val="24"/>
        </w:rPr>
        <w:t xml:space="preserve">nstrument </w:t>
      </w:r>
      <w:r w:rsidRPr="00355CBF">
        <w:rPr>
          <w:sz w:val="24"/>
          <w:szCs w:val="24"/>
        </w:rPr>
        <w:t xml:space="preserve">repeals </w:t>
      </w:r>
      <w:bookmarkStart w:id="0" w:name="_Toc24643056"/>
      <w:r w:rsidR="00986881" w:rsidRPr="00355CBF">
        <w:rPr>
          <w:i/>
          <w:sz w:val="24"/>
          <w:szCs w:val="24"/>
        </w:rPr>
        <w:t>Migration (LIN 18/183: Determination of International Trade Obligations Relating to Labour Market Testing) Instrument 2018</w:t>
      </w:r>
      <w:r w:rsidR="00986881" w:rsidRPr="00355CBF">
        <w:rPr>
          <w:sz w:val="24"/>
          <w:szCs w:val="24"/>
        </w:rPr>
        <w:t xml:space="preserve"> (F2018L01479</w:t>
      </w:r>
      <w:bookmarkEnd w:id="0"/>
      <w:r w:rsidR="00986881" w:rsidRPr="00355CBF">
        <w:rPr>
          <w:sz w:val="24"/>
          <w:szCs w:val="24"/>
        </w:rPr>
        <w:t xml:space="preserve">) </w:t>
      </w:r>
      <w:r w:rsidR="00D2586A" w:rsidRPr="00355CBF">
        <w:rPr>
          <w:sz w:val="24"/>
          <w:szCs w:val="24"/>
        </w:rPr>
        <w:t xml:space="preserve">made under subsection </w:t>
      </w:r>
      <w:proofErr w:type="gramStart"/>
      <w:r w:rsidR="00D2586A" w:rsidRPr="00355CBF">
        <w:rPr>
          <w:sz w:val="24"/>
          <w:szCs w:val="24"/>
        </w:rPr>
        <w:t>140GBA(</w:t>
      </w:r>
      <w:proofErr w:type="gramEnd"/>
      <w:r w:rsidR="00D2586A" w:rsidRPr="00355CBF">
        <w:rPr>
          <w:sz w:val="24"/>
          <w:szCs w:val="24"/>
        </w:rPr>
        <w:t xml:space="preserve">2) of the Act </w:t>
      </w:r>
      <w:r w:rsidR="00E94180" w:rsidRPr="00355CBF">
        <w:rPr>
          <w:sz w:val="24"/>
          <w:szCs w:val="24"/>
        </w:rPr>
        <w:t xml:space="preserve">in accordance with subsection 33(3) of the </w:t>
      </w:r>
      <w:r w:rsidR="00E94180" w:rsidRPr="00355CBF">
        <w:rPr>
          <w:i/>
          <w:sz w:val="24"/>
          <w:szCs w:val="24"/>
        </w:rPr>
        <w:t xml:space="preserve">Acts Interpretation Act 1901 </w:t>
      </w:r>
      <w:r w:rsidR="00E94180" w:rsidRPr="00355CBF">
        <w:rPr>
          <w:sz w:val="24"/>
          <w:szCs w:val="24"/>
        </w:rPr>
        <w:t>(the Interpretation Act). Subsection 33(3) of the Interpretation Act states that where an Act confers a power to make, grant or issue any instrument of a legislative or administrative character, the power shall be construed as including a power exercisable in the like manner and subject to the like conditions (if any) to repeal, rescind, revoke, amend, or vary any such instrument.</w:t>
      </w:r>
    </w:p>
    <w:p w14:paraId="4A2728D6" w14:textId="190F7BE9" w:rsidR="0003353E" w:rsidRPr="00355CBF" w:rsidRDefault="007C5E69" w:rsidP="004B5491">
      <w:pPr>
        <w:numPr>
          <w:ilvl w:val="0"/>
          <w:numId w:val="1"/>
        </w:numPr>
        <w:spacing w:before="240" w:line="360" w:lineRule="auto"/>
        <w:ind w:left="567" w:hanging="567"/>
        <w:jc w:val="both"/>
        <w:rPr>
          <w:sz w:val="24"/>
          <w:szCs w:val="24"/>
        </w:rPr>
      </w:pPr>
      <w:r w:rsidRPr="00355CBF">
        <w:rPr>
          <w:sz w:val="24"/>
          <w:szCs w:val="24"/>
        </w:rPr>
        <w:t>T</w:t>
      </w:r>
      <w:r w:rsidR="000B1E12" w:rsidRPr="00355CBF">
        <w:rPr>
          <w:sz w:val="24"/>
          <w:szCs w:val="24"/>
        </w:rPr>
        <w:t>his</w:t>
      </w:r>
      <w:r w:rsidRPr="00355CBF">
        <w:rPr>
          <w:sz w:val="24"/>
          <w:szCs w:val="24"/>
        </w:rPr>
        <w:t xml:space="preserve"> instrument</w:t>
      </w:r>
      <w:r w:rsidR="00E94180" w:rsidRPr="00355CBF">
        <w:rPr>
          <w:sz w:val="24"/>
          <w:szCs w:val="24"/>
        </w:rPr>
        <w:t xml:space="preserve"> operates </w:t>
      </w:r>
      <w:r w:rsidR="006552D0" w:rsidRPr="00355CBF">
        <w:rPr>
          <w:sz w:val="24"/>
          <w:szCs w:val="24"/>
        </w:rPr>
        <w:t>under subsection 140GBA(2)</w:t>
      </w:r>
      <w:r w:rsidR="008479A6" w:rsidRPr="00355CBF">
        <w:rPr>
          <w:sz w:val="24"/>
          <w:szCs w:val="24"/>
        </w:rPr>
        <w:t xml:space="preserve"> of the Act</w:t>
      </w:r>
      <w:r w:rsidR="006552D0" w:rsidRPr="00355CBF">
        <w:rPr>
          <w:sz w:val="24"/>
          <w:szCs w:val="24"/>
        </w:rPr>
        <w:t xml:space="preserve"> </w:t>
      </w:r>
      <w:r w:rsidR="0003353E" w:rsidRPr="00355CBF">
        <w:rPr>
          <w:sz w:val="24"/>
          <w:szCs w:val="24"/>
        </w:rPr>
        <w:t xml:space="preserve">for the Minister to </w:t>
      </w:r>
      <w:r w:rsidR="00E94180" w:rsidRPr="00355CBF">
        <w:rPr>
          <w:sz w:val="24"/>
          <w:szCs w:val="24"/>
        </w:rPr>
        <w:t xml:space="preserve">determine </w:t>
      </w:r>
      <w:r w:rsidR="0003353E" w:rsidRPr="00355CBF">
        <w:rPr>
          <w:sz w:val="24"/>
          <w:szCs w:val="24"/>
        </w:rPr>
        <w:t xml:space="preserve">(as an </w:t>
      </w:r>
      <w:r w:rsidR="00C43BE8" w:rsidRPr="00355CBF">
        <w:rPr>
          <w:sz w:val="24"/>
          <w:szCs w:val="24"/>
        </w:rPr>
        <w:t>internationa</w:t>
      </w:r>
      <w:r w:rsidR="00A4689A" w:rsidRPr="00355CBF">
        <w:rPr>
          <w:sz w:val="24"/>
          <w:szCs w:val="24"/>
        </w:rPr>
        <w:t>l trade obligation</w:t>
      </w:r>
      <w:r w:rsidR="0003353E" w:rsidRPr="00355CBF">
        <w:rPr>
          <w:sz w:val="24"/>
          <w:szCs w:val="24"/>
        </w:rPr>
        <w:t xml:space="preserve">) an obligation of Australia under international law that relates to </w:t>
      </w:r>
      <w:r w:rsidR="00187B36" w:rsidRPr="00355CBF">
        <w:rPr>
          <w:sz w:val="24"/>
          <w:szCs w:val="24"/>
        </w:rPr>
        <w:t>international</w:t>
      </w:r>
      <w:r w:rsidR="0003353E" w:rsidRPr="00355CBF">
        <w:rPr>
          <w:sz w:val="24"/>
          <w:szCs w:val="24"/>
        </w:rPr>
        <w:t xml:space="preserve"> trade, which includes an obligation that arises under any agreement between Australia and another country, or countries</w:t>
      </w:r>
      <w:r w:rsidR="00C43BE8" w:rsidRPr="00355CBF">
        <w:rPr>
          <w:sz w:val="24"/>
          <w:szCs w:val="24"/>
        </w:rPr>
        <w:t xml:space="preserve"> for the purposes of paragraph 140GBA(1)(c).  </w:t>
      </w:r>
    </w:p>
    <w:p w14:paraId="449A319A" w14:textId="10FC9A3D" w:rsidR="00222C82" w:rsidRPr="00355CBF" w:rsidRDefault="00187B36" w:rsidP="004B5491">
      <w:pPr>
        <w:numPr>
          <w:ilvl w:val="0"/>
          <w:numId w:val="1"/>
        </w:numPr>
        <w:spacing w:before="240" w:line="360" w:lineRule="auto"/>
        <w:ind w:left="567" w:hanging="567"/>
        <w:jc w:val="both"/>
        <w:rPr>
          <w:sz w:val="24"/>
          <w:szCs w:val="24"/>
        </w:rPr>
      </w:pPr>
      <w:r w:rsidRPr="00355CBF">
        <w:rPr>
          <w:sz w:val="24"/>
          <w:szCs w:val="24"/>
        </w:rPr>
        <w:t>Subsection</w:t>
      </w:r>
      <w:r w:rsidR="00C43BE8" w:rsidRPr="00355CBF">
        <w:rPr>
          <w:sz w:val="24"/>
          <w:szCs w:val="24"/>
        </w:rPr>
        <w:t xml:space="preserve"> 140GBA(1) </w:t>
      </w:r>
      <w:r w:rsidR="008479A6" w:rsidRPr="00355CBF">
        <w:rPr>
          <w:sz w:val="24"/>
          <w:szCs w:val="24"/>
        </w:rPr>
        <w:t xml:space="preserve">of the Act </w:t>
      </w:r>
      <w:r w:rsidR="00C43BE8" w:rsidRPr="00355CBF">
        <w:rPr>
          <w:sz w:val="24"/>
          <w:szCs w:val="24"/>
        </w:rPr>
        <w:t>provides</w:t>
      </w:r>
      <w:r w:rsidR="00AE34DD" w:rsidRPr="00355CBF">
        <w:rPr>
          <w:sz w:val="24"/>
          <w:szCs w:val="24"/>
        </w:rPr>
        <w:t xml:space="preserve"> </w:t>
      </w:r>
      <w:r w:rsidR="00C43BE8" w:rsidRPr="00355CBF">
        <w:rPr>
          <w:sz w:val="24"/>
          <w:szCs w:val="24"/>
        </w:rPr>
        <w:t>that the labour</w:t>
      </w:r>
      <w:r w:rsidR="00A4689A" w:rsidRPr="00355CBF">
        <w:rPr>
          <w:sz w:val="24"/>
          <w:szCs w:val="24"/>
        </w:rPr>
        <w:t xml:space="preserve"> market testing condition </w:t>
      </w:r>
      <w:r w:rsidR="00AE34DD" w:rsidRPr="00355CBF">
        <w:rPr>
          <w:sz w:val="24"/>
          <w:szCs w:val="24"/>
        </w:rPr>
        <w:t>specified</w:t>
      </w:r>
      <w:r w:rsidR="00222C82" w:rsidRPr="00355CBF">
        <w:rPr>
          <w:sz w:val="24"/>
          <w:szCs w:val="24"/>
        </w:rPr>
        <w:t xml:space="preserve"> </w:t>
      </w:r>
      <w:r w:rsidR="00A4689A" w:rsidRPr="00355CBF">
        <w:rPr>
          <w:sz w:val="24"/>
          <w:szCs w:val="24"/>
        </w:rPr>
        <w:t>in section 140GBA</w:t>
      </w:r>
      <w:r w:rsidR="008479A6" w:rsidRPr="00355CBF">
        <w:rPr>
          <w:sz w:val="24"/>
          <w:szCs w:val="24"/>
        </w:rPr>
        <w:t xml:space="preserve"> </w:t>
      </w:r>
      <w:r w:rsidR="00C43BE8" w:rsidRPr="00355CBF">
        <w:rPr>
          <w:sz w:val="24"/>
          <w:szCs w:val="24"/>
        </w:rPr>
        <w:t>appl</w:t>
      </w:r>
      <w:r w:rsidR="00AE34DD" w:rsidRPr="00355CBF">
        <w:rPr>
          <w:sz w:val="24"/>
          <w:szCs w:val="24"/>
        </w:rPr>
        <w:t>ies</w:t>
      </w:r>
      <w:r w:rsidR="00C43BE8" w:rsidRPr="00355CBF">
        <w:rPr>
          <w:sz w:val="24"/>
          <w:szCs w:val="24"/>
        </w:rPr>
        <w:t xml:space="preserve"> to a nomination by </w:t>
      </w:r>
      <w:r w:rsidR="006552D0" w:rsidRPr="00355CBF">
        <w:rPr>
          <w:sz w:val="24"/>
          <w:szCs w:val="24"/>
        </w:rPr>
        <w:t>a person</w:t>
      </w:r>
      <w:r w:rsidR="00222C82" w:rsidRPr="00355CBF">
        <w:rPr>
          <w:sz w:val="24"/>
          <w:szCs w:val="24"/>
        </w:rPr>
        <w:t xml:space="preserve"> if:</w:t>
      </w:r>
    </w:p>
    <w:p w14:paraId="6FA8EA3E" w14:textId="5D9D671B" w:rsidR="00222C82" w:rsidRPr="00355CBF" w:rsidRDefault="00222C82" w:rsidP="004B5491">
      <w:pPr>
        <w:pStyle w:val="ListParagraph"/>
        <w:numPr>
          <w:ilvl w:val="1"/>
          <w:numId w:val="6"/>
        </w:numPr>
        <w:spacing w:before="120" w:line="360" w:lineRule="auto"/>
        <w:ind w:left="1418" w:hanging="567"/>
        <w:contextualSpacing w:val="0"/>
        <w:jc w:val="both"/>
        <w:rPr>
          <w:sz w:val="24"/>
          <w:szCs w:val="24"/>
        </w:rPr>
      </w:pPr>
      <w:r w:rsidRPr="00355CBF">
        <w:rPr>
          <w:sz w:val="24"/>
          <w:szCs w:val="24"/>
        </w:rPr>
        <w:t xml:space="preserve">the person </w:t>
      </w:r>
      <w:r w:rsidR="006552D0" w:rsidRPr="00355CBF">
        <w:rPr>
          <w:sz w:val="24"/>
          <w:szCs w:val="24"/>
        </w:rPr>
        <w:t xml:space="preserve">is or has applied to be, in a class of </w:t>
      </w:r>
      <w:r w:rsidR="00C43BE8" w:rsidRPr="00355CBF">
        <w:rPr>
          <w:sz w:val="24"/>
          <w:szCs w:val="24"/>
        </w:rPr>
        <w:t xml:space="preserve">approved </w:t>
      </w:r>
      <w:r w:rsidR="006552D0" w:rsidRPr="00355CBF">
        <w:rPr>
          <w:sz w:val="24"/>
          <w:szCs w:val="24"/>
        </w:rPr>
        <w:t xml:space="preserve">work </w:t>
      </w:r>
      <w:r w:rsidR="00C43BE8" w:rsidRPr="00355CBF">
        <w:rPr>
          <w:sz w:val="24"/>
          <w:szCs w:val="24"/>
        </w:rPr>
        <w:t>sponsor</w:t>
      </w:r>
      <w:r w:rsidR="006552D0" w:rsidRPr="00355CBF">
        <w:rPr>
          <w:sz w:val="24"/>
          <w:szCs w:val="24"/>
        </w:rPr>
        <w:t>s</w:t>
      </w:r>
      <w:r w:rsidRPr="00355CBF">
        <w:rPr>
          <w:sz w:val="24"/>
          <w:szCs w:val="24"/>
        </w:rPr>
        <w:t>;</w:t>
      </w:r>
      <w:r w:rsidR="006552D0" w:rsidRPr="00355CBF">
        <w:rPr>
          <w:sz w:val="24"/>
          <w:szCs w:val="24"/>
        </w:rPr>
        <w:t xml:space="preserve"> and </w:t>
      </w:r>
    </w:p>
    <w:p w14:paraId="7F66A328" w14:textId="58A5907E" w:rsidR="00222C82" w:rsidRPr="00355CBF" w:rsidRDefault="00222C82" w:rsidP="004B5491">
      <w:pPr>
        <w:pStyle w:val="ListParagraph"/>
        <w:numPr>
          <w:ilvl w:val="1"/>
          <w:numId w:val="6"/>
        </w:numPr>
        <w:spacing w:before="120" w:line="360" w:lineRule="auto"/>
        <w:ind w:left="1418" w:hanging="567"/>
        <w:contextualSpacing w:val="0"/>
        <w:jc w:val="both"/>
        <w:rPr>
          <w:sz w:val="24"/>
          <w:szCs w:val="24"/>
        </w:rPr>
      </w:pPr>
      <w:r w:rsidRPr="00355CBF">
        <w:rPr>
          <w:sz w:val="24"/>
          <w:szCs w:val="24"/>
        </w:rPr>
        <w:t xml:space="preserve">the person </w:t>
      </w:r>
      <w:r w:rsidR="006552D0" w:rsidRPr="00355CBF">
        <w:rPr>
          <w:sz w:val="24"/>
          <w:szCs w:val="24"/>
        </w:rPr>
        <w:t>nominates a proposed occupat</w:t>
      </w:r>
      <w:r w:rsidR="00C17AA7" w:rsidRPr="00355CBF">
        <w:rPr>
          <w:sz w:val="24"/>
          <w:szCs w:val="24"/>
        </w:rPr>
        <w:t xml:space="preserve">ion and </w:t>
      </w:r>
      <w:r w:rsidRPr="00355CBF">
        <w:rPr>
          <w:sz w:val="24"/>
          <w:szCs w:val="24"/>
        </w:rPr>
        <w:t>a</w:t>
      </w:r>
      <w:r w:rsidR="00C17AA7" w:rsidRPr="00355CBF">
        <w:rPr>
          <w:sz w:val="24"/>
          <w:szCs w:val="24"/>
        </w:rPr>
        <w:t xml:space="preserve"> particular position</w:t>
      </w:r>
      <w:r w:rsidR="006552D0" w:rsidRPr="00355CBF">
        <w:rPr>
          <w:sz w:val="24"/>
          <w:szCs w:val="24"/>
        </w:rPr>
        <w:t xml:space="preserve">, associated with the nominated occupation, </w:t>
      </w:r>
      <w:r w:rsidRPr="00355CBF">
        <w:rPr>
          <w:sz w:val="24"/>
          <w:szCs w:val="24"/>
        </w:rPr>
        <w:t xml:space="preserve">that </w:t>
      </w:r>
      <w:r w:rsidR="006552D0" w:rsidRPr="00355CBF">
        <w:rPr>
          <w:sz w:val="24"/>
          <w:szCs w:val="24"/>
        </w:rPr>
        <w:t xml:space="preserve">is to be filled by a visa applicant (including proposed applicants) or </w:t>
      </w:r>
      <w:r w:rsidRPr="00355CBF">
        <w:rPr>
          <w:sz w:val="24"/>
          <w:szCs w:val="24"/>
        </w:rPr>
        <w:t xml:space="preserve">a visa </w:t>
      </w:r>
      <w:r w:rsidR="006552D0" w:rsidRPr="00355CBF">
        <w:rPr>
          <w:sz w:val="24"/>
          <w:szCs w:val="24"/>
        </w:rPr>
        <w:t>holder identified in the nomination</w:t>
      </w:r>
      <w:r w:rsidRPr="00355CBF">
        <w:rPr>
          <w:sz w:val="24"/>
          <w:szCs w:val="24"/>
        </w:rPr>
        <w:t>;</w:t>
      </w:r>
      <w:r w:rsidR="006552D0" w:rsidRPr="00355CBF">
        <w:rPr>
          <w:sz w:val="24"/>
          <w:szCs w:val="24"/>
        </w:rPr>
        <w:t xml:space="preserve"> and </w:t>
      </w:r>
    </w:p>
    <w:p w14:paraId="6E9F40AB" w14:textId="62AD44C1" w:rsidR="00E94180" w:rsidRPr="00355CBF" w:rsidRDefault="00222C82" w:rsidP="004B5491">
      <w:pPr>
        <w:pStyle w:val="ListParagraph"/>
        <w:numPr>
          <w:ilvl w:val="1"/>
          <w:numId w:val="6"/>
        </w:numPr>
        <w:spacing w:before="120" w:line="360" w:lineRule="auto"/>
        <w:ind w:left="1418" w:hanging="567"/>
        <w:contextualSpacing w:val="0"/>
        <w:jc w:val="both"/>
        <w:rPr>
          <w:sz w:val="24"/>
          <w:szCs w:val="24"/>
        </w:rPr>
      </w:pPr>
      <w:proofErr w:type="gramStart"/>
      <w:r w:rsidRPr="00355CBF">
        <w:rPr>
          <w:sz w:val="24"/>
          <w:szCs w:val="24"/>
        </w:rPr>
        <w:t>it</w:t>
      </w:r>
      <w:proofErr w:type="gramEnd"/>
      <w:r w:rsidRPr="00355CBF">
        <w:rPr>
          <w:sz w:val="24"/>
          <w:szCs w:val="24"/>
        </w:rPr>
        <w:t xml:space="preserve"> </w:t>
      </w:r>
      <w:r w:rsidR="00C43BE8" w:rsidRPr="00355CBF">
        <w:rPr>
          <w:sz w:val="24"/>
          <w:szCs w:val="24"/>
        </w:rPr>
        <w:t xml:space="preserve">would </w:t>
      </w:r>
      <w:r w:rsidR="00AE34DD" w:rsidRPr="00355CBF">
        <w:rPr>
          <w:sz w:val="24"/>
          <w:szCs w:val="24"/>
        </w:rPr>
        <w:t xml:space="preserve">not </w:t>
      </w:r>
      <w:r w:rsidR="00C43BE8" w:rsidRPr="00355CBF">
        <w:rPr>
          <w:sz w:val="24"/>
          <w:szCs w:val="24"/>
        </w:rPr>
        <w:t>be inconsistent with any international trade obligation of Australia</w:t>
      </w:r>
      <w:r w:rsidR="006552D0" w:rsidRPr="00355CBF">
        <w:rPr>
          <w:sz w:val="24"/>
          <w:szCs w:val="24"/>
        </w:rPr>
        <w:t xml:space="preserve"> determined under s</w:t>
      </w:r>
      <w:r w:rsidR="004206BD" w:rsidRPr="00355CBF">
        <w:rPr>
          <w:sz w:val="24"/>
          <w:szCs w:val="24"/>
        </w:rPr>
        <w:t>ubsection 140GBA(2)</w:t>
      </w:r>
      <w:r w:rsidRPr="00355CBF">
        <w:rPr>
          <w:sz w:val="24"/>
          <w:szCs w:val="24"/>
        </w:rPr>
        <w:t xml:space="preserve"> to require the person to satisfy the labour market testing condition, in relation to the nominated position</w:t>
      </w:r>
      <w:r w:rsidR="008479A6" w:rsidRPr="00355CBF">
        <w:rPr>
          <w:sz w:val="24"/>
          <w:szCs w:val="24"/>
        </w:rPr>
        <w:t>.</w:t>
      </w:r>
    </w:p>
    <w:p w14:paraId="35B4EC92" w14:textId="7DE501B1" w:rsidR="00543397" w:rsidRPr="00355CBF" w:rsidRDefault="00E94180" w:rsidP="004B5491">
      <w:pPr>
        <w:numPr>
          <w:ilvl w:val="0"/>
          <w:numId w:val="1"/>
        </w:numPr>
        <w:spacing w:before="240" w:line="360" w:lineRule="auto"/>
        <w:ind w:left="567"/>
        <w:jc w:val="both"/>
        <w:rPr>
          <w:sz w:val="24"/>
          <w:szCs w:val="24"/>
        </w:rPr>
      </w:pPr>
      <w:r w:rsidRPr="00355CBF">
        <w:rPr>
          <w:sz w:val="24"/>
          <w:szCs w:val="24"/>
        </w:rPr>
        <w:lastRenderedPageBreak/>
        <w:t>The purpose of th</w:t>
      </w:r>
      <w:r w:rsidR="000B1E12" w:rsidRPr="00355CBF">
        <w:rPr>
          <w:sz w:val="24"/>
          <w:szCs w:val="24"/>
        </w:rPr>
        <w:t>is</w:t>
      </w:r>
      <w:r w:rsidRPr="00355CBF">
        <w:rPr>
          <w:sz w:val="24"/>
          <w:szCs w:val="24"/>
        </w:rPr>
        <w:t xml:space="preserve"> instrument </w:t>
      </w:r>
      <w:r w:rsidR="006F5388" w:rsidRPr="00355CBF">
        <w:rPr>
          <w:sz w:val="24"/>
          <w:szCs w:val="24"/>
        </w:rPr>
        <w:t>is</w:t>
      </w:r>
      <w:r w:rsidRPr="00355CBF">
        <w:rPr>
          <w:sz w:val="24"/>
          <w:szCs w:val="24"/>
        </w:rPr>
        <w:t xml:space="preserve"> to</w:t>
      </w:r>
      <w:r w:rsidR="006F5388" w:rsidRPr="00355CBF">
        <w:rPr>
          <w:sz w:val="24"/>
          <w:szCs w:val="24"/>
        </w:rPr>
        <w:t xml:space="preserve"> </w:t>
      </w:r>
      <w:r w:rsidRPr="00355CBF">
        <w:rPr>
          <w:sz w:val="24"/>
          <w:szCs w:val="24"/>
        </w:rPr>
        <w:t xml:space="preserve">give domestic effect to Australia’s </w:t>
      </w:r>
      <w:r w:rsidR="001A0171" w:rsidRPr="00355CBF">
        <w:rPr>
          <w:sz w:val="24"/>
          <w:szCs w:val="24"/>
        </w:rPr>
        <w:t>obligations</w:t>
      </w:r>
      <w:r w:rsidRPr="00355CBF">
        <w:rPr>
          <w:sz w:val="24"/>
          <w:szCs w:val="24"/>
        </w:rPr>
        <w:t xml:space="preserve"> under international trade agreements</w:t>
      </w:r>
      <w:r w:rsidR="00984652" w:rsidRPr="00355CBF">
        <w:rPr>
          <w:sz w:val="24"/>
          <w:szCs w:val="24"/>
        </w:rPr>
        <w:t>,</w:t>
      </w:r>
      <w:r w:rsidRPr="00355CBF">
        <w:rPr>
          <w:sz w:val="24"/>
          <w:szCs w:val="24"/>
        </w:rPr>
        <w:t xml:space="preserve"> to which it is a party</w:t>
      </w:r>
      <w:r w:rsidR="00984652" w:rsidRPr="00355CBF">
        <w:rPr>
          <w:sz w:val="24"/>
          <w:szCs w:val="24"/>
        </w:rPr>
        <w:t xml:space="preserve">, for the purposes of </w:t>
      </w:r>
      <w:r w:rsidR="000C5255" w:rsidRPr="00355CBF">
        <w:rPr>
          <w:sz w:val="24"/>
          <w:szCs w:val="24"/>
        </w:rPr>
        <w:t xml:space="preserve">applying the </w:t>
      </w:r>
      <w:r w:rsidR="00984652" w:rsidRPr="00355CBF">
        <w:rPr>
          <w:sz w:val="24"/>
          <w:szCs w:val="24"/>
        </w:rPr>
        <w:t>labour market testing</w:t>
      </w:r>
      <w:r w:rsidR="00F0602A" w:rsidRPr="00355CBF">
        <w:rPr>
          <w:sz w:val="24"/>
          <w:szCs w:val="24"/>
        </w:rPr>
        <w:t xml:space="preserve"> condition</w:t>
      </w:r>
      <w:r w:rsidR="006F5388" w:rsidRPr="00355CBF">
        <w:rPr>
          <w:sz w:val="24"/>
          <w:szCs w:val="24"/>
        </w:rPr>
        <w:t>.</w:t>
      </w:r>
      <w:r w:rsidR="006552D0" w:rsidRPr="00355CBF">
        <w:rPr>
          <w:sz w:val="24"/>
          <w:szCs w:val="24"/>
        </w:rPr>
        <w:t xml:space="preserve">  </w:t>
      </w:r>
      <w:r w:rsidR="006F5388" w:rsidRPr="00355CBF">
        <w:rPr>
          <w:sz w:val="24"/>
          <w:szCs w:val="24"/>
        </w:rPr>
        <w:t xml:space="preserve">Specifically, section 6 of the instrument includes </w:t>
      </w:r>
      <w:r w:rsidR="006F5388" w:rsidRPr="00355CBF">
        <w:rPr>
          <w:spacing w:val="-1"/>
          <w:sz w:val="24"/>
          <w:szCs w:val="24"/>
        </w:rPr>
        <w:t xml:space="preserve">three new free trade agreements made under the </w:t>
      </w:r>
      <w:r w:rsidR="006F5388" w:rsidRPr="00355CBF">
        <w:rPr>
          <w:i/>
          <w:sz w:val="24"/>
          <w:szCs w:val="24"/>
        </w:rPr>
        <w:t xml:space="preserve">Customs Amendment (Growing Australian Export Opportunities </w:t>
      </w:r>
      <w:proofErr w:type="gramStart"/>
      <w:r w:rsidR="006F5388" w:rsidRPr="00355CBF">
        <w:rPr>
          <w:i/>
          <w:sz w:val="24"/>
          <w:szCs w:val="24"/>
        </w:rPr>
        <w:t>Across</w:t>
      </w:r>
      <w:proofErr w:type="gramEnd"/>
      <w:r w:rsidR="006F5388" w:rsidRPr="00355CBF">
        <w:rPr>
          <w:i/>
          <w:sz w:val="24"/>
          <w:szCs w:val="24"/>
        </w:rPr>
        <w:t xml:space="preserve"> the Asia-Pacific</w:t>
      </w:r>
      <w:r w:rsidR="009E14C3" w:rsidRPr="00355CBF">
        <w:rPr>
          <w:i/>
          <w:sz w:val="24"/>
          <w:szCs w:val="24"/>
        </w:rPr>
        <w:t>)</w:t>
      </w:r>
      <w:r w:rsidR="006F5388" w:rsidRPr="00355CBF">
        <w:rPr>
          <w:i/>
          <w:sz w:val="24"/>
          <w:szCs w:val="24"/>
        </w:rPr>
        <w:t xml:space="preserve"> Act 2019</w:t>
      </w:r>
      <w:r w:rsidR="006F5388" w:rsidRPr="00355CBF">
        <w:rPr>
          <w:sz w:val="24"/>
          <w:szCs w:val="24"/>
        </w:rPr>
        <w:t xml:space="preserve"> (Customs Amendment Act)</w:t>
      </w:r>
      <w:r w:rsidR="00B43F1E" w:rsidRPr="00355CBF">
        <w:rPr>
          <w:sz w:val="24"/>
          <w:szCs w:val="24"/>
        </w:rPr>
        <w:t xml:space="preserve">, </w:t>
      </w:r>
      <w:r w:rsidR="00B43F1E" w:rsidRPr="00355CBF">
        <w:rPr>
          <w:spacing w:val="-1"/>
          <w:sz w:val="24"/>
          <w:szCs w:val="24"/>
        </w:rPr>
        <w:t xml:space="preserve">namely </w:t>
      </w:r>
      <w:r w:rsidR="006F5388" w:rsidRPr="00355CBF">
        <w:rPr>
          <w:spacing w:val="-1"/>
          <w:sz w:val="24"/>
          <w:szCs w:val="24"/>
        </w:rPr>
        <w:t xml:space="preserve">the Peru-Australia Free Trade Agreement (PAFTA), the Indonesia-Australia Comprehensive Economic Partnership Agreement </w:t>
      </w:r>
      <w:r w:rsidR="006F5388" w:rsidRPr="00355CBF">
        <w:rPr>
          <w:sz w:val="24"/>
          <w:szCs w:val="24"/>
        </w:rPr>
        <w:t>(IA-CEPA)</w:t>
      </w:r>
      <w:r w:rsidR="006F5388" w:rsidRPr="00355CBF">
        <w:rPr>
          <w:spacing w:val="-1"/>
          <w:sz w:val="24"/>
          <w:szCs w:val="24"/>
        </w:rPr>
        <w:t xml:space="preserve">, and the </w:t>
      </w:r>
      <w:r w:rsidR="006F5388" w:rsidRPr="00355CBF">
        <w:rPr>
          <w:sz w:val="24"/>
          <w:szCs w:val="24"/>
        </w:rPr>
        <w:t>Free Trade Agreement between Australia and Hong Kong, China (A-HKFTA).</w:t>
      </w:r>
      <w:r w:rsidR="006552D0" w:rsidRPr="00355CBF">
        <w:rPr>
          <w:sz w:val="24"/>
          <w:szCs w:val="24"/>
        </w:rPr>
        <w:t xml:space="preserve">  All other </w:t>
      </w:r>
      <w:r w:rsidR="00B43F1E" w:rsidRPr="00355CBF">
        <w:rPr>
          <w:sz w:val="24"/>
          <w:szCs w:val="24"/>
        </w:rPr>
        <w:t>f</w:t>
      </w:r>
      <w:r w:rsidR="006552D0" w:rsidRPr="00355CBF">
        <w:rPr>
          <w:sz w:val="24"/>
          <w:szCs w:val="24"/>
        </w:rPr>
        <w:t xml:space="preserve">ree </w:t>
      </w:r>
      <w:r w:rsidR="00B43F1E" w:rsidRPr="00355CBF">
        <w:rPr>
          <w:sz w:val="24"/>
          <w:szCs w:val="24"/>
        </w:rPr>
        <w:t>t</w:t>
      </w:r>
      <w:r w:rsidR="006552D0" w:rsidRPr="00355CBF">
        <w:rPr>
          <w:sz w:val="24"/>
          <w:szCs w:val="24"/>
        </w:rPr>
        <w:t xml:space="preserve">rade </w:t>
      </w:r>
      <w:r w:rsidR="00B43F1E" w:rsidRPr="00355CBF">
        <w:rPr>
          <w:sz w:val="24"/>
          <w:szCs w:val="24"/>
        </w:rPr>
        <w:t>a</w:t>
      </w:r>
      <w:r w:rsidR="006552D0" w:rsidRPr="00355CBF">
        <w:rPr>
          <w:sz w:val="24"/>
          <w:szCs w:val="24"/>
        </w:rPr>
        <w:t>greements mentioned in the instrument were included in the previous instrument LIN</w:t>
      </w:r>
      <w:r w:rsidR="00775E05" w:rsidRPr="00355CBF">
        <w:rPr>
          <w:sz w:val="24"/>
          <w:szCs w:val="24"/>
        </w:rPr>
        <w:t> </w:t>
      </w:r>
      <w:r w:rsidR="006552D0" w:rsidRPr="00355CBF">
        <w:rPr>
          <w:sz w:val="24"/>
          <w:szCs w:val="24"/>
        </w:rPr>
        <w:t>18/183</w:t>
      </w:r>
      <w:r w:rsidR="00543397" w:rsidRPr="00355CBF">
        <w:rPr>
          <w:sz w:val="24"/>
          <w:szCs w:val="24"/>
        </w:rPr>
        <w:t>.</w:t>
      </w:r>
    </w:p>
    <w:p w14:paraId="424E847A" w14:textId="1AC50A14" w:rsidR="0094415F" w:rsidRPr="00355CBF" w:rsidRDefault="00543397" w:rsidP="004B5491">
      <w:pPr>
        <w:numPr>
          <w:ilvl w:val="0"/>
          <w:numId w:val="1"/>
        </w:numPr>
        <w:spacing w:before="240" w:line="360" w:lineRule="auto"/>
        <w:ind w:left="567" w:hanging="357"/>
        <w:jc w:val="both"/>
        <w:rPr>
          <w:sz w:val="24"/>
          <w:szCs w:val="24"/>
        </w:rPr>
      </w:pPr>
      <w:r w:rsidRPr="00355CBF">
        <w:rPr>
          <w:sz w:val="24"/>
          <w:szCs w:val="24"/>
        </w:rPr>
        <w:t>T</w:t>
      </w:r>
      <w:r w:rsidR="000A20FF" w:rsidRPr="00355CBF">
        <w:rPr>
          <w:sz w:val="24"/>
          <w:szCs w:val="24"/>
        </w:rPr>
        <w:t xml:space="preserve">he instrument commences </w:t>
      </w:r>
      <w:r w:rsidRPr="00355CBF">
        <w:rPr>
          <w:sz w:val="24"/>
          <w:szCs w:val="24"/>
        </w:rPr>
        <w:t>at the same time as Schedule</w:t>
      </w:r>
      <w:r w:rsidR="00B43F1E" w:rsidRPr="00355CBF">
        <w:rPr>
          <w:sz w:val="24"/>
          <w:szCs w:val="24"/>
        </w:rPr>
        <w:t xml:space="preserve"> 1 to the Customs Amendment Act </w:t>
      </w:r>
      <w:r w:rsidRPr="00355CBF">
        <w:rPr>
          <w:sz w:val="24"/>
          <w:szCs w:val="24"/>
        </w:rPr>
        <w:t>with the exception of the following agreements which commence at the following times</w:t>
      </w:r>
      <w:r w:rsidR="00D64CED" w:rsidRPr="00355CBF">
        <w:rPr>
          <w:sz w:val="24"/>
          <w:szCs w:val="24"/>
        </w:rPr>
        <w:t>:</w:t>
      </w:r>
    </w:p>
    <w:p w14:paraId="1230A117" w14:textId="77777777" w:rsidR="00B43F1E" w:rsidRPr="00355CBF" w:rsidRDefault="0094415F" w:rsidP="004B5491">
      <w:pPr>
        <w:pStyle w:val="ListParagraph"/>
        <w:numPr>
          <w:ilvl w:val="1"/>
          <w:numId w:val="7"/>
        </w:numPr>
        <w:spacing w:before="120" w:line="360" w:lineRule="auto"/>
        <w:ind w:left="1418" w:hanging="567"/>
        <w:contextualSpacing w:val="0"/>
        <w:jc w:val="both"/>
        <w:rPr>
          <w:sz w:val="24"/>
          <w:szCs w:val="24"/>
        </w:rPr>
      </w:pPr>
      <w:r w:rsidRPr="00355CBF">
        <w:rPr>
          <w:sz w:val="24"/>
          <w:szCs w:val="24"/>
        </w:rPr>
        <w:t xml:space="preserve">for </w:t>
      </w:r>
      <w:r w:rsidR="006F5388" w:rsidRPr="00355CBF">
        <w:rPr>
          <w:sz w:val="24"/>
          <w:szCs w:val="24"/>
        </w:rPr>
        <w:t>IA-CEPA</w:t>
      </w:r>
      <w:r w:rsidR="00A65F77" w:rsidRPr="00355CBF">
        <w:rPr>
          <w:sz w:val="24"/>
          <w:szCs w:val="24"/>
        </w:rPr>
        <w:t xml:space="preserve">, the instrument </w:t>
      </w:r>
      <w:r w:rsidR="006F5388" w:rsidRPr="00355CBF">
        <w:rPr>
          <w:sz w:val="24"/>
          <w:szCs w:val="24"/>
        </w:rPr>
        <w:t xml:space="preserve">commences </w:t>
      </w:r>
      <w:r w:rsidR="00A65F77" w:rsidRPr="00355CBF">
        <w:rPr>
          <w:sz w:val="24"/>
          <w:szCs w:val="24"/>
        </w:rPr>
        <w:t>at the same time as</w:t>
      </w:r>
      <w:r w:rsidR="006F5388" w:rsidRPr="00355CBF">
        <w:rPr>
          <w:sz w:val="24"/>
          <w:szCs w:val="24"/>
        </w:rPr>
        <w:t xml:space="preserve"> Schedule 2 to the Customs Amendment Act</w:t>
      </w:r>
      <w:r w:rsidRPr="00355CBF">
        <w:rPr>
          <w:sz w:val="24"/>
          <w:szCs w:val="24"/>
        </w:rPr>
        <w:t xml:space="preserve"> commences</w:t>
      </w:r>
      <w:r w:rsidR="006F5388" w:rsidRPr="00355CBF">
        <w:rPr>
          <w:sz w:val="24"/>
          <w:szCs w:val="24"/>
        </w:rPr>
        <w:t xml:space="preserve">; and </w:t>
      </w:r>
    </w:p>
    <w:p w14:paraId="742DD4AF" w14:textId="150F976B" w:rsidR="006F5388" w:rsidRPr="00355CBF" w:rsidRDefault="0094415F" w:rsidP="004B5491">
      <w:pPr>
        <w:pStyle w:val="ListParagraph"/>
        <w:numPr>
          <w:ilvl w:val="1"/>
          <w:numId w:val="7"/>
        </w:numPr>
        <w:spacing w:before="120" w:line="360" w:lineRule="auto"/>
        <w:ind w:left="1418" w:hanging="567"/>
        <w:contextualSpacing w:val="0"/>
        <w:jc w:val="both"/>
        <w:rPr>
          <w:sz w:val="24"/>
          <w:szCs w:val="24"/>
        </w:rPr>
      </w:pPr>
      <w:proofErr w:type="gramStart"/>
      <w:r w:rsidRPr="00355CBF">
        <w:rPr>
          <w:sz w:val="24"/>
          <w:szCs w:val="24"/>
        </w:rPr>
        <w:t>for</w:t>
      </w:r>
      <w:proofErr w:type="gramEnd"/>
      <w:r w:rsidRPr="00355CBF">
        <w:rPr>
          <w:sz w:val="24"/>
          <w:szCs w:val="24"/>
        </w:rPr>
        <w:t xml:space="preserve"> </w:t>
      </w:r>
      <w:r w:rsidR="006F5388" w:rsidRPr="00355CBF">
        <w:rPr>
          <w:sz w:val="24"/>
          <w:szCs w:val="24"/>
        </w:rPr>
        <w:t>A-HKFTA</w:t>
      </w:r>
      <w:r w:rsidRPr="00355CBF">
        <w:rPr>
          <w:sz w:val="24"/>
          <w:szCs w:val="24"/>
        </w:rPr>
        <w:t>, the instrument</w:t>
      </w:r>
      <w:r w:rsidR="006F5388" w:rsidRPr="00355CBF">
        <w:rPr>
          <w:sz w:val="24"/>
          <w:szCs w:val="24"/>
        </w:rPr>
        <w:t xml:space="preserve"> commences </w:t>
      </w:r>
      <w:r w:rsidRPr="00355CBF">
        <w:rPr>
          <w:sz w:val="24"/>
          <w:szCs w:val="24"/>
        </w:rPr>
        <w:t>at the same time as</w:t>
      </w:r>
      <w:r w:rsidR="006F5388" w:rsidRPr="00355CBF">
        <w:rPr>
          <w:sz w:val="24"/>
          <w:szCs w:val="24"/>
        </w:rPr>
        <w:t xml:space="preserve"> Schedule 3 to the Customs Amendment Act</w:t>
      </w:r>
      <w:r w:rsidRPr="00355CBF">
        <w:rPr>
          <w:sz w:val="24"/>
          <w:szCs w:val="24"/>
        </w:rPr>
        <w:t xml:space="preserve"> commences</w:t>
      </w:r>
      <w:r w:rsidR="006F5388" w:rsidRPr="00355CBF">
        <w:rPr>
          <w:sz w:val="24"/>
          <w:szCs w:val="24"/>
        </w:rPr>
        <w:t xml:space="preserve">. </w:t>
      </w:r>
    </w:p>
    <w:p w14:paraId="12F16B60" w14:textId="2E1E87B7" w:rsidR="009F279A" w:rsidRPr="00355CBF" w:rsidRDefault="003F3114" w:rsidP="004B5491">
      <w:pPr>
        <w:numPr>
          <w:ilvl w:val="0"/>
          <w:numId w:val="1"/>
        </w:numPr>
        <w:tabs>
          <w:tab w:val="left" w:pos="567"/>
        </w:tabs>
        <w:spacing w:before="240" w:line="360" w:lineRule="auto"/>
        <w:ind w:left="567" w:hanging="567"/>
        <w:jc w:val="both"/>
        <w:rPr>
          <w:sz w:val="24"/>
          <w:szCs w:val="24"/>
        </w:rPr>
      </w:pPr>
      <w:r w:rsidRPr="00355CBF">
        <w:rPr>
          <w:sz w:val="24"/>
          <w:szCs w:val="24"/>
        </w:rPr>
        <w:t>T</w:t>
      </w:r>
      <w:r w:rsidR="00E94180" w:rsidRPr="00355CBF">
        <w:rPr>
          <w:sz w:val="24"/>
          <w:szCs w:val="24"/>
        </w:rPr>
        <w:t xml:space="preserve">he Department of Foreign Affairs </w:t>
      </w:r>
      <w:r w:rsidR="00FA7899" w:rsidRPr="00355CBF">
        <w:rPr>
          <w:sz w:val="24"/>
          <w:szCs w:val="24"/>
        </w:rPr>
        <w:t xml:space="preserve">and Trade </w:t>
      </w:r>
      <w:r w:rsidRPr="00355CBF">
        <w:rPr>
          <w:sz w:val="24"/>
          <w:szCs w:val="24"/>
        </w:rPr>
        <w:t>consulted</w:t>
      </w:r>
      <w:r w:rsidR="00FA7899" w:rsidRPr="00355CBF">
        <w:rPr>
          <w:sz w:val="24"/>
          <w:szCs w:val="24"/>
        </w:rPr>
        <w:t xml:space="preserve"> with</w:t>
      </w:r>
      <w:r w:rsidRPr="00355CBF">
        <w:rPr>
          <w:sz w:val="24"/>
          <w:szCs w:val="24"/>
        </w:rPr>
        <w:t xml:space="preserve"> public and targeted stakeholders before, during and after the conclusion of the negotiations of the</w:t>
      </w:r>
      <w:r w:rsidR="00FA7899" w:rsidRPr="00355CBF">
        <w:rPr>
          <w:sz w:val="24"/>
          <w:szCs w:val="24"/>
        </w:rPr>
        <w:t xml:space="preserve"> three</w:t>
      </w:r>
      <w:r w:rsidRPr="00355CBF">
        <w:rPr>
          <w:sz w:val="24"/>
          <w:szCs w:val="24"/>
        </w:rPr>
        <w:t xml:space="preserve"> </w:t>
      </w:r>
      <w:r w:rsidR="00FA7899" w:rsidRPr="00355CBF">
        <w:rPr>
          <w:sz w:val="24"/>
          <w:szCs w:val="24"/>
        </w:rPr>
        <w:t xml:space="preserve">new </w:t>
      </w:r>
      <w:r w:rsidRPr="00355CBF">
        <w:rPr>
          <w:sz w:val="24"/>
          <w:szCs w:val="24"/>
        </w:rPr>
        <w:t xml:space="preserve">agreements. The consultation </w:t>
      </w:r>
      <w:r w:rsidR="00543397" w:rsidRPr="00355CBF">
        <w:rPr>
          <w:sz w:val="24"/>
          <w:szCs w:val="24"/>
        </w:rPr>
        <w:t>includ</w:t>
      </w:r>
      <w:r w:rsidRPr="00355CBF">
        <w:rPr>
          <w:sz w:val="24"/>
          <w:szCs w:val="24"/>
        </w:rPr>
        <w:t>ed</w:t>
      </w:r>
      <w:r w:rsidR="00543397" w:rsidRPr="00355CBF">
        <w:rPr>
          <w:sz w:val="24"/>
          <w:szCs w:val="24"/>
        </w:rPr>
        <w:t xml:space="preserve"> in-person meetings with relevant stakeholders, requests for written submissions and specific outreach sessions with individual businesses, peak bodies and unions and civil society representatives</w:t>
      </w:r>
      <w:r w:rsidRPr="00355CBF">
        <w:rPr>
          <w:sz w:val="24"/>
          <w:szCs w:val="24"/>
        </w:rPr>
        <w:t>.</w:t>
      </w:r>
    </w:p>
    <w:p w14:paraId="7E3A2E5B" w14:textId="77777777" w:rsidR="00BF16B5" w:rsidRPr="00355CBF" w:rsidRDefault="00E94180" w:rsidP="004B5491">
      <w:pPr>
        <w:numPr>
          <w:ilvl w:val="0"/>
          <w:numId w:val="1"/>
        </w:numPr>
        <w:tabs>
          <w:tab w:val="left" w:pos="567"/>
        </w:tabs>
        <w:spacing w:before="240" w:line="360" w:lineRule="auto"/>
        <w:ind w:left="567" w:hanging="567"/>
        <w:jc w:val="both"/>
        <w:rPr>
          <w:sz w:val="24"/>
          <w:szCs w:val="24"/>
        </w:rPr>
      </w:pPr>
      <w:r w:rsidRPr="00355CBF">
        <w:rPr>
          <w:sz w:val="24"/>
          <w:szCs w:val="24"/>
        </w:rPr>
        <w:t xml:space="preserve">The Office of Best Practice Regulation (OBPR) has advised that a Regulatory Impact Statement is not required (OBPR Reference </w:t>
      </w:r>
      <w:r w:rsidR="00CD021E" w:rsidRPr="00355CBF">
        <w:rPr>
          <w:sz w:val="24"/>
          <w:szCs w:val="24"/>
        </w:rPr>
        <w:t>20888</w:t>
      </w:r>
      <w:r w:rsidRPr="00355CBF">
        <w:rPr>
          <w:sz w:val="24"/>
          <w:szCs w:val="24"/>
        </w:rPr>
        <w:t>).</w:t>
      </w:r>
    </w:p>
    <w:p w14:paraId="2EF3FC1E" w14:textId="49A1F020" w:rsidR="00044F31" w:rsidRPr="00355CBF" w:rsidRDefault="00E94180" w:rsidP="004B5491">
      <w:pPr>
        <w:numPr>
          <w:ilvl w:val="0"/>
          <w:numId w:val="1"/>
        </w:numPr>
        <w:tabs>
          <w:tab w:val="left" w:pos="567"/>
        </w:tabs>
        <w:spacing w:before="240" w:line="360" w:lineRule="auto"/>
        <w:ind w:left="567" w:hanging="567"/>
        <w:jc w:val="both"/>
        <w:rPr>
          <w:sz w:val="24"/>
          <w:szCs w:val="24"/>
        </w:rPr>
      </w:pPr>
      <w:r w:rsidRPr="00355CBF">
        <w:rPr>
          <w:sz w:val="24"/>
          <w:szCs w:val="24"/>
        </w:rPr>
        <w:t xml:space="preserve">Under section 10 of the </w:t>
      </w:r>
      <w:r w:rsidRPr="00355CBF">
        <w:rPr>
          <w:i/>
          <w:sz w:val="24"/>
          <w:szCs w:val="24"/>
        </w:rPr>
        <w:t>Legislation (Exemptions and Other Matters) Regulation 2015</w:t>
      </w:r>
      <w:r w:rsidRPr="00355CBF">
        <w:rPr>
          <w:sz w:val="24"/>
          <w:szCs w:val="24"/>
        </w:rPr>
        <w:t xml:space="preserve">, the </w:t>
      </w:r>
      <w:r w:rsidR="000759ED" w:rsidRPr="00355CBF">
        <w:rPr>
          <w:sz w:val="24"/>
          <w:szCs w:val="24"/>
        </w:rPr>
        <w:t>i</w:t>
      </w:r>
      <w:r w:rsidRPr="00355CBF">
        <w:rPr>
          <w:sz w:val="24"/>
          <w:szCs w:val="24"/>
        </w:rPr>
        <w:t>nstrument is exempt from disallowance and therefore a Statement of Compatibility wi</w:t>
      </w:r>
      <w:r w:rsidR="002752B3" w:rsidRPr="00355CBF">
        <w:rPr>
          <w:sz w:val="24"/>
          <w:szCs w:val="24"/>
        </w:rPr>
        <w:t>th Human Rights is not requi</w:t>
      </w:r>
      <w:bookmarkStart w:id="1" w:name="_GoBack"/>
      <w:bookmarkEnd w:id="1"/>
      <w:r w:rsidR="002752B3" w:rsidRPr="00355CBF">
        <w:rPr>
          <w:sz w:val="24"/>
          <w:szCs w:val="24"/>
        </w:rPr>
        <w:t>red.</w:t>
      </w:r>
    </w:p>
    <w:sectPr w:rsidR="00044F31" w:rsidRPr="00355CBF" w:rsidSect="00AF4E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31" w:right="1418" w:bottom="1077" w:left="1418" w:header="425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C3154" w14:textId="77777777" w:rsidR="00423478" w:rsidRDefault="00423478" w:rsidP="00423478">
      <w:r>
        <w:separator/>
      </w:r>
    </w:p>
  </w:endnote>
  <w:endnote w:type="continuationSeparator" w:id="0">
    <w:p w14:paraId="4E8543FB" w14:textId="77777777" w:rsidR="00423478" w:rsidRDefault="00423478" w:rsidP="00423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CA8B8" w14:textId="77777777" w:rsidR="000359BC" w:rsidRDefault="00035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B1570" w14:textId="77777777" w:rsidR="000359BC" w:rsidRDefault="000359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2A279" w14:textId="77777777" w:rsidR="000359BC" w:rsidRDefault="00035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83E89B" w14:textId="77777777" w:rsidR="00423478" w:rsidRDefault="00423478" w:rsidP="00423478">
      <w:r>
        <w:separator/>
      </w:r>
    </w:p>
  </w:footnote>
  <w:footnote w:type="continuationSeparator" w:id="0">
    <w:p w14:paraId="560ADBE1" w14:textId="77777777" w:rsidR="00423478" w:rsidRDefault="00423478" w:rsidP="00423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3E82E" w14:textId="77777777" w:rsidR="000359BC" w:rsidRDefault="000359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BAF123" w14:textId="3C133B6F" w:rsidR="000359BC" w:rsidRDefault="000359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D2586" w14:textId="77777777" w:rsidR="000359BC" w:rsidRDefault="000359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6E5"/>
    <w:multiLevelType w:val="hybridMultilevel"/>
    <w:tmpl w:val="2B722E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22173"/>
    <w:multiLevelType w:val="hybridMultilevel"/>
    <w:tmpl w:val="6EF2ACBA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3044"/>
    <w:multiLevelType w:val="hybridMultilevel"/>
    <w:tmpl w:val="24789CBA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F1DAC016">
      <w:start w:val="1"/>
      <w:numFmt w:val="lowerLetter"/>
      <w:lvlText w:val="(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622F1"/>
    <w:multiLevelType w:val="hybridMultilevel"/>
    <w:tmpl w:val="7C16EE40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05399"/>
    <w:multiLevelType w:val="hybridMultilevel"/>
    <w:tmpl w:val="3F2E50FC"/>
    <w:lvl w:ilvl="0" w:tplc="3C2E190E">
      <w:start w:val="1"/>
      <w:numFmt w:val="decimal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76A56"/>
    <w:multiLevelType w:val="hybridMultilevel"/>
    <w:tmpl w:val="686C90EA"/>
    <w:lvl w:ilvl="0" w:tplc="EEB6804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A70F34"/>
    <w:multiLevelType w:val="hybridMultilevel"/>
    <w:tmpl w:val="F19CB496"/>
    <w:lvl w:ilvl="0" w:tplc="300472C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180"/>
    <w:rsid w:val="000011A1"/>
    <w:rsid w:val="00001D19"/>
    <w:rsid w:val="00004528"/>
    <w:rsid w:val="00010B37"/>
    <w:rsid w:val="0003353E"/>
    <w:rsid w:val="000350DE"/>
    <w:rsid w:val="000359BC"/>
    <w:rsid w:val="000403CC"/>
    <w:rsid w:val="00044F31"/>
    <w:rsid w:val="00071865"/>
    <w:rsid w:val="000759ED"/>
    <w:rsid w:val="00083E94"/>
    <w:rsid w:val="0009027E"/>
    <w:rsid w:val="000A20FF"/>
    <w:rsid w:val="000A2769"/>
    <w:rsid w:val="000B1E12"/>
    <w:rsid w:val="000C5255"/>
    <w:rsid w:val="000D3307"/>
    <w:rsid w:val="000E1A4B"/>
    <w:rsid w:val="000F53DD"/>
    <w:rsid w:val="001106C3"/>
    <w:rsid w:val="00141E24"/>
    <w:rsid w:val="00147383"/>
    <w:rsid w:val="00154B2B"/>
    <w:rsid w:val="001636C0"/>
    <w:rsid w:val="001663FC"/>
    <w:rsid w:val="00167F7E"/>
    <w:rsid w:val="00176429"/>
    <w:rsid w:val="00182D63"/>
    <w:rsid w:val="00187B36"/>
    <w:rsid w:val="001919C0"/>
    <w:rsid w:val="00196BC5"/>
    <w:rsid w:val="001A0171"/>
    <w:rsid w:val="001E6CC1"/>
    <w:rsid w:val="00204489"/>
    <w:rsid w:val="00212D41"/>
    <w:rsid w:val="00216DBA"/>
    <w:rsid w:val="00217CCD"/>
    <w:rsid w:val="00222C82"/>
    <w:rsid w:val="002357F6"/>
    <w:rsid w:val="0024701F"/>
    <w:rsid w:val="0026103C"/>
    <w:rsid w:val="002638F8"/>
    <w:rsid w:val="00271755"/>
    <w:rsid w:val="002752B3"/>
    <w:rsid w:val="002873DC"/>
    <w:rsid w:val="002A5442"/>
    <w:rsid w:val="002B7E57"/>
    <w:rsid w:val="002D100B"/>
    <w:rsid w:val="002E77A6"/>
    <w:rsid w:val="002F0941"/>
    <w:rsid w:val="00331635"/>
    <w:rsid w:val="00344421"/>
    <w:rsid w:val="00347A31"/>
    <w:rsid w:val="00355CBF"/>
    <w:rsid w:val="00360C91"/>
    <w:rsid w:val="00361192"/>
    <w:rsid w:val="00370EAD"/>
    <w:rsid w:val="0037626A"/>
    <w:rsid w:val="003C65B1"/>
    <w:rsid w:val="003D067D"/>
    <w:rsid w:val="003E7326"/>
    <w:rsid w:val="003F3114"/>
    <w:rsid w:val="00407229"/>
    <w:rsid w:val="004206BD"/>
    <w:rsid w:val="00421273"/>
    <w:rsid w:val="00423478"/>
    <w:rsid w:val="00425BF4"/>
    <w:rsid w:val="004600C2"/>
    <w:rsid w:val="00473FC6"/>
    <w:rsid w:val="004A0671"/>
    <w:rsid w:val="004B0822"/>
    <w:rsid w:val="004B5491"/>
    <w:rsid w:val="004C037D"/>
    <w:rsid w:val="004D7C4A"/>
    <w:rsid w:val="004D7F2A"/>
    <w:rsid w:val="004F0304"/>
    <w:rsid w:val="004F2BC2"/>
    <w:rsid w:val="005120AB"/>
    <w:rsid w:val="00526248"/>
    <w:rsid w:val="00543397"/>
    <w:rsid w:val="00547D06"/>
    <w:rsid w:val="00566A55"/>
    <w:rsid w:val="00576114"/>
    <w:rsid w:val="0058177E"/>
    <w:rsid w:val="005840C1"/>
    <w:rsid w:val="00596A77"/>
    <w:rsid w:val="005A3CA7"/>
    <w:rsid w:val="005A6F47"/>
    <w:rsid w:val="005A7117"/>
    <w:rsid w:val="005B66AD"/>
    <w:rsid w:val="005C0C9C"/>
    <w:rsid w:val="005C7779"/>
    <w:rsid w:val="005E37AF"/>
    <w:rsid w:val="005F48AA"/>
    <w:rsid w:val="00616E13"/>
    <w:rsid w:val="00622C3E"/>
    <w:rsid w:val="00626C49"/>
    <w:rsid w:val="006552D0"/>
    <w:rsid w:val="006577DC"/>
    <w:rsid w:val="0066301A"/>
    <w:rsid w:val="006638D6"/>
    <w:rsid w:val="00667154"/>
    <w:rsid w:val="006818EF"/>
    <w:rsid w:val="0068648E"/>
    <w:rsid w:val="006B012B"/>
    <w:rsid w:val="006C126D"/>
    <w:rsid w:val="006C6574"/>
    <w:rsid w:val="006E08A1"/>
    <w:rsid w:val="006F076E"/>
    <w:rsid w:val="006F5388"/>
    <w:rsid w:val="00711401"/>
    <w:rsid w:val="00713F97"/>
    <w:rsid w:val="00723954"/>
    <w:rsid w:val="00743C0D"/>
    <w:rsid w:val="00775E05"/>
    <w:rsid w:val="0078221C"/>
    <w:rsid w:val="007903AC"/>
    <w:rsid w:val="007B484F"/>
    <w:rsid w:val="007C1679"/>
    <w:rsid w:val="007C5E69"/>
    <w:rsid w:val="007E01D6"/>
    <w:rsid w:val="007E5B3C"/>
    <w:rsid w:val="007F1C10"/>
    <w:rsid w:val="0080149B"/>
    <w:rsid w:val="008043F6"/>
    <w:rsid w:val="008109F9"/>
    <w:rsid w:val="00814EFC"/>
    <w:rsid w:val="0083279D"/>
    <w:rsid w:val="008356E6"/>
    <w:rsid w:val="008479A6"/>
    <w:rsid w:val="008504BF"/>
    <w:rsid w:val="00851F3E"/>
    <w:rsid w:val="008520A5"/>
    <w:rsid w:val="0085416B"/>
    <w:rsid w:val="0085428A"/>
    <w:rsid w:val="008703AC"/>
    <w:rsid w:val="008912B4"/>
    <w:rsid w:val="00897BFF"/>
    <w:rsid w:val="00917DF0"/>
    <w:rsid w:val="0092001A"/>
    <w:rsid w:val="00940F05"/>
    <w:rsid w:val="0094415F"/>
    <w:rsid w:val="00944F42"/>
    <w:rsid w:val="00984652"/>
    <w:rsid w:val="00986881"/>
    <w:rsid w:val="00992A23"/>
    <w:rsid w:val="009937F8"/>
    <w:rsid w:val="009A4039"/>
    <w:rsid w:val="009C3E49"/>
    <w:rsid w:val="009E14C3"/>
    <w:rsid w:val="009E1A7F"/>
    <w:rsid w:val="009E510D"/>
    <w:rsid w:val="009E7F73"/>
    <w:rsid w:val="009F0218"/>
    <w:rsid w:val="009F16AE"/>
    <w:rsid w:val="009F279A"/>
    <w:rsid w:val="00A13DB4"/>
    <w:rsid w:val="00A13F4E"/>
    <w:rsid w:val="00A32083"/>
    <w:rsid w:val="00A41582"/>
    <w:rsid w:val="00A4689A"/>
    <w:rsid w:val="00A46C41"/>
    <w:rsid w:val="00A65F77"/>
    <w:rsid w:val="00A77D20"/>
    <w:rsid w:val="00A80DB2"/>
    <w:rsid w:val="00A84C8C"/>
    <w:rsid w:val="00AB13DA"/>
    <w:rsid w:val="00AB2860"/>
    <w:rsid w:val="00AD49BC"/>
    <w:rsid w:val="00AE34DD"/>
    <w:rsid w:val="00AF4E79"/>
    <w:rsid w:val="00B07F37"/>
    <w:rsid w:val="00B12884"/>
    <w:rsid w:val="00B17D08"/>
    <w:rsid w:val="00B26128"/>
    <w:rsid w:val="00B36888"/>
    <w:rsid w:val="00B43F1E"/>
    <w:rsid w:val="00B45DA6"/>
    <w:rsid w:val="00B54B39"/>
    <w:rsid w:val="00B60374"/>
    <w:rsid w:val="00B742CC"/>
    <w:rsid w:val="00B74BDE"/>
    <w:rsid w:val="00B87918"/>
    <w:rsid w:val="00BC582D"/>
    <w:rsid w:val="00BC7555"/>
    <w:rsid w:val="00BD54E2"/>
    <w:rsid w:val="00BF16B5"/>
    <w:rsid w:val="00BF1F72"/>
    <w:rsid w:val="00C17AA7"/>
    <w:rsid w:val="00C32DF1"/>
    <w:rsid w:val="00C412B6"/>
    <w:rsid w:val="00C43BE8"/>
    <w:rsid w:val="00C539AD"/>
    <w:rsid w:val="00C60D60"/>
    <w:rsid w:val="00C6511B"/>
    <w:rsid w:val="00C84C3D"/>
    <w:rsid w:val="00C92A3B"/>
    <w:rsid w:val="00C94F0F"/>
    <w:rsid w:val="00C97CE6"/>
    <w:rsid w:val="00CB6BB0"/>
    <w:rsid w:val="00CC376B"/>
    <w:rsid w:val="00CC7CC8"/>
    <w:rsid w:val="00CD021E"/>
    <w:rsid w:val="00D00800"/>
    <w:rsid w:val="00D02D4E"/>
    <w:rsid w:val="00D11575"/>
    <w:rsid w:val="00D168B9"/>
    <w:rsid w:val="00D2586A"/>
    <w:rsid w:val="00D324D5"/>
    <w:rsid w:val="00D459B5"/>
    <w:rsid w:val="00D54C13"/>
    <w:rsid w:val="00D57F46"/>
    <w:rsid w:val="00D63872"/>
    <w:rsid w:val="00D64CED"/>
    <w:rsid w:val="00D6723A"/>
    <w:rsid w:val="00D74F92"/>
    <w:rsid w:val="00D85B02"/>
    <w:rsid w:val="00DB06BF"/>
    <w:rsid w:val="00DD1D6A"/>
    <w:rsid w:val="00DF49B0"/>
    <w:rsid w:val="00E26C65"/>
    <w:rsid w:val="00E27F17"/>
    <w:rsid w:val="00E43E00"/>
    <w:rsid w:val="00E47700"/>
    <w:rsid w:val="00E61BEE"/>
    <w:rsid w:val="00E65E07"/>
    <w:rsid w:val="00E66386"/>
    <w:rsid w:val="00E8320E"/>
    <w:rsid w:val="00E94180"/>
    <w:rsid w:val="00EB0F85"/>
    <w:rsid w:val="00EC351F"/>
    <w:rsid w:val="00EC4D1F"/>
    <w:rsid w:val="00EC727B"/>
    <w:rsid w:val="00ED24DD"/>
    <w:rsid w:val="00EF3D14"/>
    <w:rsid w:val="00F0602A"/>
    <w:rsid w:val="00F10A83"/>
    <w:rsid w:val="00F13F1E"/>
    <w:rsid w:val="00F14F6B"/>
    <w:rsid w:val="00F33F4E"/>
    <w:rsid w:val="00F358FC"/>
    <w:rsid w:val="00F57B4D"/>
    <w:rsid w:val="00F63449"/>
    <w:rsid w:val="00F64CF2"/>
    <w:rsid w:val="00F81B24"/>
    <w:rsid w:val="00F84DFB"/>
    <w:rsid w:val="00FA7899"/>
    <w:rsid w:val="00FB16E7"/>
    <w:rsid w:val="00FC3026"/>
    <w:rsid w:val="00FD039A"/>
    <w:rsid w:val="00FF78D5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  <w14:docId w14:val="6D3BE2C6"/>
  <w15:docId w15:val="{12D53405-5314-487C-99EB-4882E654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Heading1">
    <w:name w:val="heading 1"/>
    <w:basedOn w:val="Normal"/>
    <w:next w:val="Normal"/>
    <w:link w:val="Heading1Char"/>
    <w:qFormat/>
    <w:rsid w:val="00E94180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link w:val="Heading2Char"/>
    <w:qFormat/>
    <w:rsid w:val="00E94180"/>
    <w:pPr>
      <w:keepNext/>
      <w:ind w:left="1440" w:hanging="1440"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4180"/>
    <w:rPr>
      <w:rFonts w:ascii="Times New Roman" w:eastAsia="Times New Roman" w:hAnsi="Times New Roman" w:cs="Times New Roman"/>
      <w:b/>
      <w:sz w:val="24"/>
      <w:szCs w:val="20"/>
      <w:u w:val="single"/>
      <w:lang w:eastAsia="en-AU"/>
    </w:rPr>
  </w:style>
  <w:style w:type="character" w:customStyle="1" w:styleId="Heading2Char">
    <w:name w:val="Heading 2 Char"/>
    <w:basedOn w:val="DefaultParagraphFont"/>
    <w:link w:val="Heading2"/>
    <w:rsid w:val="00E94180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Header">
    <w:name w:val="header"/>
    <w:basedOn w:val="Normal"/>
    <w:link w:val="HeaderChar"/>
    <w:rsid w:val="00E94180"/>
    <w:pPr>
      <w:tabs>
        <w:tab w:val="center" w:pos="4320"/>
        <w:tab w:val="right" w:pos="8640"/>
      </w:tabs>
    </w:pPr>
    <w:rPr>
      <w:rFonts w:ascii="Arial" w:hAnsi="Arial"/>
      <w:sz w:val="24"/>
    </w:rPr>
  </w:style>
  <w:style w:type="character" w:customStyle="1" w:styleId="HeaderChar">
    <w:name w:val="Header Char"/>
    <w:basedOn w:val="DefaultParagraphFont"/>
    <w:link w:val="Header"/>
    <w:rsid w:val="00E94180"/>
    <w:rPr>
      <w:rFonts w:ascii="Arial" w:eastAsia="Times New Roman" w:hAnsi="Arial" w:cs="Times New Roman"/>
      <w:sz w:val="24"/>
      <w:szCs w:val="20"/>
      <w:lang w:eastAsia="en-AU"/>
    </w:rPr>
  </w:style>
  <w:style w:type="character" w:styleId="CommentReference">
    <w:name w:val="annotation reference"/>
    <w:uiPriority w:val="99"/>
    <w:semiHidden/>
    <w:unhideWhenUsed/>
    <w:rsid w:val="00E94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1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180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1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180"/>
    <w:rPr>
      <w:rFonts w:ascii="Segoe UI" w:eastAsia="Times New Roman" w:hAnsi="Segoe UI" w:cs="Segoe UI"/>
      <w:sz w:val="18"/>
      <w:szCs w:val="18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4234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347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8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8B9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A320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BE8"/>
    <w:rPr>
      <w:strike w:val="0"/>
      <w:dstrike w:val="0"/>
      <w:color w:val="007AC3"/>
      <w:u w:val="none"/>
      <w:effect w:val="none"/>
    </w:rPr>
  </w:style>
  <w:style w:type="paragraph" w:customStyle="1" w:styleId="Default">
    <w:name w:val="Default"/>
    <w:rsid w:val="005F48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1"/>
    <w:locked/>
    <w:rsid w:val="002D100B"/>
    <w:rPr>
      <w:rFonts w:ascii="Arial" w:hAnsi="Arial" w:cs="Arial"/>
    </w:rPr>
  </w:style>
  <w:style w:type="paragraph" w:customStyle="1" w:styleId="BodyText1">
    <w:name w:val="Body Text1"/>
    <w:basedOn w:val="Normal"/>
    <w:link w:val="BodytextChar"/>
    <w:rsid w:val="002D100B"/>
    <w:pPr>
      <w:spacing w:before="240"/>
    </w:pPr>
    <w:rPr>
      <w:rFonts w:ascii="Arial" w:eastAsiaTheme="minorHAnsi" w:hAnsi="Arial" w:cs="Arial"/>
      <w:sz w:val="22"/>
      <w:szCs w:val="22"/>
      <w:lang w:eastAsia="en-US"/>
    </w:rPr>
  </w:style>
  <w:style w:type="paragraph" w:customStyle="1" w:styleId="ActHead5">
    <w:name w:val="ActHead 5"/>
    <w:aliases w:val="s"/>
    <w:basedOn w:val="Normal"/>
    <w:next w:val="subsection"/>
    <w:qFormat/>
    <w:rsid w:val="00622C3E"/>
    <w:pPr>
      <w:keepNext/>
      <w:keepLines/>
      <w:spacing w:before="280"/>
      <w:ind w:left="1134" w:hanging="1134"/>
      <w:outlineLvl w:val="4"/>
    </w:pPr>
    <w:rPr>
      <w:b/>
      <w:kern w:val="28"/>
      <w:sz w:val="24"/>
    </w:rPr>
  </w:style>
  <w:style w:type="paragraph" w:customStyle="1" w:styleId="subsection">
    <w:name w:val="subsection"/>
    <w:aliases w:val="ss,Subsection"/>
    <w:basedOn w:val="Normal"/>
    <w:link w:val="subsectionChar"/>
    <w:rsid w:val="00622C3E"/>
    <w:pPr>
      <w:tabs>
        <w:tab w:val="right" w:pos="1021"/>
      </w:tabs>
      <w:spacing w:before="180"/>
      <w:ind w:left="1134" w:hanging="1134"/>
    </w:pPr>
    <w:rPr>
      <w:sz w:val="2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22C3E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986881"/>
    <w:pPr>
      <w:keepNext/>
      <w:keepLines/>
      <w:spacing w:before="280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styleId="Revision">
    <w:name w:val="Revision"/>
    <w:hidden/>
    <w:uiPriority w:val="99"/>
    <w:semiHidden/>
    <w:rsid w:val="00DF4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C2961-0374-4EB6-85B4-DEF36CD10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Immigration And Border Protection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LONG</dc:creator>
  <cp:lastModifiedBy>Anastasia TZOTZIS</cp:lastModifiedBy>
  <cp:revision>7</cp:revision>
  <cp:lastPrinted>2017-11-14T22:24:00Z</cp:lastPrinted>
  <dcterms:created xsi:type="dcterms:W3CDTF">2020-01-14T00:05:00Z</dcterms:created>
  <dcterms:modified xsi:type="dcterms:W3CDTF">2020-01-14T03:54:00Z</dcterms:modified>
</cp:coreProperties>
</file>