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22" w:type="dxa"/>
        <w:tblLayout w:type="fixed"/>
        <w:tblLook w:val="0000" w:firstRow="0" w:lastRow="0" w:firstColumn="0" w:lastColumn="0" w:noHBand="0" w:noVBand="0"/>
        <w:tblCaption w:val="Cover page header for AASB amending Standard"/>
        <w:tblDescription w:val="Identification that the pronouncement is an AASB Standard, the Standard number, and the month of issue of the AASB amending Standard"/>
      </w:tblPr>
      <w:tblGrid>
        <w:gridCol w:w="4661"/>
        <w:gridCol w:w="4661"/>
      </w:tblGrid>
      <w:tr w:rsidR="00090A6F" w:rsidRPr="0000292B" w14:paraId="5E5919F5" w14:textId="77777777" w:rsidTr="00A22E0D">
        <w:tc>
          <w:tcPr>
            <w:tcW w:w="4661" w:type="dxa"/>
          </w:tcPr>
          <w:p w14:paraId="3F91F50F" w14:textId="77777777" w:rsidR="00090A6F" w:rsidRPr="0000292B" w:rsidRDefault="00364B30">
            <w:pPr>
              <w:pStyle w:val="CoverStandard"/>
            </w:pPr>
            <w:bookmarkStart w:id="0" w:name="_GoBack"/>
            <w:bookmarkEnd w:id="0"/>
            <w:r>
              <w:t>AASB</w:t>
            </w:r>
            <w:r w:rsidR="00831497">
              <w:t xml:space="preserve"> Standard</w:t>
            </w:r>
          </w:p>
        </w:tc>
        <w:tc>
          <w:tcPr>
            <w:tcW w:w="4661" w:type="dxa"/>
          </w:tcPr>
          <w:p w14:paraId="5D73199D" w14:textId="0D3B0596" w:rsidR="00090A6F" w:rsidRPr="0000292B" w:rsidRDefault="00831497">
            <w:pPr>
              <w:pStyle w:val="CoverNumber"/>
            </w:pPr>
            <w:r>
              <w:t>AASB</w:t>
            </w:r>
            <w:r w:rsidR="00090A6F" w:rsidRPr="0000292B">
              <w:t xml:space="preserve"> </w:t>
            </w:r>
            <w:bookmarkStart w:id="1" w:name="DocNo"/>
            <w:r w:rsidR="004A3747">
              <w:t>201</w:t>
            </w:r>
            <w:r w:rsidR="005654E2">
              <w:t>9</w:t>
            </w:r>
            <w:r w:rsidR="00C660A6">
              <w:t>-8</w:t>
            </w:r>
            <w:bookmarkEnd w:id="1"/>
          </w:p>
          <w:p w14:paraId="23AA7BB8" w14:textId="5566DD11" w:rsidR="00090A6F" w:rsidRPr="0000292B" w:rsidRDefault="001933FC" w:rsidP="0020560B">
            <w:pPr>
              <w:pStyle w:val="CoverDate"/>
            </w:pPr>
            <w:bookmarkStart w:id="2" w:name="DocDate"/>
            <w:r>
              <w:t>December</w:t>
            </w:r>
            <w:r w:rsidR="004A3747">
              <w:t xml:space="preserve"> 20</w:t>
            </w:r>
            <w:r w:rsidR="0020560B">
              <w:t>19</w:t>
            </w:r>
            <w:bookmarkEnd w:id="2"/>
          </w:p>
        </w:tc>
      </w:tr>
    </w:tbl>
    <w:p w14:paraId="1B45BD39" w14:textId="0B4168F3" w:rsidR="00090A6F" w:rsidRDefault="004A3747" w:rsidP="003C6B24">
      <w:pPr>
        <w:pStyle w:val="CoverTitle"/>
        <w:jc w:val="left"/>
      </w:pPr>
      <w:bookmarkStart w:id="3" w:name="DocTitle"/>
      <w:r>
        <w:t>Amendments to Australian Accounting Standard</w:t>
      </w:r>
      <w:r w:rsidR="0020560B">
        <w:t xml:space="preserve">s – </w:t>
      </w:r>
      <w:r w:rsidR="00414324">
        <w:t>Class</w:t>
      </w:r>
      <w:r w:rsidR="004203BD">
        <w:t xml:space="preserve"> of </w:t>
      </w:r>
      <w:r w:rsidR="00AC42C1" w:rsidRPr="00AC42C1">
        <w:t>Right</w:t>
      </w:r>
      <w:r w:rsidR="007C3FFC">
        <w:t>-</w:t>
      </w:r>
      <w:r w:rsidR="00AC42C1" w:rsidRPr="00AC42C1">
        <w:t>of</w:t>
      </w:r>
      <w:r w:rsidR="007C3FFC">
        <w:t>-</w:t>
      </w:r>
      <w:r w:rsidR="00AC42C1" w:rsidRPr="00AC42C1">
        <w:t xml:space="preserve">Use Assets </w:t>
      </w:r>
      <w:r w:rsidR="00BA65D0">
        <w:t>a</w:t>
      </w:r>
      <w:r w:rsidR="004203BD">
        <w:t>ris</w:t>
      </w:r>
      <w:r w:rsidR="00D83665">
        <w:t xml:space="preserve">ing </w:t>
      </w:r>
      <w:r w:rsidR="00BA65D0">
        <w:t>u</w:t>
      </w:r>
      <w:r w:rsidR="00D83665">
        <w:t>nder Concessionary Leases</w:t>
      </w:r>
      <w:bookmarkEnd w:id="3"/>
    </w:p>
    <w:p w14:paraId="48BD2D72" w14:textId="2F7001F8" w:rsidR="00892DE1" w:rsidRPr="004D4FDA" w:rsidRDefault="00892DE1" w:rsidP="00892DE1">
      <w:pPr>
        <w:pStyle w:val="CoverTitle"/>
        <w:jc w:val="left"/>
        <w:rPr>
          <w:sz w:val="40"/>
          <w:szCs w:val="40"/>
        </w:rPr>
      </w:pPr>
      <w:r>
        <w:rPr>
          <w:sz w:val="40"/>
          <w:szCs w:val="40"/>
        </w:rPr>
        <w:t>[</w:t>
      </w:r>
      <w:r w:rsidRPr="004D4FDA">
        <w:rPr>
          <w:sz w:val="40"/>
          <w:szCs w:val="40"/>
        </w:rPr>
        <w:t>AASB 16</w:t>
      </w:r>
      <w:r>
        <w:rPr>
          <w:sz w:val="40"/>
          <w:szCs w:val="40"/>
        </w:rPr>
        <w:t xml:space="preserve"> </w:t>
      </w:r>
      <w:r w:rsidR="00BA65D0">
        <w:rPr>
          <w:sz w:val="40"/>
          <w:szCs w:val="40"/>
        </w:rPr>
        <w:t>&amp;</w:t>
      </w:r>
      <w:r w:rsidRPr="004D4FDA">
        <w:rPr>
          <w:sz w:val="40"/>
          <w:szCs w:val="40"/>
        </w:rPr>
        <w:t xml:space="preserve"> </w:t>
      </w:r>
      <w:r w:rsidR="001E09E1">
        <w:rPr>
          <w:sz w:val="40"/>
          <w:szCs w:val="40"/>
        </w:rPr>
        <w:t>AASB 10</w:t>
      </w:r>
      <w:r w:rsidR="004A0092">
        <w:rPr>
          <w:sz w:val="40"/>
          <w:szCs w:val="40"/>
        </w:rPr>
        <w:t>4</w:t>
      </w:r>
      <w:r w:rsidR="001E09E1">
        <w:rPr>
          <w:sz w:val="40"/>
          <w:szCs w:val="40"/>
        </w:rPr>
        <w:t>9</w:t>
      </w:r>
      <w:r w:rsidRPr="004D4FDA">
        <w:rPr>
          <w:sz w:val="40"/>
          <w:szCs w:val="40"/>
        </w:rPr>
        <w:t>]</w:t>
      </w:r>
    </w:p>
    <w:p w14:paraId="5D78F8CA" w14:textId="77777777" w:rsidR="00737714" w:rsidRPr="0000292B" w:rsidRDefault="00737714" w:rsidP="00737714"/>
    <w:p w14:paraId="04ED495C" w14:textId="77777777" w:rsidR="00090A6F" w:rsidRPr="0000292B" w:rsidRDefault="008B643A">
      <w:pPr>
        <w:sectPr w:rsidR="00090A6F" w:rsidRPr="0000292B" w:rsidSect="00D74C6A">
          <w:pgSz w:w="11907" w:h="16840" w:code="9"/>
          <w:pgMar w:top="1418" w:right="1418" w:bottom="1418" w:left="1418" w:header="709" w:footer="709" w:gutter="0"/>
          <w:paperSrc w:first="7" w:other="7"/>
          <w:cols w:space="720"/>
        </w:sectPr>
      </w:pPr>
      <w:r>
        <w:rPr>
          <w:noProof/>
          <w:lang w:eastAsia="en-AU"/>
        </w:rPr>
        <w:drawing>
          <wp:anchor distT="0" distB="0" distL="114300" distR="114300" simplePos="0" relativeHeight="251658240" behindDoc="0" locked="1" layoutInCell="1" allowOverlap="1" wp14:anchorId="485854B1" wp14:editId="41AF27A9">
            <wp:simplePos x="0" y="0"/>
            <wp:positionH relativeFrom="margin">
              <wp:posOffset>0</wp:posOffset>
            </wp:positionH>
            <wp:positionV relativeFrom="margin">
              <wp:align>bottom</wp:align>
            </wp:positionV>
            <wp:extent cx="1677600" cy="1332000"/>
            <wp:effectExtent l="0" t="0" r="0" b="190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23F816" w14:textId="77777777" w:rsidR="00737714" w:rsidRPr="0000292B" w:rsidRDefault="00737714" w:rsidP="00F13C5A">
      <w:pPr>
        <w:pStyle w:val="Heading1"/>
      </w:pPr>
      <w:r w:rsidRPr="0000292B">
        <w:lastRenderedPageBreak/>
        <w:t xml:space="preserve">Obtaining a </w:t>
      </w:r>
      <w:r w:rsidR="005655CE">
        <w:t>c</w:t>
      </w:r>
      <w:r w:rsidRPr="0000292B">
        <w:t xml:space="preserve">opy of this </w:t>
      </w:r>
      <w:r w:rsidR="00C5022C">
        <w:t>Accounting Standard</w:t>
      </w:r>
    </w:p>
    <w:p w14:paraId="64F1172B" w14:textId="77777777" w:rsidR="00737714" w:rsidRPr="0000292B" w:rsidRDefault="00737714" w:rsidP="00895809">
      <w:pPr>
        <w:spacing w:after="200"/>
      </w:pPr>
      <w:r w:rsidRPr="0000292B">
        <w:t xml:space="preserve">This </w:t>
      </w:r>
      <w:r w:rsidR="00C5022C">
        <w:t>Standard</w:t>
      </w:r>
      <w:r w:rsidRPr="0000292B">
        <w:t xml:space="preserve"> is available o</w:t>
      </w:r>
      <w:r w:rsidR="00923261">
        <w:t>n the AASB website: www.aasb.gov</w:t>
      </w:r>
      <w:r w:rsidRPr="0000292B">
        <w:t>.au.</w:t>
      </w:r>
    </w:p>
    <w:p w14:paraId="1012A8C9" w14:textId="77777777" w:rsidR="00895809" w:rsidRPr="0000292B" w:rsidRDefault="00895809" w:rsidP="00895809">
      <w:r w:rsidRPr="0000292B">
        <w:t>Australian Accounting Standards Board</w:t>
      </w:r>
    </w:p>
    <w:p w14:paraId="36E1EA88" w14:textId="77777777" w:rsidR="00895809" w:rsidRPr="0000292B" w:rsidRDefault="00895809" w:rsidP="00895809">
      <w:r>
        <w:t>PO Box 204</w:t>
      </w:r>
    </w:p>
    <w:p w14:paraId="13EF3023" w14:textId="77777777" w:rsidR="00895809" w:rsidRPr="0000292B" w:rsidRDefault="00895809" w:rsidP="00895809">
      <w:r>
        <w:t>Collins Street West</w:t>
      </w:r>
    </w:p>
    <w:p w14:paraId="5A166230" w14:textId="77777777" w:rsidR="00895809" w:rsidRPr="0000292B" w:rsidRDefault="00895809" w:rsidP="00895809">
      <w:r>
        <w:t>Victoria   8007</w:t>
      </w:r>
    </w:p>
    <w:p w14:paraId="27C1C379" w14:textId="77777777" w:rsidR="00895809" w:rsidRDefault="00895809" w:rsidP="00895809">
      <w:pPr>
        <w:pStyle w:val="CoverContact"/>
        <w:spacing w:after="200"/>
      </w:pPr>
      <w:r w:rsidRPr="0000292B">
        <w:t>AUSTRALIA</w:t>
      </w:r>
    </w:p>
    <w:p w14:paraId="4F74D259" w14:textId="77777777" w:rsidR="00737714" w:rsidRDefault="00BF0190" w:rsidP="00B82F15">
      <w:pPr>
        <w:pStyle w:val="CoverContact"/>
      </w:pPr>
      <w:r>
        <w:t>Phone:</w:t>
      </w:r>
      <w:r>
        <w:tab/>
        <w:t>(03) 9617 7600</w:t>
      </w:r>
    </w:p>
    <w:p w14:paraId="4FB66E8E" w14:textId="77777777" w:rsidR="00E96D45" w:rsidRDefault="00DB00CD" w:rsidP="00DB00CD">
      <w:pPr>
        <w:pStyle w:val="CoverContact"/>
      </w:pPr>
      <w:r>
        <w:t>E-mail:</w:t>
      </w:r>
      <w:r>
        <w:tab/>
      </w:r>
      <w:r w:rsidR="00BF0190">
        <w:t>standard</w:t>
      </w:r>
      <w:r>
        <w:t>@aasb.gov</w:t>
      </w:r>
      <w:r w:rsidRPr="00C5022C">
        <w:t>.au</w:t>
      </w:r>
    </w:p>
    <w:p w14:paraId="24BC2FB4" w14:textId="77777777" w:rsidR="00E96D45" w:rsidRPr="00E96D45" w:rsidRDefault="00DB00CD" w:rsidP="00DB00CD">
      <w:pPr>
        <w:pStyle w:val="CoverContact"/>
        <w:spacing w:after="240"/>
      </w:pPr>
      <w:r>
        <w:t>Website:</w:t>
      </w:r>
      <w:r>
        <w:tab/>
        <w:t>www.aasb.gov.au</w:t>
      </w:r>
    </w:p>
    <w:p w14:paraId="627ED85E" w14:textId="77777777" w:rsidR="00090A6F" w:rsidRPr="0000292B" w:rsidRDefault="00090A6F" w:rsidP="00F13C5A">
      <w:pPr>
        <w:pStyle w:val="Heading1"/>
      </w:pPr>
      <w:r w:rsidRPr="0000292B">
        <w:t xml:space="preserve">Other </w:t>
      </w:r>
      <w:r w:rsidR="005655CE" w:rsidRPr="0000292B">
        <w:t>enquiries</w:t>
      </w:r>
    </w:p>
    <w:p w14:paraId="373F6F08" w14:textId="77777777" w:rsidR="00090A6F" w:rsidRPr="0000292B" w:rsidRDefault="00090A6F" w:rsidP="00B82F15">
      <w:pPr>
        <w:pStyle w:val="CoverContact"/>
      </w:pPr>
      <w:r w:rsidRPr="0000292B">
        <w:t>Phone:</w:t>
      </w:r>
      <w:r w:rsidRPr="0000292B">
        <w:tab/>
        <w:t xml:space="preserve">(03) </w:t>
      </w:r>
      <w:r w:rsidRPr="00B82F15">
        <w:t>9617</w:t>
      </w:r>
      <w:r w:rsidRPr="0000292B">
        <w:t xml:space="preserve"> 7600</w:t>
      </w:r>
    </w:p>
    <w:p w14:paraId="17935A6E" w14:textId="77777777" w:rsidR="00EB16BA" w:rsidRDefault="00923261" w:rsidP="00EB16BA">
      <w:pPr>
        <w:pStyle w:val="CoverContact"/>
      </w:pPr>
      <w:r>
        <w:t>E-mail:</w:t>
      </w:r>
      <w:r>
        <w:tab/>
      </w:r>
      <w:bookmarkStart w:id="4" w:name="CopyrightText"/>
      <w:r w:rsidR="00A211C9">
        <w:t>standard@aasb.gov</w:t>
      </w:r>
      <w:r w:rsidR="00A211C9" w:rsidRPr="00C5022C">
        <w:t>.au</w:t>
      </w:r>
    </w:p>
    <w:p w14:paraId="0B00DD3F" w14:textId="77777777" w:rsidR="00276BC5" w:rsidRDefault="00276BC5" w:rsidP="001933FC">
      <w:pPr>
        <w:pStyle w:val="CoverContact"/>
        <w:spacing w:before="7440"/>
      </w:pPr>
      <w:r>
        <w:t>COPYRIGHT</w:t>
      </w:r>
    </w:p>
    <w:p w14:paraId="3B345E9A" w14:textId="52C3313B" w:rsidR="00276BC5" w:rsidRDefault="00276BC5" w:rsidP="00276BC5">
      <w:pPr>
        <w:pStyle w:val="NoNumPlain1"/>
      </w:pPr>
      <w:r>
        <w:t>© Com</w:t>
      </w:r>
      <w:bookmarkStart w:id="5" w:name="CopyrightDomestic"/>
      <w:bookmarkEnd w:id="5"/>
      <w:r>
        <w:t xml:space="preserve">monwealth of Australia </w:t>
      </w:r>
      <w:bookmarkStart w:id="6" w:name="Year"/>
      <w:r w:rsidR="004A3747">
        <w:t>20</w:t>
      </w:r>
      <w:r w:rsidR="0020560B">
        <w:t>19</w:t>
      </w:r>
      <w:bookmarkEnd w:id="6"/>
    </w:p>
    <w:p w14:paraId="631E13EF" w14:textId="089D6530" w:rsidR="00276BC5" w:rsidRPr="00DE4E67" w:rsidRDefault="00E46988" w:rsidP="00895809">
      <w:pPr>
        <w:spacing w:after="200"/>
      </w:pPr>
      <w:r w:rsidRPr="00E46988">
        <w:t>This work is copyright</w:t>
      </w:r>
      <w:r w:rsidR="00C1570C">
        <w:t xml:space="preserve">. </w:t>
      </w:r>
      <w:r w:rsidRPr="00E46988">
        <w:t xml:space="preserve">Apart from any use as permitted under the </w:t>
      </w:r>
      <w:r w:rsidRPr="00F311FB">
        <w:rPr>
          <w:i/>
        </w:rPr>
        <w:t>Copyright Act 1968</w:t>
      </w:r>
      <w:r w:rsidRPr="00E46988">
        <w:t>, no part may be reproduced by any process without prior written permission</w:t>
      </w:r>
      <w:r w:rsidR="00C1570C">
        <w:t xml:space="preserve">. </w:t>
      </w:r>
      <w:r w:rsidRPr="00E46988">
        <w:t xml:space="preserve">Requests and enquiries concerning reproduction and rights should be addressed to The </w:t>
      </w:r>
      <w:r w:rsidR="00BF0190">
        <w:t xml:space="preserve">National </w:t>
      </w:r>
      <w:r w:rsidRPr="00E46988">
        <w:t>Director, Australian Accounting Standards Board, PO Box 204</w:t>
      </w:r>
      <w:r w:rsidR="00F311FB">
        <w:t>, Collins Street West, Victoria </w:t>
      </w:r>
      <w:r w:rsidRPr="00E46988">
        <w:t>8007</w:t>
      </w:r>
      <w:r w:rsidR="00276BC5" w:rsidRPr="00DE4E67">
        <w:t>.</w:t>
      </w:r>
    </w:p>
    <w:bookmarkEnd w:id="4"/>
    <w:p w14:paraId="13EF9770" w14:textId="77777777" w:rsidR="007455F0" w:rsidRPr="0000292B" w:rsidRDefault="006D4700" w:rsidP="006D4700">
      <w:r>
        <w:t xml:space="preserve">ISSN </w:t>
      </w:r>
      <w:bookmarkStart w:id="7" w:name="ISSN"/>
      <w:r w:rsidR="004A3747">
        <w:t>1036-4803</w:t>
      </w:r>
      <w:bookmarkEnd w:id="7"/>
    </w:p>
    <w:p w14:paraId="69914E78" w14:textId="77777777" w:rsidR="00090A6F" w:rsidRPr="0000292B" w:rsidRDefault="00090A6F">
      <w:pPr>
        <w:sectPr w:rsidR="00090A6F" w:rsidRPr="0000292B" w:rsidSect="00D74C6A">
          <w:footerReference w:type="default" r:id="rId9"/>
          <w:pgSz w:w="11907" w:h="16840" w:code="9"/>
          <w:pgMar w:top="1418" w:right="1418" w:bottom="1418" w:left="1418" w:header="709" w:footer="709" w:gutter="0"/>
          <w:paperSrc w:first="7" w:other="7"/>
          <w:cols w:space="720"/>
        </w:sectPr>
      </w:pPr>
    </w:p>
    <w:p w14:paraId="067C46EF" w14:textId="77777777" w:rsidR="00090A6F" w:rsidRPr="0000292B" w:rsidRDefault="005655CE">
      <w:pPr>
        <w:pStyle w:val="Heading1"/>
      </w:pPr>
      <w:r w:rsidRPr="0000292B">
        <w:lastRenderedPageBreak/>
        <w:t>Contents</w:t>
      </w:r>
    </w:p>
    <w:p w14:paraId="68BA0388" w14:textId="77777777" w:rsidR="00090A6F" w:rsidRPr="0000292B" w:rsidRDefault="00A5122D" w:rsidP="003F6ED6">
      <w:pPr>
        <w:pStyle w:val="ContentsCapsPlain"/>
        <w:spacing w:before="400"/>
      </w:pPr>
      <w:r w:rsidRPr="0000292B">
        <w:t>PREFACE</w:t>
      </w:r>
    </w:p>
    <w:p w14:paraId="432667E6" w14:textId="77777777" w:rsidR="00090A6F" w:rsidRPr="0000292B" w:rsidRDefault="00A5122D">
      <w:pPr>
        <w:pStyle w:val="ContentsCapsBold"/>
      </w:pPr>
      <w:r w:rsidRPr="0000292B">
        <w:t>ACCOUNTING STANDARD</w:t>
      </w:r>
    </w:p>
    <w:p w14:paraId="6F222DBD" w14:textId="3FF79BF7" w:rsidR="002B7803" w:rsidRPr="00223A79" w:rsidRDefault="00A5122D" w:rsidP="009146EF">
      <w:pPr>
        <w:pStyle w:val="ContentsCapsBold"/>
        <w:rPr>
          <w:i/>
        </w:rPr>
      </w:pPr>
      <w:r w:rsidRPr="0000292B">
        <w:t xml:space="preserve">AASB </w:t>
      </w:r>
      <w:r w:rsidR="009C2479" w:rsidRPr="00BC0D5D">
        <w:rPr>
          <w:iCs/>
        </w:rPr>
        <w:fldChar w:fldCharType="begin"/>
      </w:r>
      <w:r w:rsidR="009C2479" w:rsidRPr="00BC0D5D">
        <w:rPr>
          <w:iCs/>
        </w:rPr>
        <w:instrText xml:space="preserve"> REF </w:instrText>
      </w:r>
      <w:r w:rsidR="009C2479">
        <w:rPr>
          <w:iCs/>
        </w:rPr>
        <w:instrText>Doc</w:instrText>
      </w:r>
      <w:r w:rsidR="009C2479" w:rsidRPr="00BC0D5D">
        <w:rPr>
          <w:iCs/>
        </w:rPr>
        <w:instrText xml:space="preserve">No \* charformat </w:instrText>
      </w:r>
      <w:r w:rsidR="009C2479" w:rsidRPr="00BC0D5D">
        <w:rPr>
          <w:iCs/>
        </w:rPr>
        <w:fldChar w:fldCharType="separate"/>
      </w:r>
      <w:r w:rsidR="00933227" w:rsidRPr="00933227">
        <w:rPr>
          <w:iCs/>
        </w:rPr>
        <w:t>2019-8</w:t>
      </w:r>
      <w:r w:rsidR="009C2479" w:rsidRPr="00BC0D5D">
        <w:rPr>
          <w:iCs/>
        </w:rPr>
        <w:fldChar w:fldCharType="end"/>
      </w:r>
      <w:r w:rsidRPr="0000292B">
        <w:t xml:space="preserve"> </w:t>
      </w:r>
      <w:r w:rsidR="000D582D" w:rsidRPr="00223A79">
        <w:rPr>
          <w:i/>
        </w:rPr>
        <w:t xml:space="preserve">AMENDMENTS TO AUSTRALIAN ACCOUNTING STANDARDS – </w:t>
      </w:r>
      <w:r w:rsidR="007C73D8">
        <w:rPr>
          <w:i/>
        </w:rPr>
        <w:t>CLASS OF RIGHT-OF-USE ASSETS ARISING UNDER CONCESSIONARY LEASES</w:t>
      </w:r>
    </w:p>
    <w:p w14:paraId="0D41996F" w14:textId="77777777" w:rsidR="00090A6F" w:rsidRPr="00D253C7" w:rsidRDefault="00D253C7">
      <w:pPr>
        <w:pStyle w:val="ContentsParaHead"/>
      </w:pPr>
      <w:r w:rsidRPr="00D253C7">
        <w:t>f</w:t>
      </w:r>
      <w:r w:rsidR="00E55F2F" w:rsidRPr="00D253C7">
        <w:t>rom paragraph</w:t>
      </w:r>
    </w:p>
    <w:p w14:paraId="28A7EED9" w14:textId="77777777" w:rsidR="00090A6F" w:rsidRPr="00A5122D" w:rsidRDefault="00A5122D" w:rsidP="009E2F6C">
      <w:pPr>
        <w:pStyle w:val="ContentsLevel1"/>
        <w:ind w:right="-1"/>
        <w:jc w:val="right"/>
        <w:rPr>
          <w:b/>
        </w:rPr>
      </w:pPr>
      <w:bookmarkStart w:id="8" w:name="TOCRange"/>
      <w:r w:rsidRPr="00A5122D">
        <w:rPr>
          <w:b/>
        </w:rPr>
        <w:t>OBJECTIVE</w:t>
      </w:r>
      <w:r w:rsidRPr="00A5122D">
        <w:rPr>
          <w:b/>
        </w:rPr>
        <w:tab/>
        <w:t>1</w:t>
      </w:r>
    </w:p>
    <w:p w14:paraId="4D82C529" w14:textId="77777777" w:rsidR="00090A6F" w:rsidRPr="00A5122D" w:rsidRDefault="00A5122D" w:rsidP="009E2F6C">
      <w:pPr>
        <w:pStyle w:val="ContentsLevel1"/>
        <w:ind w:right="-1"/>
        <w:rPr>
          <w:b/>
        </w:rPr>
      </w:pPr>
      <w:r w:rsidRPr="00A5122D">
        <w:rPr>
          <w:b/>
        </w:rPr>
        <w:t>APPLICATION</w:t>
      </w:r>
      <w:r w:rsidRPr="00A5122D">
        <w:rPr>
          <w:b/>
        </w:rPr>
        <w:tab/>
        <w:t>2</w:t>
      </w:r>
    </w:p>
    <w:p w14:paraId="6228757C" w14:textId="6B85AC00" w:rsidR="00957F05" w:rsidRPr="00A5122D" w:rsidRDefault="00957F05" w:rsidP="00957F05">
      <w:pPr>
        <w:pStyle w:val="ContentsLevel1"/>
        <w:ind w:right="-143"/>
        <w:rPr>
          <w:b/>
        </w:rPr>
      </w:pPr>
      <w:r>
        <w:rPr>
          <w:b/>
        </w:rPr>
        <w:t>AMENDMENTS TO AASB 16</w:t>
      </w:r>
      <w:r>
        <w:rPr>
          <w:b/>
        </w:rPr>
        <w:tab/>
      </w:r>
      <w:r w:rsidR="00FF7AA5">
        <w:rPr>
          <w:b/>
        </w:rPr>
        <w:t>5</w:t>
      </w:r>
    </w:p>
    <w:p w14:paraId="2CD296EE" w14:textId="1186BB70" w:rsidR="004A3747" w:rsidRPr="00A5122D" w:rsidRDefault="00E866DA" w:rsidP="009E2F6C">
      <w:pPr>
        <w:pStyle w:val="ContentsLevel1"/>
        <w:ind w:right="-143"/>
        <w:rPr>
          <w:b/>
        </w:rPr>
      </w:pPr>
      <w:r>
        <w:rPr>
          <w:b/>
        </w:rPr>
        <w:t>AMENDMENTS TO AASB 10</w:t>
      </w:r>
      <w:r w:rsidR="00D3211B">
        <w:rPr>
          <w:b/>
        </w:rPr>
        <w:t>4</w:t>
      </w:r>
      <w:r>
        <w:rPr>
          <w:b/>
        </w:rPr>
        <w:t>9</w:t>
      </w:r>
      <w:r w:rsidR="004C4BAD">
        <w:rPr>
          <w:b/>
        </w:rPr>
        <w:tab/>
      </w:r>
      <w:r w:rsidR="00FF7AA5">
        <w:rPr>
          <w:b/>
        </w:rPr>
        <w:t>6</w:t>
      </w:r>
    </w:p>
    <w:p w14:paraId="25F4E48E" w14:textId="5C07B905" w:rsidR="00090A6F" w:rsidRDefault="00A5122D" w:rsidP="00E55F2F">
      <w:pPr>
        <w:tabs>
          <w:tab w:val="right" w:pos="9071"/>
        </w:tabs>
        <w:rPr>
          <w:b/>
        </w:rPr>
      </w:pPr>
      <w:r w:rsidRPr="00A5122D">
        <w:rPr>
          <w:b/>
        </w:rPr>
        <w:t xml:space="preserve">COMMENCEMENT OF THE </w:t>
      </w:r>
      <w:r w:rsidR="00E55F2F">
        <w:rPr>
          <w:b/>
        </w:rPr>
        <w:t>LEGISLATIVE INSTRUMENT</w:t>
      </w:r>
      <w:r>
        <w:rPr>
          <w:b/>
        </w:rPr>
        <w:tab/>
      </w:r>
      <w:bookmarkStart w:id="9" w:name="ContentsMarker"/>
      <w:bookmarkEnd w:id="9"/>
      <w:r w:rsidR="00FF7AA5">
        <w:rPr>
          <w:b/>
        </w:rPr>
        <w:t>7</w:t>
      </w:r>
    </w:p>
    <w:p w14:paraId="3EF0E8FD" w14:textId="77777777" w:rsidR="00D253C7" w:rsidRDefault="00D253C7" w:rsidP="00E55F2F">
      <w:pPr>
        <w:tabs>
          <w:tab w:val="right" w:pos="9071"/>
        </w:tabs>
        <w:rPr>
          <w:b/>
        </w:rPr>
      </w:pPr>
    </w:p>
    <w:p w14:paraId="5FAA3921" w14:textId="77777777" w:rsidR="007A6F5D" w:rsidRDefault="007A6F5D" w:rsidP="007A6F5D">
      <w:pPr>
        <w:tabs>
          <w:tab w:val="right" w:pos="9071"/>
        </w:tabs>
        <w:rPr>
          <w:b/>
        </w:rPr>
      </w:pPr>
      <w:r>
        <w:rPr>
          <w:b/>
        </w:rPr>
        <w:t>BASIS FOR CONCLUSIONS</w:t>
      </w:r>
    </w:p>
    <w:p w14:paraId="3AF85A45" w14:textId="77777777" w:rsidR="007A6F5D" w:rsidRDefault="007A6F5D" w:rsidP="00E55F2F">
      <w:pPr>
        <w:tabs>
          <w:tab w:val="right" w:pos="9071"/>
        </w:tabs>
        <w:rPr>
          <w:b/>
        </w:rPr>
      </w:pPr>
    </w:p>
    <w:p w14:paraId="3B26FDBD" w14:textId="77777777" w:rsidR="00E55F2F" w:rsidRPr="0000292B" w:rsidRDefault="00E55F2F"/>
    <w:bookmarkEnd w:id="8"/>
    <w:p w14:paraId="61E10E9B" w14:textId="42F6F8EA" w:rsidR="00090A6F" w:rsidRPr="0000292B" w:rsidRDefault="00F56BB3">
      <w:pPr>
        <w:pStyle w:val="ContentsBox"/>
      </w:pPr>
      <w:r>
        <w:t>Australian Accounting S</w:t>
      </w:r>
      <w:r w:rsidRPr="0000292B">
        <w:t xml:space="preserve">tandard </w:t>
      </w:r>
      <w:r>
        <w:t>AASB</w:t>
      </w:r>
      <w:r w:rsidRPr="0000292B">
        <w:t xml:space="preserve"> </w:t>
      </w:r>
      <w:r w:rsidR="0076791F" w:rsidRPr="00BC0D5D">
        <w:rPr>
          <w:iCs/>
        </w:rPr>
        <w:fldChar w:fldCharType="begin"/>
      </w:r>
      <w:r w:rsidR="0076791F" w:rsidRPr="00BC0D5D">
        <w:rPr>
          <w:iCs/>
        </w:rPr>
        <w:instrText xml:space="preserve"> REF </w:instrText>
      </w:r>
      <w:r w:rsidR="0076791F">
        <w:rPr>
          <w:iCs/>
        </w:rPr>
        <w:instrText>Doc</w:instrText>
      </w:r>
      <w:r w:rsidR="0076791F" w:rsidRPr="00BC0D5D">
        <w:rPr>
          <w:iCs/>
        </w:rPr>
        <w:instrText xml:space="preserve">No \* charformat </w:instrText>
      </w:r>
      <w:r w:rsidR="0076791F" w:rsidRPr="00BC0D5D">
        <w:rPr>
          <w:iCs/>
        </w:rPr>
        <w:fldChar w:fldCharType="separate"/>
      </w:r>
      <w:r w:rsidR="00933227" w:rsidRPr="00933227">
        <w:rPr>
          <w:iCs/>
        </w:rPr>
        <w:t>2019-8</w:t>
      </w:r>
      <w:r w:rsidR="0076791F" w:rsidRPr="00BC0D5D">
        <w:rPr>
          <w:iCs/>
        </w:rPr>
        <w:fldChar w:fldCharType="end"/>
      </w:r>
      <w:r w:rsidR="0076791F">
        <w:rPr>
          <w:iCs/>
        </w:rPr>
        <w:t xml:space="preserve"> </w:t>
      </w:r>
      <w:r w:rsidR="0076791F" w:rsidRPr="0076791F">
        <w:rPr>
          <w:i/>
        </w:rPr>
        <w:fldChar w:fldCharType="begin"/>
      </w:r>
      <w:r w:rsidR="0076791F" w:rsidRPr="0076791F">
        <w:rPr>
          <w:i/>
        </w:rPr>
        <w:instrText xml:space="preserve"> REF \* charformat DocTitle  \* MERGEFORMAT </w:instrText>
      </w:r>
      <w:r w:rsidR="0076791F" w:rsidRPr="0076791F">
        <w:rPr>
          <w:i/>
        </w:rPr>
        <w:fldChar w:fldCharType="separate"/>
      </w:r>
      <w:r w:rsidR="00933227" w:rsidRPr="00933227">
        <w:rPr>
          <w:i/>
        </w:rPr>
        <w:t>Amendments to Australian Accounting Standards – Class of Right-of-Use Assets arising under Concessionary Leases</w:t>
      </w:r>
      <w:r w:rsidR="0076791F" w:rsidRPr="0076791F">
        <w:rPr>
          <w:i/>
        </w:rPr>
        <w:fldChar w:fldCharType="end"/>
      </w:r>
      <w:r w:rsidR="00223A79">
        <w:rPr>
          <w:i/>
        </w:rPr>
        <w:t xml:space="preserve"> </w:t>
      </w:r>
      <w:r w:rsidRPr="0000292B">
        <w:t xml:space="preserve">is set out </w:t>
      </w:r>
      <w:r w:rsidRPr="0020560B">
        <w:t>in paragraphs</w:t>
      </w:r>
      <w:r w:rsidR="00A5122D" w:rsidRPr="0020560B">
        <w:t xml:space="preserve"> 1 – </w:t>
      </w:r>
      <w:r w:rsidR="00FF7AA5" w:rsidRPr="0020560B">
        <w:t>7</w:t>
      </w:r>
      <w:r w:rsidRPr="0020560B">
        <w:t>.</w:t>
      </w:r>
      <w:r w:rsidRPr="0000292B">
        <w:t xml:space="preserve"> All the pa</w:t>
      </w:r>
      <w:r>
        <w:t>ragraphs have equal authority.</w:t>
      </w:r>
    </w:p>
    <w:p w14:paraId="11FA2D13" w14:textId="77777777" w:rsidR="00090A6F" w:rsidRPr="0000292B" w:rsidRDefault="00090A6F">
      <w:pPr>
        <w:pStyle w:val="ContentsBox"/>
        <w:pBdr>
          <w:top w:val="none" w:sz="0" w:space="0" w:color="auto"/>
          <w:left w:val="none" w:sz="0" w:space="0" w:color="auto"/>
          <w:bottom w:val="none" w:sz="0" w:space="0" w:color="auto"/>
          <w:right w:val="none" w:sz="0" w:space="0" w:color="auto"/>
        </w:pBdr>
      </w:pPr>
    </w:p>
    <w:p w14:paraId="459FE06F" w14:textId="77777777" w:rsidR="00090A6F" w:rsidRPr="0000292B" w:rsidRDefault="00090A6F">
      <w:pPr>
        <w:sectPr w:rsidR="00090A6F" w:rsidRPr="0000292B" w:rsidSect="00D74C6A">
          <w:footerReference w:type="default" r:id="rId10"/>
          <w:pgSz w:w="11907" w:h="16840" w:code="9"/>
          <w:pgMar w:top="1418" w:right="1418" w:bottom="1418" w:left="1418" w:header="709" w:footer="709" w:gutter="0"/>
          <w:paperSrc w:first="7" w:other="7"/>
          <w:cols w:space="720"/>
        </w:sectPr>
      </w:pPr>
    </w:p>
    <w:p w14:paraId="2171D473" w14:textId="77777777" w:rsidR="00090A6F" w:rsidRPr="0000292B" w:rsidRDefault="00090A6F">
      <w:pPr>
        <w:pStyle w:val="Heading1"/>
      </w:pPr>
      <w:r w:rsidRPr="0000292B">
        <w:lastRenderedPageBreak/>
        <w:t>Preface</w:t>
      </w:r>
    </w:p>
    <w:p w14:paraId="26EFF641" w14:textId="69CAC7BB" w:rsidR="000F64CC" w:rsidRPr="0000292B" w:rsidRDefault="00CA61C5">
      <w:pPr>
        <w:pStyle w:val="Heading2"/>
      </w:pPr>
      <w:r>
        <w:t xml:space="preserve">Standards amended by AASB </w:t>
      </w:r>
      <w:r>
        <w:fldChar w:fldCharType="begin"/>
      </w:r>
      <w:r>
        <w:instrText xml:space="preserve"> REF DocNo \* charformat</w:instrText>
      </w:r>
      <w:r>
        <w:fldChar w:fldCharType="separate"/>
      </w:r>
      <w:r w:rsidR="00933227">
        <w:t>2019-8</w:t>
      </w:r>
      <w:r>
        <w:fldChar w:fldCharType="end"/>
      </w:r>
    </w:p>
    <w:p w14:paraId="5EC6D11C" w14:textId="6E376730" w:rsidR="00ED3777" w:rsidRDefault="009C2479" w:rsidP="00E55F2F">
      <w:pPr>
        <w:pStyle w:val="NoNumPlain1"/>
      </w:pPr>
      <w:r>
        <w:t>This S</w:t>
      </w:r>
      <w:r w:rsidR="00E55F2F">
        <w:t xml:space="preserve">tandard makes amendments to </w:t>
      </w:r>
      <w:r w:rsidR="0028759D">
        <w:t xml:space="preserve">AASB 16 </w:t>
      </w:r>
      <w:r w:rsidR="0028759D" w:rsidRPr="0028759D">
        <w:rPr>
          <w:i/>
        </w:rPr>
        <w:t>Leases</w:t>
      </w:r>
      <w:r w:rsidR="0028759D">
        <w:t xml:space="preserve"> </w:t>
      </w:r>
      <w:r w:rsidR="00C41B48">
        <w:t xml:space="preserve">(February 2016) </w:t>
      </w:r>
      <w:r w:rsidR="0028759D">
        <w:t xml:space="preserve">and </w:t>
      </w:r>
      <w:r w:rsidR="00D3211B" w:rsidRPr="00D3211B">
        <w:t xml:space="preserve">AASB 1049 </w:t>
      </w:r>
      <w:r w:rsidR="00D3211B" w:rsidRPr="00D3211B">
        <w:rPr>
          <w:i/>
          <w:iCs/>
        </w:rPr>
        <w:t>Whole of Government and General Government Sector Financial Reporting</w:t>
      </w:r>
      <w:r w:rsidR="00D3211B" w:rsidRPr="00D3211B">
        <w:t xml:space="preserve"> (October 2007)</w:t>
      </w:r>
      <w:r w:rsidR="002862EE">
        <w:t>.</w:t>
      </w:r>
    </w:p>
    <w:p w14:paraId="241A0CCF" w14:textId="7448B9D0" w:rsidR="00CF736A" w:rsidRDefault="0020385D" w:rsidP="00E55F2F">
      <w:pPr>
        <w:pStyle w:val="NoNumPlain1"/>
      </w:pPr>
      <w:r>
        <w:t>In December 2018</w:t>
      </w:r>
      <w:r w:rsidR="000112C3">
        <w:t>,</w:t>
      </w:r>
      <w:r w:rsidR="00671F22">
        <w:t xml:space="preserve"> t</w:t>
      </w:r>
      <w:r w:rsidR="000B7C76">
        <w:t xml:space="preserve">he AASB </w:t>
      </w:r>
      <w:r w:rsidR="00671F22">
        <w:t xml:space="preserve">issued AASB 2018-8 </w:t>
      </w:r>
      <w:r w:rsidR="000112C3" w:rsidRPr="000112C3">
        <w:rPr>
          <w:i/>
          <w:iCs/>
        </w:rPr>
        <w:t>Amendments to Australian Accounting Standards – Right</w:t>
      </w:r>
      <w:r w:rsidR="00FF0BA9">
        <w:rPr>
          <w:i/>
          <w:iCs/>
        </w:rPr>
        <w:t>-</w:t>
      </w:r>
      <w:r w:rsidR="000112C3" w:rsidRPr="000112C3">
        <w:rPr>
          <w:i/>
          <w:iCs/>
        </w:rPr>
        <w:t>of</w:t>
      </w:r>
      <w:r w:rsidR="00FF0BA9">
        <w:rPr>
          <w:i/>
          <w:iCs/>
        </w:rPr>
        <w:t>-</w:t>
      </w:r>
      <w:r w:rsidR="000112C3" w:rsidRPr="000112C3">
        <w:rPr>
          <w:i/>
          <w:iCs/>
        </w:rPr>
        <w:t>Use Assets of Not</w:t>
      </w:r>
      <w:r w:rsidR="00FF0BA9">
        <w:rPr>
          <w:i/>
          <w:iCs/>
        </w:rPr>
        <w:t>-</w:t>
      </w:r>
      <w:r w:rsidR="000112C3" w:rsidRPr="000112C3">
        <w:rPr>
          <w:i/>
          <w:iCs/>
        </w:rPr>
        <w:t>for</w:t>
      </w:r>
      <w:r w:rsidR="00FF0BA9">
        <w:rPr>
          <w:i/>
          <w:iCs/>
        </w:rPr>
        <w:t>-</w:t>
      </w:r>
      <w:r w:rsidR="000112C3" w:rsidRPr="000112C3">
        <w:rPr>
          <w:i/>
          <w:iCs/>
        </w:rPr>
        <w:t>Profit Entities</w:t>
      </w:r>
      <w:r w:rsidR="000112C3">
        <w:t xml:space="preserve"> </w:t>
      </w:r>
      <w:r w:rsidR="000B7C76">
        <w:t>to provide a temporary option for not-for-profit entities</w:t>
      </w:r>
      <w:r w:rsidR="000B7C76" w:rsidRPr="009C0B94">
        <w:t xml:space="preserve"> </w:t>
      </w:r>
      <w:r w:rsidR="000B7C76">
        <w:t xml:space="preserve">to </w:t>
      </w:r>
      <w:r w:rsidR="00CF736A">
        <w:t xml:space="preserve">elect to </w:t>
      </w:r>
      <w:r w:rsidR="000B7C76">
        <w:t>measure a class or classes of right</w:t>
      </w:r>
      <w:r w:rsidR="000B7C76">
        <w:noBreakHyphen/>
        <w:t>of</w:t>
      </w:r>
      <w:r w:rsidR="000B7C76">
        <w:noBreakHyphen/>
        <w:t>use</w:t>
      </w:r>
      <w:r w:rsidR="0073281D">
        <w:t xml:space="preserve"> </w:t>
      </w:r>
      <w:r w:rsidR="000B7C76">
        <w:t xml:space="preserve">assets </w:t>
      </w:r>
      <w:r w:rsidR="00C717FA">
        <w:t xml:space="preserve">arising under </w:t>
      </w:r>
      <w:r w:rsidR="00254194">
        <w:t xml:space="preserve">concessionary leases </w:t>
      </w:r>
      <w:r w:rsidR="000B7C76">
        <w:t xml:space="preserve">at initial recognition at </w:t>
      </w:r>
      <w:r w:rsidR="00CF736A">
        <w:t xml:space="preserve">cost or at </w:t>
      </w:r>
      <w:r w:rsidR="000B7C76">
        <w:t>fair value</w:t>
      </w:r>
      <w:r w:rsidR="00254194">
        <w:t>.</w:t>
      </w:r>
      <w:r w:rsidR="00CF736A">
        <w:t xml:space="preserve"> </w:t>
      </w:r>
      <w:r w:rsidR="00241B16">
        <w:t>C</w:t>
      </w:r>
      <w:r w:rsidR="003F0EA8">
        <w:t xml:space="preserve">oncessionary leases </w:t>
      </w:r>
      <w:r w:rsidR="00F24482">
        <w:t>in this context are</w:t>
      </w:r>
      <w:r w:rsidR="003F0EA8">
        <w:t xml:space="preserve"> </w:t>
      </w:r>
      <w:r w:rsidR="00CF736A" w:rsidRPr="005C3266">
        <w:t>lease</w:t>
      </w:r>
      <w:r w:rsidR="00CF736A">
        <w:t>s</w:t>
      </w:r>
      <w:r w:rsidR="00CF736A" w:rsidRPr="005C3266">
        <w:t xml:space="preserve"> that ha</w:t>
      </w:r>
      <w:r w:rsidR="00CF736A">
        <w:t>ve</w:t>
      </w:r>
      <w:r w:rsidR="00CF736A" w:rsidRPr="005C3266">
        <w:t xml:space="preserve"> significantly below-market terms and conditions principally to enable the entity to further its objectives</w:t>
      </w:r>
      <w:r w:rsidR="00CF736A">
        <w:t>.</w:t>
      </w:r>
    </w:p>
    <w:p w14:paraId="2F4BEB57" w14:textId="0D9F2D05" w:rsidR="003F6ED6" w:rsidRDefault="00ED3777" w:rsidP="00E55F2F">
      <w:pPr>
        <w:pStyle w:val="NoNumPlain1"/>
      </w:pPr>
      <w:r>
        <w:t>The AASB</w:t>
      </w:r>
      <w:r w:rsidRPr="00ED3777">
        <w:t xml:space="preserve"> received feedback </w:t>
      </w:r>
      <w:r w:rsidR="00B005AA">
        <w:t xml:space="preserve">that </w:t>
      </w:r>
      <w:r w:rsidR="00497F29">
        <w:t xml:space="preserve">public </w:t>
      </w:r>
      <w:r w:rsidR="005C46F8">
        <w:t>sector entities</w:t>
      </w:r>
      <w:r w:rsidR="00497F29">
        <w:t xml:space="preserve"> </w:t>
      </w:r>
      <w:r w:rsidR="0073281D">
        <w:t xml:space="preserve">would need to </w:t>
      </w:r>
      <w:r w:rsidR="005C46F8">
        <w:t>r</w:t>
      </w:r>
      <w:r w:rsidR="005C46F8" w:rsidRPr="00497F29">
        <w:t xml:space="preserve">evalue their </w:t>
      </w:r>
      <w:r w:rsidR="00B26698">
        <w:t>right</w:t>
      </w:r>
      <w:r w:rsidR="00B26698">
        <w:noBreakHyphen/>
        <w:t>of</w:t>
      </w:r>
      <w:r w:rsidR="00B26698">
        <w:noBreakHyphen/>
        <w:t>use</w:t>
      </w:r>
      <w:r w:rsidR="005C46F8" w:rsidRPr="00497F29">
        <w:t xml:space="preserve"> assets under concessionary leases (and other leases) at fair value at subsequent measurement</w:t>
      </w:r>
      <w:r w:rsidR="006674A8">
        <w:t xml:space="preserve"> </w:t>
      </w:r>
      <w:r w:rsidR="00497F29" w:rsidRPr="00497F29">
        <w:t xml:space="preserve">to satisfy </w:t>
      </w:r>
      <w:r w:rsidR="006674A8">
        <w:t xml:space="preserve">the requirements of </w:t>
      </w:r>
      <w:r w:rsidR="00497F29" w:rsidRPr="00497F29">
        <w:t>AASB</w:t>
      </w:r>
      <w:r w:rsidR="00B26698">
        <w:t> </w:t>
      </w:r>
      <w:r w:rsidR="00497F29" w:rsidRPr="00497F29">
        <w:t xml:space="preserve">1049 </w:t>
      </w:r>
      <w:r w:rsidR="004D33A4">
        <w:t>to elect accounting</w:t>
      </w:r>
      <w:r w:rsidR="008E49D1" w:rsidRPr="008E49D1">
        <w:t xml:space="preserve"> treatments in Accounting Standards </w:t>
      </w:r>
      <w:r w:rsidR="00326102">
        <w:t xml:space="preserve">that </w:t>
      </w:r>
      <w:r w:rsidR="008E49D1" w:rsidRPr="008E49D1">
        <w:t>align with the principles in the ABS GFS Manual</w:t>
      </w:r>
      <w:r w:rsidR="00490C6F">
        <w:t>.</w:t>
      </w:r>
      <w:r w:rsidR="0096317D">
        <w:t xml:space="preserve"> </w:t>
      </w:r>
      <w:r w:rsidR="002D3F9B">
        <w:t xml:space="preserve">Stakeholders also </w:t>
      </w:r>
      <w:r w:rsidR="001D5C72">
        <w:t xml:space="preserve">requested clarification of whether </w:t>
      </w:r>
      <w:r w:rsidR="0037234C">
        <w:t>right</w:t>
      </w:r>
      <w:r w:rsidR="0037234C">
        <w:noBreakHyphen/>
        <w:t>of</w:t>
      </w:r>
      <w:r w:rsidR="0037234C">
        <w:noBreakHyphen/>
        <w:t>use</w:t>
      </w:r>
      <w:r w:rsidR="001D5C72">
        <w:t xml:space="preserve"> assets arising under concessionary leases can be treated as a separate class of </w:t>
      </w:r>
      <w:r w:rsidR="00B26698">
        <w:t>right</w:t>
      </w:r>
      <w:r w:rsidR="00B26698">
        <w:noBreakHyphen/>
        <w:t>of</w:t>
      </w:r>
      <w:r w:rsidR="00B26698">
        <w:noBreakHyphen/>
        <w:t>use</w:t>
      </w:r>
      <w:r w:rsidR="001D5C72">
        <w:t xml:space="preserve"> assets </w:t>
      </w:r>
      <w:r w:rsidR="00011D56">
        <w:t xml:space="preserve">to </w:t>
      </w:r>
      <w:r w:rsidR="00B26698">
        <w:t>right</w:t>
      </w:r>
      <w:r w:rsidR="00B26698">
        <w:noBreakHyphen/>
        <w:t>of</w:t>
      </w:r>
      <w:r w:rsidR="00B26698">
        <w:noBreakHyphen/>
        <w:t>use</w:t>
      </w:r>
      <w:r w:rsidR="001D5C72">
        <w:t xml:space="preserve"> assets arisi</w:t>
      </w:r>
      <w:r w:rsidR="00F33B6B">
        <w:t xml:space="preserve">ng </w:t>
      </w:r>
      <w:r w:rsidR="00011D56">
        <w:t xml:space="preserve">under </w:t>
      </w:r>
      <w:r w:rsidR="00F33B6B">
        <w:t>other leases</w:t>
      </w:r>
      <w:r w:rsidR="00C1570C">
        <w:t xml:space="preserve">. </w:t>
      </w:r>
    </w:p>
    <w:p w14:paraId="0C51138A" w14:textId="5181DE63" w:rsidR="00A5122D" w:rsidRDefault="00534BAD" w:rsidP="00E55F2F">
      <w:pPr>
        <w:pStyle w:val="NoNumPlain1"/>
      </w:pPr>
      <w:r>
        <w:t xml:space="preserve">The </w:t>
      </w:r>
      <w:r w:rsidR="0096317D">
        <w:t>AASB</w:t>
      </w:r>
      <w:r>
        <w:t xml:space="preserve"> </w:t>
      </w:r>
      <w:r w:rsidR="001B342F">
        <w:t xml:space="preserve">considered stakeholders’ feedback </w:t>
      </w:r>
      <w:r w:rsidR="00C22B7D">
        <w:t xml:space="preserve">and decided to amend </w:t>
      </w:r>
      <w:r w:rsidR="00C41B48">
        <w:t xml:space="preserve">AASB 16 and </w:t>
      </w:r>
      <w:r w:rsidR="00C22B7D">
        <w:t>AASB 10</w:t>
      </w:r>
      <w:r w:rsidR="00F33B6B">
        <w:t>4</w:t>
      </w:r>
      <w:r w:rsidR="00C22B7D">
        <w:t>9</w:t>
      </w:r>
      <w:r w:rsidR="00275490">
        <w:t xml:space="preserve"> </w:t>
      </w:r>
      <w:r w:rsidR="00C22B7D">
        <w:t xml:space="preserve">to address </w:t>
      </w:r>
      <w:r w:rsidR="001B342F">
        <w:t>these</w:t>
      </w:r>
      <w:r w:rsidR="00490C6F">
        <w:t xml:space="preserve"> issues</w:t>
      </w:r>
      <w:r w:rsidR="00C1570C">
        <w:t xml:space="preserve">. </w:t>
      </w:r>
    </w:p>
    <w:p w14:paraId="1D674BFC" w14:textId="77777777" w:rsidR="00090A6F" w:rsidRDefault="00F22AF2" w:rsidP="00F22AF2">
      <w:pPr>
        <w:pStyle w:val="Heading2"/>
      </w:pPr>
      <w:r>
        <w:t>Main features of this Standard</w:t>
      </w:r>
    </w:p>
    <w:p w14:paraId="1EDAB487" w14:textId="77777777" w:rsidR="00F22AF2" w:rsidRDefault="00F22AF2" w:rsidP="0096317D">
      <w:pPr>
        <w:pStyle w:val="Heading2Indent1"/>
      </w:pPr>
      <w:r>
        <w:t>Main requirements</w:t>
      </w:r>
    </w:p>
    <w:p w14:paraId="474C5870" w14:textId="36031CB7" w:rsidR="00275490" w:rsidRDefault="00804D25" w:rsidP="00F22AF2">
      <w:pPr>
        <w:pStyle w:val="NoNumPlain1"/>
      </w:pPr>
      <w:r>
        <w:t xml:space="preserve">This Standard </w:t>
      </w:r>
      <w:r w:rsidR="00916EFA">
        <w:t>makes amendme</w:t>
      </w:r>
      <w:r w:rsidR="00275490">
        <w:t>nts to AASB </w:t>
      </w:r>
      <w:r w:rsidR="003A60C1">
        <w:t>16 and AASB</w:t>
      </w:r>
      <w:r w:rsidR="00945F15">
        <w:t xml:space="preserve"> </w:t>
      </w:r>
      <w:r w:rsidR="00275490">
        <w:t>10</w:t>
      </w:r>
      <w:r w:rsidR="009D1F1C">
        <w:t>4</w:t>
      </w:r>
      <w:r w:rsidR="00275490">
        <w:t>9 to:</w:t>
      </w:r>
    </w:p>
    <w:p w14:paraId="1A890F50" w14:textId="2E8ECD1E" w:rsidR="00796186" w:rsidRDefault="009D1F1C" w:rsidP="006F11B2">
      <w:pPr>
        <w:pStyle w:val="NoNumPlain1"/>
        <w:numPr>
          <w:ilvl w:val="0"/>
          <w:numId w:val="17"/>
        </w:numPr>
        <w:ind w:left="510" w:hanging="510"/>
      </w:pPr>
      <w:r>
        <w:t xml:space="preserve">specify </w:t>
      </w:r>
      <w:r w:rsidR="00CB01CC">
        <w:t xml:space="preserve">for </w:t>
      </w:r>
      <w:r w:rsidR="005C3BAA">
        <w:t xml:space="preserve">not-for-profit entities </w:t>
      </w:r>
      <w:r w:rsidR="00011D56">
        <w:t xml:space="preserve">that </w:t>
      </w:r>
      <w:r w:rsidR="00B26698">
        <w:t>right</w:t>
      </w:r>
      <w:r w:rsidR="00B26698">
        <w:noBreakHyphen/>
        <w:t>of</w:t>
      </w:r>
      <w:r w:rsidR="00B26698">
        <w:noBreakHyphen/>
        <w:t>use</w:t>
      </w:r>
      <w:r>
        <w:t xml:space="preserve"> assets</w:t>
      </w:r>
      <w:r w:rsidR="00F2004F">
        <w:t xml:space="preserve"> arising</w:t>
      </w:r>
      <w:r>
        <w:t xml:space="preserve"> under concessionary leases </w:t>
      </w:r>
      <w:r w:rsidR="00891F40">
        <w:t>can</w:t>
      </w:r>
      <w:r w:rsidR="00BB2B31">
        <w:t xml:space="preserve"> be treated as </w:t>
      </w:r>
      <w:r>
        <w:t xml:space="preserve">a separate class of </w:t>
      </w:r>
      <w:r w:rsidR="00B26698">
        <w:t>right</w:t>
      </w:r>
      <w:r w:rsidR="00B26698">
        <w:noBreakHyphen/>
        <w:t>of</w:t>
      </w:r>
      <w:r w:rsidR="00B26698">
        <w:noBreakHyphen/>
        <w:t>use</w:t>
      </w:r>
      <w:r>
        <w:t xml:space="preserve"> assets </w:t>
      </w:r>
      <w:r w:rsidR="00011D56">
        <w:t xml:space="preserve">to </w:t>
      </w:r>
      <w:r w:rsidR="00B26698">
        <w:t>right</w:t>
      </w:r>
      <w:r w:rsidR="00B26698">
        <w:noBreakHyphen/>
        <w:t>of</w:t>
      </w:r>
      <w:r w:rsidR="00B26698">
        <w:noBreakHyphen/>
        <w:t>use</w:t>
      </w:r>
      <w:r w:rsidR="00F2004F">
        <w:t xml:space="preserve"> </w:t>
      </w:r>
      <w:r>
        <w:t>assets arising under other leases for the purposes of AASB</w:t>
      </w:r>
      <w:r w:rsidR="00BB2B31">
        <w:t> </w:t>
      </w:r>
      <w:r>
        <w:t>16</w:t>
      </w:r>
      <w:r w:rsidR="00796186">
        <w:t>; and</w:t>
      </w:r>
    </w:p>
    <w:p w14:paraId="1F4E8038" w14:textId="7C91AC6E" w:rsidR="00F22AF2" w:rsidRDefault="00796186" w:rsidP="00CB01CC">
      <w:pPr>
        <w:pStyle w:val="NoNumPlain1"/>
        <w:numPr>
          <w:ilvl w:val="0"/>
          <w:numId w:val="17"/>
        </w:numPr>
        <w:ind w:left="510" w:hanging="510"/>
      </w:pPr>
      <w:r>
        <w:t xml:space="preserve">provide an option for </w:t>
      </w:r>
      <w:r w:rsidR="007E6687">
        <w:t>a</w:t>
      </w:r>
      <w:r>
        <w:t xml:space="preserve"> Whole of Government and General Government Sector to measure right</w:t>
      </w:r>
      <w:r>
        <w:noBreakHyphen/>
        <w:t>of</w:t>
      </w:r>
      <w:r>
        <w:noBreakHyphen/>
        <w:t>use assets arising under concessionary leases at cost or at fair value in subsequent measurements</w:t>
      </w:r>
      <w:r w:rsidR="00895139">
        <w:t>.</w:t>
      </w:r>
    </w:p>
    <w:p w14:paraId="2199A66F" w14:textId="77777777" w:rsidR="00F22AF2" w:rsidRDefault="00F22AF2" w:rsidP="0096317D">
      <w:pPr>
        <w:pStyle w:val="Heading2Indent1"/>
      </w:pPr>
      <w:r>
        <w:t>Application date</w:t>
      </w:r>
    </w:p>
    <w:p w14:paraId="1E92ABBF" w14:textId="6605E349" w:rsidR="00F22AF2" w:rsidRPr="00F22AF2" w:rsidRDefault="00B16904" w:rsidP="00F73284">
      <w:pPr>
        <w:pStyle w:val="IASBNormal"/>
      </w:pPr>
      <w:r>
        <w:t xml:space="preserve">This Standard applies to annual periods </w:t>
      </w:r>
      <w:bookmarkStart w:id="10" w:name="ApplyText"/>
      <w:r>
        <w:t>beginning</w:t>
      </w:r>
      <w:bookmarkEnd w:id="10"/>
      <w:r>
        <w:t xml:space="preserve"> on or after</w:t>
      </w:r>
      <w:r w:rsidR="00867FB0">
        <w:t xml:space="preserve"> </w:t>
      </w:r>
      <w:bookmarkStart w:id="11" w:name="ApplyDate"/>
      <w:r w:rsidR="004A3747">
        <w:t>1 January 2</w:t>
      </w:r>
      <w:r w:rsidR="00D26EF9">
        <w:t>019</w:t>
      </w:r>
      <w:bookmarkEnd w:id="11"/>
      <w:r w:rsidR="00804D25">
        <w:t xml:space="preserve">, </w:t>
      </w:r>
      <w:r w:rsidR="009E0595" w:rsidRPr="00766E15">
        <w:t>with earl</w:t>
      </w:r>
      <w:r w:rsidR="009E0595">
        <w:t>ier</w:t>
      </w:r>
      <w:r w:rsidR="009E0595" w:rsidRPr="00766E15">
        <w:t xml:space="preserve"> </w:t>
      </w:r>
      <w:r w:rsidR="009E0595">
        <w:t>application</w:t>
      </w:r>
      <w:r w:rsidR="009E0595" w:rsidRPr="00766E15">
        <w:t xml:space="preserve"> permitted</w:t>
      </w:r>
      <w:r w:rsidR="00F377CC">
        <w:t>,</w:t>
      </w:r>
      <w:r w:rsidR="009F7CE2" w:rsidRPr="009F7CE2">
        <w:t xml:space="preserve"> </w:t>
      </w:r>
      <w:r w:rsidR="009F7CE2">
        <w:t xml:space="preserve">provided that AASB 1058 </w:t>
      </w:r>
      <w:r w:rsidR="00D84DC6" w:rsidRPr="00D84DC6">
        <w:rPr>
          <w:i/>
          <w:iCs/>
        </w:rPr>
        <w:t>Income of Not</w:t>
      </w:r>
      <w:r w:rsidR="00D84DC6">
        <w:rPr>
          <w:i/>
          <w:iCs/>
        </w:rPr>
        <w:t>-</w:t>
      </w:r>
      <w:r w:rsidR="00D84DC6" w:rsidRPr="00D84DC6">
        <w:rPr>
          <w:i/>
          <w:iCs/>
        </w:rPr>
        <w:t>for</w:t>
      </w:r>
      <w:r w:rsidR="00D84DC6">
        <w:rPr>
          <w:i/>
          <w:iCs/>
        </w:rPr>
        <w:t>-</w:t>
      </w:r>
      <w:r w:rsidR="00D84DC6" w:rsidRPr="00D84DC6">
        <w:rPr>
          <w:i/>
          <w:iCs/>
        </w:rPr>
        <w:t>Profit Entities</w:t>
      </w:r>
      <w:r w:rsidR="00D84DC6" w:rsidRPr="00D84DC6">
        <w:t xml:space="preserve"> </w:t>
      </w:r>
      <w:r w:rsidR="009F7CE2">
        <w:t>is also applied at the same time</w:t>
      </w:r>
      <w:r w:rsidR="009E0595" w:rsidRPr="00766E15">
        <w:t xml:space="preserve">. </w:t>
      </w:r>
    </w:p>
    <w:p w14:paraId="7BD3736F" w14:textId="77777777" w:rsidR="00F22AF2" w:rsidRPr="0000292B" w:rsidRDefault="00F22AF2"/>
    <w:p w14:paraId="7A005A3D" w14:textId="77777777" w:rsidR="00090A6F" w:rsidRPr="0000292B" w:rsidRDefault="00090A6F">
      <w:pPr>
        <w:sectPr w:rsidR="00090A6F" w:rsidRPr="0000292B" w:rsidSect="00D74C6A">
          <w:footerReference w:type="default" r:id="rId11"/>
          <w:pgSz w:w="11907" w:h="16840" w:code="9"/>
          <w:pgMar w:top="1418" w:right="1418" w:bottom="1418" w:left="1418" w:header="709" w:footer="709" w:gutter="0"/>
          <w:paperSrc w:first="7" w:other="7"/>
          <w:cols w:space="720"/>
        </w:sectPr>
      </w:pPr>
    </w:p>
    <w:p w14:paraId="7A92CC2B" w14:textId="00D91294" w:rsidR="001662B8" w:rsidRPr="0000292B" w:rsidRDefault="00F13C5A" w:rsidP="001662B8">
      <w:pPr>
        <w:pStyle w:val="Heading1"/>
      </w:pPr>
      <w:r w:rsidRPr="0000292B">
        <w:lastRenderedPageBreak/>
        <w:t xml:space="preserve">Accounting Standard </w:t>
      </w:r>
      <w:r w:rsidR="001662B8" w:rsidRPr="0000292B">
        <w:t xml:space="preserve">AASB </w:t>
      </w:r>
      <w:r w:rsidR="001662B8" w:rsidRPr="00BC0D5D">
        <w:rPr>
          <w:iCs/>
        </w:rPr>
        <w:fldChar w:fldCharType="begin"/>
      </w:r>
      <w:r w:rsidR="001662B8" w:rsidRPr="00BC0D5D">
        <w:rPr>
          <w:iCs/>
        </w:rPr>
        <w:instrText xml:space="preserve"> REF </w:instrText>
      </w:r>
      <w:r w:rsidR="001662B8">
        <w:rPr>
          <w:iCs/>
        </w:rPr>
        <w:instrText>Doc</w:instrText>
      </w:r>
      <w:r w:rsidR="001662B8" w:rsidRPr="00BC0D5D">
        <w:rPr>
          <w:iCs/>
        </w:rPr>
        <w:instrText xml:space="preserve">No \* charformat </w:instrText>
      </w:r>
      <w:r w:rsidR="001662B8" w:rsidRPr="00BC0D5D">
        <w:rPr>
          <w:iCs/>
        </w:rPr>
        <w:fldChar w:fldCharType="separate"/>
      </w:r>
      <w:r w:rsidR="00933227" w:rsidRPr="00933227">
        <w:rPr>
          <w:iCs/>
        </w:rPr>
        <w:t>2019-8</w:t>
      </w:r>
      <w:r w:rsidR="001662B8" w:rsidRPr="00BC0D5D">
        <w:rPr>
          <w:iCs/>
        </w:rPr>
        <w:fldChar w:fldCharType="end"/>
      </w:r>
    </w:p>
    <w:p w14:paraId="6CAF911E" w14:textId="6293C411" w:rsidR="001662B8" w:rsidRDefault="001662B8" w:rsidP="003E1900">
      <w:pPr>
        <w:pStyle w:val="NoNumPlain1"/>
      </w:pPr>
      <w:r>
        <w:t>The Australian Accounting Standards Board makes Accounting Standard AASB </w:t>
      </w:r>
      <w:fldSimple w:instr=" REF DocNo  \* charformat ">
        <w:r w:rsidR="00933227">
          <w:t>2019-8</w:t>
        </w:r>
      </w:fldSimple>
      <w:r>
        <w:t xml:space="preserve"> </w:t>
      </w:r>
      <w:r w:rsidR="00CC1DF4" w:rsidRPr="00CC1DF4">
        <w:rPr>
          <w:i/>
        </w:rPr>
        <w:fldChar w:fldCharType="begin"/>
      </w:r>
      <w:r w:rsidR="00CC1DF4" w:rsidRPr="00CC1DF4">
        <w:rPr>
          <w:i/>
        </w:rPr>
        <w:instrText xml:space="preserve"> REF DocTitle \* charformat </w:instrText>
      </w:r>
      <w:r w:rsidR="00CC1DF4" w:rsidRPr="00CC1DF4">
        <w:rPr>
          <w:i/>
        </w:rPr>
        <w:fldChar w:fldCharType="separate"/>
      </w:r>
      <w:r w:rsidR="00933227" w:rsidRPr="00933227">
        <w:rPr>
          <w:i/>
        </w:rPr>
        <w:t>Amendments to Australian Accounting Standards – Class of Right-of-Use Assets arising under Concessionary Leases</w:t>
      </w:r>
      <w:r w:rsidR="00CC1DF4" w:rsidRPr="00CC1DF4">
        <w:rPr>
          <w:i/>
        </w:rPr>
        <w:fldChar w:fldCharType="end"/>
      </w:r>
      <w:bookmarkStart w:id="12" w:name="CorpsAct"/>
      <w:r w:rsidR="00074CB7">
        <w:rPr>
          <w:i/>
        </w:rPr>
        <w:t xml:space="preserve"> </w:t>
      </w:r>
      <w:r>
        <w:t xml:space="preserve">under section 334 of the </w:t>
      </w:r>
      <w:r>
        <w:rPr>
          <w:i/>
          <w:iCs/>
        </w:rPr>
        <w:t>Corporations Act 2001</w:t>
      </w:r>
      <w:bookmarkEnd w:id="12"/>
      <w:r>
        <w:t>.</w:t>
      </w:r>
    </w:p>
    <w:tbl>
      <w:tblPr>
        <w:tblW w:w="9072" w:type="dxa"/>
        <w:tblLook w:val="0000" w:firstRow="0" w:lastRow="0" w:firstColumn="0" w:lastColumn="0" w:noHBand="0" w:noVBand="0"/>
        <w:tblCaption w:val="Authorisation of the statement that the AASB has made the Standard"/>
        <w:tblDescription w:val="Date when the Standard was made by the AASB, the name of the AASB Chair, and the statement of that position"/>
      </w:tblPr>
      <w:tblGrid>
        <w:gridCol w:w="4361"/>
        <w:gridCol w:w="4711"/>
      </w:tblGrid>
      <w:tr w:rsidR="00C03C7B" w14:paraId="64B7EB67" w14:textId="77777777" w:rsidTr="001A4E74">
        <w:tc>
          <w:tcPr>
            <w:tcW w:w="4361" w:type="dxa"/>
          </w:tcPr>
          <w:p w14:paraId="265F23B6" w14:textId="77777777" w:rsidR="00C03C7B" w:rsidRDefault="00C03C7B" w:rsidP="0048155F"/>
        </w:tc>
        <w:tc>
          <w:tcPr>
            <w:tcW w:w="4711" w:type="dxa"/>
          </w:tcPr>
          <w:p w14:paraId="2AE9C1AE" w14:textId="77777777" w:rsidR="00C03C7B" w:rsidRDefault="008F3EBA" w:rsidP="0048155F">
            <w:pPr>
              <w:jc w:val="right"/>
            </w:pPr>
            <w:r>
              <w:t>Kris Peach</w:t>
            </w:r>
          </w:p>
        </w:tc>
      </w:tr>
      <w:tr w:rsidR="00C03C7B" w14:paraId="356A72EC" w14:textId="77777777" w:rsidTr="001A4E74">
        <w:tc>
          <w:tcPr>
            <w:tcW w:w="4361" w:type="dxa"/>
          </w:tcPr>
          <w:p w14:paraId="7ECEBB49" w14:textId="4804E4AE" w:rsidR="00C03C7B" w:rsidRDefault="00F34813" w:rsidP="001A4E74">
            <w:pPr>
              <w:ind w:left="-108"/>
            </w:pPr>
            <w:r>
              <w:t xml:space="preserve">Dated </w:t>
            </w:r>
            <w:r w:rsidR="00A766B3">
              <w:t>19 December 2019</w:t>
            </w:r>
          </w:p>
        </w:tc>
        <w:tc>
          <w:tcPr>
            <w:tcW w:w="4711" w:type="dxa"/>
          </w:tcPr>
          <w:p w14:paraId="5BF3DCCC" w14:textId="77777777" w:rsidR="00C03C7B" w:rsidRDefault="00C03C7B" w:rsidP="0048155F">
            <w:pPr>
              <w:jc w:val="right"/>
            </w:pPr>
            <w:r>
              <w:t>Chair – AASB</w:t>
            </w:r>
          </w:p>
        </w:tc>
      </w:tr>
    </w:tbl>
    <w:p w14:paraId="4FC7A864" w14:textId="24E0BB7C" w:rsidR="00090A6F" w:rsidRPr="0000292B" w:rsidRDefault="00F13C5A" w:rsidP="00867FB0">
      <w:pPr>
        <w:pStyle w:val="Heading1"/>
        <w:spacing w:after="0"/>
      </w:pPr>
      <w:r w:rsidRPr="0000292B">
        <w:t xml:space="preserve">Accounting Standard </w:t>
      </w:r>
      <w:r w:rsidR="00090A6F" w:rsidRPr="0000292B">
        <w:t xml:space="preserve">AASB </w:t>
      </w:r>
      <w:r w:rsidR="00BC0D5D" w:rsidRPr="00BC0D5D">
        <w:rPr>
          <w:iCs/>
        </w:rPr>
        <w:fldChar w:fldCharType="begin"/>
      </w:r>
      <w:r w:rsidR="00BC0D5D" w:rsidRPr="00BC0D5D">
        <w:rPr>
          <w:iCs/>
        </w:rPr>
        <w:instrText xml:space="preserve"> REF </w:instrText>
      </w:r>
      <w:r w:rsidR="001662B8">
        <w:rPr>
          <w:iCs/>
        </w:rPr>
        <w:instrText>Doc</w:instrText>
      </w:r>
      <w:r w:rsidR="00BC0D5D" w:rsidRPr="00BC0D5D">
        <w:rPr>
          <w:iCs/>
        </w:rPr>
        <w:instrText xml:space="preserve">No \* charformat </w:instrText>
      </w:r>
      <w:r w:rsidR="00BC0D5D" w:rsidRPr="00BC0D5D">
        <w:rPr>
          <w:iCs/>
        </w:rPr>
        <w:fldChar w:fldCharType="separate"/>
      </w:r>
      <w:r w:rsidR="00933227" w:rsidRPr="00933227">
        <w:rPr>
          <w:iCs/>
        </w:rPr>
        <w:t>2019-8</w:t>
      </w:r>
      <w:r w:rsidR="00BC0D5D" w:rsidRPr="00BC0D5D">
        <w:rPr>
          <w:iCs/>
        </w:rPr>
        <w:fldChar w:fldCharType="end"/>
      </w:r>
    </w:p>
    <w:p w14:paraId="3993EA4E" w14:textId="4F5F99A0" w:rsidR="00090A6F" w:rsidRPr="00BF3DA7" w:rsidRDefault="004F3B91" w:rsidP="003E1900">
      <w:pPr>
        <w:pStyle w:val="Heading1Italic"/>
        <w:spacing w:before="0"/>
      </w:pPr>
      <w:fldSimple w:instr=" REF \* charformat DocTitle  \* MERGEFORMAT ">
        <w:r w:rsidR="00933227">
          <w:t xml:space="preserve">Amendments to Australian Accounting Standards – Class of </w:t>
        </w:r>
        <w:r w:rsidR="00933227" w:rsidRPr="00AC42C1">
          <w:t>Right</w:t>
        </w:r>
        <w:r w:rsidR="00933227">
          <w:t>-</w:t>
        </w:r>
        <w:r w:rsidR="00933227" w:rsidRPr="00AC42C1">
          <w:t>of</w:t>
        </w:r>
        <w:r w:rsidR="00933227">
          <w:t>-</w:t>
        </w:r>
        <w:r w:rsidR="00933227" w:rsidRPr="00AC42C1">
          <w:t xml:space="preserve">Use Assets </w:t>
        </w:r>
        <w:r w:rsidR="00933227">
          <w:t>arising under Concessionary Leases</w:t>
        </w:r>
      </w:fldSimple>
    </w:p>
    <w:p w14:paraId="7A909457" w14:textId="77777777" w:rsidR="00090A6F" w:rsidRPr="0000292B" w:rsidRDefault="00090A6F" w:rsidP="00FC30DA">
      <w:pPr>
        <w:pStyle w:val="Heading2"/>
      </w:pPr>
      <w:bookmarkStart w:id="13" w:name="TOCStart"/>
      <w:bookmarkEnd w:id="13"/>
      <w:r w:rsidRPr="0000292B">
        <w:t>Objective</w:t>
      </w:r>
    </w:p>
    <w:p w14:paraId="6D9EF78B" w14:textId="58AA434B" w:rsidR="003A60C1" w:rsidRPr="001A1EFC" w:rsidRDefault="00867FB0" w:rsidP="00ED6573">
      <w:pPr>
        <w:pStyle w:val="NumPlain1"/>
      </w:pPr>
      <w:r w:rsidRPr="001A1EFC">
        <w:t>This</w:t>
      </w:r>
      <w:r w:rsidR="001662B8" w:rsidRPr="001A1EFC">
        <w:t xml:space="preserve"> Standard </w:t>
      </w:r>
      <w:r w:rsidRPr="001A1EFC">
        <w:t>amends</w:t>
      </w:r>
      <w:r w:rsidR="00E96457" w:rsidRPr="001A1EFC">
        <w:t xml:space="preserve"> </w:t>
      </w:r>
      <w:r w:rsidR="00DF111F" w:rsidRPr="001A1EFC">
        <w:t xml:space="preserve">AASB 16 </w:t>
      </w:r>
      <w:r w:rsidR="00DF111F" w:rsidRPr="001A1EFC">
        <w:rPr>
          <w:i/>
        </w:rPr>
        <w:t>Leases</w:t>
      </w:r>
      <w:r w:rsidR="00DF111F" w:rsidRPr="001A1EFC">
        <w:t xml:space="preserve"> </w:t>
      </w:r>
      <w:r w:rsidR="00E21AE9" w:rsidRPr="001A1EFC">
        <w:t xml:space="preserve">(February 2016) </w:t>
      </w:r>
      <w:r w:rsidR="004A3C2F" w:rsidRPr="001A1EFC">
        <w:t>and AASB 10</w:t>
      </w:r>
      <w:r w:rsidR="000A31F1" w:rsidRPr="001A1EFC">
        <w:t>4</w:t>
      </w:r>
      <w:r w:rsidR="004A3C2F" w:rsidRPr="001A1EFC">
        <w:t xml:space="preserve">9 </w:t>
      </w:r>
      <w:r w:rsidR="00A00FBE" w:rsidRPr="001A1EFC">
        <w:rPr>
          <w:i/>
        </w:rPr>
        <w:t xml:space="preserve">Whole of Government and General Government Sector Financial Reporting </w:t>
      </w:r>
      <w:r w:rsidR="00A00FBE" w:rsidRPr="00AF37A3">
        <w:rPr>
          <w:iCs/>
        </w:rPr>
        <w:t>(October 2007)</w:t>
      </w:r>
      <w:r w:rsidR="004A3C2F" w:rsidRPr="003E1D3D">
        <w:rPr>
          <w:iCs/>
        </w:rPr>
        <w:t xml:space="preserve"> </w:t>
      </w:r>
      <w:r w:rsidR="00E21AE9" w:rsidRPr="001A1EFC">
        <w:t>to</w:t>
      </w:r>
      <w:r w:rsidR="00A4227E">
        <w:t xml:space="preserve"> clarify that right-of-use assets arising under </w:t>
      </w:r>
      <w:r w:rsidR="00A4227E" w:rsidRPr="001364D7">
        <w:t>leases that have significantly below-market terms and conditions principally to enable the entity to further its objectives</w:t>
      </w:r>
      <w:r w:rsidR="00A4227E">
        <w:t xml:space="preserve"> can be treated as a separate class of right-of-use assets </w:t>
      </w:r>
      <w:r w:rsidR="00011D56">
        <w:t xml:space="preserve">to </w:t>
      </w:r>
      <w:r w:rsidR="00A4227E">
        <w:t xml:space="preserve">right-of-use assets arising </w:t>
      </w:r>
      <w:r w:rsidR="00011D56">
        <w:t xml:space="preserve">under </w:t>
      </w:r>
      <w:r w:rsidR="00A4227E">
        <w:t>other leases</w:t>
      </w:r>
      <w:r w:rsidR="00326434">
        <w:t>.</w:t>
      </w:r>
      <w:r w:rsidR="001364D7" w:rsidRPr="001364D7">
        <w:t xml:space="preserve"> </w:t>
      </w:r>
      <w:r w:rsidR="00C33154">
        <w:t xml:space="preserve">This Standard also </w:t>
      </w:r>
      <w:r w:rsidR="00A4227E">
        <w:t>provide</w:t>
      </w:r>
      <w:r w:rsidR="006A6E57">
        <w:t>s</w:t>
      </w:r>
      <w:r w:rsidR="00A4227E">
        <w:t xml:space="preserve"> an option for </w:t>
      </w:r>
      <w:r w:rsidR="009C1915">
        <w:t>a</w:t>
      </w:r>
      <w:r w:rsidR="00A4227E">
        <w:t xml:space="preserve"> Whole of Government and General Government Sector to subsequently measure right-of-use assets at cost or at fair value for </w:t>
      </w:r>
      <w:r w:rsidR="00A4227E" w:rsidRPr="001364D7">
        <w:t>leases that have significantly below-market terms and conditions principally to enable the entity to further its objectives</w:t>
      </w:r>
      <w:r w:rsidR="009E0595" w:rsidRPr="001A1EFC">
        <w:t>.</w:t>
      </w:r>
    </w:p>
    <w:p w14:paraId="068B93AC" w14:textId="77777777" w:rsidR="00090A6F" w:rsidRPr="0000292B" w:rsidRDefault="00090A6F">
      <w:pPr>
        <w:pStyle w:val="Heading2"/>
      </w:pPr>
      <w:bookmarkStart w:id="14" w:name="StndObj"/>
      <w:bookmarkStart w:id="15" w:name="ArisingDate"/>
      <w:bookmarkEnd w:id="14"/>
      <w:bookmarkEnd w:id="15"/>
      <w:r w:rsidRPr="0000292B">
        <w:t>Application</w:t>
      </w:r>
    </w:p>
    <w:p w14:paraId="33ACF0D9" w14:textId="5E5158D6" w:rsidR="005A6AC7" w:rsidRPr="00920B8B" w:rsidRDefault="005A6AC7" w:rsidP="00B22833">
      <w:pPr>
        <w:pStyle w:val="NumBold1"/>
        <w:rPr>
          <w:b w:val="0"/>
        </w:rPr>
      </w:pPr>
      <w:r w:rsidRPr="00920B8B">
        <w:rPr>
          <w:b w:val="0"/>
        </w:rPr>
        <w:t xml:space="preserve">The amendments set out in this Standard apply to entities and financial statements in accordance with the application of </w:t>
      </w:r>
      <w:r w:rsidR="00534BAD">
        <w:rPr>
          <w:b w:val="0"/>
        </w:rPr>
        <w:t>AASB </w:t>
      </w:r>
      <w:r w:rsidR="004A3C2F">
        <w:rPr>
          <w:b w:val="0"/>
        </w:rPr>
        <w:t>16 an</w:t>
      </w:r>
      <w:r w:rsidR="009E0595">
        <w:rPr>
          <w:b w:val="0"/>
        </w:rPr>
        <w:t>d</w:t>
      </w:r>
      <w:r w:rsidR="004A3C2F">
        <w:rPr>
          <w:b w:val="0"/>
        </w:rPr>
        <w:t xml:space="preserve"> AASB </w:t>
      </w:r>
      <w:r w:rsidR="00534BAD">
        <w:rPr>
          <w:b w:val="0"/>
        </w:rPr>
        <w:t>10</w:t>
      </w:r>
      <w:r w:rsidR="00B1791C">
        <w:rPr>
          <w:b w:val="0"/>
        </w:rPr>
        <w:t>4</w:t>
      </w:r>
      <w:r w:rsidR="00534BAD">
        <w:rPr>
          <w:b w:val="0"/>
        </w:rPr>
        <w:t>9</w:t>
      </w:r>
      <w:r w:rsidRPr="00920B8B">
        <w:rPr>
          <w:b w:val="0"/>
        </w:rPr>
        <w:t xml:space="preserve"> set out in AASB 1057 </w:t>
      </w:r>
      <w:r w:rsidRPr="00920B8B">
        <w:rPr>
          <w:b w:val="0"/>
          <w:i/>
        </w:rPr>
        <w:t>Application of Australian Accounting Standards</w:t>
      </w:r>
      <w:r w:rsidRPr="00870A13">
        <w:rPr>
          <w:b w:val="0"/>
        </w:rPr>
        <w:t>.</w:t>
      </w:r>
    </w:p>
    <w:p w14:paraId="1A08C7F5" w14:textId="7795F241" w:rsidR="009E0595" w:rsidRPr="009E0595" w:rsidRDefault="00090A6F" w:rsidP="009E0595">
      <w:pPr>
        <w:pStyle w:val="NumBold1"/>
        <w:rPr>
          <w:b w:val="0"/>
        </w:rPr>
      </w:pPr>
      <w:r w:rsidRPr="00920B8B">
        <w:rPr>
          <w:b w:val="0"/>
        </w:rPr>
        <w:t xml:space="preserve">This Standard applies to annual periods </w:t>
      </w:r>
      <w:r w:rsidR="005A6AC7" w:rsidRPr="00920B8B">
        <w:rPr>
          <w:b w:val="0"/>
        </w:rPr>
        <w:fldChar w:fldCharType="begin"/>
      </w:r>
      <w:r w:rsidR="005A6AC7" w:rsidRPr="00920B8B">
        <w:rPr>
          <w:b w:val="0"/>
        </w:rPr>
        <w:instrText xml:space="preserve"> REF ApplyText \* charformat</w:instrText>
      </w:r>
      <w:r w:rsidR="00920B8B">
        <w:rPr>
          <w:b w:val="0"/>
        </w:rPr>
        <w:instrText xml:space="preserve"> \* MERGEFORMAT </w:instrText>
      </w:r>
      <w:r w:rsidR="005A6AC7" w:rsidRPr="00920B8B">
        <w:rPr>
          <w:b w:val="0"/>
        </w:rPr>
        <w:fldChar w:fldCharType="separate"/>
      </w:r>
      <w:r w:rsidR="00933227" w:rsidRPr="00933227">
        <w:rPr>
          <w:b w:val="0"/>
        </w:rPr>
        <w:t>beginning</w:t>
      </w:r>
      <w:r w:rsidR="005A6AC7" w:rsidRPr="00920B8B">
        <w:rPr>
          <w:b w:val="0"/>
        </w:rPr>
        <w:fldChar w:fldCharType="end"/>
      </w:r>
      <w:r w:rsidRPr="00920B8B">
        <w:rPr>
          <w:b w:val="0"/>
        </w:rPr>
        <w:t xml:space="preserve"> on or after </w:t>
      </w:r>
      <w:r w:rsidR="005A6AC7" w:rsidRPr="00920B8B">
        <w:rPr>
          <w:b w:val="0"/>
        </w:rPr>
        <w:fldChar w:fldCharType="begin"/>
      </w:r>
      <w:r w:rsidR="005A6AC7" w:rsidRPr="00920B8B">
        <w:rPr>
          <w:b w:val="0"/>
        </w:rPr>
        <w:instrText xml:space="preserve"> REF ApplyDate \* charformat</w:instrText>
      </w:r>
      <w:r w:rsidR="00920B8B">
        <w:rPr>
          <w:b w:val="0"/>
        </w:rPr>
        <w:instrText xml:space="preserve"> \* MERGEFORMAT </w:instrText>
      </w:r>
      <w:r w:rsidR="005A6AC7" w:rsidRPr="00920B8B">
        <w:rPr>
          <w:b w:val="0"/>
        </w:rPr>
        <w:fldChar w:fldCharType="separate"/>
      </w:r>
      <w:r w:rsidR="00933227" w:rsidRPr="00933227">
        <w:rPr>
          <w:b w:val="0"/>
        </w:rPr>
        <w:t>1 January 2019</w:t>
      </w:r>
      <w:r w:rsidR="005A6AC7" w:rsidRPr="00920B8B">
        <w:rPr>
          <w:b w:val="0"/>
        </w:rPr>
        <w:fldChar w:fldCharType="end"/>
      </w:r>
      <w:r w:rsidR="00C1570C">
        <w:rPr>
          <w:b w:val="0"/>
        </w:rPr>
        <w:t xml:space="preserve">. </w:t>
      </w:r>
      <w:r w:rsidR="009E0595" w:rsidRPr="009E0595">
        <w:rPr>
          <w:b w:val="0"/>
        </w:rPr>
        <w:t>Earlier application of this Standard is permitted</w:t>
      </w:r>
      <w:r w:rsidR="006D5AD1">
        <w:rPr>
          <w:b w:val="0"/>
        </w:rPr>
        <w:t xml:space="preserve">, provided AASB 1058 </w:t>
      </w:r>
      <w:r w:rsidR="006D5AD1" w:rsidRPr="00D949DE">
        <w:rPr>
          <w:b w:val="0"/>
          <w:i/>
          <w:iCs/>
        </w:rPr>
        <w:t>Income of Not-for-Profit Entities</w:t>
      </w:r>
      <w:r w:rsidR="006D5AD1">
        <w:rPr>
          <w:b w:val="0"/>
        </w:rPr>
        <w:t xml:space="preserve"> is also applied </w:t>
      </w:r>
      <w:r w:rsidR="00D949DE">
        <w:rPr>
          <w:b w:val="0"/>
        </w:rPr>
        <w:t>to the period</w:t>
      </w:r>
      <w:r w:rsidR="009E0595" w:rsidRPr="009E0595">
        <w:rPr>
          <w:b w:val="0"/>
        </w:rPr>
        <w:t>.</w:t>
      </w:r>
    </w:p>
    <w:p w14:paraId="32E50A98" w14:textId="385E7A94" w:rsidR="009E0595" w:rsidRPr="00920B8B" w:rsidRDefault="009E0595" w:rsidP="009E0595">
      <w:pPr>
        <w:pStyle w:val="NumBold1"/>
      </w:pPr>
      <w:r w:rsidRPr="009E0595">
        <w:rPr>
          <w:b w:val="0"/>
        </w:rPr>
        <w:t xml:space="preserve">This Standard uses underlining, striking out and other typographical material to identify some of the amendments to a Standard, in order to make the amendments more understandable. However, the amendments made by this Standard do not include that underlining, striking out or other typographical material. Amended paragraphs are shown with deleted text struck through and new text underlined. Ellipses (…) are used to help provide the context within which amendments are made </w:t>
      </w:r>
      <w:proofErr w:type="gramStart"/>
      <w:r w:rsidRPr="009E0595">
        <w:rPr>
          <w:b w:val="0"/>
        </w:rPr>
        <w:t>and also</w:t>
      </w:r>
      <w:proofErr w:type="gramEnd"/>
      <w:r w:rsidRPr="009E0595">
        <w:rPr>
          <w:b w:val="0"/>
        </w:rPr>
        <w:t xml:space="preserve"> to indicate text that is not amended.</w:t>
      </w:r>
    </w:p>
    <w:p w14:paraId="02807CD9" w14:textId="77777777" w:rsidR="004A3747" w:rsidRDefault="004A3C2F">
      <w:pPr>
        <w:pStyle w:val="Heading2"/>
      </w:pPr>
      <w:r>
        <w:t>Amendments to AASB 16</w:t>
      </w:r>
    </w:p>
    <w:p w14:paraId="16423B65" w14:textId="6CAECC2E" w:rsidR="004A3747" w:rsidRDefault="00CC5913" w:rsidP="00B31DD6">
      <w:pPr>
        <w:pStyle w:val="NumPlain1"/>
      </w:pPr>
      <w:r>
        <w:t>Paragraph</w:t>
      </w:r>
      <w:r w:rsidR="00BD6A0B">
        <w:t>s</w:t>
      </w:r>
      <w:r>
        <w:t xml:space="preserve"> </w:t>
      </w:r>
      <w:r w:rsidR="007B7BC6">
        <w:t>Aus</w:t>
      </w:r>
      <w:r w:rsidR="00877541">
        <w:t>25.2</w:t>
      </w:r>
      <w:r>
        <w:t xml:space="preserve"> </w:t>
      </w:r>
      <w:r w:rsidR="00BD6A0B">
        <w:t>and Aus35.1 are</w:t>
      </w:r>
      <w:r>
        <w:t xml:space="preserve"> </w:t>
      </w:r>
      <w:r w:rsidR="007B7BC6">
        <w:t>added</w:t>
      </w:r>
      <w:r w:rsidR="00011D56">
        <w:t>:</w:t>
      </w:r>
    </w:p>
    <w:p w14:paraId="23BB3649" w14:textId="3D8F85D0" w:rsidR="004F4F08" w:rsidRPr="00011D56" w:rsidRDefault="004F4F08" w:rsidP="004F4F08">
      <w:pPr>
        <w:pStyle w:val="NumPlain1"/>
        <w:numPr>
          <w:ilvl w:val="0"/>
          <w:numId w:val="0"/>
        </w:numPr>
        <w:ind w:left="1440" w:hanging="930"/>
      </w:pPr>
      <w:r w:rsidRPr="00011D56">
        <w:rPr>
          <w:szCs w:val="19"/>
        </w:rPr>
        <w:t>Aus25.2</w:t>
      </w:r>
      <w:r w:rsidRPr="00011D56">
        <w:rPr>
          <w:szCs w:val="19"/>
        </w:rPr>
        <w:tab/>
      </w:r>
      <w:r w:rsidR="009D7AF5" w:rsidRPr="00011D56">
        <w:rPr>
          <w:szCs w:val="19"/>
        </w:rPr>
        <w:t>Right-of-use assets arising under leases that ha</w:t>
      </w:r>
      <w:r w:rsidR="000F32D1" w:rsidRPr="00011D56">
        <w:rPr>
          <w:szCs w:val="19"/>
        </w:rPr>
        <w:t>ve</w:t>
      </w:r>
      <w:r w:rsidR="009D7AF5" w:rsidRPr="00011D56">
        <w:rPr>
          <w:szCs w:val="19"/>
        </w:rPr>
        <w:t xml:space="preserve"> significantly below-market terms and conditions principally to enable </w:t>
      </w:r>
      <w:r w:rsidR="0034180F" w:rsidRPr="00011D56">
        <w:rPr>
          <w:szCs w:val="19"/>
        </w:rPr>
        <w:t xml:space="preserve">a </w:t>
      </w:r>
      <w:r w:rsidR="004D4FC5" w:rsidRPr="00011D56">
        <w:rPr>
          <w:szCs w:val="19"/>
        </w:rPr>
        <w:t>not-for-profit</w:t>
      </w:r>
      <w:r w:rsidR="009D7AF5" w:rsidRPr="00011D56">
        <w:rPr>
          <w:szCs w:val="19"/>
        </w:rPr>
        <w:t xml:space="preserve"> entity to further its objectives may be treated as a separate class of right-of-use assets to right-of-use assets arising under other leases, despite their similar nature and use in the entity’s operations</w:t>
      </w:r>
      <w:r w:rsidRPr="00011D56">
        <w:t>.</w:t>
      </w:r>
      <w:r w:rsidR="009E76AE" w:rsidRPr="00011D56">
        <w:t xml:space="preserve"> </w:t>
      </w:r>
      <w:r w:rsidR="005C533B" w:rsidRPr="00011D56">
        <w:t xml:space="preserve">Identifying </w:t>
      </w:r>
      <w:r w:rsidR="000C454D" w:rsidRPr="00011D56">
        <w:t xml:space="preserve">separate </w:t>
      </w:r>
      <w:r w:rsidR="005C533B" w:rsidRPr="00011D56">
        <w:t xml:space="preserve">classes of </w:t>
      </w:r>
      <w:r w:rsidR="000C454D" w:rsidRPr="00011D56">
        <w:t xml:space="preserve">right-of-use assets despite their similar nature and use in the entity’s operations </w:t>
      </w:r>
      <w:r w:rsidR="002F3ED0" w:rsidRPr="00011D56">
        <w:t xml:space="preserve">applies </w:t>
      </w:r>
      <w:r w:rsidR="00E71159" w:rsidRPr="00011D56">
        <w:t>for the purposes of this Standard and other Standards that refer to class</w:t>
      </w:r>
      <w:r w:rsidR="00A13BFB" w:rsidRPr="00011D56">
        <w:t>es</w:t>
      </w:r>
      <w:r w:rsidR="00E71159" w:rsidRPr="00011D56">
        <w:t xml:space="preserve"> of assets. However, </w:t>
      </w:r>
      <w:r w:rsidR="00870C05" w:rsidRPr="00011D56">
        <w:t xml:space="preserve">this approach shall not be applied by analogy to </w:t>
      </w:r>
      <w:r w:rsidR="008F3EE8" w:rsidRPr="00011D56">
        <w:t xml:space="preserve">distinguish sub-classes of </w:t>
      </w:r>
      <w:r w:rsidR="00C05DCA" w:rsidRPr="00011D56">
        <w:t xml:space="preserve">other assets </w:t>
      </w:r>
      <w:r w:rsidR="00870C05" w:rsidRPr="00011D56">
        <w:t>as separate classes of assets.</w:t>
      </w:r>
    </w:p>
    <w:p w14:paraId="4EE28B61" w14:textId="77777777" w:rsidR="000B39A6" w:rsidRPr="004037F5" w:rsidRDefault="000B39A6" w:rsidP="000B39A6">
      <w:pPr>
        <w:pStyle w:val="IGpara1"/>
        <w:numPr>
          <w:ilvl w:val="0"/>
          <w:numId w:val="0"/>
        </w:numPr>
        <w:ind w:left="510"/>
      </w:pPr>
      <w:r>
        <w:t>…</w:t>
      </w:r>
    </w:p>
    <w:p w14:paraId="3E2544BE" w14:textId="7BBA70D0" w:rsidR="00BD6A0B" w:rsidRPr="00011D56" w:rsidRDefault="00BD6A0B" w:rsidP="00BD6A0B">
      <w:pPr>
        <w:pStyle w:val="NumPlain1"/>
        <w:numPr>
          <w:ilvl w:val="0"/>
          <w:numId w:val="0"/>
        </w:numPr>
        <w:ind w:left="1440" w:hanging="930"/>
      </w:pPr>
      <w:r w:rsidRPr="00011D56">
        <w:rPr>
          <w:szCs w:val="19"/>
        </w:rPr>
        <w:t>Aus35.1</w:t>
      </w:r>
      <w:r w:rsidRPr="00011D56">
        <w:rPr>
          <w:szCs w:val="19"/>
        </w:rPr>
        <w:tab/>
        <w:t xml:space="preserve">Notwithstanding </w:t>
      </w:r>
      <w:r w:rsidR="00A6142A" w:rsidRPr="00011D56">
        <w:rPr>
          <w:szCs w:val="19"/>
        </w:rPr>
        <w:t xml:space="preserve">paragraph 35, a not-for-profit public sector entity may elect to measure a class of right-of-use assets at cost or at fair value if the </w:t>
      </w:r>
      <w:r w:rsidR="00C7670C" w:rsidRPr="00011D56">
        <w:rPr>
          <w:szCs w:val="19"/>
        </w:rPr>
        <w:t>entity</w:t>
      </w:r>
      <w:r w:rsidR="00A6142A" w:rsidRPr="00011D56">
        <w:rPr>
          <w:szCs w:val="19"/>
        </w:rPr>
        <w:t xml:space="preserve"> applies the revaluation model in AASB 116 to the related class of property, plant and equipment</w:t>
      </w:r>
      <w:r w:rsidRPr="00011D56">
        <w:t>.</w:t>
      </w:r>
    </w:p>
    <w:p w14:paraId="7B805FE9" w14:textId="44A359F3" w:rsidR="004A3C2F" w:rsidRDefault="004A3C2F" w:rsidP="004A3C2F">
      <w:pPr>
        <w:pStyle w:val="Heading2"/>
      </w:pPr>
      <w:r>
        <w:lastRenderedPageBreak/>
        <w:t>Amendments to AASB 10</w:t>
      </w:r>
      <w:r w:rsidR="00117C39">
        <w:t>4</w:t>
      </w:r>
      <w:r>
        <w:t>9</w:t>
      </w:r>
    </w:p>
    <w:p w14:paraId="06EC7951" w14:textId="7BA06F42" w:rsidR="004A3C2F" w:rsidRDefault="004A3C2F" w:rsidP="008B756C">
      <w:pPr>
        <w:pStyle w:val="NumPlain1"/>
        <w:keepNext/>
        <w:keepLines/>
      </w:pPr>
      <w:r>
        <w:t xml:space="preserve">Paragraph </w:t>
      </w:r>
      <w:r w:rsidR="00AC1866">
        <w:t>13D is</w:t>
      </w:r>
      <w:r>
        <w:t xml:space="preserve"> amended as follows:</w:t>
      </w:r>
    </w:p>
    <w:p w14:paraId="6E65D0B7" w14:textId="03EE37B4" w:rsidR="00AE1E99" w:rsidRDefault="00AC1866" w:rsidP="0078175C">
      <w:pPr>
        <w:pStyle w:val="NumPlain1"/>
        <w:numPr>
          <w:ilvl w:val="0"/>
          <w:numId w:val="0"/>
        </w:numPr>
        <w:ind w:left="1440" w:hanging="930"/>
      </w:pPr>
      <w:r>
        <w:t>13D</w:t>
      </w:r>
      <w:r w:rsidR="008F0274">
        <w:tab/>
      </w:r>
      <w:r w:rsidR="0078175C" w:rsidRPr="0078175C">
        <w:t xml:space="preserve">Notwithstanding paragraph 13, a government may elect to measure a class of right-of-use assets </w:t>
      </w:r>
      <w:r w:rsidR="0078175C" w:rsidRPr="00E30E5F">
        <w:rPr>
          <w:strike/>
        </w:rPr>
        <w:t xml:space="preserve">at initial recognition </w:t>
      </w:r>
      <w:r w:rsidR="0078175C" w:rsidRPr="0078175C">
        <w:t xml:space="preserve">at cost or at fair value in accordance with AASB 16 </w:t>
      </w:r>
      <w:r w:rsidR="0078175C" w:rsidRPr="00E30E5F">
        <w:rPr>
          <w:i/>
          <w:iCs/>
        </w:rPr>
        <w:t>Leases</w:t>
      </w:r>
      <w:r w:rsidR="0078175C" w:rsidRPr="0078175C">
        <w:t xml:space="preserve"> for leases that had at inception significantly below-market terms and conditions principally to enable the entity to further its objectives</w:t>
      </w:r>
      <w:r w:rsidR="0078175C">
        <w:t>.</w:t>
      </w:r>
    </w:p>
    <w:p w14:paraId="7059F746" w14:textId="77777777" w:rsidR="004A3747" w:rsidRDefault="004A3747">
      <w:pPr>
        <w:pStyle w:val="Heading2"/>
      </w:pPr>
      <w:r>
        <w:t>Commencement of the legislative instrument</w:t>
      </w:r>
    </w:p>
    <w:p w14:paraId="2B347C28" w14:textId="5A881896" w:rsidR="000D582D" w:rsidRDefault="004A3747" w:rsidP="00074CB7">
      <w:pPr>
        <w:pStyle w:val="NumBold1"/>
        <w:tabs>
          <w:tab w:val="left" w:pos="783"/>
        </w:tabs>
        <w:jc w:val="left"/>
      </w:pPr>
      <w:r w:rsidRPr="00273B7F">
        <w:rPr>
          <w:b w:val="0"/>
        </w:rPr>
        <w:t xml:space="preserve">For legal purposes, this legislative instrument commences on </w:t>
      </w:r>
      <w:bookmarkStart w:id="16" w:name="CommenceDate"/>
      <w:r w:rsidRPr="00273B7F">
        <w:rPr>
          <w:b w:val="0"/>
        </w:rPr>
        <w:t>31 December 20</w:t>
      </w:r>
      <w:r w:rsidR="0025497B">
        <w:rPr>
          <w:b w:val="0"/>
        </w:rPr>
        <w:t>19</w:t>
      </w:r>
      <w:bookmarkEnd w:id="16"/>
      <w:r w:rsidRPr="00273B7F">
        <w:rPr>
          <w:b w:val="0"/>
        </w:rPr>
        <w:t>.</w:t>
      </w:r>
    </w:p>
    <w:p w14:paraId="52629D79" w14:textId="77777777" w:rsidR="004D5AD1" w:rsidRDefault="004D5AD1" w:rsidP="000D582D">
      <w:pPr>
        <w:tabs>
          <w:tab w:val="left" w:pos="783"/>
        </w:tabs>
      </w:pPr>
    </w:p>
    <w:p w14:paraId="68F67986" w14:textId="5CDAD678" w:rsidR="00A36A89" w:rsidRPr="000D582D" w:rsidRDefault="00A36A89" w:rsidP="000D582D">
      <w:pPr>
        <w:tabs>
          <w:tab w:val="left" w:pos="783"/>
        </w:tabs>
        <w:sectPr w:rsidR="00A36A89" w:rsidRPr="000D582D" w:rsidSect="00D74C6A">
          <w:footerReference w:type="default" r:id="rId12"/>
          <w:pgSz w:w="11907" w:h="16840" w:code="9"/>
          <w:pgMar w:top="1418" w:right="1418" w:bottom="1418" w:left="1418" w:header="709" w:footer="709" w:gutter="0"/>
          <w:paperSrc w:first="7" w:other="7"/>
          <w:cols w:space="720"/>
          <w:docGrid w:linePitch="65"/>
        </w:sectPr>
      </w:pPr>
    </w:p>
    <w:p w14:paraId="0C911E97" w14:textId="77777777" w:rsidR="004D5AD1" w:rsidRPr="00766E15" w:rsidRDefault="004D5AD1" w:rsidP="004D5AD1">
      <w:pPr>
        <w:pStyle w:val="ConvSectionTitle"/>
        <w:jc w:val="both"/>
      </w:pPr>
      <w:r w:rsidRPr="00766E15">
        <w:lastRenderedPageBreak/>
        <w:t xml:space="preserve">Basis for Conclusions </w:t>
      </w:r>
    </w:p>
    <w:p w14:paraId="364F3B88" w14:textId="66DBFA00" w:rsidR="004D5AD1" w:rsidRPr="00766E15" w:rsidRDefault="004D5AD1" w:rsidP="004D5AD1">
      <w:pPr>
        <w:pStyle w:val="AppendixNote"/>
        <w:spacing w:after="100"/>
      </w:pPr>
      <w:r w:rsidRPr="00766E15">
        <w:t xml:space="preserve">This Basis for Conclusions accompanies, but is not part of, </w:t>
      </w:r>
      <w:r>
        <w:t>AASB </w:t>
      </w:r>
      <w:fldSimple w:instr=" REF \* charformat DocNo ">
        <w:r w:rsidR="00933227">
          <w:t>2019-8</w:t>
        </w:r>
      </w:fldSimple>
      <w:r>
        <w:t xml:space="preserve"> </w:t>
      </w:r>
      <w:r>
        <w:rPr>
          <w:i w:val="0"/>
        </w:rPr>
        <w:fldChar w:fldCharType="begin"/>
      </w:r>
      <w:r>
        <w:rPr>
          <w:i w:val="0"/>
        </w:rPr>
        <w:instrText xml:space="preserve"> REF \* charformat DocTitle </w:instrText>
      </w:r>
      <w:r>
        <w:rPr>
          <w:i w:val="0"/>
        </w:rPr>
        <w:fldChar w:fldCharType="separate"/>
      </w:r>
      <w:r w:rsidR="00933227" w:rsidRPr="00933227">
        <w:rPr>
          <w:i w:val="0"/>
        </w:rPr>
        <w:t>Amendments to Australian Accounting Standards – Class of Right-of-Use Assets arising under Concessionary Leases</w:t>
      </w:r>
      <w:r>
        <w:rPr>
          <w:i w:val="0"/>
        </w:rPr>
        <w:fldChar w:fldCharType="end"/>
      </w:r>
      <w:r w:rsidRPr="00766E15">
        <w:t>.</w:t>
      </w:r>
    </w:p>
    <w:p w14:paraId="18AB9E7C" w14:textId="77777777" w:rsidR="004D5AD1" w:rsidRPr="00766E15" w:rsidRDefault="004D5AD1" w:rsidP="004D5AD1">
      <w:pPr>
        <w:pStyle w:val="IASBSectionTitle1NonInd"/>
        <w:jc w:val="both"/>
      </w:pPr>
      <w:r w:rsidRPr="00766E15">
        <w:t>Introduction</w:t>
      </w:r>
    </w:p>
    <w:p w14:paraId="0AEBB8DE" w14:textId="32DE3FD3" w:rsidR="004D5AD1" w:rsidRPr="00766E15" w:rsidRDefault="004D5AD1" w:rsidP="004D5AD1">
      <w:pPr>
        <w:pStyle w:val="NumBC1"/>
        <w:numPr>
          <w:ilvl w:val="0"/>
          <w:numId w:val="24"/>
        </w:numPr>
        <w:spacing w:before="0"/>
      </w:pPr>
      <w:r w:rsidRPr="00766E15">
        <w:t xml:space="preserve">This Basis for Conclusions summarises the Australian Accounting Standards Board’s considerations in reaching the conclusions </w:t>
      </w:r>
      <w:r>
        <w:t>i</w:t>
      </w:r>
      <w:r w:rsidRPr="00766E15">
        <w:t xml:space="preserve">n this </w:t>
      </w:r>
      <w:r>
        <w:t>Standard</w:t>
      </w:r>
      <w:r w:rsidR="00C1570C">
        <w:t xml:space="preserve">. </w:t>
      </w:r>
      <w:r w:rsidRPr="00766E15">
        <w:t xml:space="preserve">It sets out the reasons why the Board developed the </w:t>
      </w:r>
      <w:r>
        <w:t>Standard</w:t>
      </w:r>
      <w:r w:rsidRPr="00766E15">
        <w:t xml:space="preserve">, the approach taken to developing the </w:t>
      </w:r>
      <w:r>
        <w:t>Standard</w:t>
      </w:r>
      <w:r w:rsidRPr="00766E15">
        <w:t xml:space="preserve"> and the key decisions made</w:t>
      </w:r>
      <w:r w:rsidR="00C1570C">
        <w:t xml:space="preserve">. </w:t>
      </w:r>
      <w:r w:rsidRPr="00766E15">
        <w:t xml:space="preserve">In making decisions, individual Board members gave greater weight to some factors than to others. </w:t>
      </w:r>
    </w:p>
    <w:p w14:paraId="101FCA82" w14:textId="77777777" w:rsidR="004D5AD1" w:rsidRPr="00766E15" w:rsidRDefault="004D5AD1" w:rsidP="004D5AD1">
      <w:pPr>
        <w:pStyle w:val="IASBSectionTitle1NonInd"/>
        <w:jc w:val="both"/>
        <w:rPr>
          <w:iCs/>
        </w:rPr>
      </w:pPr>
      <w:r w:rsidRPr="00766E15">
        <w:t xml:space="preserve">Reasons for </w:t>
      </w:r>
      <w:r>
        <w:t>issuing this Standard</w:t>
      </w:r>
    </w:p>
    <w:p w14:paraId="5C73E0C5" w14:textId="068302EB" w:rsidR="002825C7" w:rsidRPr="00814610" w:rsidRDefault="002825C7" w:rsidP="002825C7">
      <w:pPr>
        <w:pStyle w:val="NoNumPlain1"/>
        <w:numPr>
          <w:ilvl w:val="0"/>
          <w:numId w:val="24"/>
        </w:numPr>
      </w:pPr>
      <w:r w:rsidRPr="00814610">
        <w:t xml:space="preserve">AASB 1058 </w:t>
      </w:r>
      <w:r w:rsidRPr="00814610">
        <w:rPr>
          <w:i/>
        </w:rPr>
        <w:t>Income of Not-for-Profit Entities</w:t>
      </w:r>
      <w:r w:rsidRPr="00814610">
        <w:t xml:space="preserve"> and AASB 16 </w:t>
      </w:r>
      <w:r w:rsidRPr="00814610">
        <w:rPr>
          <w:i/>
        </w:rPr>
        <w:t>Leases</w:t>
      </w:r>
      <w:r w:rsidRPr="00814610">
        <w:t xml:space="preserve"> are effective for annual reporting periods beginning on or after 1 January 2019. These Standards </w:t>
      </w:r>
      <w:r w:rsidR="00646BA3">
        <w:t xml:space="preserve">originally </w:t>
      </w:r>
      <w:r w:rsidRPr="00814610">
        <w:t>require</w:t>
      </w:r>
      <w:r w:rsidR="00646BA3">
        <w:t>d</w:t>
      </w:r>
      <w:r w:rsidRPr="00814610">
        <w:t xml:space="preserve"> not-for-profit entities to measure right-of-use assets at initial recognition at fair value </w:t>
      </w:r>
      <w:r>
        <w:t>for</w:t>
      </w:r>
      <w:r w:rsidRPr="00814610">
        <w:t xml:space="preserve"> leases that have significantly below-market terms and conditions principally to enable the entity to further its objectives. </w:t>
      </w:r>
    </w:p>
    <w:p w14:paraId="1378F2EA" w14:textId="77777777" w:rsidR="00987EC7" w:rsidRPr="00796082" w:rsidRDefault="00987EC7" w:rsidP="00987EC7">
      <w:pPr>
        <w:pStyle w:val="NoNumPlain1"/>
        <w:numPr>
          <w:ilvl w:val="0"/>
          <w:numId w:val="24"/>
        </w:numPr>
      </w:pPr>
      <w:r w:rsidRPr="00796082">
        <w:t xml:space="preserve">For ease of reference in this </w:t>
      </w:r>
      <w:r>
        <w:t>Basis for Conclusions</w:t>
      </w:r>
      <w:r w:rsidRPr="00796082">
        <w:t>, leases that have significantly below-market terms and conditions principally to enable the entity to further its objectives are referred to as ‘</w:t>
      </w:r>
      <w:r>
        <w:t>concessionary</w:t>
      </w:r>
      <w:r w:rsidRPr="00796082">
        <w:t xml:space="preserve"> leases’.</w:t>
      </w:r>
    </w:p>
    <w:p w14:paraId="4D18070F" w14:textId="33A51E2D" w:rsidR="00AB165C" w:rsidRPr="00983B56" w:rsidRDefault="00B00ACE" w:rsidP="006F11B2">
      <w:pPr>
        <w:pStyle w:val="NoNumPlain1"/>
        <w:numPr>
          <w:ilvl w:val="0"/>
          <w:numId w:val="24"/>
        </w:numPr>
        <w:rPr>
          <w:szCs w:val="19"/>
        </w:rPr>
      </w:pPr>
      <w:r>
        <w:t>The Board</w:t>
      </w:r>
      <w:r w:rsidRPr="006C4C6D">
        <w:t xml:space="preserve"> considered comments from stakeholders </w:t>
      </w:r>
      <w:r w:rsidR="00191815">
        <w:t xml:space="preserve">that </w:t>
      </w:r>
      <w:r w:rsidR="006C0912">
        <w:t>some</w:t>
      </w:r>
      <w:r w:rsidR="00191815">
        <w:t xml:space="preserve"> </w:t>
      </w:r>
      <w:r w:rsidRPr="006C4C6D">
        <w:t xml:space="preserve">not-for-profit </w:t>
      </w:r>
      <w:r w:rsidR="00191815">
        <w:t xml:space="preserve">entities are encountering </w:t>
      </w:r>
      <w:r w:rsidRPr="006C4C6D">
        <w:t xml:space="preserve">difficulties in </w:t>
      </w:r>
      <w:r>
        <w:t xml:space="preserve">applying the principles in AASB 13 </w:t>
      </w:r>
      <w:r w:rsidRPr="00983B56">
        <w:rPr>
          <w:i/>
        </w:rPr>
        <w:t>Fair Value Measurement</w:t>
      </w:r>
      <w:r>
        <w:t xml:space="preserve"> in </w:t>
      </w:r>
      <w:r w:rsidRPr="006C4C6D">
        <w:t>determining the fair value of right-of-use assets</w:t>
      </w:r>
      <w:r>
        <w:t xml:space="preserve"> arising under concessionary leases. </w:t>
      </w:r>
      <w:r w:rsidR="00AB165C" w:rsidRPr="00983B56">
        <w:rPr>
          <w:szCs w:val="19"/>
        </w:rPr>
        <w:t>The Board considered the prevalence and magnitude of concessionary leases in the not</w:t>
      </w:r>
      <w:r w:rsidR="00AB165C" w:rsidRPr="00983B56">
        <w:rPr>
          <w:szCs w:val="19"/>
        </w:rPr>
        <w:noBreakHyphen/>
        <w:t>for</w:t>
      </w:r>
      <w:r w:rsidR="00AB165C" w:rsidRPr="00983B56">
        <w:rPr>
          <w:szCs w:val="19"/>
        </w:rPr>
        <w:noBreakHyphen/>
        <w:t>profit sector</w:t>
      </w:r>
      <w:r w:rsidR="00904BE4" w:rsidRPr="00983B56">
        <w:rPr>
          <w:szCs w:val="19"/>
        </w:rPr>
        <w:t>,</w:t>
      </w:r>
      <w:r w:rsidR="0006195F" w:rsidRPr="00983B56">
        <w:rPr>
          <w:szCs w:val="19"/>
        </w:rPr>
        <w:t xml:space="preserve"> and</w:t>
      </w:r>
      <w:r w:rsidR="00A03279" w:rsidRPr="00983B56">
        <w:rPr>
          <w:szCs w:val="19"/>
        </w:rPr>
        <w:t xml:space="preserve"> in December 2018</w:t>
      </w:r>
      <w:r w:rsidR="00AB165C" w:rsidRPr="00983B56">
        <w:rPr>
          <w:szCs w:val="19"/>
        </w:rPr>
        <w:t xml:space="preserve"> </w:t>
      </w:r>
      <w:r w:rsidR="00904BE4" w:rsidRPr="00983B56">
        <w:rPr>
          <w:szCs w:val="19"/>
        </w:rPr>
        <w:t xml:space="preserve">issued AASB 2018-8 </w:t>
      </w:r>
      <w:r w:rsidR="00925220" w:rsidRPr="00983B56">
        <w:rPr>
          <w:i/>
          <w:iCs/>
          <w:szCs w:val="19"/>
        </w:rPr>
        <w:t>Amendments to Australian Accounting Standards – Right-of-Use Assets of Not-for-Profit Entities</w:t>
      </w:r>
      <w:r w:rsidR="00925220" w:rsidRPr="00983B56">
        <w:rPr>
          <w:szCs w:val="19"/>
        </w:rPr>
        <w:t xml:space="preserve"> to provide </w:t>
      </w:r>
      <w:r w:rsidR="00AB165C" w:rsidRPr="00983B56">
        <w:rPr>
          <w:szCs w:val="19"/>
        </w:rPr>
        <w:t>a temporary option for not-for-profit lessees to measure a class (or classes) of right</w:t>
      </w:r>
      <w:r w:rsidR="00AB165C" w:rsidRPr="00983B56">
        <w:rPr>
          <w:szCs w:val="19"/>
        </w:rPr>
        <w:noBreakHyphen/>
        <w:t>of</w:t>
      </w:r>
      <w:r w:rsidR="00AB165C" w:rsidRPr="00983B56">
        <w:rPr>
          <w:szCs w:val="19"/>
        </w:rPr>
        <w:noBreakHyphen/>
        <w:t>use assets at initial recognition at</w:t>
      </w:r>
      <w:r w:rsidR="00925220" w:rsidRPr="00983B56">
        <w:rPr>
          <w:szCs w:val="19"/>
        </w:rPr>
        <w:t xml:space="preserve"> cost or at</w:t>
      </w:r>
      <w:r w:rsidR="00AB165C" w:rsidRPr="00983B56">
        <w:rPr>
          <w:szCs w:val="19"/>
        </w:rPr>
        <w:t xml:space="preserve"> fair value </w:t>
      </w:r>
      <w:r w:rsidR="00983B56" w:rsidRPr="00983B56">
        <w:rPr>
          <w:szCs w:val="19"/>
        </w:rPr>
        <w:t>arising under</w:t>
      </w:r>
      <w:r w:rsidR="00AB165C" w:rsidRPr="00983B56">
        <w:rPr>
          <w:szCs w:val="19"/>
        </w:rPr>
        <w:t xml:space="preserve"> concessionary leases</w:t>
      </w:r>
      <w:r w:rsidR="00983B56" w:rsidRPr="00983B56">
        <w:rPr>
          <w:szCs w:val="19"/>
        </w:rPr>
        <w:t>.</w:t>
      </w:r>
      <w:r w:rsidR="00AB165C" w:rsidRPr="00983B56">
        <w:rPr>
          <w:szCs w:val="19"/>
        </w:rPr>
        <w:t xml:space="preserve"> </w:t>
      </w:r>
    </w:p>
    <w:p w14:paraId="3808D2C5" w14:textId="326B351F" w:rsidR="001D666B" w:rsidRDefault="00712BDB" w:rsidP="00B00ACE">
      <w:pPr>
        <w:pStyle w:val="NoNumPlain1"/>
        <w:numPr>
          <w:ilvl w:val="0"/>
          <w:numId w:val="24"/>
        </w:numPr>
        <w:rPr>
          <w:szCs w:val="19"/>
        </w:rPr>
      </w:pPr>
      <w:r>
        <w:rPr>
          <w:szCs w:val="19"/>
        </w:rPr>
        <w:t>Subsequently t</w:t>
      </w:r>
      <w:r w:rsidR="00C03155">
        <w:rPr>
          <w:szCs w:val="19"/>
        </w:rPr>
        <w:t xml:space="preserve">he Board </w:t>
      </w:r>
      <w:r w:rsidR="00ED0834">
        <w:rPr>
          <w:szCs w:val="19"/>
        </w:rPr>
        <w:t xml:space="preserve">received </w:t>
      </w:r>
      <w:r w:rsidR="00ED0834" w:rsidRPr="00ED0834">
        <w:rPr>
          <w:szCs w:val="19"/>
        </w:rPr>
        <w:t xml:space="preserve">feedback that public sector entities </w:t>
      </w:r>
      <w:r w:rsidR="003A7804">
        <w:rPr>
          <w:szCs w:val="19"/>
        </w:rPr>
        <w:t xml:space="preserve">preparing Whole of </w:t>
      </w:r>
      <w:r w:rsidR="00C526A9">
        <w:rPr>
          <w:szCs w:val="19"/>
        </w:rPr>
        <w:t>G</w:t>
      </w:r>
      <w:r w:rsidR="003A7804">
        <w:rPr>
          <w:szCs w:val="19"/>
        </w:rPr>
        <w:t xml:space="preserve">overnment and General Government Sector financial statements </w:t>
      </w:r>
      <w:r w:rsidR="00ED0834" w:rsidRPr="00ED0834">
        <w:rPr>
          <w:szCs w:val="19"/>
        </w:rPr>
        <w:t xml:space="preserve">would need to revalue their </w:t>
      </w:r>
      <w:r w:rsidR="00272654">
        <w:rPr>
          <w:szCs w:val="19"/>
        </w:rPr>
        <w:t>right-of-use</w:t>
      </w:r>
      <w:r w:rsidR="00ED0834" w:rsidRPr="00ED0834">
        <w:rPr>
          <w:szCs w:val="19"/>
        </w:rPr>
        <w:t xml:space="preserve"> assets </w:t>
      </w:r>
      <w:r w:rsidR="00272654">
        <w:rPr>
          <w:szCs w:val="19"/>
        </w:rPr>
        <w:t xml:space="preserve">arising </w:t>
      </w:r>
      <w:r w:rsidR="00ED0834" w:rsidRPr="00ED0834">
        <w:rPr>
          <w:szCs w:val="19"/>
        </w:rPr>
        <w:t xml:space="preserve">under concessionary leases (and other leases) at fair value at subsequent measurement to satisfy the requirements </w:t>
      </w:r>
      <w:r w:rsidR="006903CE">
        <w:rPr>
          <w:szCs w:val="19"/>
        </w:rPr>
        <w:t xml:space="preserve">of </w:t>
      </w:r>
      <w:r w:rsidR="00ED0834" w:rsidRPr="00ED0834">
        <w:rPr>
          <w:szCs w:val="19"/>
        </w:rPr>
        <w:t xml:space="preserve">AASB 1049 </w:t>
      </w:r>
      <w:r w:rsidR="00272654" w:rsidRPr="00D3211B">
        <w:rPr>
          <w:i/>
          <w:iCs/>
        </w:rPr>
        <w:t>Whole of Government and General Government Sector Financial Reporting</w:t>
      </w:r>
      <w:r w:rsidR="00272654" w:rsidRPr="00D3211B">
        <w:t xml:space="preserve"> </w:t>
      </w:r>
      <w:r w:rsidR="00ED0834" w:rsidRPr="00ED0834">
        <w:rPr>
          <w:szCs w:val="19"/>
        </w:rPr>
        <w:t xml:space="preserve">to elect accounting treatments in Accounting Standards that align with the principles in the ABS GFS Manual. </w:t>
      </w:r>
      <w:r w:rsidR="00EF010B">
        <w:rPr>
          <w:szCs w:val="19"/>
        </w:rPr>
        <w:t xml:space="preserve">The Board considered </w:t>
      </w:r>
      <w:r w:rsidR="006166AF">
        <w:rPr>
          <w:szCs w:val="19"/>
        </w:rPr>
        <w:t xml:space="preserve">the issue and decided </w:t>
      </w:r>
      <w:r w:rsidR="00F5444A">
        <w:rPr>
          <w:szCs w:val="19"/>
        </w:rPr>
        <w:t>to</w:t>
      </w:r>
      <w:r w:rsidR="00757CE5">
        <w:rPr>
          <w:szCs w:val="19"/>
        </w:rPr>
        <w:t xml:space="preserve"> </w:t>
      </w:r>
      <w:r w:rsidR="006166AF" w:rsidRPr="006166AF">
        <w:rPr>
          <w:szCs w:val="19"/>
        </w:rPr>
        <w:t xml:space="preserve">provide an option for the Whole of Government and the General Government Sector to measure </w:t>
      </w:r>
      <w:r w:rsidR="00416B0E">
        <w:rPr>
          <w:szCs w:val="19"/>
        </w:rPr>
        <w:t>right-of-use</w:t>
      </w:r>
      <w:r w:rsidR="006166AF" w:rsidRPr="006166AF">
        <w:rPr>
          <w:szCs w:val="19"/>
        </w:rPr>
        <w:t xml:space="preserve"> assets arising under concessionary leases at cost or at fair value in subsequent measurements</w:t>
      </w:r>
      <w:r w:rsidR="00E67045">
        <w:rPr>
          <w:szCs w:val="19"/>
        </w:rPr>
        <w:t xml:space="preserve">, which is an extension </w:t>
      </w:r>
      <w:r w:rsidR="007D19B2">
        <w:rPr>
          <w:szCs w:val="19"/>
        </w:rPr>
        <w:t xml:space="preserve">of the </w:t>
      </w:r>
      <w:r w:rsidR="006667AC">
        <w:rPr>
          <w:szCs w:val="19"/>
        </w:rPr>
        <w:t>existing</w:t>
      </w:r>
      <w:r w:rsidR="00E67045">
        <w:rPr>
          <w:szCs w:val="19"/>
        </w:rPr>
        <w:t xml:space="preserve"> temporary relief </w:t>
      </w:r>
      <w:r w:rsidR="00A77D9C">
        <w:rPr>
          <w:szCs w:val="19"/>
        </w:rPr>
        <w:t>provided in AASB</w:t>
      </w:r>
      <w:r w:rsidR="00A11E84">
        <w:rPr>
          <w:szCs w:val="19"/>
        </w:rPr>
        <w:t> </w:t>
      </w:r>
      <w:r w:rsidR="00A77D9C">
        <w:rPr>
          <w:szCs w:val="19"/>
        </w:rPr>
        <w:t>2018</w:t>
      </w:r>
      <w:r w:rsidR="00CF7AC4">
        <w:rPr>
          <w:szCs w:val="19"/>
        </w:rPr>
        <w:noBreakHyphen/>
        <w:t>8</w:t>
      </w:r>
      <w:r w:rsidR="00A77D9C">
        <w:rPr>
          <w:szCs w:val="19"/>
        </w:rPr>
        <w:t xml:space="preserve"> </w:t>
      </w:r>
      <w:r w:rsidR="00E67045">
        <w:rPr>
          <w:szCs w:val="19"/>
        </w:rPr>
        <w:t>in relation to initial recognition</w:t>
      </w:r>
      <w:r w:rsidR="00F84C17">
        <w:rPr>
          <w:szCs w:val="19"/>
        </w:rPr>
        <w:t>.</w:t>
      </w:r>
    </w:p>
    <w:p w14:paraId="14F5D0F2" w14:textId="16E48611" w:rsidR="00B00ACE" w:rsidRPr="00A66BEE" w:rsidRDefault="00ED0834" w:rsidP="00B00ACE">
      <w:pPr>
        <w:pStyle w:val="NoNumPlain1"/>
        <w:numPr>
          <w:ilvl w:val="0"/>
          <w:numId w:val="24"/>
        </w:numPr>
        <w:rPr>
          <w:szCs w:val="19"/>
        </w:rPr>
      </w:pPr>
      <w:r w:rsidRPr="00ED0834">
        <w:rPr>
          <w:szCs w:val="19"/>
        </w:rPr>
        <w:t xml:space="preserve">Stakeholders also requested clarification of whether </w:t>
      </w:r>
      <w:r w:rsidR="00DE28F5">
        <w:rPr>
          <w:szCs w:val="19"/>
        </w:rPr>
        <w:t>right-of-use</w:t>
      </w:r>
      <w:r w:rsidRPr="00ED0834">
        <w:rPr>
          <w:szCs w:val="19"/>
        </w:rPr>
        <w:t xml:space="preserve"> assets arising under concessionary leases can be treated as a separate class of </w:t>
      </w:r>
      <w:r w:rsidR="00DE28F5">
        <w:rPr>
          <w:szCs w:val="19"/>
        </w:rPr>
        <w:t xml:space="preserve">right-of-use </w:t>
      </w:r>
      <w:r w:rsidRPr="00ED0834">
        <w:rPr>
          <w:szCs w:val="19"/>
        </w:rPr>
        <w:t xml:space="preserve">assets </w:t>
      </w:r>
      <w:r w:rsidR="00A36A89">
        <w:rPr>
          <w:szCs w:val="19"/>
        </w:rPr>
        <w:t xml:space="preserve">to </w:t>
      </w:r>
      <w:r w:rsidR="005024F1">
        <w:rPr>
          <w:szCs w:val="19"/>
        </w:rPr>
        <w:t>right-of-use</w:t>
      </w:r>
      <w:r w:rsidRPr="00ED0834">
        <w:rPr>
          <w:szCs w:val="19"/>
        </w:rPr>
        <w:t xml:space="preserve"> assets arising </w:t>
      </w:r>
      <w:r w:rsidR="00933664">
        <w:rPr>
          <w:szCs w:val="19"/>
        </w:rPr>
        <w:t>under</w:t>
      </w:r>
      <w:r w:rsidRPr="00ED0834">
        <w:rPr>
          <w:szCs w:val="19"/>
        </w:rPr>
        <w:t xml:space="preserve"> other leases</w:t>
      </w:r>
      <w:r w:rsidR="004764B8">
        <w:rPr>
          <w:szCs w:val="19"/>
        </w:rPr>
        <w:t xml:space="preserve"> </w:t>
      </w:r>
      <w:r w:rsidR="00090FB8">
        <w:rPr>
          <w:szCs w:val="19"/>
        </w:rPr>
        <w:t xml:space="preserve">so that entities can </w:t>
      </w:r>
      <w:r w:rsidR="00E714B5">
        <w:rPr>
          <w:szCs w:val="19"/>
        </w:rPr>
        <w:t xml:space="preserve">have the option to </w:t>
      </w:r>
      <w:r w:rsidR="00090FB8">
        <w:rPr>
          <w:szCs w:val="19"/>
        </w:rPr>
        <w:t xml:space="preserve">measure </w:t>
      </w:r>
      <w:r w:rsidR="00B03CAF">
        <w:rPr>
          <w:szCs w:val="19"/>
        </w:rPr>
        <w:t xml:space="preserve">right-of-use assets arising under concessionary leases </w:t>
      </w:r>
      <w:r w:rsidR="004E06C5">
        <w:rPr>
          <w:szCs w:val="19"/>
        </w:rPr>
        <w:t xml:space="preserve">under a different basis </w:t>
      </w:r>
      <w:r w:rsidR="00E714B5">
        <w:rPr>
          <w:szCs w:val="19"/>
        </w:rPr>
        <w:t>to right-of-use assets arising under other leases</w:t>
      </w:r>
      <w:r w:rsidR="00C1570C">
        <w:rPr>
          <w:szCs w:val="19"/>
        </w:rPr>
        <w:t xml:space="preserve">. </w:t>
      </w:r>
      <w:r w:rsidR="00AB34F7">
        <w:rPr>
          <w:szCs w:val="19"/>
        </w:rPr>
        <w:t xml:space="preserve">The Board decided to </w:t>
      </w:r>
      <w:r w:rsidR="00A10201">
        <w:rPr>
          <w:szCs w:val="19"/>
        </w:rPr>
        <w:t xml:space="preserve">amend the Standards to </w:t>
      </w:r>
      <w:r w:rsidR="00AB34F7">
        <w:rPr>
          <w:szCs w:val="19"/>
        </w:rPr>
        <w:t xml:space="preserve">clarify </w:t>
      </w:r>
      <w:r w:rsidR="00952702">
        <w:rPr>
          <w:szCs w:val="19"/>
        </w:rPr>
        <w:t>this.</w:t>
      </w:r>
    </w:p>
    <w:p w14:paraId="14B59034" w14:textId="55E1C3EC" w:rsidR="00534E7B" w:rsidRPr="00766E15" w:rsidRDefault="00AC0E2E" w:rsidP="00534E7B">
      <w:pPr>
        <w:pStyle w:val="IASBSectionTitle1NonInd"/>
        <w:jc w:val="both"/>
        <w:rPr>
          <w:iCs/>
        </w:rPr>
      </w:pPr>
      <w:r>
        <w:t>Subsequent measurement of right-of-use assets of W</w:t>
      </w:r>
      <w:r w:rsidR="00E018E5">
        <w:t>hole of Government</w:t>
      </w:r>
      <w:r>
        <w:t xml:space="preserve"> and G</w:t>
      </w:r>
      <w:r w:rsidR="00E018E5">
        <w:t xml:space="preserve">eneral </w:t>
      </w:r>
      <w:r>
        <w:t>G</w:t>
      </w:r>
      <w:r w:rsidR="00E018E5">
        <w:t xml:space="preserve">overnment </w:t>
      </w:r>
      <w:r>
        <w:t>S</w:t>
      </w:r>
      <w:r w:rsidR="00E018E5">
        <w:t>ector</w:t>
      </w:r>
    </w:p>
    <w:p w14:paraId="5484EC5D" w14:textId="51261085" w:rsidR="006E14BF" w:rsidRPr="00823201" w:rsidRDefault="006F30E3" w:rsidP="006E14BF">
      <w:pPr>
        <w:pStyle w:val="NoNumPlain1"/>
        <w:numPr>
          <w:ilvl w:val="0"/>
          <w:numId w:val="24"/>
        </w:numPr>
      </w:pPr>
      <w:r w:rsidRPr="00823201">
        <w:t xml:space="preserve">The Board received feedback from stakeholders that </w:t>
      </w:r>
      <w:r w:rsidR="006E14BF" w:rsidRPr="00823201">
        <w:t xml:space="preserve">public sector entities apply the revaluation model in AASB 116 </w:t>
      </w:r>
      <w:r w:rsidR="006E14BF" w:rsidRPr="00823201">
        <w:rPr>
          <w:i/>
          <w:iCs/>
        </w:rPr>
        <w:t>Property, Plant and Equipment</w:t>
      </w:r>
      <w:r w:rsidR="006E14BF" w:rsidRPr="00823201">
        <w:t xml:space="preserve"> to measure their </w:t>
      </w:r>
      <w:r w:rsidRPr="00823201">
        <w:t>property, plant and equipment</w:t>
      </w:r>
      <w:r w:rsidR="006E14BF" w:rsidRPr="00823201">
        <w:t xml:space="preserve"> at fair value to align with Government Finance Statistics (GFS) principles (</w:t>
      </w:r>
      <w:proofErr w:type="spellStart"/>
      <w:r w:rsidR="006E14BF" w:rsidRPr="00823201">
        <w:t>ie</w:t>
      </w:r>
      <w:proofErr w:type="spellEnd"/>
      <w:r w:rsidR="006E14BF" w:rsidRPr="00823201">
        <w:t xml:space="preserve"> measurement of assets at current market value). </w:t>
      </w:r>
      <w:r w:rsidR="00A437A0" w:rsidRPr="00823201">
        <w:t>They are concerned</w:t>
      </w:r>
      <w:r w:rsidR="006E14BF" w:rsidRPr="00823201">
        <w:t xml:space="preserve"> that, to satisfy </w:t>
      </w:r>
      <w:r w:rsidR="00591E2A" w:rsidRPr="00823201">
        <w:t xml:space="preserve">the requirements in </w:t>
      </w:r>
      <w:r w:rsidR="006E14BF" w:rsidRPr="00823201">
        <w:t>paragraph 13</w:t>
      </w:r>
      <w:r w:rsidR="00D94C8C" w:rsidRPr="00823201">
        <w:t xml:space="preserve"> of AASB 1049</w:t>
      </w:r>
      <w:r w:rsidR="006E14BF" w:rsidRPr="00823201">
        <w:t xml:space="preserve">, public sector entities would </w:t>
      </w:r>
      <w:r w:rsidR="00BD1CBA" w:rsidRPr="00823201">
        <w:t xml:space="preserve">be required </w:t>
      </w:r>
      <w:r w:rsidR="006E14BF" w:rsidRPr="00823201">
        <w:t xml:space="preserve">to </w:t>
      </w:r>
      <w:r w:rsidR="00E81064" w:rsidRPr="00823201">
        <w:t xml:space="preserve">also </w:t>
      </w:r>
      <w:r w:rsidR="00743891">
        <w:t>apply</w:t>
      </w:r>
      <w:r w:rsidR="00BD1CBA" w:rsidRPr="00823201">
        <w:t xml:space="preserve"> the revaluation model </w:t>
      </w:r>
      <w:r w:rsidR="00E81064" w:rsidRPr="00823201">
        <w:t>to measure</w:t>
      </w:r>
      <w:r w:rsidR="006E14BF" w:rsidRPr="00823201">
        <w:t xml:space="preserve"> </w:t>
      </w:r>
      <w:r w:rsidR="0054104F" w:rsidRPr="00823201">
        <w:t xml:space="preserve">right-of-use </w:t>
      </w:r>
      <w:r w:rsidR="006E14BF" w:rsidRPr="00823201">
        <w:t xml:space="preserve">assets </w:t>
      </w:r>
      <w:r w:rsidR="0054104F" w:rsidRPr="00823201">
        <w:t xml:space="preserve">arising </w:t>
      </w:r>
      <w:r w:rsidR="006E14BF" w:rsidRPr="00823201">
        <w:t>under concessionary leases at fair value at subsequent measurement</w:t>
      </w:r>
      <w:r w:rsidR="00274E3A">
        <w:t>.</w:t>
      </w:r>
    </w:p>
    <w:p w14:paraId="20D4905E" w14:textId="53EA4193" w:rsidR="00132493" w:rsidRDefault="001B5A81" w:rsidP="006E14BF">
      <w:pPr>
        <w:pStyle w:val="NoNumPlain1"/>
        <w:numPr>
          <w:ilvl w:val="0"/>
          <w:numId w:val="24"/>
        </w:numPr>
      </w:pPr>
      <w:r>
        <w:t>As stated</w:t>
      </w:r>
      <w:r w:rsidR="00E47DB7">
        <w:t xml:space="preserve"> </w:t>
      </w:r>
      <w:r w:rsidR="0064679D">
        <w:t xml:space="preserve">in paragraph BC6 of </w:t>
      </w:r>
      <w:r w:rsidR="00E47DB7" w:rsidRPr="00E47DB7">
        <w:t>AASB 2018-8</w:t>
      </w:r>
      <w:r w:rsidR="00D2526C">
        <w:t xml:space="preserve">, </w:t>
      </w:r>
      <w:r w:rsidR="002E7C5A">
        <w:t>temporarily</w:t>
      </w:r>
      <w:r w:rsidR="003970E7">
        <w:t xml:space="preserve"> permit</w:t>
      </w:r>
      <w:r w:rsidR="002E7C5A">
        <w:t>ting</w:t>
      </w:r>
      <w:r w:rsidR="003970E7">
        <w:t xml:space="preserve"> n</w:t>
      </w:r>
      <w:r w:rsidR="005D37EF">
        <w:t>ot</w:t>
      </w:r>
      <w:r w:rsidR="002F6E2C">
        <w:noBreakHyphen/>
      </w:r>
      <w:r w:rsidR="005D37EF">
        <w:t>for</w:t>
      </w:r>
      <w:r w:rsidR="002F6E2C">
        <w:noBreakHyphen/>
      </w:r>
      <w:r w:rsidR="005D37EF">
        <w:t>profit</w:t>
      </w:r>
      <w:r w:rsidR="00E47DB7" w:rsidRPr="00E47DB7">
        <w:t xml:space="preserve"> entities</w:t>
      </w:r>
      <w:r w:rsidR="00A10BA6">
        <w:t xml:space="preserve"> </w:t>
      </w:r>
      <w:r w:rsidR="00E47DB7" w:rsidRPr="00E47DB7">
        <w:t xml:space="preserve">to </w:t>
      </w:r>
      <w:r w:rsidR="003970E7">
        <w:t>elect</w:t>
      </w:r>
      <w:r w:rsidR="00E23C0C">
        <w:t xml:space="preserve"> </w:t>
      </w:r>
      <w:r w:rsidR="00E47DB7" w:rsidRPr="00E47DB7">
        <w:t xml:space="preserve">to measure </w:t>
      </w:r>
      <w:r w:rsidR="005D37EF">
        <w:t xml:space="preserve">right-of-use </w:t>
      </w:r>
      <w:r w:rsidR="00E47DB7" w:rsidRPr="00E47DB7">
        <w:t xml:space="preserve">assets </w:t>
      </w:r>
      <w:r w:rsidR="005D37EF">
        <w:t xml:space="preserve">arising </w:t>
      </w:r>
      <w:r w:rsidR="00E47DB7" w:rsidRPr="00E47DB7">
        <w:t xml:space="preserve">under concessionary leases at either cost or fair value at initial recognition </w:t>
      </w:r>
      <w:r w:rsidR="0059055D">
        <w:t xml:space="preserve">was intended </w:t>
      </w:r>
      <w:r w:rsidR="00E47DB7" w:rsidRPr="00E47DB7">
        <w:t xml:space="preserve">to avoid </w:t>
      </w:r>
      <w:r w:rsidR="000926C8">
        <w:t>not-for-profit</w:t>
      </w:r>
      <w:r w:rsidR="00E47DB7" w:rsidRPr="00E47DB7">
        <w:t xml:space="preserve"> entities</w:t>
      </w:r>
      <w:r w:rsidR="00AA1841">
        <w:t>, including those in the public sector,</w:t>
      </w:r>
      <w:r w:rsidR="00E47DB7" w:rsidRPr="00E47DB7">
        <w:t xml:space="preserve"> incurring undue cost and effort in applying the principles of AASB 13 to measure </w:t>
      </w:r>
      <w:r w:rsidR="000926C8">
        <w:t>the fair value of right-of-use</w:t>
      </w:r>
      <w:r w:rsidR="00E47DB7" w:rsidRPr="00E47DB7">
        <w:t xml:space="preserve"> assets </w:t>
      </w:r>
      <w:r w:rsidR="00F266AE">
        <w:t xml:space="preserve">arising under </w:t>
      </w:r>
      <w:r w:rsidR="00F266AE">
        <w:lastRenderedPageBreak/>
        <w:t xml:space="preserve">concessionary leases </w:t>
      </w:r>
      <w:r w:rsidR="00E47DB7" w:rsidRPr="00E47DB7">
        <w:t>in the absence of further guidance on fair value measurement</w:t>
      </w:r>
      <w:r w:rsidR="00E053DA">
        <w:t xml:space="preserve">. </w:t>
      </w:r>
      <w:r w:rsidR="00E10446">
        <w:t xml:space="preserve">However, </w:t>
      </w:r>
      <w:r w:rsidR="0027486A">
        <w:t xml:space="preserve">stakeholders </w:t>
      </w:r>
      <w:r w:rsidR="00DF4F76">
        <w:t>commented</w:t>
      </w:r>
      <w:r w:rsidR="00E10446">
        <w:t xml:space="preserve"> that </w:t>
      </w:r>
      <w:r w:rsidR="00E47DB7" w:rsidRPr="00E47DB7">
        <w:t>limiting the relief only to initial measurement d</w:t>
      </w:r>
      <w:r w:rsidR="00AD168E">
        <w:t>id</w:t>
      </w:r>
      <w:r w:rsidR="00E47DB7" w:rsidRPr="00E47DB7">
        <w:t xml:space="preserve"> not appear to have achieved th</w:t>
      </w:r>
      <w:r w:rsidR="00E10446">
        <w:t>is</w:t>
      </w:r>
      <w:r w:rsidR="00DF4F76">
        <w:t xml:space="preserve"> for public sector not-for-profit entities</w:t>
      </w:r>
      <w:r w:rsidR="006E14BF">
        <w:t xml:space="preserve">. </w:t>
      </w:r>
    </w:p>
    <w:p w14:paraId="3065DAF9" w14:textId="01A58DA5" w:rsidR="000457D7" w:rsidRPr="005403E1" w:rsidRDefault="00C742DD" w:rsidP="00C742DD">
      <w:pPr>
        <w:pStyle w:val="ListParagraph"/>
        <w:numPr>
          <w:ilvl w:val="0"/>
          <w:numId w:val="24"/>
        </w:numPr>
        <w:jc w:val="both"/>
        <w:rPr>
          <w:sz w:val="19"/>
          <w:szCs w:val="19"/>
          <w:lang w:eastAsia="en-US"/>
        </w:rPr>
      </w:pPr>
      <w:r w:rsidRPr="005403E1">
        <w:rPr>
          <w:sz w:val="19"/>
          <w:szCs w:val="19"/>
          <w:lang w:eastAsia="en-US"/>
        </w:rPr>
        <w:t xml:space="preserve">The </w:t>
      </w:r>
      <w:r w:rsidR="00D04D12" w:rsidRPr="005403E1">
        <w:rPr>
          <w:sz w:val="19"/>
          <w:szCs w:val="19"/>
          <w:lang w:eastAsia="en-US"/>
        </w:rPr>
        <w:t xml:space="preserve">Board noted that there </w:t>
      </w:r>
      <w:r w:rsidR="000A7D53" w:rsidRPr="005403E1">
        <w:rPr>
          <w:sz w:val="19"/>
          <w:szCs w:val="19"/>
          <w:lang w:eastAsia="en-US"/>
        </w:rPr>
        <w:t>is</w:t>
      </w:r>
      <w:r w:rsidR="00D04D12" w:rsidRPr="005403E1">
        <w:rPr>
          <w:sz w:val="19"/>
          <w:szCs w:val="19"/>
          <w:lang w:eastAsia="en-US"/>
        </w:rPr>
        <w:t xml:space="preserve"> precedent for deferring measurement requirements for the not</w:t>
      </w:r>
      <w:r w:rsidR="00A23E31" w:rsidRPr="005403E1">
        <w:rPr>
          <w:sz w:val="19"/>
          <w:szCs w:val="19"/>
          <w:lang w:eastAsia="en-US"/>
        </w:rPr>
        <w:noBreakHyphen/>
      </w:r>
      <w:r w:rsidR="00D04D12" w:rsidRPr="005403E1">
        <w:rPr>
          <w:sz w:val="19"/>
          <w:szCs w:val="19"/>
          <w:lang w:eastAsia="en-US"/>
        </w:rPr>
        <w:t>for</w:t>
      </w:r>
      <w:r w:rsidR="00A23E31" w:rsidRPr="005403E1">
        <w:rPr>
          <w:sz w:val="19"/>
          <w:szCs w:val="19"/>
          <w:lang w:eastAsia="en-US"/>
        </w:rPr>
        <w:noBreakHyphen/>
      </w:r>
      <w:r w:rsidR="00D04D12" w:rsidRPr="005403E1">
        <w:rPr>
          <w:sz w:val="19"/>
          <w:szCs w:val="19"/>
          <w:lang w:eastAsia="en-US"/>
        </w:rPr>
        <w:t>profit public sector.</w:t>
      </w:r>
      <w:r w:rsidRPr="005403E1">
        <w:rPr>
          <w:sz w:val="19"/>
          <w:szCs w:val="19"/>
          <w:lang w:eastAsia="en-US"/>
        </w:rPr>
        <w:t xml:space="preserve"> </w:t>
      </w:r>
      <w:r w:rsidR="000457D7" w:rsidRPr="005403E1">
        <w:rPr>
          <w:sz w:val="19"/>
          <w:szCs w:val="19"/>
        </w:rPr>
        <w:t>For example, the Board defer</w:t>
      </w:r>
      <w:r w:rsidR="00377C5E" w:rsidRPr="005403E1">
        <w:rPr>
          <w:sz w:val="19"/>
          <w:szCs w:val="19"/>
        </w:rPr>
        <w:t>red</w:t>
      </w:r>
      <w:r w:rsidR="000457D7" w:rsidRPr="005403E1">
        <w:rPr>
          <w:sz w:val="19"/>
          <w:szCs w:val="19"/>
        </w:rPr>
        <w:t xml:space="preserve"> the requirement to recognise defence weapons platforms at fair value when the </w:t>
      </w:r>
      <w:r w:rsidR="00D311B8" w:rsidRPr="005403E1">
        <w:rPr>
          <w:sz w:val="19"/>
          <w:szCs w:val="19"/>
        </w:rPr>
        <w:t xml:space="preserve">ABS </w:t>
      </w:r>
      <w:r w:rsidR="000457D7" w:rsidRPr="005403E1">
        <w:rPr>
          <w:sz w:val="19"/>
          <w:szCs w:val="19"/>
        </w:rPr>
        <w:t xml:space="preserve">GFS Manual </w:t>
      </w:r>
      <w:r w:rsidR="00D311B8" w:rsidRPr="005403E1">
        <w:rPr>
          <w:sz w:val="19"/>
          <w:szCs w:val="19"/>
        </w:rPr>
        <w:t xml:space="preserve">was amended </w:t>
      </w:r>
      <w:r w:rsidR="000457D7" w:rsidRPr="005403E1">
        <w:rPr>
          <w:sz w:val="19"/>
          <w:szCs w:val="19"/>
        </w:rPr>
        <w:t xml:space="preserve">to treat </w:t>
      </w:r>
      <w:r w:rsidR="00AC303D" w:rsidRPr="005403E1">
        <w:rPr>
          <w:sz w:val="19"/>
          <w:szCs w:val="19"/>
        </w:rPr>
        <w:t>defence weapons platforms</w:t>
      </w:r>
      <w:r w:rsidR="000457D7" w:rsidRPr="005403E1">
        <w:rPr>
          <w:sz w:val="19"/>
          <w:szCs w:val="19"/>
        </w:rPr>
        <w:t xml:space="preserve"> as assets rather than immediate expenses. Paragraph BC3 to the amending Standard AASB 2012-8</w:t>
      </w:r>
      <w:r w:rsidR="00C851A1" w:rsidRPr="005403E1">
        <w:rPr>
          <w:sz w:val="19"/>
          <w:szCs w:val="19"/>
        </w:rPr>
        <w:t xml:space="preserve"> </w:t>
      </w:r>
      <w:r w:rsidR="00C851A1" w:rsidRPr="005403E1">
        <w:rPr>
          <w:i/>
          <w:iCs/>
          <w:sz w:val="19"/>
          <w:szCs w:val="19"/>
        </w:rPr>
        <w:t>Amendments to AASB 1049</w:t>
      </w:r>
      <w:r w:rsidR="00891868" w:rsidRPr="005403E1">
        <w:rPr>
          <w:i/>
          <w:iCs/>
          <w:sz w:val="19"/>
          <w:szCs w:val="19"/>
        </w:rPr>
        <w:t xml:space="preserve"> </w:t>
      </w:r>
      <w:r w:rsidR="00C851A1" w:rsidRPr="005403E1">
        <w:rPr>
          <w:i/>
          <w:iCs/>
          <w:sz w:val="19"/>
          <w:szCs w:val="19"/>
        </w:rPr>
        <w:t>– Extension of Transitional</w:t>
      </w:r>
      <w:r w:rsidR="00891868" w:rsidRPr="005403E1">
        <w:rPr>
          <w:i/>
          <w:iCs/>
          <w:sz w:val="19"/>
          <w:szCs w:val="19"/>
        </w:rPr>
        <w:t xml:space="preserve"> </w:t>
      </w:r>
      <w:r w:rsidR="00C851A1" w:rsidRPr="005403E1">
        <w:rPr>
          <w:i/>
          <w:iCs/>
          <w:sz w:val="19"/>
          <w:szCs w:val="19"/>
        </w:rPr>
        <w:t>Relief for the Adoption of</w:t>
      </w:r>
      <w:r w:rsidR="00891868" w:rsidRPr="005403E1">
        <w:rPr>
          <w:i/>
          <w:iCs/>
          <w:sz w:val="19"/>
          <w:szCs w:val="19"/>
        </w:rPr>
        <w:t xml:space="preserve"> </w:t>
      </w:r>
      <w:r w:rsidR="00C851A1" w:rsidRPr="005403E1">
        <w:rPr>
          <w:i/>
          <w:iCs/>
          <w:sz w:val="19"/>
          <w:szCs w:val="19"/>
        </w:rPr>
        <w:t>Amendments to the ABS</w:t>
      </w:r>
      <w:r w:rsidR="00891868" w:rsidRPr="005403E1">
        <w:rPr>
          <w:i/>
          <w:iCs/>
          <w:sz w:val="19"/>
          <w:szCs w:val="19"/>
        </w:rPr>
        <w:t xml:space="preserve"> </w:t>
      </w:r>
      <w:r w:rsidR="00C851A1" w:rsidRPr="005403E1">
        <w:rPr>
          <w:i/>
          <w:iCs/>
          <w:sz w:val="19"/>
          <w:szCs w:val="19"/>
        </w:rPr>
        <w:t>GFS Manual relating to</w:t>
      </w:r>
      <w:r w:rsidR="00891868" w:rsidRPr="005403E1">
        <w:rPr>
          <w:i/>
          <w:iCs/>
          <w:sz w:val="19"/>
          <w:szCs w:val="19"/>
        </w:rPr>
        <w:t xml:space="preserve"> </w:t>
      </w:r>
      <w:r w:rsidR="00C851A1" w:rsidRPr="005403E1">
        <w:rPr>
          <w:i/>
          <w:iCs/>
          <w:sz w:val="19"/>
          <w:szCs w:val="19"/>
        </w:rPr>
        <w:t>Defence Weapons Platforms</w:t>
      </w:r>
      <w:r w:rsidR="00891868" w:rsidRPr="005403E1">
        <w:rPr>
          <w:i/>
          <w:iCs/>
          <w:sz w:val="19"/>
          <w:szCs w:val="19"/>
        </w:rPr>
        <w:t xml:space="preserve"> </w:t>
      </w:r>
      <w:r w:rsidR="000457D7" w:rsidRPr="005403E1">
        <w:rPr>
          <w:sz w:val="19"/>
          <w:szCs w:val="19"/>
        </w:rPr>
        <w:t>(appended to AASB 1049) suggest</w:t>
      </w:r>
      <w:r w:rsidR="002845D9" w:rsidRPr="005403E1">
        <w:rPr>
          <w:sz w:val="19"/>
          <w:szCs w:val="19"/>
        </w:rPr>
        <w:t>ed</w:t>
      </w:r>
      <w:r w:rsidR="000457D7" w:rsidRPr="005403E1">
        <w:rPr>
          <w:sz w:val="19"/>
          <w:szCs w:val="19"/>
        </w:rPr>
        <w:t xml:space="preserve"> that the Board considered the magnitude and complexity of the valuation exercise for defence weapons platforms and decided that an extension of transitional relief for two years would be required for the Australian Government to be able to comply. The Board also deferred the requirement to recognise land under roads (first from 31 December 2002 to 31 December 2006, then further to 31 December 2007) </w:t>
      </w:r>
      <w:r w:rsidR="00D06213" w:rsidRPr="005403E1">
        <w:rPr>
          <w:sz w:val="19"/>
          <w:szCs w:val="19"/>
        </w:rPr>
        <w:t>considering</w:t>
      </w:r>
      <w:r w:rsidR="000457D7" w:rsidRPr="005403E1">
        <w:rPr>
          <w:sz w:val="19"/>
          <w:szCs w:val="19"/>
        </w:rPr>
        <w:t xml:space="preserve"> the lack of international convergence on the recognition of land under roads. When finalising AASB 1051 </w:t>
      </w:r>
      <w:r w:rsidR="000457D7" w:rsidRPr="005403E1">
        <w:rPr>
          <w:i/>
          <w:iCs/>
          <w:sz w:val="19"/>
          <w:szCs w:val="19"/>
        </w:rPr>
        <w:t>Land Under Roads</w:t>
      </w:r>
      <w:r w:rsidR="000457D7" w:rsidRPr="005403E1">
        <w:rPr>
          <w:sz w:val="19"/>
          <w:szCs w:val="19"/>
        </w:rPr>
        <w:t>, the Board considered that it might be onerous for entities to be required to retrospectively identify, assess the recognition criteria, recognise and measure land under roads previously acquired, and decided to allow entities to elect whether to recognise land under roads acquired before the end of the first reporting period ending on or after 31 December 2007 (AASB 1051</w:t>
      </w:r>
      <w:r w:rsidR="002D5909">
        <w:rPr>
          <w:sz w:val="19"/>
          <w:szCs w:val="19"/>
        </w:rPr>
        <w:t>,</w:t>
      </w:r>
      <w:r w:rsidR="000457D7" w:rsidRPr="005403E1">
        <w:rPr>
          <w:sz w:val="19"/>
          <w:szCs w:val="19"/>
        </w:rPr>
        <w:t xml:space="preserve"> paragraph BC11). </w:t>
      </w:r>
    </w:p>
    <w:p w14:paraId="17F69AF3" w14:textId="2C4E1016" w:rsidR="00511579" w:rsidRDefault="00C742DD" w:rsidP="006F11B2">
      <w:pPr>
        <w:pStyle w:val="NoNumPlain1"/>
        <w:numPr>
          <w:ilvl w:val="0"/>
          <w:numId w:val="24"/>
        </w:numPr>
      </w:pPr>
      <w:r w:rsidRPr="005403E1">
        <w:rPr>
          <w:szCs w:val="19"/>
        </w:rPr>
        <w:t xml:space="preserve">The Board </w:t>
      </w:r>
      <w:r w:rsidR="0069263B">
        <w:rPr>
          <w:szCs w:val="19"/>
        </w:rPr>
        <w:t xml:space="preserve">also </w:t>
      </w:r>
      <w:r w:rsidR="00FB3320">
        <w:rPr>
          <w:szCs w:val="19"/>
        </w:rPr>
        <w:t xml:space="preserve">considered </w:t>
      </w:r>
      <w:r w:rsidR="0000435C">
        <w:rPr>
          <w:szCs w:val="19"/>
        </w:rPr>
        <w:t xml:space="preserve">that </w:t>
      </w:r>
      <w:r w:rsidRPr="005403E1">
        <w:rPr>
          <w:szCs w:val="19"/>
        </w:rPr>
        <w:t xml:space="preserve">its project on reforming the Australian public sector financial reporting framework could reduce the magnitude of </w:t>
      </w:r>
      <w:r w:rsidR="000B10EE">
        <w:rPr>
          <w:szCs w:val="19"/>
        </w:rPr>
        <w:t>having</w:t>
      </w:r>
      <w:r w:rsidR="000B10EE" w:rsidRPr="005403E1">
        <w:rPr>
          <w:szCs w:val="19"/>
        </w:rPr>
        <w:t xml:space="preserve"> </w:t>
      </w:r>
      <w:r w:rsidRPr="005403E1">
        <w:rPr>
          <w:szCs w:val="19"/>
        </w:rPr>
        <w:t>material right-of-use assets arising under concessionary leases be</w:t>
      </w:r>
      <w:r w:rsidR="007D3365">
        <w:rPr>
          <w:szCs w:val="19"/>
        </w:rPr>
        <w:t>ing</w:t>
      </w:r>
      <w:r w:rsidRPr="005403E1">
        <w:rPr>
          <w:szCs w:val="19"/>
        </w:rPr>
        <w:t xml:space="preserve"> measured at fair value if it is determined that general purpose financial statements are not required to be prepared by all public sector entities, other than Whole of Government and General Government Sector. </w:t>
      </w:r>
      <w:r w:rsidR="00052B9B">
        <w:rPr>
          <w:szCs w:val="19"/>
        </w:rPr>
        <w:t xml:space="preserve">The Board also considered that </w:t>
      </w:r>
      <w:r w:rsidR="00B56503">
        <w:rPr>
          <w:szCs w:val="19"/>
        </w:rPr>
        <w:t>i</w:t>
      </w:r>
      <w:r w:rsidR="00654ECF">
        <w:rPr>
          <w:szCs w:val="19"/>
        </w:rPr>
        <w:t>t</w:t>
      </w:r>
      <w:r w:rsidR="00BD10CC">
        <w:rPr>
          <w:szCs w:val="19"/>
        </w:rPr>
        <w:t xml:space="preserve"> might</w:t>
      </w:r>
      <w:r w:rsidR="00A81EEF">
        <w:rPr>
          <w:szCs w:val="19"/>
        </w:rPr>
        <w:t xml:space="preserve"> </w:t>
      </w:r>
      <w:r w:rsidR="00654ECF">
        <w:rPr>
          <w:szCs w:val="19"/>
        </w:rPr>
        <w:t xml:space="preserve">also </w:t>
      </w:r>
      <w:r w:rsidR="00BD10CC">
        <w:rPr>
          <w:szCs w:val="19"/>
        </w:rPr>
        <w:t xml:space="preserve">be prudent to not introduce further amendments to AASB 1049 until the planned </w:t>
      </w:r>
      <w:r w:rsidRPr="005403E1">
        <w:rPr>
          <w:szCs w:val="19"/>
        </w:rPr>
        <w:t>post-implementation</w:t>
      </w:r>
      <w:r w:rsidRPr="003F3449">
        <w:t xml:space="preserve"> review of AASB</w:t>
      </w:r>
      <w:r>
        <w:t> </w:t>
      </w:r>
      <w:r w:rsidRPr="003F3449">
        <w:t>1049</w:t>
      </w:r>
      <w:r>
        <w:t xml:space="preserve"> </w:t>
      </w:r>
      <w:r w:rsidR="00511579">
        <w:t xml:space="preserve">has been completed. </w:t>
      </w:r>
    </w:p>
    <w:p w14:paraId="2E922F48" w14:textId="57F7EA47" w:rsidR="004350A9" w:rsidRPr="004474FB" w:rsidRDefault="00C742DD" w:rsidP="006F11B2">
      <w:pPr>
        <w:pStyle w:val="NoNumPlain1"/>
        <w:numPr>
          <w:ilvl w:val="0"/>
          <w:numId w:val="24"/>
        </w:numPr>
        <w:rPr>
          <w:szCs w:val="19"/>
        </w:rPr>
      </w:pPr>
      <w:bookmarkStart w:id="17" w:name="_Ref20836078"/>
      <w:r w:rsidRPr="00D04D12">
        <w:t xml:space="preserve">However, </w:t>
      </w:r>
      <w:r w:rsidR="00511579">
        <w:t>since</w:t>
      </w:r>
      <w:r w:rsidR="00DF33A1">
        <w:t xml:space="preserve"> </w:t>
      </w:r>
      <w:r w:rsidR="00F90909">
        <w:t xml:space="preserve">the </w:t>
      </w:r>
      <w:r w:rsidR="004350A9" w:rsidRPr="002B1F56">
        <w:t xml:space="preserve">public sector financial reporting framework reform, the </w:t>
      </w:r>
      <w:r w:rsidR="00DF33A1" w:rsidRPr="005403E1">
        <w:rPr>
          <w:szCs w:val="19"/>
        </w:rPr>
        <w:t>post-implementation</w:t>
      </w:r>
      <w:r w:rsidR="00DF33A1" w:rsidRPr="003F3449">
        <w:t xml:space="preserve"> review</w:t>
      </w:r>
      <w:r w:rsidR="004350A9" w:rsidRPr="002B1F56">
        <w:t xml:space="preserve"> of AASB</w:t>
      </w:r>
      <w:r w:rsidR="005E16AC">
        <w:t> </w:t>
      </w:r>
      <w:r w:rsidR="004350A9" w:rsidRPr="002B1F56">
        <w:t>1049 and the</w:t>
      </w:r>
      <w:r w:rsidR="005E16AC">
        <w:t xml:space="preserve"> guidance on</w:t>
      </w:r>
      <w:r w:rsidR="004350A9" w:rsidRPr="002B1F56">
        <w:t xml:space="preserve"> fair value </w:t>
      </w:r>
      <w:r w:rsidR="005E16AC">
        <w:t xml:space="preserve">measurement </w:t>
      </w:r>
      <w:r w:rsidR="004350A9" w:rsidRPr="002B1F56">
        <w:t xml:space="preserve">are not expected to be completed when public sector entities need to prepare their financial statements for the </w:t>
      </w:r>
      <w:r w:rsidR="00A96200">
        <w:t xml:space="preserve">2019/20 </w:t>
      </w:r>
      <w:r w:rsidR="004350A9" w:rsidRPr="002B1F56">
        <w:t>financial year</w:t>
      </w:r>
      <w:r w:rsidR="00963095">
        <w:t>,</w:t>
      </w:r>
      <w:r w:rsidR="004350A9" w:rsidRPr="002B1F56">
        <w:t xml:space="preserve"> </w:t>
      </w:r>
      <w:r w:rsidR="00353976">
        <w:t>t</w:t>
      </w:r>
      <w:r w:rsidR="00B563DE">
        <w:t xml:space="preserve">he Board decided to </w:t>
      </w:r>
      <w:r w:rsidR="000D7827">
        <w:t xml:space="preserve">extend the current temporary relief in relation to initial measurement </w:t>
      </w:r>
      <w:r w:rsidR="004474FB">
        <w:t xml:space="preserve">to </w:t>
      </w:r>
      <w:r w:rsidR="00353976" w:rsidRPr="00353976">
        <w:t xml:space="preserve">provide an option for the Whole of </w:t>
      </w:r>
      <w:r w:rsidR="00353976" w:rsidRPr="004474FB">
        <w:rPr>
          <w:szCs w:val="19"/>
        </w:rPr>
        <w:t>Government and the General Government Sector to measure right-of-use assets arising under concessionary leases at cost or at fair value in subsequent measurements</w:t>
      </w:r>
      <w:r w:rsidR="0052522E" w:rsidRPr="004474FB">
        <w:rPr>
          <w:szCs w:val="19"/>
        </w:rPr>
        <w:t>.</w:t>
      </w:r>
      <w:r w:rsidR="006D58F6" w:rsidRPr="004474FB">
        <w:rPr>
          <w:szCs w:val="19"/>
        </w:rPr>
        <w:t xml:space="preserve"> </w:t>
      </w:r>
      <w:r w:rsidR="0052522E" w:rsidRPr="004474FB">
        <w:rPr>
          <w:szCs w:val="19"/>
        </w:rPr>
        <w:t xml:space="preserve">The Board made this decision </w:t>
      </w:r>
      <w:r w:rsidR="004350A9" w:rsidRPr="004474FB">
        <w:rPr>
          <w:szCs w:val="19"/>
        </w:rPr>
        <w:t xml:space="preserve">in accordance with </w:t>
      </w:r>
      <w:r w:rsidR="004350A9" w:rsidRPr="004474FB">
        <w:rPr>
          <w:i/>
          <w:iCs/>
          <w:szCs w:val="19"/>
        </w:rPr>
        <w:t>The AASB’s Not-for-Profit Entity Standard-Setting Framework</w:t>
      </w:r>
      <w:r w:rsidR="004350A9" w:rsidRPr="004474FB">
        <w:rPr>
          <w:szCs w:val="19"/>
        </w:rPr>
        <w:t xml:space="preserve"> (paragraph 28(d))</w:t>
      </w:r>
      <w:r w:rsidR="006D58F6" w:rsidRPr="004474FB">
        <w:rPr>
          <w:szCs w:val="19"/>
        </w:rPr>
        <w:t xml:space="preserve"> to</w:t>
      </w:r>
      <w:r w:rsidR="004350A9" w:rsidRPr="004474FB">
        <w:rPr>
          <w:szCs w:val="19"/>
        </w:rPr>
        <w:t xml:space="preserve"> avoid undue cost and effort in applying the principles of AASB 13 in measuring the fair value of these assets before the Board issues further fair value measurement guidance.</w:t>
      </w:r>
      <w:bookmarkEnd w:id="17"/>
      <w:r w:rsidR="00A96200">
        <w:rPr>
          <w:szCs w:val="19"/>
        </w:rPr>
        <w:t xml:space="preserve"> The Board therefore amended paragraph 13D of AASB 1049 to remove </w:t>
      </w:r>
      <w:r w:rsidR="008B0369">
        <w:rPr>
          <w:szCs w:val="19"/>
        </w:rPr>
        <w:t>the initial recognition proviso for measuring a class of right-of-use assets arising under concessionary leases at cost or fair value.</w:t>
      </w:r>
    </w:p>
    <w:p w14:paraId="3C122ADE" w14:textId="0A0EC97C" w:rsidR="00FF14DE" w:rsidRDefault="00615C38" w:rsidP="006F11B2">
      <w:pPr>
        <w:pStyle w:val="NoNumPlain1"/>
        <w:numPr>
          <w:ilvl w:val="0"/>
          <w:numId w:val="24"/>
        </w:numPr>
        <w:rPr>
          <w:szCs w:val="19"/>
        </w:rPr>
      </w:pPr>
      <w:r w:rsidRPr="006919A2">
        <w:rPr>
          <w:szCs w:val="19"/>
        </w:rPr>
        <w:t>T</w:t>
      </w:r>
      <w:r w:rsidR="00914796" w:rsidRPr="006919A2">
        <w:rPr>
          <w:szCs w:val="19"/>
        </w:rPr>
        <w:t>he</w:t>
      </w:r>
      <w:r w:rsidR="000F61DE" w:rsidRPr="006919A2">
        <w:rPr>
          <w:szCs w:val="19"/>
        </w:rPr>
        <w:t xml:space="preserve"> temporary relief </w:t>
      </w:r>
      <w:r w:rsidRPr="006919A2">
        <w:rPr>
          <w:szCs w:val="19"/>
        </w:rPr>
        <w:t xml:space="preserve">described in paragraph </w:t>
      </w:r>
      <w:r w:rsidRPr="006919A2">
        <w:rPr>
          <w:szCs w:val="19"/>
        </w:rPr>
        <w:fldChar w:fldCharType="begin"/>
      </w:r>
      <w:r w:rsidRPr="006919A2">
        <w:rPr>
          <w:szCs w:val="19"/>
        </w:rPr>
        <w:instrText xml:space="preserve"> REF _Ref20836078 \r \h </w:instrText>
      </w:r>
      <w:r w:rsidRPr="006919A2">
        <w:rPr>
          <w:szCs w:val="19"/>
        </w:rPr>
      </w:r>
      <w:r w:rsidRPr="006919A2">
        <w:rPr>
          <w:szCs w:val="19"/>
        </w:rPr>
        <w:fldChar w:fldCharType="separate"/>
      </w:r>
      <w:r w:rsidR="00933227">
        <w:rPr>
          <w:szCs w:val="19"/>
        </w:rPr>
        <w:t>BC11</w:t>
      </w:r>
      <w:r w:rsidRPr="006919A2">
        <w:rPr>
          <w:szCs w:val="19"/>
        </w:rPr>
        <w:fldChar w:fldCharType="end"/>
      </w:r>
      <w:r w:rsidR="006312D3" w:rsidRPr="006919A2">
        <w:rPr>
          <w:szCs w:val="19"/>
        </w:rPr>
        <w:t xml:space="preserve">, </w:t>
      </w:r>
      <w:r w:rsidR="000F61DE" w:rsidRPr="006919A2">
        <w:rPr>
          <w:szCs w:val="19"/>
        </w:rPr>
        <w:t xml:space="preserve">in relation to subsequent measurements of </w:t>
      </w:r>
      <w:r w:rsidRPr="006919A2">
        <w:rPr>
          <w:szCs w:val="19"/>
        </w:rPr>
        <w:t>right-of-use assets arising under concessionary leases</w:t>
      </w:r>
      <w:r w:rsidR="006312D3" w:rsidRPr="006919A2">
        <w:rPr>
          <w:szCs w:val="19"/>
        </w:rPr>
        <w:t>,</w:t>
      </w:r>
      <w:r w:rsidR="00914796" w:rsidRPr="006919A2">
        <w:rPr>
          <w:szCs w:val="19"/>
        </w:rPr>
        <w:t xml:space="preserve"> </w:t>
      </w:r>
      <w:r w:rsidR="00E37003" w:rsidRPr="006919A2">
        <w:rPr>
          <w:szCs w:val="19"/>
        </w:rPr>
        <w:t xml:space="preserve">is provided only to </w:t>
      </w:r>
      <w:r w:rsidR="006312D3" w:rsidRPr="006919A2">
        <w:rPr>
          <w:szCs w:val="19"/>
        </w:rPr>
        <w:t>Whole of Government and General Government Sector</w:t>
      </w:r>
      <w:r w:rsidR="002B7928" w:rsidRPr="006919A2">
        <w:rPr>
          <w:szCs w:val="19"/>
        </w:rPr>
        <w:t xml:space="preserve"> </w:t>
      </w:r>
      <w:r w:rsidR="003030CE" w:rsidRPr="006919A2">
        <w:rPr>
          <w:szCs w:val="19"/>
        </w:rPr>
        <w:t>because</w:t>
      </w:r>
      <w:r w:rsidR="00302FAC" w:rsidRPr="006919A2">
        <w:rPr>
          <w:szCs w:val="19"/>
        </w:rPr>
        <w:t xml:space="preserve"> AASB 1049 </w:t>
      </w:r>
      <w:r w:rsidR="006A536B" w:rsidRPr="006919A2">
        <w:rPr>
          <w:szCs w:val="19"/>
        </w:rPr>
        <w:t>specifies requirements only for Whole of Government and General Government Sector</w:t>
      </w:r>
      <w:r w:rsidR="008B0369">
        <w:rPr>
          <w:szCs w:val="19"/>
        </w:rPr>
        <w:t xml:space="preserve"> financial statements</w:t>
      </w:r>
      <w:r w:rsidR="00C777B6" w:rsidRPr="006919A2">
        <w:rPr>
          <w:szCs w:val="19"/>
        </w:rPr>
        <w:t xml:space="preserve">. Other </w:t>
      </w:r>
      <w:r w:rsidR="00717EBC">
        <w:rPr>
          <w:szCs w:val="19"/>
        </w:rPr>
        <w:t xml:space="preserve">public sector </w:t>
      </w:r>
      <w:r w:rsidR="00C777B6" w:rsidRPr="006919A2">
        <w:rPr>
          <w:szCs w:val="19"/>
        </w:rPr>
        <w:t>entities</w:t>
      </w:r>
      <w:r w:rsidR="00BA6C00">
        <w:rPr>
          <w:szCs w:val="19"/>
        </w:rPr>
        <w:t xml:space="preserve">, </w:t>
      </w:r>
      <w:r w:rsidR="00EB2F97">
        <w:rPr>
          <w:szCs w:val="19"/>
        </w:rPr>
        <w:t>such as</w:t>
      </w:r>
      <w:r w:rsidR="00BA6C00">
        <w:rPr>
          <w:szCs w:val="19"/>
        </w:rPr>
        <w:t xml:space="preserve"> </w:t>
      </w:r>
      <w:r w:rsidR="00717EBC">
        <w:rPr>
          <w:szCs w:val="19"/>
        </w:rPr>
        <w:t xml:space="preserve">government agencies and </w:t>
      </w:r>
      <w:r w:rsidR="00BA6C00">
        <w:rPr>
          <w:szCs w:val="19"/>
        </w:rPr>
        <w:t>local governments,</w:t>
      </w:r>
      <w:r w:rsidR="00C777B6" w:rsidRPr="006919A2">
        <w:rPr>
          <w:szCs w:val="19"/>
        </w:rPr>
        <w:t xml:space="preserve"> are </w:t>
      </w:r>
      <w:r w:rsidR="00717EBC">
        <w:rPr>
          <w:szCs w:val="19"/>
        </w:rPr>
        <w:t xml:space="preserve">not subject to AASB 1049 and are </w:t>
      </w:r>
      <w:r w:rsidR="00C777B6" w:rsidRPr="006919A2">
        <w:rPr>
          <w:szCs w:val="19"/>
        </w:rPr>
        <w:t xml:space="preserve">not </w:t>
      </w:r>
      <w:r w:rsidR="00FF14DE" w:rsidRPr="006919A2">
        <w:rPr>
          <w:szCs w:val="19"/>
        </w:rPr>
        <w:t xml:space="preserve">required by current </w:t>
      </w:r>
      <w:r w:rsidR="00717EBC" w:rsidRPr="006919A2">
        <w:rPr>
          <w:szCs w:val="19"/>
        </w:rPr>
        <w:t xml:space="preserve">Accounting </w:t>
      </w:r>
      <w:r w:rsidR="00717EBC">
        <w:rPr>
          <w:szCs w:val="19"/>
        </w:rPr>
        <w:t>S</w:t>
      </w:r>
      <w:r w:rsidR="00717EBC" w:rsidRPr="006919A2">
        <w:rPr>
          <w:szCs w:val="19"/>
        </w:rPr>
        <w:t xml:space="preserve">tandards </w:t>
      </w:r>
      <w:r w:rsidR="00FF14DE" w:rsidRPr="006919A2">
        <w:rPr>
          <w:szCs w:val="19"/>
        </w:rPr>
        <w:t>to adopt a fair-value</w:t>
      </w:r>
      <w:r w:rsidR="006919A2" w:rsidRPr="006919A2">
        <w:rPr>
          <w:szCs w:val="19"/>
        </w:rPr>
        <w:t xml:space="preserve"> </w:t>
      </w:r>
      <w:r w:rsidR="00FF14DE" w:rsidRPr="006919A2">
        <w:rPr>
          <w:szCs w:val="19"/>
        </w:rPr>
        <w:t>approach</w:t>
      </w:r>
      <w:r w:rsidR="006919A2">
        <w:rPr>
          <w:szCs w:val="19"/>
        </w:rPr>
        <w:t xml:space="preserve"> in measur</w:t>
      </w:r>
      <w:r w:rsidR="000E6AA6">
        <w:rPr>
          <w:szCs w:val="19"/>
        </w:rPr>
        <w:t>ing non</w:t>
      </w:r>
      <w:r w:rsidR="00716F9C">
        <w:rPr>
          <w:szCs w:val="19"/>
        </w:rPr>
        <w:noBreakHyphen/>
      </w:r>
      <w:r w:rsidR="000E6AA6">
        <w:rPr>
          <w:szCs w:val="19"/>
        </w:rPr>
        <w:t>financial assets.</w:t>
      </w:r>
      <w:r w:rsidR="00717EBC">
        <w:rPr>
          <w:szCs w:val="19"/>
        </w:rPr>
        <w:t xml:space="preserve"> </w:t>
      </w:r>
      <w:r w:rsidR="00156367">
        <w:rPr>
          <w:szCs w:val="19"/>
        </w:rPr>
        <w:t xml:space="preserve">These entities therefore do not need the temporary relief provided under AASB 1049. </w:t>
      </w:r>
      <w:r w:rsidR="00717EBC">
        <w:rPr>
          <w:szCs w:val="19"/>
        </w:rPr>
        <w:t xml:space="preserve">Whether these entities are required to adopt a fair-value approach is a matter for the Treasury </w:t>
      </w:r>
      <w:r w:rsidR="004C773E">
        <w:rPr>
          <w:szCs w:val="19"/>
        </w:rPr>
        <w:t xml:space="preserve">or </w:t>
      </w:r>
      <w:r w:rsidR="00717EBC">
        <w:rPr>
          <w:szCs w:val="19"/>
        </w:rPr>
        <w:t>Finance Department</w:t>
      </w:r>
      <w:r w:rsidR="00C90B38">
        <w:rPr>
          <w:szCs w:val="19"/>
        </w:rPr>
        <w:t xml:space="preserve"> or other </w:t>
      </w:r>
      <w:r w:rsidR="00501E78">
        <w:rPr>
          <w:szCs w:val="19"/>
        </w:rPr>
        <w:t>authority</w:t>
      </w:r>
      <w:r w:rsidR="00717EBC">
        <w:rPr>
          <w:szCs w:val="19"/>
        </w:rPr>
        <w:t xml:space="preserve"> in each jurisdiction.</w:t>
      </w:r>
    </w:p>
    <w:p w14:paraId="3C763F0A" w14:textId="4E3782B9" w:rsidR="00A96200" w:rsidRPr="006919A2" w:rsidRDefault="00A96200" w:rsidP="006F11B2">
      <w:pPr>
        <w:pStyle w:val="NoNumPlain1"/>
        <w:numPr>
          <w:ilvl w:val="0"/>
          <w:numId w:val="24"/>
        </w:numPr>
        <w:rPr>
          <w:szCs w:val="19"/>
        </w:rPr>
      </w:pPr>
      <w:r>
        <w:rPr>
          <w:szCs w:val="19"/>
        </w:rPr>
        <w:t xml:space="preserve">Consistent with its decisions in AASB 2018-8 (see paragraph BC16 of AASB 2018-8), the Board </w:t>
      </w:r>
      <w:r w:rsidR="004C773E">
        <w:rPr>
          <w:szCs w:val="19"/>
        </w:rPr>
        <w:t xml:space="preserve">considers </w:t>
      </w:r>
      <w:r>
        <w:rPr>
          <w:szCs w:val="19"/>
        </w:rPr>
        <w:t xml:space="preserve">that the additional disclosure requirements in paragraphs Aus59.1 and Aus59.2 of AASB 16 </w:t>
      </w:r>
      <w:r w:rsidR="004C773E">
        <w:rPr>
          <w:szCs w:val="19"/>
        </w:rPr>
        <w:t xml:space="preserve">apply in the absence of fair value information at any reporting date when right-of-use assets arising under concessionary leases are measured at cost, subsequent to their initial recognition at cost. This </w:t>
      </w:r>
      <w:r w:rsidRPr="0066754A">
        <w:rPr>
          <w:szCs w:val="19"/>
        </w:rPr>
        <w:t>ensure</w:t>
      </w:r>
      <w:r w:rsidR="004C773E">
        <w:rPr>
          <w:szCs w:val="19"/>
        </w:rPr>
        <w:t>s</w:t>
      </w:r>
      <w:r w:rsidRPr="0066754A">
        <w:rPr>
          <w:szCs w:val="19"/>
        </w:rPr>
        <w:t xml:space="preserve"> adequate information is disclosed for users of financial statements to understand the effects on the financial position, financial performance and cash flows of the entity arising from concessionary leases</w:t>
      </w:r>
      <w:r>
        <w:rPr>
          <w:szCs w:val="19"/>
        </w:rPr>
        <w:t>.</w:t>
      </w:r>
    </w:p>
    <w:p w14:paraId="7C581D84" w14:textId="39D97546" w:rsidR="004E1023" w:rsidRPr="00766E15" w:rsidRDefault="00892802" w:rsidP="004E1023">
      <w:pPr>
        <w:pStyle w:val="IASBSectionTitle1NonInd"/>
        <w:jc w:val="both"/>
        <w:rPr>
          <w:iCs/>
        </w:rPr>
      </w:pPr>
      <w:r>
        <w:t>Class of right</w:t>
      </w:r>
      <w:r>
        <w:noBreakHyphen/>
        <w:t>of</w:t>
      </w:r>
      <w:r>
        <w:noBreakHyphen/>
        <w:t>use assets</w:t>
      </w:r>
    </w:p>
    <w:p w14:paraId="3DD7BB14" w14:textId="643781BE" w:rsidR="0003537C" w:rsidRPr="005A2D12" w:rsidRDefault="00EC4D69" w:rsidP="005A2D12">
      <w:pPr>
        <w:pStyle w:val="ListParagraph"/>
        <w:numPr>
          <w:ilvl w:val="0"/>
          <w:numId w:val="24"/>
        </w:numPr>
        <w:jc w:val="both"/>
        <w:rPr>
          <w:sz w:val="19"/>
          <w:szCs w:val="19"/>
        </w:rPr>
      </w:pPr>
      <w:r>
        <w:rPr>
          <w:sz w:val="19"/>
          <w:szCs w:val="20"/>
          <w:lang w:eastAsia="en-US"/>
        </w:rPr>
        <w:t xml:space="preserve">Current accounting standards </w:t>
      </w:r>
      <w:r w:rsidR="00651AB1">
        <w:rPr>
          <w:sz w:val="19"/>
          <w:szCs w:val="20"/>
          <w:lang w:eastAsia="en-US"/>
        </w:rPr>
        <w:t>(</w:t>
      </w:r>
      <w:proofErr w:type="spellStart"/>
      <w:r w:rsidR="00651AB1">
        <w:rPr>
          <w:sz w:val="19"/>
          <w:szCs w:val="20"/>
          <w:lang w:eastAsia="en-US"/>
        </w:rPr>
        <w:t>eg</w:t>
      </w:r>
      <w:proofErr w:type="spellEnd"/>
      <w:r w:rsidR="00651AB1">
        <w:rPr>
          <w:sz w:val="19"/>
          <w:szCs w:val="20"/>
          <w:lang w:eastAsia="en-US"/>
        </w:rPr>
        <w:t xml:space="preserve"> AASB 116 </w:t>
      </w:r>
      <w:r w:rsidR="00A00A6B" w:rsidRPr="00AF37A3">
        <w:rPr>
          <w:i/>
          <w:iCs/>
          <w:sz w:val="19"/>
          <w:szCs w:val="20"/>
          <w:lang w:eastAsia="en-US"/>
        </w:rPr>
        <w:t>Property, Plant and Equipment</w:t>
      </w:r>
      <w:r w:rsidR="00A00A6B">
        <w:rPr>
          <w:sz w:val="19"/>
          <w:szCs w:val="20"/>
          <w:lang w:eastAsia="en-US"/>
        </w:rPr>
        <w:t xml:space="preserve"> </w:t>
      </w:r>
      <w:r w:rsidR="00651AB1">
        <w:rPr>
          <w:sz w:val="19"/>
          <w:szCs w:val="20"/>
          <w:lang w:eastAsia="en-US"/>
        </w:rPr>
        <w:t>and AASB 138</w:t>
      </w:r>
      <w:r w:rsidR="006C2D58">
        <w:rPr>
          <w:sz w:val="19"/>
          <w:szCs w:val="20"/>
          <w:lang w:eastAsia="en-US"/>
        </w:rPr>
        <w:t xml:space="preserve"> </w:t>
      </w:r>
      <w:r w:rsidR="006C2D58" w:rsidRPr="00AF37A3">
        <w:rPr>
          <w:i/>
          <w:iCs/>
          <w:sz w:val="19"/>
          <w:szCs w:val="20"/>
          <w:lang w:eastAsia="en-US"/>
        </w:rPr>
        <w:t>Intangible Assets</w:t>
      </w:r>
      <w:r w:rsidR="006C2D58">
        <w:rPr>
          <w:sz w:val="19"/>
          <w:szCs w:val="20"/>
          <w:lang w:eastAsia="en-US"/>
        </w:rPr>
        <w:t>)</w:t>
      </w:r>
      <w:r w:rsidR="00651AB1">
        <w:rPr>
          <w:sz w:val="19"/>
          <w:szCs w:val="20"/>
          <w:lang w:eastAsia="en-US"/>
        </w:rPr>
        <w:t xml:space="preserve"> </w:t>
      </w:r>
      <w:r>
        <w:rPr>
          <w:sz w:val="19"/>
          <w:szCs w:val="20"/>
          <w:lang w:eastAsia="en-US"/>
        </w:rPr>
        <w:t>des</w:t>
      </w:r>
      <w:r w:rsidR="00B8027E">
        <w:rPr>
          <w:sz w:val="19"/>
          <w:szCs w:val="20"/>
          <w:lang w:eastAsia="en-US"/>
        </w:rPr>
        <w:t>cribe</w:t>
      </w:r>
      <w:r w:rsidR="007F387A">
        <w:rPr>
          <w:sz w:val="19"/>
          <w:szCs w:val="20"/>
          <w:lang w:eastAsia="en-US"/>
        </w:rPr>
        <w:t xml:space="preserve"> </w:t>
      </w:r>
      <w:r w:rsidR="007F387A" w:rsidRPr="007F387A">
        <w:rPr>
          <w:sz w:val="19"/>
          <w:szCs w:val="20"/>
          <w:lang w:eastAsia="en-US"/>
        </w:rPr>
        <w:t xml:space="preserve">a class of assets as </w:t>
      </w:r>
      <w:r w:rsidR="007F387A">
        <w:rPr>
          <w:sz w:val="19"/>
          <w:szCs w:val="20"/>
          <w:lang w:eastAsia="en-US"/>
        </w:rPr>
        <w:t>‘</w:t>
      </w:r>
      <w:r w:rsidR="007F387A" w:rsidRPr="007F387A">
        <w:rPr>
          <w:sz w:val="19"/>
          <w:szCs w:val="20"/>
          <w:lang w:eastAsia="en-US"/>
        </w:rPr>
        <w:t xml:space="preserve">a grouping of assets of a similar nature and use in an entity’s </w:t>
      </w:r>
      <w:proofErr w:type="gramStart"/>
      <w:r w:rsidR="007F387A" w:rsidRPr="007F387A">
        <w:rPr>
          <w:sz w:val="19"/>
          <w:szCs w:val="20"/>
          <w:lang w:eastAsia="en-US"/>
        </w:rPr>
        <w:t>operations</w:t>
      </w:r>
      <w:r w:rsidR="00D05E98">
        <w:rPr>
          <w:sz w:val="19"/>
          <w:szCs w:val="20"/>
          <w:lang w:eastAsia="en-US"/>
        </w:rPr>
        <w:t>’</w:t>
      </w:r>
      <w:proofErr w:type="gramEnd"/>
      <w:r w:rsidR="007F387A">
        <w:rPr>
          <w:sz w:val="19"/>
          <w:szCs w:val="20"/>
          <w:lang w:eastAsia="en-US"/>
        </w:rPr>
        <w:t xml:space="preserve">. </w:t>
      </w:r>
      <w:r w:rsidR="00640C4B">
        <w:rPr>
          <w:sz w:val="19"/>
          <w:szCs w:val="20"/>
          <w:lang w:eastAsia="en-US"/>
        </w:rPr>
        <w:t xml:space="preserve">Some stakeholders commented that </w:t>
      </w:r>
      <w:r w:rsidR="00810808" w:rsidRPr="00810808">
        <w:rPr>
          <w:sz w:val="19"/>
          <w:szCs w:val="20"/>
          <w:lang w:eastAsia="en-US"/>
        </w:rPr>
        <w:t xml:space="preserve">applying this description – grouping </w:t>
      </w:r>
      <w:r w:rsidR="00810808">
        <w:rPr>
          <w:sz w:val="19"/>
          <w:szCs w:val="20"/>
          <w:lang w:eastAsia="en-US"/>
        </w:rPr>
        <w:t>right</w:t>
      </w:r>
      <w:r w:rsidR="00810808">
        <w:rPr>
          <w:sz w:val="19"/>
          <w:szCs w:val="20"/>
          <w:lang w:eastAsia="en-US"/>
        </w:rPr>
        <w:noBreakHyphen/>
        <w:t>of</w:t>
      </w:r>
      <w:r w:rsidR="00810808">
        <w:rPr>
          <w:sz w:val="19"/>
          <w:szCs w:val="20"/>
          <w:lang w:eastAsia="en-US"/>
        </w:rPr>
        <w:noBreakHyphen/>
        <w:t>use</w:t>
      </w:r>
      <w:r w:rsidR="00810808" w:rsidRPr="00810808">
        <w:rPr>
          <w:sz w:val="19"/>
          <w:szCs w:val="20"/>
          <w:lang w:eastAsia="en-US"/>
        </w:rPr>
        <w:t xml:space="preserve"> assets of a similar nature </w:t>
      </w:r>
      <w:r w:rsidR="00810808" w:rsidRPr="005A2D12">
        <w:rPr>
          <w:sz w:val="19"/>
          <w:szCs w:val="19"/>
          <w:lang w:eastAsia="en-US"/>
        </w:rPr>
        <w:t xml:space="preserve">and use in an entity’s operations – would mean that a </w:t>
      </w:r>
      <w:r w:rsidR="000329C7" w:rsidRPr="005A2D12">
        <w:rPr>
          <w:sz w:val="19"/>
          <w:szCs w:val="19"/>
          <w:lang w:eastAsia="en-US"/>
        </w:rPr>
        <w:t>right</w:t>
      </w:r>
      <w:r w:rsidR="000329C7" w:rsidRPr="005A2D12">
        <w:rPr>
          <w:sz w:val="19"/>
          <w:szCs w:val="19"/>
          <w:lang w:eastAsia="en-US"/>
        </w:rPr>
        <w:noBreakHyphen/>
        <w:t>of</w:t>
      </w:r>
      <w:r w:rsidR="000329C7" w:rsidRPr="005A2D12">
        <w:rPr>
          <w:sz w:val="19"/>
          <w:szCs w:val="19"/>
          <w:lang w:eastAsia="en-US"/>
        </w:rPr>
        <w:noBreakHyphen/>
        <w:t xml:space="preserve">use asset arising under </w:t>
      </w:r>
      <w:r w:rsidR="006E729C" w:rsidRPr="005A2D12">
        <w:rPr>
          <w:sz w:val="19"/>
          <w:szCs w:val="19"/>
          <w:lang w:eastAsia="en-US"/>
        </w:rPr>
        <w:t xml:space="preserve">a </w:t>
      </w:r>
      <w:r w:rsidR="00810808" w:rsidRPr="005A2D12">
        <w:rPr>
          <w:sz w:val="19"/>
          <w:szCs w:val="19"/>
          <w:lang w:eastAsia="en-US"/>
        </w:rPr>
        <w:t xml:space="preserve">concessionary lease would be classified in the same class as </w:t>
      </w:r>
      <w:r w:rsidR="000329C7" w:rsidRPr="005A2D12">
        <w:rPr>
          <w:sz w:val="19"/>
          <w:szCs w:val="19"/>
          <w:lang w:eastAsia="en-US"/>
        </w:rPr>
        <w:t>right</w:t>
      </w:r>
      <w:r w:rsidR="000329C7" w:rsidRPr="005A2D12">
        <w:rPr>
          <w:sz w:val="19"/>
          <w:szCs w:val="19"/>
          <w:lang w:eastAsia="en-US"/>
        </w:rPr>
        <w:noBreakHyphen/>
        <w:t>of</w:t>
      </w:r>
      <w:r w:rsidR="000329C7" w:rsidRPr="005A2D12">
        <w:rPr>
          <w:sz w:val="19"/>
          <w:szCs w:val="19"/>
          <w:lang w:eastAsia="en-US"/>
        </w:rPr>
        <w:noBreakHyphen/>
        <w:t>use</w:t>
      </w:r>
      <w:r w:rsidR="00810808" w:rsidRPr="005A2D12">
        <w:rPr>
          <w:sz w:val="19"/>
          <w:szCs w:val="19"/>
          <w:lang w:eastAsia="en-US"/>
        </w:rPr>
        <w:t xml:space="preserve"> assets arising under </w:t>
      </w:r>
      <w:r w:rsidR="000329C7" w:rsidRPr="005A2D12">
        <w:rPr>
          <w:sz w:val="19"/>
          <w:szCs w:val="19"/>
          <w:lang w:eastAsia="en-US"/>
        </w:rPr>
        <w:t xml:space="preserve">other </w:t>
      </w:r>
      <w:r w:rsidR="00810808" w:rsidRPr="005A2D12">
        <w:rPr>
          <w:sz w:val="19"/>
          <w:szCs w:val="19"/>
          <w:lang w:eastAsia="en-US"/>
        </w:rPr>
        <w:t>leases, if they exhibit the similar nature and use.</w:t>
      </w:r>
      <w:r w:rsidR="005A2D12" w:rsidRPr="005A2D12">
        <w:rPr>
          <w:sz w:val="19"/>
          <w:szCs w:val="19"/>
          <w:lang w:eastAsia="en-US"/>
        </w:rPr>
        <w:t xml:space="preserve"> </w:t>
      </w:r>
      <w:r w:rsidR="0003537C" w:rsidRPr="005A2D12">
        <w:rPr>
          <w:sz w:val="19"/>
          <w:szCs w:val="19"/>
        </w:rPr>
        <w:t xml:space="preserve">Therefore, </w:t>
      </w:r>
      <w:r w:rsidR="00F07295" w:rsidRPr="005A2D12">
        <w:rPr>
          <w:sz w:val="19"/>
          <w:szCs w:val="19"/>
        </w:rPr>
        <w:t xml:space="preserve">further guidance or amendments would be required to define or clarify ‘a class (or classes) of </w:t>
      </w:r>
      <w:r w:rsidR="006F16A5" w:rsidRPr="005A2D12">
        <w:rPr>
          <w:sz w:val="19"/>
          <w:szCs w:val="19"/>
          <w:lang w:eastAsia="en-US"/>
        </w:rPr>
        <w:t>right</w:t>
      </w:r>
      <w:r w:rsidR="006F16A5" w:rsidRPr="005A2D12">
        <w:rPr>
          <w:sz w:val="19"/>
          <w:szCs w:val="19"/>
          <w:lang w:eastAsia="en-US"/>
        </w:rPr>
        <w:noBreakHyphen/>
        <w:t>of</w:t>
      </w:r>
      <w:r w:rsidR="006F16A5" w:rsidRPr="005A2D12">
        <w:rPr>
          <w:sz w:val="19"/>
          <w:szCs w:val="19"/>
          <w:lang w:eastAsia="en-US"/>
        </w:rPr>
        <w:noBreakHyphen/>
        <w:t>use</w:t>
      </w:r>
      <w:r w:rsidR="00F07295" w:rsidRPr="005A2D12">
        <w:rPr>
          <w:sz w:val="19"/>
          <w:szCs w:val="19"/>
        </w:rPr>
        <w:t xml:space="preserve"> assets’</w:t>
      </w:r>
      <w:r w:rsidR="006F16A5">
        <w:rPr>
          <w:sz w:val="19"/>
          <w:szCs w:val="19"/>
        </w:rPr>
        <w:t xml:space="preserve"> </w:t>
      </w:r>
      <w:r w:rsidR="0003537C" w:rsidRPr="005A2D12">
        <w:rPr>
          <w:sz w:val="19"/>
          <w:szCs w:val="19"/>
        </w:rPr>
        <w:t xml:space="preserve">if </w:t>
      </w:r>
      <w:r w:rsidR="006F16A5">
        <w:rPr>
          <w:sz w:val="19"/>
          <w:szCs w:val="19"/>
        </w:rPr>
        <w:t>it was in</w:t>
      </w:r>
      <w:r w:rsidR="0003537C" w:rsidRPr="005A2D12">
        <w:rPr>
          <w:sz w:val="19"/>
          <w:szCs w:val="19"/>
        </w:rPr>
        <w:t>tend</w:t>
      </w:r>
      <w:r w:rsidR="006F16A5">
        <w:rPr>
          <w:sz w:val="19"/>
          <w:szCs w:val="19"/>
        </w:rPr>
        <w:t>ed</w:t>
      </w:r>
      <w:r w:rsidR="0003537C" w:rsidRPr="005A2D12">
        <w:rPr>
          <w:sz w:val="19"/>
          <w:szCs w:val="19"/>
        </w:rPr>
        <w:t xml:space="preserve"> to provide temporary relief to </w:t>
      </w:r>
      <w:r w:rsidR="00AF4402">
        <w:rPr>
          <w:sz w:val="19"/>
          <w:szCs w:val="19"/>
        </w:rPr>
        <w:t>not</w:t>
      </w:r>
      <w:r w:rsidR="00AF4402">
        <w:rPr>
          <w:sz w:val="19"/>
          <w:szCs w:val="19"/>
        </w:rPr>
        <w:noBreakHyphen/>
        <w:t>for</w:t>
      </w:r>
      <w:r w:rsidR="00AF4402">
        <w:rPr>
          <w:sz w:val="19"/>
          <w:szCs w:val="19"/>
        </w:rPr>
        <w:noBreakHyphen/>
        <w:t>profit</w:t>
      </w:r>
      <w:r w:rsidR="0003537C" w:rsidRPr="005A2D12">
        <w:rPr>
          <w:sz w:val="19"/>
          <w:szCs w:val="19"/>
        </w:rPr>
        <w:t xml:space="preserve"> entities by permitting them to elect to measure </w:t>
      </w:r>
      <w:r w:rsidR="004F674E" w:rsidRPr="005A2D12">
        <w:rPr>
          <w:sz w:val="19"/>
          <w:szCs w:val="19"/>
          <w:lang w:eastAsia="en-US"/>
        </w:rPr>
        <w:t>right</w:t>
      </w:r>
      <w:r w:rsidR="004F674E" w:rsidRPr="005A2D12">
        <w:rPr>
          <w:sz w:val="19"/>
          <w:szCs w:val="19"/>
          <w:lang w:eastAsia="en-US"/>
        </w:rPr>
        <w:noBreakHyphen/>
        <w:t>of</w:t>
      </w:r>
      <w:r w:rsidR="004F674E" w:rsidRPr="005A2D12">
        <w:rPr>
          <w:sz w:val="19"/>
          <w:szCs w:val="19"/>
          <w:lang w:eastAsia="en-US"/>
        </w:rPr>
        <w:noBreakHyphen/>
        <w:t xml:space="preserve">use </w:t>
      </w:r>
      <w:r w:rsidR="0003537C" w:rsidRPr="005A2D12">
        <w:rPr>
          <w:sz w:val="19"/>
          <w:szCs w:val="19"/>
        </w:rPr>
        <w:t xml:space="preserve">assets </w:t>
      </w:r>
      <w:r w:rsidR="004F674E">
        <w:rPr>
          <w:sz w:val="19"/>
          <w:szCs w:val="19"/>
        </w:rPr>
        <w:t xml:space="preserve">arising </w:t>
      </w:r>
      <w:r w:rsidR="0003537C" w:rsidRPr="005A2D12">
        <w:rPr>
          <w:sz w:val="19"/>
          <w:szCs w:val="19"/>
        </w:rPr>
        <w:t xml:space="preserve">under concessionary leases at cost or fair value, </w:t>
      </w:r>
      <w:r w:rsidR="0003537C" w:rsidRPr="005A2D12">
        <w:rPr>
          <w:sz w:val="19"/>
          <w:szCs w:val="19"/>
        </w:rPr>
        <w:lastRenderedPageBreak/>
        <w:t xml:space="preserve">whether or not </w:t>
      </w:r>
      <w:r w:rsidR="00C94CCD" w:rsidRPr="005A2D12">
        <w:rPr>
          <w:sz w:val="19"/>
          <w:szCs w:val="19"/>
          <w:lang w:eastAsia="en-US"/>
        </w:rPr>
        <w:t>right</w:t>
      </w:r>
      <w:r w:rsidR="00C94CCD" w:rsidRPr="005A2D12">
        <w:rPr>
          <w:sz w:val="19"/>
          <w:szCs w:val="19"/>
          <w:lang w:eastAsia="en-US"/>
        </w:rPr>
        <w:noBreakHyphen/>
        <w:t>of</w:t>
      </w:r>
      <w:r w:rsidR="00C94CCD" w:rsidRPr="005A2D12">
        <w:rPr>
          <w:sz w:val="19"/>
          <w:szCs w:val="19"/>
          <w:lang w:eastAsia="en-US"/>
        </w:rPr>
        <w:noBreakHyphen/>
        <w:t>use</w:t>
      </w:r>
      <w:r w:rsidR="0003537C" w:rsidRPr="005A2D12">
        <w:rPr>
          <w:sz w:val="19"/>
          <w:szCs w:val="19"/>
        </w:rPr>
        <w:t xml:space="preserve"> assets arising under </w:t>
      </w:r>
      <w:r w:rsidR="004E043B">
        <w:rPr>
          <w:sz w:val="19"/>
          <w:szCs w:val="19"/>
        </w:rPr>
        <w:t>other</w:t>
      </w:r>
      <w:r w:rsidR="0003537C" w:rsidRPr="005A2D12">
        <w:rPr>
          <w:sz w:val="19"/>
          <w:szCs w:val="19"/>
        </w:rPr>
        <w:t xml:space="preserve"> leases </w:t>
      </w:r>
      <w:r w:rsidR="000D611A">
        <w:rPr>
          <w:sz w:val="19"/>
          <w:szCs w:val="19"/>
        </w:rPr>
        <w:t>that are</w:t>
      </w:r>
      <w:r w:rsidR="00600DB2">
        <w:rPr>
          <w:sz w:val="19"/>
          <w:szCs w:val="19"/>
        </w:rPr>
        <w:t xml:space="preserve"> in</w:t>
      </w:r>
      <w:r w:rsidR="0003537C" w:rsidRPr="005A2D12">
        <w:rPr>
          <w:sz w:val="19"/>
          <w:szCs w:val="19"/>
        </w:rPr>
        <w:t xml:space="preserve"> the same class are measured on the same basis.</w:t>
      </w:r>
    </w:p>
    <w:p w14:paraId="4FED8EE7" w14:textId="7966E88B" w:rsidR="00095C71" w:rsidRDefault="00275A81" w:rsidP="00B8027E">
      <w:pPr>
        <w:pStyle w:val="NoNumPlain1"/>
        <w:numPr>
          <w:ilvl w:val="0"/>
          <w:numId w:val="24"/>
        </w:numPr>
      </w:pPr>
      <w:r>
        <w:t>The Board considered that t</w:t>
      </w:r>
      <w:r w:rsidR="00600F5F" w:rsidRPr="00600F5F">
        <w:t xml:space="preserve">he </w:t>
      </w:r>
      <w:r w:rsidR="00600F5F" w:rsidRPr="00B8027E">
        <w:rPr>
          <w:szCs w:val="19"/>
        </w:rPr>
        <w:t>amendments</w:t>
      </w:r>
      <w:r w:rsidR="00600F5F" w:rsidRPr="00600F5F">
        <w:t xml:space="preserve"> made to paragraph Aus25.1 of AASB 16 and the commentary in paragraph BC14 to AASB</w:t>
      </w:r>
      <w:r w:rsidR="002E06A2">
        <w:t> </w:t>
      </w:r>
      <w:r w:rsidR="00600F5F" w:rsidRPr="00600F5F">
        <w:t xml:space="preserve">2018-8 already distinguished a class of </w:t>
      </w:r>
      <w:r w:rsidR="00842D8B" w:rsidRPr="005A2D12">
        <w:rPr>
          <w:szCs w:val="19"/>
        </w:rPr>
        <w:t>right</w:t>
      </w:r>
      <w:r w:rsidR="00842D8B" w:rsidRPr="005A2D12">
        <w:rPr>
          <w:szCs w:val="19"/>
        </w:rPr>
        <w:noBreakHyphen/>
        <w:t>of</w:t>
      </w:r>
      <w:r w:rsidR="00842D8B" w:rsidRPr="005A2D12">
        <w:rPr>
          <w:szCs w:val="19"/>
        </w:rPr>
        <w:noBreakHyphen/>
        <w:t>use</w:t>
      </w:r>
      <w:r w:rsidR="00600F5F" w:rsidRPr="00600F5F">
        <w:t xml:space="preserve"> assets based on whether the </w:t>
      </w:r>
      <w:r w:rsidR="004A5B4C" w:rsidRPr="005A2D12">
        <w:rPr>
          <w:szCs w:val="19"/>
        </w:rPr>
        <w:t>right</w:t>
      </w:r>
      <w:r w:rsidR="004A5B4C" w:rsidRPr="005A2D12">
        <w:rPr>
          <w:szCs w:val="19"/>
        </w:rPr>
        <w:noBreakHyphen/>
        <w:t>of</w:t>
      </w:r>
      <w:r w:rsidR="004A5B4C" w:rsidRPr="005A2D12">
        <w:rPr>
          <w:szCs w:val="19"/>
        </w:rPr>
        <w:noBreakHyphen/>
        <w:t>use</w:t>
      </w:r>
      <w:r w:rsidR="004A5B4C" w:rsidRPr="00600F5F">
        <w:t xml:space="preserve"> </w:t>
      </w:r>
      <w:r w:rsidR="00600F5F" w:rsidRPr="00600F5F">
        <w:t xml:space="preserve">assets arise under concessionary or non-concessionary leases, in addition to the requirement for a similar asset nature and use. </w:t>
      </w:r>
      <w:r w:rsidR="00354488">
        <w:t xml:space="preserve">Given the </w:t>
      </w:r>
      <w:r w:rsidR="00600F5F" w:rsidRPr="00600F5F">
        <w:t>uncertain</w:t>
      </w:r>
      <w:r w:rsidR="00354488">
        <w:t>ty</w:t>
      </w:r>
      <w:r w:rsidR="00600F5F" w:rsidRPr="00600F5F">
        <w:t xml:space="preserve"> whether the current measurement option is effective given the existing description of a class of asset</w:t>
      </w:r>
      <w:r w:rsidR="00354488">
        <w:t>,</w:t>
      </w:r>
      <w:r w:rsidR="00600F5F" w:rsidRPr="00600F5F">
        <w:t xml:space="preserve"> </w:t>
      </w:r>
      <w:r w:rsidR="00354488">
        <w:t xml:space="preserve">the Board decided </w:t>
      </w:r>
      <w:r w:rsidR="00354488" w:rsidRPr="00600F5F">
        <w:t>to clarify this</w:t>
      </w:r>
      <w:r w:rsidR="00354488">
        <w:t xml:space="preserve"> </w:t>
      </w:r>
      <w:r w:rsidR="00D2034A">
        <w:t>in the further amendment of AASB</w:t>
      </w:r>
      <w:r w:rsidR="00A54BB4">
        <w:t> </w:t>
      </w:r>
      <w:r w:rsidR="002C0C65">
        <w:t>16</w:t>
      </w:r>
      <w:r w:rsidR="00333194">
        <w:t>.</w:t>
      </w:r>
      <w:r w:rsidR="002C0C65">
        <w:t xml:space="preserve"> </w:t>
      </w:r>
    </w:p>
    <w:p w14:paraId="6C492F07" w14:textId="77777777" w:rsidR="00562C5D" w:rsidRPr="009C54B8" w:rsidRDefault="00562C5D" w:rsidP="00562C5D">
      <w:pPr>
        <w:pStyle w:val="IASBSectionTitle2Ind"/>
        <w:jc w:val="both"/>
      </w:pPr>
      <w:r>
        <w:t>Options for addressing the issues</w:t>
      </w:r>
    </w:p>
    <w:p w14:paraId="4E9E1BA0" w14:textId="19AF8467" w:rsidR="00562C5D" w:rsidRDefault="00562C5D" w:rsidP="00562C5D">
      <w:pPr>
        <w:pStyle w:val="NoNumPlain1"/>
        <w:numPr>
          <w:ilvl w:val="0"/>
          <w:numId w:val="24"/>
        </w:numPr>
      </w:pPr>
      <w:r>
        <w:t xml:space="preserve">The Board considered three possible options for resolving the issues: </w:t>
      </w:r>
    </w:p>
    <w:p w14:paraId="2532B5A0" w14:textId="2F1997E8" w:rsidR="00705FAE" w:rsidRDefault="00705FAE" w:rsidP="006F11B2">
      <w:pPr>
        <w:pStyle w:val="NoNumPlain1"/>
        <w:numPr>
          <w:ilvl w:val="0"/>
          <w:numId w:val="25"/>
        </w:numPr>
        <w:ind w:left="1139" w:hanging="357"/>
      </w:pPr>
      <w:r>
        <w:t xml:space="preserve">Option 1 – permit the election of the measurement basis for </w:t>
      </w:r>
      <w:r w:rsidR="00A65B43" w:rsidRPr="00125CCA">
        <w:rPr>
          <w:szCs w:val="19"/>
        </w:rPr>
        <w:t>right</w:t>
      </w:r>
      <w:r w:rsidR="00A65B43" w:rsidRPr="00125CCA">
        <w:rPr>
          <w:szCs w:val="19"/>
        </w:rPr>
        <w:noBreakHyphen/>
        <w:t>of</w:t>
      </w:r>
      <w:r w:rsidR="00A65B43" w:rsidRPr="00125CCA">
        <w:rPr>
          <w:szCs w:val="19"/>
        </w:rPr>
        <w:noBreakHyphen/>
        <w:t>use</w:t>
      </w:r>
      <w:r>
        <w:t xml:space="preserve"> assets on a lease-by-lease basis</w:t>
      </w:r>
      <w:r w:rsidR="00AE488C">
        <w:t xml:space="preserve">. This option would reduce comparability between </w:t>
      </w:r>
      <w:r w:rsidR="00F32AFD">
        <w:t xml:space="preserve">not-for-profit </w:t>
      </w:r>
      <w:r w:rsidR="00AE488C">
        <w:t xml:space="preserve">entities and amongst assets of an entity. </w:t>
      </w:r>
      <w:r w:rsidR="00125CCA">
        <w:t xml:space="preserve">The Board considered </w:t>
      </w:r>
      <w:r w:rsidR="00710AEE">
        <w:t>t</w:t>
      </w:r>
      <w:r w:rsidR="00AE488C">
        <w:t xml:space="preserve">here is a risk that entities might choose a measurement method for the purpose of achieving </w:t>
      </w:r>
      <w:r w:rsidR="00117BF7">
        <w:t>a particular outcome</w:t>
      </w:r>
      <w:r w:rsidR="00125CCA">
        <w:t>;</w:t>
      </w:r>
    </w:p>
    <w:p w14:paraId="256E7E56" w14:textId="6FCFA503" w:rsidR="00705FAE" w:rsidRDefault="00705FAE" w:rsidP="006F11B2">
      <w:pPr>
        <w:pStyle w:val="NoNumPlain1"/>
        <w:numPr>
          <w:ilvl w:val="0"/>
          <w:numId w:val="25"/>
        </w:numPr>
        <w:ind w:left="1139" w:hanging="357"/>
      </w:pPr>
      <w:r>
        <w:t xml:space="preserve">Option 2 – introduce a definition of ‘class of </w:t>
      </w:r>
      <w:r w:rsidR="00A65B43" w:rsidRPr="00676D45">
        <w:rPr>
          <w:szCs w:val="19"/>
        </w:rPr>
        <w:t>right</w:t>
      </w:r>
      <w:r w:rsidR="00A65B43" w:rsidRPr="00676D45">
        <w:rPr>
          <w:szCs w:val="19"/>
        </w:rPr>
        <w:noBreakHyphen/>
        <w:t>of</w:t>
      </w:r>
      <w:r w:rsidR="00A65B43" w:rsidRPr="00676D45">
        <w:rPr>
          <w:szCs w:val="19"/>
        </w:rPr>
        <w:noBreakHyphen/>
        <w:t>use</w:t>
      </w:r>
      <w:r>
        <w:t xml:space="preserve"> assets’ to clarify that concessionary leases may have a different nature and use in the entity’s operations compared with </w:t>
      </w:r>
      <w:r w:rsidR="004E7EE2">
        <w:t>other</w:t>
      </w:r>
      <w:r>
        <w:t xml:space="preserve"> leases</w:t>
      </w:r>
      <w:r w:rsidR="00125CCA">
        <w:t xml:space="preserve">. </w:t>
      </w:r>
      <w:r w:rsidR="00230E48">
        <w:t>The Board was of the view that the definition created would not be consistent with the concept of a class of assets in other Standards, which looks only at the nature and use of the assets in an entity’s operations.</w:t>
      </w:r>
      <w:r w:rsidR="00682C21">
        <w:t xml:space="preserve"> </w:t>
      </w:r>
      <w:r w:rsidR="00230E48">
        <w:t xml:space="preserve">AASB 16 paragraphs 53(a) and (j) require disclosure of the depreciation charge and the carrying amount for </w:t>
      </w:r>
      <w:r w:rsidR="00682C21" w:rsidRPr="00676D45">
        <w:rPr>
          <w:szCs w:val="19"/>
        </w:rPr>
        <w:t>right</w:t>
      </w:r>
      <w:r w:rsidR="00682C21" w:rsidRPr="00676D45">
        <w:rPr>
          <w:szCs w:val="19"/>
        </w:rPr>
        <w:noBreakHyphen/>
        <w:t>of</w:t>
      </w:r>
      <w:r w:rsidR="00682C21" w:rsidRPr="00676D45">
        <w:rPr>
          <w:szCs w:val="19"/>
        </w:rPr>
        <w:noBreakHyphen/>
        <w:t>use</w:t>
      </w:r>
      <w:r w:rsidR="00230E48">
        <w:t xml:space="preserve"> assets by class of underlying asset</w:t>
      </w:r>
      <w:r w:rsidR="00676D45">
        <w:t>, t</w:t>
      </w:r>
      <w:r w:rsidR="00230E48">
        <w:t xml:space="preserve">his will be less meaningful when the disclosures aggregate amounts for different </w:t>
      </w:r>
      <w:r w:rsidR="0031500F" w:rsidRPr="00676D45">
        <w:rPr>
          <w:szCs w:val="19"/>
        </w:rPr>
        <w:t>right</w:t>
      </w:r>
      <w:r w:rsidR="0031500F" w:rsidRPr="00676D45">
        <w:rPr>
          <w:szCs w:val="19"/>
        </w:rPr>
        <w:noBreakHyphen/>
        <w:t>of</w:t>
      </w:r>
      <w:r w:rsidR="0031500F" w:rsidRPr="00676D45">
        <w:rPr>
          <w:szCs w:val="19"/>
        </w:rPr>
        <w:noBreakHyphen/>
        <w:t>use</w:t>
      </w:r>
      <w:r w:rsidR="00230E48">
        <w:t xml:space="preserve"> asset classes measured on different bases</w:t>
      </w:r>
      <w:r w:rsidR="00374BFA">
        <w:t xml:space="preserve">. The Board also </w:t>
      </w:r>
      <w:r w:rsidR="00D96D1D">
        <w:t>considered that d</w:t>
      </w:r>
      <w:r w:rsidR="00D96D1D" w:rsidRPr="00D96D1D">
        <w:t xml:space="preserve">eveloping a new definition might require further guidance to be developed to assist preparers in applying the new </w:t>
      </w:r>
      <w:r w:rsidR="001D5587" w:rsidRPr="00D96D1D">
        <w:t>definition</w:t>
      </w:r>
      <w:r w:rsidR="001D5587">
        <w:t>; and</w:t>
      </w:r>
    </w:p>
    <w:p w14:paraId="1AF18076" w14:textId="1186A26F" w:rsidR="00705FAE" w:rsidRDefault="00705FAE" w:rsidP="0078755C">
      <w:pPr>
        <w:pStyle w:val="NoNumPlain1"/>
        <w:numPr>
          <w:ilvl w:val="0"/>
          <w:numId w:val="25"/>
        </w:numPr>
        <w:ind w:left="1139" w:hanging="357"/>
      </w:pPr>
      <w:r>
        <w:t>Option 3 –</w:t>
      </w:r>
      <w:r w:rsidR="004E7EE2">
        <w:t xml:space="preserve"> </w:t>
      </w:r>
      <w:r>
        <w:t xml:space="preserve">specify that </w:t>
      </w:r>
      <w:r w:rsidR="004E7EE2" w:rsidRPr="004B1F03">
        <w:rPr>
          <w:szCs w:val="19"/>
        </w:rPr>
        <w:t>right</w:t>
      </w:r>
      <w:r w:rsidR="004E7EE2" w:rsidRPr="004B1F03">
        <w:rPr>
          <w:szCs w:val="19"/>
        </w:rPr>
        <w:noBreakHyphen/>
        <w:t>of</w:t>
      </w:r>
      <w:r w:rsidR="004E7EE2" w:rsidRPr="004B1F03">
        <w:rPr>
          <w:szCs w:val="19"/>
        </w:rPr>
        <w:noBreakHyphen/>
        <w:t>use</w:t>
      </w:r>
      <w:r>
        <w:t xml:space="preserve"> assets </w:t>
      </w:r>
      <w:r w:rsidR="00401B60">
        <w:t xml:space="preserve">arising </w:t>
      </w:r>
      <w:r>
        <w:t xml:space="preserve">under concessionary leases </w:t>
      </w:r>
      <w:r w:rsidR="00803BAA">
        <w:t>may be treated as a</w:t>
      </w:r>
      <w:r>
        <w:t xml:space="preserve"> separate class of </w:t>
      </w:r>
      <w:r w:rsidR="00401B60" w:rsidRPr="004B1F03">
        <w:rPr>
          <w:szCs w:val="19"/>
        </w:rPr>
        <w:t>right</w:t>
      </w:r>
      <w:r w:rsidR="00401B60" w:rsidRPr="004B1F03">
        <w:rPr>
          <w:szCs w:val="19"/>
        </w:rPr>
        <w:noBreakHyphen/>
        <w:t>of</w:t>
      </w:r>
      <w:r w:rsidR="00401B60" w:rsidRPr="004B1F03">
        <w:rPr>
          <w:szCs w:val="19"/>
        </w:rPr>
        <w:noBreakHyphen/>
        <w:t>use</w:t>
      </w:r>
      <w:r>
        <w:t xml:space="preserve"> assets from </w:t>
      </w:r>
      <w:r w:rsidR="00401B60" w:rsidRPr="004B1F03">
        <w:rPr>
          <w:szCs w:val="19"/>
        </w:rPr>
        <w:t>right</w:t>
      </w:r>
      <w:r w:rsidR="00401B60" w:rsidRPr="004B1F03">
        <w:rPr>
          <w:szCs w:val="19"/>
        </w:rPr>
        <w:noBreakHyphen/>
        <w:t>of</w:t>
      </w:r>
      <w:r w:rsidR="00401B60" w:rsidRPr="004B1F03">
        <w:rPr>
          <w:szCs w:val="19"/>
        </w:rPr>
        <w:noBreakHyphen/>
        <w:t>use</w:t>
      </w:r>
      <w:r>
        <w:t xml:space="preserve"> assets </w:t>
      </w:r>
      <w:r w:rsidR="00401B60">
        <w:t xml:space="preserve">arising </w:t>
      </w:r>
      <w:r>
        <w:t xml:space="preserve">under </w:t>
      </w:r>
      <w:r w:rsidR="00401B60">
        <w:t xml:space="preserve">other </w:t>
      </w:r>
      <w:r>
        <w:t>leases.</w:t>
      </w:r>
      <w:r w:rsidR="008E6521" w:rsidRPr="008E6521">
        <w:t xml:space="preserve"> </w:t>
      </w:r>
      <w:r w:rsidR="008E6521">
        <w:t xml:space="preserve">As </w:t>
      </w:r>
      <w:r w:rsidR="003C4B52">
        <w:t xml:space="preserve">with Option 2, </w:t>
      </w:r>
      <w:r w:rsidR="00D96D1D">
        <w:t>this option</w:t>
      </w:r>
      <w:r w:rsidR="008E6521">
        <w:t xml:space="preserve"> would not be consistent with the concept of a class of assets in other Standards, which looks only at the nature and use of the </w:t>
      </w:r>
      <w:r w:rsidR="001D5587">
        <w:t>assets and</w:t>
      </w:r>
      <w:r w:rsidR="0035291F">
        <w:t xml:space="preserve"> </w:t>
      </w:r>
      <w:r w:rsidR="004B1F03">
        <w:t>a</w:t>
      </w:r>
      <w:r w:rsidR="008E6521">
        <w:t xml:space="preserve">ggregated </w:t>
      </w:r>
      <w:r w:rsidR="005D198B" w:rsidRPr="004B1F03">
        <w:rPr>
          <w:szCs w:val="19"/>
        </w:rPr>
        <w:t>right</w:t>
      </w:r>
      <w:r w:rsidR="005D198B" w:rsidRPr="004B1F03">
        <w:rPr>
          <w:szCs w:val="19"/>
        </w:rPr>
        <w:noBreakHyphen/>
        <w:t>of</w:t>
      </w:r>
      <w:r w:rsidR="005D198B" w:rsidRPr="004B1F03">
        <w:rPr>
          <w:szCs w:val="19"/>
        </w:rPr>
        <w:noBreakHyphen/>
        <w:t>use</w:t>
      </w:r>
      <w:r w:rsidR="008E6521">
        <w:t xml:space="preserve"> asset disclosures under AASB 16 may be less meaningful.</w:t>
      </w:r>
      <w:r w:rsidR="004B1F03">
        <w:t xml:space="preserve"> </w:t>
      </w:r>
    </w:p>
    <w:p w14:paraId="7C4B41A0" w14:textId="5E5EEAD5" w:rsidR="00CC5BF2" w:rsidRDefault="00CC5BF2" w:rsidP="00CC5BF2">
      <w:pPr>
        <w:pStyle w:val="NoNumPlain1"/>
        <w:numPr>
          <w:ilvl w:val="0"/>
          <w:numId w:val="24"/>
        </w:numPr>
      </w:pPr>
      <w:r w:rsidRPr="00CC5BF2">
        <w:t xml:space="preserve">The Board considered the advantages and disadvantages of each option and decided to adopt Option </w:t>
      </w:r>
      <w:r>
        <w:t>3</w:t>
      </w:r>
      <w:r w:rsidRPr="00CC5BF2">
        <w:t xml:space="preserve"> – specify that right</w:t>
      </w:r>
      <w:r w:rsidR="00B90532">
        <w:noBreakHyphen/>
      </w:r>
      <w:r w:rsidRPr="00CC5BF2">
        <w:t>of</w:t>
      </w:r>
      <w:r w:rsidR="00B90532">
        <w:noBreakHyphen/>
      </w:r>
      <w:r w:rsidRPr="00CC5BF2">
        <w:t xml:space="preserve">use assets </w:t>
      </w:r>
      <w:r w:rsidR="00BE11FB">
        <w:t xml:space="preserve">of not-for-profit entities </w:t>
      </w:r>
      <w:r w:rsidRPr="00CC5BF2">
        <w:t xml:space="preserve">arising under concessionary leases </w:t>
      </w:r>
      <w:r w:rsidR="00803BAA">
        <w:t xml:space="preserve">may be </w:t>
      </w:r>
      <w:r w:rsidR="008B0295">
        <w:t xml:space="preserve">treated </w:t>
      </w:r>
      <w:r w:rsidR="00803BAA">
        <w:t>as</w:t>
      </w:r>
      <w:r w:rsidRPr="00CC5BF2">
        <w:t xml:space="preserve"> a separate class of </w:t>
      </w:r>
      <w:r w:rsidR="00B90532" w:rsidRPr="00CC5BF2">
        <w:t>right</w:t>
      </w:r>
      <w:r w:rsidR="00B90532">
        <w:noBreakHyphen/>
      </w:r>
      <w:r w:rsidR="00B90532" w:rsidRPr="00CC5BF2">
        <w:t>of</w:t>
      </w:r>
      <w:r w:rsidR="00B90532">
        <w:noBreakHyphen/>
      </w:r>
      <w:r w:rsidR="00B90532" w:rsidRPr="00CC5BF2">
        <w:t xml:space="preserve">use </w:t>
      </w:r>
      <w:r w:rsidRPr="00CC5BF2">
        <w:t xml:space="preserve">assets from </w:t>
      </w:r>
      <w:r w:rsidR="00B90532" w:rsidRPr="00CC5BF2">
        <w:t>right</w:t>
      </w:r>
      <w:r w:rsidR="00B90532">
        <w:noBreakHyphen/>
      </w:r>
      <w:r w:rsidR="00B90532" w:rsidRPr="00CC5BF2">
        <w:t>of</w:t>
      </w:r>
      <w:r w:rsidR="00B90532">
        <w:noBreakHyphen/>
      </w:r>
      <w:r w:rsidR="00B90532" w:rsidRPr="00CC5BF2">
        <w:t xml:space="preserve">use </w:t>
      </w:r>
      <w:r w:rsidRPr="00CC5BF2">
        <w:t>assets arising under other leases.</w:t>
      </w:r>
      <w:r w:rsidR="00F707ED" w:rsidRPr="00F707ED">
        <w:t xml:space="preserve"> </w:t>
      </w:r>
      <w:r w:rsidR="00CD27A5">
        <w:t>T</w:t>
      </w:r>
      <w:r w:rsidR="00141908">
        <w:t>his option</w:t>
      </w:r>
      <w:r w:rsidR="00585CF8">
        <w:t xml:space="preserve"> </w:t>
      </w:r>
      <w:r w:rsidR="0077652F">
        <w:t xml:space="preserve">is expected to </w:t>
      </w:r>
      <w:r w:rsidR="00585CF8">
        <w:t xml:space="preserve">be </w:t>
      </w:r>
      <w:r w:rsidR="008663E7" w:rsidRPr="008663E7">
        <w:t xml:space="preserve">the simplest to apply without limiting the scope of the exemption from the requirements to measure </w:t>
      </w:r>
      <w:r w:rsidR="00A525B4" w:rsidRPr="004B1F03">
        <w:rPr>
          <w:szCs w:val="19"/>
        </w:rPr>
        <w:t>right</w:t>
      </w:r>
      <w:r w:rsidR="00A525B4" w:rsidRPr="004B1F03">
        <w:rPr>
          <w:szCs w:val="19"/>
        </w:rPr>
        <w:noBreakHyphen/>
        <w:t>of</w:t>
      </w:r>
      <w:r w:rsidR="00A525B4" w:rsidRPr="004B1F03">
        <w:rPr>
          <w:szCs w:val="19"/>
        </w:rPr>
        <w:noBreakHyphen/>
        <w:t>use</w:t>
      </w:r>
      <w:r w:rsidR="008663E7" w:rsidRPr="008663E7">
        <w:t xml:space="preserve"> assets at fair value in advance of public sector </w:t>
      </w:r>
      <w:r w:rsidR="00A525B4">
        <w:t>not</w:t>
      </w:r>
      <w:r w:rsidR="00A525B4">
        <w:noBreakHyphen/>
        <w:t>for</w:t>
      </w:r>
      <w:r w:rsidR="00A525B4">
        <w:noBreakHyphen/>
        <w:t>profit</w:t>
      </w:r>
      <w:r w:rsidR="008663E7" w:rsidRPr="008663E7">
        <w:t xml:space="preserve"> entity guidance on applying fair value.</w:t>
      </w:r>
      <w:r w:rsidR="006F2D06">
        <w:t xml:space="preserve"> </w:t>
      </w:r>
      <w:r w:rsidR="00E575C4">
        <w:t>T</w:t>
      </w:r>
      <w:r w:rsidR="00F707ED">
        <w:t xml:space="preserve">he Board </w:t>
      </w:r>
      <w:r w:rsidR="00E575C4">
        <w:t xml:space="preserve">noted </w:t>
      </w:r>
      <w:r w:rsidR="00EB6BFC">
        <w:t xml:space="preserve">specifying </w:t>
      </w:r>
      <w:r w:rsidR="00EB6BFC" w:rsidRPr="00CC5BF2">
        <w:t>that right</w:t>
      </w:r>
      <w:r w:rsidR="00EB6BFC">
        <w:noBreakHyphen/>
      </w:r>
      <w:r w:rsidR="00EB6BFC" w:rsidRPr="00CC5BF2">
        <w:t>of</w:t>
      </w:r>
      <w:r w:rsidR="00EB6BFC">
        <w:noBreakHyphen/>
      </w:r>
      <w:r w:rsidR="00EB6BFC" w:rsidRPr="00CC5BF2">
        <w:t xml:space="preserve">use assets arising under concessionary leases </w:t>
      </w:r>
      <w:r w:rsidR="002838C5">
        <w:t>can be treated as</w:t>
      </w:r>
      <w:r w:rsidR="00EB6BFC" w:rsidRPr="00CC5BF2">
        <w:t xml:space="preserve"> a separate class of right</w:t>
      </w:r>
      <w:r w:rsidR="00EB6BFC">
        <w:noBreakHyphen/>
      </w:r>
      <w:r w:rsidR="00EB6BFC" w:rsidRPr="00CC5BF2">
        <w:t>of</w:t>
      </w:r>
      <w:r w:rsidR="00EB6BFC">
        <w:noBreakHyphen/>
      </w:r>
      <w:r w:rsidR="00EB6BFC" w:rsidRPr="00CC5BF2">
        <w:t>use assets from right</w:t>
      </w:r>
      <w:r w:rsidR="00EB6BFC">
        <w:noBreakHyphen/>
      </w:r>
      <w:r w:rsidR="00EB6BFC" w:rsidRPr="00CC5BF2">
        <w:t>of</w:t>
      </w:r>
      <w:r w:rsidR="00EB6BFC">
        <w:noBreakHyphen/>
      </w:r>
      <w:r w:rsidR="00EB6BFC" w:rsidRPr="00CC5BF2">
        <w:t>use assets arising under other leases</w:t>
      </w:r>
      <w:r w:rsidR="00E575C4">
        <w:t xml:space="preserve"> </w:t>
      </w:r>
      <w:r w:rsidR="00E575C4" w:rsidRPr="00E575C4">
        <w:t>would not be consistent with the concept of a class of assets in other Standards</w:t>
      </w:r>
      <w:r w:rsidR="00F2095A">
        <w:t>,</w:t>
      </w:r>
      <w:r w:rsidR="0067062B">
        <w:t xml:space="preserve"> </w:t>
      </w:r>
      <w:r w:rsidR="002A03AD">
        <w:t xml:space="preserve">which </w:t>
      </w:r>
      <w:r w:rsidR="0067062B">
        <w:t>looks only at the nature and use of the assets</w:t>
      </w:r>
      <w:r w:rsidR="00F2095A">
        <w:t>.</w:t>
      </w:r>
      <w:r w:rsidR="000E4119">
        <w:t xml:space="preserve"> </w:t>
      </w:r>
      <w:r w:rsidR="00F2095A">
        <w:t>However</w:t>
      </w:r>
      <w:r w:rsidR="000E4119">
        <w:t xml:space="preserve">, </w:t>
      </w:r>
      <w:r w:rsidR="00F2095A">
        <w:t xml:space="preserve">the Board </w:t>
      </w:r>
      <w:r w:rsidR="004431EE">
        <w:t xml:space="preserve">considered this </w:t>
      </w:r>
      <w:r w:rsidR="00EB5582">
        <w:t>would be</w:t>
      </w:r>
      <w:r w:rsidR="00F707ED">
        <w:t xml:space="preserve"> a pragmatic </w:t>
      </w:r>
      <w:r w:rsidR="00EC7255">
        <w:t xml:space="preserve">and limited </w:t>
      </w:r>
      <w:r w:rsidR="00F707ED">
        <w:t>response to the issue</w:t>
      </w:r>
      <w:r w:rsidR="007A1CC1">
        <w:t xml:space="preserve"> for not-for-profit </w:t>
      </w:r>
      <w:proofErr w:type="gramStart"/>
      <w:r w:rsidR="007A1CC1">
        <w:t>entities</w:t>
      </w:r>
      <w:r w:rsidR="00F2095A">
        <w:t>, and</w:t>
      </w:r>
      <w:proofErr w:type="gramEnd"/>
      <w:r w:rsidR="00F2095A">
        <w:t xml:space="preserve"> </w:t>
      </w:r>
      <w:r w:rsidR="00EF5A56">
        <w:t>added paragraph Aus25.2 to AASB 16</w:t>
      </w:r>
      <w:r w:rsidR="00F707ED">
        <w:t>.</w:t>
      </w:r>
      <w:r w:rsidR="00233496">
        <w:t xml:space="preserve"> The Board </w:t>
      </w:r>
      <w:r w:rsidR="00060661">
        <w:t xml:space="preserve">decided that this approach of treating sub-classes of assets as separate classes </w:t>
      </w:r>
      <w:r w:rsidR="000F4076">
        <w:t xml:space="preserve">should not be applied by analogy </w:t>
      </w:r>
      <w:r w:rsidR="00140D81">
        <w:t>in</w:t>
      </w:r>
      <w:r w:rsidR="000F4076">
        <w:t xml:space="preserve"> other </w:t>
      </w:r>
      <w:r w:rsidR="0016789B">
        <w:t>circumstances.</w:t>
      </w:r>
    </w:p>
    <w:p w14:paraId="061850EE" w14:textId="2016DB82" w:rsidR="00C25FB8" w:rsidRPr="009C54B8" w:rsidRDefault="00C25FB8" w:rsidP="00C25FB8">
      <w:pPr>
        <w:pStyle w:val="IASBSectionTitle2Ind"/>
        <w:jc w:val="both"/>
      </w:pPr>
      <w:r>
        <w:t xml:space="preserve">Measuring </w:t>
      </w:r>
      <w:r w:rsidR="007E0A3C" w:rsidRPr="007E0A3C">
        <w:t xml:space="preserve">some </w:t>
      </w:r>
      <w:r w:rsidR="007E0A3C">
        <w:t>right</w:t>
      </w:r>
      <w:r w:rsidR="007E0A3C">
        <w:noBreakHyphen/>
        <w:t>of</w:t>
      </w:r>
      <w:r w:rsidR="007E0A3C">
        <w:noBreakHyphen/>
        <w:t>use</w:t>
      </w:r>
      <w:r w:rsidR="007E0A3C" w:rsidRPr="007E0A3C">
        <w:t xml:space="preserve"> assets </w:t>
      </w:r>
      <w:r w:rsidR="007E0A3C">
        <w:t xml:space="preserve">arising </w:t>
      </w:r>
      <w:r w:rsidR="007E0A3C" w:rsidRPr="007E0A3C">
        <w:t>under concessionary leases at cost and others at fair value</w:t>
      </w:r>
    </w:p>
    <w:p w14:paraId="6AA28994" w14:textId="330A08AC" w:rsidR="00B74F53" w:rsidRDefault="0092304D" w:rsidP="00B74F53">
      <w:pPr>
        <w:pStyle w:val="NoNumPlain1"/>
        <w:numPr>
          <w:ilvl w:val="0"/>
          <w:numId w:val="24"/>
        </w:numPr>
      </w:pPr>
      <w:r>
        <w:t>Some stakeholders</w:t>
      </w:r>
      <w:r w:rsidR="002545BE">
        <w:t xml:space="preserve"> </w:t>
      </w:r>
      <w:r w:rsidR="008E1505">
        <w:t xml:space="preserve">commented that some public </w:t>
      </w:r>
      <w:r w:rsidR="002545BE">
        <w:t xml:space="preserve">sector entities have been </w:t>
      </w:r>
      <w:r w:rsidR="008D48C7">
        <w:t xml:space="preserve">measuring </w:t>
      </w:r>
      <w:r w:rsidR="00071C93">
        <w:t xml:space="preserve">at fair value </w:t>
      </w:r>
      <w:r w:rsidR="002545BE">
        <w:t xml:space="preserve">leased assets </w:t>
      </w:r>
      <w:r w:rsidR="003617C9">
        <w:t>arising under</w:t>
      </w:r>
      <w:r w:rsidR="006A5014">
        <w:t xml:space="preserve"> </w:t>
      </w:r>
      <w:r w:rsidR="002545BE">
        <w:t>finance leases pursuant to AASB 117</w:t>
      </w:r>
      <w:r w:rsidR="00ED23DC">
        <w:t xml:space="preserve"> </w:t>
      </w:r>
      <w:r w:rsidR="00ED23DC" w:rsidRPr="00ED23DC">
        <w:rPr>
          <w:i/>
          <w:iCs/>
        </w:rPr>
        <w:t>Leases</w:t>
      </w:r>
      <w:r w:rsidR="00ED23DC">
        <w:t xml:space="preserve">, and </w:t>
      </w:r>
      <w:r w:rsidR="001643BC">
        <w:t xml:space="preserve">expressed a desire to </w:t>
      </w:r>
      <w:r w:rsidR="002545BE">
        <w:t xml:space="preserve">continue measuring at fair value </w:t>
      </w:r>
      <w:r w:rsidR="008A0443" w:rsidRPr="00CC5BF2">
        <w:t>right</w:t>
      </w:r>
      <w:r w:rsidR="008A0443">
        <w:noBreakHyphen/>
      </w:r>
      <w:r w:rsidR="008A0443" w:rsidRPr="00CC5BF2">
        <w:t>of</w:t>
      </w:r>
      <w:r w:rsidR="008A0443">
        <w:noBreakHyphen/>
      </w:r>
      <w:r w:rsidR="008A0443" w:rsidRPr="00CC5BF2">
        <w:t>use</w:t>
      </w:r>
      <w:r w:rsidR="002545BE">
        <w:t xml:space="preserve"> assets related to concessionary leases that were classified previously as finance leases, and measure </w:t>
      </w:r>
      <w:r w:rsidR="00B2734B" w:rsidRPr="00CC5BF2">
        <w:t>right</w:t>
      </w:r>
      <w:r w:rsidR="00B2734B">
        <w:noBreakHyphen/>
      </w:r>
      <w:r w:rsidR="00B2734B" w:rsidRPr="00CC5BF2">
        <w:t>of</w:t>
      </w:r>
      <w:r w:rsidR="00B2734B">
        <w:noBreakHyphen/>
      </w:r>
      <w:r w:rsidR="00B2734B" w:rsidRPr="00CC5BF2">
        <w:t>use</w:t>
      </w:r>
      <w:r w:rsidR="002545BE">
        <w:t xml:space="preserve"> assets </w:t>
      </w:r>
      <w:r w:rsidR="00E75160">
        <w:t xml:space="preserve">of other concessionary leases </w:t>
      </w:r>
      <w:r w:rsidR="002545BE">
        <w:t xml:space="preserve">at cost. </w:t>
      </w:r>
      <w:r w:rsidR="008763CE">
        <w:t xml:space="preserve">They </w:t>
      </w:r>
      <w:r w:rsidR="00B74F53">
        <w:t xml:space="preserve">questioned whether </w:t>
      </w:r>
      <w:r w:rsidR="00B74F53" w:rsidRPr="00CC5BF2">
        <w:t>right</w:t>
      </w:r>
      <w:r w:rsidR="00B74F53">
        <w:noBreakHyphen/>
      </w:r>
      <w:r w:rsidR="00B74F53" w:rsidRPr="00CC5BF2">
        <w:t>of</w:t>
      </w:r>
      <w:r w:rsidR="00B74F53">
        <w:noBreakHyphen/>
      </w:r>
      <w:r w:rsidR="00B74F53" w:rsidRPr="00CC5BF2">
        <w:t>use</w:t>
      </w:r>
      <w:r w:rsidR="00B74F53">
        <w:t xml:space="preserve"> assets related to concessionary finance leases can be </w:t>
      </w:r>
      <w:r w:rsidR="000515B8">
        <w:t xml:space="preserve">considered </w:t>
      </w:r>
      <w:r w:rsidR="00B74F53">
        <w:t>a separate class</w:t>
      </w:r>
      <w:r w:rsidR="000515B8">
        <w:t xml:space="preserve"> of</w:t>
      </w:r>
      <w:r w:rsidR="000515B8" w:rsidRPr="000515B8">
        <w:t xml:space="preserve"> </w:t>
      </w:r>
      <w:r w:rsidR="000515B8" w:rsidRPr="00CC5BF2">
        <w:t>right</w:t>
      </w:r>
      <w:r w:rsidR="000515B8">
        <w:noBreakHyphen/>
      </w:r>
      <w:r w:rsidR="000515B8" w:rsidRPr="00CC5BF2">
        <w:t>of</w:t>
      </w:r>
      <w:r w:rsidR="000515B8">
        <w:noBreakHyphen/>
      </w:r>
      <w:r w:rsidR="000515B8" w:rsidRPr="00CC5BF2">
        <w:t>use</w:t>
      </w:r>
      <w:r w:rsidR="000515B8">
        <w:t xml:space="preserve"> assets</w:t>
      </w:r>
      <w:r w:rsidR="00B74F53">
        <w:t>.</w:t>
      </w:r>
    </w:p>
    <w:p w14:paraId="5A34EBCA" w14:textId="3A64A6DB" w:rsidR="00B56FE9" w:rsidRDefault="00C3565C" w:rsidP="006F11B2">
      <w:pPr>
        <w:pStyle w:val="NoNumPlain1"/>
        <w:numPr>
          <w:ilvl w:val="0"/>
          <w:numId w:val="24"/>
        </w:numPr>
      </w:pPr>
      <w:r>
        <w:t>E</w:t>
      </w:r>
      <w:r w:rsidR="00B56FE9">
        <w:t xml:space="preserve">ven though electing measurement models based on the GFS categories of operating lease and finance lease could achieve better GFS alignment, </w:t>
      </w:r>
      <w:r w:rsidR="00915DDC">
        <w:t xml:space="preserve">the Board </w:t>
      </w:r>
      <w:r w:rsidR="00B56FE9">
        <w:t>consider</w:t>
      </w:r>
      <w:r w:rsidR="00915DDC">
        <w:t>ed</w:t>
      </w:r>
      <w:r w:rsidR="00B56FE9">
        <w:t xml:space="preserve"> that this would conflict with the accounting measurement basis for leases, given the removal of the operating and finance lease distinction for lessees. AASB 1049 paragraph 13 does not require consistency with GFS in the event of a conflict. Permitting the election of cost or fair value measurement based on GFS categories would risk prioritising GFS alignment over faithful and comparable presentation of </w:t>
      </w:r>
      <w:r w:rsidR="008434DC" w:rsidRPr="00CC5BF2">
        <w:t>right</w:t>
      </w:r>
      <w:r w:rsidR="008434DC">
        <w:noBreakHyphen/>
      </w:r>
      <w:r w:rsidR="008434DC" w:rsidRPr="00CC5BF2">
        <w:t>of</w:t>
      </w:r>
      <w:r w:rsidR="008434DC">
        <w:noBreakHyphen/>
      </w:r>
      <w:r w:rsidR="008434DC" w:rsidRPr="00CC5BF2">
        <w:t>use</w:t>
      </w:r>
      <w:r w:rsidR="00B56FE9">
        <w:t xml:space="preserve"> assets in statements of financial position.</w:t>
      </w:r>
      <w:r w:rsidR="002C5114">
        <w:t xml:space="preserve"> </w:t>
      </w:r>
      <w:r w:rsidR="00B56FE9">
        <w:t xml:space="preserve">Therefore, the Board </w:t>
      </w:r>
      <w:r w:rsidR="008434DC">
        <w:t xml:space="preserve">considered that </w:t>
      </w:r>
      <w:r w:rsidR="001D4DF9">
        <w:t>lessees’</w:t>
      </w:r>
      <w:r w:rsidR="00B56FE9">
        <w:t xml:space="preserve"> election of cost or fair value measurement</w:t>
      </w:r>
      <w:r w:rsidR="008F22C9">
        <w:t xml:space="preserve"> should not be</w:t>
      </w:r>
      <w:r w:rsidR="00B56FE9">
        <w:t xml:space="preserve"> based on the superseded categories of finance lease and operating lease</w:t>
      </w:r>
      <w:r w:rsidR="00415B17">
        <w:t xml:space="preserve"> for lessees</w:t>
      </w:r>
      <w:r w:rsidR="00B56FE9">
        <w:t xml:space="preserve">. </w:t>
      </w:r>
    </w:p>
    <w:p w14:paraId="4261E5EB" w14:textId="5F09BE27" w:rsidR="00B809CA" w:rsidRDefault="00B809CA" w:rsidP="006F11B2">
      <w:pPr>
        <w:pStyle w:val="NoNumPlain1"/>
        <w:numPr>
          <w:ilvl w:val="0"/>
          <w:numId w:val="24"/>
        </w:numPr>
      </w:pPr>
      <w:r>
        <w:lastRenderedPageBreak/>
        <w:t xml:space="preserve">However, the Board concluded that it would be appropriate to permit </w:t>
      </w:r>
      <w:r w:rsidR="006E1FA1">
        <w:t xml:space="preserve">not-for-profit public sector entities to </w:t>
      </w:r>
      <w:r w:rsidR="00E30AE9">
        <w:t xml:space="preserve">measure separate classes of right-of-use assets </w:t>
      </w:r>
      <w:r w:rsidR="00391122">
        <w:t xml:space="preserve">based on </w:t>
      </w:r>
      <w:r w:rsidR="00E506DB">
        <w:t xml:space="preserve">those arising from </w:t>
      </w:r>
      <w:r w:rsidR="00521EA2">
        <w:t xml:space="preserve">concessionary leases and those arising </w:t>
      </w:r>
      <w:r w:rsidR="00391122">
        <w:t xml:space="preserve">under other leases </w:t>
      </w:r>
      <w:r w:rsidR="00606350">
        <w:t xml:space="preserve">on </w:t>
      </w:r>
      <w:r w:rsidR="00930FC1">
        <w:t xml:space="preserve">different bases. That is, </w:t>
      </w:r>
      <w:r w:rsidR="000F6F7E">
        <w:t xml:space="preserve">one of those classes could be measured at cost and the other at fair value, if the </w:t>
      </w:r>
      <w:r w:rsidR="007D6D67">
        <w:t xml:space="preserve">lessee applies the revaluation model </w:t>
      </w:r>
      <w:r w:rsidR="004E6287">
        <w:t xml:space="preserve">to the class of property, plant and equipment to which the </w:t>
      </w:r>
      <w:r w:rsidR="000F4C74">
        <w:t>right-of-use assets relate.</w:t>
      </w:r>
      <w:r w:rsidR="00856DF7">
        <w:t xml:space="preserve"> </w:t>
      </w:r>
      <w:proofErr w:type="gramStart"/>
      <w:r w:rsidR="00856DF7">
        <w:t>Thus</w:t>
      </w:r>
      <w:proofErr w:type="gramEnd"/>
      <w:r w:rsidR="00856DF7">
        <w:t xml:space="preserve"> a modification to paragraph 35</w:t>
      </w:r>
      <w:r w:rsidR="00343EE4">
        <w:t xml:space="preserve">, which does not refer to classes of right-of-use assets, </w:t>
      </w:r>
      <w:r w:rsidR="00D33BB4">
        <w:t>i</w:t>
      </w:r>
      <w:r w:rsidR="00343EE4">
        <w:t>s required</w:t>
      </w:r>
      <w:r w:rsidR="005A011B">
        <w:t>, and so the Board added paragraph Aus35.1 to AASB 16.</w:t>
      </w:r>
    </w:p>
    <w:p w14:paraId="4A2B9C4F" w14:textId="6F24CF7C" w:rsidR="00C25FB8" w:rsidRPr="00CC5BF2" w:rsidRDefault="006A4ADB" w:rsidP="006F11B2">
      <w:pPr>
        <w:pStyle w:val="NoNumPlain1"/>
        <w:numPr>
          <w:ilvl w:val="0"/>
          <w:numId w:val="24"/>
        </w:numPr>
      </w:pPr>
      <w:r>
        <w:t xml:space="preserve">The Board noted </w:t>
      </w:r>
      <w:r w:rsidR="00B56FE9">
        <w:t xml:space="preserve">that entities would not be required to remeasure </w:t>
      </w:r>
      <w:r w:rsidR="001D4DF9" w:rsidRPr="00CC5BF2">
        <w:t>right</w:t>
      </w:r>
      <w:r w:rsidR="001D4DF9">
        <w:noBreakHyphen/>
      </w:r>
      <w:r w:rsidR="001D4DF9" w:rsidRPr="00CC5BF2">
        <w:t>of</w:t>
      </w:r>
      <w:r w:rsidR="001D4DF9">
        <w:noBreakHyphen/>
      </w:r>
      <w:r w:rsidR="001D4DF9" w:rsidRPr="00CC5BF2">
        <w:t>use</w:t>
      </w:r>
      <w:r w:rsidR="00B56FE9">
        <w:t xml:space="preserve"> assets of existing concessionary finance leases at cost if they </w:t>
      </w:r>
      <w:r w:rsidR="007E5ACE">
        <w:t>have</w:t>
      </w:r>
      <w:r w:rsidR="00B56FE9">
        <w:t xml:space="preserve"> already appl</w:t>
      </w:r>
      <w:r w:rsidR="007E5ACE">
        <w:t>ied</w:t>
      </w:r>
      <w:r w:rsidR="00B56FE9">
        <w:t xml:space="preserve"> the fair value model to those lease assets under AASB 117 and would now measure the class of </w:t>
      </w:r>
      <w:r w:rsidR="007E5ACE" w:rsidRPr="00CC5BF2">
        <w:t>right</w:t>
      </w:r>
      <w:r w:rsidR="007E5ACE">
        <w:noBreakHyphen/>
      </w:r>
      <w:r w:rsidR="007E5ACE" w:rsidRPr="00CC5BF2">
        <w:t>of</w:t>
      </w:r>
      <w:r w:rsidR="007E5ACE">
        <w:noBreakHyphen/>
      </w:r>
      <w:r w:rsidR="007E5ACE" w:rsidRPr="00CC5BF2">
        <w:t>use</w:t>
      </w:r>
      <w:r w:rsidR="00B56FE9">
        <w:t xml:space="preserve"> assets at cost. Under paragraph C11 of AASB 16, entities can use the AASB 117 carrying amounts (fair value) as the basis for applying AASB 16 under the modified transition approach, without having to remeasure those amounts. </w:t>
      </w:r>
    </w:p>
    <w:sectPr w:rsidR="00C25FB8" w:rsidRPr="00CC5BF2" w:rsidSect="00D74C6A">
      <w:footerReference w:type="default" r:id="rId13"/>
      <w:pgSz w:w="11907" w:h="16840" w:code="9"/>
      <w:pgMar w:top="1418" w:right="1418" w:bottom="1418" w:left="1418" w:header="709" w:footer="709" w:gutter="0"/>
      <w:paperSrc w:first="7" w:other="7"/>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A1AE4" w14:textId="77777777" w:rsidR="0054589B" w:rsidRDefault="0054589B">
      <w:r>
        <w:separator/>
      </w:r>
    </w:p>
  </w:endnote>
  <w:endnote w:type="continuationSeparator" w:id="0">
    <w:p w14:paraId="4CA50B65" w14:textId="77777777" w:rsidR="0054589B" w:rsidRDefault="0054589B">
      <w:r>
        <w:continuationSeparator/>
      </w:r>
    </w:p>
  </w:endnote>
  <w:endnote w:type="continuationNotice" w:id="1">
    <w:p w14:paraId="5956CBD5" w14:textId="77777777" w:rsidR="0054589B" w:rsidRDefault="005458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5D074" w14:textId="59D68A29" w:rsidR="00074CB7" w:rsidRDefault="00074CB7">
    <w:pPr>
      <w:pStyle w:val="Footer"/>
      <w:rPr>
        <w:b/>
      </w:rPr>
    </w:pPr>
    <w:r>
      <w:rPr>
        <w:b/>
      </w:rPr>
      <w:t xml:space="preserve">AASB </w:t>
    </w:r>
    <w:r>
      <w:rPr>
        <w:b/>
      </w:rPr>
      <w:fldChar w:fldCharType="begin"/>
    </w:r>
    <w:r>
      <w:rPr>
        <w:b/>
      </w:rPr>
      <w:instrText xml:space="preserve"> REF DocNo  \* charformat </w:instrText>
    </w:r>
    <w:r>
      <w:rPr>
        <w:b/>
      </w:rPr>
      <w:fldChar w:fldCharType="separate"/>
    </w:r>
    <w:r w:rsidR="00933227" w:rsidRPr="00933227">
      <w:rPr>
        <w:b/>
      </w:rPr>
      <w:t>2019-8</w:t>
    </w:r>
    <w:r>
      <w:rPr>
        <w:b/>
      </w:rPr>
      <w:fldChar w:fldCharType="end"/>
    </w:r>
    <w:r>
      <w:rPr>
        <w:b/>
      </w:rPr>
      <w:tab/>
    </w:r>
    <w:r>
      <w:fldChar w:fldCharType="begin"/>
    </w:r>
    <w:r>
      <w:instrText>PAGE</w:instrText>
    </w:r>
    <w:r>
      <w:fldChar w:fldCharType="separate"/>
    </w:r>
    <w:r w:rsidR="001E09E1">
      <w:rPr>
        <w:noProof/>
      </w:rPr>
      <w:t>2</w:t>
    </w:r>
    <w:r>
      <w:fldChar w:fldCharType="end"/>
    </w:r>
    <w:r>
      <w:tab/>
    </w:r>
    <w:r>
      <w:rPr>
        <w:b/>
        <w:bCs/>
      </w:rPr>
      <w:t>COPYRIGHT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5C217" w14:textId="0CA4296F" w:rsidR="00074CB7" w:rsidRDefault="00C27A62">
    <w:pPr>
      <w:pStyle w:val="Footer"/>
      <w:rPr>
        <w:b/>
      </w:rPr>
    </w:pPr>
    <w:r>
      <w:rPr>
        <w:b/>
      </w:rPr>
      <w:t xml:space="preserve">AASB </w:t>
    </w:r>
    <w:r>
      <w:rPr>
        <w:b/>
      </w:rPr>
      <w:fldChar w:fldCharType="begin"/>
    </w:r>
    <w:r>
      <w:rPr>
        <w:b/>
      </w:rPr>
      <w:instrText xml:space="preserve"> REF DocNo  \* charformat </w:instrText>
    </w:r>
    <w:r>
      <w:rPr>
        <w:b/>
      </w:rPr>
      <w:fldChar w:fldCharType="separate"/>
    </w:r>
    <w:r w:rsidR="00933227" w:rsidRPr="00933227">
      <w:rPr>
        <w:b/>
      </w:rPr>
      <w:t>2019-8</w:t>
    </w:r>
    <w:r>
      <w:rPr>
        <w:b/>
      </w:rPr>
      <w:fldChar w:fldCharType="end"/>
    </w:r>
    <w:r w:rsidR="00074CB7">
      <w:rPr>
        <w:b/>
      </w:rPr>
      <w:tab/>
    </w:r>
    <w:r w:rsidR="00074CB7">
      <w:fldChar w:fldCharType="begin"/>
    </w:r>
    <w:r w:rsidR="00074CB7">
      <w:instrText>PAGE</w:instrText>
    </w:r>
    <w:r w:rsidR="00074CB7">
      <w:fldChar w:fldCharType="separate"/>
    </w:r>
    <w:r w:rsidR="001E09E1">
      <w:rPr>
        <w:noProof/>
      </w:rPr>
      <w:t>3</w:t>
    </w:r>
    <w:r w:rsidR="00074CB7">
      <w:fldChar w:fldCharType="end"/>
    </w:r>
    <w:r w:rsidR="00074CB7">
      <w:tab/>
    </w:r>
    <w:r w:rsidR="00074CB7">
      <w:rPr>
        <w:b/>
        <w:bCs/>
      </w:rPr>
      <w:t>CONTENTS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0D1F4" w14:textId="3A5E03E9" w:rsidR="00074CB7" w:rsidRDefault="00074CB7">
    <w:pPr>
      <w:pStyle w:val="Footer"/>
      <w:rPr>
        <w:b/>
      </w:rPr>
    </w:pPr>
    <w:r>
      <w:rPr>
        <w:b/>
      </w:rPr>
      <w:t xml:space="preserve">AASB </w:t>
    </w:r>
    <w:r>
      <w:rPr>
        <w:b/>
      </w:rPr>
      <w:fldChar w:fldCharType="begin"/>
    </w:r>
    <w:r>
      <w:rPr>
        <w:b/>
      </w:rPr>
      <w:instrText xml:space="preserve"> REF DocNo  \* charformat </w:instrText>
    </w:r>
    <w:r>
      <w:rPr>
        <w:b/>
      </w:rPr>
      <w:fldChar w:fldCharType="separate"/>
    </w:r>
    <w:r w:rsidR="00933227" w:rsidRPr="00933227">
      <w:rPr>
        <w:b/>
      </w:rPr>
      <w:t>2019-8</w:t>
    </w:r>
    <w:r>
      <w:rPr>
        <w:b/>
      </w:rPr>
      <w:fldChar w:fldCharType="end"/>
    </w:r>
    <w:r>
      <w:rPr>
        <w:b/>
      </w:rPr>
      <w:tab/>
    </w:r>
    <w:r>
      <w:fldChar w:fldCharType="begin"/>
    </w:r>
    <w:r>
      <w:instrText>PAGE</w:instrText>
    </w:r>
    <w:r>
      <w:fldChar w:fldCharType="separate"/>
    </w:r>
    <w:r w:rsidR="001E09E1">
      <w:rPr>
        <w:noProof/>
      </w:rPr>
      <w:t>4</w:t>
    </w:r>
    <w:r>
      <w:fldChar w:fldCharType="end"/>
    </w:r>
    <w:r>
      <w:tab/>
    </w:r>
    <w:r>
      <w:rPr>
        <w:b/>
        <w:bCs/>
      </w:rPr>
      <w:t>PREFACE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DC8BB" w14:textId="36E74CA7" w:rsidR="00074CB7" w:rsidRDefault="00074CB7">
    <w:pPr>
      <w:pStyle w:val="Footer"/>
      <w:rPr>
        <w:b/>
      </w:rPr>
    </w:pPr>
    <w:r>
      <w:rPr>
        <w:b/>
      </w:rPr>
      <w:t xml:space="preserve">AASB </w:t>
    </w:r>
    <w:r>
      <w:rPr>
        <w:b/>
      </w:rPr>
      <w:fldChar w:fldCharType="begin"/>
    </w:r>
    <w:r>
      <w:rPr>
        <w:b/>
      </w:rPr>
      <w:instrText xml:space="preserve"> REF DocNo  \* charformat </w:instrText>
    </w:r>
    <w:r>
      <w:rPr>
        <w:b/>
      </w:rPr>
      <w:fldChar w:fldCharType="separate"/>
    </w:r>
    <w:r w:rsidR="00933227" w:rsidRPr="00933227">
      <w:rPr>
        <w:b/>
      </w:rPr>
      <w:t>2019-8</w:t>
    </w:r>
    <w:r>
      <w:rPr>
        <w:b/>
      </w:rPr>
      <w:fldChar w:fldCharType="end"/>
    </w:r>
    <w:r>
      <w:rPr>
        <w:b/>
      </w:rPr>
      <w:tab/>
    </w:r>
    <w:r>
      <w:fldChar w:fldCharType="begin"/>
    </w:r>
    <w:r>
      <w:instrText>PAGE</w:instrText>
    </w:r>
    <w:r>
      <w:fldChar w:fldCharType="separate"/>
    </w:r>
    <w:r w:rsidR="008009CB">
      <w:rPr>
        <w:noProof/>
      </w:rPr>
      <w:t>7</w:t>
    </w:r>
    <w:r>
      <w:fldChar w:fldCharType="end"/>
    </w:r>
    <w:r>
      <w:tab/>
    </w:r>
    <w:r w:rsidRPr="00870A13">
      <w:rPr>
        <w:b/>
        <w:bCs/>
      </w:rPr>
      <w:t>STANDARD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42647" w14:textId="7C1FA9F4" w:rsidR="00074CB7" w:rsidRDefault="00074CB7">
    <w:pPr>
      <w:pStyle w:val="Footer"/>
      <w:rPr>
        <w:b/>
      </w:rPr>
    </w:pPr>
    <w:r>
      <w:rPr>
        <w:b/>
      </w:rPr>
      <w:t xml:space="preserve">AASB </w:t>
    </w:r>
    <w:r>
      <w:rPr>
        <w:b/>
      </w:rPr>
      <w:fldChar w:fldCharType="begin"/>
    </w:r>
    <w:r>
      <w:rPr>
        <w:b/>
      </w:rPr>
      <w:instrText xml:space="preserve"> REF DocNo  \* charformat </w:instrText>
    </w:r>
    <w:r>
      <w:rPr>
        <w:b/>
      </w:rPr>
      <w:fldChar w:fldCharType="separate"/>
    </w:r>
    <w:r w:rsidR="00933227" w:rsidRPr="00933227">
      <w:rPr>
        <w:b/>
      </w:rPr>
      <w:t>2019-8</w:t>
    </w:r>
    <w:r>
      <w:rPr>
        <w:b/>
      </w:rPr>
      <w:fldChar w:fldCharType="end"/>
    </w:r>
    <w:r>
      <w:rPr>
        <w:b/>
      </w:rPr>
      <w:tab/>
    </w:r>
    <w:r>
      <w:fldChar w:fldCharType="begin"/>
    </w:r>
    <w:r>
      <w:instrText>PAGE</w:instrText>
    </w:r>
    <w:r>
      <w:fldChar w:fldCharType="separate"/>
    </w:r>
    <w:r w:rsidR="008009CB">
      <w:rPr>
        <w:noProof/>
      </w:rPr>
      <w:t>9</w:t>
    </w:r>
    <w:r>
      <w:fldChar w:fldCharType="end"/>
    </w:r>
    <w:r>
      <w:tab/>
    </w:r>
    <w:r>
      <w:rPr>
        <w:b/>
        <w:bCs/>
      </w:rPr>
      <w:t>BASIS FOR CONCLUSIONS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4AF10" w14:textId="77777777" w:rsidR="0054589B" w:rsidRDefault="0054589B">
      <w:r>
        <w:separator/>
      </w:r>
    </w:p>
  </w:footnote>
  <w:footnote w:type="continuationSeparator" w:id="0">
    <w:p w14:paraId="45F266AF" w14:textId="77777777" w:rsidR="0054589B" w:rsidRDefault="0054589B">
      <w:r>
        <w:continuationSeparator/>
      </w:r>
    </w:p>
  </w:footnote>
  <w:footnote w:type="continuationNotice" w:id="1">
    <w:p w14:paraId="3E73402F" w14:textId="77777777" w:rsidR="0054589B" w:rsidRDefault="005458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67DE"/>
    <w:multiLevelType w:val="multilevel"/>
    <w:tmpl w:val="8DC64E64"/>
    <w:styleLink w:val="AASBSubNumbersBold"/>
    <w:lvl w:ilvl="0">
      <w:start w:val="1"/>
      <w:numFmt w:val="none"/>
      <w:pStyle w:val="SubNumBold1"/>
      <w:suff w:val="nothing"/>
      <w:lvlText w:val="%1"/>
      <w:lvlJc w:val="left"/>
      <w:pPr>
        <w:ind w:left="1021" w:hanging="511"/>
      </w:pPr>
      <w:rPr>
        <w:rFonts w:hint="default"/>
      </w:rPr>
    </w:lvl>
    <w:lvl w:ilvl="1">
      <w:start w:val="1"/>
      <w:numFmt w:val="lowerLetter"/>
      <w:pStyle w:val="SubNumBold2"/>
      <w:lvlText w:val="(%2)"/>
      <w:lvlJc w:val="left"/>
      <w:pPr>
        <w:tabs>
          <w:tab w:val="num" w:pos="1020"/>
        </w:tabs>
        <w:ind w:left="1531" w:hanging="511"/>
      </w:pPr>
      <w:rPr>
        <w:rFonts w:hint="default"/>
      </w:rPr>
    </w:lvl>
    <w:lvl w:ilvl="2">
      <w:start w:val="1"/>
      <w:numFmt w:val="lowerRoman"/>
      <w:pStyle w:val="SubNumBold3"/>
      <w:lvlText w:val="(%3)"/>
      <w:lvlJc w:val="left"/>
      <w:pPr>
        <w:tabs>
          <w:tab w:val="num" w:pos="1530"/>
        </w:tabs>
        <w:ind w:left="2041" w:hanging="511"/>
      </w:pPr>
      <w:rPr>
        <w:rFonts w:hint="default"/>
      </w:rPr>
    </w:lvl>
    <w:lvl w:ilvl="3">
      <w:start w:val="1"/>
      <w:numFmt w:val="upperLetter"/>
      <w:pStyle w:val="SubNumBold4"/>
      <w:lvlText w:val="(%4)"/>
      <w:lvlJc w:val="left"/>
      <w:pPr>
        <w:tabs>
          <w:tab w:val="num" w:pos="2040"/>
        </w:tabs>
        <w:ind w:left="2551" w:hanging="511"/>
      </w:pPr>
      <w:rPr>
        <w:rFonts w:hint="default"/>
      </w:rPr>
    </w:lvl>
    <w:lvl w:ilvl="4">
      <w:start w:val="1"/>
      <w:numFmt w:val="lowerLetter"/>
      <w:lvlText w:val="(%5)"/>
      <w:lvlJc w:val="left"/>
      <w:pPr>
        <w:tabs>
          <w:tab w:val="num" w:pos="2550"/>
        </w:tabs>
        <w:ind w:left="3061" w:hanging="511"/>
      </w:pPr>
      <w:rPr>
        <w:rFonts w:hint="default"/>
      </w:rPr>
    </w:lvl>
    <w:lvl w:ilvl="5">
      <w:start w:val="1"/>
      <w:numFmt w:val="lowerRoman"/>
      <w:lvlText w:val="(%6)"/>
      <w:lvlJc w:val="left"/>
      <w:pPr>
        <w:tabs>
          <w:tab w:val="num" w:pos="3060"/>
        </w:tabs>
        <w:ind w:left="3571" w:hanging="511"/>
      </w:pPr>
      <w:rPr>
        <w:rFonts w:hint="default"/>
      </w:rPr>
    </w:lvl>
    <w:lvl w:ilvl="6">
      <w:start w:val="1"/>
      <w:numFmt w:val="decimal"/>
      <w:lvlText w:val="%7."/>
      <w:lvlJc w:val="left"/>
      <w:pPr>
        <w:tabs>
          <w:tab w:val="num" w:pos="3570"/>
        </w:tabs>
        <w:ind w:left="4081" w:hanging="511"/>
      </w:pPr>
      <w:rPr>
        <w:rFonts w:hint="default"/>
      </w:rPr>
    </w:lvl>
    <w:lvl w:ilvl="7">
      <w:start w:val="1"/>
      <w:numFmt w:val="lowerLetter"/>
      <w:lvlText w:val="%8."/>
      <w:lvlJc w:val="left"/>
      <w:pPr>
        <w:tabs>
          <w:tab w:val="num" w:pos="4080"/>
        </w:tabs>
        <w:ind w:left="4591" w:hanging="511"/>
      </w:pPr>
      <w:rPr>
        <w:rFonts w:hint="default"/>
      </w:rPr>
    </w:lvl>
    <w:lvl w:ilvl="8">
      <w:start w:val="1"/>
      <w:numFmt w:val="lowerRoman"/>
      <w:lvlText w:val="%9."/>
      <w:lvlJc w:val="left"/>
      <w:pPr>
        <w:tabs>
          <w:tab w:val="num" w:pos="4590"/>
        </w:tabs>
        <w:ind w:left="5101" w:hanging="511"/>
      </w:pPr>
      <w:rPr>
        <w:rFonts w:hint="default"/>
      </w:rPr>
    </w:lvl>
  </w:abstractNum>
  <w:abstractNum w:abstractNumId="1" w15:restartNumberingAfterBreak="0">
    <w:nsid w:val="03F92581"/>
    <w:multiLevelType w:val="multilevel"/>
    <w:tmpl w:val="AD5ABFF2"/>
    <w:numStyleLink w:val="AASBSubNumbers"/>
  </w:abstractNum>
  <w:abstractNum w:abstractNumId="2" w15:restartNumberingAfterBreak="0">
    <w:nsid w:val="047B0405"/>
    <w:multiLevelType w:val="hybridMultilevel"/>
    <w:tmpl w:val="4D9A88CE"/>
    <w:lvl w:ilvl="0" w:tplc="EB8277D2">
      <w:start w:val="1"/>
      <w:numFmt w:val="decimal"/>
      <w:pStyle w:val="IGpara1"/>
      <w:lvlText w:val="IG%1"/>
      <w:lvlJc w:val="left"/>
      <w:pPr>
        <w:ind w:left="720" w:hanging="360"/>
      </w:pPr>
      <w:rPr>
        <w:rFonts w:hint="default"/>
      </w:rPr>
    </w:lvl>
    <w:lvl w:ilvl="1" w:tplc="D896881A">
      <w:start w:val="1"/>
      <w:numFmt w:val="lowerLetter"/>
      <w:lvlText w:val="(%2)"/>
      <w:lvlJc w:val="left"/>
      <w:pPr>
        <w:ind w:left="1440" w:hanging="360"/>
      </w:pPr>
      <w:rPr>
        <w:rFonts w:ascii="Times New Roman" w:hAnsi="Times New Roman" w:hint="default"/>
        <w:b w:val="0"/>
        <w:i w:val="0"/>
        <w:sz w:val="19"/>
      </w:r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6871AB"/>
    <w:multiLevelType w:val="hybridMultilevel"/>
    <w:tmpl w:val="3DE49FEC"/>
    <w:lvl w:ilvl="0" w:tplc="E4A2CEE2">
      <w:start w:val="1"/>
      <w:numFmt w:val="lowerLetter"/>
      <w:lvlText w:val="(%1)"/>
      <w:lvlJc w:val="left"/>
      <w:pPr>
        <w:ind w:left="366" w:hanging="720"/>
      </w:pPr>
      <w:rPr>
        <w:rFonts w:hint="default"/>
      </w:rPr>
    </w:lvl>
    <w:lvl w:ilvl="1" w:tplc="0C090019" w:tentative="1">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4" w15:restartNumberingAfterBreak="0">
    <w:nsid w:val="0E9A5CE4"/>
    <w:multiLevelType w:val="multilevel"/>
    <w:tmpl w:val="C3841212"/>
    <w:lvl w:ilvl="0">
      <w:start w:val="1"/>
      <w:numFmt w:val="decimal"/>
      <w:lvlText w:val="%1"/>
      <w:lvlJc w:val="left"/>
      <w:pPr>
        <w:tabs>
          <w:tab w:val="num" w:pos="510"/>
        </w:tabs>
        <w:ind w:left="510" w:hanging="510"/>
      </w:pPr>
      <w:rPr>
        <w:rFonts w:hint="default"/>
        <w:u w:val="none"/>
      </w:rPr>
    </w:lvl>
    <w:lvl w:ilvl="1">
      <w:start w:val="1"/>
      <w:numFmt w:val="lowerLetter"/>
      <w:lvlText w:val="(%2)"/>
      <w:lvlJc w:val="left"/>
      <w:pPr>
        <w:tabs>
          <w:tab w:val="num" w:pos="1021"/>
        </w:tabs>
        <w:ind w:left="1021" w:hanging="511"/>
      </w:pPr>
      <w:rPr>
        <w:rFonts w:hint="default"/>
        <w:b/>
      </w:rPr>
    </w:lvl>
    <w:lvl w:ilvl="2">
      <w:start w:val="1"/>
      <w:numFmt w:val="lowerRoman"/>
      <w:lvlText w:val="(%3)"/>
      <w:lvlJc w:val="left"/>
      <w:pPr>
        <w:tabs>
          <w:tab w:val="num" w:pos="1531"/>
        </w:tabs>
        <w:ind w:left="1531" w:hanging="510"/>
      </w:pPr>
      <w:rPr>
        <w:rFonts w:hint="default"/>
      </w:rPr>
    </w:lvl>
    <w:lvl w:ilvl="3">
      <w:start w:val="1"/>
      <w:numFmt w:val="upperLetter"/>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5" w15:restartNumberingAfterBreak="0">
    <w:nsid w:val="13E035C2"/>
    <w:multiLevelType w:val="multilevel"/>
    <w:tmpl w:val="95A2D1B2"/>
    <w:lvl w:ilvl="0">
      <w:start w:val="1"/>
      <w:numFmt w:val="decimal"/>
      <w:pStyle w:val="NumBC1"/>
      <w:lvlText w:val="BC%1"/>
      <w:lvlJc w:val="left"/>
      <w:pPr>
        <w:tabs>
          <w:tab w:val="num" w:pos="624"/>
        </w:tabs>
        <w:ind w:left="624" w:hanging="624"/>
      </w:pPr>
      <w:rPr>
        <w:rFonts w:hint="default"/>
        <w:b w:val="0"/>
        <w:bCs w:val="0"/>
        <w:u w:val="none"/>
      </w:rPr>
    </w:lvl>
    <w:lvl w:ilvl="1">
      <w:start w:val="1"/>
      <w:numFmt w:val="lowerLetter"/>
      <w:pStyle w:val="NumBC2"/>
      <w:lvlText w:val="(%2)"/>
      <w:lvlJc w:val="left"/>
      <w:pPr>
        <w:tabs>
          <w:tab w:val="num" w:pos="1247"/>
        </w:tabs>
        <w:ind w:left="1247" w:hanging="623"/>
      </w:pPr>
      <w:rPr>
        <w:rFonts w:hint="default"/>
        <w:b w:val="0"/>
        <w:bCs w:val="0"/>
        <w:u w:val="none"/>
      </w:rPr>
    </w:lvl>
    <w:lvl w:ilvl="2">
      <w:start w:val="1"/>
      <w:numFmt w:val="lowerRoman"/>
      <w:pStyle w:val="NumBC3"/>
      <w:lvlText w:val="(%3)"/>
      <w:lvlJc w:val="left"/>
      <w:pPr>
        <w:tabs>
          <w:tab w:val="num" w:pos="1871"/>
        </w:tabs>
        <w:ind w:left="1871" w:hanging="624"/>
      </w:pPr>
      <w:rPr>
        <w:rFonts w:hint="default"/>
        <w:b w:val="0"/>
        <w:bCs w:val="0"/>
        <w:u w:val="none"/>
      </w:rPr>
    </w:lvl>
    <w:lvl w:ilvl="3">
      <w:start w:val="1"/>
      <w:numFmt w:val="upperLetter"/>
      <w:pStyle w:val="NumBC4"/>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6" w15:restartNumberingAfterBreak="0">
    <w:nsid w:val="15494054"/>
    <w:multiLevelType w:val="multilevel"/>
    <w:tmpl w:val="3170FD08"/>
    <w:lvl w:ilvl="0">
      <w:start w:val="1"/>
      <w:numFmt w:val="bullet"/>
      <w:lvlText w:val=""/>
      <w:lvlJc w:val="left"/>
      <w:pPr>
        <w:tabs>
          <w:tab w:val="num" w:pos="782"/>
        </w:tabs>
        <w:ind w:left="782" w:hanging="782"/>
      </w:pPr>
      <w:rPr>
        <w:rFonts w:ascii="Symbol" w:hAnsi="Symbol" w:hint="default"/>
      </w:rPr>
    </w:lvl>
    <w:lvl w:ilvl="1">
      <w:start w:val="1"/>
      <w:numFmt w:val="lowerLetter"/>
      <w:lvlText w:val="(%2)"/>
      <w:lvlJc w:val="left"/>
      <w:pPr>
        <w:ind w:left="782" w:firstLine="0"/>
      </w:pPr>
      <w:rPr>
        <w:rFonts w:hint="default"/>
      </w:rPr>
    </w:lvl>
    <w:lvl w:ilvl="2">
      <w:start w:val="1"/>
      <w:numFmt w:val="lowerRoman"/>
      <w:lvlText w:val="(%3)"/>
      <w:lvlJc w:val="left"/>
      <w:pPr>
        <w:ind w:left="782" w:firstLine="7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EC74DA"/>
    <w:multiLevelType w:val="hybridMultilevel"/>
    <w:tmpl w:val="3DE49FEC"/>
    <w:lvl w:ilvl="0" w:tplc="E4A2CEE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F901F06"/>
    <w:multiLevelType w:val="multilevel"/>
    <w:tmpl w:val="7612EE52"/>
    <w:lvl w:ilvl="0">
      <w:start w:val="1"/>
      <w:numFmt w:val="decimal"/>
      <w:lvlText w:val="BC%1"/>
      <w:lvlJc w:val="left"/>
      <w:pPr>
        <w:ind w:left="782" w:hanging="782"/>
      </w:pPr>
      <w:rPr>
        <w:rFonts w:hint="default"/>
        <w:b w:val="0"/>
        <w:bCs w:val="0"/>
        <w:i w:val="0"/>
        <w:u w:val="none"/>
      </w:rPr>
    </w:lvl>
    <w:lvl w:ilvl="1">
      <w:start w:val="1"/>
      <w:numFmt w:val="lowerLetter"/>
      <w:lvlText w:val="(%2)"/>
      <w:lvlJc w:val="left"/>
      <w:pPr>
        <w:ind w:left="1281" w:hanging="499"/>
      </w:pPr>
      <w:rPr>
        <w:rFonts w:hint="default"/>
        <w:b w:val="0"/>
        <w:bCs w:val="0"/>
        <w:u w:val="none"/>
      </w:rPr>
    </w:lvl>
    <w:lvl w:ilvl="2">
      <w:start w:val="1"/>
      <w:numFmt w:val="lowerRoman"/>
      <w:lvlText w:val="(%3)"/>
      <w:lvlJc w:val="left"/>
      <w:pPr>
        <w:ind w:left="2063" w:hanging="782"/>
      </w:pPr>
      <w:rPr>
        <w:rFonts w:hint="default"/>
        <w:b w:val="0"/>
        <w:bCs w:val="0"/>
        <w:u w:val="none"/>
      </w:rPr>
    </w:lvl>
    <w:lvl w:ilvl="3">
      <w:start w:val="1"/>
      <w:numFmt w:val="upperLetter"/>
      <w:lvlText w:val="(%4)"/>
      <w:lvlJc w:val="left"/>
      <w:pPr>
        <w:tabs>
          <w:tab w:val="num" w:pos="2211"/>
        </w:tabs>
        <w:ind w:left="2211" w:hanging="624"/>
      </w:pPr>
      <w:rPr>
        <w:rFonts w:hint="default"/>
        <w:b w:val="0"/>
        <w:bCs w:val="0"/>
        <w:u w:val="none"/>
      </w:rPr>
    </w:lvl>
    <w:lvl w:ilvl="4">
      <w:start w:val="1"/>
      <w:numFmt w:val="upperRoman"/>
      <w:lvlText w:val="%5"/>
      <w:lvlJc w:val="left"/>
      <w:pPr>
        <w:tabs>
          <w:tab w:val="num" w:pos="3259"/>
        </w:tabs>
        <w:ind w:left="3259" w:hanging="708"/>
      </w:pPr>
      <w:rPr>
        <w:rFonts w:hint="default"/>
        <w:b w:val="0"/>
        <w:bCs w:val="0"/>
        <w:u w:val="none"/>
      </w:rPr>
    </w:lvl>
    <w:lvl w:ilvl="5">
      <w:start w:val="1"/>
      <w:numFmt w:val="decimal"/>
      <w:lvlText w:val="%6"/>
      <w:lvlJc w:val="left"/>
      <w:pPr>
        <w:tabs>
          <w:tab w:val="num" w:pos="3969"/>
        </w:tabs>
        <w:ind w:left="3969" w:hanging="709"/>
      </w:pPr>
      <w:rPr>
        <w:rFonts w:hint="default"/>
      </w:rPr>
    </w:lvl>
    <w:lvl w:ilvl="6">
      <w:start w:val="1"/>
      <w:numFmt w:val="lowerLetter"/>
      <w:lvlText w:val="%7)"/>
      <w:lvlJc w:val="left"/>
      <w:pPr>
        <w:tabs>
          <w:tab w:val="num" w:pos="4677"/>
        </w:tabs>
        <w:ind w:left="4677" w:hanging="708"/>
      </w:pPr>
      <w:rPr>
        <w:rFonts w:hint="default"/>
      </w:rPr>
    </w:lvl>
    <w:lvl w:ilvl="7">
      <w:start w:val="1"/>
      <w:numFmt w:val="lowerRoman"/>
      <w:lvlText w:val="%8)"/>
      <w:lvlJc w:val="left"/>
      <w:pPr>
        <w:tabs>
          <w:tab w:val="num" w:pos="5386"/>
        </w:tabs>
        <w:ind w:left="5386" w:hanging="709"/>
      </w:pPr>
      <w:rPr>
        <w:rFonts w:hint="default"/>
      </w:rPr>
    </w:lvl>
    <w:lvl w:ilvl="8">
      <w:start w:val="1"/>
      <w:numFmt w:val="lowerRoman"/>
      <w:lvlText w:val="%9)"/>
      <w:lvlJc w:val="left"/>
      <w:pPr>
        <w:tabs>
          <w:tab w:val="num" w:pos="6095"/>
        </w:tabs>
        <w:ind w:left="6095" w:hanging="709"/>
      </w:pPr>
      <w:rPr>
        <w:rFonts w:hint="default"/>
      </w:rPr>
    </w:lvl>
  </w:abstractNum>
  <w:abstractNum w:abstractNumId="9" w15:restartNumberingAfterBreak="0">
    <w:nsid w:val="22217511"/>
    <w:multiLevelType w:val="multilevel"/>
    <w:tmpl w:val="017AF28C"/>
    <w:styleLink w:val="Bullets"/>
    <w:lvl w:ilvl="0">
      <w:start w:val="1"/>
      <w:numFmt w:val="bullet"/>
      <w:lvlText w:val=""/>
      <w:lvlJc w:val="left"/>
      <w:pPr>
        <w:ind w:left="504" w:hanging="504"/>
      </w:pPr>
      <w:rPr>
        <w:rFonts w:ascii="Symbol" w:hAnsi="Symbol" w:hint="default"/>
        <w:color w:val="auto"/>
      </w:rPr>
    </w:lvl>
    <w:lvl w:ilvl="1">
      <w:start w:val="1"/>
      <w:numFmt w:val="bullet"/>
      <w:lvlText w:val=""/>
      <w:lvlJc w:val="left"/>
      <w:pPr>
        <w:ind w:left="1008" w:hanging="504"/>
      </w:pPr>
      <w:rPr>
        <w:rFonts w:ascii="Symbol" w:hAnsi="Symbol" w:hint="default"/>
        <w:color w:val="auto"/>
      </w:rPr>
    </w:lvl>
    <w:lvl w:ilvl="2">
      <w:start w:val="1"/>
      <w:numFmt w:val="bullet"/>
      <w:lvlText w:val=""/>
      <w:lvlJc w:val="left"/>
      <w:pPr>
        <w:ind w:left="1512" w:hanging="504"/>
      </w:pPr>
      <w:rPr>
        <w:rFonts w:ascii="Symbol" w:hAnsi="Symbol" w:hint="default"/>
        <w:color w:val="auto"/>
      </w:rPr>
    </w:lvl>
    <w:lvl w:ilvl="3">
      <w:start w:val="1"/>
      <w:numFmt w:val="bullet"/>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10" w15:restartNumberingAfterBreak="0">
    <w:nsid w:val="2576465B"/>
    <w:multiLevelType w:val="multilevel"/>
    <w:tmpl w:val="D9F888A8"/>
    <w:lvl w:ilvl="0">
      <w:start w:val="1"/>
      <w:numFmt w:val="lowerLetter"/>
      <w:pStyle w:val="NumPlainA"/>
      <w:lvlText w:val="(%1)"/>
      <w:lvlJc w:val="left"/>
      <w:pPr>
        <w:tabs>
          <w:tab w:val="num" w:pos="1666"/>
        </w:tabs>
        <w:ind w:left="1666" w:hanging="510"/>
      </w:pPr>
      <w:rPr>
        <w:rFonts w:hint="default"/>
      </w:rPr>
    </w:lvl>
    <w:lvl w:ilvl="1">
      <w:start w:val="1"/>
      <w:numFmt w:val="lowerRoman"/>
      <w:pStyle w:val="NumPlainA2"/>
      <w:lvlText w:val="(%2)"/>
      <w:lvlJc w:val="left"/>
      <w:pPr>
        <w:tabs>
          <w:tab w:val="num" w:pos="2177"/>
        </w:tabs>
        <w:ind w:left="2177" w:hanging="511"/>
      </w:pPr>
      <w:rPr>
        <w:rFonts w:hint="default"/>
      </w:rPr>
    </w:lvl>
    <w:lvl w:ilvl="2">
      <w:start w:val="1"/>
      <w:numFmt w:val="lowerRoman"/>
      <w:lvlText w:val="%3."/>
      <w:lvlJc w:val="right"/>
      <w:pPr>
        <w:tabs>
          <w:tab w:val="num" w:pos="3316"/>
        </w:tabs>
        <w:ind w:left="3316" w:hanging="180"/>
      </w:pPr>
      <w:rPr>
        <w:rFonts w:hint="default"/>
      </w:rPr>
    </w:lvl>
    <w:lvl w:ilvl="3">
      <w:start w:val="1"/>
      <w:numFmt w:val="decimal"/>
      <w:lvlText w:val="%4."/>
      <w:lvlJc w:val="left"/>
      <w:pPr>
        <w:tabs>
          <w:tab w:val="num" w:pos="4036"/>
        </w:tabs>
        <w:ind w:left="4036" w:hanging="360"/>
      </w:pPr>
      <w:rPr>
        <w:rFonts w:hint="default"/>
      </w:rPr>
    </w:lvl>
    <w:lvl w:ilvl="4">
      <w:start w:val="1"/>
      <w:numFmt w:val="lowerLetter"/>
      <w:lvlText w:val="%5."/>
      <w:lvlJc w:val="left"/>
      <w:pPr>
        <w:tabs>
          <w:tab w:val="num" w:pos="4756"/>
        </w:tabs>
        <w:ind w:left="4756" w:hanging="360"/>
      </w:pPr>
      <w:rPr>
        <w:rFonts w:hint="default"/>
      </w:rPr>
    </w:lvl>
    <w:lvl w:ilvl="5">
      <w:start w:val="1"/>
      <w:numFmt w:val="lowerRoman"/>
      <w:lvlText w:val="%6."/>
      <w:lvlJc w:val="right"/>
      <w:pPr>
        <w:tabs>
          <w:tab w:val="num" w:pos="5476"/>
        </w:tabs>
        <w:ind w:left="5476" w:hanging="180"/>
      </w:pPr>
      <w:rPr>
        <w:rFonts w:hint="default"/>
      </w:rPr>
    </w:lvl>
    <w:lvl w:ilvl="6">
      <w:start w:val="1"/>
      <w:numFmt w:val="decimal"/>
      <w:lvlText w:val="%7."/>
      <w:lvlJc w:val="left"/>
      <w:pPr>
        <w:tabs>
          <w:tab w:val="num" w:pos="6196"/>
        </w:tabs>
        <w:ind w:left="6196" w:hanging="360"/>
      </w:pPr>
      <w:rPr>
        <w:rFonts w:hint="default"/>
      </w:rPr>
    </w:lvl>
    <w:lvl w:ilvl="7">
      <w:start w:val="1"/>
      <w:numFmt w:val="lowerLetter"/>
      <w:lvlText w:val="%8."/>
      <w:lvlJc w:val="left"/>
      <w:pPr>
        <w:tabs>
          <w:tab w:val="num" w:pos="6916"/>
        </w:tabs>
        <w:ind w:left="6916" w:hanging="360"/>
      </w:pPr>
      <w:rPr>
        <w:rFonts w:hint="default"/>
      </w:rPr>
    </w:lvl>
    <w:lvl w:ilvl="8">
      <w:start w:val="1"/>
      <w:numFmt w:val="lowerRoman"/>
      <w:lvlText w:val="%9."/>
      <w:lvlJc w:val="right"/>
      <w:pPr>
        <w:tabs>
          <w:tab w:val="num" w:pos="7636"/>
        </w:tabs>
        <w:ind w:left="7636" w:hanging="180"/>
      </w:pPr>
      <w:rPr>
        <w:rFonts w:hint="default"/>
      </w:rPr>
    </w:lvl>
  </w:abstractNum>
  <w:abstractNum w:abstractNumId="11" w15:restartNumberingAfterBreak="0">
    <w:nsid w:val="25B25A19"/>
    <w:multiLevelType w:val="hybridMultilevel"/>
    <w:tmpl w:val="D16238EE"/>
    <w:lvl w:ilvl="0" w:tplc="3A2ABD76">
      <w:start w:val="1"/>
      <w:numFmt w:val="lowerLetter"/>
      <w:lvlText w:val="(%1)"/>
      <w:lvlJc w:val="left"/>
      <w:pPr>
        <w:ind w:left="1380" w:hanging="360"/>
      </w:pPr>
      <w:rPr>
        <w:rFonts w:hint="default"/>
      </w:rPr>
    </w:lvl>
    <w:lvl w:ilvl="1" w:tplc="0C090019" w:tentative="1">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12" w15:restartNumberingAfterBreak="0">
    <w:nsid w:val="2A7A35E2"/>
    <w:multiLevelType w:val="multilevel"/>
    <w:tmpl w:val="AD5ABFF2"/>
    <w:styleLink w:val="AASBSubNumbers"/>
    <w:lvl w:ilvl="0">
      <w:start w:val="1"/>
      <w:numFmt w:val="none"/>
      <w:pStyle w:val="SubNumPlain1"/>
      <w:suff w:val="nothing"/>
      <w:lvlText w:val="%1"/>
      <w:lvlJc w:val="left"/>
      <w:pPr>
        <w:ind w:left="1021" w:hanging="511"/>
      </w:pPr>
      <w:rPr>
        <w:rFonts w:hint="default"/>
      </w:rPr>
    </w:lvl>
    <w:lvl w:ilvl="1">
      <w:start w:val="1"/>
      <w:numFmt w:val="lowerLetter"/>
      <w:pStyle w:val="SubNumPlain2"/>
      <w:lvlText w:val="(%2)"/>
      <w:lvlJc w:val="left"/>
      <w:pPr>
        <w:ind w:left="1531" w:hanging="511"/>
      </w:pPr>
      <w:rPr>
        <w:rFonts w:hint="default"/>
      </w:rPr>
    </w:lvl>
    <w:lvl w:ilvl="2">
      <w:start w:val="1"/>
      <w:numFmt w:val="lowerRoman"/>
      <w:pStyle w:val="SubNumPlain3"/>
      <w:lvlText w:val="(%3)"/>
      <w:lvlJc w:val="left"/>
      <w:pPr>
        <w:ind w:left="2041" w:hanging="511"/>
      </w:pPr>
      <w:rPr>
        <w:rFonts w:hint="default"/>
      </w:rPr>
    </w:lvl>
    <w:lvl w:ilvl="3">
      <w:start w:val="1"/>
      <w:numFmt w:val="upperLetter"/>
      <w:pStyle w:val="SubNumPlain4"/>
      <w:lvlText w:val="(%4)"/>
      <w:lvlJc w:val="left"/>
      <w:pPr>
        <w:ind w:left="2551" w:hanging="511"/>
      </w:pPr>
      <w:rPr>
        <w:rFonts w:hint="default"/>
      </w:rPr>
    </w:lvl>
    <w:lvl w:ilvl="4">
      <w:start w:val="1"/>
      <w:numFmt w:val="lowerLetter"/>
      <w:lvlText w:val="(%5)"/>
      <w:lvlJc w:val="left"/>
      <w:pPr>
        <w:ind w:left="3061" w:hanging="511"/>
      </w:pPr>
      <w:rPr>
        <w:rFonts w:hint="default"/>
      </w:rPr>
    </w:lvl>
    <w:lvl w:ilvl="5">
      <w:start w:val="1"/>
      <w:numFmt w:val="lowerRoman"/>
      <w:lvlText w:val="(%6)"/>
      <w:lvlJc w:val="left"/>
      <w:pPr>
        <w:ind w:left="3571" w:hanging="511"/>
      </w:pPr>
      <w:rPr>
        <w:rFonts w:hint="default"/>
      </w:rPr>
    </w:lvl>
    <w:lvl w:ilvl="6">
      <w:start w:val="1"/>
      <w:numFmt w:val="decimal"/>
      <w:lvlText w:val="%7."/>
      <w:lvlJc w:val="left"/>
      <w:pPr>
        <w:ind w:left="4081" w:hanging="511"/>
      </w:pPr>
      <w:rPr>
        <w:rFonts w:hint="default"/>
      </w:rPr>
    </w:lvl>
    <w:lvl w:ilvl="7">
      <w:start w:val="1"/>
      <w:numFmt w:val="lowerLetter"/>
      <w:lvlText w:val="%8."/>
      <w:lvlJc w:val="left"/>
      <w:pPr>
        <w:ind w:left="4591" w:hanging="511"/>
      </w:pPr>
      <w:rPr>
        <w:rFonts w:hint="default"/>
      </w:rPr>
    </w:lvl>
    <w:lvl w:ilvl="8">
      <w:start w:val="1"/>
      <w:numFmt w:val="lowerRoman"/>
      <w:lvlText w:val="%9."/>
      <w:lvlJc w:val="left"/>
      <w:pPr>
        <w:ind w:left="5101" w:hanging="511"/>
      </w:pPr>
      <w:rPr>
        <w:rFonts w:hint="default"/>
      </w:rPr>
    </w:lvl>
  </w:abstractNum>
  <w:abstractNum w:abstractNumId="13" w15:restartNumberingAfterBreak="0">
    <w:nsid w:val="4CA52957"/>
    <w:multiLevelType w:val="hybridMultilevel"/>
    <w:tmpl w:val="4ADC36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0DF307B"/>
    <w:multiLevelType w:val="hybridMultilevel"/>
    <w:tmpl w:val="1AAA44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1F60789"/>
    <w:multiLevelType w:val="hybridMultilevel"/>
    <w:tmpl w:val="7BB06F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5A5555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542243"/>
    <w:multiLevelType w:val="multilevel"/>
    <w:tmpl w:val="C868E5B4"/>
    <w:lvl w:ilvl="0">
      <w:start w:val="1"/>
      <w:numFmt w:val="decimal"/>
      <w:pStyle w:val="NumPlain1"/>
      <w:lvlText w:val="%1"/>
      <w:lvlJc w:val="left"/>
      <w:pPr>
        <w:tabs>
          <w:tab w:val="num" w:pos="510"/>
        </w:tabs>
        <w:ind w:left="510" w:hanging="510"/>
      </w:pPr>
      <w:rPr>
        <w:rFonts w:hint="default"/>
        <w:b w:val="0"/>
      </w:rPr>
    </w:lvl>
    <w:lvl w:ilvl="1">
      <w:start w:val="1"/>
      <w:numFmt w:val="lowerLetter"/>
      <w:pStyle w:val="NumPlain2"/>
      <w:lvlText w:val="(%2)"/>
      <w:lvlJc w:val="left"/>
      <w:pPr>
        <w:tabs>
          <w:tab w:val="num" w:pos="1021"/>
        </w:tabs>
        <w:ind w:left="1021" w:hanging="511"/>
      </w:pPr>
      <w:rPr>
        <w:rFonts w:hint="default"/>
        <w:i w:val="0"/>
      </w:rPr>
    </w:lvl>
    <w:lvl w:ilvl="2">
      <w:start w:val="1"/>
      <w:numFmt w:val="lowerRoman"/>
      <w:pStyle w:val="NumPlain3"/>
      <w:lvlText w:val="(%3)"/>
      <w:lvlJc w:val="left"/>
      <w:pPr>
        <w:tabs>
          <w:tab w:val="num" w:pos="1531"/>
        </w:tabs>
        <w:ind w:left="1531" w:hanging="510"/>
      </w:pPr>
      <w:rPr>
        <w:rFonts w:hint="default"/>
      </w:rPr>
    </w:lvl>
    <w:lvl w:ilvl="3">
      <w:start w:val="1"/>
      <w:numFmt w:val="upperLetter"/>
      <w:pStyle w:val="NumPlain4"/>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8" w15:restartNumberingAfterBreak="0">
    <w:nsid w:val="62373062"/>
    <w:multiLevelType w:val="hybridMultilevel"/>
    <w:tmpl w:val="D16238EE"/>
    <w:lvl w:ilvl="0" w:tplc="3A2ABD7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6D2B46A3"/>
    <w:multiLevelType w:val="multilevel"/>
    <w:tmpl w:val="A80ECEA6"/>
    <w:lvl w:ilvl="0">
      <w:start w:val="1"/>
      <w:numFmt w:val="bullet"/>
      <w:pStyle w:val="Bullet1"/>
      <w:lvlText w:val=""/>
      <w:lvlJc w:val="left"/>
      <w:pPr>
        <w:ind w:left="504" w:hanging="504"/>
      </w:pPr>
      <w:rPr>
        <w:rFonts w:ascii="Symbol" w:hAnsi="Symbol" w:hint="default"/>
        <w:color w:val="auto"/>
      </w:rPr>
    </w:lvl>
    <w:lvl w:ilvl="1">
      <w:start w:val="1"/>
      <w:numFmt w:val="bullet"/>
      <w:pStyle w:val="Bullet2"/>
      <w:lvlText w:val=""/>
      <w:lvlJc w:val="left"/>
      <w:pPr>
        <w:ind w:left="1008" w:hanging="504"/>
      </w:pPr>
      <w:rPr>
        <w:rFonts w:ascii="Symbol" w:hAnsi="Symbol" w:hint="default"/>
        <w:color w:val="auto"/>
      </w:rPr>
    </w:lvl>
    <w:lvl w:ilvl="2">
      <w:start w:val="1"/>
      <w:numFmt w:val="bullet"/>
      <w:pStyle w:val="Bullet3"/>
      <w:lvlText w:val=""/>
      <w:lvlJc w:val="left"/>
      <w:pPr>
        <w:ind w:left="1512" w:hanging="504"/>
      </w:pPr>
      <w:rPr>
        <w:rFonts w:ascii="Symbol" w:hAnsi="Symbol" w:hint="default"/>
        <w:color w:val="auto"/>
      </w:rPr>
    </w:lvl>
    <w:lvl w:ilvl="3">
      <w:start w:val="1"/>
      <w:numFmt w:val="bullet"/>
      <w:pStyle w:val="Bullet4"/>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20" w15:restartNumberingAfterBreak="0">
    <w:nsid w:val="6FB25B01"/>
    <w:multiLevelType w:val="hybridMultilevel"/>
    <w:tmpl w:val="E8D82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034512C"/>
    <w:multiLevelType w:val="hybridMultilevel"/>
    <w:tmpl w:val="87A659DC"/>
    <w:lvl w:ilvl="0" w:tplc="0D1C2E8A">
      <w:start w:val="1"/>
      <w:numFmt w:val="decimal"/>
      <w:lvlRestart w:val="0"/>
      <w:pStyle w:val="NumberedList"/>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5"/>
  </w:num>
  <w:num w:numId="5">
    <w:abstractNumId w:val="9"/>
  </w:num>
  <w:num w:numId="6">
    <w:abstractNumId w:val="19"/>
  </w:num>
  <w:num w:numId="7">
    <w:abstractNumId w:val="10"/>
  </w:num>
  <w:num w:numId="8">
    <w:abstractNumId w:val="12"/>
  </w:num>
  <w:num w:numId="9">
    <w:abstractNumId w:val="1"/>
  </w:num>
  <w:num w:numId="10">
    <w:abstractNumId w:val="0"/>
  </w:num>
  <w:num w:numId="11">
    <w:abstractNumId w:val="16"/>
  </w:num>
  <w:num w:numId="12">
    <w:abstractNumId w:val="18"/>
  </w:num>
  <w:num w:numId="13">
    <w:abstractNumId w:val="11"/>
  </w:num>
  <w:num w:numId="14">
    <w:abstractNumId w:val="17"/>
  </w:num>
  <w:num w:numId="15">
    <w:abstractNumId w:val="10"/>
  </w:num>
  <w:num w:numId="16">
    <w:abstractNumId w:val="14"/>
  </w:num>
  <w:num w:numId="17">
    <w:abstractNumId w:val="3"/>
  </w:num>
  <w:num w:numId="18">
    <w:abstractNumId w:val="7"/>
  </w:num>
  <w:num w:numId="19">
    <w:abstractNumId w:val="17"/>
  </w:num>
  <w:num w:numId="20">
    <w:abstractNumId w:val="6"/>
  </w:num>
  <w:num w:numId="21">
    <w:abstractNumId w:val="2"/>
  </w:num>
  <w:num w:numId="22">
    <w:abstractNumId w:val="4"/>
  </w:num>
  <w:num w:numId="23">
    <w:abstractNumId w:val="20"/>
  </w:num>
  <w:num w:numId="24">
    <w:abstractNumId w:val="8"/>
  </w:num>
  <w:num w:numId="25">
    <w:abstractNumId w:val="13"/>
  </w:num>
  <w:num w:numId="26">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oNotTrackFormatting/>
  <w:defaultTabStop w:val="510"/>
  <w:doNotHyphenateCaps/>
  <w:drawingGridHorizontalSpacing w:val="24"/>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747"/>
    <w:rsid w:val="000012B4"/>
    <w:rsid w:val="0000292B"/>
    <w:rsid w:val="0000435C"/>
    <w:rsid w:val="000112C3"/>
    <w:rsid w:val="00011D56"/>
    <w:rsid w:val="00012613"/>
    <w:rsid w:val="000147E0"/>
    <w:rsid w:val="000149CD"/>
    <w:rsid w:val="00015A74"/>
    <w:rsid w:val="0002008A"/>
    <w:rsid w:val="000217DB"/>
    <w:rsid w:val="00027E8B"/>
    <w:rsid w:val="000329C7"/>
    <w:rsid w:val="00032B8F"/>
    <w:rsid w:val="0003537C"/>
    <w:rsid w:val="0003692E"/>
    <w:rsid w:val="00043291"/>
    <w:rsid w:val="0004455B"/>
    <w:rsid w:val="000457D7"/>
    <w:rsid w:val="00046196"/>
    <w:rsid w:val="000478B3"/>
    <w:rsid w:val="000515B8"/>
    <w:rsid w:val="00052B9B"/>
    <w:rsid w:val="0005397B"/>
    <w:rsid w:val="00060661"/>
    <w:rsid w:val="00060927"/>
    <w:rsid w:val="0006195F"/>
    <w:rsid w:val="000621BE"/>
    <w:rsid w:val="000625F2"/>
    <w:rsid w:val="00065B29"/>
    <w:rsid w:val="000712BE"/>
    <w:rsid w:val="00071C93"/>
    <w:rsid w:val="00074133"/>
    <w:rsid w:val="00074CB7"/>
    <w:rsid w:val="00076084"/>
    <w:rsid w:val="000812F8"/>
    <w:rsid w:val="00081745"/>
    <w:rsid w:val="00082441"/>
    <w:rsid w:val="00084AB4"/>
    <w:rsid w:val="000875CF"/>
    <w:rsid w:val="00090A6F"/>
    <w:rsid w:val="00090FB8"/>
    <w:rsid w:val="00091916"/>
    <w:rsid w:val="000926C8"/>
    <w:rsid w:val="00094062"/>
    <w:rsid w:val="00095C71"/>
    <w:rsid w:val="00096027"/>
    <w:rsid w:val="00096ED1"/>
    <w:rsid w:val="000A31F1"/>
    <w:rsid w:val="000A368E"/>
    <w:rsid w:val="000A7D53"/>
    <w:rsid w:val="000B10EE"/>
    <w:rsid w:val="000B2AD3"/>
    <w:rsid w:val="000B39A6"/>
    <w:rsid w:val="000B41BD"/>
    <w:rsid w:val="000B733C"/>
    <w:rsid w:val="000B7C76"/>
    <w:rsid w:val="000C0120"/>
    <w:rsid w:val="000C1ACB"/>
    <w:rsid w:val="000C3531"/>
    <w:rsid w:val="000C3EB0"/>
    <w:rsid w:val="000C454D"/>
    <w:rsid w:val="000C53ED"/>
    <w:rsid w:val="000C571C"/>
    <w:rsid w:val="000D4A03"/>
    <w:rsid w:val="000D4FCB"/>
    <w:rsid w:val="000D582D"/>
    <w:rsid w:val="000D611A"/>
    <w:rsid w:val="000D7545"/>
    <w:rsid w:val="000D7827"/>
    <w:rsid w:val="000D7B40"/>
    <w:rsid w:val="000E136F"/>
    <w:rsid w:val="000E3E92"/>
    <w:rsid w:val="000E4119"/>
    <w:rsid w:val="000E6AA6"/>
    <w:rsid w:val="000F2088"/>
    <w:rsid w:val="000F32D1"/>
    <w:rsid w:val="000F4076"/>
    <w:rsid w:val="000F4304"/>
    <w:rsid w:val="000F4C74"/>
    <w:rsid w:val="000F502F"/>
    <w:rsid w:val="000F5F18"/>
    <w:rsid w:val="000F61DE"/>
    <w:rsid w:val="000F64CC"/>
    <w:rsid w:val="000F6F7E"/>
    <w:rsid w:val="0010515C"/>
    <w:rsid w:val="00106C09"/>
    <w:rsid w:val="00110B96"/>
    <w:rsid w:val="00114107"/>
    <w:rsid w:val="001162C5"/>
    <w:rsid w:val="00116A58"/>
    <w:rsid w:val="00117BF7"/>
    <w:rsid w:val="00117C39"/>
    <w:rsid w:val="001206CF"/>
    <w:rsid w:val="0012107D"/>
    <w:rsid w:val="00125CCA"/>
    <w:rsid w:val="00127832"/>
    <w:rsid w:val="00130B8B"/>
    <w:rsid w:val="00130C2F"/>
    <w:rsid w:val="00132493"/>
    <w:rsid w:val="0013564B"/>
    <w:rsid w:val="001364D7"/>
    <w:rsid w:val="00140109"/>
    <w:rsid w:val="00140D81"/>
    <w:rsid w:val="00141908"/>
    <w:rsid w:val="001466F6"/>
    <w:rsid w:val="00156367"/>
    <w:rsid w:val="001643BC"/>
    <w:rsid w:val="001651E2"/>
    <w:rsid w:val="001662B8"/>
    <w:rsid w:val="001672C9"/>
    <w:rsid w:val="0016789B"/>
    <w:rsid w:val="00171F51"/>
    <w:rsid w:val="00173F2A"/>
    <w:rsid w:val="001748C1"/>
    <w:rsid w:val="00174E81"/>
    <w:rsid w:val="001761C6"/>
    <w:rsid w:val="001864D4"/>
    <w:rsid w:val="0018709C"/>
    <w:rsid w:val="001878AC"/>
    <w:rsid w:val="00191815"/>
    <w:rsid w:val="0019263D"/>
    <w:rsid w:val="0019286F"/>
    <w:rsid w:val="001933FC"/>
    <w:rsid w:val="0019461A"/>
    <w:rsid w:val="001A1EFC"/>
    <w:rsid w:val="001A25B1"/>
    <w:rsid w:val="001A4D98"/>
    <w:rsid w:val="001A4E74"/>
    <w:rsid w:val="001A5641"/>
    <w:rsid w:val="001A7473"/>
    <w:rsid w:val="001B2092"/>
    <w:rsid w:val="001B276A"/>
    <w:rsid w:val="001B33A5"/>
    <w:rsid w:val="001B342F"/>
    <w:rsid w:val="001B5A81"/>
    <w:rsid w:val="001C1016"/>
    <w:rsid w:val="001C1D40"/>
    <w:rsid w:val="001C225F"/>
    <w:rsid w:val="001C272A"/>
    <w:rsid w:val="001C3500"/>
    <w:rsid w:val="001C49AC"/>
    <w:rsid w:val="001C7365"/>
    <w:rsid w:val="001D46F3"/>
    <w:rsid w:val="001D4DF9"/>
    <w:rsid w:val="001D5587"/>
    <w:rsid w:val="001D5C72"/>
    <w:rsid w:val="001D666B"/>
    <w:rsid w:val="001E09E1"/>
    <w:rsid w:val="001E351E"/>
    <w:rsid w:val="001E6CDF"/>
    <w:rsid w:val="001F0ADE"/>
    <w:rsid w:val="001F2B35"/>
    <w:rsid w:val="001F2DBC"/>
    <w:rsid w:val="001F78DF"/>
    <w:rsid w:val="00201A99"/>
    <w:rsid w:val="0020385D"/>
    <w:rsid w:val="00204F4E"/>
    <w:rsid w:val="0020560B"/>
    <w:rsid w:val="002109E3"/>
    <w:rsid w:val="00212E65"/>
    <w:rsid w:val="002201F4"/>
    <w:rsid w:val="0022022E"/>
    <w:rsid w:val="002233A6"/>
    <w:rsid w:val="00223A79"/>
    <w:rsid w:val="00226F32"/>
    <w:rsid w:val="00227346"/>
    <w:rsid w:val="00230E48"/>
    <w:rsid w:val="00233496"/>
    <w:rsid w:val="00233915"/>
    <w:rsid w:val="002349F7"/>
    <w:rsid w:val="00237DC8"/>
    <w:rsid w:val="00241B16"/>
    <w:rsid w:val="002472F4"/>
    <w:rsid w:val="00247A42"/>
    <w:rsid w:val="00250AB4"/>
    <w:rsid w:val="00251086"/>
    <w:rsid w:val="00254194"/>
    <w:rsid w:val="002545BE"/>
    <w:rsid w:val="0025497B"/>
    <w:rsid w:val="00254B16"/>
    <w:rsid w:val="00265A50"/>
    <w:rsid w:val="0026602C"/>
    <w:rsid w:val="0027167F"/>
    <w:rsid w:val="00272654"/>
    <w:rsid w:val="00273B7F"/>
    <w:rsid w:val="0027486A"/>
    <w:rsid w:val="00274E3A"/>
    <w:rsid w:val="002753CB"/>
    <w:rsid w:val="00275490"/>
    <w:rsid w:val="00275A81"/>
    <w:rsid w:val="00276BC5"/>
    <w:rsid w:val="0028086D"/>
    <w:rsid w:val="00280A60"/>
    <w:rsid w:val="002825C7"/>
    <w:rsid w:val="00282A3C"/>
    <w:rsid w:val="00283110"/>
    <w:rsid w:val="00283482"/>
    <w:rsid w:val="002834FD"/>
    <w:rsid w:val="002838C5"/>
    <w:rsid w:val="002845D9"/>
    <w:rsid w:val="00285373"/>
    <w:rsid w:val="002862EE"/>
    <w:rsid w:val="0028759D"/>
    <w:rsid w:val="00292CFD"/>
    <w:rsid w:val="0029345E"/>
    <w:rsid w:val="00295412"/>
    <w:rsid w:val="0029647E"/>
    <w:rsid w:val="002A03AD"/>
    <w:rsid w:val="002A201D"/>
    <w:rsid w:val="002A239D"/>
    <w:rsid w:val="002A2FD2"/>
    <w:rsid w:val="002A3230"/>
    <w:rsid w:val="002A71B1"/>
    <w:rsid w:val="002B1F56"/>
    <w:rsid w:val="002B4063"/>
    <w:rsid w:val="002B5A0A"/>
    <w:rsid w:val="002B7803"/>
    <w:rsid w:val="002B7928"/>
    <w:rsid w:val="002C0C65"/>
    <w:rsid w:val="002C1E8D"/>
    <w:rsid w:val="002C4C13"/>
    <w:rsid w:val="002C5114"/>
    <w:rsid w:val="002C5641"/>
    <w:rsid w:val="002C736F"/>
    <w:rsid w:val="002C78A4"/>
    <w:rsid w:val="002D1717"/>
    <w:rsid w:val="002D20F6"/>
    <w:rsid w:val="002D3F9B"/>
    <w:rsid w:val="002D5909"/>
    <w:rsid w:val="002E06A2"/>
    <w:rsid w:val="002E07BA"/>
    <w:rsid w:val="002E791E"/>
    <w:rsid w:val="002E7C5A"/>
    <w:rsid w:val="002F031A"/>
    <w:rsid w:val="002F0355"/>
    <w:rsid w:val="002F0775"/>
    <w:rsid w:val="002F1CD0"/>
    <w:rsid w:val="002F32ED"/>
    <w:rsid w:val="002F3ED0"/>
    <w:rsid w:val="002F6745"/>
    <w:rsid w:val="002F6E2C"/>
    <w:rsid w:val="00302FAC"/>
    <w:rsid w:val="003030CE"/>
    <w:rsid w:val="003045F6"/>
    <w:rsid w:val="00307F26"/>
    <w:rsid w:val="003124B5"/>
    <w:rsid w:val="003126BA"/>
    <w:rsid w:val="0031500F"/>
    <w:rsid w:val="00324B05"/>
    <w:rsid w:val="003251D8"/>
    <w:rsid w:val="00325A0C"/>
    <w:rsid w:val="00326102"/>
    <w:rsid w:val="00326434"/>
    <w:rsid w:val="00333194"/>
    <w:rsid w:val="0033581C"/>
    <w:rsid w:val="00340870"/>
    <w:rsid w:val="0034180F"/>
    <w:rsid w:val="00343EE4"/>
    <w:rsid w:val="003514A7"/>
    <w:rsid w:val="0035291F"/>
    <w:rsid w:val="00353976"/>
    <w:rsid w:val="00354488"/>
    <w:rsid w:val="00357A27"/>
    <w:rsid w:val="003605F6"/>
    <w:rsid w:val="003617C9"/>
    <w:rsid w:val="0036350C"/>
    <w:rsid w:val="00364B30"/>
    <w:rsid w:val="00365ABB"/>
    <w:rsid w:val="00367C1D"/>
    <w:rsid w:val="00367DC9"/>
    <w:rsid w:val="003714C2"/>
    <w:rsid w:val="0037234C"/>
    <w:rsid w:val="00374BFA"/>
    <w:rsid w:val="00377B8D"/>
    <w:rsid w:val="00377C5E"/>
    <w:rsid w:val="00380CDD"/>
    <w:rsid w:val="00382796"/>
    <w:rsid w:val="00384524"/>
    <w:rsid w:val="00384660"/>
    <w:rsid w:val="00386165"/>
    <w:rsid w:val="00387185"/>
    <w:rsid w:val="0039009E"/>
    <w:rsid w:val="00391122"/>
    <w:rsid w:val="00391430"/>
    <w:rsid w:val="00393F78"/>
    <w:rsid w:val="003970E7"/>
    <w:rsid w:val="003A32AD"/>
    <w:rsid w:val="003A3FDA"/>
    <w:rsid w:val="003A488F"/>
    <w:rsid w:val="003A60C1"/>
    <w:rsid w:val="003A7804"/>
    <w:rsid w:val="003B0CAA"/>
    <w:rsid w:val="003B0E71"/>
    <w:rsid w:val="003B2F39"/>
    <w:rsid w:val="003B6633"/>
    <w:rsid w:val="003C284A"/>
    <w:rsid w:val="003C4B52"/>
    <w:rsid w:val="003C6B24"/>
    <w:rsid w:val="003C7FD3"/>
    <w:rsid w:val="003D1DD4"/>
    <w:rsid w:val="003E0A68"/>
    <w:rsid w:val="003E1900"/>
    <w:rsid w:val="003E1D3D"/>
    <w:rsid w:val="003F0EA8"/>
    <w:rsid w:val="003F3449"/>
    <w:rsid w:val="003F39B1"/>
    <w:rsid w:val="003F6ED6"/>
    <w:rsid w:val="004016D5"/>
    <w:rsid w:val="00401B60"/>
    <w:rsid w:val="00401ECA"/>
    <w:rsid w:val="004037F5"/>
    <w:rsid w:val="00406D96"/>
    <w:rsid w:val="00406EFD"/>
    <w:rsid w:val="00410D7B"/>
    <w:rsid w:val="004113EE"/>
    <w:rsid w:val="004117EF"/>
    <w:rsid w:val="00411BD0"/>
    <w:rsid w:val="00414324"/>
    <w:rsid w:val="004150BD"/>
    <w:rsid w:val="00415B17"/>
    <w:rsid w:val="00416A82"/>
    <w:rsid w:val="00416B0E"/>
    <w:rsid w:val="004203BD"/>
    <w:rsid w:val="00422E4D"/>
    <w:rsid w:val="00426876"/>
    <w:rsid w:val="00433FC5"/>
    <w:rsid w:val="00434D86"/>
    <w:rsid w:val="004350A9"/>
    <w:rsid w:val="00435728"/>
    <w:rsid w:val="00436A2D"/>
    <w:rsid w:val="00440FF4"/>
    <w:rsid w:val="004431EE"/>
    <w:rsid w:val="0044365C"/>
    <w:rsid w:val="004449FC"/>
    <w:rsid w:val="0044702C"/>
    <w:rsid w:val="004474FB"/>
    <w:rsid w:val="00452C68"/>
    <w:rsid w:val="00453C43"/>
    <w:rsid w:val="00456D0C"/>
    <w:rsid w:val="00460E9C"/>
    <w:rsid w:val="00460FBB"/>
    <w:rsid w:val="004615EC"/>
    <w:rsid w:val="004627F7"/>
    <w:rsid w:val="0046515F"/>
    <w:rsid w:val="0047022A"/>
    <w:rsid w:val="00470CE9"/>
    <w:rsid w:val="0047591E"/>
    <w:rsid w:val="004764B8"/>
    <w:rsid w:val="0047683E"/>
    <w:rsid w:val="00476C6C"/>
    <w:rsid w:val="00480BEC"/>
    <w:rsid w:val="0048155F"/>
    <w:rsid w:val="00485481"/>
    <w:rsid w:val="00487CF6"/>
    <w:rsid w:val="00490C6F"/>
    <w:rsid w:val="00491083"/>
    <w:rsid w:val="004961AC"/>
    <w:rsid w:val="004961F8"/>
    <w:rsid w:val="00497F29"/>
    <w:rsid w:val="004A0092"/>
    <w:rsid w:val="004A3747"/>
    <w:rsid w:val="004A3BB8"/>
    <w:rsid w:val="004A3C2F"/>
    <w:rsid w:val="004A417F"/>
    <w:rsid w:val="004A48E1"/>
    <w:rsid w:val="004A5B4C"/>
    <w:rsid w:val="004B038C"/>
    <w:rsid w:val="004B1F03"/>
    <w:rsid w:val="004B4319"/>
    <w:rsid w:val="004B6035"/>
    <w:rsid w:val="004B736C"/>
    <w:rsid w:val="004C1157"/>
    <w:rsid w:val="004C28A9"/>
    <w:rsid w:val="004C4BAD"/>
    <w:rsid w:val="004C5BDE"/>
    <w:rsid w:val="004C773E"/>
    <w:rsid w:val="004D33A4"/>
    <w:rsid w:val="004D3809"/>
    <w:rsid w:val="004D4AC4"/>
    <w:rsid w:val="004D4CC5"/>
    <w:rsid w:val="004D4D1C"/>
    <w:rsid w:val="004D4FC5"/>
    <w:rsid w:val="004D5AD1"/>
    <w:rsid w:val="004D6D92"/>
    <w:rsid w:val="004E043B"/>
    <w:rsid w:val="004E06C5"/>
    <w:rsid w:val="004E1023"/>
    <w:rsid w:val="004E140A"/>
    <w:rsid w:val="004E20BC"/>
    <w:rsid w:val="004E3B24"/>
    <w:rsid w:val="004E5ACE"/>
    <w:rsid w:val="004E6287"/>
    <w:rsid w:val="004E7EE2"/>
    <w:rsid w:val="004F0DB5"/>
    <w:rsid w:val="004F3AC1"/>
    <w:rsid w:val="004F3B91"/>
    <w:rsid w:val="004F46A9"/>
    <w:rsid w:val="004F4F08"/>
    <w:rsid w:val="004F55FE"/>
    <w:rsid w:val="004F674E"/>
    <w:rsid w:val="005001DE"/>
    <w:rsid w:val="00500479"/>
    <w:rsid w:val="00500E80"/>
    <w:rsid w:val="00501E78"/>
    <w:rsid w:val="005024F1"/>
    <w:rsid w:val="005029B2"/>
    <w:rsid w:val="0050323D"/>
    <w:rsid w:val="00507971"/>
    <w:rsid w:val="00511579"/>
    <w:rsid w:val="00511C34"/>
    <w:rsid w:val="005161CB"/>
    <w:rsid w:val="005166B2"/>
    <w:rsid w:val="0052076B"/>
    <w:rsid w:val="00521EA2"/>
    <w:rsid w:val="00523FC7"/>
    <w:rsid w:val="0052522E"/>
    <w:rsid w:val="00525C64"/>
    <w:rsid w:val="00526257"/>
    <w:rsid w:val="005302F4"/>
    <w:rsid w:val="00532102"/>
    <w:rsid w:val="00533F9C"/>
    <w:rsid w:val="0053452C"/>
    <w:rsid w:val="00534BAD"/>
    <w:rsid w:val="00534E7B"/>
    <w:rsid w:val="00535EC5"/>
    <w:rsid w:val="00537456"/>
    <w:rsid w:val="00540308"/>
    <w:rsid w:val="005403E1"/>
    <w:rsid w:val="0054104F"/>
    <w:rsid w:val="00541346"/>
    <w:rsid w:val="00542C3F"/>
    <w:rsid w:val="00544AF9"/>
    <w:rsid w:val="0054589B"/>
    <w:rsid w:val="00546583"/>
    <w:rsid w:val="00550BE2"/>
    <w:rsid w:val="005577E5"/>
    <w:rsid w:val="00560526"/>
    <w:rsid w:val="0056274D"/>
    <w:rsid w:val="00562C5D"/>
    <w:rsid w:val="00564C0B"/>
    <w:rsid w:val="005654E2"/>
    <w:rsid w:val="005655CE"/>
    <w:rsid w:val="005672E7"/>
    <w:rsid w:val="00572D8E"/>
    <w:rsid w:val="00577065"/>
    <w:rsid w:val="0058004D"/>
    <w:rsid w:val="00580BC4"/>
    <w:rsid w:val="005834BF"/>
    <w:rsid w:val="00585CF8"/>
    <w:rsid w:val="00590051"/>
    <w:rsid w:val="0059055D"/>
    <w:rsid w:val="005917C4"/>
    <w:rsid w:val="00591E2A"/>
    <w:rsid w:val="005940A1"/>
    <w:rsid w:val="0059506D"/>
    <w:rsid w:val="00595A42"/>
    <w:rsid w:val="005A011B"/>
    <w:rsid w:val="005A0E8E"/>
    <w:rsid w:val="005A2514"/>
    <w:rsid w:val="005A2D12"/>
    <w:rsid w:val="005A6AC7"/>
    <w:rsid w:val="005A7519"/>
    <w:rsid w:val="005B146F"/>
    <w:rsid w:val="005B63F2"/>
    <w:rsid w:val="005B76C8"/>
    <w:rsid w:val="005C070D"/>
    <w:rsid w:val="005C1ACB"/>
    <w:rsid w:val="005C3BAA"/>
    <w:rsid w:val="005C46F8"/>
    <w:rsid w:val="005C533B"/>
    <w:rsid w:val="005D198B"/>
    <w:rsid w:val="005D27CC"/>
    <w:rsid w:val="005D37EF"/>
    <w:rsid w:val="005D4C98"/>
    <w:rsid w:val="005D607A"/>
    <w:rsid w:val="005D7B82"/>
    <w:rsid w:val="005E16AC"/>
    <w:rsid w:val="005E275A"/>
    <w:rsid w:val="005E6BE4"/>
    <w:rsid w:val="005F5F20"/>
    <w:rsid w:val="00600DB2"/>
    <w:rsid w:val="00600F5F"/>
    <w:rsid w:val="00602261"/>
    <w:rsid w:val="00606350"/>
    <w:rsid w:val="00607D02"/>
    <w:rsid w:val="006105BF"/>
    <w:rsid w:val="00615C38"/>
    <w:rsid w:val="00615DB9"/>
    <w:rsid w:val="006166AF"/>
    <w:rsid w:val="006214C7"/>
    <w:rsid w:val="006312D3"/>
    <w:rsid w:val="00632CDA"/>
    <w:rsid w:val="0063418D"/>
    <w:rsid w:val="00636316"/>
    <w:rsid w:val="006403F7"/>
    <w:rsid w:val="00640C4B"/>
    <w:rsid w:val="00641282"/>
    <w:rsid w:val="00646227"/>
    <w:rsid w:val="0064679D"/>
    <w:rsid w:val="00646BA3"/>
    <w:rsid w:val="00646DAF"/>
    <w:rsid w:val="00646DE0"/>
    <w:rsid w:val="00651AB1"/>
    <w:rsid w:val="00652DF8"/>
    <w:rsid w:val="0065356F"/>
    <w:rsid w:val="0065478E"/>
    <w:rsid w:val="00654ECF"/>
    <w:rsid w:val="00661CFD"/>
    <w:rsid w:val="00664D0F"/>
    <w:rsid w:val="00665B4B"/>
    <w:rsid w:val="006667AC"/>
    <w:rsid w:val="006674A8"/>
    <w:rsid w:val="0067062B"/>
    <w:rsid w:val="00671F22"/>
    <w:rsid w:val="00676D45"/>
    <w:rsid w:val="00682C21"/>
    <w:rsid w:val="006903CE"/>
    <w:rsid w:val="006914C1"/>
    <w:rsid w:val="006919A2"/>
    <w:rsid w:val="0069263B"/>
    <w:rsid w:val="006A294A"/>
    <w:rsid w:val="006A3A71"/>
    <w:rsid w:val="006A3AE9"/>
    <w:rsid w:val="006A40E5"/>
    <w:rsid w:val="006A4ADB"/>
    <w:rsid w:val="006A5014"/>
    <w:rsid w:val="006A536B"/>
    <w:rsid w:val="006A6E57"/>
    <w:rsid w:val="006A6E77"/>
    <w:rsid w:val="006B0CD6"/>
    <w:rsid w:val="006B1469"/>
    <w:rsid w:val="006B2801"/>
    <w:rsid w:val="006C0912"/>
    <w:rsid w:val="006C1524"/>
    <w:rsid w:val="006C2D58"/>
    <w:rsid w:val="006C2E37"/>
    <w:rsid w:val="006D0008"/>
    <w:rsid w:val="006D055E"/>
    <w:rsid w:val="006D134A"/>
    <w:rsid w:val="006D2813"/>
    <w:rsid w:val="006D2CFA"/>
    <w:rsid w:val="006D4700"/>
    <w:rsid w:val="006D5002"/>
    <w:rsid w:val="006D58F6"/>
    <w:rsid w:val="006D5AD1"/>
    <w:rsid w:val="006D7679"/>
    <w:rsid w:val="006E0188"/>
    <w:rsid w:val="006E066F"/>
    <w:rsid w:val="006E10B2"/>
    <w:rsid w:val="006E14BF"/>
    <w:rsid w:val="006E1FA1"/>
    <w:rsid w:val="006E275A"/>
    <w:rsid w:val="006E2C39"/>
    <w:rsid w:val="006E37A9"/>
    <w:rsid w:val="006E3EB8"/>
    <w:rsid w:val="006E4A96"/>
    <w:rsid w:val="006E65DF"/>
    <w:rsid w:val="006E6834"/>
    <w:rsid w:val="006E6C5D"/>
    <w:rsid w:val="006E729C"/>
    <w:rsid w:val="006F11B2"/>
    <w:rsid w:val="006F16A5"/>
    <w:rsid w:val="006F1BB6"/>
    <w:rsid w:val="006F2D06"/>
    <w:rsid w:val="006F30E3"/>
    <w:rsid w:val="006F608F"/>
    <w:rsid w:val="006F6367"/>
    <w:rsid w:val="007010F2"/>
    <w:rsid w:val="00705FAE"/>
    <w:rsid w:val="00710AEE"/>
    <w:rsid w:val="007124EA"/>
    <w:rsid w:val="00712BDB"/>
    <w:rsid w:val="00714340"/>
    <w:rsid w:val="00716F9C"/>
    <w:rsid w:val="007174A1"/>
    <w:rsid w:val="00717EBC"/>
    <w:rsid w:val="007219F7"/>
    <w:rsid w:val="007228EA"/>
    <w:rsid w:val="00722990"/>
    <w:rsid w:val="007258D0"/>
    <w:rsid w:val="0073281D"/>
    <w:rsid w:val="007333C2"/>
    <w:rsid w:val="00736416"/>
    <w:rsid w:val="00737714"/>
    <w:rsid w:val="0074018D"/>
    <w:rsid w:val="00740C93"/>
    <w:rsid w:val="00741B1B"/>
    <w:rsid w:val="00742E4B"/>
    <w:rsid w:val="00743492"/>
    <w:rsid w:val="00743891"/>
    <w:rsid w:val="007455F0"/>
    <w:rsid w:val="00751F6A"/>
    <w:rsid w:val="00752A16"/>
    <w:rsid w:val="007530C3"/>
    <w:rsid w:val="007554ED"/>
    <w:rsid w:val="00755E40"/>
    <w:rsid w:val="0075667A"/>
    <w:rsid w:val="00756FF6"/>
    <w:rsid w:val="00757CE5"/>
    <w:rsid w:val="0076127E"/>
    <w:rsid w:val="00765404"/>
    <w:rsid w:val="00766E96"/>
    <w:rsid w:val="0076791F"/>
    <w:rsid w:val="0077083B"/>
    <w:rsid w:val="00771905"/>
    <w:rsid w:val="0077652F"/>
    <w:rsid w:val="00780E41"/>
    <w:rsid w:val="0078116B"/>
    <w:rsid w:val="0078175C"/>
    <w:rsid w:val="00786CC7"/>
    <w:rsid w:val="0078755C"/>
    <w:rsid w:val="00795993"/>
    <w:rsid w:val="00796186"/>
    <w:rsid w:val="00797C56"/>
    <w:rsid w:val="007A1CC1"/>
    <w:rsid w:val="007A283F"/>
    <w:rsid w:val="007A6BC3"/>
    <w:rsid w:val="007A6F5D"/>
    <w:rsid w:val="007B0837"/>
    <w:rsid w:val="007B10F8"/>
    <w:rsid w:val="007B2BD9"/>
    <w:rsid w:val="007B4F11"/>
    <w:rsid w:val="007B7BC6"/>
    <w:rsid w:val="007C28D3"/>
    <w:rsid w:val="007C3FFC"/>
    <w:rsid w:val="007C44C0"/>
    <w:rsid w:val="007C73D8"/>
    <w:rsid w:val="007D19B2"/>
    <w:rsid w:val="007D255B"/>
    <w:rsid w:val="007D3365"/>
    <w:rsid w:val="007D6D67"/>
    <w:rsid w:val="007E0A3C"/>
    <w:rsid w:val="007E5ACE"/>
    <w:rsid w:val="007E6687"/>
    <w:rsid w:val="007F0B61"/>
    <w:rsid w:val="007F0E8F"/>
    <w:rsid w:val="007F1D3D"/>
    <w:rsid w:val="007F387A"/>
    <w:rsid w:val="007F71CD"/>
    <w:rsid w:val="008009CB"/>
    <w:rsid w:val="00800B4F"/>
    <w:rsid w:val="008023D0"/>
    <w:rsid w:val="00802F38"/>
    <w:rsid w:val="00803BAA"/>
    <w:rsid w:val="0080416A"/>
    <w:rsid w:val="008048DD"/>
    <w:rsid w:val="00804D25"/>
    <w:rsid w:val="00806AC0"/>
    <w:rsid w:val="00806C0D"/>
    <w:rsid w:val="008078BE"/>
    <w:rsid w:val="00810808"/>
    <w:rsid w:val="00812637"/>
    <w:rsid w:val="00813227"/>
    <w:rsid w:val="00816494"/>
    <w:rsid w:val="00816A0C"/>
    <w:rsid w:val="00820794"/>
    <w:rsid w:val="00822F44"/>
    <w:rsid w:val="00823201"/>
    <w:rsid w:val="0082655E"/>
    <w:rsid w:val="00831497"/>
    <w:rsid w:val="00835C93"/>
    <w:rsid w:val="00841999"/>
    <w:rsid w:val="00842D8B"/>
    <w:rsid w:val="008434DC"/>
    <w:rsid w:val="00844F07"/>
    <w:rsid w:val="008459E8"/>
    <w:rsid w:val="00851C59"/>
    <w:rsid w:val="00852B1B"/>
    <w:rsid w:val="00852B3B"/>
    <w:rsid w:val="0085436F"/>
    <w:rsid w:val="00856DF7"/>
    <w:rsid w:val="0085767E"/>
    <w:rsid w:val="0085770B"/>
    <w:rsid w:val="008606B0"/>
    <w:rsid w:val="00862F96"/>
    <w:rsid w:val="00864ADE"/>
    <w:rsid w:val="008663E7"/>
    <w:rsid w:val="00867FB0"/>
    <w:rsid w:val="008704A5"/>
    <w:rsid w:val="00870A13"/>
    <w:rsid w:val="00870C05"/>
    <w:rsid w:val="00871A12"/>
    <w:rsid w:val="008763CE"/>
    <w:rsid w:val="00877541"/>
    <w:rsid w:val="008775C5"/>
    <w:rsid w:val="00881BBE"/>
    <w:rsid w:val="00887E6E"/>
    <w:rsid w:val="00887FEC"/>
    <w:rsid w:val="00891868"/>
    <w:rsid w:val="00891E39"/>
    <w:rsid w:val="00891F40"/>
    <w:rsid w:val="00892802"/>
    <w:rsid w:val="00892DE1"/>
    <w:rsid w:val="00895139"/>
    <w:rsid w:val="00895809"/>
    <w:rsid w:val="00895AC5"/>
    <w:rsid w:val="0089620B"/>
    <w:rsid w:val="0089775A"/>
    <w:rsid w:val="008A0443"/>
    <w:rsid w:val="008A064C"/>
    <w:rsid w:val="008A16EB"/>
    <w:rsid w:val="008A1D06"/>
    <w:rsid w:val="008A375B"/>
    <w:rsid w:val="008A6182"/>
    <w:rsid w:val="008B0295"/>
    <w:rsid w:val="008B0369"/>
    <w:rsid w:val="008B1D94"/>
    <w:rsid w:val="008B4C8D"/>
    <w:rsid w:val="008B4F78"/>
    <w:rsid w:val="008B5A2D"/>
    <w:rsid w:val="008B6376"/>
    <w:rsid w:val="008B643A"/>
    <w:rsid w:val="008B756C"/>
    <w:rsid w:val="008C1C4A"/>
    <w:rsid w:val="008C46C4"/>
    <w:rsid w:val="008C60B1"/>
    <w:rsid w:val="008C6BD0"/>
    <w:rsid w:val="008D0682"/>
    <w:rsid w:val="008D2CAF"/>
    <w:rsid w:val="008D2EBD"/>
    <w:rsid w:val="008D48C7"/>
    <w:rsid w:val="008E1505"/>
    <w:rsid w:val="008E49D1"/>
    <w:rsid w:val="008E5AAA"/>
    <w:rsid w:val="008E628A"/>
    <w:rsid w:val="008E6521"/>
    <w:rsid w:val="008F0274"/>
    <w:rsid w:val="008F0A81"/>
    <w:rsid w:val="008F22C9"/>
    <w:rsid w:val="008F3308"/>
    <w:rsid w:val="008F3EBA"/>
    <w:rsid w:val="008F3EE8"/>
    <w:rsid w:val="008F4AC5"/>
    <w:rsid w:val="008F53F1"/>
    <w:rsid w:val="008F5963"/>
    <w:rsid w:val="008F5A8B"/>
    <w:rsid w:val="008F65A3"/>
    <w:rsid w:val="00902131"/>
    <w:rsid w:val="00904BE4"/>
    <w:rsid w:val="0090661E"/>
    <w:rsid w:val="009146EF"/>
    <w:rsid w:val="00914796"/>
    <w:rsid w:val="00915DDC"/>
    <w:rsid w:val="00916EFA"/>
    <w:rsid w:val="00917C90"/>
    <w:rsid w:val="00920B8B"/>
    <w:rsid w:val="0092304D"/>
    <w:rsid w:val="00923261"/>
    <w:rsid w:val="00925220"/>
    <w:rsid w:val="009256B7"/>
    <w:rsid w:val="00930FC1"/>
    <w:rsid w:val="009317F6"/>
    <w:rsid w:val="00931EEF"/>
    <w:rsid w:val="009323F7"/>
    <w:rsid w:val="00933227"/>
    <w:rsid w:val="00933664"/>
    <w:rsid w:val="009366CF"/>
    <w:rsid w:val="009375CE"/>
    <w:rsid w:val="0094275E"/>
    <w:rsid w:val="00945F15"/>
    <w:rsid w:val="00945F74"/>
    <w:rsid w:val="00952702"/>
    <w:rsid w:val="00952EDF"/>
    <w:rsid w:val="00956D8C"/>
    <w:rsid w:val="00957055"/>
    <w:rsid w:val="00957F05"/>
    <w:rsid w:val="00963095"/>
    <w:rsid w:val="0096317D"/>
    <w:rsid w:val="00966B2A"/>
    <w:rsid w:val="00970C7A"/>
    <w:rsid w:val="00970CA5"/>
    <w:rsid w:val="00972074"/>
    <w:rsid w:val="009721DB"/>
    <w:rsid w:val="0097223E"/>
    <w:rsid w:val="00972BFA"/>
    <w:rsid w:val="0097312F"/>
    <w:rsid w:val="0098396A"/>
    <w:rsid w:val="00983B56"/>
    <w:rsid w:val="00987EC7"/>
    <w:rsid w:val="00991CD6"/>
    <w:rsid w:val="00992F7D"/>
    <w:rsid w:val="009951D6"/>
    <w:rsid w:val="009965BA"/>
    <w:rsid w:val="009B421E"/>
    <w:rsid w:val="009B6535"/>
    <w:rsid w:val="009C1915"/>
    <w:rsid w:val="009C2479"/>
    <w:rsid w:val="009C54B8"/>
    <w:rsid w:val="009D0415"/>
    <w:rsid w:val="009D06F8"/>
    <w:rsid w:val="009D1F1C"/>
    <w:rsid w:val="009D49C9"/>
    <w:rsid w:val="009D633E"/>
    <w:rsid w:val="009D73F1"/>
    <w:rsid w:val="009D7AF5"/>
    <w:rsid w:val="009E0595"/>
    <w:rsid w:val="009E0BD2"/>
    <w:rsid w:val="009E24EC"/>
    <w:rsid w:val="009E2561"/>
    <w:rsid w:val="009E2F6C"/>
    <w:rsid w:val="009E76AE"/>
    <w:rsid w:val="009F0388"/>
    <w:rsid w:val="009F138F"/>
    <w:rsid w:val="009F3CCF"/>
    <w:rsid w:val="009F7CE2"/>
    <w:rsid w:val="00A00A6B"/>
    <w:rsid w:val="00A00FBE"/>
    <w:rsid w:val="00A03279"/>
    <w:rsid w:val="00A03CDF"/>
    <w:rsid w:val="00A04E3C"/>
    <w:rsid w:val="00A05041"/>
    <w:rsid w:val="00A10201"/>
    <w:rsid w:val="00A104B3"/>
    <w:rsid w:val="00A10BA6"/>
    <w:rsid w:val="00A11E84"/>
    <w:rsid w:val="00A13A13"/>
    <w:rsid w:val="00A13BFB"/>
    <w:rsid w:val="00A13F82"/>
    <w:rsid w:val="00A14B45"/>
    <w:rsid w:val="00A16664"/>
    <w:rsid w:val="00A211C9"/>
    <w:rsid w:val="00A22E0D"/>
    <w:rsid w:val="00A23D93"/>
    <w:rsid w:val="00A23E31"/>
    <w:rsid w:val="00A336B2"/>
    <w:rsid w:val="00A36A89"/>
    <w:rsid w:val="00A41ED3"/>
    <w:rsid w:val="00A4227E"/>
    <w:rsid w:val="00A437A0"/>
    <w:rsid w:val="00A47FA2"/>
    <w:rsid w:val="00A509F3"/>
    <w:rsid w:val="00A5122D"/>
    <w:rsid w:val="00A51A7E"/>
    <w:rsid w:val="00A525B4"/>
    <w:rsid w:val="00A54BB4"/>
    <w:rsid w:val="00A55F4F"/>
    <w:rsid w:val="00A57D8C"/>
    <w:rsid w:val="00A6142A"/>
    <w:rsid w:val="00A65361"/>
    <w:rsid w:val="00A65B43"/>
    <w:rsid w:val="00A70CFB"/>
    <w:rsid w:val="00A732D5"/>
    <w:rsid w:val="00A748BA"/>
    <w:rsid w:val="00A766B3"/>
    <w:rsid w:val="00A77D9C"/>
    <w:rsid w:val="00A81EEF"/>
    <w:rsid w:val="00A834A5"/>
    <w:rsid w:val="00A83862"/>
    <w:rsid w:val="00A8486C"/>
    <w:rsid w:val="00A935DD"/>
    <w:rsid w:val="00A96200"/>
    <w:rsid w:val="00A96702"/>
    <w:rsid w:val="00A97EB2"/>
    <w:rsid w:val="00AA14A9"/>
    <w:rsid w:val="00AA1841"/>
    <w:rsid w:val="00AA24CD"/>
    <w:rsid w:val="00AB069B"/>
    <w:rsid w:val="00AB0E3B"/>
    <w:rsid w:val="00AB15A2"/>
    <w:rsid w:val="00AB165C"/>
    <w:rsid w:val="00AB34F7"/>
    <w:rsid w:val="00AB780A"/>
    <w:rsid w:val="00AC0E2E"/>
    <w:rsid w:val="00AC1003"/>
    <w:rsid w:val="00AC17FA"/>
    <w:rsid w:val="00AC1866"/>
    <w:rsid w:val="00AC1AAE"/>
    <w:rsid w:val="00AC2E3E"/>
    <w:rsid w:val="00AC303D"/>
    <w:rsid w:val="00AC42C1"/>
    <w:rsid w:val="00AC4315"/>
    <w:rsid w:val="00AC47A5"/>
    <w:rsid w:val="00AC515B"/>
    <w:rsid w:val="00AD0167"/>
    <w:rsid w:val="00AD168E"/>
    <w:rsid w:val="00AD42DA"/>
    <w:rsid w:val="00AD77B6"/>
    <w:rsid w:val="00AE0E82"/>
    <w:rsid w:val="00AE1E99"/>
    <w:rsid w:val="00AE488C"/>
    <w:rsid w:val="00AF37A3"/>
    <w:rsid w:val="00AF4402"/>
    <w:rsid w:val="00AF61B8"/>
    <w:rsid w:val="00AF63CE"/>
    <w:rsid w:val="00B005AA"/>
    <w:rsid w:val="00B00ACE"/>
    <w:rsid w:val="00B01C5B"/>
    <w:rsid w:val="00B02D38"/>
    <w:rsid w:val="00B02D7A"/>
    <w:rsid w:val="00B03CAF"/>
    <w:rsid w:val="00B073ED"/>
    <w:rsid w:val="00B07E83"/>
    <w:rsid w:val="00B110AD"/>
    <w:rsid w:val="00B11716"/>
    <w:rsid w:val="00B11C30"/>
    <w:rsid w:val="00B12E2D"/>
    <w:rsid w:val="00B162DD"/>
    <w:rsid w:val="00B16904"/>
    <w:rsid w:val="00B1716B"/>
    <w:rsid w:val="00B177B9"/>
    <w:rsid w:val="00B1791C"/>
    <w:rsid w:val="00B22833"/>
    <w:rsid w:val="00B22865"/>
    <w:rsid w:val="00B252C3"/>
    <w:rsid w:val="00B25F05"/>
    <w:rsid w:val="00B26698"/>
    <w:rsid w:val="00B271BA"/>
    <w:rsid w:val="00B2734B"/>
    <w:rsid w:val="00B2775B"/>
    <w:rsid w:val="00B27792"/>
    <w:rsid w:val="00B30AFF"/>
    <w:rsid w:val="00B31DD6"/>
    <w:rsid w:val="00B3429E"/>
    <w:rsid w:val="00B3514A"/>
    <w:rsid w:val="00B41D00"/>
    <w:rsid w:val="00B4649F"/>
    <w:rsid w:val="00B539E0"/>
    <w:rsid w:val="00B563DE"/>
    <w:rsid w:val="00B56503"/>
    <w:rsid w:val="00B56FE9"/>
    <w:rsid w:val="00B60A6D"/>
    <w:rsid w:val="00B630B9"/>
    <w:rsid w:val="00B6692C"/>
    <w:rsid w:val="00B6764A"/>
    <w:rsid w:val="00B719C9"/>
    <w:rsid w:val="00B72C2A"/>
    <w:rsid w:val="00B74237"/>
    <w:rsid w:val="00B74EC2"/>
    <w:rsid w:val="00B74F53"/>
    <w:rsid w:val="00B760B7"/>
    <w:rsid w:val="00B8027E"/>
    <w:rsid w:val="00B809CA"/>
    <w:rsid w:val="00B82F15"/>
    <w:rsid w:val="00B8312F"/>
    <w:rsid w:val="00B84486"/>
    <w:rsid w:val="00B85C4E"/>
    <w:rsid w:val="00B90532"/>
    <w:rsid w:val="00B90A1F"/>
    <w:rsid w:val="00B92155"/>
    <w:rsid w:val="00B92E8B"/>
    <w:rsid w:val="00BA3AB4"/>
    <w:rsid w:val="00BA45B5"/>
    <w:rsid w:val="00BA4622"/>
    <w:rsid w:val="00BA65D0"/>
    <w:rsid w:val="00BA6C00"/>
    <w:rsid w:val="00BB03E1"/>
    <w:rsid w:val="00BB05B0"/>
    <w:rsid w:val="00BB09DE"/>
    <w:rsid w:val="00BB2A77"/>
    <w:rsid w:val="00BB2B31"/>
    <w:rsid w:val="00BB4C9F"/>
    <w:rsid w:val="00BB6081"/>
    <w:rsid w:val="00BC0794"/>
    <w:rsid w:val="00BC0D5D"/>
    <w:rsid w:val="00BC237E"/>
    <w:rsid w:val="00BC39C4"/>
    <w:rsid w:val="00BC3A19"/>
    <w:rsid w:val="00BC41C9"/>
    <w:rsid w:val="00BD0D8A"/>
    <w:rsid w:val="00BD10CC"/>
    <w:rsid w:val="00BD1CBA"/>
    <w:rsid w:val="00BD240D"/>
    <w:rsid w:val="00BD3AAA"/>
    <w:rsid w:val="00BD5411"/>
    <w:rsid w:val="00BD6A0B"/>
    <w:rsid w:val="00BD6F89"/>
    <w:rsid w:val="00BE0A98"/>
    <w:rsid w:val="00BE11FB"/>
    <w:rsid w:val="00BE2F68"/>
    <w:rsid w:val="00BE38FC"/>
    <w:rsid w:val="00BE4512"/>
    <w:rsid w:val="00BE516B"/>
    <w:rsid w:val="00BE6672"/>
    <w:rsid w:val="00BE66AE"/>
    <w:rsid w:val="00BF0190"/>
    <w:rsid w:val="00BF3DA7"/>
    <w:rsid w:val="00BF7945"/>
    <w:rsid w:val="00C03155"/>
    <w:rsid w:val="00C03C7B"/>
    <w:rsid w:val="00C05DCA"/>
    <w:rsid w:val="00C0730D"/>
    <w:rsid w:val="00C10B3D"/>
    <w:rsid w:val="00C12FE5"/>
    <w:rsid w:val="00C1570C"/>
    <w:rsid w:val="00C17138"/>
    <w:rsid w:val="00C176A8"/>
    <w:rsid w:val="00C20C07"/>
    <w:rsid w:val="00C218B0"/>
    <w:rsid w:val="00C21982"/>
    <w:rsid w:val="00C22B7D"/>
    <w:rsid w:val="00C22C25"/>
    <w:rsid w:val="00C23E4E"/>
    <w:rsid w:val="00C24725"/>
    <w:rsid w:val="00C24DB0"/>
    <w:rsid w:val="00C25AD7"/>
    <w:rsid w:val="00C25FB8"/>
    <w:rsid w:val="00C27A62"/>
    <w:rsid w:val="00C30EFB"/>
    <w:rsid w:val="00C32A13"/>
    <w:rsid w:val="00C32F82"/>
    <w:rsid w:val="00C33154"/>
    <w:rsid w:val="00C3362D"/>
    <w:rsid w:val="00C33E45"/>
    <w:rsid w:val="00C343A9"/>
    <w:rsid w:val="00C3493B"/>
    <w:rsid w:val="00C3565C"/>
    <w:rsid w:val="00C36925"/>
    <w:rsid w:val="00C36D26"/>
    <w:rsid w:val="00C37458"/>
    <w:rsid w:val="00C41B48"/>
    <w:rsid w:val="00C438DD"/>
    <w:rsid w:val="00C43CD1"/>
    <w:rsid w:val="00C45020"/>
    <w:rsid w:val="00C45A4F"/>
    <w:rsid w:val="00C5022C"/>
    <w:rsid w:val="00C511B9"/>
    <w:rsid w:val="00C526A9"/>
    <w:rsid w:val="00C534B9"/>
    <w:rsid w:val="00C552FD"/>
    <w:rsid w:val="00C63573"/>
    <w:rsid w:val="00C660A6"/>
    <w:rsid w:val="00C67C6A"/>
    <w:rsid w:val="00C717FA"/>
    <w:rsid w:val="00C73622"/>
    <w:rsid w:val="00C742DD"/>
    <w:rsid w:val="00C7670C"/>
    <w:rsid w:val="00C777B6"/>
    <w:rsid w:val="00C8083E"/>
    <w:rsid w:val="00C813FC"/>
    <w:rsid w:val="00C851A1"/>
    <w:rsid w:val="00C876C0"/>
    <w:rsid w:val="00C90B38"/>
    <w:rsid w:val="00C91BD3"/>
    <w:rsid w:val="00C94804"/>
    <w:rsid w:val="00C94CCD"/>
    <w:rsid w:val="00C95D8A"/>
    <w:rsid w:val="00CA29CA"/>
    <w:rsid w:val="00CA4D28"/>
    <w:rsid w:val="00CA61C5"/>
    <w:rsid w:val="00CA641E"/>
    <w:rsid w:val="00CA6892"/>
    <w:rsid w:val="00CB01CC"/>
    <w:rsid w:val="00CB719A"/>
    <w:rsid w:val="00CC1DF4"/>
    <w:rsid w:val="00CC38EA"/>
    <w:rsid w:val="00CC3B81"/>
    <w:rsid w:val="00CC44B5"/>
    <w:rsid w:val="00CC5596"/>
    <w:rsid w:val="00CC5913"/>
    <w:rsid w:val="00CC5BF2"/>
    <w:rsid w:val="00CC6FCD"/>
    <w:rsid w:val="00CD16AA"/>
    <w:rsid w:val="00CD27A5"/>
    <w:rsid w:val="00CD5D1C"/>
    <w:rsid w:val="00CE2552"/>
    <w:rsid w:val="00CE2703"/>
    <w:rsid w:val="00CE2F8C"/>
    <w:rsid w:val="00CE6BCB"/>
    <w:rsid w:val="00CF11E6"/>
    <w:rsid w:val="00CF543D"/>
    <w:rsid w:val="00CF5EBC"/>
    <w:rsid w:val="00CF736A"/>
    <w:rsid w:val="00CF75CA"/>
    <w:rsid w:val="00CF7AC4"/>
    <w:rsid w:val="00CF7B67"/>
    <w:rsid w:val="00D00FD5"/>
    <w:rsid w:val="00D041F2"/>
    <w:rsid w:val="00D04D12"/>
    <w:rsid w:val="00D05901"/>
    <w:rsid w:val="00D05E98"/>
    <w:rsid w:val="00D06213"/>
    <w:rsid w:val="00D2034A"/>
    <w:rsid w:val="00D24765"/>
    <w:rsid w:val="00D2526C"/>
    <w:rsid w:val="00D253C7"/>
    <w:rsid w:val="00D26EF9"/>
    <w:rsid w:val="00D307E6"/>
    <w:rsid w:val="00D311B8"/>
    <w:rsid w:val="00D31F69"/>
    <w:rsid w:val="00D3211B"/>
    <w:rsid w:val="00D32EF3"/>
    <w:rsid w:val="00D33BB4"/>
    <w:rsid w:val="00D44740"/>
    <w:rsid w:val="00D44AC6"/>
    <w:rsid w:val="00D52086"/>
    <w:rsid w:val="00D534DC"/>
    <w:rsid w:val="00D54F5C"/>
    <w:rsid w:val="00D57345"/>
    <w:rsid w:val="00D63D80"/>
    <w:rsid w:val="00D67336"/>
    <w:rsid w:val="00D73DA3"/>
    <w:rsid w:val="00D74038"/>
    <w:rsid w:val="00D74C6A"/>
    <w:rsid w:val="00D755C1"/>
    <w:rsid w:val="00D83665"/>
    <w:rsid w:val="00D841CC"/>
    <w:rsid w:val="00D84DC6"/>
    <w:rsid w:val="00D84FFC"/>
    <w:rsid w:val="00D90D56"/>
    <w:rsid w:val="00D942EB"/>
    <w:rsid w:val="00D949DE"/>
    <w:rsid w:val="00D94C8C"/>
    <w:rsid w:val="00D96A64"/>
    <w:rsid w:val="00D96D1D"/>
    <w:rsid w:val="00DA01D5"/>
    <w:rsid w:val="00DA2A7B"/>
    <w:rsid w:val="00DA2B44"/>
    <w:rsid w:val="00DA3B2B"/>
    <w:rsid w:val="00DA3F00"/>
    <w:rsid w:val="00DA4634"/>
    <w:rsid w:val="00DA5AC0"/>
    <w:rsid w:val="00DB00CD"/>
    <w:rsid w:val="00DB2CB8"/>
    <w:rsid w:val="00DB2CB9"/>
    <w:rsid w:val="00DB4071"/>
    <w:rsid w:val="00DB4417"/>
    <w:rsid w:val="00DC4E37"/>
    <w:rsid w:val="00DC7E1B"/>
    <w:rsid w:val="00DD13B8"/>
    <w:rsid w:val="00DD1DDC"/>
    <w:rsid w:val="00DD2C49"/>
    <w:rsid w:val="00DD30E6"/>
    <w:rsid w:val="00DD7E7A"/>
    <w:rsid w:val="00DE1DAD"/>
    <w:rsid w:val="00DE28F5"/>
    <w:rsid w:val="00DF111F"/>
    <w:rsid w:val="00DF33A1"/>
    <w:rsid w:val="00DF39E3"/>
    <w:rsid w:val="00DF4F76"/>
    <w:rsid w:val="00DF5522"/>
    <w:rsid w:val="00DF6B7B"/>
    <w:rsid w:val="00E018E5"/>
    <w:rsid w:val="00E033B7"/>
    <w:rsid w:val="00E053DA"/>
    <w:rsid w:val="00E06A1A"/>
    <w:rsid w:val="00E06C2F"/>
    <w:rsid w:val="00E10446"/>
    <w:rsid w:val="00E11FDE"/>
    <w:rsid w:val="00E170B8"/>
    <w:rsid w:val="00E210B4"/>
    <w:rsid w:val="00E21AE9"/>
    <w:rsid w:val="00E22C26"/>
    <w:rsid w:val="00E23C0C"/>
    <w:rsid w:val="00E24399"/>
    <w:rsid w:val="00E24C45"/>
    <w:rsid w:val="00E274C6"/>
    <w:rsid w:val="00E30AE9"/>
    <w:rsid w:val="00E30E5F"/>
    <w:rsid w:val="00E323F2"/>
    <w:rsid w:val="00E37003"/>
    <w:rsid w:val="00E41399"/>
    <w:rsid w:val="00E4571D"/>
    <w:rsid w:val="00E46988"/>
    <w:rsid w:val="00E47DB7"/>
    <w:rsid w:val="00E506DB"/>
    <w:rsid w:val="00E55F2F"/>
    <w:rsid w:val="00E575C4"/>
    <w:rsid w:val="00E57E39"/>
    <w:rsid w:val="00E60000"/>
    <w:rsid w:val="00E61199"/>
    <w:rsid w:val="00E63279"/>
    <w:rsid w:val="00E67045"/>
    <w:rsid w:val="00E70A69"/>
    <w:rsid w:val="00E71159"/>
    <w:rsid w:val="00E714B5"/>
    <w:rsid w:val="00E7466C"/>
    <w:rsid w:val="00E74BD5"/>
    <w:rsid w:val="00E75012"/>
    <w:rsid w:val="00E75160"/>
    <w:rsid w:val="00E7592A"/>
    <w:rsid w:val="00E76618"/>
    <w:rsid w:val="00E772DD"/>
    <w:rsid w:val="00E81064"/>
    <w:rsid w:val="00E82D25"/>
    <w:rsid w:val="00E839DA"/>
    <w:rsid w:val="00E865BA"/>
    <w:rsid w:val="00E866DA"/>
    <w:rsid w:val="00E90B4F"/>
    <w:rsid w:val="00E915E3"/>
    <w:rsid w:val="00E919C5"/>
    <w:rsid w:val="00E9203B"/>
    <w:rsid w:val="00E94DA2"/>
    <w:rsid w:val="00E95789"/>
    <w:rsid w:val="00E96457"/>
    <w:rsid w:val="00E96D45"/>
    <w:rsid w:val="00E97B4B"/>
    <w:rsid w:val="00EA4266"/>
    <w:rsid w:val="00EA45A5"/>
    <w:rsid w:val="00EA626B"/>
    <w:rsid w:val="00EA6A8B"/>
    <w:rsid w:val="00EB05C0"/>
    <w:rsid w:val="00EB1529"/>
    <w:rsid w:val="00EB16BA"/>
    <w:rsid w:val="00EB2F97"/>
    <w:rsid w:val="00EB4197"/>
    <w:rsid w:val="00EB4756"/>
    <w:rsid w:val="00EB5357"/>
    <w:rsid w:val="00EB5582"/>
    <w:rsid w:val="00EB6BFC"/>
    <w:rsid w:val="00EC2896"/>
    <w:rsid w:val="00EC4AFD"/>
    <w:rsid w:val="00EC4D69"/>
    <w:rsid w:val="00EC6E21"/>
    <w:rsid w:val="00EC7255"/>
    <w:rsid w:val="00ED0067"/>
    <w:rsid w:val="00ED06E4"/>
    <w:rsid w:val="00ED0834"/>
    <w:rsid w:val="00ED0AA7"/>
    <w:rsid w:val="00ED2122"/>
    <w:rsid w:val="00ED23DC"/>
    <w:rsid w:val="00ED3777"/>
    <w:rsid w:val="00ED4848"/>
    <w:rsid w:val="00ED602F"/>
    <w:rsid w:val="00ED6573"/>
    <w:rsid w:val="00EE2509"/>
    <w:rsid w:val="00EE3D03"/>
    <w:rsid w:val="00EE740D"/>
    <w:rsid w:val="00EF010B"/>
    <w:rsid w:val="00EF5917"/>
    <w:rsid w:val="00EF5A56"/>
    <w:rsid w:val="00EF7A1D"/>
    <w:rsid w:val="00EF7A7F"/>
    <w:rsid w:val="00F00413"/>
    <w:rsid w:val="00F015EE"/>
    <w:rsid w:val="00F03F7B"/>
    <w:rsid w:val="00F0723D"/>
    <w:rsid w:val="00F07295"/>
    <w:rsid w:val="00F13630"/>
    <w:rsid w:val="00F13C5A"/>
    <w:rsid w:val="00F14BDB"/>
    <w:rsid w:val="00F2004F"/>
    <w:rsid w:val="00F2095A"/>
    <w:rsid w:val="00F22A9B"/>
    <w:rsid w:val="00F22AF2"/>
    <w:rsid w:val="00F24482"/>
    <w:rsid w:val="00F266AE"/>
    <w:rsid w:val="00F2677A"/>
    <w:rsid w:val="00F27D29"/>
    <w:rsid w:val="00F311FB"/>
    <w:rsid w:val="00F32AFD"/>
    <w:rsid w:val="00F33B6B"/>
    <w:rsid w:val="00F34813"/>
    <w:rsid w:val="00F377CC"/>
    <w:rsid w:val="00F40F93"/>
    <w:rsid w:val="00F424C9"/>
    <w:rsid w:val="00F46813"/>
    <w:rsid w:val="00F5296B"/>
    <w:rsid w:val="00F5444A"/>
    <w:rsid w:val="00F54EF9"/>
    <w:rsid w:val="00F56BB3"/>
    <w:rsid w:val="00F640EF"/>
    <w:rsid w:val="00F66585"/>
    <w:rsid w:val="00F66B41"/>
    <w:rsid w:val="00F707ED"/>
    <w:rsid w:val="00F73284"/>
    <w:rsid w:val="00F77456"/>
    <w:rsid w:val="00F80876"/>
    <w:rsid w:val="00F81827"/>
    <w:rsid w:val="00F82A0E"/>
    <w:rsid w:val="00F84C17"/>
    <w:rsid w:val="00F90909"/>
    <w:rsid w:val="00F92234"/>
    <w:rsid w:val="00F970FB"/>
    <w:rsid w:val="00FA25EE"/>
    <w:rsid w:val="00FA7B0A"/>
    <w:rsid w:val="00FB3320"/>
    <w:rsid w:val="00FB39CB"/>
    <w:rsid w:val="00FB42D3"/>
    <w:rsid w:val="00FB4F15"/>
    <w:rsid w:val="00FB597C"/>
    <w:rsid w:val="00FB75BB"/>
    <w:rsid w:val="00FC2254"/>
    <w:rsid w:val="00FC30DA"/>
    <w:rsid w:val="00FC64EE"/>
    <w:rsid w:val="00FC73E4"/>
    <w:rsid w:val="00FC7F82"/>
    <w:rsid w:val="00FD69BD"/>
    <w:rsid w:val="00FE0CA9"/>
    <w:rsid w:val="00FE736E"/>
    <w:rsid w:val="00FF0BA9"/>
    <w:rsid w:val="00FF14DE"/>
    <w:rsid w:val="00FF2DF2"/>
    <w:rsid w:val="00FF4BEC"/>
    <w:rsid w:val="00FF4DB8"/>
    <w:rsid w:val="00FF7A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BCF4817"/>
  <w15:docId w15:val="{0877548D-DA01-401F-B694-D70D317A8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6"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5F2"/>
    <w:pPr>
      <w:jc w:val="both"/>
    </w:pPr>
    <w:rPr>
      <w:sz w:val="19"/>
      <w:lang w:eastAsia="en-US"/>
    </w:rPr>
  </w:style>
  <w:style w:type="paragraph" w:styleId="Heading1">
    <w:name w:val="heading 1"/>
    <w:basedOn w:val="Normal"/>
    <w:next w:val="Normal"/>
    <w:qFormat/>
    <w:rsid w:val="003E1900"/>
    <w:pPr>
      <w:keepNext/>
      <w:spacing w:before="400" w:after="200"/>
      <w:jc w:val="left"/>
      <w:outlineLvl w:val="0"/>
    </w:pPr>
    <w:rPr>
      <w:rFonts w:ascii="Arial" w:hAnsi="Arial" w:cs="Arial"/>
      <w:b/>
      <w:bCs/>
      <w:sz w:val="26"/>
      <w:szCs w:val="32"/>
    </w:rPr>
  </w:style>
  <w:style w:type="paragraph" w:styleId="Heading2">
    <w:name w:val="heading 2"/>
    <w:basedOn w:val="Heading1"/>
    <w:next w:val="Normal"/>
    <w:qFormat/>
    <w:rsid w:val="00895AC5"/>
    <w:pPr>
      <w:pBdr>
        <w:bottom w:val="single" w:sz="4" w:space="1" w:color="auto"/>
      </w:pBdr>
      <w:outlineLvl w:val="1"/>
    </w:pPr>
    <w:rPr>
      <w:bCs w:val="0"/>
      <w:iCs/>
      <w:szCs w:val="28"/>
    </w:rPr>
  </w:style>
  <w:style w:type="paragraph" w:styleId="Heading3">
    <w:name w:val="heading 3"/>
    <w:basedOn w:val="Heading2"/>
    <w:next w:val="Normal"/>
    <w:qFormat/>
    <w:rsid w:val="00580BC4"/>
    <w:pPr>
      <w:spacing w:before="100"/>
      <w:outlineLvl w:val="2"/>
    </w:pPr>
    <w:rPr>
      <w:bCs/>
      <w:szCs w:val="26"/>
    </w:rPr>
  </w:style>
  <w:style w:type="paragraph" w:styleId="Heading4">
    <w:name w:val="heading 4"/>
    <w:basedOn w:val="Heading3"/>
    <w:next w:val="Normal"/>
    <w:qFormat/>
    <w:rsid w:val="00580BC4"/>
    <w:pPr>
      <w:pBdr>
        <w:bottom w:val="none" w:sz="0" w:space="0" w:color="auto"/>
      </w:pBdr>
      <w:outlineLvl w:val="3"/>
    </w:pPr>
    <w:rPr>
      <w:bCs w:val="0"/>
      <w:sz w:val="18"/>
      <w:szCs w:val="28"/>
    </w:rPr>
  </w:style>
  <w:style w:type="paragraph" w:styleId="Heading5">
    <w:name w:val="heading 5"/>
    <w:basedOn w:val="Heading4"/>
    <w:next w:val="Normal"/>
    <w:qFormat/>
    <w:rsid w:val="00580BC4"/>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sid w:val="00580BC4"/>
    <w:pPr>
      <w:spacing w:before="240"/>
    </w:pPr>
    <w:rPr>
      <w:i/>
    </w:rPr>
  </w:style>
  <w:style w:type="paragraph" w:customStyle="1" w:styleId="Heading2Indent1">
    <w:name w:val="Heading 2 Indent1"/>
    <w:basedOn w:val="Heading2"/>
    <w:next w:val="Normal"/>
    <w:rsid w:val="00580BC4"/>
    <w:pPr>
      <w:pBdr>
        <w:bottom w:val="none" w:sz="0" w:space="0" w:color="auto"/>
      </w:pBdr>
      <w:spacing w:before="240"/>
      <w:ind w:left="510"/>
    </w:pPr>
  </w:style>
  <w:style w:type="paragraph" w:customStyle="1" w:styleId="Heading3Indent1">
    <w:name w:val="Heading 3 Indent1"/>
    <w:basedOn w:val="Heading3"/>
    <w:next w:val="Normal"/>
    <w:rsid w:val="00580BC4"/>
    <w:pPr>
      <w:pBdr>
        <w:bottom w:val="none" w:sz="0" w:space="0" w:color="auto"/>
      </w:pBdr>
      <w:ind w:left="510"/>
    </w:pPr>
  </w:style>
  <w:style w:type="paragraph" w:customStyle="1" w:styleId="Heading4Indent1">
    <w:name w:val="Heading 4 Indent1"/>
    <w:basedOn w:val="Heading4"/>
    <w:next w:val="Normal"/>
    <w:pPr>
      <w:ind w:left="510"/>
    </w:pPr>
  </w:style>
  <w:style w:type="paragraph" w:customStyle="1" w:styleId="Heading5Indent1">
    <w:name w:val="Heading 5 Indent1"/>
    <w:basedOn w:val="Heading5"/>
    <w:next w:val="Normal"/>
    <w:pPr>
      <w:ind w:left="510"/>
    </w:pPr>
  </w:style>
  <w:style w:type="paragraph" w:customStyle="1" w:styleId="Heading6Indent1">
    <w:name w:val="Heading 6 Indent1"/>
    <w:basedOn w:val="Heading6"/>
    <w:next w:val="Normal"/>
    <w:pPr>
      <w:ind w:left="510"/>
    </w:pPr>
  </w:style>
  <w:style w:type="paragraph" w:styleId="Header">
    <w:name w:val="header"/>
    <w:basedOn w:val="Normal"/>
    <w:link w:val="HeaderChar"/>
    <w:uiPriority w:val="99"/>
    <w:rsid w:val="00D74C6A"/>
    <w:pPr>
      <w:tabs>
        <w:tab w:val="center" w:pos="4536"/>
        <w:tab w:val="right" w:pos="9072"/>
      </w:tabs>
    </w:pPr>
  </w:style>
  <w:style w:type="paragraph" w:styleId="Footer">
    <w:name w:val="footer"/>
    <w:basedOn w:val="Normal"/>
    <w:rsid w:val="00D74C6A"/>
    <w:pPr>
      <w:tabs>
        <w:tab w:val="center" w:pos="4536"/>
        <w:tab w:val="right" w:pos="9072"/>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rsid w:val="00500E80"/>
    <w:pPr>
      <w:spacing w:before="800" w:after="500"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rsid w:val="00B82F15"/>
    <w:pPr>
      <w:tabs>
        <w:tab w:val="left" w:pos="907"/>
      </w:tabs>
    </w:pPr>
  </w:style>
  <w:style w:type="paragraph" w:customStyle="1" w:styleId="CoverLeadPara">
    <w:name w:val="Cover LeadPara"/>
    <w:basedOn w:val="Normal"/>
    <w:next w:val="Normal"/>
    <w:rsid w:val="00F13C5A"/>
    <w:pPr>
      <w:spacing w:after="100"/>
    </w:pPr>
  </w:style>
  <w:style w:type="paragraph" w:customStyle="1" w:styleId="ContentsCapsPlainPg">
    <w:name w:val="Contents CapsPlainPg"/>
    <w:basedOn w:val="Normal"/>
    <w:next w:val="ContentsLevel1"/>
    <w:rsid w:val="00F13C5A"/>
    <w:pPr>
      <w:tabs>
        <w:tab w:val="right" w:pos="6237"/>
      </w:tabs>
      <w:spacing w:after="200"/>
      <w:ind w:left="170" w:right="1134" w:hanging="170"/>
    </w:pPr>
  </w:style>
  <w:style w:type="paragraph" w:customStyle="1" w:styleId="ContentsLevel1">
    <w:name w:val="Contents Level1"/>
    <w:basedOn w:val="Normal"/>
    <w:rsid w:val="00E24C45"/>
    <w:pPr>
      <w:tabs>
        <w:tab w:val="right" w:pos="9072"/>
      </w:tabs>
      <w:spacing w:after="60"/>
      <w:ind w:left="170" w:right="1134" w:hanging="170"/>
      <w:jc w:val="left"/>
    </w:pPr>
  </w:style>
  <w:style w:type="paragraph" w:customStyle="1" w:styleId="ContentsCapsBoldPg">
    <w:name w:val="Contents CapsBoldPg"/>
    <w:basedOn w:val="ContentsCapsPlainPg"/>
    <w:next w:val="ContentsLevel1"/>
    <w:rsid w:val="00F13C5A"/>
    <w:rPr>
      <w:b/>
    </w:r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rsid w:val="00972BFA"/>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basedOn w:val="DefaultParagraphFont"/>
    <w:rsid w:val="00737714"/>
    <w:rPr>
      <w:color w:val="0000FF"/>
      <w:u w:val="single"/>
    </w:rPr>
  </w:style>
  <w:style w:type="paragraph" w:customStyle="1" w:styleId="NumPlainA">
    <w:name w:val="Num PlainA"/>
    <w:basedOn w:val="Normal"/>
    <w:qFormat/>
    <w:rsid w:val="00580BC4"/>
    <w:pPr>
      <w:numPr>
        <w:numId w:val="7"/>
      </w:numPr>
      <w:spacing w:before="100" w:after="100"/>
    </w:pPr>
  </w:style>
  <w:style w:type="paragraph" w:customStyle="1" w:styleId="NoNumPlain1">
    <w:name w:val="NoNum Plain1"/>
    <w:basedOn w:val="Normal"/>
    <w:uiPriority w:val="2"/>
    <w:qFormat/>
    <w:rsid w:val="00580BC4"/>
    <w:pPr>
      <w:spacing w:before="100" w:after="1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rsid w:val="00580BC4"/>
    <w:pPr>
      <w:spacing w:before="100" w:after="1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rsid w:val="00580BC4"/>
    <w:pPr>
      <w:numPr>
        <w:numId w:val="1"/>
      </w:numPr>
      <w:spacing w:before="100" w:after="100"/>
    </w:pPr>
  </w:style>
  <w:style w:type="paragraph" w:customStyle="1" w:styleId="NumPlain2">
    <w:name w:val="Num Plain2"/>
    <w:basedOn w:val="NumPlain1"/>
    <w:uiPriority w:val="2"/>
    <w:qFormat/>
    <w:rsid w:val="00426876"/>
    <w:pPr>
      <w:numPr>
        <w:ilvl w:val="1"/>
      </w:numPr>
    </w:pPr>
  </w:style>
  <w:style w:type="paragraph" w:customStyle="1" w:styleId="NumPlain3">
    <w:name w:val="Num Plain3"/>
    <w:basedOn w:val="NumPlain2"/>
    <w:uiPriority w:val="2"/>
    <w:qFormat/>
    <w:rsid w:val="00426876"/>
    <w:pPr>
      <w:numPr>
        <w:ilvl w:val="2"/>
      </w:numPr>
    </w:pPr>
  </w:style>
  <w:style w:type="paragraph" w:customStyle="1" w:styleId="NumPlain4">
    <w:name w:val="Num Plain4"/>
    <w:basedOn w:val="NumPlain3"/>
    <w:rsid w:val="00426876"/>
    <w:pPr>
      <w:numPr>
        <w:ilvl w:val="3"/>
      </w:numPr>
    </w:pPr>
  </w:style>
  <w:style w:type="paragraph" w:customStyle="1" w:styleId="Bullet1">
    <w:name w:val="Bullet1"/>
    <w:basedOn w:val="Normal"/>
    <w:qFormat/>
    <w:rsid w:val="00580BC4"/>
    <w:pPr>
      <w:numPr>
        <w:numId w:val="6"/>
      </w:numPr>
      <w:spacing w:before="100" w:after="100"/>
      <w:ind w:left="505" w:hanging="505"/>
    </w:pPr>
  </w:style>
  <w:style w:type="paragraph" w:customStyle="1" w:styleId="Bullet2">
    <w:name w:val="Bullet2"/>
    <w:basedOn w:val="Normal"/>
    <w:rsid w:val="00972BFA"/>
    <w:pPr>
      <w:numPr>
        <w:ilvl w:val="1"/>
        <w:numId w:val="6"/>
      </w:numPr>
      <w:spacing w:after="200"/>
      <w:ind w:left="1010" w:hanging="505"/>
    </w:pPr>
  </w:style>
  <w:style w:type="paragraph" w:customStyle="1" w:styleId="Bullet3">
    <w:name w:val="Bullet3"/>
    <w:basedOn w:val="Normal"/>
    <w:rsid w:val="00972BFA"/>
    <w:pPr>
      <w:numPr>
        <w:ilvl w:val="2"/>
        <w:numId w:val="6"/>
      </w:numPr>
      <w:spacing w:after="200"/>
      <w:ind w:left="1514" w:hanging="505"/>
    </w:pPr>
  </w:style>
  <w:style w:type="paragraph" w:customStyle="1" w:styleId="CommentsPage">
    <w:name w:val="CommentsPage"/>
    <w:basedOn w:val="Normal"/>
    <w:next w:val="Normal"/>
  </w:style>
  <w:style w:type="paragraph" w:customStyle="1" w:styleId="Bullet4">
    <w:name w:val="Bullet4"/>
    <w:basedOn w:val="Normal"/>
    <w:rsid w:val="00972BFA"/>
    <w:pPr>
      <w:numPr>
        <w:ilvl w:val="3"/>
        <w:numId w:val="6"/>
      </w:numPr>
      <w:spacing w:after="200"/>
      <w:ind w:left="2019" w:hanging="505"/>
    </w:pPr>
  </w:style>
  <w:style w:type="paragraph" w:customStyle="1" w:styleId="ContentsCapsPlain">
    <w:name w:val="Contents CapsPlain"/>
    <w:basedOn w:val="Normal"/>
    <w:next w:val="ContentsLevel1"/>
    <w:rsid w:val="00F13C5A"/>
    <w:pPr>
      <w:spacing w:after="200"/>
    </w:pPr>
  </w:style>
  <w:style w:type="paragraph" w:customStyle="1" w:styleId="ContentsCapsBold">
    <w:name w:val="Contents CapsBold"/>
    <w:basedOn w:val="ContentsCapsPlain"/>
    <w:next w:val="ContentsLevel1"/>
    <w:rsid w:val="00F13C5A"/>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rsid w:val="000625F2"/>
    <w:pPr>
      <w:keepNext/>
      <w:spacing w:after="200"/>
      <w:jc w:val="left"/>
      <w:outlineLvl w:val="0"/>
    </w:pPr>
    <w:rPr>
      <w:rFonts w:ascii="Arial" w:hAnsi="Arial"/>
      <w:b/>
      <w:sz w:val="26"/>
      <w:szCs w:val="28"/>
    </w:rPr>
  </w:style>
  <w:style w:type="paragraph" w:customStyle="1" w:styleId="BCHanging0">
    <w:name w:val="BC Hanging0"/>
    <w:basedOn w:val="NoNumPlain1"/>
    <w:qFormat/>
    <w:rsid w:val="0058004D"/>
    <w:pPr>
      <w:ind w:left="624" w:hanging="624"/>
    </w:pPr>
  </w:style>
  <w:style w:type="paragraph" w:customStyle="1" w:styleId="AppendixNote">
    <w:name w:val="AppendixNote"/>
    <w:basedOn w:val="Normal"/>
    <w:next w:val="Normal"/>
    <w:rsid w:val="00972BFA"/>
    <w:pPr>
      <w:spacing w:after="200"/>
    </w:pPr>
    <w:rPr>
      <w:i/>
      <w:iCs/>
    </w:rPr>
  </w:style>
  <w:style w:type="paragraph" w:customStyle="1" w:styleId="AppendixText">
    <w:name w:val="AppendixText"/>
    <w:basedOn w:val="Normal"/>
    <w:rsid w:val="00580BC4"/>
    <w:pPr>
      <w:spacing w:before="100" w:after="100"/>
    </w:pPr>
  </w:style>
  <w:style w:type="paragraph" w:customStyle="1" w:styleId="AppendixTitle">
    <w:name w:val="AppendixTitle"/>
    <w:basedOn w:val="Normal"/>
    <w:next w:val="AppendixNote"/>
    <w:rsid w:val="000625F2"/>
    <w:pPr>
      <w:keepNext/>
      <w:spacing w:after="200"/>
      <w:jc w:val="left"/>
      <w:outlineLvl w:val="0"/>
    </w:pPr>
    <w:rPr>
      <w:rFonts w:ascii="Arial" w:hAnsi="Arial"/>
      <w:b/>
      <w:sz w:val="26"/>
      <w:szCs w:val="28"/>
    </w:rPr>
  </w:style>
  <w:style w:type="paragraph" w:customStyle="1" w:styleId="NoNumBC2">
    <w:name w:val="NoNum BC2"/>
    <w:basedOn w:val="NoNumPlain1"/>
    <w:rsid w:val="0058004D"/>
    <w:pPr>
      <w:ind w:left="624"/>
    </w:pPr>
  </w:style>
  <w:style w:type="paragraph" w:customStyle="1" w:styleId="BCHanging1">
    <w:name w:val="BC Hanging1"/>
    <w:basedOn w:val="NoNumBC2"/>
    <w:rsid w:val="0058004D"/>
    <w:pPr>
      <w:ind w:left="1248" w:hanging="624"/>
    </w:pPr>
  </w:style>
  <w:style w:type="paragraph" w:customStyle="1" w:styleId="BCHanging2">
    <w:name w:val="BC Hanging2"/>
    <w:basedOn w:val="BCHanging1"/>
    <w:rsid w:val="0058004D"/>
    <w:pPr>
      <w:ind w:left="1871"/>
    </w:pPr>
  </w:style>
  <w:style w:type="paragraph" w:customStyle="1" w:styleId="BCHanging3">
    <w:name w:val="BC Hanging3"/>
    <w:basedOn w:val="BCHanging1"/>
    <w:rsid w:val="0058004D"/>
    <w:pPr>
      <w:ind w:left="2495"/>
    </w:pPr>
  </w:style>
  <w:style w:type="paragraph" w:customStyle="1" w:styleId="CoverSubtitle">
    <w:name w:val="Cover Subtitle"/>
    <w:basedOn w:val="CoverTitle"/>
    <w:rsid w:val="00500E80"/>
    <w:pPr>
      <w:spacing w:before="0" w:after="0"/>
    </w:pPr>
    <w:rPr>
      <w:sz w:val="40"/>
      <w:szCs w:val="40"/>
    </w:rPr>
  </w:style>
  <w:style w:type="paragraph" w:customStyle="1" w:styleId="NumberedList">
    <w:name w:val="NumberedList"/>
    <w:basedOn w:val="Normal"/>
    <w:qFormat/>
    <w:rsid w:val="00580BC4"/>
    <w:pPr>
      <w:numPr>
        <w:numId w:val="3"/>
      </w:numPr>
      <w:spacing w:before="100" w:after="100"/>
    </w:pPr>
  </w:style>
  <w:style w:type="paragraph" w:customStyle="1" w:styleId="NumBold1">
    <w:name w:val="Num Bold1"/>
    <w:basedOn w:val="NumPlain1"/>
    <w:qFormat/>
    <w:rsid w:val="00027E8B"/>
    <w:rPr>
      <w:b/>
    </w:rPr>
  </w:style>
  <w:style w:type="paragraph" w:customStyle="1" w:styleId="NumBold2">
    <w:name w:val="Num Bold2"/>
    <w:basedOn w:val="NumPlain2"/>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rsid w:val="0039009E"/>
    <w:pPr>
      <w:ind w:left="1020" w:hanging="510"/>
    </w:pPr>
  </w:style>
  <w:style w:type="paragraph" w:customStyle="1" w:styleId="PlainHanging2">
    <w:name w:val="Plain Hanging2"/>
    <w:basedOn w:val="PlainHanging1"/>
    <w:rsid w:val="0039009E"/>
    <w:pPr>
      <w:ind w:left="1531"/>
    </w:pPr>
  </w:style>
  <w:style w:type="paragraph" w:customStyle="1" w:styleId="PlainHanging3">
    <w:name w:val="Plain Hanging3"/>
    <w:basedOn w:val="PlainHanging1"/>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qFormat/>
    <w:rsid w:val="003A488F"/>
    <w:pPr>
      <w:ind w:left="510"/>
    </w:pPr>
  </w:style>
  <w:style w:type="paragraph" w:customStyle="1" w:styleId="BoldHanging0">
    <w:name w:val="Bold Hanging0"/>
    <w:basedOn w:val="PlainHanging0"/>
    <w:qFormat/>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qFormat/>
    <w:rsid w:val="00580BC4"/>
    <w:pPr>
      <w:numPr>
        <w:numId w:val="4"/>
      </w:numPr>
      <w:spacing w:before="100" w:after="100"/>
    </w:pPr>
  </w:style>
  <w:style w:type="paragraph" w:customStyle="1" w:styleId="NumBC2">
    <w:name w:val="Num BC2"/>
    <w:basedOn w:val="NumBC1"/>
    <w:rsid w:val="00426876"/>
    <w:pPr>
      <w:numPr>
        <w:ilvl w:val="1"/>
      </w:numPr>
    </w:pPr>
  </w:style>
  <w:style w:type="paragraph" w:customStyle="1" w:styleId="NumBC3">
    <w:name w:val="Num BC3"/>
    <w:basedOn w:val="NumBC2"/>
    <w:rsid w:val="00426876"/>
    <w:pPr>
      <w:numPr>
        <w:ilvl w:val="2"/>
      </w:numPr>
    </w:pPr>
  </w:style>
  <w:style w:type="paragraph" w:customStyle="1" w:styleId="NumBC4">
    <w:name w:val="Num BC4"/>
    <w:basedOn w:val="NumBC3"/>
    <w:rsid w:val="00426876"/>
    <w:pPr>
      <w:numPr>
        <w:ilvl w:val="3"/>
      </w:numPr>
    </w:pPr>
  </w:style>
  <w:style w:type="numbering" w:customStyle="1" w:styleId="Bullets">
    <w:name w:val="Bullets"/>
    <w:uiPriority w:val="99"/>
    <w:rsid w:val="00F27D29"/>
    <w:pPr>
      <w:numPr>
        <w:numId w:val="5"/>
      </w:numPr>
    </w:pPr>
  </w:style>
  <w:style w:type="paragraph" w:customStyle="1" w:styleId="NumPlainA2">
    <w:name w:val="Num PlainA2"/>
    <w:basedOn w:val="NumPlainA"/>
    <w:rsid w:val="00171F51"/>
    <w:pPr>
      <w:numPr>
        <w:ilvl w:val="1"/>
      </w:numPr>
      <w:outlineLvl w:val="1"/>
    </w:pPr>
  </w:style>
  <w:style w:type="table" w:styleId="TableGrid">
    <w:name w:val="Table Grid"/>
    <w:basedOn w:val="TableNormal"/>
    <w:rsid w:val="00C0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NumPlain1">
    <w:name w:val="SubNum Plain1"/>
    <w:basedOn w:val="PlainHanging1"/>
    <w:qFormat/>
    <w:rsid w:val="00A96702"/>
    <w:pPr>
      <w:numPr>
        <w:numId w:val="9"/>
      </w:numPr>
    </w:pPr>
  </w:style>
  <w:style w:type="paragraph" w:customStyle="1" w:styleId="SubNumPlain2">
    <w:name w:val="SubNum Plain2"/>
    <w:basedOn w:val="PlainHanging2"/>
    <w:qFormat/>
    <w:rsid w:val="00A96702"/>
    <w:pPr>
      <w:numPr>
        <w:ilvl w:val="1"/>
        <w:numId w:val="9"/>
      </w:numPr>
    </w:pPr>
  </w:style>
  <w:style w:type="paragraph" w:customStyle="1" w:styleId="SubNumPlain3">
    <w:name w:val="SubNum Plain3"/>
    <w:basedOn w:val="PlainHanging3"/>
    <w:qFormat/>
    <w:rsid w:val="00A96702"/>
    <w:pPr>
      <w:numPr>
        <w:ilvl w:val="2"/>
        <w:numId w:val="9"/>
      </w:numPr>
    </w:pPr>
  </w:style>
  <w:style w:type="paragraph" w:customStyle="1" w:styleId="SubNumPlain4">
    <w:name w:val="SubNum Plain4"/>
    <w:basedOn w:val="PlainHanging4"/>
    <w:qFormat/>
    <w:rsid w:val="00A96702"/>
    <w:pPr>
      <w:numPr>
        <w:ilvl w:val="3"/>
        <w:numId w:val="9"/>
      </w:numPr>
    </w:pPr>
  </w:style>
  <w:style w:type="paragraph" w:customStyle="1" w:styleId="SubNumBold1">
    <w:name w:val="SubNum Bold1"/>
    <w:basedOn w:val="BoldHanging1"/>
    <w:qFormat/>
    <w:rsid w:val="00A96702"/>
    <w:pPr>
      <w:numPr>
        <w:numId w:val="10"/>
      </w:numPr>
    </w:pPr>
  </w:style>
  <w:style w:type="paragraph" w:customStyle="1" w:styleId="SubNumBold2">
    <w:name w:val="SubNum Bold2"/>
    <w:basedOn w:val="BoldHanging2"/>
    <w:qFormat/>
    <w:rsid w:val="00A96702"/>
    <w:pPr>
      <w:numPr>
        <w:ilvl w:val="1"/>
        <w:numId w:val="10"/>
      </w:numPr>
    </w:pPr>
  </w:style>
  <w:style w:type="paragraph" w:customStyle="1" w:styleId="SubNumBold3">
    <w:name w:val="SubNum Bold3"/>
    <w:basedOn w:val="BoldHanging3"/>
    <w:qFormat/>
    <w:rsid w:val="00A96702"/>
    <w:pPr>
      <w:numPr>
        <w:ilvl w:val="2"/>
        <w:numId w:val="10"/>
      </w:numPr>
    </w:pPr>
  </w:style>
  <w:style w:type="paragraph" w:customStyle="1" w:styleId="SubNumBold4">
    <w:name w:val="SubNum Bold4"/>
    <w:basedOn w:val="BoldHanging4"/>
    <w:qFormat/>
    <w:rsid w:val="00A96702"/>
    <w:pPr>
      <w:numPr>
        <w:ilvl w:val="3"/>
        <w:numId w:val="10"/>
      </w:numPr>
    </w:pPr>
  </w:style>
  <w:style w:type="numbering" w:customStyle="1" w:styleId="AASBSubNumbers">
    <w:name w:val="AASB SubNumbers"/>
    <w:uiPriority w:val="99"/>
    <w:rsid w:val="00A96702"/>
    <w:pPr>
      <w:numPr>
        <w:numId w:val="8"/>
      </w:numPr>
    </w:pPr>
  </w:style>
  <w:style w:type="numbering" w:customStyle="1" w:styleId="AASBSubNumbersBold">
    <w:name w:val="AASB SubNumbers Bold"/>
    <w:uiPriority w:val="99"/>
    <w:rsid w:val="00A96702"/>
    <w:pPr>
      <w:numPr>
        <w:numId w:val="10"/>
      </w:numPr>
    </w:pPr>
  </w:style>
  <w:style w:type="character" w:customStyle="1" w:styleId="NumPlain1Char">
    <w:name w:val="Num Plain1 Char"/>
    <w:basedOn w:val="DefaultParagraphFont"/>
    <w:link w:val="NumPlain1"/>
    <w:rsid w:val="000812F8"/>
    <w:rPr>
      <w:sz w:val="19"/>
      <w:lang w:eastAsia="en-US"/>
    </w:rPr>
  </w:style>
  <w:style w:type="paragraph" w:customStyle="1" w:styleId="Default">
    <w:name w:val="Default"/>
    <w:rsid w:val="00532102"/>
    <w:pPr>
      <w:autoSpaceDE w:val="0"/>
      <w:autoSpaceDN w:val="0"/>
      <w:adjustRightInd w:val="0"/>
    </w:pPr>
    <w:rPr>
      <w:color w:val="000000"/>
      <w:sz w:val="24"/>
      <w:szCs w:val="24"/>
    </w:rPr>
  </w:style>
  <w:style w:type="paragraph" w:styleId="BalloonText">
    <w:name w:val="Balloon Text"/>
    <w:basedOn w:val="Normal"/>
    <w:link w:val="BalloonTextChar"/>
    <w:semiHidden/>
    <w:unhideWhenUsed/>
    <w:rsid w:val="006F608F"/>
    <w:rPr>
      <w:rFonts w:ascii="Segoe UI" w:hAnsi="Segoe UI" w:cs="Segoe UI"/>
      <w:sz w:val="18"/>
      <w:szCs w:val="18"/>
    </w:rPr>
  </w:style>
  <w:style w:type="character" w:customStyle="1" w:styleId="BalloonTextChar">
    <w:name w:val="Balloon Text Char"/>
    <w:basedOn w:val="DefaultParagraphFont"/>
    <w:link w:val="BalloonText"/>
    <w:semiHidden/>
    <w:rsid w:val="006F608F"/>
    <w:rPr>
      <w:rFonts w:ascii="Segoe UI" w:hAnsi="Segoe UI" w:cs="Segoe UI"/>
      <w:sz w:val="18"/>
      <w:szCs w:val="18"/>
      <w:lang w:eastAsia="en-US"/>
    </w:rPr>
  </w:style>
  <w:style w:type="character" w:customStyle="1" w:styleId="HeaderChar">
    <w:name w:val="Header Char"/>
    <w:basedOn w:val="DefaultParagraphFont"/>
    <w:link w:val="Header"/>
    <w:uiPriority w:val="99"/>
    <w:rsid w:val="00EB16BA"/>
    <w:rPr>
      <w:sz w:val="19"/>
      <w:lang w:eastAsia="en-US"/>
    </w:rPr>
  </w:style>
  <w:style w:type="character" w:styleId="CommentReference">
    <w:name w:val="annotation reference"/>
    <w:basedOn w:val="DefaultParagraphFont"/>
    <w:semiHidden/>
    <w:unhideWhenUsed/>
    <w:rsid w:val="00A65361"/>
    <w:rPr>
      <w:sz w:val="16"/>
      <w:szCs w:val="16"/>
    </w:rPr>
  </w:style>
  <w:style w:type="paragraph" w:styleId="CommentText">
    <w:name w:val="annotation text"/>
    <w:basedOn w:val="Normal"/>
    <w:link w:val="CommentTextChar"/>
    <w:semiHidden/>
    <w:unhideWhenUsed/>
    <w:rsid w:val="00A65361"/>
    <w:rPr>
      <w:sz w:val="20"/>
    </w:rPr>
  </w:style>
  <w:style w:type="character" w:customStyle="1" w:styleId="CommentTextChar">
    <w:name w:val="Comment Text Char"/>
    <w:basedOn w:val="DefaultParagraphFont"/>
    <w:link w:val="CommentText"/>
    <w:semiHidden/>
    <w:rsid w:val="00A65361"/>
    <w:rPr>
      <w:lang w:eastAsia="en-US"/>
    </w:rPr>
  </w:style>
  <w:style w:type="paragraph" w:styleId="CommentSubject">
    <w:name w:val="annotation subject"/>
    <w:basedOn w:val="CommentText"/>
    <w:next w:val="CommentText"/>
    <w:link w:val="CommentSubjectChar"/>
    <w:semiHidden/>
    <w:unhideWhenUsed/>
    <w:rsid w:val="00A65361"/>
    <w:rPr>
      <w:b/>
      <w:bCs/>
    </w:rPr>
  </w:style>
  <w:style w:type="character" w:customStyle="1" w:styleId="CommentSubjectChar">
    <w:name w:val="Comment Subject Char"/>
    <w:basedOn w:val="CommentTextChar"/>
    <w:link w:val="CommentSubject"/>
    <w:semiHidden/>
    <w:rsid w:val="00A65361"/>
    <w:rPr>
      <w:b/>
      <w:bCs/>
      <w:lang w:eastAsia="en-US"/>
    </w:rPr>
  </w:style>
  <w:style w:type="paragraph" w:styleId="ListParagraph">
    <w:name w:val="List Paragraph"/>
    <w:basedOn w:val="Normal"/>
    <w:uiPriority w:val="34"/>
    <w:rsid w:val="00BC3A19"/>
    <w:pPr>
      <w:ind w:left="720"/>
      <w:contextualSpacing/>
      <w:jc w:val="left"/>
    </w:pPr>
    <w:rPr>
      <w:sz w:val="24"/>
      <w:szCs w:val="24"/>
      <w:lang w:eastAsia="en-AU"/>
    </w:rPr>
  </w:style>
  <w:style w:type="paragraph" w:styleId="NormalWeb">
    <w:name w:val="Normal (Web)"/>
    <w:basedOn w:val="Normal"/>
    <w:uiPriority w:val="6"/>
    <w:semiHidden/>
    <w:rsid w:val="00BC3A19"/>
    <w:pPr>
      <w:jc w:val="left"/>
    </w:pPr>
    <w:rPr>
      <w:sz w:val="24"/>
      <w:szCs w:val="24"/>
      <w:lang w:eastAsia="en-AU"/>
    </w:rPr>
  </w:style>
  <w:style w:type="paragraph" w:customStyle="1" w:styleId="IGpara1">
    <w:name w:val="IG para 1"/>
    <w:basedOn w:val="Normal"/>
    <w:uiPriority w:val="9"/>
    <w:qFormat/>
    <w:rsid w:val="00C8083E"/>
    <w:pPr>
      <w:numPr>
        <w:numId w:val="21"/>
      </w:numPr>
      <w:spacing w:after="100"/>
    </w:pPr>
    <w:rPr>
      <w:szCs w:val="19"/>
    </w:rPr>
  </w:style>
  <w:style w:type="paragraph" w:customStyle="1" w:styleId="IASBNote">
    <w:name w:val="IASB Note"/>
    <w:basedOn w:val="Normal"/>
    <w:uiPriority w:val="8"/>
    <w:rsid w:val="00C8083E"/>
    <w:pPr>
      <w:tabs>
        <w:tab w:val="left" w:pos="4253"/>
      </w:tabs>
      <w:spacing w:before="100" w:after="100"/>
    </w:pPr>
    <w:rPr>
      <w:i/>
    </w:rPr>
  </w:style>
  <w:style w:type="paragraph" w:customStyle="1" w:styleId="NumBoldA2">
    <w:name w:val="Num BoldA2"/>
    <w:basedOn w:val="NumPlain2"/>
    <w:uiPriority w:val="9"/>
    <w:qFormat/>
    <w:rsid w:val="00C8083E"/>
    <w:pPr>
      <w:numPr>
        <w:ilvl w:val="0"/>
        <w:numId w:val="0"/>
      </w:numPr>
      <w:tabs>
        <w:tab w:val="num" w:pos="1021"/>
      </w:tabs>
      <w:spacing w:before="0"/>
      <w:ind w:left="1021" w:hanging="511"/>
    </w:pPr>
    <w:rPr>
      <w:b/>
      <w:szCs w:val="24"/>
      <w:lang w:eastAsia="en-AU"/>
    </w:rPr>
  </w:style>
  <w:style w:type="paragraph" w:customStyle="1" w:styleId="IASBSectionTitle1NonInd">
    <w:name w:val="IASB Section Title 1 NonInd"/>
    <w:basedOn w:val="Normal"/>
    <w:link w:val="IASBSectionTitle1NonIndChar"/>
    <w:uiPriority w:val="8"/>
    <w:rsid w:val="004D5AD1"/>
    <w:pPr>
      <w:keepNext/>
      <w:keepLines/>
      <w:pBdr>
        <w:bottom w:val="single" w:sz="4" w:space="0" w:color="auto"/>
      </w:pBdr>
      <w:spacing w:before="400" w:after="200"/>
      <w:jc w:val="left"/>
      <w:outlineLvl w:val="0"/>
    </w:pPr>
    <w:rPr>
      <w:rFonts w:ascii="Arial" w:hAnsi="Arial" w:cs="Arial"/>
      <w:b/>
      <w:sz w:val="26"/>
    </w:rPr>
  </w:style>
  <w:style w:type="character" w:customStyle="1" w:styleId="IASBSectionTitle1NonIndChar">
    <w:name w:val="IASB Section Title 1 NonInd Char"/>
    <w:basedOn w:val="DefaultParagraphFont"/>
    <w:link w:val="IASBSectionTitle1NonInd"/>
    <w:uiPriority w:val="8"/>
    <w:rsid w:val="004D5AD1"/>
    <w:rPr>
      <w:rFonts w:ascii="Arial" w:hAnsi="Arial" w:cs="Arial"/>
      <w:b/>
      <w:sz w:val="26"/>
      <w:lang w:eastAsia="en-US"/>
    </w:rPr>
  </w:style>
  <w:style w:type="paragraph" w:customStyle="1" w:styleId="ConvSectionTitle">
    <w:name w:val="Conv Section Title"/>
    <w:basedOn w:val="IASBSectionTitle1NonInd"/>
    <w:uiPriority w:val="9"/>
    <w:qFormat/>
    <w:rsid w:val="004D5AD1"/>
    <w:pPr>
      <w:pBdr>
        <w:bottom w:val="none" w:sz="0" w:space="0" w:color="auto"/>
      </w:pBdr>
    </w:pPr>
  </w:style>
  <w:style w:type="paragraph" w:customStyle="1" w:styleId="IASBSectionTitle2Ind">
    <w:name w:val="IASB Section Title 2 Ind"/>
    <w:basedOn w:val="Normal"/>
    <w:uiPriority w:val="8"/>
    <w:rsid w:val="009C54B8"/>
    <w:pPr>
      <w:keepNext/>
      <w:keepLines/>
      <w:spacing w:before="240" w:after="200"/>
      <w:ind w:left="782"/>
      <w:jc w:val="left"/>
      <w:outlineLvl w:val="1"/>
    </w:pPr>
    <w:rPr>
      <w:rFonts w:ascii="Arial" w:hAnsi="Arial" w:cs="Arial"/>
      <w:b/>
      <w:sz w:val="26"/>
    </w:rPr>
  </w:style>
  <w:style w:type="character" w:styleId="FootnoteReference">
    <w:name w:val="footnote reference"/>
    <w:basedOn w:val="DefaultParagraphFont"/>
    <w:semiHidden/>
    <w:unhideWhenUsed/>
    <w:rsid w:val="00490C6F"/>
    <w:rPr>
      <w:vertAlign w:val="superscript"/>
    </w:rPr>
  </w:style>
  <w:style w:type="paragraph" w:customStyle="1" w:styleId="IASBNormal">
    <w:name w:val="IASB Normal"/>
    <w:link w:val="IASBNormalChar"/>
    <w:uiPriority w:val="8"/>
    <w:rsid w:val="009E0595"/>
    <w:pPr>
      <w:tabs>
        <w:tab w:val="left" w:pos="4253"/>
      </w:tabs>
      <w:spacing w:before="100" w:after="100"/>
      <w:jc w:val="both"/>
    </w:pPr>
    <w:rPr>
      <w:sz w:val="19"/>
      <w:lang w:eastAsia="en-US"/>
    </w:rPr>
  </w:style>
  <w:style w:type="character" w:customStyle="1" w:styleId="IASBNormalChar">
    <w:name w:val="IASB Normal Char"/>
    <w:basedOn w:val="DefaultParagraphFont"/>
    <w:link w:val="IASBNormal"/>
    <w:uiPriority w:val="8"/>
    <w:rsid w:val="009E0595"/>
    <w:rPr>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685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FE79D-0735-4686-B45A-7079F82A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10</Pages>
  <Words>3571</Words>
  <Characters>20630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Fatal Flaw ROU Assets (10/19)</vt:lpstr>
    </vt:vector>
  </TitlesOfParts>
  <Company>Australian Accounting Standards Board</Company>
  <LinksUpToDate>false</LinksUpToDate>
  <CharactersWithSpaces>24153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Fatal Flaw ROU Assets (10/19)</dc:title>
  <dc:subject/>
  <dc:creator>.</dc:creator>
  <cp:keywords/>
  <cp:lastModifiedBy>Andrew Tomich</cp:lastModifiedBy>
  <cp:revision>100</cp:revision>
  <cp:lastPrinted>2019-12-19T03:08:00Z</cp:lastPrinted>
  <dcterms:created xsi:type="dcterms:W3CDTF">2019-10-17T20:42:00Z</dcterms:created>
  <dcterms:modified xsi:type="dcterms:W3CDTF">2019-12-19T03:08:00Z</dcterms:modified>
</cp:coreProperties>
</file>