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00292B" w14:paraId="5E5919F5" w14:textId="77777777" w:rsidTr="00A22E0D">
        <w:tc>
          <w:tcPr>
            <w:tcW w:w="4661" w:type="dxa"/>
          </w:tcPr>
          <w:p w14:paraId="3F91F50F" w14:textId="77777777" w:rsidR="00090A6F" w:rsidRPr="0000292B" w:rsidRDefault="00364B30">
            <w:pPr>
              <w:pStyle w:val="CoverStandard"/>
            </w:pPr>
            <w:r>
              <w:t>AASB</w:t>
            </w:r>
            <w:r w:rsidR="00831497">
              <w:t xml:space="preserve"> Standard</w:t>
            </w:r>
          </w:p>
        </w:tc>
        <w:tc>
          <w:tcPr>
            <w:tcW w:w="4661" w:type="dxa"/>
          </w:tcPr>
          <w:p w14:paraId="5D73199D" w14:textId="790C264E" w:rsidR="00090A6F" w:rsidRPr="0000292B" w:rsidRDefault="00831497">
            <w:pPr>
              <w:pStyle w:val="CoverNumber"/>
            </w:pPr>
            <w:r>
              <w:t>AASB</w:t>
            </w:r>
            <w:r w:rsidR="00090A6F" w:rsidRPr="0000292B">
              <w:t xml:space="preserve"> </w:t>
            </w:r>
            <w:bookmarkStart w:id="0" w:name="DocNo"/>
            <w:r w:rsidR="004A3747" w:rsidRPr="003869E4">
              <w:t>201</w:t>
            </w:r>
            <w:r w:rsidR="005654E2" w:rsidRPr="003869E4">
              <w:t>9</w:t>
            </w:r>
            <w:r w:rsidR="0020560B" w:rsidRPr="003869E4">
              <w:t>-</w:t>
            </w:r>
            <w:r w:rsidR="00601362">
              <w:t>6</w:t>
            </w:r>
            <w:bookmarkEnd w:id="0"/>
          </w:p>
          <w:p w14:paraId="23AA7BB8" w14:textId="1A7C3A24" w:rsidR="00090A6F" w:rsidRPr="0000292B" w:rsidRDefault="00601362" w:rsidP="0020560B">
            <w:pPr>
              <w:pStyle w:val="CoverDate"/>
            </w:pPr>
            <w:bookmarkStart w:id="1" w:name="DocDate"/>
            <w:r>
              <w:t>December</w:t>
            </w:r>
            <w:r w:rsidR="004A3747">
              <w:t xml:space="preserve"> 20</w:t>
            </w:r>
            <w:r w:rsidR="0020560B">
              <w:t>19</w:t>
            </w:r>
            <w:bookmarkEnd w:id="1"/>
          </w:p>
        </w:tc>
      </w:tr>
    </w:tbl>
    <w:p w14:paraId="1B45BD39" w14:textId="16E0F96D" w:rsidR="00090A6F" w:rsidRDefault="004A3747" w:rsidP="003C6B24">
      <w:pPr>
        <w:pStyle w:val="CoverTitle"/>
        <w:jc w:val="left"/>
      </w:pPr>
      <w:bookmarkStart w:id="2" w:name="DocTitle"/>
      <w:r w:rsidRPr="00490569">
        <w:t>Amendments to</w:t>
      </w:r>
      <w:r w:rsidR="00C75C60">
        <w:t xml:space="preserve"> </w:t>
      </w:r>
      <w:r w:rsidR="00C75C60" w:rsidRPr="00490569">
        <w:t xml:space="preserve">Australian </w:t>
      </w:r>
      <w:r w:rsidR="00CD72C4">
        <w:t>Accounting Standards</w:t>
      </w:r>
      <w:r w:rsidR="00326975">
        <w:t xml:space="preserve"> – Research Grant</w:t>
      </w:r>
      <w:r w:rsidR="004966E2">
        <w:t>s</w:t>
      </w:r>
      <w:r w:rsidR="00326975">
        <w:t xml:space="preserve"> </w:t>
      </w:r>
      <w:r w:rsidR="00DF017E">
        <w:t>and</w:t>
      </w:r>
      <w:r w:rsidR="004966E2">
        <w:t xml:space="preserve"> </w:t>
      </w:r>
      <w:r w:rsidR="00C75C60" w:rsidRPr="00490569">
        <w:t>Not-for-Profit Entitie</w:t>
      </w:r>
      <w:r w:rsidR="00F674BB">
        <w:t>s</w:t>
      </w:r>
      <w:bookmarkEnd w:id="2"/>
    </w:p>
    <w:p w14:paraId="19DCED43" w14:textId="0E533682" w:rsidR="002C3540" w:rsidRPr="004D4FDA" w:rsidRDefault="002C3540" w:rsidP="002C3540">
      <w:pPr>
        <w:pStyle w:val="CoverTitle"/>
        <w:jc w:val="left"/>
        <w:rPr>
          <w:sz w:val="40"/>
          <w:szCs w:val="40"/>
        </w:rPr>
      </w:pPr>
      <w:r w:rsidRPr="00490569">
        <w:rPr>
          <w:sz w:val="40"/>
          <w:szCs w:val="40"/>
        </w:rPr>
        <w:t>[AASB</w:t>
      </w:r>
      <w:r w:rsidR="006B596E">
        <w:rPr>
          <w:sz w:val="40"/>
          <w:szCs w:val="40"/>
        </w:rPr>
        <w:t xml:space="preserve"> </w:t>
      </w:r>
      <w:r w:rsidRPr="00490569">
        <w:rPr>
          <w:sz w:val="40"/>
          <w:szCs w:val="40"/>
        </w:rPr>
        <w:t>1</w:t>
      </w:r>
      <w:r w:rsidR="006B596E">
        <w:rPr>
          <w:sz w:val="40"/>
          <w:szCs w:val="40"/>
        </w:rPr>
        <w:t>5 &amp; AASB 1058</w:t>
      </w:r>
      <w:r w:rsidRPr="00490569">
        <w:rPr>
          <w:sz w:val="40"/>
          <w:szCs w:val="40"/>
        </w:rPr>
        <w:t>]</w:t>
      </w:r>
    </w:p>
    <w:p w14:paraId="7985B77B" w14:textId="77777777" w:rsidR="002C3540" w:rsidRPr="00490569" w:rsidRDefault="002C3540" w:rsidP="003C6B24">
      <w:pPr>
        <w:pStyle w:val="CoverTitle"/>
        <w:jc w:val="left"/>
      </w:pPr>
    </w:p>
    <w:p w14:paraId="5948C57E" w14:textId="79D15E37" w:rsidR="00F153CD" w:rsidRDefault="008B643A" w:rsidP="00F153CD">
      <w:bookmarkStart w:id="3" w:name="_GoBack"/>
      <w:r>
        <w:rPr>
          <w:noProof/>
          <w:lang w:eastAsia="en-AU"/>
        </w:rPr>
        <w:drawing>
          <wp:anchor distT="0" distB="0" distL="114300" distR="114300" simplePos="0" relativeHeight="251657728" behindDoc="0" locked="1" layoutInCell="1" allowOverlap="1" wp14:anchorId="485854B1" wp14:editId="64384448">
            <wp:simplePos x="0" y="0"/>
            <wp:positionH relativeFrom="margin">
              <wp:posOffset>0</wp:posOffset>
            </wp:positionH>
            <wp:positionV relativeFrom="margin">
              <wp:align>bottom</wp:align>
            </wp:positionV>
            <wp:extent cx="1677600" cy="1332000"/>
            <wp:effectExtent l="0" t="0" r="0" b="1905"/>
            <wp:wrapNone/>
            <wp:docPr id="5" name="Picture 5" descr="Australian Government Logo for Australian Accounting Standards Boar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p w14:paraId="04ED495C" w14:textId="03C936D2" w:rsidR="00F153CD" w:rsidRPr="00F153CD" w:rsidRDefault="00F153CD" w:rsidP="00F153CD">
      <w:pPr>
        <w:sectPr w:rsidR="00F153CD" w:rsidRPr="00F153CD" w:rsidSect="00D74C6A">
          <w:pgSz w:w="11907" w:h="16840" w:code="9"/>
          <w:pgMar w:top="1418" w:right="1418" w:bottom="1418" w:left="1418" w:header="709" w:footer="709" w:gutter="0"/>
          <w:paperSrc w:first="7" w:other="7"/>
          <w:cols w:space="720"/>
        </w:sectPr>
      </w:pPr>
    </w:p>
    <w:p w14:paraId="1E23F816" w14:textId="77777777" w:rsidR="00737714" w:rsidRPr="0000292B" w:rsidRDefault="00737714" w:rsidP="00F13C5A">
      <w:pPr>
        <w:pStyle w:val="Heading1"/>
      </w:pPr>
      <w:r w:rsidRPr="0000292B">
        <w:lastRenderedPageBreak/>
        <w:t xml:space="preserve">Obtaining a </w:t>
      </w:r>
      <w:r w:rsidR="005655CE">
        <w:t>c</w:t>
      </w:r>
      <w:r w:rsidRPr="0000292B">
        <w:t xml:space="preserve">opy of this </w:t>
      </w:r>
      <w:r w:rsidR="00C5022C">
        <w:t>Accounting Standard</w:t>
      </w:r>
    </w:p>
    <w:p w14:paraId="64F1172B" w14:textId="77777777" w:rsidR="00737714" w:rsidRPr="0000292B" w:rsidRDefault="00737714" w:rsidP="00895809">
      <w:pPr>
        <w:spacing w:after="200"/>
      </w:pPr>
      <w:r w:rsidRPr="0000292B">
        <w:t xml:space="preserve">This </w:t>
      </w:r>
      <w:r w:rsidR="00C5022C">
        <w:t>Standard</w:t>
      </w:r>
      <w:r w:rsidRPr="0000292B">
        <w:t xml:space="preserve"> is available o</w:t>
      </w:r>
      <w:r w:rsidR="00923261">
        <w:t>n the AASB website: www.aasb.gov</w:t>
      </w:r>
      <w:r w:rsidRPr="0000292B">
        <w:t>.au.</w:t>
      </w:r>
    </w:p>
    <w:p w14:paraId="1012A8C9" w14:textId="77777777" w:rsidR="00895809" w:rsidRPr="0000292B" w:rsidRDefault="00895809" w:rsidP="00895809">
      <w:r w:rsidRPr="0000292B">
        <w:t>Australian Accounting Standards Board</w:t>
      </w:r>
    </w:p>
    <w:p w14:paraId="36E1EA88" w14:textId="77777777" w:rsidR="00895809" w:rsidRPr="0000292B" w:rsidRDefault="00895809" w:rsidP="00895809">
      <w:r>
        <w:t>PO Box 204</w:t>
      </w:r>
    </w:p>
    <w:p w14:paraId="13EF3023" w14:textId="77777777" w:rsidR="00895809" w:rsidRPr="0000292B" w:rsidRDefault="00895809" w:rsidP="00895809">
      <w:r>
        <w:t>Collins Street West</w:t>
      </w:r>
    </w:p>
    <w:p w14:paraId="5A166230" w14:textId="77777777" w:rsidR="00895809" w:rsidRPr="0000292B" w:rsidRDefault="00895809" w:rsidP="00895809">
      <w:r>
        <w:t>Victoria   8007</w:t>
      </w:r>
    </w:p>
    <w:p w14:paraId="27C1C379" w14:textId="77777777" w:rsidR="00895809" w:rsidRDefault="00895809" w:rsidP="00895809">
      <w:pPr>
        <w:pStyle w:val="CoverContact"/>
        <w:spacing w:after="200"/>
      </w:pPr>
      <w:r w:rsidRPr="0000292B">
        <w:t>AUSTRALIA</w:t>
      </w:r>
    </w:p>
    <w:p w14:paraId="4F74D259" w14:textId="77777777" w:rsidR="00737714" w:rsidRDefault="00BF0190" w:rsidP="00B82F15">
      <w:pPr>
        <w:pStyle w:val="CoverContact"/>
      </w:pPr>
      <w:r>
        <w:t>Phone:</w:t>
      </w:r>
      <w:r>
        <w:tab/>
        <w:t>(03) 9617 7600</w:t>
      </w:r>
    </w:p>
    <w:p w14:paraId="4FB66E8E" w14:textId="77777777" w:rsidR="00E96D45" w:rsidRDefault="00DB00CD" w:rsidP="00DB00CD">
      <w:pPr>
        <w:pStyle w:val="CoverContact"/>
      </w:pPr>
      <w:r>
        <w:t>E-mail:</w:t>
      </w:r>
      <w:r>
        <w:tab/>
      </w:r>
      <w:r w:rsidR="00BF0190">
        <w:t>standard</w:t>
      </w:r>
      <w:r>
        <w:t>@aasb.gov</w:t>
      </w:r>
      <w:r w:rsidRPr="00C5022C">
        <w:t>.au</w:t>
      </w:r>
    </w:p>
    <w:p w14:paraId="24BC2FB4" w14:textId="77777777" w:rsidR="00E96D45" w:rsidRPr="00E96D45" w:rsidRDefault="00DB00CD" w:rsidP="00DB00CD">
      <w:pPr>
        <w:pStyle w:val="CoverContact"/>
        <w:spacing w:after="240"/>
      </w:pPr>
      <w:r>
        <w:t>Website:</w:t>
      </w:r>
      <w:r>
        <w:tab/>
        <w:t>www.aasb.gov.au</w:t>
      </w:r>
    </w:p>
    <w:p w14:paraId="627ED85E" w14:textId="77777777" w:rsidR="00090A6F" w:rsidRPr="0000292B" w:rsidRDefault="00090A6F" w:rsidP="00F13C5A">
      <w:pPr>
        <w:pStyle w:val="Heading1"/>
      </w:pPr>
      <w:r w:rsidRPr="0000292B">
        <w:t xml:space="preserve">Other </w:t>
      </w:r>
      <w:r w:rsidR="005655CE" w:rsidRPr="0000292B">
        <w:t>enquiries</w:t>
      </w:r>
    </w:p>
    <w:p w14:paraId="373F6F08" w14:textId="77777777" w:rsidR="00090A6F" w:rsidRPr="0000292B" w:rsidRDefault="00090A6F" w:rsidP="00B82F15">
      <w:pPr>
        <w:pStyle w:val="CoverContact"/>
      </w:pPr>
      <w:r w:rsidRPr="0000292B">
        <w:t>Phone:</w:t>
      </w:r>
      <w:r w:rsidRPr="0000292B">
        <w:tab/>
        <w:t xml:space="preserve">(03) </w:t>
      </w:r>
      <w:r w:rsidRPr="00B82F15">
        <w:t>9617</w:t>
      </w:r>
      <w:r w:rsidRPr="0000292B">
        <w:t xml:space="preserve"> 7600</w:t>
      </w:r>
    </w:p>
    <w:p w14:paraId="17935A6E" w14:textId="77777777" w:rsidR="00EB16BA" w:rsidRDefault="00923261" w:rsidP="00EB16BA">
      <w:pPr>
        <w:pStyle w:val="CoverContact"/>
      </w:pPr>
      <w:r>
        <w:t>E-mail:</w:t>
      </w:r>
      <w:r>
        <w:tab/>
      </w:r>
      <w:bookmarkStart w:id="4" w:name="CopyrightText"/>
      <w:r w:rsidR="00A211C9">
        <w:t>standard@aasb.gov</w:t>
      </w:r>
      <w:r w:rsidR="00A211C9" w:rsidRPr="00C5022C">
        <w:t>.au</w:t>
      </w:r>
    </w:p>
    <w:p w14:paraId="0B00DD3F" w14:textId="77777777" w:rsidR="00276BC5" w:rsidRDefault="00276BC5" w:rsidP="00722990">
      <w:pPr>
        <w:pStyle w:val="CoverContact"/>
        <w:spacing w:before="6960"/>
      </w:pPr>
      <w:r>
        <w:t>COPYRIGHT</w:t>
      </w:r>
    </w:p>
    <w:p w14:paraId="3B345E9A" w14:textId="52C3313B" w:rsidR="00276BC5" w:rsidRDefault="00276BC5" w:rsidP="00276BC5">
      <w:pPr>
        <w:pStyle w:val="NoNumPlain1"/>
      </w:pPr>
      <w:r>
        <w:t>© Com</w:t>
      </w:r>
      <w:bookmarkStart w:id="5" w:name="CopyrightDomestic"/>
      <w:bookmarkEnd w:id="5"/>
      <w:r>
        <w:t xml:space="preserve">monwealth of Australia </w:t>
      </w:r>
      <w:bookmarkStart w:id="6" w:name="Year"/>
      <w:r w:rsidR="004A3747">
        <w:t>20</w:t>
      </w:r>
      <w:r w:rsidR="0020560B">
        <w:t>19</w:t>
      </w:r>
      <w:bookmarkEnd w:id="6"/>
    </w:p>
    <w:p w14:paraId="631E13EF" w14:textId="77777777" w:rsidR="00276BC5" w:rsidRPr="00DE4E67" w:rsidRDefault="00E46988" w:rsidP="00895809">
      <w:pPr>
        <w:spacing w:after="200"/>
      </w:pPr>
      <w:r w:rsidRPr="00E46988">
        <w:t xml:space="preserve">This work is copyright.  Apart from any use as permitted under the </w:t>
      </w:r>
      <w:r w:rsidRPr="00C75C60">
        <w:rPr>
          <w:i/>
          <w:iCs/>
        </w:rPr>
        <w:t>Copyright Act 1968</w:t>
      </w:r>
      <w:r w:rsidRPr="00E46988">
        <w:t xml:space="preserve">, no part may be reproduced by any process without prior written permission.  Requests and enquiries concerning reproduction and rights should be addressed to The </w:t>
      </w:r>
      <w:r w:rsidR="00BF0190">
        <w:t xml:space="preserve">National </w:t>
      </w:r>
      <w:r w:rsidRPr="00E46988">
        <w:t>Director, Australian Accounting Standards Board, PO Box 204</w:t>
      </w:r>
      <w:r w:rsidR="00F311FB">
        <w:t>, Collins Street West, Victoria </w:t>
      </w:r>
      <w:r w:rsidRPr="00E46988">
        <w:t>8007</w:t>
      </w:r>
      <w:r w:rsidR="00276BC5" w:rsidRPr="00DE4E67">
        <w:t>.</w:t>
      </w:r>
    </w:p>
    <w:bookmarkEnd w:id="4"/>
    <w:p w14:paraId="13EF9770" w14:textId="77777777" w:rsidR="007455F0" w:rsidRPr="0000292B" w:rsidRDefault="006D4700" w:rsidP="006D4700">
      <w:r>
        <w:t xml:space="preserve">ISSN </w:t>
      </w:r>
      <w:bookmarkStart w:id="7" w:name="ISSN"/>
      <w:r w:rsidR="004A3747">
        <w:t>1036-4803</w:t>
      </w:r>
      <w:bookmarkEnd w:id="7"/>
    </w:p>
    <w:p w14:paraId="69914E78" w14:textId="77777777" w:rsidR="00090A6F" w:rsidRPr="0000292B" w:rsidRDefault="00090A6F">
      <w:pPr>
        <w:sectPr w:rsidR="00090A6F" w:rsidRPr="0000292B" w:rsidSect="00D74C6A">
          <w:footerReference w:type="default" r:id="rId12"/>
          <w:pgSz w:w="11907" w:h="16840" w:code="9"/>
          <w:pgMar w:top="1418" w:right="1418" w:bottom="1418" w:left="1418" w:header="709" w:footer="709" w:gutter="0"/>
          <w:paperSrc w:first="7" w:other="7"/>
          <w:cols w:space="720"/>
        </w:sectPr>
      </w:pPr>
    </w:p>
    <w:p w14:paraId="067C46EF" w14:textId="77777777" w:rsidR="00090A6F" w:rsidRPr="0000292B" w:rsidRDefault="005655CE">
      <w:pPr>
        <w:pStyle w:val="Heading1"/>
      </w:pPr>
      <w:r w:rsidRPr="0000292B">
        <w:lastRenderedPageBreak/>
        <w:t>Contents</w:t>
      </w:r>
    </w:p>
    <w:p w14:paraId="68BA0388" w14:textId="77777777" w:rsidR="00090A6F" w:rsidRPr="0000292B" w:rsidRDefault="00A5122D" w:rsidP="003F6ED6">
      <w:pPr>
        <w:pStyle w:val="ContentsCapsPlain"/>
        <w:spacing w:before="400"/>
      </w:pPr>
      <w:r w:rsidRPr="0000292B">
        <w:t>PREFACE</w:t>
      </w:r>
    </w:p>
    <w:p w14:paraId="432667E6" w14:textId="77777777" w:rsidR="00090A6F" w:rsidRPr="0000292B" w:rsidRDefault="00A5122D">
      <w:pPr>
        <w:pStyle w:val="ContentsCapsBold"/>
      </w:pPr>
      <w:r w:rsidRPr="0000292B">
        <w:t>ACCOUNTING STANDARD</w:t>
      </w:r>
    </w:p>
    <w:p w14:paraId="6F222DBD" w14:textId="3391BE16" w:rsidR="002B7803" w:rsidRPr="00223A79" w:rsidRDefault="00A5122D" w:rsidP="009146EF">
      <w:pPr>
        <w:pStyle w:val="ContentsCapsBold"/>
        <w:rPr>
          <w:i/>
        </w:rPr>
      </w:pPr>
      <w:r w:rsidRPr="0000292B">
        <w:t xml:space="preserve">AASB </w:t>
      </w:r>
      <w:r w:rsidR="009C2479" w:rsidRPr="00BC0D5D">
        <w:rPr>
          <w:iCs/>
        </w:rPr>
        <w:fldChar w:fldCharType="begin"/>
      </w:r>
      <w:r w:rsidR="009C2479" w:rsidRPr="00BC0D5D">
        <w:rPr>
          <w:iCs/>
        </w:rPr>
        <w:instrText xml:space="preserve"> REF </w:instrText>
      </w:r>
      <w:r w:rsidR="009C2479">
        <w:rPr>
          <w:iCs/>
        </w:rPr>
        <w:instrText>Doc</w:instrText>
      </w:r>
      <w:r w:rsidR="009C2479" w:rsidRPr="00BC0D5D">
        <w:rPr>
          <w:iCs/>
        </w:rPr>
        <w:instrText xml:space="preserve">No \* charformat </w:instrText>
      </w:r>
      <w:r w:rsidR="009C2479" w:rsidRPr="00BC0D5D">
        <w:rPr>
          <w:iCs/>
        </w:rPr>
        <w:fldChar w:fldCharType="separate"/>
      </w:r>
      <w:r w:rsidR="00B22969" w:rsidRPr="00B22969">
        <w:rPr>
          <w:iCs/>
        </w:rPr>
        <w:t>2019-6</w:t>
      </w:r>
      <w:r w:rsidR="009C2479" w:rsidRPr="00BC0D5D">
        <w:rPr>
          <w:iCs/>
        </w:rPr>
        <w:fldChar w:fldCharType="end"/>
      </w:r>
      <w:r w:rsidRPr="0000292B">
        <w:t xml:space="preserve"> </w:t>
      </w:r>
      <w:r w:rsidR="000D582D" w:rsidRPr="00223A79">
        <w:rPr>
          <w:i/>
        </w:rPr>
        <w:t xml:space="preserve">AMENDMENTS </w:t>
      </w:r>
      <w:r w:rsidR="00490569">
        <w:rPr>
          <w:i/>
        </w:rPr>
        <w:t xml:space="preserve">TO </w:t>
      </w:r>
      <w:r w:rsidR="000061FF">
        <w:rPr>
          <w:i/>
        </w:rPr>
        <w:t xml:space="preserve">AUSTRALIAN </w:t>
      </w:r>
      <w:r w:rsidR="00D05570">
        <w:rPr>
          <w:i/>
        </w:rPr>
        <w:t>ACCOUNT</w:t>
      </w:r>
      <w:r w:rsidR="00023C32">
        <w:rPr>
          <w:i/>
        </w:rPr>
        <w:t>ING STANDARDS</w:t>
      </w:r>
      <w:r w:rsidR="00DE52F4">
        <w:rPr>
          <w:i/>
        </w:rPr>
        <w:t xml:space="preserve"> </w:t>
      </w:r>
      <w:r w:rsidR="000B0FCD" w:rsidRPr="00DE52F4">
        <w:rPr>
          <w:b w:val="0"/>
          <w:bCs/>
          <w:i/>
        </w:rPr>
        <w:t>–</w:t>
      </w:r>
      <w:r w:rsidR="000B0FCD">
        <w:rPr>
          <w:i/>
        </w:rPr>
        <w:t xml:space="preserve"> RESEARCH GRANT</w:t>
      </w:r>
      <w:r w:rsidR="00C363BA">
        <w:rPr>
          <w:i/>
        </w:rPr>
        <w:t>S</w:t>
      </w:r>
      <w:r w:rsidR="000B0FCD">
        <w:rPr>
          <w:i/>
        </w:rPr>
        <w:t xml:space="preserve"> AND </w:t>
      </w:r>
      <w:r w:rsidR="000061FF">
        <w:rPr>
          <w:i/>
        </w:rPr>
        <w:t>NOT-FOR-PROFIT ENTITIES</w:t>
      </w:r>
    </w:p>
    <w:p w14:paraId="0D41996F" w14:textId="77777777" w:rsidR="00090A6F" w:rsidRPr="00D253C7" w:rsidRDefault="00D253C7">
      <w:pPr>
        <w:pStyle w:val="ContentsParaHead"/>
      </w:pPr>
      <w:r w:rsidRPr="00D253C7">
        <w:t>f</w:t>
      </w:r>
      <w:r w:rsidR="00E55F2F" w:rsidRPr="00D253C7">
        <w:t>rom paragraph</w:t>
      </w:r>
    </w:p>
    <w:p w14:paraId="28A7EED9" w14:textId="77777777" w:rsidR="00090A6F" w:rsidRPr="00A5122D" w:rsidRDefault="00A5122D" w:rsidP="009E2F6C">
      <w:pPr>
        <w:pStyle w:val="ContentsLevel1"/>
        <w:ind w:right="-1"/>
        <w:jc w:val="right"/>
        <w:rPr>
          <w:b/>
        </w:rPr>
      </w:pPr>
      <w:bookmarkStart w:id="8" w:name="TOCRange"/>
      <w:r w:rsidRPr="00A5122D">
        <w:rPr>
          <w:b/>
        </w:rPr>
        <w:t>OBJECTIVE</w:t>
      </w:r>
      <w:r w:rsidRPr="00A5122D">
        <w:rPr>
          <w:b/>
        </w:rPr>
        <w:tab/>
        <w:t>1</w:t>
      </w:r>
    </w:p>
    <w:p w14:paraId="4D82C529" w14:textId="17D1E091" w:rsidR="00090A6F" w:rsidRPr="00A5122D" w:rsidRDefault="00A5122D" w:rsidP="009E2F6C">
      <w:pPr>
        <w:pStyle w:val="ContentsLevel1"/>
        <w:ind w:right="-1"/>
        <w:rPr>
          <w:b/>
        </w:rPr>
      </w:pPr>
      <w:r w:rsidRPr="00A5122D">
        <w:rPr>
          <w:b/>
        </w:rPr>
        <w:t>APPLICATION</w:t>
      </w:r>
      <w:r w:rsidRPr="00A5122D">
        <w:rPr>
          <w:b/>
        </w:rPr>
        <w:tab/>
      </w:r>
      <w:r w:rsidR="00CD175E">
        <w:rPr>
          <w:b/>
        </w:rPr>
        <w:t>3</w:t>
      </w:r>
    </w:p>
    <w:p w14:paraId="6228757C" w14:textId="30FE3427" w:rsidR="00957F05" w:rsidRDefault="00957F05" w:rsidP="00957F05">
      <w:pPr>
        <w:pStyle w:val="ContentsLevel1"/>
        <w:ind w:right="-143"/>
        <w:rPr>
          <w:b/>
        </w:rPr>
      </w:pPr>
      <w:bookmarkStart w:id="9" w:name="_Hlk21537557"/>
      <w:r>
        <w:rPr>
          <w:b/>
        </w:rPr>
        <w:t xml:space="preserve">AMENDMENTS TO </w:t>
      </w:r>
      <w:r w:rsidR="00267F28">
        <w:rPr>
          <w:b/>
        </w:rPr>
        <w:t>AASB 15</w:t>
      </w:r>
      <w:bookmarkEnd w:id="9"/>
      <w:r>
        <w:rPr>
          <w:b/>
        </w:rPr>
        <w:tab/>
      </w:r>
      <w:r w:rsidR="00D45DA0">
        <w:rPr>
          <w:b/>
        </w:rPr>
        <w:t>6</w:t>
      </w:r>
    </w:p>
    <w:p w14:paraId="407DF1A1" w14:textId="67E92B63" w:rsidR="00AE7BD1" w:rsidRDefault="00022BB7" w:rsidP="00957F05">
      <w:pPr>
        <w:pStyle w:val="ContentsLevel1"/>
        <w:ind w:right="-143"/>
        <w:rPr>
          <w:b/>
        </w:rPr>
      </w:pPr>
      <w:r>
        <w:rPr>
          <w:b/>
        </w:rPr>
        <w:t>AMENDMENTS TO AASB 1058</w:t>
      </w:r>
      <w:r>
        <w:rPr>
          <w:b/>
        </w:rPr>
        <w:tab/>
      </w:r>
      <w:r w:rsidR="00AD62D9">
        <w:rPr>
          <w:b/>
        </w:rPr>
        <w:t>7</w:t>
      </w:r>
    </w:p>
    <w:p w14:paraId="598B9CD5" w14:textId="38CF6FEE" w:rsidR="00BC7939" w:rsidRPr="00A5122D" w:rsidRDefault="00BC7939" w:rsidP="00957F05">
      <w:pPr>
        <w:pStyle w:val="ContentsLevel1"/>
        <w:ind w:right="-143"/>
        <w:rPr>
          <w:b/>
        </w:rPr>
      </w:pPr>
      <w:r>
        <w:rPr>
          <w:b/>
        </w:rPr>
        <w:t xml:space="preserve">AMENDMENTS TO </w:t>
      </w:r>
      <w:r w:rsidR="00C6716A">
        <w:rPr>
          <w:b/>
        </w:rPr>
        <w:t>AUSTRALIAN ILLUSTRATIVE EXAMPLES FOR NOT-FOR-PROFIT ENTITIES</w:t>
      </w:r>
      <w:r w:rsidR="00C6716A">
        <w:rPr>
          <w:b/>
        </w:rPr>
        <w:tab/>
      </w:r>
      <w:r w:rsidR="00B5676E">
        <w:rPr>
          <w:b/>
        </w:rPr>
        <w:t>8</w:t>
      </w:r>
    </w:p>
    <w:p w14:paraId="25F4E48E" w14:textId="0905D97A" w:rsidR="00090A6F" w:rsidRDefault="00A5122D" w:rsidP="00E55F2F">
      <w:pPr>
        <w:tabs>
          <w:tab w:val="right" w:pos="9071"/>
        </w:tabs>
        <w:rPr>
          <w:b/>
        </w:rPr>
      </w:pPr>
      <w:r w:rsidRPr="00A5122D">
        <w:rPr>
          <w:b/>
        </w:rPr>
        <w:t xml:space="preserve">COMMENCEMENT OF THE </w:t>
      </w:r>
      <w:r w:rsidR="00E55F2F">
        <w:rPr>
          <w:b/>
        </w:rPr>
        <w:t>LEGISLATIVE INSTRUMENT</w:t>
      </w:r>
      <w:r>
        <w:rPr>
          <w:b/>
        </w:rPr>
        <w:tab/>
      </w:r>
      <w:bookmarkStart w:id="10" w:name="ContentsMarker"/>
      <w:bookmarkEnd w:id="10"/>
      <w:r w:rsidR="004C0408">
        <w:rPr>
          <w:b/>
        </w:rPr>
        <w:t>1</w:t>
      </w:r>
      <w:r w:rsidR="00C02DE3">
        <w:rPr>
          <w:b/>
        </w:rPr>
        <w:t>0</w:t>
      </w:r>
    </w:p>
    <w:p w14:paraId="3EF0E8FD" w14:textId="77777777" w:rsidR="00D253C7" w:rsidRDefault="00D253C7" w:rsidP="00E55F2F">
      <w:pPr>
        <w:tabs>
          <w:tab w:val="right" w:pos="9071"/>
        </w:tabs>
        <w:rPr>
          <w:b/>
        </w:rPr>
      </w:pPr>
    </w:p>
    <w:p w14:paraId="5FAA3921" w14:textId="77777777" w:rsidR="007A6F5D" w:rsidRDefault="007A6F5D" w:rsidP="007A6F5D">
      <w:pPr>
        <w:tabs>
          <w:tab w:val="right" w:pos="9071"/>
        </w:tabs>
        <w:rPr>
          <w:b/>
        </w:rPr>
      </w:pPr>
      <w:r>
        <w:rPr>
          <w:b/>
        </w:rPr>
        <w:t>BASIS FOR CONCLUSIONS</w:t>
      </w:r>
    </w:p>
    <w:p w14:paraId="3AF85A45" w14:textId="77777777" w:rsidR="007A6F5D" w:rsidRDefault="007A6F5D" w:rsidP="00E55F2F">
      <w:pPr>
        <w:tabs>
          <w:tab w:val="right" w:pos="9071"/>
        </w:tabs>
        <w:rPr>
          <w:b/>
        </w:rPr>
      </w:pPr>
    </w:p>
    <w:p w14:paraId="3B26FDBD" w14:textId="77777777" w:rsidR="00E55F2F" w:rsidRPr="0000292B" w:rsidRDefault="00E55F2F"/>
    <w:bookmarkEnd w:id="8"/>
    <w:p w14:paraId="5A52B0C7" w14:textId="36D35FFA" w:rsidR="00BC0243" w:rsidRDefault="00F56BB3" w:rsidP="00700489">
      <w:pPr>
        <w:pStyle w:val="ContentsBox"/>
      </w:pPr>
      <w:r>
        <w:t>Australian Accounting S</w:t>
      </w:r>
      <w:r w:rsidRPr="0000292B">
        <w:t xml:space="preserve">tandard </w:t>
      </w:r>
      <w:r>
        <w:t>AASB</w:t>
      </w:r>
      <w:r w:rsidRPr="0000292B">
        <w:t xml:space="preserve"> </w:t>
      </w:r>
      <w:r w:rsidR="0076791F" w:rsidRPr="00BC0D5D">
        <w:rPr>
          <w:iCs/>
        </w:rPr>
        <w:fldChar w:fldCharType="begin"/>
      </w:r>
      <w:r w:rsidR="0076791F" w:rsidRPr="00BC0D5D">
        <w:rPr>
          <w:iCs/>
        </w:rPr>
        <w:instrText xml:space="preserve"> REF </w:instrText>
      </w:r>
      <w:r w:rsidR="0076791F">
        <w:rPr>
          <w:iCs/>
        </w:rPr>
        <w:instrText>Doc</w:instrText>
      </w:r>
      <w:r w:rsidR="0076791F" w:rsidRPr="00BC0D5D">
        <w:rPr>
          <w:iCs/>
        </w:rPr>
        <w:instrText xml:space="preserve">No \* charformat </w:instrText>
      </w:r>
      <w:r w:rsidR="0076791F" w:rsidRPr="00BC0D5D">
        <w:rPr>
          <w:iCs/>
        </w:rPr>
        <w:fldChar w:fldCharType="separate"/>
      </w:r>
      <w:r w:rsidR="00B22969" w:rsidRPr="00B22969">
        <w:rPr>
          <w:iCs/>
        </w:rPr>
        <w:t>2019-6</w:t>
      </w:r>
      <w:r w:rsidR="0076791F" w:rsidRPr="00BC0D5D">
        <w:rPr>
          <w:iCs/>
        </w:rPr>
        <w:fldChar w:fldCharType="end"/>
      </w:r>
      <w:r w:rsidR="0076791F">
        <w:rPr>
          <w:iCs/>
        </w:rPr>
        <w:t xml:space="preserve"> </w:t>
      </w:r>
      <w:r w:rsidR="0027471A" w:rsidRPr="0027471A">
        <w:rPr>
          <w:i/>
        </w:rPr>
        <w:t xml:space="preserve">Amendments to Australian </w:t>
      </w:r>
      <w:r w:rsidR="00970434">
        <w:rPr>
          <w:i/>
        </w:rPr>
        <w:t>Accounting Standards</w:t>
      </w:r>
      <w:r w:rsidR="00C85F37">
        <w:rPr>
          <w:i/>
        </w:rPr>
        <w:t xml:space="preserve"> – </w:t>
      </w:r>
      <w:r w:rsidR="00DE52F4">
        <w:rPr>
          <w:i/>
        </w:rPr>
        <w:t>Research Grant</w:t>
      </w:r>
      <w:r w:rsidR="00C363BA">
        <w:rPr>
          <w:i/>
        </w:rPr>
        <w:t>s</w:t>
      </w:r>
      <w:r w:rsidR="006E1E0F">
        <w:rPr>
          <w:i/>
        </w:rPr>
        <w:t xml:space="preserve"> and </w:t>
      </w:r>
      <w:r w:rsidR="0027471A" w:rsidRPr="0027471A">
        <w:rPr>
          <w:i/>
        </w:rPr>
        <w:t>Not-for-Profit Entities</w:t>
      </w:r>
      <w:r w:rsidR="00BC0243" w:rsidRPr="00BC0243">
        <w:t xml:space="preserve"> </w:t>
      </w:r>
      <w:r w:rsidRPr="0000292B">
        <w:t xml:space="preserve">is set out </w:t>
      </w:r>
      <w:r w:rsidRPr="0020560B">
        <w:t>in paragraphs</w:t>
      </w:r>
      <w:r w:rsidR="00A5122D" w:rsidRPr="0020560B">
        <w:t xml:space="preserve"> 1 – </w:t>
      </w:r>
      <w:r w:rsidR="004C0408">
        <w:t>1</w:t>
      </w:r>
      <w:r w:rsidR="007F47E6">
        <w:t>0</w:t>
      </w:r>
      <w:r w:rsidRPr="0020560B">
        <w:t>.</w:t>
      </w:r>
      <w:r w:rsidRPr="0000292B">
        <w:t xml:space="preserve"> All the pa</w:t>
      </w:r>
      <w:r>
        <w:t>ragraphs have equal authority.</w:t>
      </w:r>
    </w:p>
    <w:p w14:paraId="1A77422B" w14:textId="6C321BB9" w:rsidR="00090A6F" w:rsidRPr="00BC0243" w:rsidRDefault="00BC0243" w:rsidP="00BC0243">
      <w:pPr>
        <w:tabs>
          <w:tab w:val="left" w:pos="570"/>
        </w:tabs>
        <w:sectPr w:rsidR="00090A6F" w:rsidRPr="00BC0243" w:rsidSect="00D74C6A">
          <w:footerReference w:type="default" r:id="rId13"/>
          <w:pgSz w:w="11907" w:h="16840" w:code="9"/>
          <w:pgMar w:top="1418" w:right="1418" w:bottom="1418" w:left="1418" w:header="709" w:footer="709" w:gutter="0"/>
          <w:paperSrc w:first="7" w:other="7"/>
          <w:cols w:space="720"/>
        </w:sectPr>
      </w:pPr>
      <w:r>
        <w:tab/>
      </w:r>
    </w:p>
    <w:p w14:paraId="2171D473" w14:textId="77777777" w:rsidR="00090A6F" w:rsidRPr="0000292B" w:rsidRDefault="00090A6F">
      <w:pPr>
        <w:pStyle w:val="Heading1"/>
      </w:pPr>
      <w:r w:rsidRPr="0000292B">
        <w:lastRenderedPageBreak/>
        <w:t>Preface</w:t>
      </w:r>
    </w:p>
    <w:p w14:paraId="26EFF641" w14:textId="0596FEC8" w:rsidR="000F64CC" w:rsidRPr="0000292B" w:rsidRDefault="00CA61C5">
      <w:pPr>
        <w:pStyle w:val="Heading2"/>
      </w:pPr>
      <w:r>
        <w:t xml:space="preserve">Standards amended by AASB </w:t>
      </w:r>
      <w:r>
        <w:fldChar w:fldCharType="begin"/>
      </w:r>
      <w:r>
        <w:instrText xml:space="preserve"> REF DocNo \* charformat</w:instrText>
      </w:r>
      <w:r>
        <w:fldChar w:fldCharType="separate"/>
      </w:r>
      <w:r w:rsidR="00B22969" w:rsidRPr="003869E4">
        <w:t>2019-</w:t>
      </w:r>
      <w:r w:rsidR="00B22969">
        <w:t>6</w:t>
      </w:r>
      <w:r>
        <w:fldChar w:fldCharType="end"/>
      </w:r>
    </w:p>
    <w:p w14:paraId="5EC6D11C" w14:textId="1953ABB6" w:rsidR="00ED3777" w:rsidRDefault="009C2479" w:rsidP="00E55F2F">
      <w:pPr>
        <w:pStyle w:val="NoNumPlain1"/>
      </w:pPr>
      <w:r>
        <w:t>This S</w:t>
      </w:r>
      <w:r w:rsidR="00E55F2F">
        <w:t xml:space="preserve">tandard makes amendments to </w:t>
      </w:r>
      <w:r w:rsidR="0028759D">
        <w:t>AASB 1</w:t>
      </w:r>
      <w:r w:rsidR="00B46308">
        <w:t>5</w:t>
      </w:r>
      <w:r w:rsidR="0028759D">
        <w:t xml:space="preserve"> </w:t>
      </w:r>
      <w:r w:rsidR="00BD2516" w:rsidRPr="00BD2516">
        <w:rPr>
          <w:i/>
          <w:iCs/>
        </w:rPr>
        <w:t>Revenue from Contracts with Customers</w:t>
      </w:r>
      <w:r w:rsidR="0028759D">
        <w:t xml:space="preserve"> </w:t>
      </w:r>
      <w:r w:rsidR="00C41B48">
        <w:t>(</w:t>
      </w:r>
      <w:r w:rsidR="00773599">
        <w:t>December 2014</w:t>
      </w:r>
      <w:r w:rsidR="00C41B48">
        <w:t>)</w:t>
      </w:r>
      <w:r w:rsidR="00AE419D">
        <w:t xml:space="preserve"> and</w:t>
      </w:r>
      <w:r w:rsidR="00BC6EAE">
        <w:t xml:space="preserve"> AASB</w:t>
      </w:r>
      <w:r w:rsidR="00A745CD">
        <w:t> </w:t>
      </w:r>
      <w:r w:rsidR="00BC6EAE">
        <w:t xml:space="preserve">1058 </w:t>
      </w:r>
      <w:r w:rsidR="00BC6EAE" w:rsidRPr="001B2F62">
        <w:rPr>
          <w:i/>
          <w:iCs/>
        </w:rPr>
        <w:t>Income of Not-for-Profit Entities</w:t>
      </w:r>
      <w:r w:rsidR="001B2F62">
        <w:t xml:space="preserve"> </w:t>
      </w:r>
      <w:r w:rsidR="009F703F">
        <w:t>(December 2016)</w:t>
      </w:r>
      <w:r w:rsidR="002862EE">
        <w:t>.</w:t>
      </w:r>
    </w:p>
    <w:p w14:paraId="1D674BFC" w14:textId="77777777" w:rsidR="00090A6F" w:rsidRDefault="00F22AF2" w:rsidP="00F22AF2">
      <w:pPr>
        <w:pStyle w:val="Heading2"/>
      </w:pPr>
      <w:r>
        <w:t>Main features of this Standard</w:t>
      </w:r>
    </w:p>
    <w:p w14:paraId="1EDAB487" w14:textId="77777777" w:rsidR="00F22AF2" w:rsidRDefault="00F22AF2" w:rsidP="0096317D">
      <w:pPr>
        <w:pStyle w:val="Heading2Indent1"/>
      </w:pPr>
      <w:r>
        <w:t>Main requirements</w:t>
      </w:r>
    </w:p>
    <w:p w14:paraId="264B4158" w14:textId="53689FF7" w:rsidR="00343829" w:rsidRDefault="00343829" w:rsidP="00F22AF2">
      <w:pPr>
        <w:pStyle w:val="NoNumPlain1"/>
      </w:pPr>
      <w:r>
        <w:t xml:space="preserve">This Standard amends AASB 15 and AASB 1058 </w:t>
      </w:r>
      <w:r w:rsidR="00566CB7">
        <w:t>to permit</w:t>
      </w:r>
      <w:r>
        <w:t xml:space="preserve"> not-for-profit entities </w:t>
      </w:r>
      <w:r w:rsidR="00AD33E7">
        <w:t xml:space="preserve">to apply those Standards to research grants </w:t>
      </w:r>
      <w:r w:rsidR="00FE4AB7">
        <w:t xml:space="preserve">for annual reporting periods beginning on or after 1 July 2019 instead of 1 January 2019. </w:t>
      </w:r>
      <w:r w:rsidR="00D626D4">
        <w:t xml:space="preserve">This will provide an extended implementation </w:t>
      </w:r>
      <w:r w:rsidR="00A970A3">
        <w:t>period</w:t>
      </w:r>
      <w:r w:rsidR="00D626D4">
        <w:t xml:space="preserve"> for entities with December year-ends</w:t>
      </w:r>
      <w:r w:rsidR="008501F2">
        <w:t xml:space="preserve"> for research grants received. The application of AASB 15 and AASB 1058 to other sources of income is not extended. The option to extend the implementation period applies at the entity level and is not available on an individual research grant basis</w:t>
      </w:r>
      <w:r w:rsidR="00D626D4">
        <w:t>.</w:t>
      </w:r>
    </w:p>
    <w:p w14:paraId="5ED28E20" w14:textId="5BE30002" w:rsidR="0015089B" w:rsidRDefault="00804D25" w:rsidP="00F22AF2">
      <w:pPr>
        <w:pStyle w:val="NoNumPlain1"/>
      </w:pPr>
      <w:r>
        <w:t>This Standard</w:t>
      </w:r>
      <w:r w:rsidR="00BF7430">
        <w:t xml:space="preserve"> also</w:t>
      </w:r>
      <w:r>
        <w:t xml:space="preserve"> </w:t>
      </w:r>
      <w:r w:rsidR="00916EFA">
        <w:t>makes amendme</w:t>
      </w:r>
      <w:r w:rsidR="00275490">
        <w:t xml:space="preserve">nts to </w:t>
      </w:r>
      <w:r w:rsidR="009C215F">
        <w:t xml:space="preserve">Illustrative Examples 4A and 4B accompanying </w:t>
      </w:r>
      <w:r w:rsidR="00275490">
        <w:t>AASB </w:t>
      </w:r>
      <w:r w:rsidR="003A60C1">
        <w:t>1</w:t>
      </w:r>
      <w:r w:rsidR="009C215F">
        <w:t xml:space="preserve">5 </w:t>
      </w:r>
      <w:r w:rsidR="00275490">
        <w:t>to</w:t>
      </w:r>
      <w:r w:rsidR="002D46EA">
        <w:t xml:space="preserve"> clarify </w:t>
      </w:r>
      <w:r w:rsidR="000451C4">
        <w:t xml:space="preserve">the analysis of how </w:t>
      </w:r>
      <w:r w:rsidR="0015089B">
        <w:t>paragraph 35(a) of AASB 15</w:t>
      </w:r>
      <w:r w:rsidR="000451C4">
        <w:t xml:space="preserve"> applies</w:t>
      </w:r>
      <w:r w:rsidR="00155D35">
        <w:t xml:space="preserve"> in respect of research grants and the transfer of research findings</w:t>
      </w:r>
      <w:r w:rsidR="000451C4">
        <w:t xml:space="preserve">. </w:t>
      </w:r>
      <w:r w:rsidR="0015089B">
        <w:t>The</w:t>
      </w:r>
      <w:r w:rsidR="000451C4">
        <w:t xml:space="preserve"> amendments do not change the </w:t>
      </w:r>
      <w:r w:rsidR="0015089B">
        <w:t xml:space="preserve">requirements of AASB 15 or the </w:t>
      </w:r>
      <w:r w:rsidR="000451C4">
        <w:t>conclusions of the Illustrative Examples.</w:t>
      </w:r>
      <w:r w:rsidR="00560DB9">
        <w:t xml:space="preserve"> A further example, Example 4D, is added to illustrate a case with periodic performance obligations.</w:t>
      </w:r>
    </w:p>
    <w:p w14:paraId="62F346D5" w14:textId="77777777" w:rsidR="00CB3AFF" w:rsidRDefault="00CB3AFF" w:rsidP="00CB3AFF">
      <w:pPr>
        <w:pStyle w:val="NoNumPlain1"/>
      </w:pPr>
      <w:r>
        <w:t xml:space="preserve">Paragraph 35(a) addresses whether the customer simultaneously receives and consumes the benefits provided by an entity’s performance as the entity performs, as one basis for the entity transferring control of a good or service over time, and therefore satisfying a performance obligation and recognising revenue over time. </w:t>
      </w:r>
    </w:p>
    <w:p w14:paraId="2199A66F" w14:textId="77777777" w:rsidR="00F22AF2" w:rsidRDefault="00F22AF2" w:rsidP="0096317D">
      <w:pPr>
        <w:pStyle w:val="Heading2Indent1"/>
      </w:pPr>
      <w:r>
        <w:t>Application date</w:t>
      </w:r>
    </w:p>
    <w:p w14:paraId="1E92ABBF" w14:textId="79CEEEA7" w:rsidR="00F22AF2" w:rsidRPr="00F22AF2" w:rsidRDefault="00B16904" w:rsidP="00F73284">
      <w:pPr>
        <w:pStyle w:val="IASBNormal"/>
      </w:pPr>
      <w:r>
        <w:t xml:space="preserve">This Standard applies to annual periods </w:t>
      </w:r>
      <w:bookmarkStart w:id="11" w:name="ApplyText"/>
      <w:r w:rsidR="001F033D">
        <w:t>b</w:t>
      </w:r>
      <w:r w:rsidR="0015089B">
        <w:t>e</w:t>
      </w:r>
      <w:r w:rsidR="001F033D">
        <w:t>gin</w:t>
      </w:r>
      <w:r w:rsidR="00CF301D">
        <w:t>ning</w:t>
      </w:r>
      <w:bookmarkEnd w:id="11"/>
      <w:r>
        <w:t xml:space="preserve"> on or after</w:t>
      </w:r>
      <w:r w:rsidR="00867FB0">
        <w:t xml:space="preserve"> </w:t>
      </w:r>
      <w:bookmarkStart w:id="12" w:name="ApplyDate"/>
      <w:r w:rsidR="00021584">
        <w:t>1</w:t>
      </w:r>
      <w:r w:rsidR="0015089B">
        <w:t xml:space="preserve"> </w:t>
      </w:r>
      <w:r w:rsidR="00B53756">
        <w:t>January</w:t>
      </w:r>
      <w:r w:rsidR="004A3747">
        <w:t> 2</w:t>
      </w:r>
      <w:r w:rsidR="0096317D">
        <w:t>0</w:t>
      </w:r>
      <w:r w:rsidR="0015089B">
        <w:t>19</w:t>
      </w:r>
      <w:bookmarkEnd w:id="12"/>
      <w:r w:rsidR="0015089B">
        <w:t>,</w:t>
      </w:r>
      <w:r w:rsidR="00804D25">
        <w:t xml:space="preserve"> </w:t>
      </w:r>
      <w:r w:rsidR="00D626D4">
        <w:t>which is the mandatory effective date (application date) of AASB 15 and AASB 1058 for not-for-profit entities</w:t>
      </w:r>
      <w:r w:rsidR="008B235C">
        <w:t>. E</w:t>
      </w:r>
      <w:r w:rsidR="009E0595" w:rsidRPr="00766E15">
        <w:t>arl</w:t>
      </w:r>
      <w:r w:rsidR="009E0595">
        <w:t>ier</w:t>
      </w:r>
      <w:r w:rsidR="009E0595" w:rsidRPr="00766E15">
        <w:t xml:space="preserve"> </w:t>
      </w:r>
      <w:r w:rsidR="009E0595">
        <w:t>application</w:t>
      </w:r>
      <w:r w:rsidR="009E0595" w:rsidRPr="00766E15">
        <w:t xml:space="preserve"> </w:t>
      </w:r>
      <w:r w:rsidR="008B235C">
        <w:t xml:space="preserve">is </w:t>
      </w:r>
      <w:r w:rsidR="009E0595" w:rsidRPr="00766E15">
        <w:t xml:space="preserve">permitted. </w:t>
      </w:r>
    </w:p>
    <w:p w14:paraId="7BD3736F" w14:textId="77777777" w:rsidR="00F22AF2" w:rsidRPr="0000292B" w:rsidRDefault="00F22AF2"/>
    <w:p w14:paraId="7A005A3D" w14:textId="77777777" w:rsidR="00090A6F" w:rsidRPr="0000292B" w:rsidRDefault="00090A6F">
      <w:pPr>
        <w:sectPr w:rsidR="00090A6F" w:rsidRPr="0000292B" w:rsidSect="00D74C6A">
          <w:footerReference w:type="default" r:id="rId14"/>
          <w:pgSz w:w="11907" w:h="16840" w:code="9"/>
          <w:pgMar w:top="1418" w:right="1418" w:bottom="1418" w:left="1418" w:header="709" w:footer="709" w:gutter="0"/>
          <w:paperSrc w:first="7" w:other="7"/>
          <w:cols w:space="720"/>
        </w:sectPr>
      </w:pPr>
    </w:p>
    <w:p w14:paraId="7A92CC2B" w14:textId="117A3BB9" w:rsidR="001662B8" w:rsidRPr="0000292B" w:rsidRDefault="00F13C5A" w:rsidP="001662B8">
      <w:pPr>
        <w:pStyle w:val="Heading1"/>
      </w:pPr>
      <w:r w:rsidRPr="0000292B">
        <w:lastRenderedPageBreak/>
        <w:t xml:space="preserve">Accounting Standard </w:t>
      </w:r>
      <w:r w:rsidR="001662B8" w:rsidRPr="0000292B">
        <w:t xml:space="preserve">AASB </w:t>
      </w:r>
      <w:r w:rsidR="001662B8" w:rsidRPr="00BC0D5D">
        <w:rPr>
          <w:iCs/>
        </w:rPr>
        <w:fldChar w:fldCharType="begin"/>
      </w:r>
      <w:r w:rsidR="001662B8" w:rsidRPr="00BC0D5D">
        <w:rPr>
          <w:iCs/>
        </w:rPr>
        <w:instrText xml:space="preserve"> REF </w:instrText>
      </w:r>
      <w:r w:rsidR="001662B8">
        <w:rPr>
          <w:iCs/>
        </w:rPr>
        <w:instrText>Doc</w:instrText>
      </w:r>
      <w:r w:rsidR="001662B8" w:rsidRPr="00BC0D5D">
        <w:rPr>
          <w:iCs/>
        </w:rPr>
        <w:instrText xml:space="preserve">No \* charformat </w:instrText>
      </w:r>
      <w:r w:rsidR="001662B8" w:rsidRPr="00BC0D5D">
        <w:rPr>
          <w:iCs/>
        </w:rPr>
        <w:fldChar w:fldCharType="separate"/>
      </w:r>
      <w:r w:rsidR="00B22969" w:rsidRPr="00B22969">
        <w:rPr>
          <w:iCs/>
        </w:rPr>
        <w:t>2019-6</w:t>
      </w:r>
      <w:r w:rsidR="001662B8" w:rsidRPr="00BC0D5D">
        <w:rPr>
          <w:iCs/>
        </w:rPr>
        <w:fldChar w:fldCharType="end"/>
      </w:r>
    </w:p>
    <w:p w14:paraId="6CAF911E" w14:textId="124F8B4A" w:rsidR="001662B8" w:rsidRDefault="001662B8" w:rsidP="003E1900">
      <w:pPr>
        <w:pStyle w:val="NoNumPlain1"/>
      </w:pPr>
      <w:r>
        <w:t>The Australian Accounting Standards Board makes Accounting Standard AASB </w:t>
      </w:r>
      <w:r w:rsidR="00B22969">
        <w:fldChar w:fldCharType="begin"/>
      </w:r>
      <w:r w:rsidR="00B22969">
        <w:instrText xml:space="preserve"> REF DocNo  \* charformat </w:instrText>
      </w:r>
      <w:r w:rsidR="00B22969">
        <w:fldChar w:fldCharType="separate"/>
      </w:r>
      <w:r w:rsidR="00B22969" w:rsidRPr="003869E4">
        <w:t>2019-</w:t>
      </w:r>
      <w:r w:rsidR="00B22969">
        <w:t>6</w:t>
      </w:r>
      <w:r w:rsidR="00B22969">
        <w:fldChar w:fldCharType="end"/>
      </w:r>
      <w:r>
        <w:t xml:space="preserve"> </w:t>
      </w:r>
      <w:r w:rsidR="00CC1DF4" w:rsidRPr="00CC1DF4">
        <w:rPr>
          <w:i/>
        </w:rPr>
        <w:fldChar w:fldCharType="begin"/>
      </w:r>
      <w:r w:rsidR="00CC1DF4" w:rsidRPr="00CC1DF4">
        <w:rPr>
          <w:i/>
        </w:rPr>
        <w:instrText xml:space="preserve"> REF DocTitle \* charformat </w:instrText>
      </w:r>
      <w:r w:rsidR="00604159">
        <w:rPr>
          <w:i/>
        </w:rPr>
        <w:instrText xml:space="preserve"> \* MERGEFORMAT </w:instrText>
      </w:r>
      <w:r w:rsidR="00CC1DF4" w:rsidRPr="00CC1DF4">
        <w:rPr>
          <w:i/>
        </w:rPr>
        <w:fldChar w:fldCharType="separate"/>
      </w:r>
      <w:r w:rsidR="00B22969" w:rsidRPr="00B22969">
        <w:rPr>
          <w:i/>
        </w:rPr>
        <w:t>Amendments to Australian Accounting Standards – Research Grants and Not-for-Profit Entities</w:t>
      </w:r>
      <w:r w:rsidR="00CC1DF4" w:rsidRPr="00CC1DF4">
        <w:rPr>
          <w:i/>
        </w:rPr>
        <w:fldChar w:fldCharType="end"/>
      </w:r>
      <w:bookmarkStart w:id="13" w:name="CorpsAct"/>
      <w:r w:rsidR="00435320">
        <w:rPr>
          <w:i/>
        </w:rPr>
        <w:t xml:space="preserve"> </w:t>
      </w:r>
      <w:r>
        <w:t xml:space="preserve">under section 334 of the </w:t>
      </w:r>
      <w:r>
        <w:rPr>
          <w:i/>
          <w:iCs/>
        </w:rPr>
        <w:t>Corporations Act 2001</w:t>
      </w:r>
      <w:bookmarkEnd w:id="13"/>
      <w:r>
        <w:t>.</w:t>
      </w:r>
    </w:p>
    <w:tbl>
      <w:tblPr>
        <w:tblW w:w="9072"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711"/>
      </w:tblGrid>
      <w:tr w:rsidR="00C03C7B" w14:paraId="64B7EB67" w14:textId="77777777" w:rsidTr="001A4E74">
        <w:tc>
          <w:tcPr>
            <w:tcW w:w="4361" w:type="dxa"/>
          </w:tcPr>
          <w:p w14:paraId="265F23B6" w14:textId="77777777" w:rsidR="00C03C7B" w:rsidRDefault="00C03C7B" w:rsidP="0048155F"/>
        </w:tc>
        <w:tc>
          <w:tcPr>
            <w:tcW w:w="4711" w:type="dxa"/>
          </w:tcPr>
          <w:p w14:paraId="2AE9C1AE" w14:textId="77777777" w:rsidR="00C03C7B" w:rsidRDefault="008F3EBA" w:rsidP="0048155F">
            <w:pPr>
              <w:jc w:val="right"/>
            </w:pPr>
            <w:r>
              <w:t>Kris Peach</w:t>
            </w:r>
          </w:p>
        </w:tc>
      </w:tr>
      <w:tr w:rsidR="00C03C7B" w14:paraId="356A72EC" w14:textId="77777777" w:rsidTr="001A4E74">
        <w:tc>
          <w:tcPr>
            <w:tcW w:w="4361" w:type="dxa"/>
          </w:tcPr>
          <w:p w14:paraId="7ECEBB49" w14:textId="106A58DB" w:rsidR="00C03C7B" w:rsidRDefault="00F34813" w:rsidP="001A4E74">
            <w:pPr>
              <w:ind w:left="-108"/>
            </w:pPr>
            <w:r>
              <w:t>Dated</w:t>
            </w:r>
            <w:r w:rsidR="00960A49">
              <w:t xml:space="preserve"> 16 December 2019</w:t>
            </w:r>
          </w:p>
        </w:tc>
        <w:tc>
          <w:tcPr>
            <w:tcW w:w="4711" w:type="dxa"/>
          </w:tcPr>
          <w:p w14:paraId="5BF3DCCC" w14:textId="77777777" w:rsidR="00C03C7B" w:rsidRDefault="00C03C7B" w:rsidP="0048155F">
            <w:pPr>
              <w:jc w:val="right"/>
            </w:pPr>
            <w:r>
              <w:t>Chair – AASB</w:t>
            </w:r>
          </w:p>
        </w:tc>
      </w:tr>
    </w:tbl>
    <w:p w14:paraId="4FC7A864" w14:textId="6BF6149F" w:rsidR="00090A6F" w:rsidRPr="0000292B" w:rsidRDefault="00F13C5A" w:rsidP="00867FB0">
      <w:pPr>
        <w:pStyle w:val="Heading1"/>
        <w:spacing w:after="0"/>
      </w:pPr>
      <w:r w:rsidRPr="0000292B">
        <w:t xml:space="preserve">Accounting Standard </w:t>
      </w:r>
      <w:r w:rsidR="00090A6F" w:rsidRPr="0000292B">
        <w:t xml:space="preserve">AASB </w:t>
      </w:r>
      <w:r w:rsidR="00BC0D5D" w:rsidRPr="00BC0D5D">
        <w:rPr>
          <w:iCs/>
        </w:rPr>
        <w:fldChar w:fldCharType="begin"/>
      </w:r>
      <w:r w:rsidR="00BC0D5D" w:rsidRPr="00BC0D5D">
        <w:rPr>
          <w:iCs/>
        </w:rPr>
        <w:instrText xml:space="preserve"> REF </w:instrText>
      </w:r>
      <w:r w:rsidR="001662B8">
        <w:rPr>
          <w:iCs/>
        </w:rPr>
        <w:instrText>Doc</w:instrText>
      </w:r>
      <w:r w:rsidR="00BC0D5D" w:rsidRPr="00BC0D5D">
        <w:rPr>
          <w:iCs/>
        </w:rPr>
        <w:instrText xml:space="preserve">No \* charformat </w:instrText>
      </w:r>
      <w:r w:rsidR="00BC0D5D" w:rsidRPr="00BC0D5D">
        <w:rPr>
          <w:iCs/>
        </w:rPr>
        <w:fldChar w:fldCharType="separate"/>
      </w:r>
      <w:r w:rsidR="00B22969" w:rsidRPr="00B22969">
        <w:rPr>
          <w:iCs/>
        </w:rPr>
        <w:t>2019-6</w:t>
      </w:r>
      <w:r w:rsidR="00BC0D5D" w:rsidRPr="00BC0D5D">
        <w:rPr>
          <w:iCs/>
        </w:rPr>
        <w:fldChar w:fldCharType="end"/>
      </w:r>
    </w:p>
    <w:p w14:paraId="3993EA4E" w14:textId="021299D8" w:rsidR="00090A6F" w:rsidRPr="00BF3DA7" w:rsidRDefault="00B22969" w:rsidP="003E1900">
      <w:pPr>
        <w:pStyle w:val="Heading1Italic"/>
        <w:spacing w:before="0"/>
      </w:pPr>
      <w:r>
        <w:fldChar w:fldCharType="begin"/>
      </w:r>
      <w:r>
        <w:instrText xml:space="preserve"> REF \* charformat DocTitle  \* MERGEFORMAT </w:instrText>
      </w:r>
      <w:r>
        <w:fldChar w:fldCharType="separate"/>
      </w:r>
      <w:r w:rsidRPr="00490569">
        <w:t>Amendments to</w:t>
      </w:r>
      <w:r>
        <w:t xml:space="preserve"> </w:t>
      </w:r>
      <w:r w:rsidRPr="00490569">
        <w:t xml:space="preserve">Australian </w:t>
      </w:r>
      <w:r>
        <w:t xml:space="preserve">Accounting Standards – Research Grants and </w:t>
      </w:r>
      <w:r w:rsidRPr="00490569">
        <w:t>Not-for-Profit Entitie</w:t>
      </w:r>
      <w:r>
        <w:t>s</w:t>
      </w:r>
      <w:r>
        <w:fldChar w:fldCharType="end"/>
      </w:r>
    </w:p>
    <w:p w14:paraId="7A909457" w14:textId="77777777" w:rsidR="00090A6F" w:rsidRPr="0000292B" w:rsidRDefault="00090A6F" w:rsidP="00FC30DA">
      <w:pPr>
        <w:pStyle w:val="Heading2"/>
      </w:pPr>
      <w:bookmarkStart w:id="14" w:name="TOCStart"/>
      <w:bookmarkEnd w:id="14"/>
      <w:r w:rsidRPr="0000292B">
        <w:t>Objective</w:t>
      </w:r>
    </w:p>
    <w:p w14:paraId="48788A0D" w14:textId="525941BE" w:rsidR="00AF2BF0" w:rsidRDefault="00AF2BF0" w:rsidP="009E0595">
      <w:pPr>
        <w:pStyle w:val="NumPlain1"/>
      </w:pPr>
      <w:r>
        <w:t>This Standard amend</w:t>
      </w:r>
      <w:r w:rsidR="00D5638C">
        <w:t>s</w:t>
      </w:r>
      <w:r>
        <w:t xml:space="preserve"> </w:t>
      </w:r>
      <w:r w:rsidR="004B4427">
        <w:t>AASB 15</w:t>
      </w:r>
      <w:r w:rsidR="00892902">
        <w:t xml:space="preserve"> </w:t>
      </w:r>
      <w:r w:rsidR="00892902" w:rsidRPr="00892902">
        <w:rPr>
          <w:i/>
          <w:iCs/>
        </w:rPr>
        <w:t>Revenue from Contracts with Customers</w:t>
      </w:r>
      <w:r w:rsidR="00892902">
        <w:t xml:space="preserve"> </w:t>
      </w:r>
      <w:r w:rsidR="008F6D56">
        <w:t xml:space="preserve">(December 2014) </w:t>
      </w:r>
      <w:r w:rsidR="00892902">
        <w:t>and</w:t>
      </w:r>
      <w:r w:rsidR="00892902" w:rsidRPr="00892902">
        <w:t xml:space="preserve"> </w:t>
      </w:r>
      <w:r w:rsidR="008164F4">
        <w:t xml:space="preserve">AASB 1058 </w:t>
      </w:r>
      <w:r w:rsidR="008164F4" w:rsidRPr="008164F4">
        <w:rPr>
          <w:i/>
          <w:iCs/>
        </w:rPr>
        <w:t>Income of Not-for-Profit Entities</w:t>
      </w:r>
      <w:r w:rsidR="008164F4">
        <w:t xml:space="preserve"> </w:t>
      </w:r>
      <w:r w:rsidR="008F6D56">
        <w:t>(December 2016)</w:t>
      </w:r>
      <w:r w:rsidR="00EE72A4">
        <w:t xml:space="preserve"> </w:t>
      </w:r>
      <w:r w:rsidR="00447328">
        <w:t>to permit</w:t>
      </w:r>
      <w:r w:rsidR="00EE72A4">
        <w:t xml:space="preserve"> </w:t>
      </w:r>
      <w:r w:rsidR="00695F0F">
        <w:t xml:space="preserve">not-for-profit entities </w:t>
      </w:r>
      <w:r w:rsidR="006845C4">
        <w:t xml:space="preserve">to apply those </w:t>
      </w:r>
      <w:r w:rsidR="00E71D64">
        <w:t>S</w:t>
      </w:r>
      <w:r w:rsidR="006845C4">
        <w:t xml:space="preserve">tandards to research grants </w:t>
      </w:r>
      <w:r w:rsidR="00126D4A">
        <w:t>for</w:t>
      </w:r>
      <w:r w:rsidR="006845C4">
        <w:t xml:space="preserve"> annual reporting periods beginning on or after 1 July 2019</w:t>
      </w:r>
      <w:r w:rsidR="00126D4A">
        <w:t xml:space="preserve"> instead of 1 January 2019</w:t>
      </w:r>
      <w:r w:rsidR="006845C4">
        <w:t>.</w:t>
      </w:r>
      <w:r w:rsidR="00002604">
        <w:t xml:space="preserve"> </w:t>
      </w:r>
    </w:p>
    <w:p w14:paraId="4FF1384B" w14:textId="2CA4E3FD" w:rsidR="00053B3A" w:rsidRDefault="00053B3A" w:rsidP="00053B3A">
      <w:pPr>
        <w:pStyle w:val="NumPlain1"/>
      </w:pPr>
      <w:bookmarkStart w:id="15" w:name="StndObj"/>
      <w:bookmarkStart w:id="16" w:name="ArisingDate"/>
      <w:bookmarkEnd w:id="15"/>
      <w:bookmarkEnd w:id="16"/>
      <w:r>
        <w:t xml:space="preserve">This Standard also amends the </w:t>
      </w:r>
      <w:r w:rsidRPr="003C35A9">
        <w:rPr>
          <w:i/>
          <w:iCs/>
        </w:rPr>
        <w:t>Australian Illustrative Examples for Not-for-Profit Entities</w:t>
      </w:r>
      <w:r>
        <w:t xml:space="preserve"> </w:t>
      </w:r>
      <w:r w:rsidRPr="0015089B">
        <w:rPr>
          <w:iCs/>
        </w:rPr>
        <w:t>accompanying</w:t>
      </w:r>
      <w:r>
        <w:t xml:space="preserve"> AASB 15 to clarify the analysis of how AASB 15 applies in several </w:t>
      </w:r>
      <w:r w:rsidR="00725DA6">
        <w:t xml:space="preserve">research grant </w:t>
      </w:r>
      <w:r>
        <w:t xml:space="preserve">examples. The amendments do not change the requirements of AASB 15 or the conclusions of the examples. </w:t>
      </w:r>
      <w:r w:rsidR="000E6394">
        <w:t>An additional example is added.</w:t>
      </w:r>
    </w:p>
    <w:p w14:paraId="068B93AC" w14:textId="6697EE32" w:rsidR="00090A6F" w:rsidRPr="0000292B" w:rsidRDefault="00090A6F">
      <w:pPr>
        <w:pStyle w:val="Heading2"/>
      </w:pPr>
      <w:r w:rsidRPr="0000292B">
        <w:t>Application</w:t>
      </w:r>
    </w:p>
    <w:p w14:paraId="33ACF0D9" w14:textId="6550C499" w:rsidR="005A6AC7" w:rsidRPr="00920B8B" w:rsidRDefault="005A6AC7" w:rsidP="00B22833">
      <w:pPr>
        <w:pStyle w:val="NumBold1"/>
        <w:rPr>
          <w:b w:val="0"/>
        </w:rPr>
      </w:pPr>
      <w:r w:rsidRPr="00920B8B">
        <w:rPr>
          <w:b w:val="0"/>
        </w:rPr>
        <w:t xml:space="preserve">The amendments set out in this Standard apply to entities and financial statements in accordance with the application of </w:t>
      </w:r>
      <w:r w:rsidR="00870942">
        <w:rPr>
          <w:b w:val="0"/>
        </w:rPr>
        <w:t xml:space="preserve">the </w:t>
      </w:r>
      <w:r w:rsidR="00F063CB">
        <w:rPr>
          <w:b w:val="0"/>
        </w:rPr>
        <w:t xml:space="preserve">other </w:t>
      </w:r>
      <w:r w:rsidR="00870942">
        <w:rPr>
          <w:b w:val="0"/>
        </w:rPr>
        <w:t xml:space="preserve">Standards </w:t>
      </w:r>
      <w:r w:rsidRPr="00920B8B">
        <w:rPr>
          <w:b w:val="0"/>
        </w:rPr>
        <w:t xml:space="preserve">set out in AASB 1057 </w:t>
      </w:r>
      <w:r w:rsidRPr="00920B8B">
        <w:rPr>
          <w:b w:val="0"/>
          <w:i/>
        </w:rPr>
        <w:t>Application of Australian Accounting Standards</w:t>
      </w:r>
      <w:r w:rsidRPr="00870A13">
        <w:rPr>
          <w:b w:val="0"/>
        </w:rPr>
        <w:t>.</w:t>
      </w:r>
    </w:p>
    <w:p w14:paraId="1A08C7F5" w14:textId="053D8CAA" w:rsidR="009E0595" w:rsidRPr="009E0595" w:rsidRDefault="00090A6F" w:rsidP="009E0595">
      <w:pPr>
        <w:pStyle w:val="NumBold1"/>
        <w:rPr>
          <w:b w:val="0"/>
        </w:rPr>
      </w:pPr>
      <w:r w:rsidRPr="00920B8B">
        <w:rPr>
          <w:b w:val="0"/>
        </w:rPr>
        <w:t>This Standard applies to annual</w:t>
      </w:r>
      <w:r w:rsidR="000D01CA">
        <w:rPr>
          <w:b w:val="0"/>
        </w:rPr>
        <w:t xml:space="preserve"> </w:t>
      </w:r>
      <w:r w:rsidRPr="00920B8B">
        <w:rPr>
          <w:b w:val="0"/>
        </w:rPr>
        <w:t xml:space="preserve">periods </w:t>
      </w:r>
      <w:r w:rsidR="005A6AC7" w:rsidRPr="00920B8B">
        <w:rPr>
          <w:b w:val="0"/>
        </w:rPr>
        <w:fldChar w:fldCharType="begin"/>
      </w:r>
      <w:r w:rsidR="005A6AC7" w:rsidRPr="00920B8B">
        <w:rPr>
          <w:b w:val="0"/>
        </w:rPr>
        <w:instrText xml:space="preserve"> REF ApplyText \* charformat</w:instrText>
      </w:r>
      <w:r w:rsidR="00920B8B">
        <w:rPr>
          <w:b w:val="0"/>
        </w:rPr>
        <w:instrText xml:space="preserve"> \* MERGEFORMAT </w:instrText>
      </w:r>
      <w:r w:rsidR="005A6AC7" w:rsidRPr="00920B8B">
        <w:rPr>
          <w:b w:val="0"/>
        </w:rPr>
        <w:fldChar w:fldCharType="separate"/>
      </w:r>
      <w:r w:rsidR="00B22969" w:rsidRPr="00B22969">
        <w:rPr>
          <w:b w:val="0"/>
        </w:rPr>
        <w:t>beginning</w:t>
      </w:r>
      <w:r w:rsidR="005A6AC7" w:rsidRPr="00920B8B">
        <w:rPr>
          <w:b w:val="0"/>
        </w:rPr>
        <w:fldChar w:fldCharType="end"/>
      </w:r>
      <w:r w:rsidRPr="00920B8B">
        <w:rPr>
          <w:b w:val="0"/>
        </w:rPr>
        <w:t xml:space="preserve"> on or after </w:t>
      </w:r>
      <w:r w:rsidR="005A6AC7" w:rsidRPr="00920B8B">
        <w:rPr>
          <w:b w:val="0"/>
        </w:rPr>
        <w:fldChar w:fldCharType="begin"/>
      </w:r>
      <w:r w:rsidR="005A6AC7" w:rsidRPr="00920B8B">
        <w:rPr>
          <w:b w:val="0"/>
        </w:rPr>
        <w:instrText xml:space="preserve"> REF ApplyDate \* charformat</w:instrText>
      </w:r>
      <w:r w:rsidR="00920B8B">
        <w:rPr>
          <w:b w:val="0"/>
        </w:rPr>
        <w:instrText xml:space="preserve"> \* MERGEFORMAT </w:instrText>
      </w:r>
      <w:r w:rsidR="005A6AC7" w:rsidRPr="00920B8B">
        <w:rPr>
          <w:b w:val="0"/>
        </w:rPr>
        <w:fldChar w:fldCharType="separate"/>
      </w:r>
      <w:r w:rsidR="00B22969" w:rsidRPr="00B22969">
        <w:rPr>
          <w:b w:val="0"/>
        </w:rPr>
        <w:t>1 January 2019</w:t>
      </w:r>
      <w:r w:rsidR="005A6AC7" w:rsidRPr="00920B8B">
        <w:rPr>
          <w:b w:val="0"/>
        </w:rPr>
        <w:fldChar w:fldCharType="end"/>
      </w:r>
      <w:r w:rsidRPr="00920B8B">
        <w:rPr>
          <w:b w:val="0"/>
        </w:rPr>
        <w:t>.</w:t>
      </w:r>
      <w:r w:rsidR="009E0595">
        <w:rPr>
          <w:b w:val="0"/>
        </w:rPr>
        <w:t xml:space="preserve"> </w:t>
      </w:r>
      <w:r w:rsidR="009E0595" w:rsidRPr="009E0595">
        <w:rPr>
          <w:b w:val="0"/>
        </w:rPr>
        <w:t>Earlier application of this Standard is permitted.</w:t>
      </w:r>
    </w:p>
    <w:p w14:paraId="32E50A98" w14:textId="48F77F28" w:rsidR="009E0595" w:rsidRPr="00B159DD" w:rsidRDefault="009E0595" w:rsidP="009E0595">
      <w:pPr>
        <w:pStyle w:val="NumBold1"/>
      </w:pPr>
      <w:r w:rsidRPr="009E0595">
        <w:rPr>
          <w:b w:val="0"/>
        </w:rPr>
        <w:t xml:space="preserve">This Standard uses underlining, striking out and other typographical material to identify some of the amendments to a Standard, in order to make the amendments more understandable. However, the amendments made by this Standard do not include that underlining, striking out or other typographical material. Amended paragraphs are shown with deleted text struck through and new text underlined. Ellipses (…) are used to help provide the context within which amendments are made </w:t>
      </w:r>
      <w:proofErr w:type="gramStart"/>
      <w:r w:rsidRPr="009E0595">
        <w:rPr>
          <w:b w:val="0"/>
        </w:rPr>
        <w:t>and also</w:t>
      </w:r>
      <w:proofErr w:type="gramEnd"/>
      <w:r w:rsidRPr="009E0595">
        <w:rPr>
          <w:b w:val="0"/>
        </w:rPr>
        <w:t xml:space="preserve"> to indicate text that is not amended.</w:t>
      </w:r>
    </w:p>
    <w:p w14:paraId="034F83B6" w14:textId="6AAF44BA" w:rsidR="00B159DD" w:rsidRDefault="00B159DD" w:rsidP="00B159DD">
      <w:pPr>
        <w:pStyle w:val="Heading2"/>
      </w:pPr>
      <w:r>
        <w:t>Amendments to AASB 15</w:t>
      </w:r>
    </w:p>
    <w:p w14:paraId="0D3F6F59" w14:textId="512DBB12" w:rsidR="00D42240" w:rsidRDefault="00D42240" w:rsidP="00D42240">
      <w:pPr>
        <w:pStyle w:val="NumPlain1"/>
      </w:pPr>
      <w:r>
        <w:t>Paragraph AusC1.2 is added as follows:</w:t>
      </w:r>
    </w:p>
    <w:p w14:paraId="2421FB34" w14:textId="0F7298FA" w:rsidR="00D42240" w:rsidRDefault="00D42240" w:rsidP="00372154">
      <w:pPr>
        <w:pStyle w:val="NumPlain1"/>
        <w:numPr>
          <w:ilvl w:val="0"/>
          <w:numId w:val="0"/>
        </w:numPr>
        <w:ind w:left="1531" w:hanging="1021"/>
      </w:pPr>
      <w:r>
        <w:t>AusC1.2</w:t>
      </w:r>
      <w:r>
        <w:tab/>
      </w:r>
      <w:r w:rsidR="007465C3">
        <w:t>Not</w:t>
      </w:r>
      <w:r w:rsidR="00E85EA2">
        <w:t>withstanding paragraph AusC1.1, not-for-profit entit</w:t>
      </w:r>
      <w:r w:rsidR="003D41B7">
        <w:t xml:space="preserve">ies may elect not to apply this Standard to research grants until </w:t>
      </w:r>
      <w:r w:rsidR="005B1896">
        <w:t xml:space="preserve">annual reporting periods beginning on or after 1 July 2019. If a not-for-profit entity </w:t>
      </w:r>
      <w:r w:rsidR="00891F87">
        <w:t xml:space="preserve">applies this Standard to research grants </w:t>
      </w:r>
      <w:r w:rsidR="00723339">
        <w:t>prior to that, it shall also apply AASB 1058 to research grants at the same time</w:t>
      </w:r>
      <w:r w:rsidR="0015095C">
        <w:t>.</w:t>
      </w:r>
    </w:p>
    <w:p w14:paraId="486B34B3" w14:textId="0B08A58B" w:rsidR="0016744A" w:rsidRDefault="0016744A" w:rsidP="00004EC8">
      <w:pPr>
        <w:pStyle w:val="Heading2"/>
      </w:pPr>
      <w:r>
        <w:t>Amendments to AASB 1058</w:t>
      </w:r>
    </w:p>
    <w:p w14:paraId="3FB62849" w14:textId="7CF25C4D" w:rsidR="00B073F9" w:rsidRDefault="00B073F9" w:rsidP="00B073F9">
      <w:pPr>
        <w:pStyle w:val="NumPlain1"/>
      </w:pPr>
      <w:r>
        <w:t>Paragraph C1</w:t>
      </w:r>
      <w:r w:rsidR="00034D3A">
        <w:t>A</w:t>
      </w:r>
      <w:r>
        <w:t xml:space="preserve"> is added as follows:</w:t>
      </w:r>
    </w:p>
    <w:p w14:paraId="3E1A2E19" w14:textId="7477CE58" w:rsidR="003C310B" w:rsidRDefault="003C310B" w:rsidP="00982486">
      <w:pPr>
        <w:pStyle w:val="NumPlain1"/>
        <w:numPr>
          <w:ilvl w:val="0"/>
          <w:numId w:val="0"/>
        </w:numPr>
        <w:ind w:left="1531" w:hanging="1021"/>
      </w:pPr>
      <w:r>
        <w:t>C1A</w:t>
      </w:r>
      <w:r>
        <w:tab/>
      </w:r>
      <w:r w:rsidR="00090558">
        <w:t xml:space="preserve">Notwithstanding paragraph C1, an entity may </w:t>
      </w:r>
      <w:r w:rsidR="007358F7">
        <w:t xml:space="preserve">elect not to apply </w:t>
      </w:r>
      <w:r w:rsidR="001B6BDC" w:rsidRPr="001B6BDC">
        <w:t>this Standard to research grants until annual reporting periods beginning on or after 1 July 2019. If a not-for-profit entity applies this Standard to research grants prior to that, it shall also apply AASB 15 to research grants at the same time.</w:t>
      </w:r>
    </w:p>
    <w:p w14:paraId="02807CD9" w14:textId="1FBB2595" w:rsidR="004A3747" w:rsidRDefault="006C480F">
      <w:pPr>
        <w:pStyle w:val="Heading2"/>
      </w:pPr>
      <w:r>
        <w:t xml:space="preserve">Amendments to </w:t>
      </w:r>
      <w:r w:rsidRPr="0015089B">
        <w:t>Australian Illustrative Examples for not-for-profit entities</w:t>
      </w:r>
    </w:p>
    <w:p w14:paraId="16423B65" w14:textId="12F48F45" w:rsidR="004A3747" w:rsidRDefault="006204CD" w:rsidP="00B31DD6">
      <w:pPr>
        <w:pStyle w:val="NumPlain1"/>
      </w:pPr>
      <w:r>
        <w:t xml:space="preserve">Illustrative </w:t>
      </w:r>
      <w:r w:rsidR="00817968">
        <w:t>Example</w:t>
      </w:r>
      <w:r w:rsidR="00A2421A">
        <w:t>s</w:t>
      </w:r>
      <w:r w:rsidR="00817968">
        <w:t xml:space="preserve"> 4</w:t>
      </w:r>
      <w:r w:rsidR="00A2421A">
        <w:t>A and 4B</w:t>
      </w:r>
      <w:r w:rsidR="0078217C">
        <w:t xml:space="preserve"> in the </w:t>
      </w:r>
      <w:r w:rsidR="00CB3AFF">
        <w:t>Australian e</w:t>
      </w:r>
      <w:r w:rsidR="0078217C">
        <w:t>xamples accompanying AASB 15</w:t>
      </w:r>
      <w:r w:rsidR="00817968">
        <w:t xml:space="preserve"> </w:t>
      </w:r>
      <w:r w:rsidR="007C6FB3">
        <w:t>are</w:t>
      </w:r>
      <w:r w:rsidR="00FF362D">
        <w:t xml:space="preserve"> </w:t>
      </w:r>
      <w:r w:rsidR="00BE1F7F">
        <w:t>amended as follows</w:t>
      </w:r>
      <w:r w:rsidR="009F138F">
        <w:t>:</w:t>
      </w:r>
    </w:p>
    <w:p w14:paraId="313F6FBB" w14:textId="386844C4" w:rsidR="00C02078" w:rsidRDefault="00C02078" w:rsidP="00C02078">
      <w:pPr>
        <w:keepNext/>
        <w:pBdr>
          <w:top w:val="single" w:sz="4" w:space="5" w:color="auto"/>
          <w:left w:val="single" w:sz="4" w:space="4" w:color="auto"/>
          <w:bottom w:val="single" w:sz="4" w:space="7" w:color="auto"/>
          <w:right w:val="single" w:sz="4" w:space="4" w:color="auto"/>
        </w:pBdr>
        <w:ind w:left="782"/>
        <w:rPr>
          <w:b/>
        </w:rPr>
      </w:pPr>
      <w:bookmarkStart w:id="17" w:name="IEEnd"/>
      <w:r w:rsidRPr="00DB5887">
        <w:rPr>
          <w:b/>
        </w:rPr>
        <w:lastRenderedPageBreak/>
        <w:t>Example 4—Research activities—Transfer of research findings</w:t>
      </w:r>
    </w:p>
    <w:p w14:paraId="277CFEA1" w14:textId="77777777" w:rsidR="002456D3" w:rsidRPr="00DB5887" w:rsidRDefault="002456D3" w:rsidP="007241F4">
      <w:pPr>
        <w:keepNext/>
        <w:pBdr>
          <w:left w:val="single" w:sz="4" w:space="4" w:color="auto"/>
          <w:right w:val="single" w:sz="4" w:space="4" w:color="auto"/>
        </w:pBdr>
        <w:spacing w:before="160" w:after="100"/>
        <w:ind w:left="782"/>
        <w:jc w:val="left"/>
        <w:rPr>
          <w:b/>
        </w:rPr>
      </w:pPr>
      <w:r w:rsidRPr="00DB5887">
        <w:rPr>
          <w:b/>
        </w:rPr>
        <w:t>Example 4A – Enforceable agreement, sufficiently specific performance obligation, research data only</w:t>
      </w:r>
    </w:p>
    <w:p w14:paraId="01412582" w14:textId="77777777" w:rsidR="002456D3" w:rsidRPr="00DB5887" w:rsidRDefault="002456D3" w:rsidP="007241F4">
      <w:pPr>
        <w:pBdr>
          <w:left w:val="single" w:sz="4" w:space="4" w:color="auto"/>
          <w:right w:val="single" w:sz="4" w:space="4" w:color="auto"/>
        </w:pBdr>
        <w:spacing w:after="100"/>
        <w:ind w:left="782"/>
        <w:jc w:val="left"/>
      </w:pPr>
      <w:r w:rsidRPr="00DB5887">
        <w:t>Research Institute C receives a cash grant from a donor, Marine Sanctuaries Trust M, of $5.3 million to undertake research that aims to track whale migration along the eastern coast of Australia.</w:t>
      </w:r>
    </w:p>
    <w:p w14:paraId="3B48967D" w14:textId="77777777" w:rsidR="002456D3" w:rsidRPr="00DB5887" w:rsidRDefault="002456D3" w:rsidP="007241F4">
      <w:pPr>
        <w:pBdr>
          <w:left w:val="single" w:sz="4" w:space="4" w:color="auto"/>
          <w:right w:val="single" w:sz="4" w:space="4" w:color="auto"/>
        </w:pBdr>
        <w:spacing w:after="100"/>
        <w:ind w:left="782"/>
        <w:jc w:val="left"/>
      </w:pPr>
      <w:r w:rsidRPr="00DB5887">
        <w:t>The terms of the grant are:</w:t>
      </w:r>
    </w:p>
    <w:p w14:paraId="6AC1FDF8" w14:textId="77777777" w:rsidR="002456D3" w:rsidRPr="00DB5887" w:rsidRDefault="002456D3" w:rsidP="007241F4">
      <w:pPr>
        <w:numPr>
          <w:ilvl w:val="0"/>
          <w:numId w:val="27"/>
        </w:numPr>
        <w:pBdr>
          <w:left w:val="single" w:sz="4" w:space="4" w:color="auto"/>
          <w:right w:val="single" w:sz="4" w:space="4" w:color="auto"/>
        </w:pBdr>
        <w:spacing w:after="100"/>
        <w:ind w:left="1142"/>
        <w:contextualSpacing/>
        <w:jc w:val="left"/>
      </w:pPr>
      <w:r w:rsidRPr="00DB5887">
        <w:t>a period of three years;</w:t>
      </w:r>
    </w:p>
    <w:p w14:paraId="2F39001E" w14:textId="77777777" w:rsidR="002456D3" w:rsidRPr="00DB5887" w:rsidRDefault="002456D3" w:rsidP="007241F4">
      <w:pPr>
        <w:numPr>
          <w:ilvl w:val="0"/>
          <w:numId w:val="27"/>
        </w:numPr>
        <w:pBdr>
          <w:left w:val="single" w:sz="4" w:space="4" w:color="auto"/>
          <w:right w:val="single" w:sz="4" w:space="4" w:color="auto"/>
        </w:pBdr>
        <w:spacing w:after="100"/>
        <w:ind w:left="1142"/>
        <w:contextualSpacing/>
        <w:jc w:val="left"/>
      </w:pPr>
      <w:r w:rsidRPr="00DB5887">
        <w:t>the return of funds that are either unspent or not spent in accordance with the agreement;</w:t>
      </w:r>
    </w:p>
    <w:p w14:paraId="38C63D64" w14:textId="77777777" w:rsidR="002456D3" w:rsidRPr="00DB5887" w:rsidRDefault="002456D3" w:rsidP="007241F4">
      <w:pPr>
        <w:numPr>
          <w:ilvl w:val="0"/>
          <w:numId w:val="27"/>
        </w:numPr>
        <w:pBdr>
          <w:left w:val="single" w:sz="4" w:space="4" w:color="auto"/>
          <w:right w:val="single" w:sz="4" w:space="4" w:color="auto"/>
        </w:pBdr>
        <w:spacing w:after="100"/>
        <w:ind w:left="1142"/>
        <w:contextualSpacing/>
        <w:jc w:val="left"/>
      </w:pPr>
      <w:r w:rsidRPr="00DB5887">
        <w:t>publication of research data on a public website as it is obtained, so that any researchers can use the data;</w:t>
      </w:r>
    </w:p>
    <w:p w14:paraId="282DEB8A" w14:textId="77777777" w:rsidR="002456D3" w:rsidRPr="00DB5887" w:rsidRDefault="002456D3" w:rsidP="007241F4">
      <w:pPr>
        <w:numPr>
          <w:ilvl w:val="0"/>
          <w:numId w:val="27"/>
        </w:numPr>
        <w:pBdr>
          <w:left w:val="single" w:sz="4" w:space="4" w:color="auto"/>
          <w:right w:val="single" w:sz="4" w:space="4" w:color="auto"/>
        </w:pBdr>
        <w:spacing w:after="100"/>
        <w:ind w:left="1142"/>
        <w:contextualSpacing/>
        <w:jc w:val="left"/>
      </w:pPr>
      <w:r w:rsidRPr="00DB5887">
        <w:t>the IP arising from the research is neither transferred to nor licensed to donor M;</w:t>
      </w:r>
    </w:p>
    <w:p w14:paraId="04B1C82E" w14:textId="77777777" w:rsidR="002456D3" w:rsidRPr="00DB5887" w:rsidRDefault="002456D3" w:rsidP="007241F4">
      <w:pPr>
        <w:numPr>
          <w:ilvl w:val="0"/>
          <w:numId w:val="27"/>
        </w:numPr>
        <w:pBdr>
          <w:left w:val="single" w:sz="4" w:space="4" w:color="auto"/>
          <w:right w:val="single" w:sz="4" w:space="4" w:color="auto"/>
        </w:pBdr>
        <w:spacing w:after="100"/>
        <w:ind w:left="1142"/>
        <w:contextualSpacing/>
        <w:jc w:val="left"/>
      </w:pPr>
      <w:r w:rsidRPr="00DB5887">
        <w:t>annual progress reports and a final report are required;</w:t>
      </w:r>
    </w:p>
    <w:p w14:paraId="33594548" w14:textId="77777777" w:rsidR="002456D3" w:rsidRPr="00DB5887" w:rsidRDefault="002456D3" w:rsidP="007241F4">
      <w:pPr>
        <w:numPr>
          <w:ilvl w:val="0"/>
          <w:numId w:val="27"/>
        </w:numPr>
        <w:pBdr>
          <w:left w:val="single" w:sz="4" w:space="4" w:color="auto"/>
          <w:right w:val="single" w:sz="4" w:space="4" w:color="auto"/>
        </w:pBdr>
        <w:spacing w:after="100"/>
        <w:ind w:left="1142"/>
        <w:contextualSpacing/>
        <w:jc w:val="left"/>
      </w:pPr>
      <w:r w:rsidRPr="00DB5887">
        <w:t>Institute C may publish research results in conference presentations and/or scholarly journals, retaining the copyright to such results; and</w:t>
      </w:r>
    </w:p>
    <w:p w14:paraId="02C3BA52" w14:textId="77777777" w:rsidR="002456D3" w:rsidRPr="00DB5887" w:rsidRDefault="002456D3" w:rsidP="007241F4">
      <w:pPr>
        <w:numPr>
          <w:ilvl w:val="0"/>
          <w:numId w:val="27"/>
        </w:numPr>
        <w:pBdr>
          <w:left w:val="single" w:sz="4" w:space="4" w:color="auto"/>
          <w:right w:val="single" w:sz="4" w:space="4" w:color="auto"/>
        </w:pBdr>
        <w:spacing w:after="100"/>
        <w:ind w:left="1139" w:hanging="357"/>
        <w:jc w:val="left"/>
      </w:pPr>
      <w:r w:rsidRPr="00DB5887">
        <w:t>the institute has an explicit right to payment for the research services completed to date if the agreement is terminated.</w:t>
      </w:r>
    </w:p>
    <w:p w14:paraId="29CF8321" w14:textId="77777777" w:rsidR="002456D3" w:rsidRPr="00DB5887" w:rsidRDefault="002456D3" w:rsidP="007241F4">
      <w:pPr>
        <w:pBdr>
          <w:left w:val="single" w:sz="4" w:space="4" w:color="auto"/>
          <w:right w:val="single" w:sz="4" w:space="4" w:color="auto"/>
        </w:pBdr>
        <w:spacing w:after="100"/>
        <w:ind w:left="782"/>
        <w:jc w:val="left"/>
      </w:pPr>
      <w:r w:rsidRPr="00DB5887">
        <w:t>Institute C concludes that the arrangement is a contract with a customer as defined in AASB 15 on the basis that:</w:t>
      </w:r>
    </w:p>
    <w:p w14:paraId="18E64A55" w14:textId="18FE2408" w:rsidR="002456D3" w:rsidRPr="00DB5887" w:rsidRDefault="002456D3" w:rsidP="007241F4">
      <w:pPr>
        <w:numPr>
          <w:ilvl w:val="0"/>
          <w:numId w:val="27"/>
        </w:numPr>
        <w:pBdr>
          <w:left w:val="single" w:sz="4" w:space="4" w:color="auto"/>
          <w:right w:val="single" w:sz="4" w:space="4" w:color="auto"/>
        </w:pBdr>
        <w:spacing w:after="100"/>
        <w:ind w:left="1142"/>
        <w:contextualSpacing/>
        <w:jc w:val="left"/>
      </w:pPr>
      <w:r w:rsidRPr="00DB5887">
        <w:t>Institute C’s promise of specified research</w:t>
      </w:r>
      <w:r w:rsidR="0078217C">
        <w:t xml:space="preserve"> </w:t>
      </w:r>
      <w:r w:rsidR="0078217C" w:rsidRPr="003123C4">
        <w:rPr>
          <w:u w:val="single"/>
        </w:rPr>
        <w:t>and contemporaneous publication of the research data</w:t>
      </w:r>
      <w:r w:rsidRPr="00DB5887">
        <w:t xml:space="preserve"> is enforceable as the grant is refundable if the research is not undertaken;</w:t>
      </w:r>
    </w:p>
    <w:p w14:paraId="55BE51FB" w14:textId="77777777" w:rsidR="002456D3" w:rsidRPr="00C46272" w:rsidRDefault="002456D3" w:rsidP="007241F4">
      <w:pPr>
        <w:numPr>
          <w:ilvl w:val="0"/>
          <w:numId w:val="27"/>
        </w:numPr>
        <w:pBdr>
          <w:left w:val="single" w:sz="4" w:space="4" w:color="auto"/>
          <w:right w:val="single" w:sz="4" w:space="4" w:color="auto"/>
        </w:pBdr>
        <w:spacing w:after="100"/>
        <w:ind w:left="1142"/>
        <w:contextualSpacing/>
        <w:jc w:val="left"/>
      </w:pPr>
      <w:r w:rsidRPr="00C46272">
        <w:t xml:space="preserve">the institute identifies its promise to undertake the research </w:t>
      </w:r>
      <w:r w:rsidRPr="00C46272">
        <w:rPr>
          <w:u w:val="single"/>
        </w:rPr>
        <w:t xml:space="preserve">and </w:t>
      </w:r>
      <w:r w:rsidRPr="00312D97">
        <w:rPr>
          <w:u w:val="single"/>
        </w:rPr>
        <w:t>contemporaneously</w:t>
      </w:r>
      <w:r w:rsidRPr="00C46272">
        <w:rPr>
          <w:u w:val="single"/>
        </w:rPr>
        <w:t xml:space="preserve"> publish the research data</w:t>
      </w:r>
      <w:r w:rsidRPr="00C46272">
        <w:t xml:space="preserve"> is sufficiently specific and represents a single performance obligation; and</w:t>
      </w:r>
    </w:p>
    <w:p w14:paraId="015BDF62" w14:textId="1E8C4F32" w:rsidR="002456D3" w:rsidRPr="00DB5887" w:rsidRDefault="002456D3" w:rsidP="007241F4">
      <w:pPr>
        <w:numPr>
          <w:ilvl w:val="0"/>
          <w:numId w:val="27"/>
        </w:numPr>
        <w:pBdr>
          <w:left w:val="single" w:sz="4" w:space="4" w:color="auto"/>
          <w:right w:val="single" w:sz="4" w:space="4" w:color="auto"/>
        </w:pBdr>
        <w:spacing w:after="100"/>
        <w:ind w:left="1139" w:hanging="357"/>
        <w:jc w:val="left"/>
      </w:pPr>
      <w:r w:rsidRPr="00C46272">
        <w:t xml:space="preserve">the undertaking of the research </w:t>
      </w:r>
      <w:r w:rsidRPr="00C46272">
        <w:rPr>
          <w:u w:val="single"/>
        </w:rPr>
        <w:t xml:space="preserve">and </w:t>
      </w:r>
      <w:r w:rsidR="0078217C">
        <w:rPr>
          <w:u w:val="single"/>
        </w:rPr>
        <w:t>contemporaneous</w:t>
      </w:r>
      <w:r w:rsidRPr="00C46272">
        <w:rPr>
          <w:u w:val="single"/>
        </w:rPr>
        <w:t xml:space="preserve"> publication of the data</w:t>
      </w:r>
      <w:r w:rsidRPr="00C46272">
        <w:t xml:space="preserve"> will represent services provided to the donor, as it is a beneficiary of the research even though the research</w:t>
      </w:r>
      <w:r w:rsidRPr="00DB5887">
        <w:t xml:space="preserve"> data is publicly available.</w:t>
      </w:r>
    </w:p>
    <w:p w14:paraId="3C9553DF" w14:textId="77777777" w:rsidR="002456D3" w:rsidRPr="00DB5887" w:rsidRDefault="002456D3" w:rsidP="007241F4">
      <w:pPr>
        <w:keepNext/>
        <w:pBdr>
          <w:left w:val="single" w:sz="4" w:space="4" w:color="auto"/>
          <w:right w:val="single" w:sz="4" w:space="4" w:color="auto"/>
        </w:pBdr>
        <w:spacing w:after="100"/>
        <w:ind w:left="782"/>
        <w:jc w:val="left"/>
        <w:rPr>
          <w:u w:val="single"/>
        </w:rPr>
      </w:pPr>
      <w:r w:rsidRPr="00DB5887">
        <w:rPr>
          <w:u w:val="single"/>
        </w:rPr>
        <w:t>Accounting treatment</w:t>
      </w:r>
    </w:p>
    <w:p w14:paraId="47BF5E5D" w14:textId="77777777" w:rsidR="002456D3" w:rsidRPr="00DB5887" w:rsidRDefault="002456D3" w:rsidP="007241F4">
      <w:pPr>
        <w:pBdr>
          <w:left w:val="single" w:sz="4" w:space="4" w:color="auto"/>
          <w:right w:val="single" w:sz="4" w:space="4" w:color="auto"/>
        </w:pBdr>
        <w:spacing w:after="100"/>
        <w:ind w:left="782"/>
        <w:jc w:val="left"/>
      </w:pPr>
      <w:r w:rsidRPr="00DB5887">
        <w:t>In accordance with AASB 15, Institute C allocates the cash grant to its identified performance obligation and recognises the financial asset (cash) and a contract liability of $5.3 million on initial recognition.</w:t>
      </w:r>
    </w:p>
    <w:p w14:paraId="1393FE9D" w14:textId="77777777" w:rsidR="002456D3" w:rsidRPr="00DB5887" w:rsidRDefault="002456D3" w:rsidP="007241F4">
      <w:pPr>
        <w:pBdr>
          <w:left w:val="single" w:sz="4" w:space="4" w:color="auto"/>
          <w:right w:val="single" w:sz="4" w:space="4" w:color="auto"/>
        </w:pBdr>
        <w:spacing w:after="100"/>
        <w:ind w:left="782"/>
        <w:jc w:val="left"/>
      </w:pPr>
      <w:r w:rsidRPr="00DB5887">
        <w:t>Institute C concludes that the performance obligation is satisfied over time as the donor simultaneously receives and consumes the benefits of the research services as they are performed (paragraph 35(a))</w:t>
      </w:r>
      <w:r>
        <w:t xml:space="preserve">. </w:t>
      </w:r>
      <w:r w:rsidRPr="00DB5887">
        <w:t xml:space="preserve">This is on the grounds that </w:t>
      </w:r>
      <w:r w:rsidRPr="00965424">
        <w:rPr>
          <w:strike/>
        </w:rPr>
        <w:t xml:space="preserve">another entity would not need to substantially re-perform the research completed to date by the institute if that other entity were to fulfil the remaining performance obligation to the donor (paragraph B4) as </w:t>
      </w:r>
      <w:r w:rsidRPr="00DB5887">
        <w:t>the research data is made public as it is collected</w:t>
      </w:r>
      <w:r w:rsidRPr="00965424">
        <w:rPr>
          <w:strike/>
        </w:rPr>
        <w:t>, and thus available to any replacement researchers</w:t>
      </w:r>
      <w:r w:rsidRPr="00DB5887">
        <w:t>.</w:t>
      </w:r>
    </w:p>
    <w:p w14:paraId="2F9B84EF" w14:textId="77777777" w:rsidR="002456D3" w:rsidRPr="00DB5887" w:rsidRDefault="002456D3" w:rsidP="007241F4">
      <w:pPr>
        <w:pBdr>
          <w:left w:val="single" w:sz="4" w:space="4" w:color="auto"/>
          <w:right w:val="single" w:sz="4" w:space="4" w:color="auto"/>
        </w:pBdr>
        <w:spacing w:after="100"/>
        <w:ind w:left="782"/>
        <w:jc w:val="left"/>
      </w:pPr>
      <w:r w:rsidRPr="00DB5887">
        <w:t>Accordingly, the institute recognises revenue over time as it satisfies the performance obligation</w:t>
      </w:r>
      <w:r>
        <w:t xml:space="preserve">. </w:t>
      </w:r>
      <w:r w:rsidRPr="00DB5887">
        <w:t xml:space="preserve">The institute elects to measure its progress towards complete satisfaction of the performance obligation </w:t>
      </w:r>
      <w:proofErr w:type="gramStart"/>
      <w:r w:rsidRPr="00DB5887">
        <w:t>on the basis of</w:t>
      </w:r>
      <w:proofErr w:type="gramEnd"/>
      <w:r w:rsidRPr="00DB5887">
        <w:t xml:space="preserve"> research data published.</w:t>
      </w:r>
    </w:p>
    <w:p w14:paraId="7C478BA1" w14:textId="77777777" w:rsidR="002456D3" w:rsidRPr="00DB5887" w:rsidRDefault="002456D3" w:rsidP="007241F4">
      <w:pPr>
        <w:keepNext/>
        <w:pBdr>
          <w:left w:val="single" w:sz="4" w:space="4" w:color="auto"/>
          <w:right w:val="single" w:sz="4" w:space="4" w:color="auto"/>
        </w:pBdr>
        <w:spacing w:before="240" w:after="100"/>
        <w:ind w:left="782"/>
        <w:jc w:val="left"/>
        <w:rPr>
          <w:b/>
        </w:rPr>
      </w:pPr>
      <w:r w:rsidRPr="00DB5887">
        <w:rPr>
          <w:b/>
        </w:rPr>
        <w:t>Example 4B – Enforceable agreement, sufficiently specific performance obligation, research data and assessment only</w:t>
      </w:r>
    </w:p>
    <w:p w14:paraId="5FC49247" w14:textId="77777777" w:rsidR="002456D3" w:rsidRPr="00DB5887" w:rsidRDefault="002456D3" w:rsidP="007241F4">
      <w:pPr>
        <w:pBdr>
          <w:left w:val="single" w:sz="4" w:space="4" w:color="auto"/>
          <w:right w:val="single" w:sz="4" w:space="4" w:color="auto"/>
        </w:pBdr>
        <w:spacing w:after="100"/>
        <w:ind w:left="782"/>
        <w:jc w:val="left"/>
      </w:pPr>
      <w:r w:rsidRPr="00DB5887">
        <w:t>In this example, the facts of Example 4A apply, except that:</w:t>
      </w:r>
    </w:p>
    <w:p w14:paraId="132C9220" w14:textId="77777777" w:rsidR="002456D3" w:rsidRPr="00DB5887" w:rsidRDefault="002456D3" w:rsidP="007241F4">
      <w:pPr>
        <w:numPr>
          <w:ilvl w:val="0"/>
          <w:numId w:val="27"/>
        </w:numPr>
        <w:pBdr>
          <w:left w:val="single" w:sz="4" w:space="4" w:color="auto"/>
          <w:right w:val="single" w:sz="4" w:space="4" w:color="auto"/>
        </w:pBdr>
        <w:spacing w:after="100"/>
        <w:ind w:left="1142"/>
        <w:contextualSpacing/>
        <w:jc w:val="left"/>
      </w:pPr>
      <w:r w:rsidRPr="00DB5887">
        <w:t>the grant requires Research Institute C to prepare interim and final reports analysing the tracking data obtained;</w:t>
      </w:r>
    </w:p>
    <w:p w14:paraId="2FEE916B" w14:textId="77777777" w:rsidR="002456D3" w:rsidRPr="00DB5887" w:rsidRDefault="002456D3" w:rsidP="007241F4">
      <w:pPr>
        <w:numPr>
          <w:ilvl w:val="0"/>
          <w:numId w:val="27"/>
        </w:numPr>
        <w:pBdr>
          <w:left w:val="single" w:sz="4" w:space="4" w:color="auto"/>
          <w:right w:val="single" w:sz="4" w:space="4" w:color="auto"/>
        </w:pBdr>
        <w:spacing w:after="100"/>
        <w:ind w:left="1142"/>
        <w:contextualSpacing/>
        <w:jc w:val="left"/>
      </w:pPr>
      <w:r w:rsidRPr="00DB5887">
        <w:t>publication of the research data is required at the conclusion of the research, rather than contemporaneously;</w:t>
      </w:r>
    </w:p>
    <w:p w14:paraId="6E4D8DC2" w14:textId="77777777" w:rsidR="002456D3" w:rsidRPr="00DB5887" w:rsidRDefault="002456D3" w:rsidP="007241F4">
      <w:pPr>
        <w:numPr>
          <w:ilvl w:val="0"/>
          <w:numId w:val="27"/>
        </w:numPr>
        <w:pBdr>
          <w:left w:val="single" w:sz="4" w:space="4" w:color="auto"/>
          <w:right w:val="single" w:sz="4" w:space="4" w:color="auto"/>
        </w:pBdr>
        <w:spacing w:after="100"/>
        <w:ind w:left="1142"/>
        <w:contextualSpacing/>
        <w:jc w:val="left"/>
      </w:pPr>
      <w:r w:rsidRPr="00DB5887">
        <w:t>the IP arising from the research is neither transferred to nor licensed to donor M; and</w:t>
      </w:r>
    </w:p>
    <w:p w14:paraId="30444E27" w14:textId="77777777" w:rsidR="002456D3" w:rsidRPr="00DB5887" w:rsidRDefault="002456D3" w:rsidP="007241F4">
      <w:pPr>
        <w:numPr>
          <w:ilvl w:val="0"/>
          <w:numId w:val="27"/>
        </w:numPr>
        <w:pBdr>
          <w:left w:val="single" w:sz="4" w:space="4" w:color="auto"/>
          <w:right w:val="single" w:sz="4" w:space="4" w:color="auto"/>
        </w:pBdr>
        <w:spacing w:after="100"/>
        <w:ind w:left="1139" w:hanging="357"/>
        <w:jc w:val="left"/>
      </w:pPr>
      <w:r w:rsidRPr="00DB5887">
        <w:t>the institute is restricted from readily directing the tracking information and analysis for another use of the institute.</w:t>
      </w:r>
    </w:p>
    <w:p w14:paraId="4776FF9D" w14:textId="77777777" w:rsidR="002456D3" w:rsidRPr="00DB5887" w:rsidRDefault="002456D3" w:rsidP="007241F4">
      <w:pPr>
        <w:pBdr>
          <w:left w:val="single" w:sz="4" w:space="4" w:color="auto"/>
          <w:right w:val="single" w:sz="4" w:space="4" w:color="auto"/>
        </w:pBdr>
        <w:spacing w:after="100"/>
        <w:ind w:left="782"/>
        <w:jc w:val="left"/>
      </w:pPr>
      <w:r w:rsidRPr="00DB5887">
        <w:t>Institute C concludes that the arrangement is a contract with a customer as defined in AASB 15, on the same basis as set out in Example 4A.</w:t>
      </w:r>
    </w:p>
    <w:p w14:paraId="3B3914E2" w14:textId="77777777" w:rsidR="002456D3" w:rsidRPr="00DB5887" w:rsidRDefault="002456D3" w:rsidP="007241F4">
      <w:pPr>
        <w:keepNext/>
        <w:pBdr>
          <w:left w:val="single" w:sz="4" w:space="4" w:color="auto"/>
          <w:right w:val="single" w:sz="4" w:space="4" w:color="auto"/>
        </w:pBdr>
        <w:spacing w:after="100"/>
        <w:ind w:left="782"/>
        <w:jc w:val="left"/>
        <w:rPr>
          <w:u w:val="single"/>
        </w:rPr>
      </w:pPr>
      <w:r w:rsidRPr="00DB5887">
        <w:rPr>
          <w:u w:val="single"/>
        </w:rPr>
        <w:t>Accounting treatment</w:t>
      </w:r>
    </w:p>
    <w:p w14:paraId="17E2FCB1" w14:textId="77777777" w:rsidR="002456D3" w:rsidRPr="00DB5887" w:rsidRDefault="002456D3" w:rsidP="007241F4">
      <w:pPr>
        <w:pBdr>
          <w:left w:val="single" w:sz="4" w:space="4" w:color="auto"/>
          <w:right w:val="single" w:sz="4" w:space="4" w:color="auto"/>
        </w:pBdr>
        <w:spacing w:after="100"/>
        <w:ind w:left="782"/>
        <w:jc w:val="left"/>
      </w:pPr>
      <w:r w:rsidRPr="00DB5887">
        <w:t>In accordance with AASB 15, Institute C allocates the cash grant to its identified performance obligation and recognises the financial asset (cash) and a contract liability of $5.3 million on initial recognition.</w:t>
      </w:r>
    </w:p>
    <w:p w14:paraId="7A04DCED" w14:textId="77777777" w:rsidR="002456D3" w:rsidRPr="00DB5887" w:rsidRDefault="002456D3" w:rsidP="007241F4">
      <w:pPr>
        <w:pBdr>
          <w:left w:val="single" w:sz="4" w:space="4" w:color="auto"/>
          <w:right w:val="single" w:sz="4" w:space="4" w:color="auto"/>
        </w:pBdr>
        <w:spacing w:after="100"/>
        <w:ind w:left="782"/>
        <w:jc w:val="left"/>
      </w:pPr>
      <w:r w:rsidRPr="00DB5887">
        <w:t>Institute C concludes that the donor does not simultaneously receive and consume the benefits of the research services as they are performed</w:t>
      </w:r>
      <w:r w:rsidRPr="00FF7C86">
        <w:rPr>
          <w:u w:val="single"/>
        </w:rPr>
        <w:t xml:space="preserve">, since the research data is not published until the conclusion of the </w:t>
      </w:r>
      <w:r w:rsidRPr="00FF7C86">
        <w:rPr>
          <w:u w:val="single"/>
        </w:rPr>
        <w:lastRenderedPageBreak/>
        <w:t>research</w:t>
      </w:r>
      <w:r>
        <w:t xml:space="preserve">. </w:t>
      </w:r>
      <w:r w:rsidRPr="00FF7C86">
        <w:rPr>
          <w:strike/>
        </w:rPr>
        <w:t>This is on the grounds that another</w:t>
      </w:r>
      <w:r w:rsidRPr="00334E05">
        <w:rPr>
          <w:strike/>
        </w:rPr>
        <w:t xml:space="preserve"> entity would need to substantially re-perform the research completed to date by the institute if that other entity were to fulfil the remaining performance obligation to the donor</w:t>
      </w:r>
      <w:r>
        <w:rPr>
          <w:strike/>
        </w:rPr>
        <w:t xml:space="preserve"> </w:t>
      </w:r>
      <w:r w:rsidRPr="00FF7C86">
        <w:rPr>
          <w:u w:val="single"/>
        </w:rPr>
        <w:t xml:space="preserve">Furthermore, the </w:t>
      </w:r>
      <w:r w:rsidRPr="002065D9">
        <w:rPr>
          <w:u w:val="single"/>
        </w:rPr>
        <w:t xml:space="preserve">performance of the research activities results in </w:t>
      </w:r>
      <w:r>
        <w:rPr>
          <w:u w:val="single"/>
        </w:rPr>
        <w:t xml:space="preserve">the </w:t>
      </w:r>
      <w:r w:rsidRPr="002065D9">
        <w:rPr>
          <w:u w:val="single"/>
        </w:rPr>
        <w:t xml:space="preserve">accumulation of knowledge, which is an asset </w:t>
      </w:r>
      <w:r>
        <w:rPr>
          <w:u w:val="single"/>
        </w:rPr>
        <w:t xml:space="preserve">(whether recognisable or unrecognisable) </w:t>
      </w:r>
      <w:r w:rsidRPr="002065D9">
        <w:rPr>
          <w:u w:val="single"/>
        </w:rPr>
        <w:t>developed by the researcher but not immediately consumed</w:t>
      </w:r>
      <w:r>
        <w:t>.</w:t>
      </w:r>
      <w:r w:rsidRPr="002065D9">
        <w:t xml:space="preserve"> </w:t>
      </w:r>
      <w:r w:rsidRPr="00DB5887">
        <w:t>Therefore, paragraph 35(a) is not satisfied.</w:t>
      </w:r>
    </w:p>
    <w:p w14:paraId="279C6D01" w14:textId="77777777" w:rsidR="002456D3" w:rsidRPr="00DB5887" w:rsidRDefault="002456D3" w:rsidP="007241F4">
      <w:pPr>
        <w:pBdr>
          <w:left w:val="single" w:sz="4" w:space="4" w:color="auto"/>
          <w:right w:val="single" w:sz="4" w:space="4" w:color="auto"/>
        </w:pBdr>
        <w:spacing w:after="100"/>
        <w:ind w:left="782"/>
        <w:jc w:val="left"/>
      </w:pPr>
      <w:r w:rsidRPr="00DB5887">
        <w:t>As the donor does not obtain the IP under the agreement, Institute C determines that its research does not create or enhance an asset that donor M controls as the asset is created or enhanced</w:t>
      </w:r>
      <w:r>
        <w:t xml:space="preserve">. </w:t>
      </w:r>
      <w:r w:rsidRPr="00DB5887">
        <w:t>Therefore, paragraph 35(b) is not satisfied.</w:t>
      </w:r>
    </w:p>
    <w:p w14:paraId="370E9169" w14:textId="77777777" w:rsidR="002456D3" w:rsidRPr="00DB5887" w:rsidRDefault="002456D3" w:rsidP="007241F4">
      <w:pPr>
        <w:pBdr>
          <w:left w:val="single" w:sz="4" w:space="4" w:color="auto"/>
          <w:right w:val="single" w:sz="4" w:space="4" w:color="auto"/>
        </w:pBdr>
        <w:spacing w:after="100"/>
        <w:ind w:left="782"/>
        <w:jc w:val="left"/>
      </w:pPr>
      <w:r w:rsidRPr="00DB5887">
        <w:t>Institute C notes that its research performance does not create an asset with an alternative use to the entity due to the restrictions in the agreement regarding directing the research to another use</w:t>
      </w:r>
      <w:r>
        <w:t xml:space="preserve">. </w:t>
      </w:r>
      <w:r w:rsidRPr="00DB5887">
        <w:t>Institute C also notes that it has an explicit, enforceable right to payment for performance completed</w:t>
      </w:r>
      <w:r>
        <w:t xml:space="preserve">. </w:t>
      </w:r>
      <w:r w:rsidRPr="00DB5887">
        <w:t>Therefore, paragraph 35(c) is satisfied.</w:t>
      </w:r>
    </w:p>
    <w:p w14:paraId="4DEE7A62" w14:textId="072D617F" w:rsidR="002456D3" w:rsidRDefault="002456D3" w:rsidP="007241F4">
      <w:pPr>
        <w:pBdr>
          <w:left w:val="single" w:sz="4" w:space="4" w:color="auto"/>
          <w:right w:val="single" w:sz="4" w:space="4" w:color="auto"/>
        </w:pBdr>
        <w:spacing w:after="100"/>
        <w:ind w:left="782"/>
        <w:jc w:val="left"/>
      </w:pPr>
      <w:r w:rsidRPr="00DB5887">
        <w:t>Accordingly, Institute C concludes that the performance obligation is satisfied over time and recognises revenue over time as it satisfies the performance obligation</w:t>
      </w:r>
      <w:r>
        <w:t xml:space="preserve">. </w:t>
      </w:r>
      <w:r w:rsidRPr="00DB5887">
        <w:t xml:space="preserve">The institute elects to measure progress </w:t>
      </w:r>
      <w:proofErr w:type="gramStart"/>
      <w:r w:rsidRPr="00DB5887">
        <w:t>on the basis of</w:t>
      </w:r>
      <w:proofErr w:type="gramEnd"/>
      <w:r w:rsidRPr="00DB5887">
        <w:t xml:space="preserve"> the amount it would be entitled to receive for its performance to date, which corresponds with the value of the performance to the customer.</w:t>
      </w:r>
    </w:p>
    <w:p w14:paraId="3EC5EAE3" w14:textId="77777777" w:rsidR="00CB3AFF" w:rsidRPr="00962077" w:rsidRDefault="00CB3AFF" w:rsidP="0078217C">
      <w:pPr>
        <w:pBdr>
          <w:left w:val="single" w:sz="4" w:space="4" w:color="auto"/>
          <w:bottom w:val="single" w:sz="4" w:space="1" w:color="auto"/>
          <w:right w:val="single" w:sz="4" w:space="4" w:color="auto"/>
        </w:pBdr>
        <w:spacing w:after="100"/>
        <w:ind w:left="782"/>
        <w:rPr>
          <w:sz w:val="6"/>
          <w:szCs w:val="6"/>
        </w:rPr>
      </w:pPr>
    </w:p>
    <w:bookmarkEnd w:id="17"/>
    <w:p w14:paraId="59EF5E9A" w14:textId="5160D294" w:rsidR="00437A63" w:rsidRPr="00DB5887" w:rsidRDefault="0088002B" w:rsidP="0067595C">
      <w:pPr>
        <w:pStyle w:val="NumPlain1"/>
        <w:spacing w:before="240"/>
      </w:pPr>
      <w:r>
        <w:t>E</w:t>
      </w:r>
      <w:r w:rsidR="00150C4B">
        <w:t>xample</w:t>
      </w:r>
      <w:r>
        <w:t xml:space="preserve"> 4D</w:t>
      </w:r>
      <w:r w:rsidR="00150C4B">
        <w:t xml:space="preserve"> </w:t>
      </w:r>
      <w:r w:rsidR="00AC76B8">
        <w:t xml:space="preserve">is </w:t>
      </w:r>
      <w:r w:rsidR="006170D9">
        <w:t>added</w:t>
      </w:r>
      <w:r w:rsidR="00AC76B8">
        <w:t xml:space="preserve"> to </w:t>
      </w:r>
      <w:r w:rsidR="00437A63">
        <w:t>Illustrative Example 4 in the Australian examples accompanying AASB 15</w:t>
      </w:r>
      <w:r>
        <w:t xml:space="preserve"> as follows</w:t>
      </w:r>
      <w:r w:rsidR="00437A63">
        <w:t>:</w:t>
      </w:r>
    </w:p>
    <w:p w14:paraId="4F0D16C8" w14:textId="77777777" w:rsidR="00437A63" w:rsidRPr="00294712" w:rsidRDefault="00437A63" w:rsidP="007B3CD2">
      <w:pPr>
        <w:keepNext/>
        <w:pBdr>
          <w:top w:val="single" w:sz="4" w:space="5" w:color="auto"/>
          <w:left w:val="single" w:sz="4" w:space="1" w:color="auto"/>
          <w:bottom w:val="single" w:sz="4" w:space="1" w:color="auto"/>
          <w:right w:val="single" w:sz="4" w:space="1" w:color="auto"/>
        </w:pBdr>
        <w:ind w:left="782"/>
        <w:rPr>
          <w:bCs/>
        </w:rPr>
      </w:pPr>
      <w:r w:rsidRPr="00DB5887">
        <w:rPr>
          <w:b/>
        </w:rPr>
        <w:t>Example 4—Research activities—Transfer of research findings</w:t>
      </w:r>
    </w:p>
    <w:p w14:paraId="695D8BF6" w14:textId="71FD2843" w:rsidR="00294712" w:rsidRPr="00294712" w:rsidRDefault="00294712" w:rsidP="007B3CD2">
      <w:pPr>
        <w:keepNext/>
        <w:pBdr>
          <w:left w:val="single" w:sz="4" w:space="1" w:color="auto"/>
          <w:right w:val="single" w:sz="4" w:space="1" w:color="auto"/>
        </w:pBdr>
        <w:spacing w:before="160" w:after="100"/>
        <w:ind w:left="782"/>
        <w:rPr>
          <w:bCs/>
        </w:rPr>
      </w:pPr>
      <w:r w:rsidRPr="00294712">
        <w:rPr>
          <w:bCs/>
        </w:rPr>
        <w:t>…</w:t>
      </w:r>
    </w:p>
    <w:p w14:paraId="442FD285" w14:textId="7C6BC4C0" w:rsidR="00437A63" w:rsidRDefault="00437A63" w:rsidP="00906DB2">
      <w:pPr>
        <w:keepNext/>
        <w:pBdr>
          <w:left w:val="single" w:sz="4" w:space="1" w:color="auto"/>
          <w:right w:val="single" w:sz="4" w:space="1" w:color="auto"/>
        </w:pBdr>
        <w:spacing w:before="160" w:after="100"/>
        <w:ind w:left="782"/>
        <w:jc w:val="left"/>
        <w:rPr>
          <w:b/>
        </w:rPr>
      </w:pPr>
      <w:r w:rsidRPr="00DB5887">
        <w:rPr>
          <w:b/>
        </w:rPr>
        <w:t>Example 4</w:t>
      </w:r>
      <w:r w:rsidR="004540E3">
        <w:rPr>
          <w:b/>
        </w:rPr>
        <w:t>D</w:t>
      </w:r>
      <w:r w:rsidRPr="00DB5887">
        <w:rPr>
          <w:b/>
        </w:rPr>
        <w:t xml:space="preserve"> – Enforceable agreement, sufficiently specific performance obligation, research data only</w:t>
      </w:r>
    </w:p>
    <w:p w14:paraId="3D40FDA2" w14:textId="77DD1A24" w:rsidR="00751AE8" w:rsidRDefault="00680E78" w:rsidP="00906DB2">
      <w:pPr>
        <w:pBdr>
          <w:left w:val="single" w:sz="4" w:space="1" w:color="auto"/>
          <w:bottom w:val="single" w:sz="4" w:space="1" w:color="auto"/>
          <w:right w:val="single" w:sz="4" w:space="1" w:color="auto"/>
        </w:pBdr>
        <w:spacing w:after="100"/>
        <w:ind w:left="782"/>
        <w:jc w:val="left"/>
      </w:pPr>
      <w:r w:rsidRPr="00DB5887">
        <w:t>In this example, the facts of Example 4</w:t>
      </w:r>
      <w:r w:rsidR="00C3256D">
        <w:t>C</w:t>
      </w:r>
      <w:r w:rsidRPr="00DB5887">
        <w:t xml:space="preserve"> apply, except that</w:t>
      </w:r>
      <w:r w:rsidR="00EB1B3E">
        <w:t xml:space="preserve">, rather than </w:t>
      </w:r>
      <w:r w:rsidR="003147E7">
        <w:t xml:space="preserve">requiring </w:t>
      </w:r>
      <w:r w:rsidR="00880D5D">
        <w:t xml:space="preserve">publication of research data </w:t>
      </w:r>
      <w:r w:rsidR="008A1D93">
        <w:t xml:space="preserve">contemporaneously or </w:t>
      </w:r>
      <w:r w:rsidR="008761C3">
        <w:t xml:space="preserve">at </w:t>
      </w:r>
      <w:r w:rsidR="00161788">
        <w:t>the conclusion of the research</w:t>
      </w:r>
      <w:r w:rsidR="008A1D93">
        <w:t xml:space="preserve">, </w:t>
      </w:r>
      <w:r w:rsidR="00751AE8">
        <w:t xml:space="preserve">the grant </w:t>
      </w:r>
      <w:r w:rsidR="004F34BB">
        <w:t xml:space="preserve">agreement </w:t>
      </w:r>
      <w:r w:rsidR="00751AE8">
        <w:t xml:space="preserve">refers to the </w:t>
      </w:r>
      <w:r w:rsidR="005F10FE">
        <w:t>institute</w:t>
      </w:r>
      <w:r w:rsidR="00751AE8">
        <w:t xml:space="preserve">’s policy that requires the de-identified research findings (including data) </w:t>
      </w:r>
      <w:r w:rsidR="005076AB">
        <w:t>to be</w:t>
      </w:r>
      <w:r w:rsidR="00751AE8">
        <w:t xml:space="preserve"> made available to the donor and authorised third parties periodically (eg at least annually at the end of each year).</w:t>
      </w:r>
      <w:r w:rsidR="00C03C13" w:rsidRPr="00EA3321">
        <w:rPr>
          <w:vertAlign w:val="superscript"/>
        </w:rPr>
        <w:t>a</w:t>
      </w:r>
    </w:p>
    <w:p w14:paraId="014F136F" w14:textId="77777777" w:rsidR="00751AE8" w:rsidRDefault="00751AE8" w:rsidP="00906DB2">
      <w:pPr>
        <w:pBdr>
          <w:left w:val="single" w:sz="4" w:space="1" w:color="auto"/>
          <w:bottom w:val="single" w:sz="4" w:space="1" w:color="auto"/>
          <w:right w:val="single" w:sz="4" w:space="1" w:color="auto"/>
        </w:pBdr>
        <w:spacing w:after="100"/>
        <w:ind w:left="782"/>
        <w:jc w:val="left"/>
      </w:pPr>
      <w:r>
        <w:t>Institute C concludes that the arrangement is a contract with a customer as defined in AASB 15 on the basis that:</w:t>
      </w:r>
    </w:p>
    <w:p w14:paraId="51A94C29" w14:textId="08F35C1F" w:rsidR="00751AE8" w:rsidRPr="00751AE8" w:rsidRDefault="00751AE8" w:rsidP="00906DB2">
      <w:pPr>
        <w:pStyle w:val="ListParagraph"/>
        <w:numPr>
          <w:ilvl w:val="0"/>
          <w:numId w:val="29"/>
        </w:numPr>
        <w:pBdr>
          <w:left w:val="single" w:sz="4" w:space="1" w:color="auto"/>
          <w:bottom w:val="single" w:sz="4" w:space="1" w:color="auto"/>
          <w:right w:val="single" w:sz="4" w:space="1" w:color="auto"/>
        </w:pBdr>
        <w:spacing w:after="100"/>
        <w:rPr>
          <w:sz w:val="19"/>
          <w:szCs w:val="19"/>
        </w:rPr>
      </w:pPr>
      <w:r w:rsidRPr="00751AE8">
        <w:rPr>
          <w:sz w:val="19"/>
          <w:szCs w:val="19"/>
        </w:rPr>
        <w:t xml:space="preserve">Institute C’s promise of specified research </w:t>
      </w:r>
      <w:r w:rsidR="003B061B">
        <w:rPr>
          <w:sz w:val="19"/>
          <w:szCs w:val="19"/>
        </w:rPr>
        <w:t>and</w:t>
      </w:r>
      <w:r w:rsidRPr="00751AE8">
        <w:rPr>
          <w:sz w:val="19"/>
          <w:szCs w:val="19"/>
        </w:rPr>
        <w:t xml:space="preserve"> making available the de-identified research findings is enforceable as the grant is refundable if the research is not undertaken; and</w:t>
      </w:r>
    </w:p>
    <w:p w14:paraId="66DB9BA2" w14:textId="2FD908EA" w:rsidR="00751AE8" w:rsidRPr="00751AE8" w:rsidRDefault="00751AE8" w:rsidP="00906DB2">
      <w:pPr>
        <w:pStyle w:val="ListParagraph"/>
        <w:numPr>
          <w:ilvl w:val="0"/>
          <w:numId w:val="29"/>
        </w:numPr>
        <w:pBdr>
          <w:left w:val="single" w:sz="4" w:space="1" w:color="auto"/>
          <w:bottom w:val="single" w:sz="4" w:space="1" w:color="auto"/>
          <w:right w:val="single" w:sz="4" w:space="1" w:color="auto"/>
        </w:pBdr>
        <w:spacing w:after="100"/>
        <w:rPr>
          <w:sz w:val="19"/>
          <w:szCs w:val="19"/>
        </w:rPr>
      </w:pPr>
      <w:r w:rsidRPr="00751AE8">
        <w:rPr>
          <w:sz w:val="19"/>
          <w:szCs w:val="19"/>
        </w:rPr>
        <w:t xml:space="preserve">the </w:t>
      </w:r>
      <w:r w:rsidR="00383164">
        <w:rPr>
          <w:sz w:val="19"/>
          <w:szCs w:val="19"/>
        </w:rPr>
        <w:t>i</w:t>
      </w:r>
      <w:r w:rsidRPr="00751AE8">
        <w:rPr>
          <w:sz w:val="19"/>
          <w:szCs w:val="19"/>
        </w:rPr>
        <w:t xml:space="preserve">nstitute identifies its promises to make available de-identified research findings periodically as sufficiently specific promises as they are separate performance obligations each satisfied at a point in time, representing discrete transfers of the research </w:t>
      </w:r>
      <w:r w:rsidR="00470831">
        <w:rPr>
          <w:sz w:val="19"/>
          <w:szCs w:val="19"/>
        </w:rPr>
        <w:t xml:space="preserve">findings </w:t>
      </w:r>
      <w:r w:rsidRPr="00751AE8">
        <w:rPr>
          <w:sz w:val="19"/>
          <w:szCs w:val="19"/>
        </w:rPr>
        <w:t>to the donor or third-party beneficiaries. The promises are sufficiently specific on the basis that the policies attached to the research grant specify the nature of the material (de-identified research findings (including data)) to be made available and a timeframe for that to occur (</w:t>
      </w:r>
      <w:proofErr w:type="spellStart"/>
      <w:r w:rsidR="00562045" w:rsidRPr="00751AE8">
        <w:rPr>
          <w:sz w:val="19"/>
          <w:szCs w:val="19"/>
        </w:rPr>
        <w:t>ie</w:t>
      </w:r>
      <w:proofErr w:type="spellEnd"/>
      <w:r w:rsidRPr="00751AE8">
        <w:rPr>
          <w:sz w:val="19"/>
          <w:szCs w:val="19"/>
        </w:rPr>
        <w:t xml:space="preserve"> making the research findings available periodically, at least at the end of each of the three years). The terms of the grant require the institute to make the research findings available to the donor and third parties as set out in its policy, </w:t>
      </w:r>
      <w:r w:rsidR="00D90E36">
        <w:rPr>
          <w:sz w:val="19"/>
          <w:szCs w:val="19"/>
        </w:rPr>
        <w:t xml:space="preserve">regardless of </w:t>
      </w:r>
      <w:r w:rsidRPr="00751AE8">
        <w:rPr>
          <w:sz w:val="19"/>
          <w:szCs w:val="19"/>
        </w:rPr>
        <w:t xml:space="preserve">whether the donor or third parties </w:t>
      </w:r>
      <w:proofErr w:type="gramStart"/>
      <w:r w:rsidRPr="00751AE8">
        <w:rPr>
          <w:sz w:val="19"/>
          <w:szCs w:val="19"/>
        </w:rPr>
        <w:t>actually access</w:t>
      </w:r>
      <w:proofErr w:type="gramEnd"/>
      <w:r w:rsidRPr="00751AE8">
        <w:rPr>
          <w:sz w:val="19"/>
          <w:szCs w:val="19"/>
        </w:rPr>
        <w:t xml:space="preserve"> the findings.</w:t>
      </w:r>
    </w:p>
    <w:p w14:paraId="11EE79E2" w14:textId="77777777" w:rsidR="00751AE8" w:rsidRPr="00505839" w:rsidRDefault="00751AE8" w:rsidP="00906DB2">
      <w:pPr>
        <w:pBdr>
          <w:left w:val="single" w:sz="4" w:space="1" w:color="auto"/>
          <w:bottom w:val="single" w:sz="4" w:space="1" w:color="auto"/>
          <w:right w:val="single" w:sz="4" w:space="1" w:color="auto"/>
        </w:pBdr>
        <w:spacing w:after="100"/>
        <w:ind w:left="782"/>
        <w:jc w:val="left"/>
        <w:rPr>
          <w:u w:val="single"/>
        </w:rPr>
      </w:pPr>
      <w:r w:rsidRPr="00505839">
        <w:rPr>
          <w:u w:val="single"/>
        </w:rPr>
        <w:t>Accounting treatment</w:t>
      </w:r>
    </w:p>
    <w:p w14:paraId="04C69963" w14:textId="77777777" w:rsidR="00751AE8" w:rsidRDefault="00751AE8" w:rsidP="00906DB2">
      <w:pPr>
        <w:pBdr>
          <w:left w:val="single" w:sz="4" w:space="1" w:color="auto"/>
          <w:bottom w:val="single" w:sz="4" w:space="1" w:color="auto"/>
          <w:right w:val="single" w:sz="4" w:space="1" w:color="auto"/>
        </w:pBdr>
        <w:spacing w:after="100"/>
        <w:ind w:left="782"/>
        <w:jc w:val="left"/>
      </w:pPr>
      <w:r>
        <w:t>In accordance with AASB 15, Institute C allocates the cash grant to its identified performance obligations and recognises the financial asset (cash) and a contract liability of $5.3 million on initial recognition.</w:t>
      </w:r>
    </w:p>
    <w:p w14:paraId="51F72CFA" w14:textId="77777777" w:rsidR="00751AE8" w:rsidRDefault="00751AE8" w:rsidP="00906DB2">
      <w:pPr>
        <w:pBdr>
          <w:left w:val="single" w:sz="4" w:space="1" w:color="auto"/>
          <w:bottom w:val="single" w:sz="4" w:space="1" w:color="auto"/>
          <w:right w:val="single" w:sz="4" w:space="1" w:color="auto"/>
        </w:pBdr>
        <w:spacing w:after="100"/>
        <w:ind w:left="782"/>
        <w:jc w:val="left"/>
      </w:pPr>
      <w:r>
        <w:t>Institute C concludes that for each of the performance obligations, the donor does not simultaneously receive and consume the benefits of the research services as they are performed. This is on the grounds that performance of the research activities results in the accumulation of knowledge, an asset (whether recognisable or unrecognisable) that is not immediately consumed. Therefore, paragraph 35(a) is not satisfied.</w:t>
      </w:r>
    </w:p>
    <w:p w14:paraId="12854DA3" w14:textId="5A1F4507" w:rsidR="00751AE8" w:rsidRDefault="00751AE8" w:rsidP="00906DB2">
      <w:pPr>
        <w:pBdr>
          <w:left w:val="single" w:sz="4" w:space="1" w:color="auto"/>
          <w:bottom w:val="single" w:sz="4" w:space="1" w:color="auto"/>
          <w:right w:val="single" w:sz="4" w:space="1" w:color="auto"/>
        </w:pBdr>
        <w:spacing w:after="100"/>
        <w:ind w:left="782"/>
        <w:jc w:val="left"/>
      </w:pPr>
      <w:r>
        <w:t xml:space="preserve">The donor does not obtain the IP under the agreement, nor does the donor control the knowledge accumulated as research activities are carried out. As a result, Institute C determines that its research does not create or enhance an asset that the donor </w:t>
      </w:r>
      <w:r w:rsidR="0080107B">
        <w:t xml:space="preserve">M </w:t>
      </w:r>
      <w:r>
        <w:t>controls as the asset is created or enhanced. Therefore, paragraph 35(b) is not satisfied.</w:t>
      </w:r>
    </w:p>
    <w:p w14:paraId="1F001F63" w14:textId="77777777" w:rsidR="00751AE8" w:rsidRDefault="00751AE8" w:rsidP="00906DB2">
      <w:pPr>
        <w:pBdr>
          <w:left w:val="single" w:sz="4" w:space="1" w:color="auto"/>
          <w:bottom w:val="single" w:sz="4" w:space="1" w:color="auto"/>
          <w:right w:val="single" w:sz="4" w:space="1" w:color="auto"/>
        </w:pBdr>
        <w:spacing w:after="100"/>
        <w:ind w:left="782"/>
        <w:jc w:val="left"/>
      </w:pPr>
      <w:r>
        <w:t xml:space="preserve">Moreover, the institute notes that it </w:t>
      </w:r>
      <w:proofErr w:type="gramStart"/>
      <w:r>
        <w:t>is able to</w:t>
      </w:r>
      <w:proofErr w:type="gramEnd"/>
      <w:r>
        <w:t xml:space="preserve"> utilise the research it performs for any other use it determines. This is on the grounds that the institute has no contractual or practical limitation on its use of the research, including having the ability to sell the research to another party. Therefore, the institute’s performance does create an asset with an alternative use to the entity, and paragraph 35(c) is not satisfied. </w:t>
      </w:r>
    </w:p>
    <w:p w14:paraId="62ED3DD7" w14:textId="601C0985" w:rsidR="00751AE8" w:rsidRDefault="00751AE8" w:rsidP="00906DB2">
      <w:pPr>
        <w:pBdr>
          <w:left w:val="single" w:sz="4" w:space="1" w:color="auto"/>
          <w:bottom w:val="single" w:sz="4" w:space="1" w:color="auto"/>
          <w:right w:val="single" w:sz="4" w:space="1" w:color="auto"/>
        </w:pBdr>
        <w:spacing w:after="100"/>
        <w:ind w:left="782"/>
        <w:jc w:val="left"/>
      </w:pPr>
      <w:r>
        <w:lastRenderedPageBreak/>
        <w:t xml:space="preserve">Accordingly, Institute C concludes that </w:t>
      </w:r>
      <w:r w:rsidR="00F941DE">
        <w:t>each</w:t>
      </w:r>
      <w:r>
        <w:t xml:space="preserve"> performance obligation</w:t>
      </w:r>
      <w:r w:rsidR="00F941DE">
        <w:t xml:space="preserve"> is</w:t>
      </w:r>
      <w:r>
        <w:t xml:space="preserve"> satisfied at a point in time (eg the end of each year</w:t>
      </w:r>
      <w:r w:rsidR="0080107B">
        <w:t>)</w:t>
      </w:r>
      <w:r>
        <w:t xml:space="preserve"> when the research findings to date are made available</w:t>
      </w:r>
      <w:r w:rsidR="0007743D">
        <w:t>, whether or not the donor or third parties access the findings</w:t>
      </w:r>
      <w:r w:rsidR="003278E3">
        <w:t>,</w:t>
      </w:r>
      <w:r>
        <w:t xml:space="preserve"> and recognises the related revenue at th</w:t>
      </w:r>
      <w:r w:rsidR="00A3186A">
        <w:t>ose</w:t>
      </w:r>
      <w:r>
        <w:t xml:space="preserve"> point</w:t>
      </w:r>
      <w:r w:rsidR="00BD402A">
        <w:t>s</w:t>
      </w:r>
      <w:r>
        <w:t xml:space="preserve"> in time (eg the end of each year).</w:t>
      </w:r>
    </w:p>
    <w:p w14:paraId="1B7D8A64" w14:textId="53F74408" w:rsidR="000202E2" w:rsidRPr="000202E2" w:rsidRDefault="000202E2" w:rsidP="00C44C4A">
      <w:pPr>
        <w:pBdr>
          <w:left w:val="single" w:sz="4" w:space="1" w:color="auto"/>
          <w:bottom w:val="single" w:sz="4" w:space="1" w:color="auto"/>
          <w:right w:val="single" w:sz="4" w:space="1" w:color="auto"/>
        </w:pBdr>
        <w:spacing w:after="100"/>
        <w:ind w:left="1151" w:hanging="369"/>
        <w:jc w:val="left"/>
        <w:rPr>
          <w:sz w:val="16"/>
          <w:szCs w:val="16"/>
        </w:rPr>
      </w:pPr>
      <w:proofErr w:type="spellStart"/>
      <w:r w:rsidRPr="000202E2">
        <w:rPr>
          <w:sz w:val="16"/>
          <w:szCs w:val="16"/>
        </w:rPr>
        <w:t>a</w:t>
      </w:r>
      <w:proofErr w:type="spellEnd"/>
      <w:r w:rsidRPr="000202E2">
        <w:rPr>
          <w:sz w:val="16"/>
          <w:szCs w:val="16"/>
        </w:rPr>
        <w:tab/>
      </w:r>
      <w:r w:rsidR="00C44C4A" w:rsidRPr="00C44C4A">
        <w:rPr>
          <w:sz w:val="16"/>
          <w:szCs w:val="16"/>
        </w:rPr>
        <w:t xml:space="preserve">Alternatively, where the grant agreement does not explicitly refer to the </w:t>
      </w:r>
      <w:r w:rsidR="004E7581">
        <w:rPr>
          <w:sz w:val="16"/>
          <w:szCs w:val="16"/>
        </w:rPr>
        <w:t>institute</w:t>
      </w:r>
      <w:r w:rsidR="00C67B4C">
        <w:rPr>
          <w:sz w:val="16"/>
          <w:szCs w:val="16"/>
        </w:rPr>
        <w:t>’s</w:t>
      </w:r>
      <w:r w:rsidR="00C44C4A" w:rsidRPr="00C44C4A">
        <w:rPr>
          <w:sz w:val="16"/>
          <w:szCs w:val="16"/>
        </w:rPr>
        <w:t xml:space="preserve"> policy, provided the</w:t>
      </w:r>
      <w:r w:rsidR="00C44C4A">
        <w:rPr>
          <w:sz w:val="16"/>
          <w:szCs w:val="16"/>
        </w:rPr>
        <w:t xml:space="preserve"> </w:t>
      </w:r>
      <w:r w:rsidR="00C44C4A" w:rsidRPr="00C44C4A">
        <w:rPr>
          <w:sz w:val="16"/>
          <w:szCs w:val="16"/>
        </w:rPr>
        <w:t>donor</w:t>
      </w:r>
      <w:r w:rsidR="00BD1A8B">
        <w:rPr>
          <w:sz w:val="16"/>
          <w:szCs w:val="16"/>
        </w:rPr>
        <w:t xml:space="preserve"> is</w:t>
      </w:r>
      <w:r w:rsidR="00C44C4A" w:rsidRPr="00C44C4A">
        <w:rPr>
          <w:sz w:val="16"/>
          <w:szCs w:val="16"/>
        </w:rPr>
        <w:t xml:space="preserve"> aware of this policy, the </w:t>
      </w:r>
      <w:r w:rsidR="006E02D0">
        <w:rPr>
          <w:sz w:val="16"/>
          <w:szCs w:val="16"/>
        </w:rPr>
        <w:t>institute</w:t>
      </w:r>
      <w:r w:rsidR="006E02D0" w:rsidRPr="00C44C4A">
        <w:rPr>
          <w:sz w:val="16"/>
          <w:szCs w:val="16"/>
        </w:rPr>
        <w:t xml:space="preserve">’s </w:t>
      </w:r>
      <w:r w:rsidR="00C44C4A" w:rsidRPr="00C44C4A">
        <w:rPr>
          <w:sz w:val="16"/>
          <w:szCs w:val="16"/>
        </w:rPr>
        <w:t>past practice of making de-identified research findings</w:t>
      </w:r>
      <w:r w:rsidR="00C44C4A">
        <w:rPr>
          <w:sz w:val="16"/>
          <w:szCs w:val="16"/>
        </w:rPr>
        <w:t xml:space="preserve"> </w:t>
      </w:r>
      <w:r w:rsidR="00C44C4A" w:rsidRPr="00C44C4A">
        <w:rPr>
          <w:sz w:val="16"/>
          <w:szCs w:val="16"/>
        </w:rPr>
        <w:t>available at least annually to donors and authorised third parties in accordance with its policy may create</w:t>
      </w:r>
      <w:r w:rsidR="00C44C4A">
        <w:rPr>
          <w:sz w:val="16"/>
          <w:szCs w:val="16"/>
        </w:rPr>
        <w:t xml:space="preserve"> </w:t>
      </w:r>
      <w:r w:rsidR="00C44C4A" w:rsidRPr="00C44C4A">
        <w:rPr>
          <w:sz w:val="16"/>
          <w:szCs w:val="16"/>
        </w:rPr>
        <w:t>a valid expectation that the research findings will be made available. In this case, the implicit promises to</w:t>
      </w:r>
      <w:r w:rsidR="00C44C4A">
        <w:rPr>
          <w:sz w:val="16"/>
          <w:szCs w:val="16"/>
        </w:rPr>
        <w:t xml:space="preserve"> </w:t>
      </w:r>
      <w:r w:rsidR="00C44C4A" w:rsidRPr="00C44C4A">
        <w:rPr>
          <w:sz w:val="16"/>
          <w:szCs w:val="16"/>
        </w:rPr>
        <w:t>make available de-identified research findings periodically would be treated as part of the grant terms</w:t>
      </w:r>
      <w:r w:rsidR="00C44C4A">
        <w:rPr>
          <w:sz w:val="16"/>
          <w:szCs w:val="16"/>
        </w:rPr>
        <w:t>.</w:t>
      </w:r>
      <w:r w:rsidR="006E02D0">
        <w:rPr>
          <w:sz w:val="16"/>
          <w:szCs w:val="16"/>
        </w:rPr>
        <w:t xml:space="preserve"> </w:t>
      </w:r>
      <w:r w:rsidR="008227DE">
        <w:rPr>
          <w:sz w:val="16"/>
          <w:szCs w:val="16"/>
        </w:rPr>
        <w:t>[</w:t>
      </w:r>
      <w:r w:rsidR="006E02D0">
        <w:rPr>
          <w:sz w:val="16"/>
          <w:szCs w:val="16"/>
        </w:rPr>
        <w:t xml:space="preserve">The grant agreement could </w:t>
      </w:r>
      <w:r w:rsidR="00746BF2">
        <w:rPr>
          <w:sz w:val="16"/>
          <w:szCs w:val="16"/>
        </w:rPr>
        <w:t xml:space="preserve">instead </w:t>
      </w:r>
      <w:r w:rsidR="006E02D0">
        <w:rPr>
          <w:sz w:val="16"/>
          <w:szCs w:val="16"/>
        </w:rPr>
        <w:t xml:space="preserve">refer explicitly to the making available of research findings, so that reference to </w:t>
      </w:r>
      <w:r w:rsidR="0084574E">
        <w:rPr>
          <w:sz w:val="16"/>
          <w:szCs w:val="16"/>
        </w:rPr>
        <w:t>a policy of the institute would not be necessary.</w:t>
      </w:r>
      <w:r w:rsidR="008227DE">
        <w:rPr>
          <w:sz w:val="16"/>
          <w:szCs w:val="16"/>
        </w:rPr>
        <w:t>]</w:t>
      </w:r>
    </w:p>
    <w:p w14:paraId="7059F746" w14:textId="342895FE" w:rsidR="004A3747" w:rsidRDefault="004A3747">
      <w:pPr>
        <w:pStyle w:val="Heading2"/>
      </w:pPr>
      <w:r>
        <w:t>Commencement of the legislative instrument</w:t>
      </w:r>
    </w:p>
    <w:p w14:paraId="2B347C28" w14:textId="7F557FE2" w:rsidR="000D582D" w:rsidRDefault="004A3747" w:rsidP="00074CB7">
      <w:pPr>
        <w:pStyle w:val="NumBold1"/>
        <w:tabs>
          <w:tab w:val="left" w:pos="783"/>
        </w:tabs>
        <w:jc w:val="left"/>
      </w:pPr>
      <w:r w:rsidRPr="00273B7F">
        <w:rPr>
          <w:b w:val="0"/>
        </w:rPr>
        <w:t xml:space="preserve">For legal purposes, this legislative instrument commences on </w:t>
      </w:r>
      <w:bookmarkStart w:id="18" w:name="CommenceDate"/>
      <w:r w:rsidR="00590221">
        <w:rPr>
          <w:b w:val="0"/>
        </w:rPr>
        <w:t>3</w:t>
      </w:r>
      <w:r w:rsidR="00BD402A">
        <w:rPr>
          <w:b w:val="0"/>
        </w:rPr>
        <w:t>1</w:t>
      </w:r>
      <w:r w:rsidR="00590221">
        <w:rPr>
          <w:b w:val="0"/>
        </w:rPr>
        <w:t xml:space="preserve"> </w:t>
      </w:r>
      <w:r w:rsidR="00144659">
        <w:rPr>
          <w:b w:val="0"/>
        </w:rPr>
        <w:t>December</w:t>
      </w:r>
      <w:r w:rsidRPr="00273B7F">
        <w:rPr>
          <w:b w:val="0"/>
        </w:rPr>
        <w:t xml:space="preserve"> 20</w:t>
      </w:r>
      <w:r w:rsidR="0025497B">
        <w:rPr>
          <w:b w:val="0"/>
        </w:rPr>
        <w:t>19</w:t>
      </w:r>
      <w:bookmarkEnd w:id="18"/>
      <w:r w:rsidRPr="00273B7F">
        <w:rPr>
          <w:b w:val="0"/>
        </w:rPr>
        <w:t>.</w:t>
      </w:r>
    </w:p>
    <w:p w14:paraId="68F67986" w14:textId="5AF1AD55" w:rsidR="004D5AD1" w:rsidRPr="000D582D" w:rsidRDefault="004D5AD1" w:rsidP="000D582D">
      <w:pPr>
        <w:tabs>
          <w:tab w:val="left" w:pos="783"/>
        </w:tabs>
        <w:sectPr w:rsidR="004D5AD1" w:rsidRPr="000D582D" w:rsidSect="00D74C6A">
          <w:footerReference w:type="default" r:id="rId15"/>
          <w:pgSz w:w="11907" w:h="16840" w:code="9"/>
          <w:pgMar w:top="1418" w:right="1418" w:bottom="1418" w:left="1418" w:header="709" w:footer="709" w:gutter="0"/>
          <w:paperSrc w:first="7" w:other="7"/>
          <w:cols w:space="720"/>
          <w:docGrid w:linePitch="65"/>
        </w:sectPr>
      </w:pPr>
    </w:p>
    <w:p w14:paraId="0C911E97" w14:textId="77777777" w:rsidR="004D5AD1" w:rsidRPr="00766E15" w:rsidRDefault="004D5AD1" w:rsidP="004D5AD1">
      <w:pPr>
        <w:pStyle w:val="ConvSectionTitle"/>
        <w:jc w:val="both"/>
      </w:pPr>
      <w:r w:rsidRPr="00766E15">
        <w:lastRenderedPageBreak/>
        <w:t xml:space="preserve">Basis for Conclusions </w:t>
      </w:r>
    </w:p>
    <w:p w14:paraId="364F3B88" w14:textId="579699F9" w:rsidR="004D5AD1" w:rsidRPr="002A1087" w:rsidRDefault="004D5AD1" w:rsidP="004D5AD1">
      <w:pPr>
        <w:pStyle w:val="AppendixNote"/>
        <w:spacing w:after="100"/>
        <w:rPr>
          <w:i w:val="0"/>
        </w:rPr>
      </w:pPr>
      <w:r w:rsidRPr="00766E15">
        <w:t xml:space="preserve">This Basis for Conclusions accompanies, but is not part of, </w:t>
      </w:r>
      <w:r w:rsidRPr="003123C4">
        <w:rPr>
          <w:iCs w:val="0"/>
        </w:rPr>
        <w:t>AASB </w:t>
      </w:r>
      <w:r w:rsidR="009925DF" w:rsidRPr="003123C4">
        <w:rPr>
          <w:iCs w:val="0"/>
        </w:rPr>
        <w:fldChar w:fldCharType="begin"/>
      </w:r>
      <w:r w:rsidR="009925DF" w:rsidRPr="003123C4">
        <w:rPr>
          <w:iCs w:val="0"/>
        </w:rPr>
        <w:instrText xml:space="preserve"> REF \* charformat DocNo </w:instrText>
      </w:r>
      <w:r w:rsidR="00261E7F" w:rsidRPr="003123C4">
        <w:rPr>
          <w:iCs w:val="0"/>
        </w:rPr>
        <w:instrText xml:space="preserve"> \* MERGEFORMAT </w:instrText>
      </w:r>
      <w:r w:rsidR="009925DF" w:rsidRPr="003123C4">
        <w:rPr>
          <w:iCs w:val="0"/>
        </w:rPr>
        <w:fldChar w:fldCharType="separate"/>
      </w:r>
      <w:r w:rsidR="00B22969" w:rsidRPr="00B22969">
        <w:rPr>
          <w:iCs w:val="0"/>
        </w:rPr>
        <w:t>2019-6</w:t>
      </w:r>
      <w:r w:rsidR="009925DF" w:rsidRPr="003123C4">
        <w:rPr>
          <w:iCs w:val="0"/>
        </w:rPr>
        <w:fldChar w:fldCharType="end"/>
      </w:r>
      <w:r w:rsidR="000E6D94">
        <w:rPr>
          <w:iCs w:val="0"/>
        </w:rPr>
        <w:t xml:space="preserve"> </w:t>
      </w:r>
      <w:r w:rsidR="002A1087" w:rsidRPr="002A1087">
        <w:rPr>
          <w:i w:val="0"/>
        </w:rPr>
        <w:t>Amen</w:t>
      </w:r>
      <w:r w:rsidR="002A1087">
        <w:rPr>
          <w:i w:val="0"/>
        </w:rPr>
        <w:t>dments to Australian Accounting Standards – Research Grant</w:t>
      </w:r>
      <w:r w:rsidR="00350383">
        <w:rPr>
          <w:i w:val="0"/>
        </w:rPr>
        <w:t>s</w:t>
      </w:r>
      <w:r w:rsidR="002A1087">
        <w:rPr>
          <w:i w:val="0"/>
        </w:rPr>
        <w:t xml:space="preserve"> and Not-for-Profit Entities</w:t>
      </w:r>
      <w:r w:rsidRPr="002A1087">
        <w:rPr>
          <w:i w:val="0"/>
        </w:rPr>
        <w:t>.</w:t>
      </w:r>
    </w:p>
    <w:p w14:paraId="18AB9E7C" w14:textId="77777777" w:rsidR="004D5AD1" w:rsidRPr="00766E15" w:rsidRDefault="004D5AD1" w:rsidP="004D5AD1">
      <w:pPr>
        <w:pStyle w:val="IASBSectionTitle1NonInd"/>
        <w:jc w:val="both"/>
      </w:pPr>
      <w:r w:rsidRPr="00766E15">
        <w:t>Introduction</w:t>
      </w:r>
    </w:p>
    <w:p w14:paraId="0AEBB8DE" w14:textId="77777777" w:rsidR="004D5AD1" w:rsidRPr="00766E15" w:rsidRDefault="004D5AD1" w:rsidP="004D5AD1">
      <w:pPr>
        <w:pStyle w:val="NumBC1"/>
        <w:numPr>
          <w:ilvl w:val="0"/>
          <w:numId w:val="24"/>
        </w:numPr>
        <w:spacing w:before="0"/>
      </w:pPr>
      <w:r w:rsidRPr="00766E15">
        <w:t xml:space="preserve">This Basis for Conclusions summarises the Australian Accounting Standards Board’s considerations in reaching the conclusions </w:t>
      </w:r>
      <w:r>
        <w:t>i</w:t>
      </w:r>
      <w:r w:rsidRPr="00766E15">
        <w:t xml:space="preserve">n this </w:t>
      </w:r>
      <w:r>
        <w:t>Standard</w:t>
      </w:r>
      <w:r w:rsidRPr="00766E15">
        <w:t xml:space="preserve">.  It sets out the reasons why the Board developed the </w:t>
      </w:r>
      <w:r>
        <w:t>Standard</w:t>
      </w:r>
      <w:r w:rsidRPr="00766E15">
        <w:t xml:space="preserve">, the approach taken to developing the </w:t>
      </w:r>
      <w:r>
        <w:t>Standard</w:t>
      </w:r>
      <w:r w:rsidRPr="00766E15">
        <w:t xml:space="preserve"> and the key decisions made.  In making decisions, individual Board members gave greater weight to some factors than to others. </w:t>
      </w:r>
    </w:p>
    <w:p w14:paraId="101FCA82" w14:textId="66FB07E4" w:rsidR="004D5AD1" w:rsidRPr="00766E15" w:rsidRDefault="00B2625E" w:rsidP="004D5AD1">
      <w:pPr>
        <w:pStyle w:val="IASBSectionTitle1NonInd"/>
        <w:jc w:val="both"/>
        <w:rPr>
          <w:iCs/>
        </w:rPr>
      </w:pPr>
      <w:r>
        <w:t xml:space="preserve">Research </w:t>
      </w:r>
      <w:r w:rsidR="00F86727">
        <w:t>grant examples</w:t>
      </w:r>
    </w:p>
    <w:p w14:paraId="2EA896FF" w14:textId="792E6CED" w:rsidR="00534E7B" w:rsidRPr="00543DC6" w:rsidRDefault="00534E7B" w:rsidP="00ED25DD">
      <w:pPr>
        <w:pStyle w:val="NoNumPlain1"/>
        <w:numPr>
          <w:ilvl w:val="0"/>
          <w:numId w:val="24"/>
        </w:numPr>
      </w:pPr>
      <w:r w:rsidRPr="00543DC6">
        <w:t xml:space="preserve">The </w:t>
      </w:r>
      <w:r w:rsidR="00741B1B" w:rsidRPr="00543DC6">
        <w:t xml:space="preserve">Board </w:t>
      </w:r>
      <w:r w:rsidR="003B106D" w:rsidRPr="00543DC6">
        <w:t xml:space="preserve">became aware of different interpretations of how paragraph 35(a) </w:t>
      </w:r>
      <w:r w:rsidR="009B3D91" w:rsidRPr="00543DC6">
        <w:t xml:space="preserve">of AASB 15 </w:t>
      </w:r>
      <w:r w:rsidR="003123C4" w:rsidRPr="003123C4">
        <w:rPr>
          <w:i/>
        </w:rPr>
        <w:t>Revenue from Contracts with Customers</w:t>
      </w:r>
      <w:r w:rsidR="003123C4">
        <w:t xml:space="preserve"> </w:t>
      </w:r>
      <w:r w:rsidR="0054287B" w:rsidRPr="00543DC6">
        <w:t xml:space="preserve">applies </w:t>
      </w:r>
      <w:r w:rsidR="003123C4">
        <w:t xml:space="preserve">in the case of research grants </w:t>
      </w:r>
      <w:r w:rsidR="0054287B" w:rsidRPr="00543DC6">
        <w:t xml:space="preserve">and </w:t>
      </w:r>
      <w:r w:rsidR="00ED25DD">
        <w:t>decided</w:t>
      </w:r>
      <w:r w:rsidR="0054287B" w:rsidRPr="00543DC6">
        <w:t xml:space="preserve"> that </w:t>
      </w:r>
      <w:r w:rsidR="00801353">
        <w:t>the</w:t>
      </w:r>
      <w:r w:rsidR="00801353" w:rsidRPr="00543DC6">
        <w:t xml:space="preserve"> </w:t>
      </w:r>
      <w:r w:rsidR="0054287B" w:rsidRPr="00543DC6">
        <w:t xml:space="preserve">analysis </w:t>
      </w:r>
      <w:r w:rsidR="00643124">
        <w:t>in</w:t>
      </w:r>
      <w:r w:rsidR="00643124" w:rsidRPr="00543DC6">
        <w:t xml:space="preserve"> </w:t>
      </w:r>
      <w:r w:rsidR="0054287B" w:rsidRPr="00543DC6">
        <w:t xml:space="preserve">the Illustrative Examples </w:t>
      </w:r>
      <w:r w:rsidR="00ED25DD">
        <w:t xml:space="preserve">accompanying the Standard </w:t>
      </w:r>
      <w:r w:rsidR="0054287B" w:rsidRPr="00543DC6">
        <w:t xml:space="preserve">did not fully explain how to apply </w:t>
      </w:r>
      <w:r w:rsidR="00CB3AFF">
        <w:t>the</w:t>
      </w:r>
      <w:r w:rsidR="0054287B" w:rsidRPr="00543DC6">
        <w:t xml:space="preserve"> paragraph. </w:t>
      </w:r>
      <w:r w:rsidR="00ED25DD" w:rsidRPr="00ED25DD">
        <w:t>Paragraph 35(a) addresses whether the customer simultaneously receives and consumes the benefits provided by an entity’s performance as the entity performs, as one basis for the entity transferring control of a good or service over time, and therefore satisfying a performance obligation and recognising revenue over time.</w:t>
      </w:r>
    </w:p>
    <w:p w14:paraId="36E54455" w14:textId="1ED956FD" w:rsidR="00FE19F2" w:rsidRDefault="0054287B" w:rsidP="00741B1B">
      <w:pPr>
        <w:pStyle w:val="NoNumPlain1"/>
        <w:numPr>
          <w:ilvl w:val="0"/>
          <w:numId w:val="24"/>
        </w:numPr>
      </w:pPr>
      <w:r w:rsidRPr="00543DC6">
        <w:t xml:space="preserve">The Board determined </w:t>
      </w:r>
      <w:r w:rsidR="009529D7" w:rsidRPr="00543DC6">
        <w:t xml:space="preserve">that paragraph </w:t>
      </w:r>
      <w:r w:rsidRPr="00543DC6">
        <w:t xml:space="preserve">35(a) </w:t>
      </w:r>
      <w:r w:rsidR="005E5E4C" w:rsidRPr="00543DC6">
        <w:t>leads to t</w:t>
      </w:r>
      <w:r w:rsidR="00103298" w:rsidRPr="00543DC6">
        <w:t>hree possible outcome</w:t>
      </w:r>
      <w:r w:rsidR="00D96468" w:rsidRPr="00543DC6">
        <w:t>s</w:t>
      </w:r>
      <w:r w:rsidR="00FE19F2">
        <w:t>:</w:t>
      </w:r>
    </w:p>
    <w:p w14:paraId="0A3A7798" w14:textId="1A406E60" w:rsidR="00FE19F2" w:rsidRDefault="00456CB2" w:rsidP="00FE19F2">
      <w:pPr>
        <w:pStyle w:val="NoNumPlain1"/>
        <w:numPr>
          <w:ilvl w:val="0"/>
          <w:numId w:val="28"/>
        </w:numPr>
      </w:pPr>
      <w:r>
        <w:t xml:space="preserve">if </w:t>
      </w:r>
      <w:r w:rsidR="009A7723" w:rsidRPr="00543DC6">
        <w:t xml:space="preserve">it is clear </w:t>
      </w:r>
      <w:r w:rsidR="0075761E" w:rsidRPr="00543DC6">
        <w:t xml:space="preserve">the customer </w:t>
      </w:r>
      <w:r w:rsidR="00ED25DD">
        <w:t xml:space="preserve">(the donor) </w:t>
      </w:r>
      <w:r w:rsidR="0075761E" w:rsidRPr="00543DC6">
        <w:t>simultaneously receive</w:t>
      </w:r>
      <w:r>
        <w:t>s</w:t>
      </w:r>
      <w:r w:rsidR="0075761E" w:rsidRPr="00543DC6">
        <w:t xml:space="preserve"> and consum</w:t>
      </w:r>
      <w:r w:rsidR="00492B39" w:rsidRPr="00543DC6">
        <w:t>e</w:t>
      </w:r>
      <w:r>
        <w:t>s</w:t>
      </w:r>
      <w:r w:rsidR="00492B39" w:rsidRPr="00543DC6">
        <w:t xml:space="preserve"> the research service</w:t>
      </w:r>
      <w:r>
        <w:t xml:space="preserve">, </w:t>
      </w:r>
      <w:r w:rsidR="00FE19F2">
        <w:t xml:space="preserve">paragraph 35(a) is </w:t>
      </w:r>
      <w:r w:rsidR="00DE3ABD">
        <w:t>satisfied</w:t>
      </w:r>
      <w:r w:rsidR="00FE19F2">
        <w:t>;</w:t>
      </w:r>
    </w:p>
    <w:p w14:paraId="437629C3" w14:textId="6045E129" w:rsidR="00C57FFE" w:rsidRDefault="00C57FFE" w:rsidP="00C57FFE">
      <w:pPr>
        <w:pStyle w:val="NoNumPlain1"/>
        <w:numPr>
          <w:ilvl w:val="0"/>
          <w:numId w:val="28"/>
        </w:numPr>
      </w:pPr>
      <w:r>
        <w:t xml:space="preserve">if </w:t>
      </w:r>
      <w:r w:rsidRPr="00543DC6">
        <w:t xml:space="preserve">it is clear the customer </w:t>
      </w:r>
      <w:r w:rsidR="00ED25DD">
        <w:t xml:space="preserve">(donor) </w:t>
      </w:r>
      <w:r>
        <w:t xml:space="preserve">does not </w:t>
      </w:r>
      <w:r w:rsidRPr="00543DC6">
        <w:t xml:space="preserve">simultaneously </w:t>
      </w:r>
      <w:r w:rsidR="00DE3ABD" w:rsidRPr="00543DC6">
        <w:t>receive</w:t>
      </w:r>
      <w:r w:rsidRPr="00543DC6">
        <w:t xml:space="preserve"> and consume the research service</w:t>
      </w:r>
      <w:r w:rsidR="00ED25DD">
        <w:t xml:space="preserve">, paragraph 35(a) </w:t>
      </w:r>
      <w:r>
        <w:t>is not satisfied;</w:t>
      </w:r>
      <w:r w:rsidR="00ED25DD">
        <w:t xml:space="preserve"> and</w:t>
      </w:r>
    </w:p>
    <w:p w14:paraId="6DAA5253" w14:textId="74D0FEF5" w:rsidR="004B30D4" w:rsidRDefault="001B75CC" w:rsidP="00FE19F2">
      <w:pPr>
        <w:pStyle w:val="NoNumPlain1"/>
        <w:numPr>
          <w:ilvl w:val="0"/>
          <w:numId w:val="28"/>
        </w:numPr>
      </w:pPr>
      <w:r>
        <w:t xml:space="preserve">if </w:t>
      </w:r>
      <w:r w:rsidR="009A7723" w:rsidRPr="00543DC6">
        <w:t>it is uncertain</w:t>
      </w:r>
      <w:r w:rsidR="00E523A1" w:rsidRPr="00543DC6">
        <w:t xml:space="preserve"> whether </w:t>
      </w:r>
      <w:r w:rsidR="00492B39" w:rsidRPr="00543DC6">
        <w:t xml:space="preserve">the customer </w:t>
      </w:r>
      <w:r w:rsidR="00ED25DD">
        <w:t xml:space="preserve">(donor) </w:t>
      </w:r>
      <w:r w:rsidR="0025186E" w:rsidRPr="00543DC6">
        <w:t>simultaneously receives and consumes the research service</w:t>
      </w:r>
      <w:r w:rsidR="00B35BB8">
        <w:t>, it is necessary to refer</w:t>
      </w:r>
      <w:r w:rsidR="00B276E2" w:rsidRPr="00543DC6">
        <w:t xml:space="preserve"> to paragraph B4</w:t>
      </w:r>
      <w:r w:rsidR="00F558FA">
        <w:t xml:space="preserve"> to determine whether paragraph 35(a) </w:t>
      </w:r>
      <w:r w:rsidR="007C1E95">
        <w:t>is satisfied</w:t>
      </w:r>
      <w:r w:rsidR="008320C2">
        <w:t xml:space="preserve">. </w:t>
      </w:r>
      <w:r w:rsidR="00ED25DD">
        <w:t>Paragraph B4 states that</w:t>
      </w:r>
      <w:r w:rsidR="00CB3AFF">
        <w:t>,</w:t>
      </w:r>
      <w:r w:rsidR="00ED25DD">
        <w:t xml:space="preserve"> in those circumstances, a performance obligation is satisfied over time if an entity determines that another entity would not need to substantially re-perform the work that the entity has completed to date if that other entity were to fulfil the remaining performance obligation to the customer.</w:t>
      </w:r>
    </w:p>
    <w:p w14:paraId="3D476C18" w14:textId="78D7FFCB" w:rsidR="003B106D" w:rsidRDefault="00E50D48" w:rsidP="00CB3AFF">
      <w:pPr>
        <w:pStyle w:val="NoNumPlain1"/>
        <w:numPr>
          <w:ilvl w:val="0"/>
          <w:numId w:val="24"/>
        </w:numPr>
      </w:pPr>
      <w:r w:rsidRPr="00543DC6">
        <w:t>Whilst the original conclusion</w:t>
      </w:r>
      <w:r w:rsidR="004666CB">
        <w:t>s</w:t>
      </w:r>
      <w:r w:rsidRPr="00543DC6">
        <w:t xml:space="preserve"> </w:t>
      </w:r>
      <w:r w:rsidR="00C90B00">
        <w:t>in the Illustrative Example</w:t>
      </w:r>
      <w:r w:rsidR="005F72D7">
        <w:t xml:space="preserve">s </w:t>
      </w:r>
      <w:r w:rsidR="004666CB">
        <w:t>are</w:t>
      </w:r>
      <w:r w:rsidRPr="00543DC6">
        <w:t xml:space="preserve"> appropriate</w:t>
      </w:r>
      <w:r w:rsidR="00CA7F8C" w:rsidRPr="00543DC6">
        <w:t>, a</w:t>
      </w:r>
      <w:r w:rsidRPr="00543DC6">
        <w:t xml:space="preserve">pplying </w:t>
      </w:r>
      <w:r w:rsidR="00CA7F8C" w:rsidRPr="00543DC6">
        <w:t xml:space="preserve">the </w:t>
      </w:r>
      <w:r w:rsidR="00ED25DD">
        <w:t xml:space="preserve">original </w:t>
      </w:r>
      <w:r w:rsidR="00CA7F8C" w:rsidRPr="00543DC6">
        <w:t xml:space="preserve">analysis </w:t>
      </w:r>
      <w:r w:rsidRPr="00543DC6">
        <w:t xml:space="preserve">to </w:t>
      </w:r>
      <w:r w:rsidR="00CA7F8C" w:rsidRPr="00543DC6">
        <w:t xml:space="preserve">a </w:t>
      </w:r>
      <w:r w:rsidRPr="00543DC6">
        <w:t>different fact pattern could lead to a</w:t>
      </w:r>
      <w:r w:rsidR="00980DE3" w:rsidRPr="00543DC6">
        <w:t>n</w:t>
      </w:r>
      <w:r w:rsidRPr="00543DC6">
        <w:t xml:space="preserve"> </w:t>
      </w:r>
      <w:r w:rsidR="00980DE3" w:rsidRPr="00543DC6">
        <w:t>inappropriate</w:t>
      </w:r>
      <w:r w:rsidRPr="00543DC6">
        <w:t xml:space="preserve"> </w:t>
      </w:r>
      <w:r w:rsidR="00980DE3" w:rsidRPr="00543DC6">
        <w:t xml:space="preserve">application of </w:t>
      </w:r>
      <w:r w:rsidR="004666CB">
        <w:t>paragraph 35(a)</w:t>
      </w:r>
      <w:r w:rsidRPr="00543DC6">
        <w:t xml:space="preserve">. </w:t>
      </w:r>
      <w:r w:rsidR="00ED25DD">
        <w:t>Accordingly, the Board made changes to</w:t>
      </w:r>
      <w:r w:rsidR="00980DE3" w:rsidRPr="00543DC6">
        <w:t xml:space="preserve"> </w:t>
      </w:r>
      <w:r w:rsidR="003D6100">
        <w:t xml:space="preserve">Illustrative Examples </w:t>
      </w:r>
      <w:r w:rsidR="00AD02DE">
        <w:t xml:space="preserve">4A and 4B </w:t>
      </w:r>
      <w:r w:rsidR="00CB3AFF">
        <w:t>by removing</w:t>
      </w:r>
      <w:r w:rsidR="00CB3AFF" w:rsidRPr="00CB3AFF">
        <w:t xml:space="preserve"> the references to re</w:t>
      </w:r>
      <w:r w:rsidR="00CB3AFF">
        <w:t>-</w:t>
      </w:r>
      <w:r w:rsidR="00CB3AFF" w:rsidRPr="00CB3AFF">
        <w:t>performance</w:t>
      </w:r>
      <w:r w:rsidR="00CB3AFF">
        <w:t xml:space="preserve"> and paragraph B4 </w:t>
      </w:r>
      <w:r w:rsidR="00CB3AFF" w:rsidRPr="00CB3AFF">
        <w:t xml:space="preserve">in assessing the application of paragraph 35(a), </w:t>
      </w:r>
      <w:r w:rsidR="00CB3AFF">
        <w:t>and add</w:t>
      </w:r>
      <w:r w:rsidR="00AD02DE">
        <w:t>ing</w:t>
      </w:r>
      <w:r w:rsidR="00CB3AFF">
        <w:t xml:space="preserve"> an explanation in Illustrative Example 4B on why </w:t>
      </w:r>
      <w:r w:rsidR="00F80065">
        <w:t>in this example it is</w:t>
      </w:r>
      <w:r w:rsidR="00CB3AFF" w:rsidRPr="00CB3AFF">
        <w:t xml:space="preserve"> clear that the</w:t>
      </w:r>
      <w:r w:rsidR="00F80065">
        <w:t>re is no simultaneous receipt and consumption</w:t>
      </w:r>
      <w:r w:rsidR="00AD02DE">
        <w:t xml:space="preserve"> by the donor</w:t>
      </w:r>
      <w:r w:rsidR="00F80065">
        <w:t xml:space="preserve"> of </w:t>
      </w:r>
      <w:r w:rsidR="00AD02DE">
        <w:t xml:space="preserve">the </w:t>
      </w:r>
      <w:r w:rsidR="00F80065">
        <w:t>benefit</w:t>
      </w:r>
      <w:r w:rsidR="00AD02DE">
        <w:t>s</w:t>
      </w:r>
      <w:r w:rsidR="00F80065">
        <w:t xml:space="preserve"> </w:t>
      </w:r>
      <w:r w:rsidR="00AD02DE">
        <w:t>of</w:t>
      </w:r>
      <w:r w:rsidR="00F80065">
        <w:t xml:space="preserve"> the institute’s performance</w:t>
      </w:r>
      <w:r w:rsidR="00AD02DE">
        <w:t xml:space="preserve"> of the research activities</w:t>
      </w:r>
      <w:r w:rsidR="00F80065">
        <w:t>.</w:t>
      </w:r>
    </w:p>
    <w:p w14:paraId="117D09A2" w14:textId="5E9F3868" w:rsidR="003426BE" w:rsidRDefault="00862CD2" w:rsidP="00EB118B">
      <w:pPr>
        <w:pStyle w:val="NoNumPlain1"/>
        <w:numPr>
          <w:ilvl w:val="0"/>
          <w:numId w:val="24"/>
        </w:numPr>
      </w:pPr>
      <w:r>
        <w:t xml:space="preserve">The Board noted that </w:t>
      </w:r>
      <w:r w:rsidR="00480D9C">
        <w:t xml:space="preserve">some stakeholders </w:t>
      </w:r>
      <w:r w:rsidR="00BD053F">
        <w:t xml:space="preserve">did not find the </w:t>
      </w:r>
      <w:r w:rsidR="007E7C4E">
        <w:t xml:space="preserve">Illustrative Examples useful </w:t>
      </w:r>
      <w:r w:rsidR="008410B2">
        <w:t xml:space="preserve">and </w:t>
      </w:r>
      <w:r w:rsidR="008C546C">
        <w:t xml:space="preserve">were </w:t>
      </w:r>
      <w:r w:rsidR="008410B2">
        <w:t xml:space="preserve">concerned that </w:t>
      </w:r>
      <w:r w:rsidR="00E76A1A">
        <w:t xml:space="preserve">the fact patterns </w:t>
      </w:r>
      <w:r w:rsidR="00CA5101">
        <w:t>did not reflect</w:t>
      </w:r>
      <w:r w:rsidR="00623B98">
        <w:t xml:space="preserve"> </w:t>
      </w:r>
      <w:r w:rsidR="00623B98" w:rsidRPr="00623B98">
        <w:t>common features of most research agreements</w:t>
      </w:r>
      <w:r w:rsidR="00500751">
        <w:t xml:space="preserve">. The Board decided to </w:t>
      </w:r>
      <w:r w:rsidR="00AA1C39">
        <w:t xml:space="preserve">include an additional example </w:t>
      </w:r>
      <w:r w:rsidR="00103D5E">
        <w:t xml:space="preserve">to illustrate </w:t>
      </w:r>
      <w:r w:rsidR="00400DAE">
        <w:t xml:space="preserve">other </w:t>
      </w:r>
      <w:r w:rsidR="00AA1C39">
        <w:t>key contract features</w:t>
      </w:r>
      <w:r w:rsidR="00AD39EA">
        <w:t>. This additional example</w:t>
      </w:r>
      <w:r w:rsidR="0031631B">
        <w:t xml:space="preserve"> would present a greater range of examples in the Illustrative Examples</w:t>
      </w:r>
      <w:r w:rsidR="003F0072">
        <w:t xml:space="preserve"> and so assist in better demonstrating how to apply the principles in the Standard</w:t>
      </w:r>
      <w:r w:rsidR="001716DA">
        <w:t>.</w:t>
      </w:r>
    </w:p>
    <w:p w14:paraId="32109863" w14:textId="4F0CFB03" w:rsidR="000F3B5D" w:rsidRPr="00766E15" w:rsidRDefault="007B630F" w:rsidP="000F3B5D">
      <w:pPr>
        <w:pStyle w:val="IASBSectionTitle1NonInd"/>
        <w:jc w:val="both"/>
        <w:rPr>
          <w:iCs/>
        </w:rPr>
      </w:pPr>
      <w:r>
        <w:t>Issue of Fatal-Flaw Review version</w:t>
      </w:r>
    </w:p>
    <w:p w14:paraId="5E30D803" w14:textId="48D0EADC" w:rsidR="00F86727" w:rsidRDefault="007E3187" w:rsidP="00CB3AFF">
      <w:pPr>
        <w:pStyle w:val="NoNumPlain1"/>
        <w:numPr>
          <w:ilvl w:val="0"/>
          <w:numId w:val="24"/>
        </w:numPr>
      </w:pPr>
      <w:r>
        <w:t>In October 2019, the Board issued a Fatal</w:t>
      </w:r>
      <w:r w:rsidR="0043085A">
        <w:t>-Flaw Review version of the amendment</w:t>
      </w:r>
      <w:r w:rsidR="00FA331F">
        <w:t>s</w:t>
      </w:r>
      <w:r w:rsidR="0043085A">
        <w:t xml:space="preserve"> for public comment with a </w:t>
      </w:r>
      <w:r w:rsidR="00791CDD">
        <w:t>four-week comment period</w:t>
      </w:r>
      <w:r w:rsidR="00D62DA3">
        <w:t>,</w:t>
      </w:r>
      <w:r w:rsidR="00791CDD">
        <w:t xml:space="preserve"> </w:t>
      </w:r>
      <w:r w:rsidR="00D62DA3">
        <w:t>following</w:t>
      </w:r>
      <w:r w:rsidR="00443A64">
        <w:t xml:space="preserve"> </w:t>
      </w:r>
      <w:r w:rsidR="00B129E9">
        <w:t xml:space="preserve">extensive consultations with </w:t>
      </w:r>
      <w:r w:rsidR="00B14982">
        <w:t>stakeholders</w:t>
      </w:r>
      <w:r w:rsidR="00CE0A4D">
        <w:t xml:space="preserve">. </w:t>
      </w:r>
      <w:r w:rsidR="002E0BC7">
        <w:t>The Board received s</w:t>
      </w:r>
      <w:r w:rsidR="00301F4F">
        <w:t xml:space="preserve">ubmissions </w:t>
      </w:r>
      <w:r w:rsidR="004A47B0">
        <w:t xml:space="preserve">from </w:t>
      </w:r>
      <w:r w:rsidR="005F2BF6">
        <w:t>nine</w:t>
      </w:r>
      <w:r w:rsidR="004A47B0">
        <w:t xml:space="preserve"> stakeholders </w:t>
      </w:r>
      <w:r w:rsidR="00AE1166">
        <w:t xml:space="preserve">on </w:t>
      </w:r>
      <w:r w:rsidR="004A47B0">
        <w:t xml:space="preserve">the </w:t>
      </w:r>
      <w:r w:rsidR="00AE1166">
        <w:t>Fatal</w:t>
      </w:r>
      <w:r w:rsidR="004A47B0">
        <w:t>-Flaw Review version</w:t>
      </w:r>
      <w:r w:rsidR="00FD2D9C">
        <w:t xml:space="preserve">. </w:t>
      </w:r>
      <w:r w:rsidR="005F2BF6">
        <w:t xml:space="preserve">The respondents </w:t>
      </w:r>
      <w:r w:rsidR="000758C2">
        <w:t xml:space="preserve">generally </w:t>
      </w:r>
      <w:r w:rsidR="00F6453D">
        <w:t>disagreed with the approach</w:t>
      </w:r>
      <w:r w:rsidR="00594096">
        <w:t xml:space="preserve"> </w:t>
      </w:r>
      <w:r w:rsidR="000758C2">
        <w:t>proposed</w:t>
      </w:r>
      <w:r w:rsidR="00594096">
        <w:t xml:space="preserve"> by the Board. </w:t>
      </w:r>
      <w:r w:rsidR="0014558E">
        <w:t xml:space="preserve">The Board considered the feedback received and decided </w:t>
      </w:r>
      <w:r w:rsidR="003E7FA1">
        <w:t xml:space="preserve">to include </w:t>
      </w:r>
      <w:r w:rsidR="00621265">
        <w:t>the</w:t>
      </w:r>
      <w:r w:rsidR="003E7FA1">
        <w:t xml:space="preserve"> additional </w:t>
      </w:r>
      <w:r w:rsidR="00116BB7">
        <w:t>i</w:t>
      </w:r>
      <w:r w:rsidR="00E94B76">
        <w:t xml:space="preserve">llustrative </w:t>
      </w:r>
      <w:r w:rsidR="00116BB7">
        <w:t>e</w:t>
      </w:r>
      <w:r w:rsidR="00E94B76">
        <w:t xml:space="preserve">xample </w:t>
      </w:r>
      <w:r w:rsidR="00207D21">
        <w:t xml:space="preserve">(Example </w:t>
      </w:r>
      <w:r w:rsidR="00213137">
        <w:t>4</w:t>
      </w:r>
      <w:r w:rsidR="00207D21">
        <w:t xml:space="preserve">D) </w:t>
      </w:r>
      <w:r w:rsidR="00914401">
        <w:t xml:space="preserve">and </w:t>
      </w:r>
      <w:r w:rsidR="00E94B76">
        <w:t>to</w:t>
      </w:r>
      <w:r w:rsidR="00CB4621">
        <w:t xml:space="preserve"> </w:t>
      </w:r>
      <w:r w:rsidR="001066B4">
        <w:t xml:space="preserve">provide additional time for </w:t>
      </w:r>
      <w:r w:rsidR="006415A0">
        <w:t>not-for-profit</w:t>
      </w:r>
      <w:r w:rsidR="00E94B76">
        <w:t xml:space="preserve"> entities </w:t>
      </w:r>
      <w:r w:rsidR="001066B4">
        <w:t>to implement the Standards in relation to their</w:t>
      </w:r>
      <w:r w:rsidR="00E94B76">
        <w:t xml:space="preserve"> research grants</w:t>
      </w:r>
      <w:r w:rsidR="001643C0">
        <w:t>.</w:t>
      </w:r>
      <w:r w:rsidR="00D944EB">
        <w:t xml:space="preserve"> The Board noted the nine submissions did not raise any new issues not already considered by the Board. The submissions highlighted the diversity of interpretations and reinforced the importance of the illustrative examples reflecting fully the requirements of the Standard.</w:t>
      </w:r>
    </w:p>
    <w:p w14:paraId="12DBE3CD" w14:textId="4A5558E8" w:rsidR="00F86727" w:rsidRPr="00766E15" w:rsidRDefault="00221C25" w:rsidP="00F86727">
      <w:pPr>
        <w:pStyle w:val="IASBSectionTitle1NonInd"/>
        <w:jc w:val="both"/>
        <w:rPr>
          <w:iCs/>
        </w:rPr>
      </w:pPr>
      <w:r>
        <w:lastRenderedPageBreak/>
        <w:t>Optional d</w:t>
      </w:r>
      <w:r w:rsidR="00B40E79">
        <w:t>eferral of AASB 15 and AASB 1058</w:t>
      </w:r>
      <w:r>
        <w:t xml:space="preserve"> for research grants</w:t>
      </w:r>
    </w:p>
    <w:p w14:paraId="5210FB81" w14:textId="5B4F9708" w:rsidR="00A86179" w:rsidRDefault="00A86179" w:rsidP="00A86179">
      <w:pPr>
        <w:pStyle w:val="NoNumPlain1"/>
        <w:numPr>
          <w:ilvl w:val="0"/>
          <w:numId w:val="24"/>
        </w:numPr>
      </w:pPr>
      <w:r>
        <w:t xml:space="preserve">The Board observed that implementation of </w:t>
      </w:r>
      <w:r w:rsidR="003C32CE">
        <w:t>AASB 15 and AASB</w:t>
      </w:r>
      <w:r w:rsidR="007C2FD3">
        <w:t> </w:t>
      </w:r>
      <w:r w:rsidR="003C32CE">
        <w:t>1058</w:t>
      </w:r>
      <w:r>
        <w:t xml:space="preserve"> </w:t>
      </w:r>
      <w:r w:rsidR="005104DB" w:rsidRPr="005104DB">
        <w:rPr>
          <w:i/>
          <w:iCs/>
        </w:rPr>
        <w:t>Income of Not-for-Profit</w:t>
      </w:r>
      <w:r w:rsidR="005104DB">
        <w:t xml:space="preserve"> </w:t>
      </w:r>
      <w:r w:rsidR="005104DB" w:rsidRPr="003866D3">
        <w:rPr>
          <w:i/>
          <w:iCs/>
        </w:rPr>
        <w:t xml:space="preserve">Entities </w:t>
      </w:r>
      <w:r w:rsidR="00953478">
        <w:t xml:space="preserve">by </w:t>
      </w:r>
      <w:r w:rsidR="0009611A">
        <w:t>not-for-profit</w:t>
      </w:r>
      <w:r>
        <w:t xml:space="preserve"> entities with research grants has been difficult. Significant judgement is required in applying the </w:t>
      </w:r>
      <w:r w:rsidR="008014E8">
        <w:t>S</w:t>
      </w:r>
      <w:r>
        <w:t>tandards and the sector has</w:t>
      </w:r>
      <w:r w:rsidR="00302F7C">
        <w:t xml:space="preserve"> a</w:t>
      </w:r>
      <w:r>
        <w:t xml:space="preserve"> large volume of tailored or non-</w:t>
      </w:r>
      <w:r w:rsidR="008014E8">
        <w:t>s</w:t>
      </w:r>
      <w:r>
        <w:t>tandard contracts to assess. Many stakeholders in the university sector and medical research sector have December year</w:t>
      </w:r>
      <w:r w:rsidR="003571A2">
        <w:t>-</w:t>
      </w:r>
      <w:r>
        <w:t xml:space="preserve">ends. With limited time left for the sector to tackle the significant implementation challenges and uncertainty as to the requirements to be applied, </w:t>
      </w:r>
      <w:r w:rsidR="00F350E1">
        <w:t xml:space="preserve"> permitting not-for</w:t>
      </w:r>
      <w:r w:rsidR="00A36603">
        <w:t>-profit entities to apply</w:t>
      </w:r>
      <w:r>
        <w:t xml:space="preserve"> the </w:t>
      </w:r>
      <w:r w:rsidR="00302F7C">
        <w:t>S</w:t>
      </w:r>
      <w:r>
        <w:t xml:space="preserve">tandards </w:t>
      </w:r>
      <w:r w:rsidR="00040528">
        <w:t xml:space="preserve">to research grants </w:t>
      </w:r>
      <w:r>
        <w:t xml:space="preserve">from </w:t>
      </w:r>
      <w:r w:rsidR="00D57ED8">
        <w:t xml:space="preserve">periods beginning on or after </w:t>
      </w:r>
      <w:r>
        <w:t xml:space="preserve">1 July 2019 </w:t>
      </w:r>
      <w:r w:rsidR="00D57ED8">
        <w:t xml:space="preserve">rather than 1 January 2019 </w:t>
      </w:r>
      <w:r>
        <w:t>will provide the sector with additional implementation time and will not affect preparers with June year-ends.</w:t>
      </w:r>
      <w:r w:rsidR="00CE19C9">
        <w:t xml:space="preserve"> </w:t>
      </w:r>
      <w:r>
        <w:t xml:space="preserve">The extended implementation </w:t>
      </w:r>
      <w:r w:rsidR="007915B5">
        <w:t>period</w:t>
      </w:r>
      <w:r>
        <w:t xml:space="preserve"> would also give the </w:t>
      </w:r>
      <w:r w:rsidR="007915B5">
        <w:t>Board</w:t>
      </w:r>
      <w:r>
        <w:t xml:space="preserve"> an opportunity to </w:t>
      </w:r>
      <w:r w:rsidR="00A340E6">
        <w:t xml:space="preserve">provide further educative materials to </w:t>
      </w:r>
      <w:r>
        <w:t>assist with implementation.</w:t>
      </w:r>
    </w:p>
    <w:p w14:paraId="655F1368" w14:textId="0399AD2A" w:rsidR="00D57ED8" w:rsidRDefault="00D57ED8" w:rsidP="00A86179">
      <w:pPr>
        <w:pStyle w:val="NoNumPlain1"/>
        <w:numPr>
          <w:ilvl w:val="0"/>
          <w:numId w:val="24"/>
        </w:numPr>
      </w:pPr>
      <w:r>
        <w:t xml:space="preserve">The extended implementation </w:t>
      </w:r>
      <w:r w:rsidR="007915B5">
        <w:t>period</w:t>
      </w:r>
      <w:r>
        <w:t xml:space="preserve"> for research grants applies to the accounting for both income </w:t>
      </w:r>
      <w:r w:rsidR="00224DF1">
        <w:t xml:space="preserve">relating to research grants </w:t>
      </w:r>
      <w:r>
        <w:t>(</w:t>
      </w:r>
      <w:r w:rsidR="007915B5">
        <w:t xml:space="preserve">including </w:t>
      </w:r>
      <w:r>
        <w:t>revenue) and contract costs</w:t>
      </w:r>
      <w:r w:rsidR="00224DF1">
        <w:t xml:space="preserve"> relating to research grants</w:t>
      </w:r>
      <w:r>
        <w:t>. Not-for-</w:t>
      </w:r>
      <w:r w:rsidR="000771ED">
        <w:t xml:space="preserve">profit entities can </w:t>
      </w:r>
      <w:r w:rsidR="008667D1">
        <w:t xml:space="preserve">elect whether to apply AASB 15 and AASB 1058 to all research grants, or to apply the previously applicable Standards to them, until periods beginning on or after 1 July 2019, when AASB 15 and AASB 1058 will have to be applied. The Board considered whether to define ‘research grants’ and decided that it would not be feasible to clearly define the </w:t>
      </w:r>
      <w:proofErr w:type="gramStart"/>
      <w:r w:rsidR="008667D1">
        <w:t>term</w:t>
      </w:r>
      <w:r w:rsidR="007915B5">
        <w:t>,</w:t>
      </w:r>
      <w:r w:rsidR="008667D1">
        <w:t xml:space="preserve"> </w:t>
      </w:r>
      <w:r w:rsidR="007915B5">
        <w:t>but</w:t>
      </w:r>
      <w:proofErr w:type="gramEnd"/>
      <w:r w:rsidR="008667D1">
        <w:t xml:space="preserve"> </w:t>
      </w:r>
      <w:r w:rsidR="00BD3C2E">
        <w:t>noted the numerous examples of research grants provided in the Illustrative Examples accompanying AASB 15.</w:t>
      </w:r>
      <w:r w:rsidR="00A76382">
        <w:t xml:space="preserve"> </w:t>
      </w:r>
      <w:r w:rsidR="007401A3">
        <w:t>The Board noted the exemption does not apply on an individual research grant basis as such an exemption would significantly impair the consistency and comparability of an entity’s results.</w:t>
      </w:r>
    </w:p>
    <w:p w14:paraId="5CDD54F1" w14:textId="55EFE7D2" w:rsidR="000F3B5D" w:rsidRPr="00543DC6" w:rsidRDefault="00A86179" w:rsidP="00E60E9F">
      <w:pPr>
        <w:pStyle w:val="NoNumPlain1"/>
        <w:numPr>
          <w:ilvl w:val="0"/>
          <w:numId w:val="24"/>
        </w:numPr>
      </w:pPr>
      <w:r>
        <w:t xml:space="preserve">The Board considered </w:t>
      </w:r>
      <w:r w:rsidR="003D5697">
        <w:t xml:space="preserve">whether to defer the application of AASB 15 and AASB 1058 in their entirety </w:t>
      </w:r>
      <w:r w:rsidR="00A52FA4">
        <w:t xml:space="preserve">for all not-for-profit entities. However, the Board noted that such an approach would have </w:t>
      </w:r>
      <w:r>
        <w:t>implication</w:t>
      </w:r>
      <w:r w:rsidR="00F20544">
        <w:t>s</w:t>
      </w:r>
      <w:r>
        <w:t xml:space="preserve"> </w:t>
      </w:r>
      <w:r w:rsidR="00B26115">
        <w:t>for</w:t>
      </w:r>
      <w:r>
        <w:t xml:space="preserve"> AASB</w:t>
      </w:r>
      <w:r w:rsidR="007915B5">
        <w:t> </w:t>
      </w:r>
      <w:r>
        <w:t>16</w:t>
      </w:r>
      <w:r w:rsidR="007915B5">
        <w:t>,</w:t>
      </w:r>
      <w:r>
        <w:t xml:space="preserve"> as AASB 16 </w:t>
      </w:r>
      <w:r w:rsidR="007915B5">
        <w:t>includes</w:t>
      </w:r>
      <w:r>
        <w:t xml:space="preserve"> references to AASB 15. For example, AASB 16 requires an entity to assess whether a transfer of </w:t>
      </w:r>
      <w:r w:rsidR="00555EAB">
        <w:t>an</w:t>
      </w:r>
      <w:r>
        <w:t xml:space="preserve"> asset in a sale and leaseback transaction is a sale </w:t>
      </w:r>
      <w:r w:rsidR="00754A91">
        <w:t xml:space="preserve">under AASB 15 </w:t>
      </w:r>
      <w:r>
        <w:t>(</w:t>
      </w:r>
      <w:proofErr w:type="spellStart"/>
      <w:r>
        <w:t>ie</w:t>
      </w:r>
      <w:proofErr w:type="spellEnd"/>
      <w:r>
        <w:t xml:space="preserve"> when a performance obligation is satisfied). The Board decided that </w:t>
      </w:r>
      <w:r w:rsidR="001E71E8">
        <w:t xml:space="preserve">the better approach was to permit delayed implementation of the Standard for research grants, being the area of most </w:t>
      </w:r>
      <w:r w:rsidR="007915B5">
        <w:t>concern</w:t>
      </w:r>
      <w:r w:rsidR="003D1702">
        <w:t xml:space="preserve"> in applying the Standard</w:t>
      </w:r>
      <w:r w:rsidR="009154B1">
        <w:t>.</w:t>
      </w:r>
    </w:p>
    <w:sectPr w:rsidR="000F3B5D" w:rsidRPr="00543DC6" w:rsidSect="00D74C6A">
      <w:footerReference w:type="default" r:id="rId16"/>
      <w:pgSz w:w="11907" w:h="16840" w:code="9"/>
      <w:pgMar w:top="1418" w:right="1418" w:bottom="1418" w:left="1418" w:header="709" w:footer="709" w:gutter="0"/>
      <w:paperSrc w:first="7" w:other="7"/>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D51CD" w14:textId="77777777" w:rsidR="00F62193" w:rsidRDefault="00F62193">
      <w:r>
        <w:separator/>
      </w:r>
    </w:p>
  </w:endnote>
  <w:endnote w:type="continuationSeparator" w:id="0">
    <w:p w14:paraId="297F6A62" w14:textId="77777777" w:rsidR="00F62193" w:rsidRDefault="00F6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D074" w14:textId="7E5154DD" w:rsidR="00CB3AFF" w:rsidRDefault="00CB3AFF">
    <w:pPr>
      <w:pStyle w:val="Footer"/>
      <w:rPr>
        <w:b/>
      </w:rPr>
    </w:pPr>
    <w:r>
      <w:rPr>
        <w:b/>
      </w:rPr>
      <w:t xml:space="preserve">AASB </w:t>
    </w:r>
    <w:r>
      <w:rPr>
        <w:b/>
      </w:rPr>
      <w:fldChar w:fldCharType="begin"/>
    </w:r>
    <w:r>
      <w:rPr>
        <w:b/>
      </w:rPr>
      <w:instrText xml:space="preserve"> REF DocNo  \* charformat </w:instrText>
    </w:r>
    <w:r>
      <w:rPr>
        <w:b/>
      </w:rPr>
      <w:fldChar w:fldCharType="separate"/>
    </w:r>
    <w:r w:rsidR="00B22969" w:rsidRPr="00B22969">
      <w:rPr>
        <w:b/>
      </w:rPr>
      <w:t>2019-6</w:t>
    </w:r>
    <w:r>
      <w:rPr>
        <w:b/>
      </w:rPr>
      <w:fldChar w:fldCharType="end"/>
    </w:r>
    <w:r>
      <w:rPr>
        <w:b/>
      </w:rPr>
      <w:tab/>
    </w:r>
    <w:r>
      <w:fldChar w:fldCharType="begin"/>
    </w:r>
    <w:r>
      <w:instrText>PAGE</w:instrText>
    </w:r>
    <w:r>
      <w:fldChar w:fldCharType="separate"/>
    </w:r>
    <w:r w:rsidR="00F80065">
      <w:rPr>
        <w:noProof/>
      </w:rPr>
      <w:t>2</w:t>
    </w:r>
    <w:r>
      <w:fldChar w:fldCharType="end"/>
    </w:r>
    <w:r>
      <w:tab/>
    </w:r>
    <w:r>
      <w:rPr>
        <w:b/>
        <w:bCs/>
      </w:rPr>
      <w:t>COPYRIGHT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5C217" w14:textId="2C6BC72A" w:rsidR="00CB3AFF" w:rsidRDefault="00CB3AFF">
    <w:pPr>
      <w:pStyle w:val="Footer"/>
      <w:rPr>
        <w:b/>
      </w:rPr>
    </w:pPr>
    <w:r>
      <w:rPr>
        <w:b/>
      </w:rPr>
      <w:t xml:space="preserve">AASB </w:t>
    </w:r>
    <w:r>
      <w:rPr>
        <w:b/>
      </w:rPr>
      <w:fldChar w:fldCharType="begin" w:fldLock="1"/>
    </w:r>
    <w:r>
      <w:rPr>
        <w:b/>
      </w:rPr>
      <w:instrText xml:space="preserve"> REF DocNo  \* charformat </w:instrText>
    </w:r>
    <w:r>
      <w:rPr>
        <w:b/>
      </w:rPr>
      <w:fldChar w:fldCharType="separate"/>
    </w:r>
    <w:r>
      <w:rPr>
        <w:b/>
      </w:rPr>
      <w:t>2019-</w:t>
    </w:r>
    <w:r w:rsidR="003A77D9">
      <w:rPr>
        <w:b/>
      </w:rPr>
      <w:t>6</w:t>
    </w:r>
    <w:r>
      <w:rPr>
        <w:b/>
      </w:rPr>
      <w:fldChar w:fldCharType="end"/>
    </w:r>
    <w:r>
      <w:rPr>
        <w:b/>
      </w:rPr>
      <w:tab/>
    </w:r>
    <w:r>
      <w:fldChar w:fldCharType="begin"/>
    </w:r>
    <w:r>
      <w:instrText>PAGE</w:instrText>
    </w:r>
    <w:r>
      <w:fldChar w:fldCharType="separate"/>
    </w:r>
    <w:r w:rsidR="00F80065">
      <w:rPr>
        <w:noProof/>
      </w:rPr>
      <w:t>3</w:t>
    </w:r>
    <w:r>
      <w:fldChar w:fldCharType="end"/>
    </w:r>
    <w:r>
      <w:tab/>
    </w:r>
    <w:r>
      <w:rPr>
        <w:b/>
        <w:bCs/>
      </w:rPr>
      <w:t>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D1F4" w14:textId="4F775CBC" w:rsidR="00CB3AFF" w:rsidRDefault="00CB3AFF">
    <w:pPr>
      <w:pStyle w:val="Footer"/>
      <w:rPr>
        <w:b/>
      </w:rPr>
    </w:pPr>
    <w:r>
      <w:rPr>
        <w:b/>
      </w:rPr>
      <w:t xml:space="preserve">AASB </w:t>
    </w:r>
    <w:r>
      <w:rPr>
        <w:b/>
      </w:rPr>
      <w:fldChar w:fldCharType="begin"/>
    </w:r>
    <w:r>
      <w:rPr>
        <w:b/>
      </w:rPr>
      <w:instrText xml:space="preserve"> REF DocNo  \* charformat </w:instrText>
    </w:r>
    <w:r>
      <w:rPr>
        <w:b/>
      </w:rPr>
      <w:fldChar w:fldCharType="separate"/>
    </w:r>
    <w:r w:rsidR="00B22969" w:rsidRPr="00B22969">
      <w:rPr>
        <w:b/>
      </w:rPr>
      <w:t>2019-6</w:t>
    </w:r>
    <w:r>
      <w:rPr>
        <w:b/>
      </w:rPr>
      <w:fldChar w:fldCharType="end"/>
    </w:r>
    <w:r>
      <w:rPr>
        <w:b/>
      </w:rPr>
      <w:tab/>
    </w:r>
    <w:r>
      <w:fldChar w:fldCharType="begin"/>
    </w:r>
    <w:r>
      <w:instrText>PAGE</w:instrText>
    </w:r>
    <w:r>
      <w:fldChar w:fldCharType="separate"/>
    </w:r>
    <w:r w:rsidR="00F80065">
      <w:rPr>
        <w:noProof/>
      </w:rPr>
      <w:t>4</w:t>
    </w:r>
    <w:r>
      <w:fldChar w:fldCharType="end"/>
    </w:r>
    <w:r>
      <w:tab/>
    </w:r>
    <w:r>
      <w:rPr>
        <w:b/>
        <w:bCs/>
      </w:rPr>
      <w:t>PREFACE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DC8BB" w14:textId="19EA8FE4" w:rsidR="00CB3AFF" w:rsidRDefault="00CB3AFF">
    <w:pPr>
      <w:pStyle w:val="Footer"/>
      <w:rPr>
        <w:b/>
      </w:rPr>
    </w:pPr>
    <w:r>
      <w:rPr>
        <w:b/>
      </w:rPr>
      <w:t xml:space="preserve">AASB </w:t>
    </w:r>
    <w:r>
      <w:rPr>
        <w:b/>
      </w:rPr>
      <w:fldChar w:fldCharType="begin"/>
    </w:r>
    <w:r>
      <w:rPr>
        <w:b/>
      </w:rPr>
      <w:instrText xml:space="preserve"> REF DocNo  \* charformat </w:instrText>
    </w:r>
    <w:r>
      <w:rPr>
        <w:b/>
      </w:rPr>
      <w:fldChar w:fldCharType="separate"/>
    </w:r>
    <w:r w:rsidR="00B22969" w:rsidRPr="00B22969">
      <w:rPr>
        <w:b/>
      </w:rPr>
      <w:t>2019-6</w:t>
    </w:r>
    <w:r>
      <w:rPr>
        <w:b/>
      </w:rPr>
      <w:fldChar w:fldCharType="end"/>
    </w:r>
    <w:r>
      <w:rPr>
        <w:b/>
      </w:rPr>
      <w:tab/>
    </w:r>
    <w:r>
      <w:fldChar w:fldCharType="begin"/>
    </w:r>
    <w:r>
      <w:instrText>PAGE</w:instrText>
    </w:r>
    <w:r>
      <w:fldChar w:fldCharType="separate"/>
    </w:r>
    <w:r w:rsidR="00F80065">
      <w:rPr>
        <w:noProof/>
      </w:rPr>
      <w:t>7</w:t>
    </w:r>
    <w:r>
      <w:fldChar w:fldCharType="end"/>
    </w:r>
    <w:r>
      <w:tab/>
    </w:r>
    <w:r w:rsidRPr="00870A13">
      <w:rPr>
        <w:b/>
        <w:bCs/>
      </w:rPr>
      <w:t>STANDARD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42647" w14:textId="440A61BD" w:rsidR="00CB3AFF" w:rsidRDefault="00CB3AFF">
    <w:pPr>
      <w:pStyle w:val="Footer"/>
      <w:rPr>
        <w:b/>
      </w:rPr>
    </w:pPr>
    <w:r>
      <w:rPr>
        <w:b/>
      </w:rPr>
      <w:t xml:space="preserve">AASB </w:t>
    </w:r>
    <w:r>
      <w:rPr>
        <w:b/>
      </w:rPr>
      <w:fldChar w:fldCharType="begin"/>
    </w:r>
    <w:r>
      <w:rPr>
        <w:b/>
      </w:rPr>
      <w:instrText xml:space="preserve"> REF DocNo  \* charformat </w:instrText>
    </w:r>
    <w:r>
      <w:rPr>
        <w:b/>
      </w:rPr>
      <w:fldChar w:fldCharType="separate"/>
    </w:r>
    <w:r w:rsidR="00B22969" w:rsidRPr="00B22969">
      <w:rPr>
        <w:b/>
      </w:rPr>
      <w:t>2019-6</w:t>
    </w:r>
    <w:r>
      <w:rPr>
        <w:b/>
      </w:rPr>
      <w:fldChar w:fldCharType="end"/>
    </w:r>
    <w:r>
      <w:rPr>
        <w:b/>
      </w:rPr>
      <w:tab/>
    </w:r>
    <w:r>
      <w:fldChar w:fldCharType="begin"/>
    </w:r>
    <w:r>
      <w:instrText>PAGE</w:instrText>
    </w:r>
    <w:r>
      <w:fldChar w:fldCharType="separate"/>
    </w:r>
    <w:r w:rsidR="00F80065">
      <w:rPr>
        <w:noProof/>
      </w:rPr>
      <w:t>8</w:t>
    </w:r>
    <w:r>
      <w:fldChar w:fldCharType="end"/>
    </w:r>
    <w:r>
      <w:tab/>
    </w:r>
    <w:r>
      <w:rPr>
        <w:b/>
        <w:bCs/>
      </w:rPr>
      <w:t>BASIS FOR CONCLUSIONS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2AE5B" w14:textId="77777777" w:rsidR="00F62193" w:rsidRDefault="00F62193">
      <w:r>
        <w:separator/>
      </w:r>
    </w:p>
  </w:footnote>
  <w:footnote w:type="continuationSeparator" w:id="0">
    <w:p w14:paraId="48F42E50" w14:textId="77777777" w:rsidR="00F62193" w:rsidRDefault="00F62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047B0405"/>
    <w:multiLevelType w:val="hybridMultilevel"/>
    <w:tmpl w:val="4D9A88CE"/>
    <w:lvl w:ilvl="0" w:tplc="EB8277D2">
      <w:start w:val="1"/>
      <w:numFmt w:val="decimal"/>
      <w:pStyle w:val="IGpara1"/>
      <w:lvlText w:val="IG%1"/>
      <w:lvlJc w:val="left"/>
      <w:pPr>
        <w:ind w:left="720" w:hanging="360"/>
      </w:pPr>
      <w:rPr>
        <w:rFonts w:hint="default"/>
      </w:rPr>
    </w:lvl>
    <w:lvl w:ilvl="1" w:tplc="D896881A">
      <w:start w:val="1"/>
      <w:numFmt w:val="lowerLetter"/>
      <w:lvlText w:val="(%2)"/>
      <w:lvlJc w:val="left"/>
      <w:pPr>
        <w:ind w:left="1440" w:hanging="360"/>
      </w:pPr>
      <w:rPr>
        <w:rFonts w:ascii="Times New Roman" w:hAnsi="Times New Roman" w:hint="default"/>
        <w:b w:val="0"/>
        <w:i w:val="0"/>
        <w:sz w:val="19"/>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6871AB"/>
    <w:multiLevelType w:val="hybridMultilevel"/>
    <w:tmpl w:val="3DE49FEC"/>
    <w:lvl w:ilvl="0" w:tplc="E4A2CEE2">
      <w:start w:val="1"/>
      <w:numFmt w:val="lowerLetter"/>
      <w:lvlText w:val="(%1)"/>
      <w:lvlJc w:val="left"/>
      <w:pPr>
        <w:ind w:left="366" w:hanging="720"/>
      </w:pPr>
      <w:rPr>
        <w:rFonts w:hint="default"/>
      </w:r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4" w15:restartNumberingAfterBreak="0">
    <w:nsid w:val="0E9A5CE4"/>
    <w:multiLevelType w:val="multilevel"/>
    <w:tmpl w:val="C3841212"/>
    <w:lvl w:ilvl="0">
      <w:start w:val="1"/>
      <w:numFmt w:val="decimal"/>
      <w:lvlText w:val="%1"/>
      <w:lvlJc w:val="left"/>
      <w:pPr>
        <w:tabs>
          <w:tab w:val="num" w:pos="510"/>
        </w:tabs>
        <w:ind w:left="510" w:hanging="510"/>
      </w:pPr>
      <w:rPr>
        <w:rFonts w:hint="default"/>
        <w:u w:val="none"/>
      </w:rPr>
    </w:lvl>
    <w:lvl w:ilvl="1">
      <w:start w:val="1"/>
      <w:numFmt w:val="lowerLetter"/>
      <w:lvlText w:val="(%2)"/>
      <w:lvlJc w:val="left"/>
      <w:pPr>
        <w:tabs>
          <w:tab w:val="num" w:pos="1021"/>
        </w:tabs>
        <w:ind w:left="1021" w:hanging="511"/>
      </w:pPr>
      <w:rPr>
        <w:rFonts w:hint="default"/>
        <w:b/>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5"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6" w15:restartNumberingAfterBreak="0">
    <w:nsid w:val="15494054"/>
    <w:multiLevelType w:val="multilevel"/>
    <w:tmpl w:val="3170FD08"/>
    <w:lvl w:ilvl="0">
      <w:start w:val="1"/>
      <w:numFmt w:val="bullet"/>
      <w:lvlText w:val=""/>
      <w:lvlJc w:val="left"/>
      <w:pPr>
        <w:tabs>
          <w:tab w:val="num" w:pos="782"/>
        </w:tabs>
        <w:ind w:left="782" w:hanging="782"/>
      </w:pPr>
      <w:rPr>
        <w:rFonts w:ascii="Symbol" w:hAnsi="Symbol" w:hint="default"/>
      </w:rPr>
    </w:lvl>
    <w:lvl w:ilvl="1">
      <w:start w:val="1"/>
      <w:numFmt w:val="lowerLetter"/>
      <w:lvlText w:val="(%2)"/>
      <w:lvlJc w:val="left"/>
      <w:pPr>
        <w:ind w:left="782" w:firstLine="0"/>
      </w:pPr>
      <w:rPr>
        <w:rFonts w:hint="default"/>
      </w:rPr>
    </w:lvl>
    <w:lvl w:ilvl="2">
      <w:start w:val="1"/>
      <w:numFmt w:val="lowerRoman"/>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EC74DA"/>
    <w:multiLevelType w:val="hybridMultilevel"/>
    <w:tmpl w:val="3DE49FEC"/>
    <w:lvl w:ilvl="0" w:tplc="E4A2CEE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5D7F22"/>
    <w:multiLevelType w:val="hybridMultilevel"/>
    <w:tmpl w:val="333CF9DE"/>
    <w:lvl w:ilvl="0" w:tplc="3A2ABD76">
      <w:start w:val="1"/>
      <w:numFmt w:val="lowerLetter"/>
      <w:lvlText w:val="(%1)"/>
      <w:lvlJc w:val="left"/>
      <w:pPr>
        <w:ind w:left="870" w:hanging="360"/>
      </w:pPr>
      <w:rPr>
        <w:rFonts w:hint="default"/>
      </w:rPr>
    </w:lvl>
    <w:lvl w:ilvl="1" w:tplc="0C090019" w:tentative="1">
      <w:start w:val="1"/>
      <w:numFmt w:val="lowerLetter"/>
      <w:lvlText w:val="%2."/>
      <w:lvlJc w:val="left"/>
      <w:pPr>
        <w:ind w:left="1590" w:hanging="360"/>
      </w:pPr>
    </w:lvl>
    <w:lvl w:ilvl="2" w:tplc="0C09001B" w:tentative="1">
      <w:start w:val="1"/>
      <w:numFmt w:val="lowerRoman"/>
      <w:lvlText w:val="%3."/>
      <w:lvlJc w:val="right"/>
      <w:pPr>
        <w:ind w:left="2310" w:hanging="180"/>
      </w:pPr>
    </w:lvl>
    <w:lvl w:ilvl="3" w:tplc="0C09000F" w:tentative="1">
      <w:start w:val="1"/>
      <w:numFmt w:val="decimal"/>
      <w:lvlText w:val="%4."/>
      <w:lvlJc w:val="left"/>
      <w:pPr>
        <w:ind w:left="3030" w:hanging="360"/>
      </w:pPr>
    </w:lvl>
    <w:lvl w:ilvl="4" w:tplc="0C090019" w:tentative="1">
      <w:start w:val="1"/>
      <w:numFmt w:val="lowerLetter"/>
      <w:lvlText w:val="%5."/>
      <w:lvlJc w:val="left"/>
      <w:pPr>
        <w:ind w:left="3750" w:hanging="360"/>
      </w:pPr>
    </w:lvl>
    <w:lvl w:ilvl="5" w:tplc="0C09001B" w:tentative="1">
      <w:start w:val="1"/>
      <w:numFmt w:val="lowerRoman"/>
      <w:lvlText w:val="%6."/>
      <w:lvlJc w:val="right"/>
      <w:pPr>
        <w:ind w:left="4470" w:hanging="180"/>
      </w:pPr>
    </w:lvl>
    <w:lvl w:ilvl="6" w:tplc="0C09000F" w:tentative="1">
      <w:start w:val="1"/>
      <w:numFmt w:val="decimal"/>
      <w:lvlText w:val="%7."/>
      <w:lvlJc w:val="left"/>
      <w:pPr>
        <w:ind w:left="5190" w:hanging="360"/>
      </w:pPr>
    </w:lvl>
    <w:lvl w:ilvl="7" w:tplc="0C090019" w:tentative="1">
      <w:start w:val="1"/>
      <w:numFmt w:val="lowerLetter"/>
      <w:lvlText w:val="%8."/>
      <w:lvlJc w:val="left"/>
      <w:pPr>
        <w:ind w:left="5910" w:hanging="360"/>
      </w:pPr>
    </w:lvl>
    <w:lvl w:ilvl="8" w:tplc="0C09001B" w:tentative="1">
      <w:start w:val="1"/>
      <w:numFmt w:val="lowerRoman"/>
      <w:lvlText w:val="%9."/>
      <w:lvlJc w:val="right"/>
      <w:pPr>
        <w:ind w:left="6630" w:hanging="180"/>
      </w:pPr>
    </w:lvl>
  </w:abstractNum>
  <w:abstractNum w:abstractNumId="9" w15:restartNumberingAfterBreak="0">
    <w:nsid w:val="1F901F06"/>
    <w:multiLevelType w:val="multilevel"/>
    <w:tmpl w:val="7612EE52"/>
    <w:lvl w:ilvl="0">
      <w:start w:val="1"/>
      <w:numFmt w:val="decimal"/>
      <w:lvlText w:val="BC%1"/>
      <w:lvlJc w:val="left"/>
      <w:pPr>
        <w:ind w:left="782" w:hanging="782"/>
      </w:pPr>
      <w:rPr>
        <w:rFonts w:hint="default"/>
        <w:b w:val="0"/>
        <w:bCs w:val="0"/>
        <w:i w:val="0"/>
        <w:u w:val="none"/>
      </w:rPr>
    </w:lvl>
    <w:lvl w:ilvl="1">
      <w:start w:val="1"/>
      <w:numFmt w:val="lowerLetter"/>
      <w:lvlText w:val="(%2)"/>
      <w:lvlJc w:val="left"/>
      <w:pPr>
        <w:ind w:left="1281" w:hanging="499"/>
      </w:pPr>
      <w:rPr>
        <w:rFonts w:hint="default"/>
        <w:b w:val="0"/>
        <w:bCs w:val="0"/>
        <w:u w:val="none"/>
      </w:rPr>
    </w:lvl>
    <w:lvl w:ilvl="2">
      <w:start w:val="1"/>
      <w:numFmt w:val="lowerRoman"/>
      <w:lvlText w:val="(%3)"/>
      <w:lvlJc w:val="left"/>
      <w:pPr>
        <w:ind w:left="2063" w:hanging="782"/>
      </w:pPr>
      <w:rPr>
        <w:rFonts w:hint="default"/>
        <w:b w:val="0"/>
        <w:bCs w:val="0"/>
        <w:u w:val="none"/>
      </w:rPr>
    </w:lvl>
    <w:lvl w:ilvl="3">
      <w:start w:val="1"/>
      <w:numFmt w:val="upperLetter"/>
      <w:lvlText w:val="(%4)"/>
      <w:lvlJc w:val="left"/>
      <w:pPr>
        <w:tabs>
          <w:tab w:val="num" w:pos="2211"/>
        </w:tabs>
        <w:ind w:left="2211" w:hanging="624"/>
      </w:pPr>
      <w:rPr>
        <w:rFonts w:hint="default"/>
        <w:b w:val="0"/>
        <w:bCs w:val="0"/>
        <w:u w:val="none"/>
      </w:rPr>
    </w:lvl>
    <w:lvl w:ilvl="4">
      <w:start w:val="1"/>
      <w:numFmt w:val="upperRoman"/>
      <w:lvlText w:val="%5"/>
      <w:lvlJc w:val="left"/>
      <w:pPr>
        <w:tabs>
          <w:tab w:val="num" w:pos="3259"/>
        </w:tabs>
        <w:ind w:left="3259" w:hanging="708"/>
      </w:pPr>
      <w:rPr>
        <w:rFonts w:hint="default"/>
        <w:b w:val="0"/>
        <w:bCs w:val="0"/>
        <w:u w:val="none"/>
      </w:rPr>
    </w:lvl>
    <w:lvl w:ilvl="5">
      <w:start w:val="1"/>
      <w:numFmt w:val="decimal"/>
      <w:lvlText w:val="%6"/>
      <w:lvlJc w:val="left"/>
      <w:pPr>
        <w:tabs>
          <w:tab w:val="num" w:pos="3969"/>
        </w:tabs>
        <w:ind w:left="3969" w:hanging="709"/>
      </w:pPr>
      <w:rPr>
        <w:rFonts w:hint="default"/>
      </w:rPr>
    </w:lvl>
    <w:lvl w:ilvl="6">
      <w:start w:val="1"/>
      <w:numFmt w:val="lowerLetter"/>
      <w:lvlText w:val="%7)"/>
      <w:lvlJc w:val="left"/>
      <w:pPr>
        <w:tabs>
          <w:tab w:val="num" w:pos="4677"/>
        </w:tabs>
        <w:ind w:left="4677" w:hanging="708"/>
      </w:pPr>
      <w:rPr>
        <w:rFonts w:hint="default"/>
      </w:rPr>
    </w:lvl>
    <w:lvl w:ilvl="7">
      <w:start w:val="1"/>
      <w:numFmt w:val="lowerRoman"/>
      <w:lvlText w:val="%8)"/>
      <w:lvlJc w:val="left"/>
      <w:pPr>
        <w:tabs>
          <w:tab w:val="num" w:pos="5386"/>
        </w:tabs>
        <w:ind w:left="5386" w:hanging="709"/>
      </w:pPr>
      <w:rPr>
        <w:rFonts w:hint="default"/>
      </w:rPr>
    </w:lvl>
    <w:lvl w:ilvl="8">
      <w:start w:val="1"/>
      <w:numFmt w:val="lowerRoman"/>
      <w:lvlText w:val="%9)"/>
      <w:lvlJc w:val="left"/>
      <w:pPr>
        <w:tabs>
          <w:tab w:val="num" w:pos="6095"/>
        </w:tabs>
        <w:ind w:left="6095" w:hanging="709"/>
      </w:pPr>
      <w:rPr>
        <w:rFonts w:hint="default"/>
      </w:rPr>
    </w:lvl>
  </w:abstractNum>
  <w:abstractNum w:abstractNumId="10"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1" w15:restartNumberingAfterBreak="0">
    <w:nsid w:val="2576465B"/>
    <w:multiLevelType w:val="multilevel"/>
    <w:tmpl w:val="D9F888A8"/>
    <w:lvl w:ilvl="0">
      <w:start w:val="1"/>
      <w:numFmt w:val="lowerLetter"/>
      <w:pStyle w:val="NumPlainA"/>
      <w:lvlText w:val="(%1)"/>
      <w:lvlJc w:val="left"/>
      <w:pPr>
        <w:tabs>
          <w:tab w:val="num" w:pos="1666"/>
        </w:tabs>
        <w:ind w:left="1666" w:hanging="510"/>
      </w:pPr>
      <w:rPr>
        <w:rFonts w:hint="default"/>
      </w:rPr>
    </w:lvl>
    <w:lvl w:ilvl="1">
      <w:start w:val="1"/>
      <w:numFmt w:val="lowerRoman"/>
      <w:pStyle w:val="NumPlainA2"/>
      <w:lvlText w:val="(%2)"/>
      <w:lvlJc w:val="left"/>
      <w:pPr>
        <w:tabs>
          <w:tab w:val="num" w:pos="2177"/>
        </w:tabs>
        <w:ind w:left="2177" w:hanging="511"/>
      </w:pPr>
      <w:rPr>
        <w:rFonts w:hint="default"/>
      </w:rPr>
    </w:lvl>
    <w:lvl w:ilvl="2">
      <w:start w:val="1"/>
      <w:numFmt w:val="lowerRoman"/>
      <w:lvlText w:val="%3."/>
      <w:lvlJc w:val="right"/>
      <w:pPr>
        <w:tabs>
          <w:tab w:val="num" w:pos="3316"/>
        </w:tabs>
        <w:ind w:left="3316" w:hanging="180"/>
      </w:pPr>
      <w:rPr>
        <w:rFonts w:hint="default"/>
      </w:rPr>
    </w:lvl>
    <w:lvl w:ilvl="3">
      <w:start w:val="1"/>
      <w:numFmt w:val="decimal"/>
      <w:lvlText w:val="%4."/>
      <w:lvlJc w:val="left"/>
      <w:pPr>
        <w:tabs>
          <w:tab w:val="num" w:pos="4036"/>
        </w:tabs>
        <w:ind w:left="4036" w:hanging="360"/>
      </w:pPr>
      <w:rPr>
        <w:rFonts w:hint="default"/>
      </w:rPr>
    </w:lvl>
    <w:lvl w:ilvl="4">
      <w:start w:val="1"/>
      <w:numFmt w:val="lowerLetter"/>
      <w:lvlText w:val="%5."/>
      <w:lvlJc w:val="left"/>
      <w:pPr>
        <w:tabs>
          <w:tab w:val="num" w:pos="4756"/>
        </w:tabs>
        <w:ind w:left="4756" w:hanging="360"/>
      </w:pPr>
      <w:rPr>
        <w:rFonts w:hint="default"/>
      </w:rPr>
    </w:lvl>
    <w:lvl w:ilvl="5">
      <w:start w:val="1"/>
      <w:numFmt w:val="lowerRoman"/>
      <w:lvlText w:val="%6."/>
      <w:lvlJc w:val="right"/>
      <w:pPr>
        <w:tabs>
          <w:tab w:val="num" w:pos="5476"/>
        </w:tabs>
        <w:ind w:left="5476" w:hanging="180"/>
      </w:pPr>
      <w:rPr>
        <w:rFonts w:hint="default"/>
      </w:rPr>
    </w:lvl>
    <w:lvl w:ilvl="6">
      <w:start w:val="1"/>
      <w:numFmt w:val="decimal"/>
      <w:lvlText w:val="%7."/>
      <w:lvlJc w:val="left"/>
      <w:pPr>
        <w:tabs>
          <w:tab w:val="num" w:pos="6196"/>
        </w:tabs>
        <w:ind w:left="6196" w:hanging="360"/>
      </w:pPr>
      <w:rPr>
        <w:rFonts w:hint="default"/>
      </w:rPr>
    </w:lvl>
    <w:lvl w:ilvl="7">
      <w:start w:val="1"/>
      <w:numFmt w:val="lowerLetter"/>
      <w:lvlText w:val="%8."/>
      <w:lvlJc w:val="left"/>
      <w:pPr>
        <w:tabs>
          <w:tab w:val="num" w:pos="6916"/>
        </w:tabs>
        <w:ind w:left="6916" w:hanging="360"/>
      </w:pPr>
      <w:rPr>
        <w:rFonts w:hint="default"/>
      </w:rPr>
    </w:lvl>
    <w:lvl w:ilvl="8">
      <w:start w:val="1"/>
      <w:numFmt w:val="lowerRoman"/>
      <w:lvlText w:val="%9."/>
      <w:lvlJc w:val="right"/>
      <w:pPr>
        <w:tabs>
          <w:tab w:val="num" w:pos="7636"/>
        </w:tabs>
        <w:ind w:left="7636" w:hanging="180"/>
      </w:pPr>
      <w:rPr>
        <w:rFonts w:hint="default"/>
      </w:rPr>
    </w:lvl>
  </w:abstractNum>
  <w:abstractNum w:abstractNumId="12" w15:restartNumberingAfterBreak="0">
    <w:nsid w:val="25B25A19"/>
    <w:multiLevelType w:val="hybridMultilevel"/>
    <w:tmpl w:val="D16238EE"/>
    <w:lvl w:ilvl="0" w:tplc="3A2ABD76">
      <w:start w:val="1"/>
      <w:numFmt w:val="lowerLetter"/>
      <w:lvlText w:val="(%1)"/>
      <w:lvlJc w:val="left"/>
      <w:pPr>
        <w:ind w:left="1380" w:hanging="360"/>
      </w:pPr>
      <w:rPr>
        <w:rFonts w:hint="default"/>
      </w:r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13"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14" w15:restartNumberingAfterBreak="0">
    <w:nsid w:val="3AB56283"/>
    <w:multiLevelType w:val="hybridMultilevel"/>
    <w:tmpl w:val="17A67A28"/>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15" w15:restartNumberingAfterBreak="0">
    <w:nsid w:val="4CA52957"/>
    <w:multiLevelType w:val="hybridMultilevel"/>
    <w:tmpl w:val="4ADC36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0DF307B"/>
    <w:multiLevelType w:val="hybridMultilevel"/>
    <w:tmpl w:val="1AAA4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F60789"/>
    <w:multiLevelType w:val="hybridMultilevel"/>
    <w:tmpl w:val="7BB06F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3CC709A"/>
    <w:multiLevelType w:val="hybridMultilevel"/>
    <w:tmpl w:val="13226D1E"/>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19" w15:restartNumberingAfterBreak="0">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542243"/>
    <w:multiLevelType w:val="multilevel"/>
    <w:tmpl w:val="C868E5B4"/>
    <w:lvl w:ilvl="0">
      <w:start w:val="1"/>
      <w:numFmt w:val="decimal"/>
      <w:pStyle w:val="NumPlain1"/>
      <w:lvlText w:val="%1"/>
      <w:lvlJc w:val="left"/>
      <w:pPr>
        <w:tabs>
          <w:tab w:val="num" w:pos="510"/>
        </w:tabs>
        <w:ind w:left="510" w:hanging="510"/>
      </w:pPr>
      <w:rPr>
        <w:rFonts w:hint="default"/>
        <w:b w:val="0"/>
      </w:rPr>
    </w:lvl>
    <w:lvl w:ilvl="1">
      <w:start w:val="1"/>
      <w:numFmt w:val="lowerLetter"/>
      <w:pStyle w:val="NumPlain2"/>
      <w:lvlText w:val="(%2)"/>
      <w:lvlJc w:val="left"/>
      <w:pPr>
        <w:tabs>
          <w:tab w:val="num" w:pos="1021"/>
        </w:tabs>
        <w:ind w:left="1021" w:hanging="511"/>
      </w:pPr>
      <w:rPr>
        <w:rFonts w:hint="default"/>
        <w:i w:val="0"/>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21" w15:restartNumberingAfterBreak="0">
    <w:nsid w:val="62373062"/>
    <w:multiLevelType w:val="hybridMultilevel"/>
    <w:tmpl w:val="D16238EE"/>
    <w:lvl w:ilvl="0" w:tplc="3A2ABD7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23" w15:restartNumberingAfterBreak="0">
    <w:nsid w:val="6E5C7F7A"/>
    <w:multiLevelType w:val="hybridMultilevel"/>
    <w:tmpl w:val="9E62C330"/>
    <w:lvl w:ilvl="0" w:tplc="0C090001">
      <w:start w:val="1"/>
      <w:numFmt w:val="bullet"/>
      <w:lvlText w:val=""/>
      <w:lvlJc w:val="left"/>
      <w:pPr>
        <w:ind w:left="1502" w:hanging="360"/>
      </w:pPr>
      <w:rPr>
        <w:rFonts w:ascii="Symbol" w:hAnsi="Symbol" w:hint="default"/>
      </w:rPr>
    </w:lvl>
    <w:lvl w:ilvl="1" w:tplc="0C090003" w:tentative="1">
      <w:start w:val="1"/>
      <w:numFmt w:val="bullet"/>
      <w:lvlText w:val="o"/>
      <w:lvlJc w:val="left"/>
      <w:pPr>
        <w:ind w:left="2222" w:hanging="360"/>
      </w:pPr>
      <w:rPr>
        <w:rFonts w:ascii="Courier New" w:hAnsi="Courier New" w:cs="Courier New" w:hint="default"/>
      </w:rPr>
    </w:lvl>
    <w:lvl w:ilvl="2" w:tplc="0C090005" w:tentative="1">
      <w:start w:val="1"/>
      <w:numFmt w:val="bullet"/>
      <w:lvlText w:val=""/>
      <w:lvlJc w:val="left"/>
      <w:pPr>
        <w:ind w:left="2942" w:hanging="360"/>
      </w:pPr>
      <w:rPr>
        <w:rFonts w:ascii="Wingdings" w:hAnsi="Wingdings" w:hint="default"/>
      </w:rPr>
    </w:lvl>
    <w:lvl w:ilvl="3" w:tplc="0C090001" w:tentative="1">
      <w:start w:val="1"/>
      <w:numFmt w:val="bullet"/>
      <w:lvlText w:val=""/>
      <w:lvlJc w:val="left"/>
      <w:pPr>
        <w:ind w:left="3662" w:hanging="360"/>
      </w:pPr>
      <w:rPr>
        <w:rFonts w:ascii="Symbol" w:hAnsi="Symbol" w:hint="default"/>
      </w:rPr>
    </w:lvl>
    <w:lvl w:ilvl="4" w:tplc="0C090003" w:tentative="1">
      <w:start w:val="1"/>
      <w:numFmt w:val="bullet"/>
      <w:lvlText w:val="o"/>
      <w:lvlJc w:val="left"/>
      <w:pPr>
        <w:ind w:left="4382" w:hanging="360"/>
      </w:pPr>
      <w:rPr>
        <w:rFonts w:ascii="Courier New" w:hAnsi="Courier New" w:cs="Courier New" w:hint="default"/>
      </w:rPr>
    </w:lvl>
    <w:lvl w:ilvl="5" w:tplc="0C090005" w:tentative="1">
      <w:start w:val="1"/>
      <w:numFmt w:val="bullet"/>
      <w:lvlText w:val=""/>
      <w:lvlJc w:val="left"/>
      <w:pPr>
        <w:ind w:left="5102" w:hanging="360"/>
      </w:pPr>
      <w:rPr>
        <w:rFonts w:ascii="Wingdings" w:hAnsi="Wingdings" w:hint="default"/>
      </w:rPr>
    </w:lvl>
    <w:lvl w:ilvl="6" w:tplc="0C090001" w:tentative="1">
      <w:start w:val="1"/>
      <w:numFmt w:val="bullet"/>
      <w:lvlText w:val=""/>
      <w:lvlJc w:val="left"/>
      <w:pPr>
        <w:ind w:left="5822" w:hanging="360"/>
      </w:pPr>
      <w:rPr>
        <w:rFonts w:ascii="Symbol" w:hAnsi="Symbol" w:hint="default"/>
      </w:rPr>
    </w:lvl>
    <w:lvl w:ilvl="7" w:tplc="0C090003" w:tentative="1">
      <w:start w:val="1"/>
      <w:numFmt w:val="bullet"/>
      <w:lvlText w:val="o"/>
      <w:lvlJc w:val="left"/>
      <w:pPr>
        <w:ind w:left="6542" w:hanging="360"/>
      </w:pPr>
      <w:rPr>
        <w:rFonts w:ascii="Courier New" w:hAnsi="Courier New" w:cs="Courier New" w:hint="default"/>
      </w:rPr>
    </w:lvl>
    <w:lvl w:ilvl="8" w:tplc="0C090005" w:tentative="1">
      <w:start w:val="1"/>
      <w:numFmt w:val="bullet"/>
      <w:lvlText w:val=""/>
      <w:lvlJc w:val="left"/>
      <w:pPr>
        <w:ind w:left="7262" w:hanging="360"/>
      </w:pPr>
      <w:rPr>
        <w:rFonts w:ascii="Wingdings" w:hAnsi="Wingdings" w:hint="default"/>
      </w:rPr>
    </w:lvl>
  </w:abstractNum>
  <w:abstractNum w:abstractNumId="24" w15:restartNumberingAfterBreak="0">
    <w:nsid w:val="6FB25B01"/>
    <w:multiLevelType w:val="hybridMultilevel"/>
    <w:tmpl w:val="E8D82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5"/>
  </w:num>
  <w:num w:numId="5">
    <w:abstractNumId w:val="10"/>
  </w:num>
  <w:num w:numId="6">
    <w:abstractNumId w:val="22"/>
  </w:num>
  <w:num w:numId="7">
    <w:abstractNumId w:val="11"/>
  </w:num>
  <w:num w:numId="8">
    <w:abstractNumId w:val="13"/>
  </w:num>
  <w:num w:numId="9">
    <w:abstractNumId w:val="1"/>
  </w:num>
  <w:num w:numId="10">
    <w:abstractNumId w:val="0"/>
  </w:num>
  <w:num w:numId="11">
    <w:abstractNumId w:val="19"/>
  </w:num>
  <w:num w:numId="12">
    <w:abstractNumId w:val="21"/>
  </w:num>
  <w:num w:numId="13">
    <w:abstractNumId w:val="12"/>
  </w:num>
  <w:num w:numId="14">
    <w:abstractNumId w:val="20"/>
  </w:num>
  <w:num w:numId="15">
    <w:abstractNumId w:val="11"/>
  </w:num>
  <w:num w:numId="16">
    <w:abstractNumId w:val="16"/>
  </w:num>
  <w:num w:numId="17">
    <w:abstractNumId w:val="3"/>
  </w:num>
  <w:num w:numId="18">
    <w:abstractNumId w:val="7"/>
  </w:num>
  <w:num w:numId="19">
    <w:abstractNumId w:val="20"/>
  </w:num>
  <w:num w:numId="20">
    <w:abstractNumId w:val="6"/>
  </w:num>
  <w:num w:numId="21">
    <w:abstractNumId w:val="2"/>
  </w:num>
  <w:num w:numId="22">
    <w:abstractNumId w:val="4"/>
  </w:num>
  <w:num w:numId="23">
    <w:abstractNumId w:val="24"/>
  </w:num>
  <w:num w:numId="24">
    <w:abstractNumId w:val="9"/>
  </w:num>
  <w:num w:numId="25">
    <w:abstractNumId w:val="15"/>
  </w:num>
  <w:num w:numId="26">
    <w:abstractNumId w:val="17"/>
  </w:num>
  <w:num w:numId="27">
    <w:abstractNumId w:val="23"/>
  </w:num>
  <w:num w:numId="28">
    <w:abstractNumId w:val="14"/>
  </w:num>
  <w:num w:numId="29">
    <w:abstractNumId w:val="18"/>
  </w:num>
  <w:num w:numId="30">
    <w:abstractNumId w:val="20"/>
  </w:num>
  <w:num w:numId="31">
    <w:abstractNumId w:val="20"/>
  </w:num>
  <w:num w:numId="32">
    <w:abstractNumId w:val="8"/>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2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10"/>
  <w:doNotHyphenateCaps/>
  <w:drawingGridHorizontalSpacing w:val="24"/>
  <w:displayHorizontalDrawingGridEvery w:val="0"/>
  <w:displayVerticalDrawingGridEvery w:val="0"/>
  <w:doNotShadeFormData/>
  <w:noPunctuationKerning/>
  <w:characterSpacingControl w:val="doNotCompress"/>
  <w:hdrShapeDefaults>
    <o:shapedefaults v:ext="edit" spidmax="6145">
      <o:colormru v:ext="edit" colors="#ddd,silver,#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747"/>
    <w:rsid w:val="000012B4"/>
    <w:rsid w:val="00002604"/>
    <w:rsid w:val="0000292B"/>
    <w:rsid w:val="00003827"/>
    <w:rsid w:val="00004EC8"/>
    <w:rsid w:val="000061FF"/>
    <w:rsid w:val="00006FD5"/>
    <w:rsid w:val="000202E2"/>
    <w:rsid w:val="00021584"/>
    <w:rsid w:val="000217DB"/>
    <w:rsid w:val="000219FC"/>
    <w:rsid w:val="00022BB7"/>
    <w:rsid w:val="00023C32"/>
    <w:rsid w:val="00027E8B"/>
    <w:rsid w:val="0003355F"/>
    <w:rsid w:val="00033D19"/>
    <w:rsid w:val="00034D3A"/>
    <w:rsid w:val="0003692E"/>
    <w:rsid w:val="00040528"/>
    <w:rsid w:val="00043291"/>
    <w:rsid w:val="0004455B"/>
    <w:rsid w:val="000451C4"/>
    <w:rsid w:val="00045C9C"/>
    <w:rsid w:val="00046196"/>
    <w:rsid w:val="00046EE5"/>
    <w:rsid w:val="000478B3"/>
    <w:rsid w:val="000528ED"/>
    <w:rsid w:val="00053B3A"/>
    <w:rsid w:val="0005428C"/>
    <w:rsid w:val="00054538"/>
    <w:rsid w:val="000571A9"/>
    <w:rsid w:val="0005734D"/>
    <w:rsid w:val="00057A40"/>
    <w:rsid w:val="00060A29"/>
    <w:rsid w:val="000614B9"/>
    <w:rsid w:val="00061C62"/>
    <w:rsid w:val="000621BE"/>
    <w:rsid w:val="000625F2"/>
    <w:rsid w:val="00064315"/>
    <w:rsid w:val="00065B29"/>
    <w:rsid w:val="00065F97"/>
    <w:rsid w:val="000671D7"/>
    <w:rsid w:val="00067810"/>
    <w:rsid w:val="00072FF2"/>
    <w:rsid w:val="00074133"/>
    <w:rsid w:val="00074CB7"/>
    <w:rsid w:val="000758C2"/>
    <w:rsid w:val="00075B63"/>
    <w:rsid w:val="00076084"/>
    <w:rsid w:val="00076143"/>
    <w:rsid w:val="00076CF3"/>
    <w:rsid w:val="000771ED"/>
    <w:rsid w:val="0007743D"/>
    <w:rsid w:val="000812F8"/>
    <w:rsid w:val="00081745"/>
    <w:rsid w:val="00081E0C"/>
    <w:rsid w:val="00084AB4"/>
    <w:rsid w:val="00085C6D"/>
    <w:rsid w:val="00090558"/>
    <w:rsid w:val="00090A6F"/>
    <w:rsid w:val="00091916"/>
    <w:rsid w:val="00095149"/>
    <w:rsid w:val="00096027"/>
    <w:rsid w:val="0009611A"/>
    <w:rsid w:val="00096ED1"/>
    <w:rsid w:val="000974EE"/>
    <w:rsid w:val="000A2167"/>
    <w:rsid w:val="000A22AF"/>
    <w:rsid w:val="000A368E"/>
    <w:rsid w:val="000A3FA7"/>
    <w:rsid w:val="000A70BC"/>
    <w:rsid w:val="000B0FCD"/>
    <w:rsid w:val="000B2AD3"/>
    <w:rsid w:val="000B733C"/>
    <w:rsid w:val="000C3EB0"/>
    <w:rsid w:val="000C44C6"/>
    <w:rsid w:val="000C4E31"/>
    <w:rsid w:val="000C605F"/>
    <w:rsid w:val="000C70C5"/>
    <w:rsid w:val="000D01CA"/>
    <w:rsid w:val="000D0AD5"/>
    <w:rsid w:val="000D316A"/>
    <w:rsid w:val="000D4540"/>
    <w:rsid w:val="000D4A03"/>
    <w:rsid w:val="000D582D"/>
    <w:rsid w:val="000D7B40"/>
    <w:rsid w:val="000E288D"/>
    <w:rsid w:val="000E2993"/>
    <w:rsid w:val="000E3E92"/>
    <w:rsid w:val="000E6394"/>
    <w:rsid w:val="000E6D94"/>
    <w:rsid w:val="000F1963"/>
    <w:rsid w:val="000F2088"/>
    <w:rsid w:val="000F211F"/>
    <w:rsid w:val="000F31B6"/>
    <w:rsid w:val="000F3B5D"/>
    <w:rsid w:val="000F64CC"/>
    <w:rsid w:val="001030E9"/>
    <w:rsid w:val="00103298"/>
    <w:rsid w:val="001035E0"/>
    <w:rsid w:val="00103D5E"/>
    <w:rsid w:val="0010515C"/>
    <w:rsid w:val="001066B4"/>
    <w:rsid w:val="00106735"/>
    <w:rsid w:val="00110B96"/>
    <w:rsid w:val="001162C5"/>
    <w:rsid w:val="00116BB7"/>
    <w:rsid w:val="0011791B"/>
    <w:rsid w:val="001206CF"/>
    <w:rsid w:val="0012107D"/>
    <w:rsid w:val="00124E4C"/>
    <w:rsid w:val="00126D4A"/>
    <w:rsid w:val="001276FD"/>
    <w:rsid w:val="0013293E"/>
    <w:rsid w:val="0013564B"/>
    <w:rsid w:val="00140D32"/>
    <w:rsid w:val="00144484"/>
    <w:rsid w:val="00144659"/>
    <w:rsid w:val="0014558E"/>
    <w:rsid w:val="0014616D"/>
    <w:rsid w:val="00147221"/>
    <w:rsid w:val="001476AA"/>
    <w:rsid w:val="0015089B"/>
    <w:rsid w:val="0015095C"/>
    <w:rsid w:val="00150C4B"/>
    <w:rsid w:val="001548AC"/>
    <w:rsid w:val="00155D35"/>
    <w:rsid w:val="00160348"/>
    <w:rsid w:val="00161547"/>
    <w:rsid w:val="00161788"/>
    <w:rsid w:val="001640A3"/>
    <w:rsid w:val="001643C0"/>
    <w:rsid w:val="001651E2"/>
    <w:rsid w:val="00165F77"/>
    <w:rsid w:val="001662B8"/>
    <w:rsid w:val="001672C9"/>
    <w:rsid w:val="0016744A"/>
    <w:rsid w:val="001716DA"/>
    <w:rsid w:val="00171F51"/>
    <w:rsid w:val="001729AE"/>
    <w:rsid w:val="00173F2A"/>
    <w:rsid w:val="001741B4"/>
    <w:rsid w:val="001748C1"/>
    <w:rsid w:val="001757D7"/>
    <w:rsid w:val="001761C6"/>
    <w:rsid w:val="00176E5E"/>
    <w:rsid w:val="00182364"/>
    <w:rsid w:val="00182E97"/>
    <w:rsid w:val="001864D4"/>
    <w:rsid w:val="0019263D"/>
    <w:rsid w:val="0019286F"/>
    <w:rsid w:val="00192E69"/>
    <w:rsid w:val="00193182"/>
    <w:rsid w:val="001942DC"/>
    <w:rsid w:val="00196844"/>
    <w:rsid w:val="001A04B6"/>
    <w:rsid w:val="001A25B1"/>
    <w:rsid w:val="001A4E74"/>
    <w:rsid w:val="001A5641"/>
    <w:rsid w:val="001A6D5C"/>
    <w:rsid w:val="001B05C9"/>
    <w:rsid w:val="001B2092"/>
    <w:rsid w:val="001B276A"/>
    <w:rsid w:val="001B2F62"/>
    <w:rsid w:val="001B32F5"/>
    <w:rsid w:val="001B33A5"/>
    <w:rsid w:val="001B342F"/>
    <w:rsid w:val="001B6BDC"/>
    <w:rsid w:val="001B75CC"/>
    <w:rsid w:val="001C1016"/>
    <w:rsid w:val="001C1D40"/>
    <w:rsid w:val="001C225F"/>
    <w:rsid w:val="001C272A"/>
    <w:rsid w:val="001C49AC"/>
    <w:rsid w:val="001C7365"/>
    <w:rsid w:val="001D03C5"/>
    <w:rsid w:val="001D0D75"/>
    <w:rsid w:val="001D1BE6"/>
    <w:rsid w:val="001D46F3"/>
    <w:rsid w:val="001D4C57"/>
    <w:rsid w:val="001D6079"/>
    <w:rsid w:val="001E09E1"/>
    <w:rsid w:val="001E351E"/>
    <w:rsid w:val="001E6CDF"/>
    <w:rsid w:val="001E71E8"/>
    <w:rsid w:val="001F033D"/>
    <w:rsid w:val="001F1073"/>
    <w:rsid w:val="001F2B35"/>
    <w:rsid w:val="001F2DBC"/>
    <w:rsid w:val="001F2F77"/>
    <w:rsid w:val="001F5D16"/>
    <w:rsid w:val="001F67C6"/>
    <w:rsid w:val="001F78DF"/>
    <w:rsid w:val="00201A99"/>
    <w:rsid w:val="0020237A"/>
    <w:rsid w:val="00203CBB"/>
    <w:rsid w:val="0020560B"/>
    <w:rsid w:val="00207D21"/>
    <w:rsid w:val="002109E3"/>
    <w:rsid w:val="00212E65"/>
    <w:rsid w:val="00213137"/>
    <w:rsid w:val="00214EA8"/>
    <w:rsid w:val="0022022E"/>
    <w:rsid w:val="00220917"/>
    <w:rsid w:val="00221C25"/>
    <w:rsid w:val="00222562"/>
    <w:rsid w:val="00223A79"/>
    <w:rsid w:val="00224DF1"/>
    <w:rsid w:val="002267E8"/>
    <w:rsid w:val="00226F32"/>
    <w:rsid w:val="0023054C"/>
    <w:rsid w:val="00231412"/>
    <w:rsid w:val="0023186F"/>
    <w:rsid w:val="00232125"/>
    <w:rsid w:val="002329F3"/>
    <w:rsid w:val="00233915"/>
    <w:rsid w:val="00235803"/>
    <w:rsid w:val="002359D6"/>
    <w:rsid w:val="00236DE1"/>
    <w:rsid w:val="002456D3"/>
    <w:rsid w:val="00246200"/>
    <w:rsid w:val="002472F4"/>
    <w:rsid w:val="0025186E"/>
    <w:rsid w:val="00251C46"/>
    <w:rsid w:val="00252A9B"/>
    <w:rsid w:val="00253148"/>
    <w:rsid w:val="0025497B"/>
    <w:rsid w:val="00254B16"/>
    <w:rsid w:val="002606D4"/>
    <w:rsid w:val="00261E7F"/>
    <w:rsid w:val="00262456"/>
    <w:rsid w:val="0026326F"/>
    <w:rsid w:val="00263B7B"/>
    <w:rsid w:val="002649BF"/>
    <w:rsid w:val="00265A50"/>
    <w:rsid w:val="00267043"/>
    <w:rsid w:val="00267318"/>
    <w:rsid w:val="002679CB"/>
    <w:rsid w:val="00267F28"/>
    <w:rsid w:val="0027167F"/>
    <w:rsid w:val="00273B7F"/>
    <w:rsid w:val="0027471A"/>
    <w:rsid w:val="002750D7"/>
    <w:rsid w:val="00275490"/>
    <w:rsid w:val="00276BC5"/>
    <w:rsid w:val="0028086D"/>
    <w:rsid w:val="00282CE4"/>
    <w:rsid w:val="00283110"/>
    <w:rsid w:val="00283482"/>
    <w:rsid w:val="002862EE"/>
    <w:rsid w:val="0028759D"/>
    <w:rsid w:val="0029184F"/>
    <w:rsid w:val="00294712"/>
    <w:rsid w:val="00295DBE"/>
    <w:rsid w:val="0029647E"/>
    <w:rsid w:val="002A1087"/>
    <w:rsid w:val="002A1CE1"/>
    <w:rsid w:val="002A201D"/>
    <w:rsid w:val="002A2FD2"/>
    <w:rsid w:val="002A3230"/>
    <w:rsid w:val="002B1C08"/>
    <w:rsid w:val="002B38D3"/>
    <w:rsid w:val="002B4063"/>
    <w:rsid w:val="002B5A0A"/>
    <w:rsid w:val="002B7803"/>
    <w:rsid w:val="002B7D33"/>
    <w:rsid w:val="002C03EA"/>
    <w:rsid w:val="002C0499"/>
    <w:rsid w:val="002C3540"/>
    <w:rsid w:val="002C49A4"/>
    <w:rsid w:val="002C5641"/>
    <w:rsid w:val="002C736F"/>
    <w:rsid w:val="002C78A4"/>
    <w:rsid w:val="002D0895"/>
    <w:rsid w:val="002D1472"/>
    <w:rsid w:val="002D46EA"/>
    <w:rsid w:val="002E0BC7"/>
    <w:rsid w:val="002E3658"/>
    <w:rsid w:val="002E3A98"/>
    <w:rsid w:val="002E791E"/>
    <w:rsid w:val="002F1CD0"/>
    <w:rsid w:val="002F32ED"/>
    <w:rsid w:val="00301F4F"/>
    <w:rsid w:val="00302F7C"/>
    <w:rsid w:val="00303EEE"/>
    <w:rsid w:val="003045D3"/>
    <w:rsid w:val="003046CA"/>
    <w:rsid w:val="0030521E"/>
    <w:rsid w:val="0030745B"/>
    <w:rsid w:val="003078DA"/>
    <w:rsid w:val="00307F26"/>
    <w:rsid w:val="003123C4"/>
    <w:rsid w:val="00312D97"/>
    <w:rsid w:val="0031372A"/>
    <w:rsid w:val="003147E7"/>
    <w:rsid w:val="00314DAD"/>
    <w:rsid w:val="0031631B"/>
    <w:rsid w:val="0031670F"/>
    <w:rsid w:val="00316CDD"/>
    <w:rsid w:val="00316E9E"/>
    <w:rsid w:val="00324B05"/>
    <w:rsid w:val="003251D8"/>
    <w:rsid w:val="00326975"/>
    <w:rsid w:val="00326E48"/>
    <w:rsid w:val="003278E3"/>
    <w:rsid w:val="00330CEE"/>
    <w:rsid w:val="00332963"/>
    <w:rsid w:val="00333A52"/>
    <w:rsid w:val="0033509B"/>
    <w:rsid w:val="0033581C"/>
    <w:rsid w:val="003403F9"/>
    <w:rsid w:val="003426BE"/>
    <w:rsid w:val="00343829"/>
    <w:rsid w:val="003463F1"/>
    <w:rsid w:val="00350383"/>
    <w:rsid w:val="00350B4C"/>
    <w:rsid w:val="003514A7"/>
    <w:rsid w:val="003571A2"/>
    <w:rsid w:val="003605F6"/>
    <w:rsid w:val="00362166"/>
    <w:rsid w:val="003647D0"/>
    <w:rsid w:val="00364B30"/>
    <w:rsid w:val="00365611"/>
    <w:rsid w:val="00366186"/>
    <w:rsid w:val="00367C1D"/>
    <w:rsid w:val="00367DC9"/>
    <w:rsid w:val="00372154"/>
    <w:rsid w:val="00377B8D"/>
    <w:rsid w:val="00380CDD"/>
    <w:rsid w:val="00382796"/>
    <w:rsid w:val="00383164"/>
    <w:rsid w:val="003842ED"/>
    <w:rsid w:val="003844D8"/>
    <w:rsid w:val="00384851"/>
    <w:rsid w:val="003866D3"/>
    <w:rsid w:val="003869E4"/>
    <w:rsid w:val="0039009E"/>
    <w:rsid w:val="003907B5"/>
    <w:rsid w:val="00390EC6"/>
    <w:rsid w:val="00391430"/>
    <w:rsid w:val="00397377"/>
    <w:rsid w:val="003A488F"/>
    <w:rsid w:val="003A60C1"/>
    <w:rsid w:val="003A77D9"/>
    <w:rsid w:val="003B061B"/>
    <w:rsid w:val="003B0CAA"/>
    <w:rsid w:val="003B0E71"/>
    <w:rsid w:val="003B106D"/>
    <w:rsid w:val="003B2781"/>
    <w:rsid w:val="003B6633"/>
    <w:rsid w:val="003C0B1B"/>
    <w:rsid w:val="003C284A"/>
    <w:rsid w:val="003C310B"/>
    <w:rsid w:val="003C32CE"/>
    <w:rsid w:val="003C35A9"/>
    <w:rsid w:val="003C4318"/>
    <w:rsid w:val="003C620D"/>
    <w:rsid w:val="003C6B24"/>
    <w:rsid w:val="003D1556"/>
    <w:rsid w:val="003D1702"/>
    <w:rsid w:val="003D1DD4"/>
    <w:rsid w:val="003D41B7"/>
    <w:rsid w:val="003D5697"/>
    <w:rsid w:val="003D6100"/>
    <w:rsid w:val="003D62BD"/>
    <w:rsid w:val="003D6E4B"/>
    <w:rsid w:val="003D6F7C"/>
    <w:rsid w:val="003E0A68"/>
    <w:rsid w:val="003E1900"/>
    <w:rsid w:val="003E311D"/>
    <w:rsid w:val="003E7FA1"/>
    <w:rsid w:val="003F0072"/>
    <w:rsid w:val="003F067C"/>
    <w:rsid w:val="003F2DCA"/>
    <w:rsid w:val="003F3843"/>
    <w:rsid w:val="003F68F8"/>
    <w:rsid w:val="003F6ED6"/>
    <w:rsid w:val="004001FD"/>
    <w:rsid w:val="00400DAE"/>
    <w:rsid w:val="00401ECA"/>
    <w:rsid w:val="004037F5"/>
    <w:rsid w:val="00403E52"/>
    <w:rsid w:val="004073DE"/>
    <w:rsid w:val="004113EE"/>
    <w:rsid w:val="00411784"/>
    <w:rsid w:val="00411BD0"/>
    <w:rsid w:val="004150BD"/>
    <w:rsid w:val="00416A82"/>
    <w:rsid w:val="00422E4D"/>
    <w:rsid w:val="00425611"/>
    <w:rsid w:val="00425CA2"/>
    <w:rsid w:val="00426876"/>
    <w:rsid w:val="00427DFA"/>
    <w:rsid w:val="0043085A"/>
    <w:rsid w:val="00433FC5"/>
    <w:rsid w:val="004341AC"/>
    <w:rsid w:val="00434224"/>
    <w:rsid w:val="00434D86"/>
    <w:rsid w:val="00435320"/>
    <w:rsid w:val="00435728"/>
    <w:rsid w:val="00436A2D"/>
    <w:rsid w:val="00437A63"/>
    <w:rsid w:val="004420A9"/>
    <w:rsid w:val="00443355"/>
    <w:rsid w:val="00443A64"/>
    <w:rsid w:val="00446E37"/>
    <w:rsid w:val="0044702C"/>
    <w:rsid w:val="00447328"/>
    <w:rsid w:val="004525B3"/>
    <w:rsid w:val="004540E3"/>
    <w:rsid w:val="00456CB2"/>
    <w:rsid w:val="00456D0C"/>
    <w:rsid w:val="00460D5E"/>
    <w:rsid w:val="00460FBB"/>
    <w:rsid w:val="004615EC"/>
    <w:rsid w:val="00466292"/>
    <w:rsid w:val="004666CB"/>
    <w:rsid w:val="00470831"/>
    <w:rsid w:val="00470CE9"/>
    <w:rsid w:val="0047318E"/>
    <w:rsid w:val="00473A56"/>
    <w:rsid w:val="004745BD"/>
    <w:rsid w:val="00475AE4"/>
    <w:rsid w:val="0047683E"/>
    <w:rsid w:val="00480D9C"/>
    <w:rsid w:val="0048155F"/>
    <w:rsid w:val="00485481"/>
    <w:rsid w:val="00486177"/>
    <w:rsid w:val="00487CF6"/>
    <w:rsid w:val="00490569"/>
    <w:rsid w:val="00490C6F"/>
    <w:rsid w:val="00491083"/>
    <w:rsid w:val="0049255F"/>
    <w:rsid w:val="00492B39"/>
    <w:rsid w:val="004961F8"/>
    <w:rsid w:val="00496426"/>
    <w:rsid w:val="004966E2"/>
    <w:rsid w:val="004975C0"/>
    <w:rsid w:val="004A23B7"/>
    <w:rsid w:val="004A3747"/>
    <w:rsid w:val="004A3BB8"/>
    <w:rsid w:val="004A3C2F"/>
    <w:rsid w:val="004A417F"/>
    <w:rsid w:val="004A47B0"/>
    <w:rsid w:val="004A62F1"/>
    <w:rsid w:val="004B0159"/>
    <w:rsid w:val="004B038C"/>
    <w:rsid w:val="004B0A57"/>
    <w:rsid w:val="004B2515"/>
    <w:rsid w:val="004B30D4"/>
    <w:rsid w:val="004B4319"/>
    <w:rsid w:val="004B4427"/>
    <w:rsid w:val="004B736C"/>
    <w:rsid w:val="004C0408"/>
    <w:rsid w:val="004C045C"/>
    <w:rsid w:val="004C1C31"/>
    <w:rsid w:val="004C28A9"/>
    <w:rsid w:val="004C34EE"/>
    <w:rsid w:val="004C4A83"/>
    <w:rsid w:val="004C4BAD"/>
    <w:rsid w:val="004C5898"/>
    <w:rsid w:val="004C5BDE"/>
    <w:rsid w:val="004C604C"/>
    <w:rsid w:val="004C74D5"/>
    <w:rsid w:val="004D0976"/>
    <w:rsid w:val="004D3809"/>
    <w:rsid w:val="004D43B6"/>
    <w:rsid w:val="004D4D1C"/>
    <w:rsid w:val="004D5AD1"/>
    <w:rsid w:val="004E1023"/>
    <w:rsid w:val="004E20BC"/>
    <w:rsid w:val="004E3B24"/>
    <w:rsid w:val="004E3F34"/>
    <w:rsid w:val="004E465A"/>
    <w:rsid w:val="004E47E9"/>
    <w:rsid w:val="004E57DA"/>
    <w:rsid w:val="004E67F6"/>
    <w:rsid w:val="004E7581"/>
    <w:rsid w:val="004F00F1"/>
    <w:rsid w:val="004F34BB"/>
    <w:rsid w:val="004F46A9"/>
    <w:rsid w:val="004F55FE"/>
    <w:rsid w:val="0050004A"/>
    <w:rsid w:val="00500479"/>
    <w:rsid w:val="00500751"/>
    <w:rsid w:val="00500E80"/>
    <w:rsid w:val="00505839"/>
    <w:rsid w:val="005076AB"/>
    <w:rsid w:val="00507971"/>
    <w:rsid w:val="005104DB"/>
    <w:rsid w:val="005113DD"/>
    <w:rsid w:val="005115E1"/>
    <w:rsid w:val="00511C34"/>
    <w:rsid w:val="00512427"/>
    <w:rsid w:val="00512D3E"/>
    <w:rsid w:val="005161CB"/>
    <w:rsid w:val="005166B2"/>
    <w:rsid w:val="0052076B"/>
    <w:rsid w:val="005231B4"/>
    <w:rsid w:val="00532102"/>
    <w:rsid w:val="00533F9C"/>
    <w:rsid w:val="0053452C"/>
    <w:rsid w:val="00534BAD"/>
    <w:rsid w:val="00534E7B"/>
    <w:rsid w:val="00535EC5"/>
    <w:rsid w:val="00537456"/>
    <w:rsid w:val="0054013E"/>
    <w:rsid w:val="00540308"/>
    <w:rsid w:val="00541A93"/>
    <w:rsid w:val="0054287B"/>
    <w:rsid w:val="00543DC6"/>
    <w:rsid w:val="00544AF9"/>
    <w:rsid w:val="00546583"/>
    <w:rsid w:val="00546FB2"/>
    <w:rsid w:val="0054702E"/>
    <w:rsid w:val="0055018B"/>
    <w:rsid w:val="0055056F"/>
    <w:rsid w:val="00555EAB"/>
    <w:rsid w:val="00556B76"/>
    <w:rsid w:val="00560DB9"/>
    <w:rsid w:val="005613E1"/>
    <w:rsid w:val="00562045"/>
    <w:rsid w:val="0056274D"/>
    <w:rsid w:val="00564C0B"/>
    <w:rsid w:val="005654E2"/>
    <w:rsid w:val="005655CE"/>
    <w:rsid w:val="00566CB7"/>
    <w:rsid w:val="00570ABA"/>
    <w:rsid w:val="00572D8E"/>
    <w:rsid w:val="00574C90"/>
    <w:rsid w:val="005766AD"/>
    <w:rsid w:val="00577065"/>
    <w:rsid w:val="00577D30"/>
    <w:rsid w:val="0058004D"/>
    <w:rsid w:val="00580BC4"/>
    <w:rsid w:val="005834BF"/>
    <w:rsid w:val="00584785"/>
    <w:rsid w:val="00587D37"/>
    <w:rsid w:val="00590051"/>
    <w:rsid w:val="00590221"/>
    <w:rsid w:val="00590415"/>
    <w:rsid w:val="00592C0D"/>
    <w:rsid w:val="00593603"/>
    <w:rsid w:val="00593C25"/>
    <w:rsid w:val="00594096"/>
    <w:rsid w:val="0059506D"/>
    <w:rsid w:val="005970D3"/>
    <w:rsid w:val="005A0032"/>
    <w:rsid w:val="005A0CBB"/>
    <w:rsid w:val="005A2514"/>
    <w:rsid w:val="005A4DA0"/>
    <w:rsid w:val="005A5221"/>
    <w:rsid w:val="005A6AC7"/>
    <w:rsid w:val="005A7519"/>
    <w:rsid w:val="005B146F"/>
    <w:rsid w:val="005B1896"/>
    <w:rsid w:val="005B2077"/>
    <w:rsid w:val="005B3CE5"/>
    <w:rsid w:val="005B63F2"/>
    <w:rsid w:val="005B6C72"/>
    <w:rsid w:val="005C070D"/>
    <w:rsid w:val="005C30C8"/>
    <w:rsid w:val="005D2A86"/>
    <w:rsid w:val="005D3EBC"/>
    <w:rsid w:val="005D607A"/>
    <w:rsid w:val="005D72C8"/>
    <w:rsid w:val="005D7B82"/>
    <w:rsid w:val="005E07CA"/>
    <w:rsid w:val="005E194C"/>
    <w:rsid w:val="005E275A"/>
    <w:rsid w:val="005E4E65"/>
    <w:rsid w:val="005E5E4C"/>
    <w:rsid w:val="005E6BE4"/>
    <w:rsid w:val="005F10FE"/>
    <w:rsid w:val="005F2BF6"/>
    <w:rsid w:val="005F330F"/>
    <w:rsid w:val="005F72D7"/>
    <w:rsid w:val="0060044D"/>
    <w:rsid w:val="006009AA"/>
    <w:rsid w:val="00601362"/>
    <w:rsid w:val="00602261"/>
    <w:rsid w:val="00604159"/>
    <w:rsid w:val="00606AD9"/>
    <w:rsid w:val="00607004"/>
    <w:rsid w:val="0060704A"/>
    <w:rsid w:val="00607181"/>
    <w:rsid w:val="00607D02"/>
    <w:rsid w:val="006105BF"/>
    <w:rsid w:val="00610BB5"/>
    <w:rsid w:val="006143A9"/>
    <w:rsid w:val="00615AE5"/>
    <w:rsid w:val="006162E7"/>
    <w:rsid w:val="006170D9"/>
    <w:rsid w:val="006204CD"/>
    <w:rsid w:val="00621265"/>
    <w:rsid w:val="00622BFD"/>
    <w:rsid w:val="00623B98"/>
    <w:rsid w:val="0063418D"/>
    <w:rsid w:val="006346DB"/>
    <w:rsid w:val="00636F3E"/>
    <w:rsid w:val="006403F7"/>
    <w:rsid w:val="006410C7"/>
    <w:rsid w:val="00641282"/>
    <w:rsid w:val="006415A0"/>
    <w:rsid w:val="00643124"/>
    <w:rsid w:val="00645700"/>
    <w:rsid w:val="006467C3"/>
    <w:rsid w:val="00652DF8"/>
    <w:rsid w:val="0065356F"/>
    <w:rsid w:val="00656392"/>
    <w:rsid w:val="00661CFD"/>
    <w:rsid w:val="006629B5"/>
    <w:rsid w:val="0066443B"/>
    <w:rsid w:val="006675E1"/>
    <w:rsid w:val="006718B0"/>
    <w:rsid w:val="00674C45"/>
    <w:rsid w:val="0067595C"/>
    <w:rsid w:val="00680DFB"/>
    <w:rsid w:val="00680E78"/>
    <w:rsid w:val="006845C4"/>
    <w:rsid w:val="00686852"/>
    <w:rsid w:val="006914C1"/>
    <w:rsid w:val="00695F0F"/>
    <w:rsid w:val="006A0C8A"/>
    <w:rsid w:val="006A3AE9"/>
    <w:rsid w:val="006A40E5"/>
    <w:rsid w:val="006B0CD6"/>
    <w:rsid w:val="006B2801"/>
    <w:rsid w:val="006B596E"/>
    <w:rsid w:val="006C1524"/>
    <w:rsid w:val="006C2E37"/>
    <w:rsid w:val="006C480F"/>
    <w:rsid w:val="006C5261"/>
    <w:rsid w:val="006D055E"/>
    <w:rsid w:val="006D134A"/>
    <w:rsid w:val="006D4700"/>
    <w:rsid w:val="006D7679"/>
    <w:rsid w:val="006E02D0"/>
    <w:rsid w:val="006E1E0F"/>
    <w:rsid w:val="006E2C39"/>
    <w:rsid w:val="006E37A9"/>
    <w:rsid w:val="006E411D"/>
    <w:rsid w:val="006E65DF"/>
    <w:rsid w:val="006E6C5D"/>
    <w:rsid w:val="006F1BB6"/>
    <w:rsid w:val="006F23B0"/>
    <w:rsid w:val="006F4E08"/>
    <w:rsid w:val="006F54BA"/>
    <w:rsid w:val="006F608F"/>
    <w:rsid w:val="006F6367"/>
    <w:rsid w:val="006F7CC4"/>
    <w:rsid w:val="00700489"/>
    <w:rsid w:val="007007F7"/>
    <w:rsid w:val="007010F2"/>
    <w:rsid w:val="007059EC"/>
    <w:rsid w:val="007124EA"/>
    <w:rsid w:val="00712B52"/>
    <w:rsid w:val="0071364D"/>
    <w:rsid w:val="00714340"/>
    <w:rsid w:val="00715899"/>
    <w:rsid w:val="00716EBA"/>
    <w:rsid w:val="007174A1"/>
    <w:rsid w:val="007219F7"/>
    <w:rsid w:val="007228EA"/>
    <w:rsid w:val="00722990"/>
    <w:rsid w:val="00723339"/>
    <w:rsid w:val="007238E1"/>
    <w:rsid w:val="007241F4"/>
    <w:rsid w:val="00725BF0"/>
    <w:rsid w:val="00725DA6"/>
    <w:rsid w:val="007333C2"/>
    <w:rsid w:val="007340ED"/>
    <w:rsid w:val="0073501A"/>
    <w:rsid w:val="007358F7"/>
    <w:rsid w:val="00735A55"/>
    <w:rsid w:val="00737714"/>
    <w:rsid w:val="0074018D"/>
    <w:rsid w:val="007401A3"/>
    <w:rsid w:val="00741B1B"/>
    <w:rsid w:val="007428DE"/>
    <w:rsid w:val="00742E4B"/>
    <w:rsid w:val="00743492"/>
    <w:rsid w:val="0074408E"/>
    <w:rsid w:val="007445F7"/>
    <w:rsid w:val="007455F0"/>
    <w:rsid w:val="007465C3"/>
    <w:rsid w:val="00746BF2"/>
    <w:rsid w:val="00751520"/>
    <w:rsid w:val="00751AE8"/>
    <w:rsid w:val="00751F6A"/>
    <w:rsid w:val="007530C3"/>
    <w:rsid w:val="00754A91"/>
    <w:rsid w:val="007554ED"/>
    <w:rsid w:val="00755E40"/>
    <w:rsid w:val="0075667A"/>
    <w:rsid w:val="0075669D"/>
    <w:rsid w:val="00756F65"/>
    <w:rsid w:val="00756FF6"/>
    <w:rsid w:val="0075761E"/>
    <w:rsid w:val="0076127E"/>
    <w:rsid w:val="00762B02"/>
    <w:rsid w:val="00763C45"/>
    <w:rsid w:val="00765404"/>
    <w:rsid w:val="0076791F"/>
    <w:rsid w:val="0077083B"/>
    <w:rsid w:val="00771905"/>
    <w:rsid w:val="00773599"/>
    <w:rsid w:val="0078112A"/>
    <w:rsid w:val="0078116B"/>
    <w:rsid w:val="0078217C"/>
    <w:rsid w:val="00784721"/>
    <w:rsid w:val="00786D60"/>
    <w:rsid w:val="00787C09"/>
    <w:rsid w:val="007915B5"/>
    <w:rsid w:val="00791CDD"/>
    <w:rsid w:val="00796A92"/>
    <w:rsid w:val="00797C56"/>
    <w:rsid w:val="007A0D88"/>
    <w:rsid w:val="007A283F"/>
    <w:rsid w:val="007A6BC3"/>
    <w:rsid w:val="007A6F5D"/>
    <w:rsid w:val="007B040E"/>
    <w:rsid w:val="007B1088"/>
    <w:rsid w:val="007B10F8"/>
    <w:rsid w:val="007B2BD9"/>
    <w:rsid w:val="007B2C11"/>
    <w:rsid w:val="007B2ED9"/>
    <w:rsid w:val="007B2F0E"/>
    <w:rsid w:val="007B3CD2"/>
    <w:rsid w:val="007B4F11"/>
    <w:rsid w:val="007B630F"/>
    <w:rsid w:val="007B6CBB"/>
    <w:rsid w:val="007B763A"/>
    <w:rsid w:val="007B7BC6"/>
    <w:rsid w:val="007C1891"/>
    <w:rsid w:val="007C1E95"/>
    <w:rsid w:val="007C278C"/>
    <w:rsid w:val="007C2FD3"/>
    <w:rsid w:val="007C6FB3"/>
    <w:rsid w:val="007D1C2E"/>
    <w:rsid w:val="007D255B"/>
    <w:rsid w:val="007D3BFA"/>
    <w:rsid w:val="007D6A57"/>
    <w:rsid w:val="007E14BE"/>
    <w:rsid w:val="007E3187"/>
    <w:rsid w:val="007E7C4E"/>
    <w:rsid w:val="007F01DA"/>
    <w:rsid w:val="007F0EAC"/>
    <w:rsid w:val="007F185D"/>
    <w:rsid w:val="007F1ACB"/>
    <w:rsid w:val="007F1D3D"/>
    <w:rsid w:val="007F2CB3"/>
    <w:rsid w:val="007F3BEC"/>
    <w:rsid w:val="007F47E6"/>
    <w:rsid w:val="008009CB"/>
    <w:rsid w:val="0080107B"/>
    <w:rsid w:val="00801353"/>
    <w:rsid w:val="008014E8"/>
    <w:rsid w:val="008018ED"/>
    <w:rsid w:val="008044AF"/>
    <w:rsid w:val="008048DD"/>
    <w:rsid w:val="00804D25"/>
    <w:rsid w:val="00810229"/>
    <w:rsid w:val="008102DD"/>
    <w:rsid w:val="00810DB2"/>
    <w:rsid w:val="00812637"/>
    <w:rsid w:val="00813227"/>
    <w:rsid w:val="00816494"/>
    <w:rsid w:val="008164F4"/>
    <w:rsid w:val="00817968"/>
    <w:rsid w:val="00820794"/>
    <w:rsid w:val="008227DE"/>
    <w:rsid w:val="008239D9"/>
    <w:rsid w:val="00824405"/>
    <w:rsid w:val="0082655E"/>
    <w:rsid w:val="00827EB4"/>
    <w:rsid w:val="00831497"/>
    <w:rsid w:val="008320C2"/>
    <w:rsid w:val="00837485"/>
    <w:rsid w:val="008410B2"/>
    <w:rsid w:val="00841484"/>
    <w:rsid w:val="00841999"/>
    <w:rsid w:val="00841DA3"/>
    <w:rsid w:val="008438C0"/>
    <w:rsid w:val="00844485"/>
    <w:rsid w:val="008448E9"/>
    <w:rsid w:val="00844F07"/>
    <w:rsid w:val="0084574E"/>
    <w:rsid w:val="008459E8"/>
    <w:rsid w:val="008501F2"/>
    <w:rsid w:val="00851C59"/>
    <w:rsid w:val="008538F7"/>
    <w:rsid w:val="0085770B"/>
    <w:rsid w:val="00862CD2"/>
    <w:rsid w:val="0086334C"/>
    <w:rsid w:val="00864ADE"/>
    <w:rsid w:val="008667D1"/>
    <w:rsid w:val="008670EF"/>
    <w:rsid w:val="00867B64"/>
    <w:rsid w:val="00867FB0"/>
    <w:rsid w:val="008704A5"/>
    <w:rsid w:val="00870942"/>
    <w:rsid w:val="00870A13"/>
    <w:rsid w:val="00871A12"/>
    <w:rsid w:val="008761C3"/>
    <w:rsid w:val="008763B8"/>
    <w:rsid w:val="008775C5"/>
    <w:rsid w:val="0088002B"/>
    <w:rsid w:val="0088019C"/>
    <w:rsid w:val="00880D5D"/>
    <w:rsid w:val="00881BBE"/>
    <w:rsid w:val="00885AB8"/>
    <w:rsid w:val="00887E6E"/>
    <w:rsid w:val="00887FEC"/>
    <w:rsid w:val="00891E39"/>
    <w:rsid w:val="00891F87"/>
    <w:rsid w:val="00892902"/>
    <w:rsid w:val="00892DE1"/>
    <w:rsid w:val="00895544"/>
    <w:rsid w:val="00895809"/>
    <w:rsid w:val="00895AC5"/>
    <w:rsid w:val="0089620B"/>
    <w:rsid w:val="0089775A"/>
    <w:rsid w:val="008A02AD"/>
    <w:rsid w:val="008A064C"/>
    <w:rsid w:val="008A077E"/>
    <w:rsid w:val="008A11BE"/>
    <w:rsid w:val="008A16EB"/>
    <w:rsid w:val="008A1D93"/>
    <w:rsid w:val="008A21C5"/>
    <w:rsid w:val="008A6182"/>
    <w:rsid w:val="008B1072"/>
    <w:rsid w:val="008B1D94"/>
    <w:rsid w:val="008B235C"/>
    <w:rsid w:val="008B3A44"/>
    <w:rsid w:val="008B4C8D"/>
    <w:rsid w:val="008B4F78"/>
    <w:rsid w:val="008B5A2D"/>
    <w:rsid w:val="008B6376"/>
    <w:rsid w:val="008B643A"/>
    <w:rsid w:val="008B68A0"/>
    <w:rsid w:val="008C1A86"/>
    <w:rsid w:val="008C1C4A"/>
    <w:rsid w:val="008C4FEE"/>
    <w:rsid w:val="008C546C"/>
    <w:rsid w:val="008C60B1"/>
    <w:rsid w:val="008C6BD0"/>
    <w:rsid w:val="008D0682"/>
    <w:rsid w:val="008D2CAF"/>
    <w:rsid w:val="008D2EBD"/>
    <w:rsid w:val="008D2ED2"/>
    <w:rsid w:val="008D3AEA"/>
    <w:rsid w:val="008D5639"/>
    <w:rsid w:val="008E0CE4"/>
    <w:rsid w:val="008E0ECC"/>
    <w:rsid w:val="008E19AC"/>
    <w:rsid w:val="008E3451"/>
    <w:rsid w:val="008E5998"/>
    <w:rsid w:val="008E5AAA"/>
    <w:rsid w:val="008E71CA"/>
    <w:rsid w:val="008F0274"/>
    <w:rsid w:val="008F0A81"/>
    <w:rsid w:val="008F3C16"/>
    <w:rsid w:val="008F3EBA"/>
    <w:rsid w:val="008F4AC5"/>
    <w:rsid w:val="008F5963"/>
    <w:rsid w:val="008F65A3"/>
    <w:rsid w:val="008F6D56"/>
    <w:rsid w:val="008F7A88"/>
    <w:rsid w:val="0090664F"/>
    <w:rsid w:val="00906DB2"/>
    <w:rsid w:val="00907B44"/>
    <w:rsid w:val="00914401"/>
    <w:rsid w:val="009146EF"/>
    <w:rsid w:val="009154B1"/>
    <w:rsid w:val="00915D73"/>
    <w:rsid w:val="00916316"/>
    <w:rsid w:val="00916413"/>
    <w:rsid w:val="00916EFA"/>
    <w:rsid w:val="009177BE"/>
    <w:rsid w:val="009207FB"/>
    <w:rsid w:val="00920B8B"/>
    <w:rsid w:val="0092121B"/>
    <w:rsid w:val="00923261"/>
    <w:rsid w:val="009256B7"/>
    <w:rsid w:val="00926840"/>
    <w:rsid w:val="00930374"/>
    <w:rsid w:val="00931009"/>
    <w:rsid w:val="009317F6"/>
    <w:rsid w:val="0093230F"/>
    <w:rsid w:val="00932388"/>
    <w:rsid w:val="00935F30"/>
    <w:rsid w:val="009375CE"/>
    <w:rsid w:val="0093761A"/>
    <w:rsid w:val="0094275E"/>
    <w:rsid w:val="00942C43"/>
    <w:rsid w:val="009430E1"/>
    <w:rsid w:val="00945F15"/>
    <w:rsid w:val="00946AA5"/>
    <w:rsid w:val="0094796A"/>
    <w:rsid w:val="009529D7"/>
    <w:rsid w:val="00952EDF"/>
    <w:rsid w:val="0095310A"/>
    <w:rsid w:val="00953478"/>
    <w:rsid w:val="009543F5"/>
    <w:rsid w:val="00954998"/>
    <w:rsid w:val="00956BB3"/>
    <w:rsid w:val="00956C3F"/>
    <w:rsid w:val="00957F05"/>
    <w:rsid w:val="00960A49"/>
    <w:rsid w:val="00960C7E"/>
    <w:rsid w:val="0096193F"/>
    <w:rsid w:val="00962077"/>
    <w:rsid w:val="0096317D"/>
    <w:rsid w:val="00970434"/>
    <w:rsid w:val="00970C7A"/>
    <w:rsid w:val="00970CA5"/>
    <w:rsid w:val="009721DB"/>
    <w:rsid w:val="00972BFA"/>
    <w:rsid w:val="00980DE3"/>
    <w:rsid w:val="00982128"/>
    <w:rsid w:val="0098217E"/>
    <w:rsid w:val="00982486"/>
    <w:rsid w:val="0098396A"/>
    <w:rsid w:val="009840E7"/>
    <w:rsid w:val="00985867"/>
    <w:rsid w:val="0098711F"/>
    <w:rsid w:val="009925DF"/>
    <w:rsid w:val="00993AC6"/>
    <w:rsid w:val="00995C8C"/>
    <w:rsid w:val="009965BA"/>
    <w:rsid w:val="009A72B8"/>
    <w:rsid w:val="009A7723"/>
    <w:rsid w:val="009B3D91"/>
    <w:rsid w:val="009B42F2"/>
    <w:rsid w:val="009B6535"/>
    <w:rsid w:val="009B6EC2"/>
    <w:rsid w:val="009C215F"/>
    <w:rsid w:val="009C2479"/>
    <w:rsid w:val="009C2FE0"/>
    <w:rsid w:val="009C54B8"/>
    <w:rsid w:val="009D0497"/>
    <w:rsid w:val="009D06F8"/>
    <w:rsid w:val="009D2862"/>
    <w:rsid w:val="009D4870"/>
    <w:rsid w:val="009D49C9"/>
    <w:rsid w:val="009D73F1"/>
    <w:rsid w:val="009E0595"/>
    <w:rsid w:val="009E24EC"/>
    <w:rsid w:val="009E2759"/>
    <w:rsid w:val="009E2F6C"/>
    <w:rsid w:val="009E36E7"/>
    <w:rsid w:val="009E4313"/>
    <w:rsid w:val="009F0068"/>
    <w:rsid w:val="009F0388"/>
    <w:rsid w:val="009F138F"/>
    <w:rsid w:val="009F51E0"/>
    <w:rsid w:val="009F703F"/>
    <w:rsid w:val="009F78FD"/>
    <w:rsid w:val="009F7BC3"/>
    <w:rsid w:val="00A00DA3"/>
    <w:rsid w:val="00A04FB4"/>
    <w:rsid w:val="00A05041"/>
    <w:rsid w:val="00A0648C"/>
    <w:rsid w:val="00A102FC"/>
    <w:rsid w:val="00A134C0"/>
    <w:rsid w:val="00A13EB7"/>
    <w:rsid w:val="00A13F82"/>
    <w:rsid w:val="00A16664"/>
    <w:rsid w:val="00A168BB"/>
    <w:rsid w:val="00A211C9"/>
    <w:rsid w:val="00A22E0D"/>
    <w:rsid w:val="00A2421A"/>
    <w:rsid w:val="00A2536C"/>
    <w:rsid w:val="00A2727C"/>
    <w:rsid w:val="00A313F7"/>
    <w:rsid w:val="00A3186A"/>
    <w:rsid w:val="00A32EFE"/>
    <w:rsid w:val="00A336B2"/>
    <w:rsid w:val="00A340E6"/>
    <w:rsid w:val="00A36603"/>
    <w:rsid w:val="00A367E1"/>
    <w:rsid w:val="00A40CDC"/>
    <w:rsid w:val="00A41131"/>
    <w:rsid w:val="00A41ED3"/>
    <w:rsid w:val="00A46390"/>
    <w:rsid w:val="00A47FA2"/>
    <w:rsid w:val="00A509F3"/>
    <w:rsid w:val="00A50BFC"/>
    <w:rsid w:val="00A5122D"/>
    <w:rsid w:val="00A515C0"/>
    <w:rsid w:val="00A51A7E"/>
    <w:rsid w:val="00A52FA4"/>
    <w:rsid w:val="00A55F4F"/>
    <w:rsid w:val="00A56FF0"/>
    <w:rsid w:val="00A57D8C"/>
    <w:rsid w:val="00A65361"/>
    <w:rsid w:val="00A6589C"/>
    <w:rsid w:val="00A70CFB"/>
    <w:rsid w:val="00A732D5"/>
    <w:rsid w:val="00A745CD"/>
    <w:rsid w:val="00A748BA"/>
    <w:rsid w:val="00A76382"/>
    <w:rsid w:val="00A81100"/>
    <w:rsid w:val="00A834A5"/>
    <w:rsid w:val="00A83862"/>
    <w:rsid w:val="00A8486C"/>
    <w:rsid w:val="00A86179"/>
    <w:rsid w:val="00A90521"/>
    <w:rsid w:val="00A935DD"/>
    <w:rsid w:val="00A961CF"/>
    <w:rsid w:val="00A96702"/>
    <w:rsid w:val="00A970A3"/>
    <w:rsid w:val="00A97EB2"/>
    <w:rsid w:val="00AA14A9"/>
    <w:rsid w:val="00AA1C39"/>
    <w:rsid w:val="00AA24CD"/>
    <w:rsid w:val="00AA36A2"/>
    <w:rsid w:val="00AA79A7"/>
    <w:rsid w:val="00AB069B"/>
    <w:rsid w:val="00AB0818"/>
    <w:rsid w:val="00AB5DA2"/>
    <w:rsid w:val="00AB780A"/>
    <w:rsid w:val="00AC1003"/>
    <w:rsid w:val="00AC1AAE"/>
    <w:rsid w:val="00AC4315"/>
    <w:rsid w:val="00AC47A5"/>
    <w:rsid w:val="00AC70A6"/>
    <w:rsid w:val="00AC76B8"/>
    <w:rsid w:val="00AD02DE"/>
    <w:rsid w:val="00AD33E7"/>
    <w:rsid w:val="00AD39EA"/>
    <w:rsid w:val="00AD42DA"/>
    <w:rsid w:val="00AD561E"/>
    <w:rsid w:val="00AD62D9"/>
    <w:rsid w:val="00AE0F6B"/>
    <w:rsid w:val="00AE1166"/>
    <w:rsid w:val="00AE1E99"/>
    <w:rsid w:val="00AE419D"/>
    <w:rsid w:val="00AE6436"/>
    <w:rsid w:val="00AE6E0F"/>
    <w:rsid w:val="00AE7BD1"/>
    <w:rsid w:val="00AF2BF0"/>
    <w:rsid w:val="00AF37AE"/>
    <w:rsid w:val="00AF4E77"/>
    <w:rsid w:val="00AF56CB"/>
    <w:rsid w:val="00AF61B8"/>
    <w:rsid w:val="00B02D38"/>
    <w:rsid w:val="00B02D7A"/>
    <w:rsid w:val="00B073F9"/>
    <w:rsid w:val="00B07E83"/>
    <w:rsid w:val="00B110AD"/>
    <w:rsid w:val="00B11315"/>
    <w:rsid w:val="00B11716"/>
    <w:rsid w:val="00B129E9"/>
    <w:rsid w:val="00B14982"/>
    <w:rsid w:val="00B159DD"/>
    <w:rsid w:val="00B162DD"/>
    <w:rsid w:val="00B16904"/>
    <w:rsid w:val="00B1716B"/>
    <w:rsid w:val="00B177B9"/>
    <w:rsid w:val="00B22833"/>
    <w:rsid w:val="00B22865"/>
    <w:rsid w:val="00B22969"/>
    <w:rsid w:val="00B26115"/>
    <w:rsid w:val="00B2625E"/>
    <w:rsid w:val="00B26C60"/>
    <w:rsid w:val="00B271BA"/>
    <w:rsid w:val="00B276E2"/>
    <w:rsid w:val="00B27792"/>
    <w:rsid w:val="00B31857"/>
    <w:rsid w:val="00B3186F"/>
    <w:rsid w:val="00B31DD6"/>
    <w:rsid w:val="00B32D7C"/>
    <w:rsid w:val="00B3429E"/>
    <w:rsid w:val="00B3514A"/>
    <w:rsid w:val="00B35BB8"/>
    <w:rsid w:val="00B40E79"/>
    <w:rsid w:val="00B46308"/>
    <w:rsid w:val="00B4649F"/>
    <w:rsid w:val="00B533C3"/>
    <w:rsid w:val="00B53756"/>
    <w:rsid w:val="00B5676E"/>
    <w:rsid w:val="00B578F7"/>
    <w:rsid w:val="00B60A6D"/>
    <w:rsid w:val="00B6764A"/>
    <w:rsid w:val="00B679AF"/>
    <w:rsid w:val="00B67C3D"/>
    <w:rsid w:val="00B74237"/>
    <w:rsid w:val="00B75B86"/>
    <w:rsid w:val="00B77778"/>
    <w:rsid w:val="00B801A2"/>
    <w:rsid w:val="00B80D51"/>
    <w:rsid w:val="00B81104"/>
    <w:rsid w:val="00B8262A"/>
    <w:rsid w:val="00B82F15"/>
    <w:rsid w:val="00B8312F"/>
    <w:rsid w:val="00B84486"/>
    <w:rsid w:val="00B87B66"/>
    <w:rsid w:val="00B90A1F"/>
    <w:rsid w:val="00B911A7"/>
    <w:rsid w:val="00B92155"/>
    <w:rsid w:val="00B93C07"/>
    <w:rsid w:val="00B95AB7"/>
    <w:rsid w:val="00BA01A3"/>
    <w:rsid w:val="00BA355B"/>
    <w:rsid w:val="00BA37F3"/>
    <w:rsid w:val="00BA3AB4"/>
    <w:rsid w:val="00BA4622"/>
    <w:rsid w:val="00BA47FA"/>
    <w:rsid w:val="00BA767F"/>
    <w:rsid w:val="00BB2568"/>
    <w:rsid w:val="00BB4C9F"/>
    <w:rsid w:val="00BB7EC6"/>
    <w:rsid w:val="00BC0243"/>
    <w:rsid w:val="00BC0794"/>
    <w:rsid w:val="00BC0D5D"/>
    <w:rsid w:val="00BC3A19"/>
    <w:rsid w:val="00BC4021"/>
    <w:rsid w:val="00BC41C9"/>
    <w:rsid w:val="00BC6EAE"/>
    <w:rsid w:val="00BC7030"/>
    <w:rsid w:val="00BC7939"/>
    <w:rsid w:val="00BD053F"/>
    <w:rsid w:val="00BD128F"/>
    <w:rsid w:val="00BD1A8B"/>
    <w:rsid w:val="00BD240D"/>
    <w:rsid w:val="00BD2516"/>
    <w:rsid w:val="00BD3879"/>
    <w:rsid w:val="00BD3AAA"/>
    <w:rsid w:val="00BD3C2E"/>
    <w:rsid w:val="00BD3F87"/>
    <w:rsid w:val="00BD402A"/>
    <w:rsid w:val="00BD5411"/>
    <w:rsid w:val="00BD596D"/>
    <w:rsid w:val="00BD6F89"/>
    <w:rsid w:val="00BE12B6"/>
    <w:rsid w:val="00BE19A6"/>
    <w:rsid w:val="00BE1F7F"/>
    <w:rsid w:val="00BE2F68"/>
    <w:rsid w:val="00BE38FC"/>
    <w:rsid w:val="00BE3BB4"/>
    <w:rsid w:val="00BF0190"/>
    <w:rsid w:val="00BF1D4C"/>
    <w:rsid w:val="00BF2753"/>
    <w:rsid w:val="00BF28E1"/>
    <w:rsid w:val="00BF347D"/>
    <w:rsid w:val="00BF3DA7"/>
    <w:rsid w:val="00BF4955"/>
    <w:rsid w:val="00BF5725"/>
    <w:rsid w:val="00BF7430"/>
    <w:rsid w:val="00BF7945"/>
    <w:rsid w:val="00C02078"/>
    <w:rsid w:val="00C02DE3"/>
    <w:rsid w:val="00C03C13"/>
    <w:rsid w:val="00C03C7B"/>
    <w:rsid w:val="00C0730D"/>
    <w:rsid w:val="00C1034B"/>
    <w:rsid w:val="00C11968"/>
    <w:rsid w:val="00C176A8"/>
    <w:rsid w:val="00C17A6D"/>
    <w:rsid w:val="00C20C07"/>
    <w:rsid w:val="00C21982"/>
    <w:rsid w:val="00C22B7D"/>
    <w:rsid w:val="00C22C25"/>
    <w:rsid w:val="00C23E4E"/>
    <w:rsid w:val="00C24DB0"/>
    <w:rsid w:val="00C25C83"/>
    <w:rsid w:val="00C3256D"/>
    <w:rsid w:val="00C3362D"/>
    <w:rsid w:val="00C33E45"/>
    <w:rsid w:val="00C343A9"/>
    <w:rsid w:val="00C3493B"/>
    <w:rsid w:val="00C34C72"/>
    <w:rsid w:val="00C363BA"/>
    <w:rsid w:val="00C36925"/>
    <w:rsid w:val="00C36985"/>
    <w:rsid w:val="00C37458"/>
    <w:rsid w:val="00C41B48"/>
    <w:rsid w:val="00C438DD"/>
    <w:rsid w:val="00C43C45"/>
    <w:rsid w:val="00C43CD1"/>
    <w:rsid w:val="00C44C4A"/>
    <w:rsid w:val="00C45020"/>
    <w:rsid w:val="00C45727"/>
    <w:rsid w:val="00C45A4F"/>
    <w:rsid w:val="00C46272"/>
    <w:rsid w:val="00C5022C"/>
    <w:rsid w:val="00C504CC"/>
    <w:rsid w:val="00C511B9"/>
    <w:rsid w:val="00C534B9"/>
    <w:rsid w:val="00C552FD"/>
    <w:rsid w:val="00C5571D"/>
    <w:rsid w:val="00C55F68"/>
    <w:rsid w:val="00C563D5"/>
    <w:rsid w:val="00C57FFE"/>
    <w:rsid w:val="00C60584"/>
    <w:rsid w:val="00C63541"/>
    <w:rsid w:val="00C63573"/>
    <w:rsid w:val="00C63584"/>
    <w:rsid w:val="00C65E58"/>
    <w:rsid w:val="00C6716A"/>
    <w:rsid w:val="00C673B6"/>
    <w:rsid w:val="00C67B4C"/>
    <w:rsid w:val="00C7156D"/>
    <w:rsid w:val="00C75C60"/>
    <w:rsid w:val="00C77342"/>
    <w:rsid w:val="00C8083E"/>
    <w:rsid w:val="00C80925"/>
    <w:rsid w:val="00C84F6E"/>
    <w:rsid w:val="00C85F37"/>
    <w:rsid w:val="00C876C0"/>
    <w:rsid w:val="00C90B00"/>
    <w:rsid w:val="00C91BD3"/>
    <w:rsid w:val="00C933E2"/>
    <w:rsid w:val="00C9345B"/>
    <w:rsid w:val="00C94804"/>
    <w:rsid w:val="00C95D8A"/>
    <w:rsid w:val="00C96FB3"/>
    <w:rsid w:val="00C976A6"/>
    <w:rsid w:val="00CA5101"/>
    <w:rsid w:val="00CA61C5"/>
    <w:rsid w:val="00CA641E"/>
    <w:rsid w:val="00CA7F8C"/>
    <w:rsid w:val="00CA7FE2"/>
    <w:rsid w:val="00CB3AFF"/>
    <w:rsid w:val="00CB4621"/>
    <w:rsid w:val="00CB719A"/>
    <w:rsid w:val="00CB7BFA"/>
    <w:rsid w:val="00CC023C"/>
    <w:rsid w:val="00CC1A43"/>
    <w:rsid w:val="00CC1DF4"/>
    <w:rsid w:val="00CC2092"/>
    <w:rsid w:val="00CC38EA"/>
    <w:rsid w:val="00CC3B81"/>
    <w:rsid w:val="00CC44B5"/>
    <w:rsid w:val="00CC5596"/>
    <w:rsid w:val="00CC5913"/>
    <w:rsid w:val="00CC6FCD"/>
    <w:rsid w:val="00CD16AA"/>
    <w:rsid w:val="00CD175E"/>
    <w:rsid w:val="00CD18DD"/>
    <w:rsid w:val="00CD2692"/>
    <w:rsid w:val="00CD5D1C"/>
    <w:rsid w:val="00CD6411"/>
    <w:rsid w:val="00CD6457"/>
    <w:rsid w:val="00CD72C4"/>
    <w:rsid w:val="00CE0A4D"/>
    <w:rsid w:val="00CE19C9"/>
    <w:rsid w:val="00CE2F8C"/>
    <w:rsid w:val="00CE32D8"/>
    <w:rsid w:val="00CE3A43"/>
    <w:rsid w:val="00CE43ED"/>
    <w:rsid w:val="00CE5EB2"/>
    <w:rsid w:val="00CF301D"/>
    <w:rsid w:val="00CF38A4"/>
    <w:rsid w:val="00CF4703"/>
    <w:rsid w:val="00CF5EBC"/>
    <w:rsid w:val="00CF75CA"/>
    <w:rsid w:val="00CF7B67"/>
    <w:rsid w:val="00D00EFC"/>
    <w:rsid w:val="00D00FD5"/>
    <w:rsid w:val="00D0119B"/>
    <w:rsid w:val="00D01257"/>
    <w:rsid w:val="00D041F2"/>
    <w:rsid w:val="00D05570"/>
    <w:rsid w:val="00D05901"/>
    <w:rsid w:val="00D15845"/>
    <w:rsid w:val="00D20AF3"/>
    <w:rsid w:val="00D24765"/>
    <w:rsid w:val="00D253C7"/>
    <w:rsid w:val="00D3366B"/>
    <w:rsid w:val="00D33D7E"/>
    <w:rsid w:val="00D33E5E"/>
    <w:rsid w:val="00D33F39"/>
    <w:rsid w:val="00D42240"/>
    <w:rsid w:val="00D45DA0"/>
    <w:rsid w:val="00D52086"/>
    <w:rsid w:val="00D52F1D"/>
    <w:rsid w:val="00D54F5C"/>
    <w:rsid w:val="00D5638C"/>
    <w:rsid w:val="00D5660A"/>
    <w:rsid w:val="00D56613"/>
    <w:rsid w:val="00D56BB6"/>
    <w:rsid w:val="00D57ED8"/>
    <w:rsid w:val="00D626D4"/>
    <w:rsid w:val="00D62DA3"/>
    <w:rsid w:val="00D63D80"/>
    <w:rsid w:val="00D649AD"/>
    <w:rsid w:val="00D67336"/>
    <w:rsid w:val="00D72990"/>
    <w:rsid w:val="00D73046"/>
    <w:rsid w:val="00D73DA3"/>
    <w:rsid w:val="00D73E46"/>
    <w:rsid w:val="00D74038"/>
    <w:rsid w:val="00D74C6A"/>
    <w:rsid w:val="00D755C1"/>
    <w:rsid w:val="00D758A9"/>
    <w:rsid w:val="00D76DF9"/>
    <w:rsid w:val="00D82A56"/>
    <w:rsid w:val="00D82C32"/>
    <w:rsid w:val="00D82FA8"/>
    <w:rsid w:val="00D83D31"/>
    <w:rsid w:val="00D841CC"/>
    <w:rsid w:val="00D86BE1"/>
    <w:rsid w:val="00D87C56"/>
    <w:rsid w:val="00D9014A"/>
    <w:rsid w:val="00D90E36"/>
    <w:rsid w:val="00D94035"/>
    <w:rsid w:val="00D942EB"/>
    <w:rsid w:val="00D944EB"/>
    <w:rsid w:val="00D96468"/>
    <w:rsid w:val="00D96A64"/>
    <w:rsid w:val="00D97B94"/>
    <w:rsid w:val="00DA2A7B"/>
    <w:rsid w:val="00DA2B44"/>
    <w:rsid w:val="00DA35C6"/>
    <w:rsid w:val="00DA3B2B"/>
    <w:rsid w:val="00DA404E"/>
    <w:rsid w:val="00DB00CD"/>
    <w:rsid w:val="00DB2CB8"/>
    <w:rsid w:val="00DB2CB9"/>
    <w:rsid w:val="00DB3D41"/>
    <w:rsid w:val="00DB72B5"/>
    <w:rsid w:val="00DC03D3"/>
    <w:rsid w:val="00DC07C5"/>
    <w:rsid w:val="00DC2919"/>
    <w:rsid w:val="00DC4230"/>
    <w:rsid w:val="00DC4294"/>
    <w:rsid w:val="00DC45FC"/>
    <w:rsid w:val="00DC4E37"/>
    <w:rsid w:val="00DC523C"/>
    <w:rsid w:val="00DC6A58"/>
    <w:rsid w:val="00DC793C"/>
    <w:rsid w:val="00DC7E1B"/>
    <w:rsid w:val="00DD1DDC"/>
    <w:rsid w:val="00DD2C49"/>
    <w:rsid w:val="00DD30E6"/>
    <w:rsid w:val="00DD6270"/>
    <w:rsid w:val="00DD7E7A"/>
    <w:rsid w:val="00DE3ABD"/>
    <w:rsid w:val="00DE4B83"/>
    <w:rsid w:val="00DE52F4"/>
    <w:rsid w:val="00DF017E"/>
    <w:rsid w:val="00DF111F"/>
    <w:rsid w:val="00DF39E3"/>
    <w:rsid w:val="00DF5522"/>
    <w:rsid w:val="00DF6B7B"/>
    <w:rsid w:val="00E01DC9"/>
    <w:rsid w:val="00E033B7"/>
    <w:rsid w:val="00E06A1A"/>
    <w:rsid w:val="00E06C2F"/>
    <w:rsid w:val="00E1013A"/>
    <w:rsid w:val="00E10B31"/>
    <w:rsid w:val="00E1250E"/>
    <w:rsid w:val="00E154A7"/>
    <w:rsid w:val="00E20304"/>
    <w:rsid w:val="00E214E2"/>
    <w:rsid w:val="00E21AE9"/>
    <w:rsid w:val="00E22C26"/>
    <w:rsid w:val="00E22CBF"/>
    <w:rsid w:val="00E24399"/>
    <w:rsid w:val="00E24C45"/>
    <w:rsid w:val="00E24EEF"/>
    <w:rsid w:val="00E27021"/>
    <w:rsid w:val="00E274C6"/>
    <w:rsid w:val="00E37D57"/>
    <w:rsid w:val="00E4032B"/>
    <w:rsid w:val="00E41399"/>
    <w:rsid w:val="00E4571D"/>
    <w:rsid w:val="00E46988"/>
    <w:rsid w:val="00E50D48"/>
    <w:rsid w:val="00E523A1"/>
    <w:rsid w:val="00E54039"/>
    <w:rsid w:val="00E55F2F"/>
    <w:rsid w:val="00E60BAF"/>
    <w:rsid w:val="00E60E9F"/>
    <w:rsid w:val="00E61199"/>
    <w:rsid w:val="00E61AB9"/>
    <w:rsid w:val="00E62C3F"/>
    <w:rsid w:val="00E63279"/>
    <w:rsid w:val="00E6756F"/>
    <w:rsid w:val="00E715FD"/>
    <w:rsid w:val="00E71721"/>
    <w:rsid w:val="00E71D64"/>
    <w:rsid w:val="00E7450D"/>
    <w:rsid w:val="00E74BD5"/>
    <w:rsid w:val="00E7592A"/>
    <w:rsid w:val="00E7658F"/>
    <w:rsid w:val="00E76618"/>
    <w:rsid w:val="00E7693B"/>
    <w:rsid w:val="00E76A1A"/>
    <w:rsid w:val="00E80D25"/>
    <w:rsid w:val="00E812D9"/>
    <w:rsid w:val="00E839DA"/>
    <w:rsid w:val="00E85EA2"/>
    <w:rsid w:val="00E866DA"/>
    <w:rsid w:val="00E90B4F"/>
    <w:rsid w:val="00E915DE"/>
    <w:rsid w:val="00E915E3"/>
    <w:rsid w:val="00E9203B"/>
    <w:rsid w:val="00E94B76"/>
    <w:rsid w:val="00E94C79"/>
    <w:rsid w:val="00E94DA2"/>
    <w:rsid w:val="00E95789"/>
    <w:rsid w:val="00E95F7A"/>
    <w:rsid w:val="00E96457"/>
    <w:rsid w:val="00E96D45"/>
    <w:rsid w:val="00E97B4B"/>
    <w:rsid w:val="00EA3321"/>
    <w:rsid w:val="00EA35B3"/>
    <w:rsid w:val="00EA4266"/>
    <w:rsid w:val="00EA42E9"/>
    <w:rsid w:val="00EA45A5"/>
    <w:rsid w:val="00EA4AC7"/>
    <w:rsid w:val="00EA626B"/>
    <w:rsid w:val="00EB118B"/>
    <w:rsid w:val="00EB16BA"/>
    <w:rsid w:val="00EB1B3E"/>
    <w:rsid w:val="00EB2389"/>
    <w:rsid w:val="00EB3A3D"/>
    <w:rsid w:val="00EB4197"/>
    <w:rsid w:val="00EB4756"/>
    <w:rsid w:val="00EB6602"/>
    <w:rsid w:val="00EC08B4"/>
    <w:rsid w:val="00EC096A"/>
    <w:rsid w:val="00EC0C79"/>
    <w:rsid w:val="00EC2896"/>
    <w:rsid w:val="00EC2FCC"/>
    <w:rsid w:val="00EC4AFD"/>
    <w:rsid w:val="00EC63BA"/>
    <w:rsid w:val="00EC711A"/>
    <w:rsid w:val="00ED0067"/>
    <w:rsid w:val="00ED06E4"/>
    <w:rsid w:val="00ED0AA7"/>
    <w:rsid w:val="00ED25DD"/>
    <w:rsid w:val="00ED3777"/>
    <w:rsid w:val="00ED4848"/>
    <w:rsid w:val="00ED4F8B"/>
    <w:rsid w:val="00ED602F"/>
    <w:rsid w:val="00EE2509"/>
    <w:rsid w:val="00EE3D03"/>
    <w:rsid w:val="00EE5138"/>
    <w:rsid w:val="00EE72A4"/>
    <w:rsid w:val="00EE740D"/>
    <w:rsid w:val="00EF5917"/>
    <w:rsid w:val="00EF7A1D"/>
    <w:rsid w:val="00EF7A7F"/>
    <w:rsid w:val="00F015EE"/>
    <w:rsid w:val="00F019B8"/>
    <w:rsid w:val="00F01BC1"/>
    <w:rsid w:val="00F03F7B"/>
    <w:rsid w:val="00F046D1"/>
    <w:rsid w:val="00F06125"/>
    <w:rsid w:val="00F063CB"/>
    <w:rsid w:val="00F0723D"/>
    <w:rsid w:val="00F13C5A"/>
    <w:rsid w:val="00F14BDB"/>
    <w:rsid w:val="00F1536E"/>
    <w:rsid w:val="00F153CD"/>
    <w:rsid w:val="00F159B5"/>
    <w:rsid w:val="00F17B5E"/>
    <w:rsid w:val="00F20544"/>
    <w:rsid w:val="00F22A9B"/>
    <w:rsid w:val="00F22AF2"/>
    <w:rsid w:val="00F22DF4"/>
    <w:rsid w:val="00F23080"/>
    <w:rsid w:val="00F2677A"/>
    <w:rsid w:val="00F27D29"/>
    <w:rsid w:val="00F310D3"/>
    <w:rsid w:val="00F311FB"/>
    <w:rsid w:val="00F31653"/>
    <w:rsid w:val="00F32E98"/>
    <w:rsid w:val="00F33A67"/>
    <w:rsid w:val="00F34813"/>
    <w:rsid w:val="00F350E1"/>
    <w:rsid w:val="00F36944"/>
    <w:rsid w:val="00F423EA"/>
    <w:rsid w:val="00F424C9"/>
    <w:rsid w:val="00F425B0"/>
    <w:rsid w:val="00F42DD6"/>
    <w:rsid w:val="00F43EA5"/>
    <w:rsid w:val="00F442F6"/>
    <w:rsid w:val="00F459B3"/>
    <w:rsid w:val="00F46813"/>
    <w:rsid w:val="00F519DC"/>
    <w:rsid w:val="00F51F61"/>
    <w:rsid w:val="00F522A7"/>
    <w:rsid w:val="00F54FD7"/>
    <w:rsid w:val="00F558FA"/>
    <w:rsid w:val="00F56BB3"/>
    <w:rsid w:val="00F62193"/>
    <w:rsid w:val="00F6453D"/>
    <w:rsid w:val="00F66585"/>
    <w:rsid w:val="00F66B41"/>
    <w:rsid w:val="00F66F90"/>
    <w:rsid w:val="00F674BB"/>
    <w:rsid w:val="00F73284"/>
    <w:rsid w:val="00F75B6C"/>
    <w:rsid w:val="00F77456"/>
    <w:rsid w:val="00F7781B"/>
    <w:rsid w:val="00F77847"/>
    <w:rsid w:val="00F80065"/>
    <w:rsid w:val="00F816C9"/>
    <w:rsid w:val="00F81B9F"/>
    <w:rsid w:val="00F822A4"/>
    <w:rsid w:val="00F82A0E"/>
    <w:rsid w:val="00F84363"/>
    <w:rsid w:val="00F85AFD"/>
    <w:rsid w:val="00F86727"/>
    <w:rsid w:val="00F94089"/>
    <w:rsid w:val="00F941DE"/>
    <w:rsid w:val="00F970FB"/>
    <w:rsid w:val="00F97FB3"/>
    <w:rsid w:val="00FA09BC"/>
    <w:rsid w:val="00FA331F"/>
    <w:rsid w:val="00FA7245"/>
    <w:rsid w:val="00FA7B0A"/>
    <w:rsid w:val="00FB084A"/>
    <w:rsid w:val="00FB39CB"/>
    <w:rsid w:val="00FB42D3"/>
    <w:rsid w:val="00FB597C"/>
    <w:rsid w:val="00FC2254"/>
    <w:rsid w:val="00FC30DA"/>
    <w:rsid w:val="00FC530B"/>
    <w:rsid w:val="00FC64EE"/>
    <w:rsid w:val="00FC73E4"/>
    <w:rsid w:val="00FD248D"/>
    <w:rsid w:val="00FD2D9C"/>
    <w:rsid w:val="00FE19F2"/>
    <w:rsid w:val="00FE2170"/>
    <w:rsid w:val="00FE314E"/>
    <w:rsid w:val="00FE4AB7"/>
    <w:rsid w:val="00FF0118"/>
    <w:rsid w:val="00FF1D14"/>
    <w:rsid w:val="00FF25AF"/>
    <w:rsid w:val="00FF2DF2"/>
    <w:rsid w:val="00FF362D"/>
    <w:rsid w:val="00FF4DB8"/>
    <w:rsid w:val="00FF57D6"/>
    <w:rsid w:val="00FF57F8"/>
    <w:rsid w:val="00FF7A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silver,#eaeaea"/>
    </o:shapedefaults>
    <o:shapelayout v:ext="edit">
      <o:idmap v:ext="edit" data="1"/>
    </o:shapelayout>
  </w:shapeDefaults>
  <w:decimalSymbol w:val="."/>
  <w:listSeparator w:val=","/>
  <w14:docId w14:val="1BCF4817"/>
  <w15:docId w15:val="{B58EF881-1541-4A58-BD3C-285F2145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895AC5"/>
    <w:pPr>
      <w:pBdr>
        <w:bottom w:val="single" w:sz="4" w:space="1" w:color="auto"/>
      </w:pBdr>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uiPriority w:val="99"/>
    <w:rsid w:val="00D74C6A"/>
    <w:pPr>
      <w:tabs>
        <w:tab w:val="center" w:pos="4536"/>
        <w:tab w:val="right" w:pos="9072"/>
      </w:tabs>
    </w:pPr>
  </w:style>
  <w:style w:type="paragraph" w:styleId="Footer">
    <w:name w:val="footer"/>
    <w:basedOn w:val="Normal"/>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E24C45"/>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uiPriority w:val="2"/>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uiPriority w:val="2"/>
    <w:qFormat/>
    <w:rsid w:val="00426876"/>
    <w:pPr>
      <w:numPr>
        <w:ilvl w:val="1"/>
      </w:numPr>
    </w:pPr>
  </w:style>
  <w:style w:type="paragraph" w:customStyle="1" w:styleId="NumPlain3">
    <w:name w:val="Num Plain3"/>
    <w:basedOn w:val="NumPlain2"/>
    <w:uiPriority w:val="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paragraph" w:customStyle="1" w:styleId="Default">
    <w:name w:val="Default"/>
    <w:rsid w:val="00532102"/>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6F608F"/>
    <w:rPr>
      <w:rFonts w:ascii="Segoe UI" w:hAnsi="Segoe UI" w:cs="Segoe UI"/>
      <w:sz w:val="18"/>
      <w:szCs w:val="18"/>
    </w:rPr>
  </w:style>
  <w:style w:type="character" w:customStyle="1" w:styleId="BalloonTextChar">
    <w:name w:val="Balloon Text Char"/>
    <w:basedOn w:val="DefaultParagraphFont"/>
    <w:link w:val="BalloonText"/>
    <w:semiHidden/>
    <w:rsid w:val="006F608F"/>
    <w:rPr>
      <w:rFonts w:ascii="Segoe UI" w:hAnsi="Segoe UI" w:cs="Segoe UI"/>
      <w:sz w:val="18"/>
      <w:szCs w:val="18"/>
      <w:lang w:eastAsia="en-US"/>
    </w:rPr>
  </w:style>
  <w:style w:type="character" w:customStyle="1" w:styleId="HeaderChar">
    <w:name w:val="Header Char"/>
    <w:basedOn w:val="DefaultParagraphFont"/>
    <w:link w:val="Header"/>
    <w:uiPriority w:val="99"/>
    <w:rsid w:val="00EB16BA"/>
    <w:rPr>
      <w:sz w:val="19"/>
      <w:lang w:eastAsia="en-US"/>
    </w:rPr>
  </w:style>
  <w:style w:type="character" w:styleId="CommentReference">
    <w:name w:val="annotation reference"/>
    <w:basedOn w:val="DefaultParagraphFont"/>
    <w:unhideWhenUsed/>
    <w:rsid w:val="00A65361"/>
    <w:rPr>
      <w:sz w:val="16"/>
      <w:szCs w:val="16"/>
    </w:rPr>
  </w:style>
  <w:style w:type="paragraph" w:styleId="CommentText">
    <w:name w:val="annotation text"/>
    <w:basedOn w:val="Normal"/>
    <w:link w:val="CommentTextChar"/>
    <w:unhideWhenUsed/>
    <w:rsid w:val="00A65361"/>
    <w:rPr>
      <w:sz w:val="20"/>
    </w:rPr>
  </w:style>
  <w:style w:type="character" w:customStyle="1" w:styleId="CommentTextChar">
    <w:name w:val="Comment Text Char"/>
    <w:basedOn w:val="DefaultParagraphFont"/>
    <w:link w:val="CommentText"/>
    <w:rsid w:val="00A65361"/>
    <w:rPr>
      <w:lang w:eastAsia="en-US"/>
    </w:rPr>
  </w:style>
  <w:style w:type="paragraph" w:styleId="CommentSubject">
    <w:name w:val="annotation subject"/>
    <w:basedOn w:val="CommentText"/>
    <w:next w:val="CommentText"/>
    <w:link w:val="CommentSubjectChar"/>
    <w:semiHidden/>
    <w:unhideWhenUsed/>
    <w:rsid w:val="00A65361"/>
    <w:rPr>
      <w:b/>
      <w:bCs/>
    </w:rPr>
  </w:style>
  <w:style w:type="character" w:customStyle="1" w:styleId="CommentSubjectChar">
    <w:name w:val="Comment Subject Char"/>
    <w:basedOn w:val="CommentTextChar"/>
    <w:link w:val="CommentSubject"/>
    <w:semiHidden/>
    <w:rsid w:val="00A65361"/>
    <w:rPr>
      <w:b/>
      <w:bCs/>
      <w:lang w:eastAsia="en-US"/>
    </w:rPr>
  </w:style>
  <w:style w:type="paragraph" w:styleId="ListParagraph">
    <w:name w:val="List Paragraph"/>
    <w:basedOn w:val="Normal"/>
    <w:uiPriority w:val="34"/>
    <w:rsid w:val="00BC3A19"/>
    <w:pPr>
      <w:ind w:left="720"/>
      <w:contextualSpacing/>
      <w:jc w:val="left"/>
    </w:pPr>
    <w:rPr>
      <w:sz w:val="24"/>
      <w:szCs w:val="24"/>
      <w:lang w:eastAsia="en-AU"/>
    </w:rPr>
  </w:style>
  <w:style w:type="paragraph" w:styleId="NormalWeb">
    <w:name w:val="Normal (Web)"/>
    <w:basedOn w:val="Normal"/>
    <w:uiPriority w:val="99"/>
    <w:semiHidden/>
    <w:rsid w:val="00BC3A19"/>
    <w:pPr>
      <w:jc w:val="left"/>
    </w:pPr>
    <w:rPr>
      <w:sz w:val="24"/>
      <w:szCs w:val="24"/>
      <w:lang w:eastAsia="en-AU"/>
    </w:rPr>
  </w:style>
  <w:style w:type="paragraph" w:customStyle="1" w:styleId="IGpara1">
    <w:name w:val="IG para 1"/>
    <w:basedOn w:val="Normal"/>
    <w:uiPriority w:val="9"/>
    <w:qFormat/>
    <w:rsid w:val="00C8083E"/>
    <w:pPr>
      <w:numPr>
        <w:numId w:val="21"/>
      </w:numPr>
      <w:spacing w:after="100"/>
    </w:pPr>
    <w:rPr>
      <w:szCs w:val="19"/>
    </w:rPr>
  </w:style>
  <w:style w:type="paragraph" w:customStyle="1" w:styleId="IASBNote">
    <w:name w:val="IASB Note"/>
    <w:basedOn w:val="Normal"/>
    <w:uiPriority w:val="8"/>
    <w:rsid w:val="00C8083E"/>
    <w:pPr>
      <w:tabs>
        <w:tab w:val="left" w:pos="4253"/>
      </w:tabs>
      <w:spacing w:before="100" w:after="100"/>
    </w:pPr>
    <w:rPr>
      <w:i/>
    </w:rPr>
  </w:style>
  <w:style w:type="paragraph" w:customStyle="1" w:styleId="NumBoldA2">
    <w:name w:val="Num BoldA2"/>
    <w:basedOn w:val="NumPlain2"/>
    <w:uiPriority w:val="9"/>
    <w:qFormat/>
    <w:rsid w:val="00C8083E"/>
    <w:pPr>
      <w:numPr>
        <w:ilvl w:val="0"/>
        <w:numId w:val="0"/>
      </w:numPr>
      <w:tabs>
        <w:tab w:val="num" w:pos="1021"/>
      </w:tabs>
      <w:spacing w:before="0"/>
      <w:ind w:left="1021" w:hanging="511"/>
    </w:pPr>
    <w:rPr>
      <w:b/>
      <w:szCs w:val="24"/>
      <w:lang w:eastAsia="en-AU"/>
    </w:rPr>
  </w:style>
  <w:style w:type="paragraph" w:customStyle="1" w:styleId="IASBSectionTitle1NonInd">
    <w:name w:val="IASB Section Title 1 NonInd"/>
    <w:basedOn w:val="Normal"/>
    <w:link w:val="IASBSectionTitle1NonIndChar"/>
    <w:uiPriority w:val="8"/>
    <w:rsid w:val="004D5AD1"/>
    <w:pPr>
      <w:keepNext/>
      <w:keepLines/>
      <w:pBdr>
        <w:bottom w:val="single" w:sz="4" w:space="0" w:color="auto"/>
      </w:pBdr>
      <w:spacing w:before="400" w:after="200"/>
      <w:jc w:val="left"/>
      <w:outlineLvl w:val="0"/>
    </w:pPr>
    <w:rPr>
      <w:rFonts w:ascii="Arial" w:hAnsi="Arial" w:cs="Arial"/>
      <w:b/>
      <w:sz w:val="26"/>
    </w:rPr>
  </w:style>
  <w:style w:type="character" w:customStyle="1" w:styleId="IASBSectionTitle1NonIndChar">
    <w:name w:val="IASB Section Title 1 NonInd Char"/>
    <w:basedOn w:val="DefaultParagraphFont"/>
    <w:link w:val="IASBSectionTitle1NonInd"/>
    <w:uiPriority w:val="8"/>
    <w:rsid w:val="004D5AD1"/>
    <w:rPr>
      <w:rFonts w:ascii="Arial" w:hAnsi="Arial" w:cs="Arial"/>
      <w:b/>
      <w:sz w:val="26"/>
      <w:lang w:eastAsia="en-US"/>
    </w:rPr>
  </w:style>
  <w:style w:type="paragraph" w:customStyle="1" w:styleId="ConvSectionTitle">
    <w:name w:val="Conv Section Title"/>
    <w:basedOn w:val="IASBSectionTitle1NonInd"/>
    <w:uiPriority w:val="9"/>
    <w:qFormat/>
    <w:rsid w:val="004D5AD1"/>
    <w:pPr>
      <w:pBdr>
        <w:bottom w:val="none" w:sz="0" w:space="0" w:color="auto"/>
      </w:pBdr>
    </w:pPr>
  </w:style>
  <w:style w:type="paragraph" w:customStyle="1" w:styleId="IASBSectionTitle2Ind">
    <w:name w:val="IASB Section Title 2 Ind"/>
    <w:basedOn w:val="Normal"/>
    <w:uiPriority w:val="8"/>
    <w:rsid w:val="009C54B8"/>
    <w:pPr>
      <w:keepNext/>
      <w:keepLines/>
      <w:spacing w:before="240" w:after="200"/>
      <w:ind w:left="782"/>
      <w:jc w:val="left"/>
      <w:outlineLvl w:val="1"/>
    </w:pPr>
    <w:rPr>
      <w:rFonts w:ascii="Arial" w:hAnsi="Arial" w:cs="Arial"/>
      <w:b/>
      <w:sz w:val="26"/>
    </w:rPr>
  </w:style>
  <w:style w:type="character" w:styleId="FootnoteReference">
    <w:name w:val="footnote reference"/>
    <w:basedOn w:val="DefaultParagraphFont"/>
    <w:semiHidden/>
    <w:unhideWhenUsed/>
    <w:rsid w:val="00490C6F"/>
    <w:rPr>
      <w:vertAlign w:val="superscript"/>
    </w:rPr>
  </w:style>
  <w:style w:type="paragraph" w:customStyle="1" w:styleId="IASBNormal">
    <w:name w:val="IASB Normal"/>
    <w:link w:val="IASBNormalChar"/>
    <w:uiPriority w:val="8"/>
    <w:rsid w:val="009E0595"/>
    <w:pPr>
      <w:tabs>
        <w:tab w:val="left" w:pos="4253"/>
      </w:tabs>
      <w:spacing w:before="100" w:after="100"/>
      <w:jc w:val="both"/>
    </w:pPr>
    <w:rPr>
      <w:sz w:val="19"/>
      <w:lang w:eastAsia="en-US"/>
    </w:rPr>
  </w:style>
  <w:style w:type="character" w:customStyle="1" w:styleId="IASBNormalChar">
    <w:name w:val="IASB Normal Char"/>
    <w:basedOn w:val="DefaultParagraphFont"/>
    <w:link w:val="IASBNormal"/>
    <w:uiPriority w:val="8"/>
    <w:rsid w:val="009E0595"/>
    <w:rPr>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0088">
      <w:bodyDiv w:val="1"/>
      <w:marLeft w:val="0"/>
      <w:marRight w:val="0"/>
      <w:marTop w:val="0"/>
      <w:marBottom w:val="0"/>
      <w:divBdr>
        <w:top w:val="none" w:sz="0" w:space="0" w:color="auto"/>
        <w:left w:val="none" w:sz="0" w:space="0" w:color="auto"/>
        <w:bottom w:val="none" w:sz="0" w:space="0" w:color="auto"/>
        <w:right w:val="none" w:sz="0" w:space="0" w:color="auto"/>
      </w:divBdr>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 w:id="203234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9" ma:contentTypeDescription="Create a new document." ma:contentTypeScope="" ma:versionID="899f5e1d7bd4ac2ac375160f5ddd998a">
  <xsd:schema xmlns:xsd="http://www.w3.org/2001/XMLSchema" xmlns:xs="http://www.w3.org/2001/XMLSchema" xmlns:p="http://schemas.microsoft.com/office/2006/metadata/properties" xmlns:ns3="dacb3ef7-33a4-4aaf-8e2c-a382b35b1891" xmlns:ns4="2fffc6f8-0ce6-4feb-a150-9d1574269ef9" targetNamespace="http://schemas.microsoft.com/office/2006/metadata/properties" ma:root="true" ma:fieldsID="a6ddc2fa24c20869ef4e74c01cfa56a9" ns3:_="" ns4:_="">
    <xsd:import namespace="dacb3ef7-33a4-4aaf-8e2c-a382b35b1891"/>
    <xsd:import namespace="2fffc6f8-0ce6-4feb-a150-9d1574269e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87C62-4969-42AA-AE54-FC9CC606A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b3ef7-33a4-4aaf-8e2c-a382b35b1891"/>
    <ds:schemaRef ds:uri="2fffc6f8-0ce6-4feb-a150-9d157426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280B8-5C46-4E7A-ABD0-CE08F9D9180D}">
  <ds:schemaRefs>
    <ds:schemaRef ds:uri="http://purl.org/dc/dcmitype/"/>
    <ds:schemaRef ds:uri="http://purl.org/dc/terms/"/>
    <ds:schemaRef ds:uri="dacb3ef7-33a4-4aaf-8e2c-a382b35b1891"/>
    <ds:schemaRef ds:uri="http://schemas.microsoft.com/office/2006/documentManagement/types"/>
    <ds:schemaRef ds:uri="http://schemas.microsoft.com/office/2006/metadata/properties"/>
    <ds:schemaRef ds:uri="http://purl.org/dc/elements/1.1/"/>
    <ds:schemaRef ds:uri="2fffc6f8-0ce6-4feb-a150-9d1574269ef9"/>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3E45AB7-114B-4530-B2CB-B400FC70621E}">
  <ds:schemaRefs>
    <ds:schemaRef ds:uri="http://schemas.microsoft.com/sharepoint/v3/contenttype/forms"/>
  </ds:schemaRefs>
</ds:datastoreItem>
</file>

<file path=customXml/itemProps4.xml><?xml version="1.0" encoding="utf-8"?>
<ds:datastoreItem xmlns:ds="http://schemas.openxmlformats.org/officeDocument/2006/customXml" ds:itemID="{3C3BE889-F51D-4E15-86BE-E64F4D64B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3457</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AASB 2019-6</vt:lpstr>
    </vt:vector>
  </TitlesOfParts>
  <Company>Australian Accounting Standards Board</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2019-6</dc:title>
  <dc:subject/>
  <dc:creator>.</dc:creator>
  <cp:lastModifiedBy>Andrew Tomich</cp:lastModifiedBy>
  <cp:revision>6</cp:revision>
  <cp:lastPrinted>2019-12-18T01:38:00Z</cp:lastPrinted>
  <dcterms:created xsi:type="dcterms:W3CDTF">2019-12-18T00:35:00Z</dcterms:created>
  <dcterms:modified xsi:type="dcterms:W3CDTF">2019-12-18T01:38:00Z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0x01010070E783DE0C8B6B4D9E83E79277ABEA6F</vt:lpwstr>
  </property>
</Properties>
</file>