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C1B4F" w14:textId="77777777" w:rsid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7E0A01">
        <w:rPr>
          <w:rFonts w:ascii="Arial" w:hAnsi="Arial" w:cs="Arial"/>
          <w:sz w:val="34"/>
          <w:szCs w:val="34"/>
        </w:rPr>
        <w:t>Explanatory Statement</w:t>
      </w:r>
    </w:p>
    <w:p w14:paraId="59F25997" w14:textId="01DF8780" w:rsidR="00AC2448" w:rsidRDefault="00AC2448"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15AC1B51" w14:textId="772C76C3" w:rsidR="0099555F" w:rsidRPr="007E0A01" w:rsidRDefault="00AA5417"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Goods and Services Tax: Waiver of Adjustment Note Requirement (Corporate Card Statements) Determination 20</w:t>
      </w:r>
      <w:r w:rsidR="00825C3F">
        <w:rPr>
          <w:rFonts w:ascii="Arial" w:hAnsi="Arial" w:cs="Arial"/>
          <w:sz w:val="34"/>
          <w:szCs w:val="34"/>
        </w:rPr>
        <w:t>20</w:t>
      </w:r>
      <w:r w:rsidRPr="007E0A01">
        <w:rPr>
          <w:rFonts w:ascii="Arial" w:hAnsi="Arial" w:cs="Arial"/>
          <w:sz w:val="34"/>
          <w:szCs w:val="34"/>
        </w:rPr>
        <w:t xml:space="preserve"> </w:t>
      </w:r>
    </w:p>
    <w:p w14:paraId="15AC1B52" w14:textId="77777777" w:rsidR="0099555F" w:rsidRPr="007E0A01" w:rsidRDefault="0099555F" w:rsidP="0099555F">
      <w:pPr>
        <w:pStyle w:val="Header"/>
        <w:tabs>
          <w:tab w:val="clear" w:pos="4153"/>
          <w:tab w:val="clear" w:pos="8306"/>
        </w:tabs>
        <w:jc w:val="center"/>
        <w:rPr>
          <w:rFonts w:ascii="Arial" w:hAnsi="Arial" w:cs="Arial"/>
          <w:szCs w:val="24"/>
        </w:rPr>
      </w:pPr>
    </w:p>
    <w:p w14:paraId="15AC1B53" w14:textId="77777777" w:rsidR="001F2A16" w:rsidRPr="007E0A01" w:rsidRDefault="001F2A16" w:rsidP="0099555F">
      <w:pPr>
        <w:pStyle w:val="Header"/>
        <w:tabs>
          <w:tab w:val="clear" w:pos="4153"/>
          <w:tab w:val="clear" w:pos="8306"/>
        </w:tabs>
        <w:jc w:val="center"/>
        <w:rPr>
          <w:rFonts w:ascii="Arial" w:hAnsi="Arial" w:cs="Arial"/>
          <w:szCs w:val="24"/>
        </w:rPr>
      </w:pPr>
    </w:p>
    <w:p w14:paraId="15AC1B54" w14:textId="77777777" w:rsidR="00486653" w:rsidRPr="00314D62" w:rsidRDefault="00486653" w:rsidP="00081520">
      <w:pPr>
        <w:pStyle w:val="Heading2"/>
        <w:spacing w:after="0"/>
        <w:ind w:right="-1"/>
        <w:rPr>
          <w:rFonts w:cs="Arial"/>
          <w:szCs w:val="22"/>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314D62">
        <w:rPr>
          <w:rFonts w:cs="Arial"/>
          <w:szCs w:val="22"/>
        </w:rPr>
        <w:t>General Outline of Instrument</w:t>
      </w:r>
    </w:p>
    <w:p w14:paraId="613FFB50" w14:textId="77777777" w:rsidR="00AA5417" w:rsidRDefault="00AA5417" w:rsidP="00AA5417">
      <w:pPr>
        <w:pStyle w:val="ListParagraph"/>
        <w:numPr>
          <w:ilvl w:val="0"/>
          <w:numId w:val="41"/>
        </w:numPr>
        <w:spacing w:before="100" w:beforeAutospacing="1" w:after="120"/>
        <w:ind w:left="851" w:hanging="425"/>
        <w:rPr>
          <w:rFonts w:ascii="Arial" w:hAnsi="Arial" w:cs="Arial"/>
          <w:color w:val="000000"/>
        </w:rPr>
      </w:pPr>
      <w:bookmarkStart w:id="11" w:name="IComments"/>
      <w:r w:rsidRPr="00D5055C">
        <w:rPr>
          <w:rFonts w:ascii="Arial" w:hAnsi="Arial" w:cs="Arial"/>
          <w:color w:val="000000"/>
        </w:rPr>
        <w:t xml:space="preserve">This determination is made under subsection 29-20(3) of the </w:t>
      </w:r>
      <w:r w:rsidRPr="00D5055C">
        <w:rPr>
          <w:rFonts w:ascii="Arial" w:hAnsi="Arial" w:cs="Arial"/>
          <w:i/>
          <w:iCs/>
          <w:color w:val="000000"/>
        </w:rPr>
        <w:t>A New Tax System (Goods and Services Tax) Act 1999.</w:t>
      </w:r>
      <w:r w:rsidRPr="00D5055C">
        <w:rPr>
          <w:rFonts w:ascii="Arial" w:hAnsi="Arial" w:cs="Arial"/>
          <w:color w:val="000000"/>
        </w:rPr>
        <w:t xml:space="preserve"> </w:t>
      </w:r>
    </w:p>
    <w:p w14:paraId="6E991C14" w14:textId="77777777" w:rsidR="00AA5417" w:rsidRDefault="00AA5417" w:rsidP="00AA5417">
      <w:pPr>
        <w:pStyle w:val="ListParagraph"/>
        <w:numPr>
          <w:ilvl w:val="0"/>
          <w:numId w:val="41"/>
        </w:numPr>
        <w:spacing w:before="100" w:beforeAutospacing="1" w:after="120"/>
        <w:ind w:left="851" w:hanging="425"/>
        <w:rPr>
          <w:rFonts w:ascii="Arial" w:hAnsi="Arial" w:cs="Arial"/>
          <w:color w:val="000000"/>
        </w:rPr>
      </w:pPr>
      <w:r w:rsidRPr="00D5055C">
        <w:rPr>
          <w:rFonts w:ascii="Arial" w:hAnsi="Arial" w:cs="Arial"/>
          <w:color w:val="000000"/>
        </w:rPr>
        <w:t xml:space="preserve">This determination allows corporate credit and charge card holders to claim decreasing adjustments without holding an adjustment note in certain circumstances. </w:t>
      </w:r>
    </w:p>
    <w:p w14:paraId="02D71A50" w14:textId="77777777" w:rsidR="00AA5417" w:rsidRDefault="00AA5417" w:rsidP="00AA5417">
      <w:pPr>
        <w:pStyle w:val="ListParagraph"/>
        <w:numPr>
          <w:ilvl w:val="0"/>
          <w:numId w:val="41"/>
        </w:numPr>
        <w:spacing w:before="100" w:beforeAutospacing="1" w:after="120"/>
        <w:ind w:left="851" w:hanging="425"/>
        <w:rPr>
          <w:rFonts w:ascii="Arial" w:hAnsi="Arial" w:cs="Arial"/>
          <w:color w:val="000000"/>
        </w:rPr>
      </w:pPr>
      <w:r w:rsidRPr="00D5055C">
        <w:rPr>
          <w:rFonts w:ascii="Arial" w:hAnsi="Arial" w:cs="Arial"/>
          <w:color w:val="000000"/>
        </w:rPr>
        <w:t xml:space="preserve">Under subsection 33(3) of the </w:t>
      </w:r>
      <w:r w:rsidRPr="00D5055C">
        <w:rPr>
          <w:rFonts w:ascii="Arial" w:hAnsi="Arial" w:cs="Arial"/>
          <w:i/>
          <w:color w:val="000000"/>
        </w:rPr>
        <w:t>Acts Interpretation Act 1901</w:t>
      </w:r>
      <w:r w:rsidRPr="00D5055C">
        <w:rPr>
          <w:rFonts w:ascii="Arial" w:hAnsi="Arial" w:cs="Arial"/>
          <w:color w:val="000000"/>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111929E2" w14:textId="77777777" w:rsidR="00AA5417" w:rsidRPr="00D5055C" w:rsidRDefault="00AA5417" w:rsidP="00AA5417">
      <w:pPr>
        <w:pStyle w:val="ListParagraph"/>
        <w:numPr>
          <w:ilvl w:val="0"/>
          <w:numId w:val="41"/>
        </w:numPr>
        <w:spacing w:before="100" w:beforeAutospacing="1" w:after="120"/>
        <w:ind w:left="851" w:hanging="425"/>
        <w:rPr>
          <w:rFonts w:ascii="Arial" w:hAnsi="Arial" w:cs="Arial"/>
          <w:color w:val="000000"/>
        </w:rPr>
      </w:pPr>
      <w:r w:rsidRPr="00D5055C">
        <w:rPr>
          <w:rFonts w:ascii="Arial" w:hAnsi="Arial" w:cs="Arial"/>
          <w:color w:val="000000"/>
        </w:rPr>
        <w:t xml:space="preserve">The determination is a legislative instrument for the purposes of the </w:t>
      </w:r>
      <w:r w:rsidRPr="00D5055C">
        <w:rPr>
          <w:rFonts w:ascii="Arial" w:hAnsi="Arial" w:cs="Arial"/>
          <w:i/>
          <w:color w:val="000000"/>
        </w:rPr>
        <w:t>Legislation Act 2003</w:t>
      </w:r>
      <w:r w:rsidRPr="00D5055C">
        <w:rPr>
          <w:rFonts w:ascii="Arial" w:hAnsi="Arial" w:cs="Arial"/>
          <w:color w:val="000000"/>
        </w:rPr>
        <w:t xml:space="preserve">. </w:t>
      </w:r>
    </w:p>
    <w:p w14:paraId="15AC1B63" w14:textId="77777777" w:rsidR="001D02E6" w:rsidRPr="00314D62" w:rsidRDefault="001D02E6" w:rsidP="00081520">
      <w:pPr>
        <w:pStyle w:val="Heading2"/>
        <w:spacing w:after="0"/>
        <w:ind w:right="-1"/>
        <w:rPr>
          <w:rFonts w:cs="Arial"/>
          <w:szCs w:val="22"/>
        </w:rPr>
      </w:pPr>
      <w:r w:rsidRPr="00314D62">
        <w:rPr>
          <w:rFonts w:cs="Arial"/>
          <w:szCs w:val="22"/>
        </w:rPr>
        <w:t>Date of effect</w:t>
      </w:r>
    </w:p>
    <w:p w14:paraId="01027609" w14:textId="77777777" w:rsidR="00AA5417" w:rsidRPr="00D5055C" w:rsidRDefault="00AA5417" w:rsidP="00AA5417">
      <w:pPr>
        <w:pStyle w:val="ListParagraph"/>
        <w:numPr>
          <w:ilvl w:val="0"/>
          <w:numId w:val="41"/>
        </w:numPr>
        <w:spacing w:before="100" w:beforeAutospacing="1" w:after="120"/>
        <w:ind w:left="851" w:hanging="425"/>
        <w:rPr>
          <w:rFonts w:ascii="Arial" w:hAnsi="Arial" w:cs="Arial"/>
          <w:color w:val="000000"/>
        </w:rPr>
      </w:pPr>
      <w:r w:rsidRPr="00D5055C">
        <w:rPr>
          <w:rFonts w:ascii="Arial" w:hAnsi="Arial" w:cs="Arial"/>
          <w:color w:val="000000"/>
        </w:rPr>
        <w:t xml:space="preserve">The determination is taken to have commenced on the day after it is registered on the Federal Register of Legislation. </w:t>
      </w:r>
    </w:p>
    <w:p w14:paraId="12EB185D" w14:textId="77777777" w:rsidR="0072113C" w:rsidRDefault="0072113C" w:rsidP="0072113C">
      <w:pPr>
        <w:tabs>
          <w:tab w:val="left" w:pos="709"/>
        </w:tabs>
        <w:spacing w:before="100" w:beforeAutospacing="1" w:after="100" w:afterAutospacing="1"/>
        <w:ind w:left="426" w:hanging="426"/>
        <w:rPr>
          <w:rFonts w:ascii="Arial" w:hAnsi="Arial" w:cs="Arial"/>
          <w:color w:val="000000"/>
          <w:sz w:val="22"/>
          <w:szCs w:val="22"/>
        </w:rPr>
      </w:pPr>
      <w:r w:rsidRPr="005C2236">
        <w:rPr>
          <w:rFonts w:ascii="Arial" w:hAnsi="Arial" w:cs="Arial"/>
          <w:b/>
          <w:bCs/>
          <w:color w:val="000000"/>
          <w:sz w:val="22"/>
          <w:szCs w:val="22"/>
        </w:rPr>
        <w:t xml:space="preserve">What is this determination </w:t>
      </w:r>
      <w:proofErr w:type="gramStart"/>
      <w:r w:rsidRPr="005C2236">
        <w:rPr>
          <w:rFonts w:ascii="Arial" w:hAnsi="Arial" w:cs="Arial"/>
          <w:b/>
          <w:bCs/>
          <w:color w:val="000000"/>
          <w:sz w:val="22"/>
          <w:szCs w:val="22"/>
        </w:rPr>
        <w:t>about</w:t>
      </w:r>
      <w:proofErr w:type="gramEnd"/>
      <w:r w:rsidRPr="005C2236">
        <w:rPr>
          <w:rFonts w:ascii="Arial" w:hAnsi="Arial" w:cs="Arial"/>
          <w:color w:val="000000"/>
          <w:sz w:val="22"/>
          <w:szCs w:val="22"/>
        </w:rPr>
        <w:t xml:space="preserve"> </w:t>
      </w:r>
    </w:p>
    <w:p w14:paraId="6012647A" w14:textId="77777777" w:rsidR="0072113C" w:rsidRPr="00D5055C" w:rsidRDefault="0072113C" w:rsidP="0072113C">
      <w:pPr>
        <w:pStyle w:val="ListParagraph"/>
        <w:numPr>
          <w:ilvl w:val="0"/>
          <w:numId w:val="41"/>
        </w:numPr>
        <w:spacing w:before="100" w:beforeAutospacing="1" w:after="120"/>
        <w:ind w:left="851" w:hanging="425"/>
        <w:rPr>
          <w:rFonts w:ascii="Arial" w:hAnsi="Arial" w:cs="Arial"/>
          <w:color w:val="000000"/>
        </w:rPr>
      </w:pPr>
      <w:r w:rsidRPr="00D5055C">
        <w:rPr>
          <w:rFonts w:ascii="Arial" w:hAnsi="Arial" w:cs="Arial"/>
          <w:color w:val="000000"/>
        </w:rPr>
        <w:t>Under subsection 29-20(3) of the GST Act, you can only attribute a decreasing adjustment arising from an adjustment event in the first tax period when you hold an adjustment note for the adjustment (unless the adjustment is $75 or less).</w:t>
      </w:r>
    </w:p>
    <w:p w14:paraId="3CA57B1B" w14:textId="77777777" w:rsidR="0072113C" w:rsidRDefault="0072113C" w:rsidP="0072113C">
      <w:pPr>
        <w:pStyle w:val="ListParagraph"/>
        <w:numPr>
          <w:ilvl w:val="0"/>
          <w:numId w:val="41"/>
        </w:numPr>
        <w:tabs>
          <w:tab w:val="left" w:pos="1843"/>
        </w:tabs>
        <w:spacing w:before="100" w:beforeAutospacing="1" w:after="120"/>
        <w:ind w:left="851" w:hanging="425"/>
        <w:rPr>
          <w:rFonts w:ascii="Arial" w:hAnsi="Arial" w:cs="Arial"/>
          <w:color w:val="000000"/>
        </w:rPr>
      </w:pPr>
      <w:r w:rsidRPr="00D5055C">
        <w:rPr>
          <w:rFonts w:ascii="Arial" w:hAnsi="Arial" w:cs="Arial"/>
          <w:color w:val="000000"/>
        </w:rPr>
        <w:t xml:space="preserve">However, the Commissioner may determine in writing the circumstances in which you do not require an adjustment note in order to attribute a decreasing adjustment. </w:t>
      </w:r>
    </w:p>
    <w:p w14:paraId="33708C08" w14:textId="77777777" w:rsidR="0072113C" w:rsidRPr="00D5055C" w:rsidRDefault="0072113C" w:rsidP="0072113C">
      <w:pPr>
        <w:pStyle w:val="ListParagraph"/>
        <w:numPr>
          <w:ilvl w:val="0"/>
          <w:numId w:val="41"/>
        </w:numPr>
        <w:spacing w:before="100" w:beforeAutospacing="1" w:after="120"/>
        <w:ind w:left="851" w:hanging="425"/>
        <w:rPr>
          <w:rFonts w:ascii="Arial" w:hAnsi="Arial" w:cs="Arial"/>
          <w:color w:val="000000"/>
        </w:rPr>
      </w:pPr>
      <w:r w:rsidRPr="00D5055C">
        <w:rPr>
          <w:rFonts w:ascii="Arial" w:hAnsi="Arial" w:cs="Arial"/>
          <w:color w:val="000000"/>
        </w:rPr>
        <w:t xml:space="preserve">This determination waives the requirement to hold an adjustment note for a decreasing adjustment provided that the requirements of the determination are met. Instead a corporate card statement can be used provided it includes the required information. </w:t>
      </w:r>
    </w:p>
    <w:p w14:paraId="7FB8E4D8" w14:textId="77777777" w:rsidR="0072113C" w:rsidRDefault="0072113C" w:rsidP="0072113C">
      <w:pPr>
        <w:spacing w:before="100" w:beforeAutospacing="1" w:after="100" w:afterAutospacing="1"/>
        <w:ind w:left="426" w:hanging="426"/>
        <w:rPr>
          <w:rFonts w:ascii="Arial" w:hAnsi="Arial" w:cs="Arial"/>
          <w:color w:val="000000"/>
          <w:sz w:val="22"/>
          <w:szCs w:val="22"/>
        </w:rPr>
      </w:pPr>
      <w:r w:rsidRPr="005C2236">
        <w:rPr>
          <w:rFonts w:ascii="Arial" w:hAnsi="Arial" w:cs="Arial"/>
          <w:b/>
          <w:bCs/>
          <w:color w:val="000000"/>
          <w:sz w:val="22"/>
          <w:szCs w:val="22"/>
        </w:rPr>
        <w:t xml:space="preserve">What is the effect of this </w:t>
      </w:r>
      <w:proofErr w:type="gramStart"/>
      <w:r w:rsidRPr="005C2236">
        <w:rPr>
          <w:rFonts w:ascii="Arial" w:hAnsi="Arial" w:cs="Arial"/>
          <w:b/>
          <w:bCs/>
          <w:color w:val="000000"/>
          <w:sz w:val="22"/>
          <w:szCs w:val="22"/>
        </w:rPr>
        <w:t>determination</w:t>
      </w:r>
      <w:proofErr w:type="gramEnd"/>
      <w:r w:rsidRPr="005C2236">
        <w:rPr>
          <w:rFonts w:ascii="Arial" w:hAnsi="Arial" w:cs="Arial"/>
          <w:color w:val="000000"/>
          <w:sz w:val="22"/>
          <w:szCs w:val="22"/>
        </w:rPr>
        <w:t xml:space="preserve"> </w:t>
      </w:r>
    </w:p>
    <w:p w14:paraId="73303FC8" w14:textId="77777777" w:rsidR="0072113C" w:rsidRPr="00D5055C" w:rsidRDefault="0072113C" w:rsidP="0072113C">
      <w:pPr>
        <w:pStyle w:val="ListParagraph"/>
        <w:numPr>
          <w:ilvl w:val="0"/>
          <w:numId w:val="41"/>
        </w:numPr>
        <w:spacing w:before="100" w:beforeAutospacing="1" w:after="100" w:afterAutospacing="1"/>
        <w:ind w:left="851" w:hanging="425"/>
        <w:rPr>
          <w:rFonts w:ascii="Arial" w:hAnsi="Arial" w:cs="Arial"/>
          <w:color w:val="000000"/>
        </w:rPr>
      </w:pPr>
      <w:r w:rsidRPr="00D5055C">
        <w:rPr>
          <w:rFonts w:ascii="Arial" w:hAnsi="Arial" w:cs="Arial"/>
          <w:color w:val="000000"/>
        </w:rPr>
        <w:t>The effect of this determination is</w:t>
      </w:r>
      <w:r>
        <w:rPr>
          <w:rFonts w:ascii="Arial" w:hAnsi="Arial" w:cs="Arial"/>
          <w:color w:val="000000"/>
        </w:rPr>
        <w:t xml:space="preserve"> to allow taxpayers to claim a decreasing adjustment without holding an adjustment note where they hold a corporate card statement instead. This determination also </w:t>
      </w:r>
      <w:r w:rsidRPr="00D5055C">
        <w:rPr>
          <w:rFonts w:ascii="Arial" w:hAnsi="Arial" w:cs="Arial"/>
          <w:color w:val="000000"/>
        </w:rPr>
        <w:t>correct</w:t>
      </w:r>
      <w:r>
        <w:rPr>
          <w:rFonts w:ascii="Arial" w:hAnsi="Arial" w:cs="Arial"/>
          <w:color w:val="000000"/>
        </w:rPr>
        <w:t>s</w:t>
      </w:r>
      <w:r w:rsidRPr="00D5055C">
        <w:rPr>
          <w:rFonts w:ascii="Arial" w:hAnsi="Arial" w:cs="Arial"/>
          <w:color w:val="000000"/>
        </w:rPr>
        <w:t xml:space="preserve"> an unintended consequence of including a reference to the ATO Reference Number of an entity contained in </w:t>
      </w:r>
      <w:r w:rsidRPr="00C42D68">
        <w:rPr>
          <w:rFonts w:ascii="Arial" w:hAnsi="Arial" w:cs="Arial"/>
          <w:i/>
          <w:color w:val="000000"/>
        </w:rPr>
        <w:t>Goods and Services Tax: Waiver of Adjustment Note Requirement (Corporate Card Statements) Determination 2018</w:t>
      </w:r>
      <w:r>
        <w:rPr>
          <w:rFonts w:ascii="Arial" w:hAnsi="Arial" w:cs="Arial"/>
          <w:color w:val="000000"/>
        </w:rPr>
        <w:t xml:space="preserve">. </w:t>
      </w:r>
      <w:r w:rsidRPr="00D5055C">
        <w:rPr>
          <w:rFonts w:ascii="Arial" w:hAnsi="Arial" w:cs="Arial"/>
          <w:color w:val="000000"/>
        </w:rPr>
        <w:t xml:space="preserve"> </w:t>
      </w:r>
      <w:r w:rsidRPr="007A34C7">
        <w:rPr>
          <w:rFonts w:ascii="Arial" w:hAnsi="Arial" w:cs="Arial"/>
          <w:color w:val="000000"/>
        </w:rPr>
        <w:t xml:space="preserve">The change confirms that the determination does not apply if the supplier does not have an </w:t>
      </w:r>
      <w:r w:rsidRPr="007A34C7">
        <w:rPr>
          <w:rFonts w:ascii="Arial" w:hAnsi="Arial" w:cs="Arial"/>
          <w:color w:val="000000"/>
        </w:rPr>
        <w:lastRenderedPageBreak/>
        <w:t>ABN. Limited registration entities are allocated a GST registration number that is not an ABN</w:t>
      </w:r>
      <w:r>
        <w:rPr>
          <w:rFonts w:ascii="Arial" w:hAnsi="Arial" w:cs="Arial"/>
          <w:color w:val="000000"/>
        </w:rPr>
        <w:t>.</w:t>
      </w:r>
    </w:p>
    <w:p w14:paraId="1D0BCB87" w14:textId="77777777" w:rsidR="0072113C" w:rsidRPr="00D5055C" w:rsidRDefault="0072113C" w:rsidP="0072113C">
      <w:pPr>
        <w:spacing w:before="100" w:beforeAutospacing="1" w:after="100" w:afterAutospacing="1"/>
        <w:ind w:left="426" w:hanging="426"/>
        <w:rPr>
          <w:rFonts w:ascii="Arial" w:eastAsia="Calibri" w:hAnsi="Arial" w:cs="Arial"/>
          <w:b/>
          <w:color w:val="000000"/>
          <w:sz w:val="22"/>
          <w:szCs w:val="22"/>
          <w:lang w:eastAsia="en-US"/>
        </w:rPr>
      </w:pPr>
      <w:r w:rsidRPr="00D5055C">
        <w:rPr>
          <w:rFonts w:ascii="Arial" w:eastAsia="Calibri" w:hAnsi="Arial" w:cs="Arial"/>
          <w:b/>
          <w:color w:val="000000"/>
          <w:sz w:val="22"/>
          <w:szCs w:val="22"/>
          <w:lang w:eastAsia="en-US"/>
        </w:rPr>
        <w:t xml:space="preserve">Background </w:t>
      </w:r>
    </w:p>
    <w:p w14:paraId="688BB4DC" w14:textId="77777777" w:rsidR="0072113C" w:rsidRDefault="0072113C" w:rsidP="0072113C">
      <w:pPr>
        <w:pStyle w:val="ListParagraph"/>
        <w:numPr>
          <w:ilvl w:val="0"/>
          <w:numId w:val="41"/>
        </w:numPr>
        <w:spacing w:before="100" w:beforeAutospacing="1" w:after="120"/>
        <w:ind w:left="851" w:hanging="425"/>
        <w:rPr>
          <w:rFonts w:ascii="Arial" w:hAnsi="Arial" w:cs="Arial"/>
          <w:color w:val="000000"/>
        </w:rPr>
      </w:pPr>
      <w:r w:rsidRPr="009D1BB4">
        <w:rPr>
          <w:rFonts w:ascii="Arial" w:hAnsi="Arial" w:cs="Arial"/>
          <w:color w:val="000000"/>
        </w:rPr>
        <w:t xml:space="preserve">This determination replaces </w:t>
      </w:r>
      <w:r w:rsidRPr="00C42D68">
        <w:rPr>
          <w:rFonts w:ascii="Arial" w:hAnsi="Arial" w:cs="Arial"/>
          <w:i/>
          <w:color w:val="000000"/>
        </w:rPr>
        <w:t>Goods and Services Tax: Waiver of Adjustment Note Requirement (Corporate Card Statements) Determination 2018</w:t>
      </w:r>
      <w:r w:rsidRPr="009D1BB4">
        <w:rPr>
          <w:rFonts w:ascii="Arial" w:hAnsi="Arial" w:cs="Arial"/>
          <w:color w:val="000000"/>
        </w:rPr>
        <w:t xml:space="preserve"> F2018L01352 (previous determination), registered on 27 September 2018. The previous determination is repealed on commencement of this determination. </w:t>
      </w:r>
    </w:p>
    <w:p w14:paraId="52A64C50" w14:textId="77777777" w:rsidR="0072113C" w:rsidRDefault="0072113C" w:rsidP="0072113C">
      <w:pPr>
        <w:pStyle w:val="ListParagraph"/>
        <w:numPr>
          <w:ilvl w:val="0"/>
          <w:numId w:val="41"/>
        </w:numPr>
        <w:spacing w:before="100" w:beforeAutospacing="1" w:after="120"/>
        <w:ind w:left="851" w:hanging="425"/>
        <w:rPr>
          <w:rFonts w:ascii="Arial" w:hAnsi="Arial" w:cs="Arial"/>
          <w:color w:val="000000"/>
        </w:rPr>
      </w:pPr>
      <w:r w:rsidRPr="004859C6">
        <w:rPr>
          <w:rFonts w:ascii="Arial" w:hAnsi="Arial" w:cs="Arial"/>
          <w:color w:val="000000"/>
        </w:rPr>
        <w:t xml:space="preserve">The determination is substantially the same as the previous determination that it replaces. The previous determination defined the term </w:t>
      </w:r>
      <w:r w:rsidRPr="004859C6">
        <w:rPr>
          <w:rFonts w:ascii="Arial" w:hAnsi="Arial" w:cs="Arial"/>
          <w:i/>
          <w:color w:val="000000"/>
        </w:rPr>
        <w:t xml:space="preserve">GST registration number </w:t>
      </w:r>
      <w:r w:rsidRPr="004859C6">
        <w:rPr>
          <w:rFonts w:ascii="Arial" w:hAnsi="Arial" w:cs="Arial"/>
          <w:color w:val="000000"/>
        </w:rPr>
        <w:t>to mean an Australian Business Number or ATO Reference Number. The inclusion of ATO Reference Number in the definition of GST registration number produced an unintended consequence as it allowed</w:t>
      </w:r>
      <w:r>
        <w:rPr>
          <w:rFonts w:ascii="Arial" w:hAnsi="Arial" w:cs="Arial"/>
          <w:color w:val="000000"/>
        </w:rPr>
        <w:t xml:space="preserve"> </w:t>
      </w:r>
      <w:r w:rsidRPr="004859C6">
        <w:rPr>
          <w:rFonts w:ascii="Arial" w:hAnsi="Arial" w:cs="Arial"/>
          <w:color w:val="000000"/>
        </w:rPr>
        <w:t xml:space="preserve">recipients of supplies from limited registration entities to attribute a decreasing adjustment without the need for an adjustment note in circumstances where the supply was incorrectly treated as a taxable supply. For these reasons, the term GST registration number has been removed from this Determination.  </w:t>
      </w:r>
    </w:p>
    <w:p w14:paraId="50CA8495" w14:textId="77777777" w:rsidR="0072113C" w:rsidRPr="008C3D0A" w:rsidRDefault="0072113C" w:rsidP="0072113C">
      <w:pPr>
        <w:pStyle w:val="ListParagraph"/>
        <w:numPr>
          <w:ilvl w:val="0"/>
          <w:numId w:val="41"/>
        </w:numPr>
        <w:spacing w:before="100" w:beforeAutospacing="1" w:after="120"/>
        <w:ind w:left="851" w:hanging="425"/>
        <w:rPr>
          <w:rFonts w:ascii="Arial" w:hAnsi="Arial" w:cs="Arial"/>
          <w:color w:val="000000"/>
        </w:rPr>
      </w:pPr>
      <w:r w:rsidRPr="008C3D0A">
        <w:rPr>
          <w:rFonts w:ascii="Arial" w:hAnsi="Arial" w:cs="Arial"/>
          <w:color w:val="000000"/>
        </w:rPr>
        <w:t xml:space="preserve">Compliance cost impact: Minor - There will be minimal impact for both implementation and ongoing compliance costs. The legislative determination is minor </w:t>
      </w:r>
      <w:r>
        <w:rPr>
          <w:rFonts w:ascii="Arial" w:hAnsi="Arial" w:cs="Arial"/>
          <w:color w:val="000000"/>
        </w:rPr>
        <w:t>and</w:t>
      </w:r>
      <w:r w:rsidRPr="008C3D0A">
        <w:rPr>
          <w:rFonts w:ascii="Arial" w:hAnsi="Arial" w:cs="Arial"/>
          <w:color w:val="000000"/>
        </w:rPr>
        <w:t xml:space="preserve"> machinery in nature. </w:t>
      </w:r>
    </w:p>
    <w:p w14:paraId="044D3B13" w14:textId="77777777" w:rsidR="0072113C" w:rsidRDefault="0072113C" w:rsidP="0072113C">
      <w:pPr>
        <w:spacing w:before="100" w:beforeAutospacing="1" w:after="100" w:afterAutospacing="1"/>
        <w:ind w:left="426" w:hanging="426"/>
        <w:rPr>
          <w:rFonts w:ascii="Arial" w:hAnsi="Arial" w:cs="Arial"/>
          <w:color w:val="000000"/>
          <w:sz w:val="22"/>
          <w:szCs w:val="22"/>
        </w:rPr>
      </w:pPr>
      <w:r w:rsidRPr="00170788">
        <w:rPr>
          <w:rFonts w:ascii="Arial" w:hAnsi="Arial" w:cs="Arial"/>
          <w:b/>
          <w:bCs/>
          <w:color w:val="000000"/>
          <w:sz w:val="22"/>
          <w:szCs w:val="22"/>
        </w:rPr>
        <w:t>Explanation</w:t>
      </w:r>
      <w:r w:rsidRPr="00170788">
        <w:rPr>
          <w:rFonts w:ascii="Arial" w:hAnsi="Arial" w:cs="Arial"/>
          <w:color w:val="000000"/>
          <w:sz w:val="22"/>
          <w:szCs w:val="22"/>
        </w:rPr>
        <w:t xml:space="preserve"> </w:t>
      </w:r>
    </w:p>
    <w:p w14:paraId="21DFED72" w14:textId="77777777" w:rsidR="0072113C" w:rsidRPr="00D5055C" w:rsidRDefault="0072113C" w:rsidP="0072113C">
      <w:pPr>
        <w:pStyle w:val="ListParagraph"/>
        <w:numPr>
          <w:ilvl w:val="0"/>
          <w:numId w:val="41"/>
        </w:numPr>
        <w:spacing w:before="100" w:beforeAutospacing="1" w:after="100" w:afterAutospacing="1"/>
        <w:ind w:left="851" w:hanging="425"/>
        <w:rPr>
          <w:rFonts w:ascii="Arial" w:hAnsi="Arial" w:cs="Arial"/>
          <w:color w:val="000000"/>
        </w:rPr>
      </w:pPr>
      <w:r w:rsidRPr="00D5055C">
        <w:rPr>
          <w:rFonts w:ascii="Arial" w:hAnsi="Arial" w:cs="Arial"/>
          <w:color w:val="000000"/>
        </w:rPr>
        <w:t xml:space="preserve">Provided the requirements of this determination are met, for the purposes of attributing a decreasing adjustment (arising from an adjustment event in respect of an acquisition) to a tax period, a cardholder is not required (under subsection 29-20(3) of the GST Act) to hold an adjustment note for the decreasing adjustment. In summary, the corporate card statement may be used to claim decreasing adjustments where: </w:t>
      </w:r>
    </w:p>
    <w:p w14:paraId="26A4E1F7" w14:textId="77777777" w:rsidR="0072113C" w:rsidRPr="00170788" w:rsidRDefault="0072113C" w:rsidP="0072113C">
      <w:pPr>
        <w:spacing w:after="120"/>
        <w:ind w:left="1440"/>
        <w:rPr>
          <w:rFonts w:ascii="Arial" w:hAnsi="Arial" w:cs="Arial"/>
          <w:color w:val="000000"/>
          <w:sz w:val="22"/>
          <w:szCs w:val="22"/>
        </w:rPr>
      </w:pPr>
      <w:r w:rsidRPr="00170788">
        <w:rPr>
          <w:rFonts w:ascii="Arial" w:hAnsi="Arial" w:cs="Arial"/>
          <w:b/>
          <w:bCs/>
          <w:color w:val="000000"/>
          <w:sz w:val="22"/>
          <w:szCs w:val="22"/>
        </w:rPr>
        <w:t>(a)</w:t>
      </w:r>
      <w:r w:rsidRPr="00170788">
        <w:rPr>
          <w:rFonts w:ascii="Arial" w:hAnsi="Arial" w:cs="Arial"/>
          <w:color w:val="000000"/>
          <w:sz w:val="22"/>
          <w:szCs w:val="22"/>
        </w:rPr>
        <w:t xml:space="preserve"> </w:t>
      </w:r>
      <w:proofErr w:type="gramStart"/>
      <w:r w:rsidRPr="00170788">
        <w:rPr>
          <w:rFonts w:ascii="Arial" w:hAnsi="Arial" w:cs="Arial"/>
          <w:color w:val="000000"/>
          <w:sz w:val="22"/>
          <w:szCs w:val="22"/>
        </w:rPr>
        <w:t>the</w:t>
      </w:r>
      <w:proofErr w:type="gramEnd"/>
      <w:r w:rsidRPr="00170788">
        <w:rPr>
          <w:rFonts w:ascii="Arial" w:hAnsi="Arial" w:cs="Arial"/>
          <w:color w:val="000000"/>
          <w:sz w:val="22"/>
          <w:szCs w:val="22"/>
        </w:rPr>
        <w:t xml:space="preserve"> cardholder holds a corporate card statement for the decreasing adjustment that contains the information set out in section 7; </w:t>
      </w:r>
    </w:p>
    <w:p w14:paraId="1E7D995F" w14:textId="77777777" w:rsidR="0072113C" w:rsidRPr="00170788" w:rsidRDefault="0072113C" w:rsidP="0072113C">
      <w:pPr>
        <w:spacing w:after="120"/>
        <w:ind w:left="1440"/>
        <w:rPr>
          <w:rFonts w:ascii="Arial" w:hAnsi="Arial" w:cs="Arial"/>
          <w:color w:val="000000"/>
          <w:sz w:val="22"/>
          <w:szCs w:val="22"/>
        </w:rPr>
      </w:pPr>
      <w:r w:rsidRPr="00170788">
        <w:rPr>
          <w:rFonts w:ascii="Arial" w:hAnsi="Arial" w:cs="Arial"/>
          <w:b/>
          <w:bCs/>
          <w:color w:val="000000"/>
          <w:sz w:val="22"/>
          <w:szCs w:val="22"/>
        </w:rPr>
        <w:t>(b)</w:t>
      </w:r>
      <w:r w:rsidRPr="00170788">
        <w:rPr>
          <w:rFonts w:ascii="Arial" w:hAnsi="Arial" w:cs="Arial"/>
          <w:color w:val="000000"/>
          <w:sz w:val="22"/>
          <w:szCs w:val="22"/>
        </w:rPr>
        <w:t xml:space="preserve"> </w:t>
      </w:r>
      <w:proofErr w:type="gramStart"/>
      <w:r w:rsidRPr="00170788">
        <w:rPr>
          <w:rFonts w:ascii="Arial" w:hAnsi="Arial" w:cs="Arial"/>
          <w:color w:val="000000"/>
          <w:sz w:val="22"/>
          <w:szCs w:val="22"/>
        </w:rPr>
        <w:t>the</w:t>
      </w:r>
      <w:proofErr w:type="gramEnd"/>
      <w:r w:rsidRPr="00170788">
        <w:rPr>
          <w:rFonts w:ascii="Arial" w:hAnsi="Arial" w:cs="Arial"/>
          <w:color w:val="000000"/>
          <w:sz w:val="22"/>
          <w:szCs w:val="22"/>
        </w:rPr>
        <w:t xml:space="preserve"> GST related information on the corporate card statement meets the accuracy requirements set out in section 11; </w:t>
      </w:r>
    </w:p>
    <w:p w14:paraId="5371A6C7" w14:textId="77777777" w:rsidR="0072113C" w:rsidRPr="00170788" w:rsidRDefault="0072113C" w:rsidP="0072113C">
      <w:pPr>
        <w:spacing w:after="120"/>
        <w:ind w:left="1440"/>
        <w:rPr>
          <w:rFonts w:ascii="Arial" w:hAnsi="Arial" w:cs="Arial"/>
          <w:color w:val="000000"/>
          <w:sz w:val="22"/>
          <w:szCs w:val="22"/>
        </w:rPr>
      </w:pPr>
      <w:r w:rsidRPr="00170788">
        <w:rPr>
          <w:rFonts w:ascii="Arial" w:hAnsi="Arial" w:cs="Arial"/>
          <w:b/>
          <w:bCs/>
          <w:color w:val="000000"/>
          <w:sz w:val="22"/>
          <w:szCs w:val="22"/>
        </w:rPr>
        <w:t>(c)</w:t>
      </w:r>
      <w:r w:rsidRPr="00170788">
        <w:rPr>
          <w:rFonts w:ascii="Arial" w:hAnsi="Arial" w:cs="Arial"/>
          <w:color w:val="000000"/>
          <w:sz w:val="22"/>
          <w:szCs w:val="22"/>
        </w:rPr>
        <w:t xml:space="preserve"> </w:t>
      </w:r>
      <w:proofErr w:type="gramStart"/>
      <w:r w:rsidRPr="00170788">
        <w:rPr>
          <w:rFonts w:ascii="Arial" w:hAnsi="Arial" w:cs="Arial"/>
          <w:color w:val="000000"/>
          <w:sz w:val="22"/>
          <w:szCs w:val="22"/>
        </w:rPr>
        <w:t>the</w:t>
      </w:r>
      <w:proofErr w:type="gramEnd"/>
      <w:r w:rsidRPr="00170788">
        <w:rPr>
          <w:rFonts w:ascii="Arial" w:hAnsi="Arial" w:cs="Arial"/>
          <w:color w:val="000000"/>
          <w:sz w:val="22"/>
          <w:szCs w:val="22"/>
        </w:rPr>
        <w:t xml:space="preserve"> cardholder meets the requirements of section 12 that ensure the cardholders use the statement accurately to claim decreasing adjustments; </w:t>
      </w:r>
    </w:p>
    <w:p w14:paraId="4A181541" w14:textId="77777777" w:rsidR="0072113C" w:rsidRPr="00170788" w:rsidRDefault="0072113C" w:rsidP="0072113C">
      <w:pPr>
        <w:spacing w:after="120"/>
        <w:ind w:left="1440"/>
        <w:rPr>
          <w:rFonts w:ascii="Arial" w:hAnsi="Arial" w:cs="Arial"/>
          <w:color w:val="000000"/>
          <w:sz w:val="22"/>
          <w:szCs w:val="22"/>
        </w:rPr>
      </w:pPr>
      <w:r w:rsidRPr="00170788">
        <w:rPr>
          <w:rFonts w:ascii="Arial" w:hAnsi="Arial" w:cs="Arial"/>
          <w:b/>
          <w:bCs/>
          <w:color w:val="000000"/>
          <w:sz w:val="22"/>
          <w:szCs w:val="22"/>
        </w:rPr>
        <w:t>(</w:t>
      </w:r>
      <w:proofErr w:type="gramStart"/>
      <w:r w:rsidRPr="00170788">
        <w:rPr>
          <w:rFonts w:ascii="Arial" w:hAnsi="Arial" w:cs="Arial"/>
          <w:b/>
          <w:bCs/>
          <w:color w:val="000000"/>
          <w:sz w:val="22"/>
          <w:szCs w:val="22"/>
        </w:rPr>
        <w:t>d</w:t>
      </w:r>
      <w:proofErr w:type="gramEnd"/>
      <w:r w:rsidRPr="00170788">
        <w:rPr>
          <w:rFonts w:ascii="Arial" w:hAnsi="Arial" w:cs="Arial"/>
          <w:b/>
          <w:bCs/>
          <w:color w:val="000000"/>
          <w:sz w:val="22"/>
          <w:szCs w:val="22"/>
        </w:rPr>
        <w:t>)</w:t>
      </w:r>
      <w:r w:rsidRPr="00170788">
        <w:rPr>
          <w:rFonts w:ascii="Arial" w:hAnsi="Arial" w:cs="Arial"/>
          <w:color w:val="000000"/>
          <w:sz w:val="22"/>
          <w:szCs w:val="22"/>
        </w:rPr>
        <w:t xml:space="preserve"> paragraph 10(b) does not apply. This section requires the cardholder to hold an adjustment note in relation to the decreasing adjustment where the statement shows an estimated adjustment amount; and </w:t>
      </w:r>
    </w:p>
    <w:p w14:paraId="18F44D36" w14:textId="77777777" w:rsidR="0072113C" w:rsidRPr="00170788" w:rsidRDefault="0072113C" w:rsidP="0072113C">
      <w:pPr>
        <w:spacing w:after="120"/>
        <w:ind w:left="1440"/>
        <w:rPr>
          <w:rFonts w:ascii="Arial" w:hAnsi="Arial" w:cs="Arial"/>
          <w:color w:val="000000"/>
          <w:sz w:val="22"/>
          <w:szCs w:val="22"/>
        </w:rPr>
      </w:pPr>
      <w:r w:rsidRPr="00170788">
        <w:rPr>
          <w:rFonts w:ascii="Arial" w:hAnsi="Arial" w:cs="Arial"/>
          <w:b/>
          <w:bCs/>
          <w:color w:val="000000"/>
          <w:sz w:val="22"/>
          <w:szCs w:val="22"/>
        </w:rPr>
        <w:t>(e)</w:t>
      </w:r>
      <w:r w:rsidRPr="00170788">
        <w:rPr>
          <w:rFonts w:ascii="Arial" w:hAnsi="Arial" w:cs="Arial"/>
          <w:color w:val="000000"/>
          <w:sz w:val="22"/>
          <w:szCs w:val="22"/>
        </w:rPr>
        <w:t xml:space="preserve"> </w:t>
      </w:r>
      <w:proofErr w:type="gramStart"/>
      <w:r w:rsidRPr="00170788">
        <w:rPr>
          <w:rFonts w:ascii="Arial" w:hAnsi="Arial" w:cs="Arial"/>
          <w:color w:val="000000"/>
          <w:sz w:val="22"/>
          <w:szCs w:val="22"/>
        </w:rPr>
        <w:t>the</w:t>
      </w:r>
      <w:proofErr w:type="gramEnd"/>
      <w:r w:rsidRPr="00170788">
        <w:rPr>
          <w:rFonts w:ascii="Arial" w:hAnsi="Arial" w:cs="Arial"/>
          <w:color w:val="000000"/>
          <w:sz w:val="22"/>
          <w:szCs w:val="22"/>
        </w:rPr>
        <w:t xml:space="preserve"> card statement issued by the corporate card provider/acquirer meets the information requirements specified in this determination by using either of two methods: </w:t>
      </w:r>
    </w:p>
    <w:p w14:paraId="6F42C7FD" w14:textId="77777777" w:rsidR="0072113C" w:rsidRPr="00170788" w:rsidRDefault="0072113C" w:rsidP="0072113C">
      <w:pPr>
        <w:pStyle w:val="ListParagraph"/>
        <w:numPr>
          <w:ilvl w:val="0"/>
          <w:numId w:val="43"/>
        </w:numPr>
        <w:spacing w:after="120"/>
        <w:rPr>
          <w:rFonts w:ascii="Arial" w:hAnsi="Arial" w:cs="Arial"/>
          <w:color w:val="000000"/>
        </w:rPr>
      </w:pPr>
      <w:r w:rsidRPr="00170788">
        <w:rPr>
          <w:rFonts w:ascii="Arial" w:hAnsi="Arial" w:cs="Arial"/>
          <w:color w:val="000000"/>
        </w:rPr>
        <w:t xml:space="preserve">the accurate method provided by paragraph 7(2)(b); or </w:t>
      </w:r>
    </w:p>
    <w:p w14:paraId="6FFF17AA" w14:textId="77777777" w:rsidR="0072113C" w:rsidRPr="00170788" w:rsidRDefault="0072113C" w:rsidP="0072113C">
      <w:pPr>
        <w:pStyle w:val="ListParagraph"/>
        <w:numPr>
          <w:ilvl w:val="0"/>
          <w:numId w:val="43"/>
        </w:numPr>
        <w:rPr>
          <w:rFonts w:ascii="Arial" w:hAnsi="Arial" w:cs="Arial"/>
          <w:color w:val="000000"/>
        </w:rPr>
      </w:pPr>
      <w:proofErr w:type="gramStart"/>
      <w:r w:rsidRPr="00170788">
        <w:rPr>
          <w:rFonts w:ascii="Arial" w:hAnsi="Arial" w:cs="Arial"/>
          <w:color w:val="000000"/>
        </w:rPr>
        <w:t>the</w:t>
      </w:r>
      <w:proofErr w:type="gramEnd"/>
      <w:r w:rsidRPr="00170788">
        <w:rPr>
          <w:rFonts w:ascii="Arial" w:hAnsi="Arial" w:cs="Arial"/>
          <w:color w:val="000000"/>
        </w:rPr>
        <w:t xml:space="preserve"> signed statement method provided by paragraph 7(2)(c). </w:t>
      </w:r>
    </w:p>
    <w:p w14:paraId="283BBE09" w14:textId="77777777" w:rsidR="0072113C" w:rsidRPr="00D5055C" w:rsidRDefault="0072113C" w:rsidP="0072113C">
      <w:pPr>
        <w:pStyle w:val="ListParagraph"/>
        <w:numPr>
          <w:ilvl w:val="0"/>
          <w:numId w:val="41"/>
        </w:numPr>
        <w:ind w:left="851" w:hanging="425"/>
        <w:rPr>
          <w:rFonts w:ascii="Arial" w:hAnsi="Arial" w:cs="Arial"/>
          <w:color w:val="000000"/>
        </w:rPr>
      </w:pPr>
      <w:r w:rsidRPr="00D5055C">
        <w:rPr>
          <w:rFonts w:ascii="Arial" w:hAnsi="Arial" w:cs="Arial"/>
          <w:color w:val="000000"/>
        </w:rPr>
        <w:t xml:space="preserve">For low value decreasing adjustments (currently those that do not exceed $75 in value) there is no requirement to hold an adjustment note. Therefore, this determination is not applicable to low value decreasing adjustments. </w:t>
      </w:r>
    </w:p>
    <w:p w14:paraId="16F61AB1" w14:textId="77777777" w:rsidR="0072113C" w:rsidRDefault="0072113C" w:rsidP="0072113C">
      <w:pPr>
        <w:spacing w:before="100" w:beforeAutospacing="1" w:after="100" w:afterAutospacing="1"/>
        <w:ind w:left="426" w:hanging="426"/>
        <w:rPr>
          <w:rFonts w:ascii="Arial" w:hAnsi="Arial" w:cs="Arial"/>
          <w:color w:val="000000"/>
          <w:sz w:val="22"/>
          <w:szCs w:val="22"/>
        </w:rPr>
      </w:pPr>
      <w:r w:rsidRPr="00170788">
        <w:rPr>
          <w:rFonts w:ascii="Arial" w:hAnsi="Arial" w:cs="Arial"/>
          <w:i/>
          <w:iCs/>
          <w:color w:val="000000"/>
          <w:sz w:val="22"/>
          <w:szCs w:val="22"/>
        </w:rPr>
        <w:lastRenderedPageBreak/>
        <w:t>Definition of corporate card provider</w:t>
      </w:r>
      <w:r w:rsidRPr="00170788">
        <w:rPr>
          <w:rFonts w:ascii="Arial" w:hAnsi="Arial" w:cs="Arial"/>
          <w:color w:val="000000"/>
          <w:sz w:val="22"/>
          <w:szCs w:val="22"/>
        </w:rPr>
        <w:t xml:space="preserve"> </w:t>
      </w:r>
    </w:p>
    <w:p w14:paraId="7A6AAD59" w14:textId="77777777" w:rsidR="0072113C" w:rsidRPr="00D5055C" w:rsidRDefault="0072113C" w:rsidP="0072113C">
      <w:pPr>
        <w:pStyle w:val="ListParagraph"/>
        <w:numPr>
          <w:ilvl w:val="0"/>
          <w:numId w:val="41"/>
        </w:numPr>
        <w:spacing w:before="100" w:beforeAutospacing="1" w:after="120"/>
        <w:ind w:left="850" w:hanging="425"/>
        <w:rPr>
          <w:rFonts w:ascii="Arial" w:hAnsi="Arial" w:cs="Arial"/>
          <w:color w:val="000000"/>
        </w:rPr>
      </w:pPr>
      <w:r w:rsidRPr="00D5055C">
        <w:rPr>
          <w:rFonts w:ascii="Arial" w:hAnsi="Arial" w:cs="Arial"/>
          <w:color w:val="000000"/>
        </w:rPr>
        <w:t xml:space="preserve">The definition of corporate card provider (in section 6) requires the corporate card provider issuing the statement to be named in this determination. If a card provider is named, it is not compulsory for the corporate card provider to offer card products that meet these requirements. </w:t>
      </w:r>
    </w:p>
    <w:p w14:paraId="6989203F" w14:textId="77777777" w:rsidR="0072113C" w:rsidRPr="00D5055C" w:rsidRDefault="0072113C" w:rsidP="0072113C">
      <w:pPr>
        <w:pStyle w:val="ListParagraph"/>
        <w:numPr>
          <w:ilvl w:val="0"/>
          <w:numId w:val="41"/>
        </w:numPr>
        <w:spacing w:before="100" w:beforeAutospacing="1" w:after="120"/>
        <w:ind w:left="850" w:hanging="425"/>
        <w:rPr>
          <w:rFonts w:ascii="Arial" w:hAnsi="Arial" w:cs="Arial"/>
          <w:color w:val="000000"/>
        </w:rPr>
      </w:pPr>
      <w:r w:rsidRPr="00D5055C">
        <w:rPr>
          <w:rFonts w:ascii="Arial" w:hAnsi="Arial" w:cs="Arial"/>
          <w:color w:val="000000"/>
        </w:rPr>
        <w:t>Cardholde</w:t>
      </w:r>
      <w:r w:rsidRPr="006C3EA2">
        <w:rPr>
          <w:rFonts w:ascii="Arial" w:hAnsi="Arial" w:cs="Arial"/>
          <w:color w:val="000000"/>
        </w:rPr>
        <w:t>rs should verify that their corporate card statement is intended to meet t</w:t>
      </w:r>
      <w:r w:rsidRPr="00D5055C">
        <w:rPr>
          <w:rFonts w:ascii="Arial" w:hAnsi="Arial" w:cs="Arial"/>
          <w:color w:val="000000"/>
        </w:rPr>
        <w:t xml:space="preserve">he requirements. </w:t>
      </w:r>
    </w:p>
    <w:p w14:paraId="4CA706E6" w14:textId="77777777" w:rsidR="0072113C" w:rsidRDefault="0072113C" w:rsidP="0072113C">
      <w:pPr>
        <w:spacing w:before="100" w:beforeAutospacing="1" w:after="100" w:afterAutospacing="1"/>
        <w:ind w:left="426" w:hanging="426"/>
        <w:rPr>
          <w:rFonts w:ascii="Arial" w:hAnsi="Arial" w:cs="Arial"/>
          <w:color w:val="000000"/>
          <w:sz w:val="22"/>
          <w:szCs w:val="22"/>
        </w:rPr>
      </w:pPr>
      <w:r w:rsidRPr="00170788">
        <w:rPr>
          <w:rFonts w:ascii="Arial" w:hAnsi="Arial" w:cs="Arial"/>
          <w:b/>
          <w:bCs/>
          <w:color w:val="000000"/>
          <w:sz w:val="22"/>
          <w:szCs w:val="22"/>
        </w:rPr>
        <w:t>Consultation</w:t>
      </w:r>
      <w:r w:rsidRPr="00170788">
        <w:rPr>
          <w:rFonts w:ascii="Arial" w:hAnsi="Arial" w:cs="Arial"/>
          <w:color w:val="000000"/>
          <w:sz w:val="22"/>
          <w:szCs w:val="22"/>
        </w:rPr>
        <w:t xml:space="preserve"> </w:t>
      </w:r>
    </w:p>
    <w:p w14:paraId="5F5EC0DF" w14:textId="77777777" w:rsidR="007563E9" w:rsidRDefault="007563E9" w:rsidP="007563E9">
      <w:pPr>
        <w:pStyle w:val="ListParagraph"/>
        <w:numPr>
          <w:ilvl w:val="0"/>
          <w:numId w:val="41"/>
        </w:numPr>
        <w:spacing w:before="100" w:beforeAutospacing="1" w:after="120"/>
        <w:ind w:left="850" w:hanging="425"/>
        <w:rPr>
          <w:rFonts w:ascii="Arial" w:hAnsi="Arial" w:cs="Arial"/>
          <w:color w:val="000000"/>
        </w:rPr>
      </w:pPr>
      <w:r w:rsidRPr="00D948D1">
        <w:rPr>
          <w:rFonts w:ascii="Arial" w:hAnsi="Arial" w:cs="Arial"/>
          <w:color w:val="000000"/>
        </w:rPr>
        <w:t xml:space="preserve">Subsection 17(1) of the </w:t>
      </w:r>
      <w:r w:rsidRPr="00A10C90">
        <w:rPr>
          <w:rFonts w:ascii="Arial" w:hAnsi="Arial" w:cs="Arial"/>
          <w:i/>
          <w:color w:val="000000"/>
        </w:rPr>
        <w:t>Legislation Act 2003</w:t>
      </w:r>
      <w:r w:rsidRPr="00D948D1">
        <w:rPr>
          <w:rFonts w:ascii="Arial" w:hAnsi="Arial" w:cs="Arial"/>
          <w:color w:val="000000"/>
        </w:rPr>
        <w:t xml:space="preserve"> requires, before the making of a determination, that the Commissioner is satisfied that appropriate and reasonably practicable consultation has been undertaken.</w:t>
      </w:r>
    </w:p>
    <w:p w14:paraId="511A1BDA" w14:textId="2FFB3C03" w:rsidR="007563E9" w:rsidRDefault="007563E9" w:rsidP="007563E9">
      <w:pPr>
        <w:pStyle w:val="ListParagraph"/>
        <w:numPr>
          <w:ilvl w:val="0"/>
          <w:numId w:val="41"/>
        </w:numPr>
        <w:spacing w:before="100" w:beforeAutospacing="1" w:after="120"/>
        <w:ind w:left="850" w:hanging="425"/>
        <w:rPr>
          <w:rFonts w:ascii="Arial" w:hAnsi="Arial" w:cs="Arial"/>
          <w:color w:val="000000"/>
        </w:rPr>
      </w:pPr>
      <w:r>
        <w:rPr>
          <w:rFonts w:ascii="Arial" w:hAnsi="Arial" w:cs="Arial"/>
          <w:color w:val="000000"/>
        </w:rPr>
        <w:t xml:space="preserve">For this </w:t>
      </w:r>
      <w:r w:rsidR="00D222B6" w:rsidRPr="00D948D1">
        <w:rPr>
          <w:rFonts w:ascii="Arial" w:hAnsi="Arial" w:cs="Arial"/>
          <w:color w:val="000000"/>
        </w:rPr>
        <w:t>determination</w:t>
      </w:r>
      <w:r>
        <w:rPr>
          <w:rFonts w:ascii="Arial" w:hAnsi="Arial" w:cs="Arial"/>
          <w:color w:val="000000"/>
        </w:rPr>
        <w:t xml:space="preserve">, broad consultation was undertaken for a period of 2 weeks commencing on 1 </w:t>
      </w:r>
      <w:r w:rsidR="00E5322B">
        <w:rPr>
          <w:rFonts w:ascii="Arial" w:hAnsi="Arial" w:cs="Arial"/>
          <w:color w:val="000000"/>
        </w:rPr>
        <w:t>November</w:t>
      </w:r>
      <w:r>
        <w:rPr>
          <w:rFonts w:ascii="Arial" w:hAnsi="Arial" w:cs="Arial"/>
          <w:color w:val="000000"/>
        </w:rPr>
        <w:t xml:space="preserve"> 2019.</w:t>
      </w:r>
    </w:p>
    <w:p w14:paraId="71AB6929" w14:textId="53A1B6B8" w:rsidR="007563E9" w:rsidRPr="006440FF" w:rsidRDefault="007563E9" w:rsidP="007563E9">
      <w:pPr>
        <w:pStyle w:val="ListParagraph"/>
        <w:numPr>
          <w:ilvl w:val="0"/>
          <w:numId w:val="41"/>
        </w:numPr>
        <w:spacing w:before="100" w:beforeAutospacing="1" w:after="120"/>
        <w:ind w:left="850" w:hanging="425"/>
        <w:rPr>
          <w:rFonts w:ascii="Arial" w:hAnsi="Arial" w:cs="Arial"/>
          <w:color w:val="000000"/>
        </w:rPr>
      </w:pPr>
      <w:r w:rsidRPr="006440FF">
        <w:rPr>
          <w:rFonts w:ascii="Arial" w:hAnsi="Arial" w:cs="Arial"/>
        </w:rPr>
        <w:t xml:space="preserve">The draft </w:t>
      </w:r>
      <w:r w:rsidR="00D222B6" w:rsidRPr="00D948D1">
        <w:rPr>
          <w:rFonts w:ascii="Arial" w:hAnsi="Arial" w:cs="Arial"/>
          <w:color w:val="000000"/>
        </w:rPr>
        <w:t>determination</w:t>
      </w:r>
      <w:r w:rsidRPr="006440FF">
        <w:rPr>
          <w:rFonts w:ascii="Arial" w:hAnsi="Arial" w:cs="Arial"/>
        </w:rPr>
        <w:t xml:space="preserve"> and draft explanatory statement w</w:t>
      </w:r>
      <w:r>
        <w:rPr>
          <w:rFonts w:ascii="Arial" w:hAnsi="Arial" w:cs="Arial"/>
        </w:rPr>
        <w:t>ere</w:t>
      </w:r>
      <w:r w:rsidRPr="006440FF">
        <w:rPr>
          <w:rFonts w:ascii="Arial" w:hAnsi="Arial" w:cs="Arial"/>
        </w:rPr>
        <w:t xml:space="preserve"> published </w:t>
      </w:r>
      <w:r w:rsidRPr="006440FF">
        <w:rPr>
          <w:rFonts w:ascii="Arial" w:hAnsi="Arial" w:cs="Arial"/>
          <w:color w:val="000000"/>
        </w:rPr>
        <w:t xml:space="preserve">on the ATO </w:t>
      </w:r>
      <w:r w:rsidRPr="006440FF">
        <w:rPr>
          <w:rFonts w:ascii="Arial" w:hAnsi="Arial" w:cs="Arial"/>
        </w:rPr>
        <w:t xml:space="preserve">Legal database. Publication was advertised via the ‘What’s new’ page on that system and via the ‘Open Consultation’ page on </w:t>
      </w:r>
      <w:r w:rsidRPr="006440FF">
        <w:rPr>
          <w:rFonts w:ascii="Arial" w:hAnsi="Arial" w:cs="Arial"/>
          <w:b/>
          <w:bCs/>
        </w:rPr>
        <w:t>ato.gov.au</w:t>
      </w:r>
      <w:r w:rsidRPr="006440FF">
        <w:rPr>
          <w:rFonts w:ascii="Arial" w:hAnsi="Arial" w:cs="Arial"/>
        </w:rPr>
        <w:t>.  Major tax and superannuation publishers and associations monitor these pages and include the details in the daily and weekly Alerts and newsletters to their subscribers and members. This ensures advice of the draft is disseminated widely across the tax professional community, and that they are in an informed position to provide comments and feedback</w:t>
      </w:r>
      <w:r>
        <w:rPr>
          <w:rFonts w:ascii="Arial" w:hAnsi="Arial" w:cs="Arial"/>
        </w:rPr>
        <w:t>.</w:t>
      </w:r>
    </w:p>
    <w:p w14:paraId="57EE4A78" w14:textId="4257E8DE" w:rsidR="007563E9" w:rsidRPr="00AB78B1" w:rsidRDefault="007563E9" w:rsidP="007563E9">
      <w:pPr>
        <w:pStyle w:val="ListParagraph"/>
        <w:numPr>
          <w:ilvl w:val="0"/>
          <w:numId w:val="41"/>
        </w:numPr>
        <w:spacing w:before="100" w:beforeAutospacing="1" w:after="120"/>
        <w:ind w:left="850" w:hanging="425"/>
        <w:rPr>
          <w:rFonts w:ascii="Arial" w:hAnsi="Arial" w:cs="Arial"/>
          <w:color w:val="000000"/>
        </w:rPr>
      </w:pPr>
      <w:r w:rsidRPr="006440FF">
        <w:rPr>
          <w:rFonts w:ascii="Arial" w:hAnsi="Arial" w:cs="Arial"/>
        </w:rPr>
        <w:t xml:space="preserve">Targeted consultation was also undertaken for a period of 2 weeks.  </w:t>
      </w:r>
      <w:r w:rsidRPr="00AB78B1">
        <w:rPr>
          <w:rFonts w:ascii="Arial" w:hAnsi="Arial" w:cs="Arial"/>
        </w:rPr>
        <w:t xml:space="preserve">Copies of the draft legislative </w:t>
      </w:r>
      <w:r w:rsidR="00D222B6" w:rsidRPr="00D948D1">
        <w:rPr>
          <w:rFonts w:ascii="Arial" w:hAnsi="Arial" w:cs="Arial"/>
          <w:color w:val="000000"/>
        </w:rPr>
        <w:t>determination</w:t>
      </w:r>
      <w:r w:rsidRPr="00AB78B1">
        <w:rPr>
          <w:rFonts w:ascii="Arial" w:hAnsi="Arial" w:cs="Arial"/>
        </w:rPr>
        <w:t xml:space="preserve"> and explanatory statement were sent to the corporate card providers listed in the legislative </w:t>
      </w:r>
      <w:r w:rsidR="00D222B6" w:rsidRPr="00D948D1">
        <w:rPr>
          <w:rFonts w:ascii="Arial" w:hAnsi="Arial" w:cs="Arial"/>
          <w:color w:val="000000"/>
        </w:rPr>
        <w:t>determination</w:t>
      </w:r>
      <w:r w:rsidRPr="00AB78B1">
        <w:rPr>
          <w:rFonts w:ascii="Arial" w:hAnsi="Arial" w:cs="Arial"/>
        </w:rPr>
        <w:t xml:space="preserve"> for comment and feedback.</w:t>
      </w:r>
    </w:p>
    <w:p w14:paraId="1E0DC710" w14:textId="77777777" w:rsidR="00913099" w:rsidRPr="00913099" w:rsidRDefault="00913099" w:rsidP="00913099">
      <w:pPr>
        <w:pStyle w:val="ListParagraph"/>
        <w:ind w:left="360" w:right="-1"/>
        <w:rPr>
          <w:rFonts w:ascii="Arial" w:hAnsi="Arial" w:cs="Arial"/>
        </w:rPr>
      </w:pPr>
      <w:r w:rsidRPr="00913099">
        <w:rPr>
          <w:rFonts w:ascii="Arial" w:hAnsi="Arial" w:cs="Arial"/>
          <w:i/>
        </w:rPr>
        <w:t>Outcome of consultation</w:t>
      </w:r>
      <w:r w:rsidRPr="00913099">
        <w:rPr>
          <w:rFonts w:ascii="Arial" w:hAnsi="Arial" w:cs="Arial"/>
        </w:rPr>
        <w:t xml:space="preserve">: </w:t>
      </w:r>
    </w:p>
    <w:p w14:paraId="263E431F" w14:textId="59F277B2" w:rsidR="00913099" w:rsidRPr="00F603CD" w:rsidRDefault="00913099" w:rsidP="00913099">
      <w:pPr>
        <w:pStyle w:val="ListParagraph"/>
        <w:numPr>
          <w:ilvl w:val="0"/>
          <w:numId w:val="41"/>
        </w:numPr>
        <w:spacing w:before="100" w:beforeAutospacing="1" w:after="120"/>
        <w:ind w:left="850" w:hanging="425"/>
        <w:rPr>
          <w:rFonts w:ascii="Arial" w:eastAsia="Times New Roman" w:hAnsi="Arial" w:cs="Arial"/>
          <w:lang w:eastAsia="en-AU"/>
        </w:rPr>
      </w:pPr>
      <w:r w:rsidRPr="00F603CD">
        <w:rPr>
          <w:rFonts w:ascii="Arial" w:eastAsia="Times New Roman" w:hAnsi="Arial" w:cs="Arial"/>
          <w:lang w:eastAsia="en-AU"/>
        </w:rPr>
        <w:t xml:space="preserve">No substantive comments were received and no </w:t>
      </w:r>
      <w:r w:rsidR="00705991">
        <w:rPr>
          <w:rFonts w:ascii="Arial" w:eastAsia="Times New Roman" w:hAnsi="Arial" w:cs="Arial"/>
          <w:lang w:eastAsia="en-AU"/>
        </w:rPr>
        <w:t xml:space="preserve">significant </w:t>
      </w:r>
      <w:r w:rsidRPr="00F603CD">
        <w:rPr>
          <w:rFonts w:ascii="Arial" w:eastAsia="Times New Roman" w:hAnsi="Arial" w:cs="Arial"/>
          <w:lang w:eastAsia="en-AU"/>
        </w:rPr>
        <w:t xml:space="preserve">changes </w:t>
      </w:r>
      <w:r w:rsidR="00F1446B">
        <w:rPr>
          <w:rFonts w:ascii="Arial" w:eastAsia="Times New Roman" w:hAnsi="Arial" w:cs="Arial"/>
          <w:lang w:eastAsia="en-AU"/>
        </w:rPr>
        <w:t xml:space="preserve">impacting on the application of the </w:t>
      </w:r>
      <w:r w:rsidRPr="00F603CD">
        <w:rPr>
          <w:rFonts w:ascii="Arial" w:eastAsia="Times New Roman" w:hAnsi="Arial" w:cs="Arial"/>
          <w:lang w:eastAsia="en-AU"/>
        </w:rPr>
        <w:t xml:space="preserve">legislative </w:t>
      </w:r>
      <w:r w:rsidR="00D222B6" w:rsidRPr="00D948D1">
        <w:rPr>
          <w:rFonts w:ascii="Arial" w:hAnsi="Arial" w:cs="Arial"/>
          <w:color w:val="000000"/>
        </w:rPr>
        <w:t>determination</w:t>
      </w:r>
      <w:r w:rsidR="00F1446B">
        <w:rPr>
          <w:rFonts w:ascii="Arial" w:hAnsi="Arial" w:cs="Arial"/>
          <w:color w:val="000000"/>
        </w:rPr>
        <w:t xml:space="preserve"> have been made</w:t>
      </w:r>
      <w:r w:rsidRPr="00F603CD">
        <w:rPr>
          <w:rFonts w:ascii="Arial" w:eastAsia="Times New Roman" w:hAnsi="Arial" w:cs="Arial"/>
          <w:lang w:eastAsia="en-AU"/>
        </w:rPr>
        <w:t xml:space="preserve">. </w:t>
      </w:r>
    </w:p>
    <w:p w14:paraId="5EB2C8A1" w14:textId="77777777" w:rsidR="007563E9" w:rsidRPr="007563E9" w:rsidRDefault="007563E9" w:rsidP="007563E9">
      <w:pPr>
        <w:rPr>
          <w:lang w:eastAsia="en-US"/>
        </w:rPr>
      </w:pPr>
    </w:p>
    <w:p w14:paraId="311F1AE0" w14:textId="4B7FAA8D" w:rsidR="0072113C" w:rsidRDefault="0072113C" w:rsidP="007563E9">
      <w:pPr>
        <w:pStyle w:val="Heading3"/>
        <w:spacing w:before="0" w:after="0"/>
        <w:rPr>
          <w:i/>
        </w:rPr>
      </w:pPr>
      <w:r w:rsidRPr="00170788">
        <w:rPr>
          <w:sz w:val="22"/>
          <w:szCs w:val="22"/>
        </w:rPr>
        <w:t xml:space="preserve">Legislative references: </w:t>
      </w:r>
      <w:r w:rsidRPr="00170788">
        <w:rPr>
          <w:sz w:val="22"/>
          <w:szCs w:val="22"/>
        </w:rPr>
        <w:br/>
      </w:r>
      <w:r w:rsidRPr="00170788">
        <w:rPr>
          <w:sz w:val="22"/>
          <w:szCs w:val="22"/>
        </w:rPr>
        <w:br/>
      </w:r>
      <w:r>
        <w:rPr>
          <w:b w:val="0"/>
          <w:i/>
          <w:sz w:val="22"/>
          <w:szCs w:val="22"/>
        </w:rPr>
        <w:t>Acts Interpretation Act 1901</w:t>
      </w:r>
    </w:p>
    <w:p w14:paraId="1156C517" w14:textId="77777777" w:rsidR="0072113C" w:rsidRDefault="0072113C" w:rsidP="0072113C">
      <w:pPr>
        <w:pStyle w:val="Heading3"/>
        <w:spacing w:before="0" w:after="0"/>
        <w:rPr>
          <w:i/>
          <w:color w:val="000000"/>
        </w:rPr>
      </w:pPr>
      <w:r w:rsidRPr="00D5055C">
        <w:rPr>
          <w:b w:val="0"/>
          <w:i/>
          <w:iCs/>
          <w:color w:val="000000"/>
          <w:sz w:val="22"/>
          <w:szCs w:val="22"/>
        </w:rPr>
        <w:t>A New Tax System (Goods and Services Tax) Act 199</w:t>
      </w:r>
      <w:r>
        <w:rPr>
          <w:b w:val="0"/>
          <w:i/>
          <w:iCs/>
          <w:color w:val="000000"/>
          <w:sz w:val="22"/>
          <w:szCs w:val="22"/>
        </w:rPr>
        <w:t>9</w:t>
      </w:r>
      <w:r w:rsidRPr="00D5055C">
        <w:rPr>
          <w:b w:val="0"/>
          <w:i/>
          <w:color w:val="000000"/>
          <w:sz w:val="22"/>
          <w:szCs w:val="22"/>
        </w:rPr>
        <w:t xml:space="preserve"> </w:t>
      </w:r>
    </w:p>
    <w:p w14:paraId="48D3C24C" w14:textId="77777777" w:rsidR="0072113C" w:rsidRPr="00D5055C" w:rsidRDefault="0072113C" w:rsidP="0072113C">
      <w:pPr>
        <w:rPr>
          <w:rFonts w:ascii="Arial" w:hAnsi="Arial" w:cs="Arial"/>
          <w:i/>
        </w:rPr>
      </w:pPr>
      <w:r w:rsidRPr="00D5055C">
        <w:rPr>
          <w:rFonts w:ascii="Arial" w:hAnsi="Arial" w:cs="Arial"/>
          <w:i/>
          <w:sz w:val="22"/>
          <w:szCs w:val="22"/>
        </w:rPr>
        <w:t>Legislation Act 2003</w:t>
      </w:r>
    </w:p>
    <w:p w14:paraId="7ED1A743" w14:textId="77777777" w:rsidR="0072113C" w:rsidRPr="00170788" w:rsidRDefault="0072113C" w:rsidP="0072113C">
      <w:pPr>
        <w:pStyle w:val="Heading3"/>
        <w:spacing w:before="0" w:after="0"/>
        <w:rPr>
          <w:sz w:val="22"/>
          <w:szCs w:val="22"/>
        </w:rPr>
      </w:pPr>
      <w:r>
        <w:rPr>
          <w:b w:val="0"/>
          <w:i/>
          <w:sz w:val="22"/>
          <w:szCs w:val="22"/>
        </w:rPr>
        <w:t>Human Rights (Parliamentary Scrutiny) Act 2011</w:t>
      </w:r>
    </w:p>
    <w:p w14:paraId="4C0AA462" w14:textId="77777777" w:rsidR="0072113C" w:rsidRPr="00170788" w:rsidRDefault="0072113C" w:rsidP="0072113C">
      <w:pPr>
        <w:pStyle w:val="Heading3"/>
        <w:spacing w:before="0" w:after="0"/>
        <w:rPr>
          <w:sz w:val="22"/>
          <w:szCs w:val="22"/>
        </w:rPr>
      </w:pPr>
    </w:p>
    <w:p w14:paraId="4F5124C8" w14:textId="77777777" w:rsidR="0072113C" w:rsidRPr="00170788" w:rsidRDefault="0072113C" w:rsidP="0072113C">
      <w:pPr>
        <w:rPr>
          <w:rFonts w:ascii="Arial" w:hAnsi="Arial" w:cs="Arial"/>
          <w:sz w:val="22"/>
          <w:szCs w:val="22"/>
        </w:rPr>
      </w:pPr>
    </w:p>
    <w:p w14:paraId="76FCFD0C" w14:textId="77777777" w:rsidR="0072113C" w:rsidRDefault="0072113C" w:rsidP="0072113C">
      <w:pPr>
        <w:rPr>
          <w:rFonts w:ascii="Arial" w:hAnsi="Arial" w:cs="Arial"/>
          <w:sz w:val="22"/>
          <w:szCs w:val="22"/>
        </w:rPr>
      </w:pPr>
      <w:r>
        <w:rPr>
          <w:rFonts w:ascii="Arial" w:hAnsi="Arial" w:cs="Arial"/>
          <w:sz w:val="22"/>
          <w:szCs w:val="22"/>
        </w:rPr>
        <w:br w:type="page"/>
      </w:r>
    </w:p>
    <w:p w14:paraId="6284A0E1" w14:textId="77777777" w:rsidR="0072113C" w:rsidRPr="00170788" w:rsidRDefault="0072113C" w:rsidP="0072113C">
      <w:pPr>
        <w:pStyle w:val="Heading3"/>
        <w:spacing w:before="0" w:after="0"/>
        <w:jc w:val="center"/>
        <w:rPr>
          <w:sz w:val="22"/>
          <w:szCs w:val="22"/>
        </w:rPr>
      </w:pPr>
      <w:r w:rsidRPr="00170788">
        <w:rPr>
          <w:sz w:val="22"/>
          <w:szCs w:val="22"/>
        </w:rPr>
        <w:lastRenderedPageBreak/>
        <w:br/>
        <w:t xml:space="preserve">Statement of compatibility with Human Rights                                 </w:t>
      </w:r>
    </w:p>
    <w:p w14:paraId="151CCAC2" w14:textId="77777777" w:rsidR="0072113C" w:rsidRPr="00170788" w:rsidRDefault="0072113C" w:rsidP="0072113C">
      <w:pPr>
        <w:pStyle w:val="Heading3"/>
        <w:spacing w:before="0" w:after="0"/>
        <w:rPr>
          <w:sz w:val="22"/>
          <w:szCs w:val="22"/>
        </w:rPr>
      </w:pPr>
      <w:r w:rsidRPr="00170788">
        <w:rPr>
          <w:sz w:val="22"/>
          <w:szCs w:val="22"/>
        </w:rPr>
        <w:br/>
      </w:r>
      <w:r w:rsidRPr="00596817">
        <w:rPr>
          <w:b w:val="0"/>
          <w:sz w:val="22"/>
          <w:szCs w:val="22"/>
        </w:rPr>
        <w:t xml:space="preserve">Prepared in accordance with Part 3 of the </w:t>
      </w:r>
      <w:r w:rsidRPr="00596817">
        <w:rPr>
          <w:b w:val="0"/>
          <w:i/>
          <w:sz w:val="22"/>
          <w:szCs w:val="22"/>
        </w:rPr>
        <w:t>Human Rights (Parliamentary Scrutiny) Act 2011</w:t>
      </w:r>
    </w:p>
    <w:p w14:paraId="0C9B20FD" w14:textId="29E53525" w:rsidR="0072113C" w:rsidRDefault="0072113C" w:rsidP="0072113C">
      <w:pPr>
        <w:pStyle w:val="NormalWeb"/>
        <w:spacing w:before="75"/>
        <w:ind w:right="75"/>
        <w:jc w:val="center"/>
        <w:rPr>
          <w:rFonts w:ascii="Arial" w:hAnsi="Arial" w:cs="Arial"/>
          <w:color w:val="000000"/>
          <w:sz w:val="22"/>
          <w:szCs w:val="22"/>
        </w:rPr>
      </w:pPr>
      <w:r w:rsidRPr="00170788">
        <w:rPr>
          <w:rFonts w:ascii="Arial" w:hAnsi="Arial" w:cs="Arial"/>
          <w:b/>
          <w:bCs/>
          <w:color w:val="000000"/>
          <w:sz w:val="22"/>
          <w:szCs w:val="22"/>
        </w:rPr>
        <w:t>Goods and Services Tax: Waiver of Adjustment Note Requirement (Corporate Card Statements) Determination 20</w:t>
      </w:r>
      <w:r w:rsidR="00825C3F">
        <w:rPr>
          <w:rFonts w:ascii="Arial" w:hAnsi="Arial" w:cs="Arial"/>
          <w:b/>
          <w:bCs/>
          <w:color w:val="000000"/>
          <w:sz w:val="22"/>
          <w:szCs w:val="22"/>
        </w:rPr>
        <w:t>20</w:t>
      </w:r>
    </w:p>
    <w:p w14:paraId="364D3957" w14:textId="77777777" w:rsidR="0072113C" w:rsidRPr="00170788" w:rsidRDefault="0072113C" w:rsidP="0072113C">
      <w:pPr>
        <w:pStyle w:val="NormalWeb"/>
        <w:spacing w:before="75"/>
        <w:ind w:right="75"/>
        <w:rPr>
          <w:rFonts w:ascii="Arial" w:hAnsi="Arial" w:cs="Arial"/>
          <w:color w:val="000000"/>
          <w:sz w:val="22"/>
          <w:szCs w:val="22"/>
        </w:rPr>
      </w:pPr>
      <w:r w:rsidRPr="00170788">
        <w:rPr>
          <w:rFonts w:ascii="Arial" w:hAnsi="Arial" w:cs="Arial"/>
          <w:color w:val="000000"/>
          <w:sz w:val="22"/>
          <w:szCs w:val="22"/>
        </w:rPr>
        <w:t>This Legislative Instrument is compatible with the human rights a</w:t>
      </w:r>
      <w:bookmarkStart w:id="12" w:name="_GoBack"/>
      <w:bookmarkEnd w:id="12"/>
      <w:r w:rsidRPr="00170788">
        <w:rPr>
          <w:rFonts w:ascii="Arial" w:hAnsi="Arial" w:cs="Arial"/>
          <w:color w:val="000000"/>
          <w:sz w:val="22"/>
          <w:szCs w:val="22"/>
        </w:rPr>
        <w:t xml:space="preserve">nd freedoms recognised or declared in the international instruments listed in section 3 of the </w:t>
      </w:r>
      <w:r w:rsidRPr="00170788">
        <w:rPr>
          <w:rFonts w:ascii="Arial" w:hAnsi="Arial" w:cs="Arial"/>
          <w:i/>
          <w:iCs/>
          <w:color w:val="000000"/>
          <w:sz w:val="22"/>
          <w:szCs w:val="22"/>
        </w:rPr>
        <w:t>Human Rights (Parliamentary Scrutiny) Act 2011.</w:t>
      </w:r>
      <w:r w:rsidRPr="00170788">
        <w:rPr>
          <w:rFonts w:ascii="Arial" w:hAnsi="Arial" w:cs="Arial"/>
          <w:color w:val="000000"/>
          <w:sz w:val="22"/>
          <w:szCs w:val="22"/>
        </w:rPr>
        <w:t xml:space="preserve"> </w:t>
      </w:r>
    </w:p>
    <w:p w14:paraId="4B9D979F" w14:textId="77777777" w:rsidR="0072113C" w:rsidRDefault="0072113C" w:rsidP="0072113C">
      <w:pPr>
        <w:spacing w:before="100" w:beforeAutospacing="1" w:after="100" w:afterAutospacing="1"/>
        <w:rPr>
          <w:rFonts w:ascii="Arial" w:hAnsi="Arial" w:cs="Arial"/>
          <w:color w:val="000000"/>
          <w:sz w:val="22"/>
          <w:szCs w:val="22"/>
        </w:rPr>
      </w:pPr>
      <w:r w:rsidRPr="00170788">
        <w:rPr>
          <w:rFonts w:ascii="Arial" w:hAnsi="Arial" w:cs="Arial"/>
          <w:b/>
          <w:bCs/>
          <w:color w:val="000000"/>
          <w:sz w:val="22"/>
          <w:szCs w:val="22"/>
        </w:rPr>
        <w:t>Overview of the Legislative Instrument</w:t>
      </w:r>
      <w:r w:rsidRPr="00170788">
        <w:rPr>
          <w:rFonts w:ascii="Arial" w:hAnsi="Arial" w:cs="Arial"/>
          <w:color w:val="000000"/>
          <w:sz w:val="22"/>
          <w:szCs w:val="22"/>
        </w:rPr>
        <w:t xml:space="preserve"> </w:t>
      </w:r>
    </w:p>
    <w:p w14:paraId="77CE8081" w14:textId="77777777" w:rsidR="0072113C" w:rsidRPr="00170788" w:rsidRDefault="0072113C" w:rsidP="0072113C">
      <w:pPr>
        <w:spacing w:before="100" w:beforeAutospacing="1" w:after="100" w:afterAutospacing="1"/>
        <w:rPr>
          <w:rFonts w:ascii="Arial" w:hAnsi="Arial" w:cs="Arial"/>
          <w:color w:val="000000"/>
          <w:sz w:val="22"/>
          <w:szCs w:val="22"/>
        </w:rPr>
      </w:pPr>
      <w:r w:rsidRPr="00170788">
        <w:rPr>
          <w:rFonts w:ascii="Arial" w:hAnsi="Arial" w:cs="Arial"/>
          <w:color w:val="000000"/>
          <w:sz w:val="22"/>
          <w:szCs w:val="22"/>
        </w:rPr>
        <w:t xml:space="preserve">The Legislative Instrument allows corporate card holders to claim a decreasing adjustment without holding an adjustment note in certain circumstances. </w:t>
      </w:r>
    </w:p>
    <w:p w14:paraId="4824DB96" w14:textId="77777777" w:rsidR="0072113C" w:rsidRDefault="0072113C" w:rsidP="0072113C">
      <w:pPr>
        <w:spacing w:before="100" w:beforeAutospacing="1" w:after="100" w:afterAutospacing="1"/>
        <w:rPr>
          <w:rFonts w:ascii="Arial" w:hAnsi="Arial" w:cs="Arial"/>
          <w:color w:val="000000"/>
          <w:sz w:val="22"/>
          <w:szCs w:val="22"/>
        </w:rPr>
      </w:pPr>
      <w:r w:rsidRPr="00170788">
        <w:rPr>
          <w:rFonts w:ascii="Arial" w:hAnsi="Arial" w:cs="Arial"/>
          <w:b/>
          <w:bCs/>
          <w:color w:val="000000"/>
          <w:sz w:val="22"/>
          <w:szCs w:val="22"/>
        </w:rPr>
        <w:t>Human rights implications</w:t>
      </w:r>
      <w:r w:rsidRPr="00170788">
        <w:rPr>
          <w:rFonts w:ascii="Arial" w:hAnsi="Arial" w:cs="Arial"/>
          <w:color w:val="000000"/>
          <w:sz w:val="22"/>
          <w:szCs w:val="22"/>
        </w:rPr>
        <w:t xml:space="preserve"> </w:t>
      </w:r>
    </w:p>
    <w:p w14:paraId="4908D399" w14:textId="77777777" w:rsidR="0072113C" w:rsidRPr="00170788" w:rsidRDefault="0072113C" w:rsidP="0072113C">
      <w:pPr>
        <w:spacing w:before="100" w:beforeAutospacing="1" w:after="100" w:afterAutospacing="1"/>
        <w:rPr>
          <w:rFonts w:ascii="Arial" w:hAnsi="Arial" w:cs="Arial"/>
          <w:color w:val="000000"/>
          <w:sz w:val="22"/>
          <w:szCs w:val="22"/>
        </w:rPr>
      </w:pPr>
      <w:r w:rsidRPr="00170788">
        <w:rPr>
          <w:rFonts w:ascii="Arial" w:hAnsi="Arial" w:cs="Arial"/>
          <w:color w:val="000000"/>
          <w:sz w:val="22"/>
          <w:szCs w:val="22"/>
        </w:rPr>
        <w:t xml:space="preserve">This Legislative Instrument does not engage any of the applicable rights or freedoms as it allows corporate card holders to claim a decreasing adjustment without holding an adjustment note in certain circumstances. </w:t>
      </w:r>
    </w:p>
    <w:p w14:paraId="72AA60B5" w14:textId="77777777" w:rsidR="0072113C" w:rsidRPr="00170788" w:rsidRDefault="0072113C" w:rsidP="0072113C">
      <w:pPr>
        <w:ind w:left="720"/>
        <w:rPr>
          <w:rFonts w:ascii="Arial" w:hAnsi="Arial" w:cs="Arial"/>
          <w:b/>
          <w:sz w:val="22"/>
          <w:szCs w:val="22"/>
        </w:rPr>
      </w:pPr>
    </w:p>
    <w:p w14:paraId="0D4CEE94" w14:textId="77777777" w:rsidR="0072113C" w:rsidRPr="00596817" w:rsidRDefault="0072113C" w:rsidP="0072113C">
      <w:pPr>
        <w:rPr>
          <w:rFonts w:ascii="Arial" w:hAnsi="Arial" w:cs="Arial"/>
          <w:b/>
          <w:sz w:val="22"/>
          <w:szCs w:val="22"/>
        </w:rPr>
      </w:pPr>
      <w:r w:rsidRPr="00596817">
        <w:rPr>
          <w:rFonts w:ascii="Arial" w:hAnsi="Arial" w:cs="Arial"/>
          <w:b/>
          <w:sz w:val="22"/>
          <w:szCs w:val="22"/>
        </w:rPr>
        <w:t>Conclusion</w:t>
      </w:r>
    </w:p>
    <w:p w14:paraId="5B6949C1" w14:textId="77777777" w:rsidR="0072113C" w:rsidRPr="00007E4C" w:rsidRDefault="0072113C" w:rsidP="0072113C">
      <w:pPr>
        <w:rPr>
          <w:rFonts w:ascii="Arial" w:hAnsi="Arial" w:cs="Arial"/>
          <w:sz w:val="22"/>
          <w:szCs w:val="22"/>
        </w:rPr>
      </w:pPr>
      <w:r w:rsidRPr="00596817">
        <w:rPr>
          <w:rFonts w:ascii="Arial" w:hAnsi="Arial" w:cs="Arial"/>
          <w:sz w:val="22"/>
          <w:szCs w:val="22"/>
        </w:rPr>
        <w:br/>
      </w:r>
      <w:r w:rsidRPr="00273CBE">
        <w:rPr>
          <w:rFonts w:ascii="Arial" w:hAnsi="Arial" w:cs="Arial"/>
          <w:sz w:val="22"/>
          <w:szCs w:val="22"/>
        </w:rPr>
        <w:t>This Legislative Instrument is compatible with human rights as it does not raise any human rights issues.</w:t>
      </w:r>
    </w:p>
    <w:p w14:paraId="713F4E79" w14:textId="77777777" w:rsidR="0072113C" w:rsidRPr="00170788" w:rsidRDefault="0072113C" w:rsidP="0072113C">
      <w:pPr>
        <w:autoSpaceDE w:val="0"/>
        <w:autoSpaceDN w:val="0"/>
        <w:adjustRightInd w:val="0"/>
        <w:ind w:left="720"/>
        <w:rPr>
          <w:rFonts w:ascii="Arial" w:hAnsi="Arial" w:cs="Arial"/>
          <w:color w:val="000000"/>
          <w:sz w:val="22"/>
          <w:szCs w:val="22"/>
        </w:rPr>
      </w:pPr>
    </w:p>
    <w:bookmarkEnd w:id="11"/>
    <w:p w14:paraId="24B25E3C" w14:textId="77777777" w:rsidR="0072113C" w:rsidRPr="007E0A01" w:rsidRDefault="0072113C" w:rsidP="0072113C">
      <w:pPr>
        <w:pStyle w:val="Heading2"/>
        <w:rPr>
          <w:rFonts w:cs="Arial"/>
          <w:szCs w:val="22"/>
        </w:rPr>
      </w:pPr>
    </w:p>
    <w:sectPr w:rsidR="0072113C" w:rsidRPr="007E0A01" w:rsidSect="00081520">
      <w:headerReference w:type="even" r:id="rId15"/>
      <w:headerReference w:type="default" r:id="rId16"/>
      <w:headerReference w:type="first" r:id="rId17"/>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5BDD9" w14:textId="77777777" w:rsidR="00882638" w:rsidRDefault="00882638">
      <w:r>
        <w:separator/>
      </w:r>
    </w:p>
  </w:endnote>
  <w:endnote w:type="continuationSeparator" w:id="0">
    <w:p w14:paraId="032A33A8" w14:textId="77777777" w:rsidR="00882638" w:rsidRDefault="0088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31124" w14:textId="77777777" w:rsidR="00882638" w:rsidRDefault="00882638">
      <w:r>
        <w:separator/>
      </w:r>
    </w:p>
  </w:footnote>
  <w:footnote w:type="continuationSeparator" w:id="0">
    <w:p w14:paraId="0DE22016" w14:textId="77777777" w:rsidR="00882638" w:rsidRDefault="00882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1BCE" w14:textId="38296680"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bookmarkStart w:id="13" w:name="BPrefix"/>
    <w:r w:rsidRPr="00767CE8">
      <w:rPr>
        <w:rFonts w:ascii="Arial" w:hAnsi="Arial" w:cs="Arial"/>
        <w:b/>
        <w:sz w:val="22"/>
        <w:szCs w:val="22"/>
      </w:rPr>
      <w:t>Inst</w:t>
    </w:r>
    <w:bookmarkStart w:id="14" w:name="CDocnum"/>
    <w:bookmarkEnd w:id="13"/>
    <w:bookmarkEnd w:id="14"/>
    <w:r w:rsidRPr="00767CE8">
      <w:rPr>
        <w:rFonts w:ascii="Arial" w:hAnsi="Arial" w:cs="Arial"/>
        <w:b/>
        <w:sz w:val="22"/>
        <w:szCs w:val="22"/>
      </w:rPr>
      <w:t xml:space="preserve">rument ID: </w:t>
    </w:r>
    <w:r w:rsidR="00B96C9E">
      <w:rPr>
        <w:rFonts w:ascii="Arial" w:hAnsi="Arial" w:cs="Arial"/>
        <w:b/>
        <w:sz w:val="22"/>
        <w:szCs w:val="22"/>
      </w:rPr>
      <w:t>20</w:t>
    </w:r>
    <w:r w:rsidR="00825C3F">
      <w:rPr>
        <w:rFonts w:ascii="Arial" w:hAnsi="Arial" w:cs="Arial"/>
        <w:b/>
        <w:sz w:val="22"/>
        <w:szCs w:val="22"/>
      </w:rPr>
      <w:t>20</w:t>
    </w:r>
    <w:r w:rsidRPr="00767CE8">
      <w:rPr>
        <w:rFonts w:ascii="Arial" w:hAnsi="Arial" w:cs="Arial"/>
        <w:b/>
        <w:sz w:val="22"/>
        <w:szCs w:val="22"/>
      </w:rPr>
      <w:t>/S</w:t>
    </w:r>
    <w:r w:rsidR="00B96C9E">
      <w:rPr>
        <w:rFonts w:ascii="Arial" w:hAnsi="Arial" w:cs="Arial"/>
        <w:b/>
        <w:sz w:val="22"/>
        <w:szCs w:val="22"/>
      </w:rPr>
      <w:t>MB</w:t>
    </w:r>
    <w:r w:rsidRPr="00767CE8">
      <w:rPr>
        <w:rFonts w:ascii="Arial" w:hAnsi="Arial" w:cs="Arial"/>
        <w:b/>
        <w:sz w:val="22"/>
        <w:szCs w:val="22"/>
      </w:rPr>
      <w:t>/</w:t>
    </w:r>
    <w:r w:rsidR="00B96C9E">
      <w:rPr>
        <w:rFonts w:ascii="Arial" w:hAnsi="Arial" w:cs="Arial"/>
        <w:b/>
        <w:sz w:val="22"/>
        <w:szCs w:val="22"/>
      </w:rPr>
      <w:t>00</w:t>
    </w:r>
    <w:r w:rsidR="00825C3F">
      <w:rPr>
        <w:rFonts w:ascii="Arial" w:hAnsi="Arial" w:cs="Arial"/>
        <w:b/>
        <w:sz w:val="22"/>
        <w:szCs w:val="22"/>
      </w:rPr>
      <w:t>03</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A436DF6"/>
    <w:multiLevelType w:val="hybridMultilevel"/>
    <w:tmpl w:val="6A5A76FC"/>
    <w:lvl w:ilvl="0" w:tplc="997C9D0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526" w:hanging="360"/>
      </w:p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4">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5">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9">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2">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3D965A69"/>
    <w:multiLevelType w:val="hybridMultilevel"/>
    <w:tmpl w:val="5E3EDACC"/>
    <w:lvl w:ilvl="0" w:tplc="5650CDFE">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nsid w:val="3FCC3903"/>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8">
    <w:nsid w:val="43444913"/>
    <w:multiLevelType w:val="hybridMultilevel"/>
    <w:tmpl w:val="770A369C"/>
    <w:lvl w:ilvl="0" w:tplc="0C09001B">
      <w:start w:val="1"/>
      <w:numFmt w:val="lowerRoman"/>
      <w:lvlText w:val="%1."/>
      <w:lvlJc w:val="right"/>
      <w:pPr>
        <w:ind w:left="2265" w:hanging="360"/>
      </w:pPr>
      <w:rPr>
        <w:rFonts w:hint="default"/>
      </w:rPr>
    </w:lvl>
    <w:lvl w:ilvl="1" w:tplc="0C090003" w:tentative="1">
      <w:start w:val="1"/>
      <w:numFmt w:val="bullet"/>
      <w:lvlText w:val="o"/>
      <w:lvlJc w:val="left"/>
      <w:pPr>
        <w:ind w:left="2985" w:hanging="360"/>
      </w:pPr>
      <w:rPr>
        <w:rFonts w:ascii="Courier New" w:hAnsi="Courier New" w:cs="Courier New" w:hint="default"/>
      </w:rPr>
    </w:lvl>
    <w:lvl w:ilvl="2" w:tplc="0C090005" w:tentative="1">
      <w:start w:val="1"/>
      <w:numFmt w:val="bullet"/>
      <w:lvlText w:val=""/>
      <w:lvlJc w:val="left"/>
      <w:pPr>
        <w:ind w:left="3705" w:hanging="360"/>
      </w:pPr>
      <w:rPr>
        <w:rFonts w:ascii="Wingdings" w:hAnsi="Wingdings" w:hint="default"/>
      </w:rPr>
    </w:lvl>
    <w:lvl w:ilvl="3" w:tplc="0C090001" w:tentative="1">
      <w:start w:val="1"/>
      <w:numFmt w:val="bullet"/>
      <w:lvlText w:val=""/>
      <w:lvlJc w:val="left"/>
      <w:pPr>
        <w:ind w:left="4425" w:hanging="360"/>
      </w:pPr>
      <w:rPr>
        <w:rFonts w:ascii="Symbol" w:hAnsi="Symbol" w:hint="default"/>
      </w:rPr>
    </w:lvl>
    <w:lvl w:ilvl="4" w:tplc="0C090003" w:tentative="1">
      <w:start w:val="1"/>
      <w:numFmt w:val="bullet"/>
      <w:lvlText w:val="o"/>
      <w:lvlJc w:val="left"/>
      <w:pPr>
        <w:ind w:left="5145" w:hanging="360"/>
      </w:pPr>
      <w:rPr>
        <w:rFonts w:ascii="Courier New" w:hAnsi="Courier New" w:cs="Courier New" w:hint="default"/>
      </w:rPr>
    </w:lvl>
    <w:lvl w:ilvl="5" w:tplc="0C090005" w:tentative="1">
      <w:start w:val="1"/>
      <w:numFmt w:val="bullet"/>
      <w:lvlText w:val=""/>
      <w:lvlJc w:val="left"/>
      <w:pPr>
        <w:ind w:left="5865" w:hanging="360"/>
      </w:pPr>
      <w:rPr>
        <w:rFonts w:ascii="Wingdings" w:hAnsi="Wingdings" w:hint="default"/>
      </w:rPr>
    </w:lvl>
    <w:lvl w:ilvl="6" w:tplc="0C090001" w:tentative="1">
      <w:start w:val="1"/>
      <w:numFmt w:val="bullet"/>
      <w:lvlText w:val=""/>
      <w:lvlJc w:val="left"/>
      <w:pPr>
        <w:ind w:left="6585" w:hanging="360"/>
      </w:pPr>
      <w:rPr>
        <w:rFonts w:ascii="Symbol" w:hAnsi="Symbol" w:hint="default"/>
      </w:rPr>
    </w:lvl>
    <w:lvl w:ilvl="7" w:tplc="0C090003" w:tentative="1">
      <w:start w:val="1"/>
      <w:numFmt w:val="bullet"/>
      <w:lvlText w:val="o"/>
      <w:lvlJc w:val="left"/>
      <w:pPr>
        <w:ind w:left="7305" w:hanging="360"/>
      </w:pPr>
      <w:rPr>
        <w:rFonts w:ascii="Courier New" w:hAnsi="Courier New" w:cs="Courier New" w:hint="default"/>
      </w:rPr>
    </w:lvl>
    <w:lvl w:ilvl="8" w:tplc="0C090005" w:tentative="1">
      <w:start w:val="1"/>
      <w:numFmt w:val="bullet"/>
      <w:lvlText w:val=""/>
      <w:lvlJc w:val="left"/>
      <w:pPr>
        <w:ind w:left="8025" w:hanging="360"/>
      </w:pPr>
      <w:rPr>
        <w:rFonts w:ascii="Wingdings" w:hAnsi="Wingdings" w:hint="default"/>
      </w:rPr>
    </w:lvl>
  </w:abstractNum>
  <w:abstractNum w:abstractNumId="29">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3">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39611C2"/>
    <w:multiLevelType w:val="hybridMultilevel"/>
    <w:tmpl w:val="6A5A76FC"/>
    <w:lvl w:ilvl="0" w:tplc="997C9D0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526" w:hanging="360"/>
      </w:p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42">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26"/>
  </w:num>
  <w:num w:numId="4">
    <w:abstractNumId w:val="40"/>
  </w:num>
  <w:num w:numId="5">
    <w:abstractNumId w:val="5"/>
  </w:num>
  <w:num w:numId="6">
    <w:abstractNumId w:val="13"/>
  </w:num>
  <w:num w:numId="7">
    <w:abstractNumId w:val="35"/>
  </w:num>
  <w:num w:numId="8">
    <w:abstractNumId w:val="34"/>
  </w:num>
  <w:num w:numId="9">
    <w:abstractNumId w:val="29"/>
  </w:num>
  <w:num w:numId="10">
    <w:abstractNumId w:val="22"/>
  </w:num>
  <w:num w:numId="11">
    <w:abstractNumId w:val="42"/>
  </w:num>
  <w:num w:numId="12">
    <w:abstractNumId w:val="36"/>
  </w:num>
  <w:num w:numId="13">
    <w:abstractNumId w:val="39"/>
  </w:num>
  <w:num w:numId="14">
    <w:abstractNumId w:val="38"/>
  </w:num>
  <w:num w:numId="15">
    <w:abstractNumId w:val="20"/>
  </w:num>
  <w:num w:numId="16">
    <w:abstractNumId w:val="25"/>
  </w:num>
  <w:num w:numId="17">
    <w:abstractNumId w:val="10"/>
  </w:num>
  <w:num w:numId="18">
    <w:abstractNumId w:val="16"/>
  </w:num>
  <w:num w:numId="19">
    <w:abstractNumId w:val="3"/>
  </w:num>
  <w:num w:numId="20">
    <w:abstractNumId w:val="1"/>
  </w:num>
  <w:num w:numId="21">
    <w:abstractNumId w:val="12"/>
  </w:num>
  <w:num w:numId="22">
    <w:abstractNumId w:val="32"/>
  </w:num>
  <w:num w:numId="23">
    <w:abstractNumId w:val="9"/>
  </w:num>
  <w:num w:numId="24">
    <w:abstractNumId w:val="19"/>
  </w:num>
  <w:num w:numId="25">
    <w:abstractNumId w:val="31"/>
  </w:num>
  <w:num w:numId="26">
    <w:abstractNumId w:val="30"/>
  </w:num>
  <w:num w:numId="27">
    <w:abstractNumId w:val="8"/>
  </w:num>
  <w:num w:numId="28">
    <w:abstractNumId w:val="33"/>
  </w:num>
  <w:num w:numId="29">
    <w:abstractNumId w:val="18"/>
  </w:num>
  <w:num w:numId="30">
    <w:abstractNumId w:val="14"/>
  </w:num>
  <w:num w:numId="31">
    <w:abstractNumId w:val="6"/>
  </w:num>
  <w:num w:numId="32">
    <w:abstractNumId w:val="0"/>
  </w:num>
  <w:num w:numId="33">
    <w:abstractNumId w:val="7"/>
  </w:num>
  <w:num w:numId="34">
    <w:abstractNumId w:val="27"/>
  </w:num>
  <w:num w:numId="35">
    <w:abstractNumId w:val="37"/>
  </w:num>
  <w:num w:numId="36">
    <w:abstractNumId w:val="17"/>
  </w:num>
  <w:num w:numId="37">
    <w:abstractNumId w:val="11"/>
  </w:num>
  <w:num w:numId="38">
    <w:abstractNumId w:val="21"/>
  </w:num>
  <w:num w:numId="39">
    <w:abstractNumId w:val="21"/>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1"/>
  </w:num>
  <w:num w:numId="43">
    <w:abstractNumId w:val="2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568B"/>
    <w:rsid w:val="00043FA7"/>
    <w:rsid w:val="000552E8"/>
    <w:rsid w:val="00056585"/>
    <w:rsid w:val="0005674F"/>
    <w:rsid w:val="00065C6E"/>
    <w:rsid w:val="00072E6E"/>
    <w:rsid w:val="00073F1B"/>
    <w:rsid w:val="00075B58"/>
    <w:rsid w:val="00081520"/>
    <w:rsid w:val="000B11DD"/>
    <w:rsid w:val="000B1785"/>
    <w:rsid w:val="000C390A"/>
    <w:rsid w:val="000C77DD"/>
    <w:rsid w:val="000D1947"/>
    <w:rsid w:val="000E295B"/>
    <w:rsid w:val="000E45A0"/>
    <w:rsid w:val="00107460"/>
    <w:rsid w:val="00112415"/>
    <w:rsid w:val="0013678D"/>
    <w:rsid w:val="00140A34"/>
    <w:rsid w:val="00146ED8"/>
    <w:rsid w:val="00167202"/>
    <w:rsid w:val="001828A4"/>
    <w:rsid w:val="001A3BE2"/>
    <w:rsid w:val="001C35E7"/>
    <w:rsid w:val="001C4578"/>
    <w:rsid w:val="001D02E6"/>
    <w:rsid w:val="001F28A6"/>
    <w:rsid w:val="001F2A16"/>
    <w:rsid w:val="001F6921"/>
    <w:rsid w:val="001F7C3E"/>
    <w:rsid w:val="00201969"/>
    <w:rsid w:val="0021222C"/>
    <w:rsid w:val="00213FA5"/>
    <w:rsid w:val="00222AFB"/>
    <w:rsid w:val="0023733A"/>
    <w:rsid w:val="0024044F"/>
    <w:rsid w:val="00245D00"/>
    <w:rsid w:val="00257F2D"/>
    <w:rsid w:val="00262F9F"/>
    <w:rsid w:val="00266D2D"/>
    <w:rsid w:val="0027331F"/>
    <w:rsid w:val="00285E76"/>
    <w:rsid w:val="002949C3"/>
    <w:rsid w:val="002A10A4"/>
    <w:rsid w:val="002A26FE"/>
    <w:rsid w:val="002B1423"/>
    <w:rsid w:val="002F1257"/>
    <w:rsid w:val="00310C61"/>
    <w:rsid w:val="00314D62"/>
    <w:rsid w:val="003171B3"/>
    <w:rsid w:val="0032559D"/>
    <w:rsid w:val="00331616"/>
    <w:rsid w:val="00333567"/>
    <w:rsid w:val="00344575"/>
    <w:rsid w:val="0035113C"/>
    <w:rsid w:val="00354525"/>
    <w:rsid w:val="00374385"/>
    <w:rsid w:val="00380CC4"/>
    <w:rsid w:val="003C0686"/>
    <w:rsid w:val="003D08CF"/>
    <w:rsid w:val="003D0CBA"/>
    <w:rsid w:val="003D0F6A"/>
    <w:rsid w:val="003D4BA8"/>
    <w:rsid w:val="003E5269"/>
    <w:rsid w:val="00405394"/>
    <w:rsid w:val="004066E4"/>
    <w:rsid w:val="0040680B"/>
    <w:rsid w:val="00407361"/>
    <w:rsid w:val="00417C55"/>
    <w:rsid w:val="00424A7B"/>
    <w:rsid w:val="004447C1"/>
    <w:rsid w:val="0045590D"/>
    <w:rsid w:val="0046211F"/>
    <w:rsid w:val="0046787B"/>
    <w:rsid w:val="00486653"/>
    <w:rsid w:val="00493CA7"/>
    <w:rsid w:val="004A5FDA"/>
    <w:rsid w:val="004D098C"/>
    <w:rsid w:val="004D24A9"/>
    <w:rsid w:val="004E5357"/>
    <w:rsid w:val="004F4A07"/>
    <w:rsid w:val="004F5EB1"/>
    <w:rsid w:val="004F6887"/>
    <w:rsid w:val="005030AD"/>
    <w:rsid w:val="0051249C"/>
    <w:rsid w:val="005176E7"/>
    <w:rsid w:val="00520330"/>
    <w:rsid w:val="00524B6B"/>
    <w:rsid w:val="00526403"/>
    <w:rsid w:val="005413EE"/>
    <w:rsid w:val="00587443"/>
    <w:rsid w:val="00587C50"/>
    <w:rsid w:val="005917F3"/>
    <w:rsid w:val="005B0ACD"/>
    <w:rsid w:val="005B50A2"/>
    <w:rsid w:val="005C3408"/>
    <w:rsid w:val="005D611B"/>
    <w:rsid w:val="005F1ACE"/>
    <w:rsid w:val="005F256D"/>
    <w:rsid w:val="0060183A"/>
    <w:rsid w:val="00603110"/>
    <w:rsid w:val="00611C8E"/>
    <w:rsid w:val="00630199"/>
    <w:rsid w:val="006302F7"/>
    <w:rsid w:val="00631F30"/>
    <w:rsid w:val="00642420"/>
    <w:rsid w:val="00646158"/>
    <w:rsid w:val="006513F4"/>
    <w:rsid w:val="00665FE0"/>
    <w:rsid w:val="0066622C"/>
    <w:rsid w:val="00666487"/>
    <w:rsid w:val="00673B37"/>
    <w:rsid w:val="006945EA"/>
    <w:rsid w:val="006B5470"/>
    <w:rsid w:val="006D0138"/>
    <w:rsid w:val="006D6F52"/>
    <w:rsid w:val="00701718"/>
    <w:rsid w:val="00705991"/>
    <w:rsid w:val="00710359"/>
    <w:rsid w:val="00712FFF"/>
    <w:rsid w:val="0072113C"/>
    <w:rsid w:val="00722DBF"/>
    <w:rsid w:val="00735157"/>
    <w:rsid w:val="007563E9"/>
    <w:rsid w:val="0076271C"/>
    <w:rsid w:val="00767CE8"/>
    <w:rsid w:val="00775490"/>
    <w:rsid w:val="00795D0C"/>
    <w:rsid w:val="007A55BA"/>
    <w:rsid w:val="007C1FBD"/>
    <w:rsid w:val="007C54B3"/>
    <w:rsid w:val="007C5C8E"/>
    <w:rsid w:val="007E0A01"/>
    <w:rsid w:val="007E22F5"/>
    <w:rsid w:val="007F25F3"/>
    <w:rsid w:val="007F4901"/>
    <w:rsid w:val="00825C3F"/>
    <w:rsid w:val="00826DEB"/>
    <w:rsid w:val="00832A78"/>
    <w:rsid w:val="00836B02"/>
    <w:rsid w:val="008467D4"/>
    <w:rsid w:val="00850FB0"/>
    <w:rsid w:val="00851AF4"/>
    <w:rsid w:val="0085238E"/>
    <w:rsid w:val="00853428"/>
    <w:rsid w:val="008540EA"/>
    <w:rsid w:val="00866A00"/>
    <w:rsid w:val="008702A6"/>
    <w:rsid w:val="008757CE"/>
    <w:rsid w:val="00882638"/>
    <w:rsid w:val="0088392C"/>
    <w:rsid w:val="00897C0E"/>
    <w:rsid w:val="00897E31"/>
    <w:rsid w:val="008A046F"/>
    <w:rsid w:val="008A405A"/>
    <w:rsid w:val="008A6A6A"/>
    <w:rsid w:val="008B650A"/>
    <w:rsid w:val="008B787C"/>
    <w:rsid w:val="008C3898"/>
    <w:rsid w:val="008C66CC"/>
    <w:rsid w:val="008F483C"/>
    <w:rsid w:val="00910756"/>
    <w:rsid w:val="00912D61"/>
    <w:rsid w:val="00913099"/>
    <w:rsid w:val="009322D7"/>
    <w:rsid w:val="00932BDE"/>
    <w:rsid w:val="00967725"/>
    <w:rsid w:val="0098195F"/>
    <w:rsid w:val="009902F8"/>
    <w:rsid w:val="00993BB8"/>
    <w:rsid w:val="0099555F"/>
    <w:rsid w:val="009A22A1"/>
    <w:rsid w:val="009B3A1B"/>
    <w:rsid w:val="009B6332"/>
    <w:rsid w:val="009C0912"/>
    <w:rsid w:val="009C7443"/>
    <w:rsid w:val="009D6694"/>
    <w:rsid w:val="009F0300"/>
    <w:rsid w:val="00A167A8"/>
    <w:rsid w:val="00A21F0A"/>
    <w:rsid w:val="00A26011"/>
    <w:rsid w:val="00A506C2"/>
    <w:rsid w:val="00A62886"/>
    <w:rsid w:val="00A74C38"/>
    <w:rsid w:val="00A77D24"/>
    <w:rsid w:val="00A8572F"/>
    <w:rsid w:val="00A93E07"/>
    <w:rsid w:val="00A979CF"/>
    <w:rsid w:val="00AA4DF8"/>
    <w:rsid w:val="00AA5417"/>
    <w:rsid w:val="00AB780C"/>
    <w:rsid w:val="00AB78B1"/>
    <w:rsid w:val="00AC2448"/>
    <w:rsid w:val="00AD0B0B"/>
    <w:rsid w:val="00AD2A97"/>
    <w:rsid w:val="00AD5ADE"/>
    <w:rsid w:val="00AE7138"/>
    <w:rsid w:val="00AF4CAF"/>
    <w:rsid w:val="00B117BA"/>
    <w:rsid w:val="00B15F23"/>
    <w:rsid w:val="00B16508"/>
    <w:rsid w:val="00B20D87"/>
    <w:rsid w:val="00B24053"/>
    <w:rsid w:val="00B31550"/>
    <w:rsid w:val="00B578AC"/>
    <w:rsid w:val="00B6433F"/>
    <w:rsid w:val="00B64CF5"/>
    <w:rsid w:val="00B76C9B"/>
    <w:rsid w:val="00B823A1"/>
    <w:rsid w:val="00B8428B"/>
    <w:rsid w:val="00B96C9E"/>
    <w:rsid w:val="00BA41F5"/>
    <w:rsid w:val="00BB3C9C"/>
    <w:rsid w:val="00BF4822"/>
    <w:rsid w:val="00C01D22"/>
    <w:rsid w:val="00C104B6"/>
    <w:rsid w:val="00C10F02"/>
    <w:rsid w:val="00C114F4"/>
    <w:rsid w:val="00C11D03"/>
    <w:rsid w:val="00C31967"/>
    <w:rsid w:val="00C371DE"/>
    <w:rsid w:val="00C409AE"/>
    <w:rsid w:val="00C4143E"/>
    <w:rsid w:val="00C42D50"/>
    <w:rsid w:val="00C42D68"/>
    <w:rsid w:val="00C54DF8"/>
    <w:rsid w:val="00C60B49"/>
    <w:rsid w:val="00C7440A"/>
    <w:rsid w:val="00C865ED"/>
    <w:rsid w:val="00C8775A"/>
    <w:rsid w:val="00CA0877"/>
    <w:rsid w:val="00CA6B59"/>
    <w:rsid w:val="00CB3B6C"/>
    <w:rsid w:val="00CC1833"/>
    <w:rsid w:val="00CC189F"/>
    <w:rsid w:val="00CC3368"/>
    <w:rsid w:val="00CF19C4"/>
    <w:rsid w:val="00CF2B0A"/>
    <w:rsid w:val="00D13C04"/>
    <w:rsid w:val="00D20A78"/>
    <w:rsid w:val="00D222B6"/>
    <w:rsid w:val="00D278BA"/>
    <w:rsid w:val="00D40454"/>
    <w:rsid w:val="00D4059C"/>
    <w:rsid w:val="00D40F80"/>
    <w:rsid w:val="00D53D8F"/>
    <w:rsid w:val="00D61C76"/>
    <w:rsid w:val="00D77015"/>
    <w:rsid w:val="00D92B48"/>
    <w:rsid w:val="00DB1693"/>
    <w:rsid w:val="00DD5B07"/>
    <w:rsid w:val="00DE6821"/>
    <w:rsid w:val="00DF2022"/>
    <w:rsid w:val="00DF34BE"/>
    <w:rsid w:val="00DF5D59"/>
    <w:rsid w:val="00E10B37"/>
    <w:rsid w:val="00E239E4"/>
    <w:rsid w:val="00E36A38"/>
    <w:rsid w:val="00E5322B"/>
    <w:rsid w:val="00E53399"/>
    <w:rsid w:val="00E77995"/>
    <w:rsid w:val="00E87099"/>
    <w:rsid w:val="00EA28E6"/>
    <w:rsid w:val="00EF78C4"/>
    <w:rsid w:val="00F04CD7"/>
    <w:rsid w:val="00F1446B"/>
    <w:rsid w:val="00F23E15"/>
    <w:rsid w:val="00F244A2"/>
    <w:rsid w:val="00F35064"/>
    <w:rsid w:val="00F374D8"/>
    <w:rsid w:val="00F5684D"/>
    <w:rsid w:val="00F57AB6"/>
    <w:rsid w:val="00F6480F"/>
    <w:rsid w:val="00F64868"/>
    <w:rsid w:val="00F70C2E"/>
    <w:rsid w:val="00F84DF2"/>
    <w:rsid w:val="00F859AD"/>
    <w:rsid w:val="00F86713"/>
    <w:rsid w:val="00F932E0"/>
    <w:rsid w:val="00FB7701"/>
    <w:rsid w:val="00FC40F0"/>
    <w:rsid w:val="00FC6D3B"/>
    <w:rsid w:val="00FD0129"/>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4" ma:contentTypeDescription="" ma:contentTypeScope="" ma:versionID="e7f60ab67b138d6b498f1e508387a7ca">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6157e332811e791681c4e91ba41dc61a"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2029-10-31T06:04:58+00:00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092B523-521B-4F01-8DAB-0EC284B7888D}">
  <ds:schemaRefs>
    <ds:schemaRef ds:uri="office.server.policy"/>
  </ds:schemaRefs>
</ds:datastoreItem>
</file>

<file path=customXml/itemProps3.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4.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5.xml><?xml version="1.0" encoding="utf-8"?>
<ds:datastoreItem xmlns:ds="http://schemas.openxmlformats.org/officeDocument/2006/customXml" ds:itemID="{AA5AEB4B-88AC-49E1-BCDA-CE8143BC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http://schemas.microsoft.com/sharepoint/v3"/>
  </ds:schemaRefs>
</ds:datastoreItem>
</file>

<file path=customXml/itemProps7.xml><?xml version="1.0" encoding="utf-8"?>
<ds:datastoreItem xmlns:ds="http://schemas.openxmlformats.org/officeDocument/2006/customXml" ds:itemID="{F8AAA3C3-6B9F-44E2-A003-9B9FE6FA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8059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3</cp:revision>
  <cp:lastPrinted>2017-04-21T01:19:00Z</cp:lastPrinted>
  <dcterms:created xsi:type="dcterms:W3CDTF">2020-01-22T04:19:00Z</dcterms:created>
  <dcterms:modified xsi:type="dcterms:W3CDTF">2020-01-22T04:23:00Z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