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E3D2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1897C65" wp14:editId="3276037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D44BC" w14:textId="77777777" w:rsidR="00715914" w:rsidRPr="00E500D4" w:rsidRDefault="00715914" w:rsidP="00715914">
      <w:pPr>
        <w:rPr>
          <w:sz w:val="19"/>
        </w:rPr>
      </w:pPr>
    </w:p>
    <w:p w14:paraId="61B29711" w14:textId="77777777" w:rsidR="00554826" w:rsidRPr="00E500D4" w:rsidRDefault="009434B9" w:rsidP="00554826">
      <w:pPr>
        <w:pStyle w:val="ShortT"/>
      </w:pPr>
      <w:bookmarkStart w:id="0" w:name="_Hlk22634670"/>
      <w:r w:rsidRPr="009434B9">
        <w:t>Telecommunications (Emergency Call Persons) Determination 2019</w:t>
      </w:r>
    </w:p>
    <w:bookmarkEnd w:id="0"/>
    <w:p w14:paraId="1B5A5EEA" w14:textId="77777777" w:rsidR="00554826" w:rsidRPr="00DA182D" w:rsidRDefault="009434B9" w:rsidP="0055482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 xml:space="preserve">The Australian Communications and Media Authority makes the following notifiable instrument under paragraph 19(1)(b) of the </w:t>
      </w:r>
      <w:r>
        <w:rPr>
          <w:i/>
          <w:iCs/>
          <w:szCs w:val="22"/>
        </w:rPr>
        <w:t>Telecommunications Act 1997</w:t>
      </w:r>
      <w:r w:rsidR="00554826" w:rsidRPr="00DA182D">
        <w:rPr>
          <w:szCs w:val="22"/>
        </w:rPr>
        <w:t>.</w:t>
      </w:r>
    </w:p>
    <w:p w14:paraId="74F7F485" w14:textId="5E047A64" w:rsidR="009434B9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E46B1">
        <w:rPr>
          <w:szCs w:val="22"/>
        </w:rPr>
        <w:t>8 November 2019</w:t>
      </w:r>
    </w:p>
    <w:p w14:paraId="676C9763" w14:textId="77777777" w:rsidR="009434B9" w:rsidRDefault="009434B9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CA65E7D" w14:textId="5894DF7F" w:rsidR="003E46B1" w:rsidRDefault="003E46B1" w:rsidP="003E46B1">
      <w:pPr>
        <w:tabs>
          <w:tab w:val="left" w:pos="3119"/>
        </w:tabs>
        <w:spacing w:line="300" w:lineRule="atLeast"/>
        <w:ind w:right="375"/>
        <w:jc w:val="right"/>
        <w:rPr>
          <w:rFonts w:cs="Times New Roman"/>
        </w:rPr>
      </w:pPr>
      <w:proofErr w:type="spellStart"/>
      <w:r>
        <w:rPr>
          <w:rFonts w:cs="Times New Roman"/>
        </w:rPr>
        <w:t>Nerida</w:t>
      </w:r>
      <w:proofErr w:type="spellEnd"/>
      <w:r>
        <w:rPr>
          <w:rFonts w:cs="Times New Roman"/>
        </w:rPr>
        <w:t xml:space="preserve"> O’Loughlin</w:t>
      </w:r>
    </w:p>
    <w:p w14:paraId="3BBE8063" w14:textId="76B74E13" w:rsidR="003E46B1" w:rsidRDefault="003E46B1" w:rsidP="003E46B1">
      <w:pPr>
        <w:tabs>
          <w:tab w:val="left" w:pos="3119"/>
        </w:tabs>
        <w:spacing w:line="300" w:lineRule="atLeast"/>
        <w:ind w:right="375"/>
        <w:jc w:val="right"/>
        <w:rPr>
          <w:rFonts w:cs="Times New Roman"/>
        </w:rPr>
      </w:pPr>
      <w:r>
        <w:rPr>
          <w:rFonts w:cs="Times New Roman"/>
        </w:rPr>
        <w:t>[signed]</w:t>
      </w:r>
    </w:p>
    <w:p w14:paraId="4BF8A195" w14:textId="713B2A88" w:rsidR="009434B9" w:rsidRDefault="009434B9" w:rsidP="003E46B1">
      <w:pPr>
        <w:tabs>
          <w:tab w:val="left" w:pos="3119"/>
        </w:tabs>
        <w:spacing w:line="300" w:lineRule="atLeast"/>
        <w:ind w:right="375"/>
        <w:jc w:val="right"/>
        <w:rPr>
          <w:rFonts w:cs="Times New Roman"/>
        </w:rPr>
      </w:pPr>
      <w:bookmarkStart w:id="1" w:name="_GoBack"/>
      <w:bookmarkEnd w:id="1"/>
      <w:r w:rsidRPr="00E318F7">
        <w:rPr>
          <w:rFonts w:cs="Times New Roman"/>
        </w:rPr>
        <w:t>Member</w:t>
      </w:r>
      <w:bookmarkStart w:id="2" w:name="Minister"/>
    </w:p>
    <w:p w14:paraId="05DB9886" w14:textId="11660584" w:rsidR="003E46B1" w:rsidRDefault="003E46B1" w:rsidP="003E46B1">
      <w:pPr>
        <w:tabs>
          <w:tab w:val="left" w:pos="3119"/>
        </w:tabs>
        <w:spacing w:line="300" w:lineRule="atLeast"/>
        <w:ind w:right="375"/>
        <w:jc w:val="right"/>
        <w:rPr>
          <w:rFonts w:cs="Times New Roman"/>
        </w:rPr>
      </w:pPr>
    </w:p>
    <w:p w14:paraId="11EE586C" w14:textId="11E6CA45" w:rsidR="003E46B1" w:rsidRDefault="003E46B1" w:rsidP="003E46B1">
      <w:pPr>
        <w:tabs>
          <w:tab w:val="left" w:pos="3119"/>
        </w:tabs>
        <w:spacing w:line="300" w:lineRule="atLeast"/>
        <w:ind w:right="375"/>
        <w:jc w:val="right"/>
        <w:rPr>
          <w:rFonts w:cs="Times New Roman"/>
        </w:rPr>
      </w:pPr>
    </w:p>
    <w:p w14:paraId="5DEA717C" w14:textId="05846224" w:rsidR="003E46B1" w:rsidRDefault="003E46B1" w:rsidP="003E46B1">
      <w:pPr>
        <w:tabs>
          <w:tab w:val="left" w:pos="3119"/>
        </w:tabs>
        <w:spacing w:line="300" w:lineRule="atLeast"/>
        <w:ind w:right="375"/>
        <w:jc w:val="right"/>
        <w:rPr>
          <w:rFonts w:cs="Times New Roman"/>
        </w:rPr>
      </w:pPr>
      <w:r>
        <w:rPr>
          <w:rFonts w:cs="Times New Roman"/>
        </w:rPr>
        <w:t>Linda Caruso</w:t>
      </w:r>
    </w:p>
    <w:p w14:paraId="45E2B1CB" w14:textId="7171C3DE" w:rsidR="003E46B1" w:rsidRPr="00E318F7" w:rsidRDefault="003E46B1" w:rsidP="003E46B1">
      <w:pPr>
        <w:tabs>
          <w:tab w:val="left" w:pos="3119"/>
        </w:tabs>
        <w:spacing w:line="300" w:lineRule="atLeast"/>
        <w:ind w:right="375"/>
        <w:jc w:val="right"/>
        <w:rPr>
          <w:rFonts w:cs="Times New Roman"/>
        </w:rPr>
      </w:pPr>
      <w:r>
        <w:rPr>
          <w:rFonts w:cs="Times New Roman"/>
        </w:rPr>
        <w:t>[signed]</w:t>
      </w:r>
    </w:p>
    <w:p w14:paraId="1C5BAB32" w14:textId="77777777" w:rsidR="009434B9" w:rsidRPr="00E318F7" w:rsidRDefault="009434B9" w:rsidP="003E46B1">
      <w:pPr>
        <w:tabs>
          <w:tab w:val="left" w:pos="3119"/>
        </w:tabs>
        <w:spacing w:line="300" w:lineRule="atLeast"/>
        <w:ind w:right="375"/>
        <w:jc w:val="right"/>
        <w:rPr>
          <w:rFonts w:cs="Times New Roman"/>
        </w:rPr>
      </w:pPr>
      <w:r w:rsidRPr="003E46B1">
        <w:rPr>
          <w:rFonts w:cs="Times New Roman"/>
          <w:strike/>
        </w:rPr>
        <w:t>Member</w:t>
      </w:r>
      <w:r w:rsidRPr="00E318F7">
        <w:rPr>
          <w:rFonts w:cs="Times New Roman"/>
        </w:rPr>
        <w:t>/General Manager</w:t>
      </w:r>
      <w:bookmarkEnd w:id="2"/>
    </w:p>
    <w:p w14:paraId="03C35D62" w14:textId="77777777" w:rsidR="009434B9" w:rsidRPr="00E318F7" w:rsidRDefault="009434B9" w:rsidP="009434B9">
      <w:pPr>
        <w:pStyle w:val="SignCoverPageEnd"/>
        <w:rPr>
          <w:szCs w:val="22"/>
        </w:rPr>
      </w:pPr>
    </w:p>
    <w:p w14:paraId="78E21F43" w14:textId="77777777" w:rsidR="009434B9" w:rsidRPr="00E318F7" w:rsidRDefault="009434B9" w:rsidP="009434B9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15D6430E" w14:textId="7777777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ab/>
      </w:r>
      <w:r w:rsidRPr="00001A63">
        <w:rPr>
          <w:szCs w:val="22"/>
        </w:rPr>
        <w:tab/>
      </w:r>
    </w:p>
    <w:p w14:paraId="54F68127" w14:textId="77777777" w:rsidR="007B1C1F" w:rsidRDefault="007B1C1F" w:rsidP="009434B9">
      <w:pPr>
        <w:keepNext/>
        <w:tabs>
          <w:tab w:val="left" w:pos="3402"/>
        </w:tabs>
        <w:spacing w:before="1440" w:line="300" w:lineRule="atLeast"/>
        <w:ind w:right="397"/>
        <w:jc w:val="center"/>
        <w:rPr>
          <w:b/>
          <w:szCs w:val="22"/>
        </w:rPr>
        <w:sectPr w:rsidR="007B1C1F" w:rsidSect="007B1C1F">
          <w:headerReference w:type="even" r:id="rId12"/>
          <w:headerReference w:type="default" r:id="rId13"/>
          <w:footerReference w:type="even" r:id="rId14"/>
          <w:headerReference w:type="first" r:id="rId15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docGrid w:linePitch="360"/>
        </w:sectPr>
      </w:pPr>
    </w:p>
    <w:p w14:paraId="57D73159" w14:textId="4525C4AA" w:rsidR="00554826" w:rsidRDefault="00554826" w:rsidP="009434B9">
      <w:pPr>
        <w:keepNext/>
        <w:tabs>
          <w:tab w:val="left" w:pos="3402"/>
        </w:tabs>
        <w:spacing w:before="1440" w:line="300" w:lineRule="atLeast"/>
        <w:ind w:right="397"/>
        <w:jc w:val="center"/>
        <w:rPr>
          <w:b/>
          <w:szCs w:val="22"/>
        </w:rPr>
      </w:pPr>
    </w:p>
    <w:p w14:paraId="758D052F" w14:textId="77777777" w:rsidR="00554826" w:rsidRDefault="00554826" w:rsidP="00554826"/>
    <w:p w14:paraId="3E0CE4D2" w14:textId="77777777" w:rsidR="00554826" w:rsidRPr="00ED79B6" w:rsidRDefault="00554826" w:rsidP="00554826"/>
    <w:p w14:paraId="0FB312CD" w14:textId="77777777" w:rsidR="00F6696E" w:rsidRDefault="00F6696E" w:rsidP="00F6696E"/>
    <w:p w14:paraId="63E4F306" w14:textId="77777777" w:rsidR="00F6696E" w:rsidRDefault="00F6696E" w:rsidP="00F6696E">
      <w:pPr>
        <w:sectPr w:rsidR="00F6696E" w:rsidSect="007B1C1F"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docGrid w:linePitch="360"/>
        </w:sectPr>
      </w:pPr>
    </w:p>
    <w:p w14:paraId="199CAEA6" w14:textId="77777777" w:rsidR="00554826" w:rsidRPr="00554826" w:rsidRDefault="00554826" w:rsidP="00554826">
      <w:pPr>
        <w:pStyle w:val="ActHead5"/>
      </w:pPr>
      <w:bookmarkStart w:id="3" w:name="_Toc22634206"/>
      <w:r w:rsidRPr="00554826">
        <w:lastRenderedPageBreak/>
        <w:t>1  Name</w:t>
      </w:r>
      <w:bookmarkEnd w:id="3"/>
    </w:p>
    <w:p w14:paraId="2AE4E61B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9434B9" w:rsidRPr="009434B9">
        <w:rPr>
          <w:i/>
          <w:iCs/>
        </w:rPr>
        <w:t>Telecommunications (Emergency Call Persons) Determination 2019</w:t>
      </w:r>
      <w:r w:rsidR="009434B9">
        <w:t xml:space="preserve">. </w:t>
      </w:r>
    </w:p>
    <w:p w14:paraId="2A5C7573" w14:textId="77777777" w:rsidR="00554826" w:rsidRPr="00554826" w:rsidRDefault="00554826" w:rsidP="00554826">
      <w:pPr>
        <w:pStyle w:val="ActHead5"/>
      </w:pPr>
      <w:bookmarkStart w:id="5" w:name="_Toc22634207"/>
      <w:r w:rsidRPr="00554826">
        <w:t>2  Commencement</w:t>
      </w:r>
      <w:bookmarkEnd w:id="5"/>
    </w:p>
    <w:p w14:paraId="381275E0" w14:textId="2B0DBDE2" w:rsidR="009434B9" w:rsidRDefault="009434B9" w:rsidP="009434B9">
      <w:pPr>
        <w:pStyle w:val="subsection"/>
      </w:pPr>
      <w:r>
        <w:tab/>
      </w:r>
      <w:r w:rsidRPr="008E3E51">
        <w:tab/>
        <w:t>This instrument</w:t>
      </w:r>
      <w:r>
        <w:t xml:space="preserve"> commences </w:t>
      </w:r>
      <w:r w:rsidR="000E0F2C">
        <w:t>on 18 November 2019</w:t>
      </w:r>
      <w:r>
        <w:t xml:space="preserve">. </w:t>
      </w:r>
    </w:p>
    <w:p w14:paraId="3740D596" w14:textId="77777777" w:rsidR="009434B9" w:rsidRDefault="009434B9" w:rsidP="00A438C4">
      <w:pPr>
        <w:pStyle w:val="LI-BodyTextNote"/>
        <w:spacing w:before="122"/>
        <w:ind w:left="1843" w:hanging="709"/>
      </w:pPr>
      <w:r w:rsidRPr="00F61B09">
        <w:t>Note:</w:t>
      </w:r>
      <w:r w:rsidRPr="00F61B09">
        <w:tab/>
      </w:r>
      <w:r>
        <w:t xml:space="preserve">The Federal Register of Legislation </w:t>
      </w:r>
      <w:r w:rsidRPr="00572BB1">
        <w:t xml:space="preserve">may </w:t>
      </w:r>
      <w:r>
        <w:t xml:space="preserve">be accessed free of charge at </w:t>
      </w:r>
      <w:hyperlink r:id="rId16" w:history="1">
        <w:r w:rsidRPr="00B03694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4D4EB2B5" w14:textId="77777777" w:rsidR="00554826" w:rsidRPr="00554826" w:rsidRDefault="00554826" w:rsidP="00554826">
      <w:pPr>
        <w:pStyle w:val="ActHead5"/>
      </w:pPr>
      <w:bookmarkStart w:id="6" w:name="_Toc22634208"/>
      <w:r w:rsidRPr="00554826">
        <w:t>3  Authority</w:t>
      </w:r>
      <w:bookmarkEnd w:id="6"/>
    </w:p>
    <w:p w14:paraId="5F2AB413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E3C06">
        <w:t xml:space="preserve">paragraph </w:t>
      </w:r>
      <w:r w:rsidR="009434B9">
        <w:t xml:space="preserve">19(1)(b) of the </w:t>
      </w:r>
      <w:r w:rsidR="009434B9">
        <w:rPr>
          <w:i/>
        </w:rPr>
        <w:t>Telecommunications Act 1997</w:t>
      </w:r>
      <w:r w:rsidRPr="009C2562">
        <w:t>.</w:t>
      </w:r>
    </w:p>
    <w:p w14:paraId="044B3371" w14:textId="77777777" w:rsidR="00554826" w:rsidRPr="00554826" w:rsidRDefault="00554826" w:rsidP="00554826">
      <w:pPr>
        <w:pStyle w:val="ActHead5"/>
      </w:pPr>
      <w:bookmarkStart w:id="7" w:name="_Toc22634209"/>
      <w:r w:rsidRPr="00554826">
        <w:t>4  Definitions</w:t>
      </w:r>
      <w:bookmarkEnd w:id="7"/>
    </w:p>
    <w:p w14:paraId="5401372A" w14:textId="77777777" w:rsidR="00554826" w:rsidRPr="009C2562" w:rsidRDefault="00554826" w:rsidP="00A87AF8">
      <w:pPr>
        <w:pStyle w:val="notetext"/>
        <w:ind w:left="1843" w:hanging="709"/>
      </w:pPr>
      <w:r w:rsidRPr="009C2562">
        <w:t>Note:</w:t>
      </w:r>
      <w:r w:rsidRPr="009C2562">
        <w:tab/>
        <w:t xml:space="preserve">A number of expressions used in this instrument are defined in </w:t>
      </w:r>
      <w:r w:rsidR="00A14340">
        <w:t xml:space="preserve">section 7 </w:t>
      </w:r>
      <w:r>
        <w:t>of the Act</w:t>
      </w:r>
      <w:r w:rsidRPr="009C2562">
        <w:t>, including the following:</w:t>
      </w:r>
    </w:p>
    <w:p w14:paraId="4DAE1A2D" w14:textId="77777777" w:rsidR="00554826" w:rsidRPr="009C2562" w:rsidRDefault="00554826" w:rsidP="00A87AF8">
      <w:pPr>
        <w:pStyle w:val="notepara"/>
        <w:ind w:left="1123" w:firstLine="720"/>
      </w:pPr>
      <w:r w:rsidRPr="009C2562">
        <w:t>(a)</w:t>
      </w:r>
      <w:r w:rsidRPr="009C2562">
        <w:tab/>
      </w:r>
      <w:r w:rsidR="00A14340">
        <w:t>emergency call service</w:t>
      </w:r>
      <w:r w:rsidRPr="009C2562">
        <w:t>;</w:t>
      </w:r>
    </w:p>
    <w:p w14:paraId="2B2F1AF9" w14:textId="77777777" w:rsidR="00A14340" w:rsidRDefault="00554826" w:rsidP="00A87AF8">
      <w:pPr>
        <w:pStyle w:val="notepara"/>
        <w:ind w:left="1123" w:firstLine="720"/>
      </w:pPr>
      <w:r w:rsidRPr="009C2562">
        <w:t>(b)</w:t>
      </w:r>
      <w:r w:rsidRPr="009C2562">
        <w:tab/>
      </w:r>
      <w:r w:rsidR="00A14340">
        <w:t>emergency service number;</w:t>
      </w:r>
    </w:p>
    <w:p w14:paraId="492A8824" w14:textId="77777777" w:rsidR="00554826" w:rsidRPr="009C2562" w:rsidRDefault="00A14340" w:rsidP="00A87AF8">
      <w:pPr>
        <w:pStyle w:val="notepara"/>
        <w:ind w:left="1123" w:firstLine="720"/>
      </w:pPr>
      <w:r>
        <w:t>(c)</w:t>
      </w:r>
      <w:r>
        <w:tab/>
        <w:t>Telstra</w:t>
      </w:r>
      <w:r w:rsidR="00554826">
        <w:t>.</w:t>
      </w:r>
    </w:p>
    <w:p w14:paraId="7FB5A411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76641BF4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</w:t>
      </w:r>
      <w:r w:rsidR="009434B9">
        <w:t xml:space="preserve"> </w:t>
      </w:r>
      <w:r w:rsidR="009434B9" w:rsidRPr="009434B9">
        <w:rPr>
          <w:i/>
          <w:iCs/>
        </w:rPr>
        <w:t>Telecommunications Act 1997</w:t>
      </w:r>
      <w:r>
        <w:t>.</w:t>
      </w:r>
    </w:p>
    <w:p w14:paraId="7991628A" w14:textId="20CE2CA2" w:rsidR="00107CF9" w:rsidRPr="00107CF9" w:rsidRDefault="00107CF9" w:rsidP="00554826">
      <w:pPr>
        <w:pStyle w:val="Definition"/>
        <w:rPr>
          <w:bCs/>
          <w:iCs/>
        </w:rPr>
      </w:pPr>
      <w:r>
        <w:rPr>
          <w:b/>
          <w:i/>
        </w:rPr>
        <w:t xml:space="preserve">National Relay Service </w:t>
      </w:r>
      <w:r>
        <w:rPr>
          <w:bCs/>
          <w:iCs/>
        </w:rPr>
        <w:t xml:space="preserve">has the same meaning as in subsection 5(2) of </w:t>
      </w:r>
      <w:r w:rsidR="00A87AF8">
        <w:rPr>
          <w:bCs/>
          <w:iCs/>
        </w:rPr>
        <w:t xml:space="preserve">the </w:t>
      </w:r>
      <w:r w:rsidRPr="00107CF9">
        <w:rPr>
          <w:i/>
          <w:iCs/>
        </w:rPr>
        <w:t>Telecommunications (Consumer Protection and Service Standards) Act 1999</w:t>
      </w:r>
      <w:r>
        <w:rPr>
          <w:i/>
          <w:iCs/>
        </w:rPr>
        <w:t xml:space="preserve">. </w:t>
      </w:r>
    </w:p>
    <w:p w14:paraId="0520066C" w14:textId="64FEEF42" w:rsidR="001217F7" w:rsidRPr="00A14340" w:rsidRDefault="001217F7" w:rsidP="00025C71">
      <w:pPr>
        <w:pStyle w:val="Definition"/>
      </w:pPr>
      <w:r w:rsidRPr="00A14340">
        <w:rPr>
          <w:b/>
          <w:i/>
        </w:rPr>
        <w:t xml:space="preserve">NRS provider </w:t>
      </w:r>
      <w:r w:rsidR="00554826" w:rsidRPr="00A14340">
        <w:t>means</w:t>
      </w:r>
      <w:r w:rsidR="00A62A0B">
        <w:t xml:space="preserve"> Concentrix Services Pty Ltd (ACN </w:t>
      </w:r>
      <w:r w:rsidR="004632DA">
        <w:t xml:space="preserve">166 171 991) </w:t>
      </w:r>
      <w:r w:rsidR="009C7E6F">
        <w:t xml:space="preserve">to the extent that it provides the whole or a part of the National Relay Service. </w:t>
      </w:r>
    </w:p>
    <w:p w14:paraId="38A30911" w14:textId="6A5CF543" w:rsidR="00554826" w:rsidRPr="00554826" w:rsidRDefault="00554826" w:rsidP="00554826">
      <w:pPr>
        <w:pStyle w:val="ActHead5"/>
      </w:pPr>
      <w:bookmarkStart w:id="8" w:name="_Toc454781205"/>
      <w:bookmarkStart w:id="9" w:name="_Toc22634210"/>
      <w:r w:rsidRPr="00554826">
        <w:t xml:space="preserve">5  </w:t>
      </w:r>
      <w:r w:rsidR="00A87AF8">
        <w:t>Repeal</w:t>
      </w:r>
      <w:bookmarkEnd w:id="8"/>
      <w:bookmarkEnd w:id="9"/>
    </w:p>
    <w:p w14:paraId="619FB4FB" w14:textId="391A9E81" w:rsidR="00554826" w:rsidRDefault="00554826" w:rsidP="00554826">
      <w:pPr>
        <w:pStyle w:val="subsection"/>
      </w:pPr>
      <w:r w:rsidRPr="006065DA">
        <w:tab/>
      </w:r>
      <w:r w:rsidRPr="006065DA">
        <w:tab/>
      </w:r>
      <w:r w:rsidR="00BE4BEA">
        <w:t xml:space="preserve">The </w:t>
      </w:r>
      <w:r w:rsidRPr="006065DA">
        <w:t xml:space="preserve">instrument that is specified in Schedule </w:t>
      </w:r>
      <w:r w:rsidR="005C7E0E">
        <w:t xml:space="preserve">1 </w:t>
      </w:r>
      <w:r w:rsidRPr="006065DA">
        <w:t>to this instrument is repealed</w:t>
      </w:r>
      <w:r w:rsidR="00BE4BEA">
        <w:t>.</w:t>
      </w:r>
    </w:p>
    <w:p w14:paraId="46EED8ED" w14:textId="77777777" w:rsidR="00554826" w:rsidRPr="00061DAB" w:rsidRDefault="00554826" w:rsidP="00554826">
      <w:pPr>
        <w:pStyle w:val="ActHead5"/>
      </w:pPr>
      <w:bookmarkStart w:id="10" w:name="_Toc22634211"/>
      <w:r w:rsidRPr="00061DAB">
        <w:t xml:space="preserve">6  </w:t>
      </w:r>
      <w:r w:rsidR="005C7E0E" w:rsidRPr="00061DAB">
        <w:t>References to other instruments</w:t>
      </w:r>
      <w:bookmarkEnd w:id="10"/>
    </w:p>
    <w:p w14:paraId="5404CA79" w14:textId="35151305" w:rsidR="005C7E0E" w:rsidRPr="009B3E70" w:rsidRDefault="005C7E0E" w:rsidP="005C7E0E">
      <w:pPr>
        <w:pStyle w:val="subsection"/>
      </w:pPr>
      <w:r>
        <w:tab/>
      </w:r>
      <w:r>
        <w:tab/>
        <w:t>In this instrument, unless the contrary intention appears</w:t>
      </w:r>
      <w:r w:rsidR="003772E8">
        <w:t xml:space="preserve"> a reference to any other legislative instrument is a reference to that other legislative instrument as in force from time to time. </w:t>
      </w:r>
    </w:p>
    <w:p w14:paraId="5D9CFA43" w14:textId="77777777" w:rsidR="005C7E0E" w:rsidRDefault="005C7E0E" w:rsidP="005C7E0E">
      <w:pPr>
        <w:pStyle w:val="notetext"/>
      </w:pPr>
      <w:r w:rsidRPr="008E3E51">
        <w:t>Note</w:t>
      </w:r>
      <w:r>
        <w:t xml:space="preserve"> 1</w:t>
      </w:r>
      <w:r w:rsidRPr="008E3E51">
        <w:t>:</w:t>
      </w:r>
      <w:r w:rsidRPr="008E3E51">
        <w:tab/>
      </w:r>
      <w:r w:rsidRPr="00696F3B">
        <w:t xml:space="preserve">For references to Commonwealth Acts, see section 10 of the </w:t>
      </w:r>
      <w:r w:rsidRPr="00696F3B">
        <w:rPr>
          <w:i/>
        </w:rPr>
        <w:t>Acts Interpretation Act 1901</w:t>
      </w:r>
      <w:r w:rsidRPr="00696F3B">
        <w:t xml:space="preserve">; and see also subsection 13(1) of the </w:t>
      </w:r>
      <w:r>
        <w:rPr>
          <w:i/>
        </w:rPr>
        <w:t>Legislation</w:t>
      </w:r>
      <w:r w:rsidRPr="00696F3B">
        <w:rPr>
          <w:i/>
        </w:rPr>
        <w:t xml:space="preserve"> Act 2003</w:t>
      </w:r>
      <w:r w:rsidRPr="00696F3B">
        <w:t xml:space="preserve"> for the application of the </w:t>
      </w:r>
      <w:r w:rsidRPr="00696F3B">
        <w:rPr>
          <w:i/>
        </w:rPr>
        <w:t>Acts Interpretation Act 1901</w:t>
      </w:r>
      <w:r w:rsidRPr="00696F3B">
        <w:t xml:space="preserve"> to legislative instruments.</w:t>
      </w:r>
    </w:p>
    <w:p w14:paraId="6A39D02D" w14:textId="77777777" w:rsidR="005C7E0E" w:rsidRPr="00061DAB" w:rsidRDefault="005C7E0E" w:rsidP="005C7E0E">
      <w:pPr>
        <w:pStyle w:val="notetext"/>
      </w:pPr>
      <w:r w:rsidRPr="008E3E51">
        <w:t>Note</w:t>
      </w:r>
      <w:r>
        <w:t xml:space="preserve"> 2</w:t>
      </w:r>
      <w:r w:rsidRPr="008E3E51">
        <w:t>:</w:t>
      </w:r>
      <w:r w:rsidRPr="008E3E51">
        <w:tab/>
      </w:r>
      <w:r>
        <w:t>All</w:t>
      </w:r>
      <w:r w:rsidRPr="00696F3B">
        <w:t xml:space="preserve"> Commonwealth Acts</w:t>
      </w:r>
      <w:r>
        <w:t xml:space="preserve"> and legislative instruments are registered on the Federal </w:t>
      </w:r>
      <w:r w:rsidRPr="00061DAB">
        <w:t xml:space="preserve">Register of Legislation. </w:t>
      </w:r>
    </w:p>
    <w:p w14:paraId="46F44782" w14:textId="77777777" w:rsidR="005C7E0E" w:rsidRPr="00061DAB" w:rsidRDefault="005C7E0E" w:rsidP="005C7E0E">
      <w:pPr>
        <w:pStyle w:val="ActHead5"/>
      </w:pPr>
      <w:bookmarkStart w:id="11" w:name="_Toc22634212"/>
      <w:r w:rsidRPr="00061DAB">
        <w:lastRenderedPageBreak/>
        <w:t>7  National operator of emergency call services (general)</w:t>
      </w:r>
      <w:bookmarkEnd w:id="11"/>
    </w:p>
    <w:p w14:paraId="2468150E" w14:textId="77777777" w:rsidR="005C7E0E" w:rsidRPr="00061DAB" w:rsidRDefault="00554826" w:rsidP="005C7E0E">
      <w:pPr>
        <w:pStyle w:val="subsection"/>
      </w:pPr>
      <w:r w:rsidRPr="00061DAB">
        <w:tab/>
      </w:r>
      <w:r w:rsidR="005C7E0E" w:rsidRPr="00061DAB">
        <w:tab/>
        <w:t>For paragraph 19(1)(b) of the Act, Telstra is a national operator of emergency call services.</w:t>
      </w:r>
    </w:p>
    <w:p w14:paraId="47FC70DC" w14:textId="58AC6D9B" w:rsidR="00554826" w:rsidRPr="00061DAB" w:rsidRDefault="005C7E0E" w:rsidP="005C7E0E">
      <w:pPr>
        <w:pStyle w:val="notetext"/>
      </w:pPr>
      <w:r w:rsidRPr="00061DAB">
        <w:t>Note</w:t>
      </w:r>
      <w:r w:rsidR="00061DAB" w:rsidRPr="00061DAB">
        <w:t xml:space="preserve"> 1</w:t>
      </w:r>
      <w:r w:rsidRPr="00061DAB">
        <w:t>:</w:t>
      </w:r>
      <w:r w:rsidRPr="00061DAB">
        <w:tab/>
        <w:t>Telstra operates an emergency call service for receiving and handling calls to the emergency service numbers 000 and 112.</w:t>
      </w:r>
    </w:p>
    <w:p w14:paraId="3A82794B" w14:textId="4B23F1A8" w:rsidR="00061DAB" w:rsidRPr="00061DAB" w:rsidRDefault="00061DAB" w:rsidP="00061DAB">
      <w:pPr>
        <w:pStyle w:val="notetext"/>
      </w:pPr>
      <w:r w:rsidRPr="00061DAB">
        <w:t>Note 2:</w:t>
      </w:r>
      <w:r w:rsidRPr="00061DAB">
        <w:tab/>
        <w:t xml:space="preserve">The number 112 has been specified in the </w:t>
      </w:r>
      <w:r w:rsidRPr="00061DAB">
        <w:rPr>
          <w:i/>
          <w:iCs/>
        </w:rPr>
        <w:t>Telecommunications Numbering Plan 2015</w:t>
      </w:r>
      <w:r w:rsidRPr="00061DAB">
        <w:t xml:space="preserve"> as an emergency service number and is an alternative available for digital mobile phones.  </w:t>
      </w:r>
    </w:p>
    <w:p w14:paraId="1281A856" w14:textId="77777777" w:rsidR="005C7E0E" w:rsidRPr="00061DAB" w:rsidRDefault="005C7E0E" w:rsidP="005C7E0E">
      <w:pPr>
        <w:pStyle w:val="ActHead5"/>
      </w:pPr>
      <w:bookmarkStart w:id="12" w:name="_Toc22634213"/>
      <w:r w:rsidRPr="00061DAB">
        <w:t>8  National operator of emergency call services (NRS provider)</w:t>
      </w:r>
      <w:bookmarkEnd w:id="12"/>
    </w:p>
    <w:p w14:paraId="1323B580" w14:textId="1D316F04" w:rsidR="005C7E0E" w:rsidRPr="00061DAB" w:rsidRDefault="005C7E0E" w:rsidP="005C7E0E">
      <w:pPr>
        <w:pStyle w:val="subsection"/>
      </w:pPr>
      <w:r w:rsidRPr="00061DAB">
        <w:tab/>
      </w:r>
      <w:r w:rsidRPr="00061DAB">
        <w:tab/>
        <w:t xml:space="preserve">For paragraph 19(1)(b) of the Act, the NRS provider </w:t>
      </w:r>
      <w:r w:rsidR="00A97C70">
        <w:t xml:space="preserve">is a </w:t>
      </w:r>
      <w:r w:rsidRPr="00061DAB">
        <w:t>national operator of emergency call services.</w:t>
      </w:r>
    </w:p>
    <w:p w14:paraId="1FDFC21B" w14:textId="626F9E09" w:rsidR="00C97101" w:rsidRDefault="00C97101" w:rsidP="00C97101">
      <w:pPr>
        <w:pStyle w:val="notetext"/>
      </w:pPr>
      <w:r>
        <w:t>Note</w:t>
      </w:r>
      <w:r w:rsidR="00061DAB">
        <w:t>:</w:t>
      </w:r>
      <w:r>
        <w:tab/>
        <w:t>The NRS provider operate</w:t>
      </w:r>
      <w:r w:rsidR="003A75B8">
        <w:t>s</w:t>
      </w:r>
      <w:r>
        <w:t xml:space="preserve"> an emergency call service for receiving and handling calls to the emergency service number 106. </w:t>
      </w:r>
      <w:r w:rsidR="00107CF9">
        <w:t xml:space="preserve">The number 106 has been specified in </w:t>
      </w:r>
      <w:r w:rsidR="00107CF9" w:rsidRPr="00061DAB">
        <w:t xml:space="preserve">the </w:t>
      </w:r>
      <w:r w:rsidR="00107CF9" w:rsidRPr="00061DAB">
        <w:rPr>
          <w:i/>
          <w:iCs/>
        </w:rPr>
        <w:t>Telecommunications Numbering Plan 2015</w:t>
      </w:r>
      <w:r w:rsidR="00107CF9" w:rsidRPr="00061DAB">
        <w:t xml:space="preserve"> as an emergency service number and is for use with teletypewriters (TTYs).</w:t>
      </w:r>
    </w:p>
    <w:p w14:paraId="662652D5" w14:textId="5F11CF3A" w:rsidR="00C97101" w:rsidRPr="00061DAB" w:rsidRDefault="00C97101" w:rsidP="00C97101">
      <w:pPr>
        <w:pStyle w:val="notetext"/>
      </w:pPr>
    </w:p>
    <w:p w14:paraId="6744AB17" w14:textId="77777777" w:rsidR="005C7E0E" w:rsidRDefault="005C7E0E" w:rsidP="00554826">
      <w:pPr>
        <w:pStyle w:val="subsection"/>
        <w:rPr>
          <w:highlight w:val="yellow"/>
        </w:rPr>
      </w:pPr>
    </w:p>
    <w:p w14:paraId="506478E8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397F372C" w14:textId="77777777" w:rsidR="00D6537E" w:rsidRPr="004E1307" w:rsidRDefault="004E1307" w:rsidP="00D6537E">
      <w:pPr>
        <w:pStyle w:val="ActHead6"/>
      </w:pPr>
      <w:bookmarkStart w:id="13" w:name="_Toc22634214"/>
      <w:r>
        <w:lastRenderedPageBreak/>
        <w:t xml:space="preserve">Schedule </w:t>
      </w:r>
      <w:r w:rsidR="00D6537E" w:rsidRPr="004E1307">
        <w:t>1—Repeals</w:t>
      </w:r>
      <w:bookmarkEnd w:id="13"/>
    </w:p>
    <w:p w14:paraId="6074531F" w14:textId="561ECB99" w:rsidR="00D6537E" w:rsidRPr="00C97101" w:rsidRDefault="00C97101" w:rsidP="00C97101">
      <w:pPr>
        <w:pStyle w:val="ActHead9"/>
        <w:ind w:left="0" w:firstLine="0"/>
        <w:rPr>
          <w:i w:val="0"/>
          <w:iCs/>
        </w:rPr>
      </w:pPr>
      <w:bookmarkStart w:id="14" w:name="_Toc22634215"/>
      <w:r w:rsidRPr="00C97101">
        <w:t>Telecommunications (Emergency Call Persons) Determination 1999</w:t>
      </w:r>
      <w:bookmarkEnd w:id="14"/>
      <w:r>
        <w:t xml:space="preserve"> </w:t>
      </w:r>
    </w:p>
    <w:p w14:paraId="69A5B8AE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15AAE50C" w14:textId="77777777" w:rsidR="004E1307" w:rsidRDefault="00D6537E" w:rsidP="00D6537E">
      <w:pPr>
        <w:pStyle w:val="Item"/>
      </w:pPr>
      <w:r>
        <w:t>Repeal the instrument</w:t>
      </w:r>
    </w:p>
    <w:p w14:paraId="0427F93A" w14:textId="75B5EB26" w:rsidR="003772E8" w:rsidRPr="00061DAB" w:rsidRDefault="003772E8" w:rsidP="00173ACA">
      <w:pPr>
        <w:pStyle w:val="notetext"/>
        <w:ind w:left="1560"/>
      </w:pPr>
      <w:r w:rsidRPr="00061DAB">
        <w:t xml:space="preserve">Note </w:t>
      </w:r>
      <w:r>
        <w:t>1</w:t>
      </w:r>
      <w:r w:rsidRPr="00061DAB">
        <w:t>:</w:t>
      </w:r>
      <w:r w:rsidRPr="00061DAB">
        <w:tab/>
      </w:r>
      <w:r>
        <w:t xml:space="preserve">The </w:t>
      </w:r>
      <w:r w:rsidRPr="00654B9E">
        <w:rPr>
          <w:i/>
          <w:iCs/>
        </w:rPr>
        <w:t>Telecommunications (Emergency Call Persons) Determination 1999</w:t>
      </w:r>
      <w:r>
        <w:t xml:space="preserve"> was first notified in the </w:t>
      </w:r>
      <w:r>
        <w:rPr>
          <w:i/>
          <w:iCs/>
        </w:rPr>
        <w:t xml:space="preserve">Commonwealth of Australia Gazette </w:t>
      </w:r>
      <w:r>
        <w:t>on 27 October 1999 (No. GN43 at p.3656)</w:t>
      </w:r>
      <w:r w:rsidRPr="00061DAB">
        <w:t>.</w:t>
      </w:r>
      <w:r w:rsidR="00D13306">
        <w:t xml:space="preserve"> Gazettes can be accessed free of charge on the Federal Register of Legislation: </w:t>
      </w:r>
      <w:hyperlink r:id="rId17" w:history="1">
        <w:r w:rsidR="00D13306" w:rsidRPr="00AE2471">
          <w:rPr>
            <w:rStyle w:val="Hyperlink"/>
          </w:rPr>
          <w:t>www.legislation.gov.au</w:t>
        </w:r>
      </w:hyperlink>
      <w:r w:rsidR="00D13306">
        <w:t xml:space="preserve">. </w:t>
      </w:r>
    </w:p>
    <w:p w14:paraId="5821BE2C" w14:textId="77777777" w:rsidR="00554826" w:rsidRDefault="00554826" w:rsidP="00554826"/>
    <w:sectPr w:rsidR="00554826" w:rsidSect="007B1C1F">
      <w:headerReference w:type="default" r:id="rId18"/>
      <w:footerReference w:type="default" r:id="rId19"/>
      <w:footerReference w:type="first" r:id="rId20"/>
      <w:pgSz w:w="11907" w:h="16839" w:code="9"/>
      <w:pgMar w:top="851" w:right="1797" w:bottom="1440" w:left="1797" w:header="86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040C4" w14:textId="77777777" w:rsidR="000B2120" w:rsidRDefault="000B2120" w:rsidP="00715914">
      <w:pPr>
        <w:spacing w:line="240" w:lineRule="auto"/>
      </w:pPr>
      <w:r>
        <w:separator/>
      </w:r>
    </w:p>
  </w:endnote>
  <w:endnote w:type="continuationSeparator" w:id="0">
    <w:p w14:paraId="4D198DE3" w14:textId="77777777" w:rsidR="000B2120" w:rsidRDefault="000B212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55B6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558227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CF5BF9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084117" w14:textId="16EA1DA0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E7F93">
            <w:rPr>
              <w:i/>
              <w:noProof/>
              <w:sz w:val="18"/>
            </w:rPr>
            <w:t>Telecommunications (Emergency Call Persons)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B5F3D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E74565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2F4B9C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02244EB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8FEE" w14:textId="5F951EEF" w:rsidR="00824909" w:rsidRDefault="001C45EA" w:rsidP="001C45EA">
    <w:pPr>
      <w:pBdr>
        <w:top w:val="single" w:sz="4" w:space="1" w:color="auto"/>
      </w:pBdr>
      <w:jc w:val="center"/>
      <w:rPr>
        <w:bCs/>
        <w:i/>
        <w:sz w:val="18"/>
      </w:rPr>
    </w:pPr>
    <w:r w:rsidRPr="001C45EA">
      <w:rPr>
        <w:bCs/>
        <w:i/>
        <w:sz w:val="18"/>
      </w:rPr>
      <w:t>Telecommunications (Emergency Call Persons) Determination 2019</w:t>
    </w:r>
  </w:p>
  <w:p w14:paraId="76D08EDD" w14:textId="751C1923" w:rsidR="001C45EA" w:rsidRPr="001C45EA" w:rsidRDefault="001C45EA" w:rsidP="001C45EA">
    <w:pPr>
      <w:pBdr>
        <w:top w:val="single" w:sz="4" w:space="1" w:color="auto"/>
      </w:pBdr>
      <w:jc w:val="right"/>
      <w:rPr>
        <w:bCs/>
        <w:iCs/>
        <w:sz w:val="18"/>
      </w:rPr>
    </w:pPr>
    <w:r w:rsidRPr="001C45EA">
      <w:rPr>
        <w:bCs/>
        <w:iCs/>
        <w:sz w:val="18"/>
      </w:rPr>
      <w:fldChar w:fldCharType="begin"/>
    </w:r>
    <w:r w:rsidRPr="001C45EA">
      <w:rPr>
        <w:bCs/>
        <w:iCs/>
        <w:sz w:val="18"/>
      </w:rPr>
      <w:instrText xml:space="preserve"> PAGE   \* MERGEFORMAT </w:instrText>
    </w:r>
    <w:r w:rsidRPr="001C45EA">
      <w:rPr>
        <w:bCs/>
        <w:iCs/>
        <w:sz w:val="18"/>
      </w:rPr>
      <w:fldChar w:fldCharType="separate"/>
    </w:r>
    <w:r w:rsidRPr="001C45EA">
      <w:rPr>
        <w:bCs/>
        <w:iCs/>
        <w:noProof/>
        <w:sz w:val="18"/>
      </w:rPr>
      <w:t>1</w:t>
    </w:r>
    <w:r w:rsidRPr="001C45EA">
      <w:rPr>
        <w:bCs/>
        <w:iCs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EEADF" w14:textId="77777777" w:rsidR="001C45EA" w:rsidRDefault="001C45EA" w:rsidP="001C45EA">
    <w:pPr>
      <w:pBdr>
        <w:top w:val="single" w:sz="4" w:space="1" w:color="auto"/>
      </w:pBdr>
      <w:jc w:val="center"/>
      <w:rPr>
        <w:bCs/>
        <w:i/>
        <w:sz w:val="18"/>
      </w:rPr>
    </w:pPr>
    <w:r w:rsidRPr="001C45EA">
      <w:rPr>
        <w:bCs/>
        <w:i/>
        <w:sz w:val="18"/>
      </w:rPr>
      <w:t>Telecommunications (Emergency Call Persons) Determination 2019</w:t>
    </w:r>
  </w:p>
  <w:p w14:paraId="00055D42" w14:textId="77777777" w:rsidR="001C45EA" w:rsidRPr="001C45EA" w:rsidRDefault="001C45EA" w:rsidP="001C45EA">
    <w:pPr>
      <w:pBdr>
        <w:top w:val="single" w:sz="4" w:space="1" w:color="auto"/>
      </w:pBdr>
      <w:jc w:val="right"/>
      <w:rPr>
        <w:bCs/>
        <w:iCs/>
        <w:sz w:val="18"/>
      </w:rPr>
    </w:pPr>
    <w:r w:rsidRPr="001C45EA">
      <w:rPr>
        <w:bCs/>
        <w:iCs/>
        <w:sz w:val="18"/>
      </w:rPr>
      <w:fldChar w:fldCharType="begin"/>
    </w:r>
    <w:r w:rsidRPr="001C45EA">
      <w:rPr>
        <w:bCs/>
        <w:iCs/>
        <w:sz w:val="18"/>
      </w:rPr>
      <w:instrText xml:space="preserve"> PAGE   \* MERGEFORMAT </w:instrText>
    </w:r>
    <w:r w:rsidRPr="001C45EA">
      <w:rPr>
        <w:bCs/>
        <w:iCs/>
        <w:sz w:val="18"/>
      </w:rPr>
      <w:fldChar w:fldCharType="separate"/>
    </w:r>
    <w:r>
      <w:rPr>
        <w:bCs/>
        <w:iCs/>
        <w:sz w:val="18"/>
      </w:rPr>
      <w:t>1</w:t>
    </w:r>
    <w:r w:rsidRPr="001C45EA">
      <w:rPr>
        <w:bCs/>
        <w:i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665E" w14:textId="77777777" w:rsidR="000B2120" w:rsidRDefault="000B2120" w:rsidP="00715914">
      <w:pPr>
        <w:spacing w:line="240" w:lineRule="auto"/>
      </w:pPr>
      <w:r>
        <w:separator/>
      </w:r>
    </w:p>
  </w:footnote>
  <w:footnote w:type="continuationSeparator" w:id="0">
    <w:p w14:paraId="5D9A6146" w14:textId="77777777" w:rsidR="000B2120" w:rsidRDefault="000B212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8C4D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C7B9A" w14:textId="77777777" w:rsidR="007B1C1F" w:rsidRDefault="007B1C1F" w:rsidP="007B1C1F">
    <w:pPr>
      <w:jc w:val="right"/>
      <w:rPr>
        <w:sz w:val="20"/>
      </w:rPr>
    </w:pPr>
  </w:p>
  <w:p w14:paraId="5EFE6EA0" w14:textId="77777777" w:rsidR="007B1C1F" w:rsidRDefault="007B1C1F" w:rsidP="007B1C1F">
    <w:pPr>
      <w:jc w:val="right"/>
      <w:rPr>
        <w:sz w:val="20"/>
      </w:rPr>
    </w:pPr>
  </w:p>
  <w:p w14:paraId="61E6EC5B" w14:textId="77777777" w:rsidR="007B1C1F" w:rsidRDefault="007B1C1F" w:rsidP="007B1C1F">
    <w:pPr>
      <w:jc w:val="right"/>
      <w:rPr>
        <w:sz w:val="20"/>
      </w:rPr>
    </w:pPr>
  </w:p>
  <w:p w14:paraId="73063F0A" w14:textId="77777777" w:rsidR="007B1C1F" w:rsidRDefault="007B1C1F" w:rsidP="007B1C1F">
    <w:pPr>
      <w:jc w:val="right"/>
      <w:rPr>
        <w:b/>
        <w:sz w:val="24"/>
      </w:rPr>
    </w:pPr>
  </w:p>
  <w:p w14:paraId="75181419" w14:textId="77777777" w:rsidR="007B1C1F" w:rsidRDefault="007B1C1F" w:rsidP="007B1C1F">
    <w:pPr>
      <w:jc w:val="right"/>
      <w:rPr>
        <w:sz w:val="20"/>
      </w:rPr>
    </w:pPr>
  </w:p>
  <w:p w14:paraId="37C7FB1E" w14:textId="77777777" w:rsidR="007B1C1F" w:rsidRDefault="007B1C1F" w:rsidP="007B1C1F">
    <w:pPr>
      <w:jc w:val="right"/>
      <w:rPr>
        <w:sz w:val="20"/>
      </w:rPr>
    </w:pPr>
  </w:p>
  <w:p w14:paraId="0DF98771" w14:textId="77777777" w:rsidR="007B1C1F" w:rsidRDefault="007B1C1F" w:rsidP="007B1C1F">
    <w:pPr>
      <w:jc w:val="right"/>
      <w:rPr>
        <w:sz w:val="20"/>
      </w:rPr>
    </w:pPr>
  </w:p>
  <w:p w14:paraId="38CDAFDA" w14:textId="77777777" w:rsidR="007B1C1F" w:rsidRDefault="007B1C1F" w:rsidP="007B1C1F">
    <w:pPr>
      <w:jc w:val="right"/>
      <w:rPr>
        <w:b/>
        <w:sz w:val="24"/>
      </w:rPr>
    </w:pPr>
  </w:p>
  <w:p w14:paraId="69592A4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C79B" w14:textId="77777777" w:rsidR="007B1C1F" w:rsidRDefault="007B1C1F" w:rsidP="007B1C1F">
    <w:pPr>
      <w:jc w:val="right"/>
      <w:rPr>
        <w:sz w:val="20"/>
      </w:rPr>
    </w:pPr>
  </w:p>
  <w:p w14:paraId="5A466F2E" w14:textId="77777777" w:rsidR="007B1C1F" w:rsidRDefault="007B1C1F" w:rsidP="007B1C1F">
    <w:pPr>
      <w:jc w:val="right"/>
      <w:rPr>
        <w:sz w:val="20"/>
      </w:rPr>
    </w:pPr>
  </w:p>
  <w:p w14:paraId="5B242AE0" w14:textId="77777777" w:rsidR="007B1C1F" w:rsidRDefault="007B1C1F" w:rsidP="007B1C1F">
    <w:pPr>
      <w:jc w:val="right"/>
      <w:rPr>
        <w:sz w:val="20"/>
      </w:rPr>
    </w:pPr>
  </w:p>
  <w:p w14:paraId="158DB42F" w14:textId="77777777" w:rsidR="007B1C1F" w:rsidRDefault="007B1C1F" w:rsidP="007B1C1F">
    <w:pPr>
      <w:jc w:val="right"/>
      <w:rPr>
        <w:b/>
        <w:sz w:val="24"/>
      </w:rPr>
    </w:pPr>
  </w:p>
  <w:p w14:paraId="78463C9F" w14:textId="77777777" w:rsidR="007B1C1F" w:rsidRDefault="007B1C1F" w:rsidP="007B1C1F">
    <w:pPr>
      <w:pBdr>
        <w:bottom w:val="single" w:sz="6" w:space="1" w:color="auto"/>
      </w:pBdr>
      <w:spacing w:after="120"/>
      <w:jc w:val="right"/>
      <w:rPr>
        <w:sz w:val="24"/>
      </w:rPr>
    </w:pPr>
  </w:p>
  <w:p w14:paraId="670AF32C" w14:textId="77777777" w:rsidR="001C45EA" w:rsidRPr="007B1C1F" w:rsidRDefault="001C45EA" w:rsidP="007B1C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2705" w14:textId="77777777" w:rsidR="007B1C1F" w:rsidRDefault="007B1C1F" w:rsidP="007B1C1F">
    <w:pPr>
      <w:jc w:val="right"/>
      <w:rPr>
        <w:sz w:val="20"/>
      </w:rPr>
    </w:pPr>
  </w:p>
  <w:p w14:paraId="71EDEC97" w14:textId="77777777" w:rsidR="007B1C1F" w:rsidRDefault="007B1C1F" w:rsidP="007B1C1F">
    <w:pPr>
      <w:jc w:val="right"/>
      <w:rPr>
        <w:sz w:val="20"/>
      </w:rPr>
    </w:pPr>
  </w:p>
  <w:p w14:paraId="4F9A4DC6" w14:textId="77777777" w:rsidR="007B1C1F" w:rsidRDefault="007B1C1F" w:rsidP="007B1C1F">
    <w:pPr>
      <w:jc w:val="right"/>
      <w:rPr>
        <w:sz w:val="20"/>
      </w:rPr>
    </w:pPr>
  </w:p>
  <w:p w14:paraId="6DA67493" w14:textId="77777777" w:rsidR="007B1C1F" w:rsidRDefault="007B1C1F" w:rsidP="007B1C1F">
    <w:pPr>
      <w:jc w:val="right"/>
      <w:rPr>
        <w:b/>
        <w:sz w:val="24"/>
      </w:rPr>
    </w:pPr>
  </w:p>
  <w:p w14:paraId="25D32ED4" w14:textId="77777777" w:rsidR="007B1C1F" w:rsidRDefault="007B1C1F" w:rsidP="007B1C1F">
    <w:pPr>
      <w:pBdr>
        <w:bottom w:val="single" w:sz="6" w:space="1" w:color="auto"/>
      </w:pBdr>
      <w:spacing w:after="120"/>
      <w:jc w:val="right"/>
      <w:rPr>
        <w:sz w:val="24"/>
      </w:rPr>
    </w:pPr>
  </w:p>
  <w:p w14:paraId="37047D06" w14:textId="77777777" w:rsidR="007B1C1F" w:rsidRPr="005F1388" w:rsidRDefault="007B1C1F" w:rsidP="00715914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06"/>
    <w:rsid w:val="00004174"/>
    <w:rsid w:val="00004470"/>
    <w:rsid w:val="000136AF"/>
    <w:rsid w:val="000258B1"/>
    <w:rsid w:val="00025C71"/>
    <w:rsid w:val="00031378"/>
    <w:rsid w:val="00040A89"/>
    <w:rsid w:val="000437C1"/>
    <w:rsid w:val="0004455A"/>
    <w:rsid w:val="0005365D"/>
    <w:rsid w:val="000614BF"/>
    <w:rsid w:val="00061DAB"/>
    <w:rsid w:val="0006709C"/>
    <w:rsid w:val="00074376"/>
    <w:rsid w:val="000901D8"/>
    <w:rsid w:val="000978F5"/>
    <w:rsid w:val="000B15CD"/>
    <w:rsid w:val="000B2120"/>
    <w:rsid w:val="000B35EB"/>
    <w:rsid w:val="000C354D"/>
    <w:rsid w:val="000D05EF"/>
    <w:rsid w:val="000D5FDD"/>
    <w:rsid w:val="000E0F2C"/>
    <w:rsid w:val="000E2261"/>
    <w:rsid w:val="000E78B7"/>
    <w:rsid w:val="000E7F93"/>
    <w:rsid w:val="000F21C1"/>
    <w:rsid w:val="0010745C"/>
    <w:rsid w:val="00107CF9"/>
    <w:rsid w:val="001217F7"/>
    <w:rsid w:val="00132CEB"/>
    <w:rsid w:val="001339B0"/>
    <w:rsid w:val="00142B62"/>
    <w:rsid w:val="001441B7"/>
    <w:rsid w:val="001516CB"/>
    <w:rsid w:val="00152336"/>
    <w:rsid w:val="00157B8B"/>
    <w:rsid w:val="00166C2F"/>
    <w:rsid w:val="00173ACA"/>
    <w:rsid w:val="001809D7"/>
    <w:rsid w:val="001939E1"/>
    <w:rsid w:val="00194C3E"/>
    <w:rsid w:val="00195382"/>
    <w:rsid w:val="001B2CB6"/>
    <w:rsid w:val="001C45EA"/>
    <w:rsid w:val="001C61C5"/>
    <w:rsid w:val="001C69C4"/>
    <w:rsid w:val="001D37EF"/>
    <w:rsid w:val="001E3590"/>
    <w:rsid w:val="001E7407"/>
    <w:rsid w:val="001F5D5E"/>
    <w:rsid w:val="001F6219"/>
    <w:rsid w:val="001F6CD4"/>
    <w:rsid w:val="00203CAD"/>
    <w:rsid w:val="00206C4D"/>
    <w:rsid w:val="00215AF1"/>
    <w:rsid w:val="002321CD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D7176"/>
    <w:rsid w:val="00304F8B"/>
    <w:rsid w:val="0032339A"/>
    <w:rsid w:val="00335BC6"/>
    <w:rsid w:val="003415D3"/>
    <w:rsid w:val="00344338"/>
    <w:rsid w:val="00344701"/>
    <w:rsid w:val="00352B0F"/>
    <w:rsid w:val="003534A9"/>
    <w:rsid w:val="00360459"/>
    <w:rsid w:val="003765E9"/>
    <w:rsid w:val="003767E2"/>
    <w:rsid w:val="003772E8"/>
    <w:rsid w:val="0038049F"/>
    <w:rsid w:val="003A75B8"/>
    <w:rsid w:val="003B13E2"/>
    <w:rsid w:val="003C6231"/>
    <w:rsid w:val="003D0BFE"/>
    <w:rsid w:val="003D5700"/>
    <w:rsid w:val="003E341B"/>
    <w:rsid w:val="003E46B1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32DA"/>
    <w:rsid w:val="004635E5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170C6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C7E0E"/>
    <w:rsid w:val="005D1D92"/>
    <w:rsid w:val="005D2D09"/>
    <w:rsid w:val="00600219"/>
    <w:rsid w:val="00604F2A"/>
    <w:rsid w:val="00620076"/>
    <w:rsid w:val="00627E0A"/>
    <w:rsid w:val="0065488B"/>
    <w:rsid w:val="00654B9E"/>
    <w:rsid w:val="00670EA1"/>
    <w:rsid w:val="006776B7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B1C1F"/>
    <w:rsid w:val="007B2DA6"/>
    <w:rsid w:val="007B748C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4909"/>
    <w:rsid w:val="00826BD1"/>
    <w:rsid w:val="00853947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1224"/>
    <w:rsid w:val="008C2EAC"/>
    <w:rsid w:val="008D0382"/>
    <w:rsid w:val="008D0EE0"/>
    <w:rsid w:val="008E0027"/>
    <w:rsid w:val="008E31C1"/>
    <w:rsid w:val="008E6067"/>
    <w:rsid w:val="008F360C"/>
    <w:rsid w:val="008F54E7"/>
    <w:rsid w:val="00903422"/>
    <w:rsid w:val="009254C3"/>
    <w:rsid w:val="00932377"/>
    <w:rsid w:val="00941236"/>
    <w:rsid w:val="009434B9"/>
    <w:rsid w:val="00943FD5"/>
    <w:rsid w:val="00947D5A"/>
    <w:rsid w:val="009532A5"/>
    <w:rsid w:val="009545BD"/>
    <w:rsid w:val="00964CF0"/>
    <w:rsid w:val="00964FAB"/>
    <w:rsid w:val="00977806"/>
    <w:rsid w:val="00982242"/>
    <w:rsid w:val="009868E9"/>
    <w:rsid w:val="009900A3"/>
    <w:rsid w:val="009908E9"/>
    <w:rsid w:val="009B0045"/>
    <w:rsid w:val="009C3413"/>
    <w:rsid w:val="009C7E6F"/>
    <w:rsid w:val="009E2DB3"/>
    <w:rsid w:val="009F42DC"/>
    <w:rsid w:val="00A0441E"/>
    <w:rsid w:val="00A12128"/>
    <w:rsid w:val="00A123E1"/>
    <w:rsid w:val="00A14340"/>
    <w:rsid w:val="00A22C98"/>
    <w:rsid w:val="00A231E2"/>
    <w:rsid w:val="00A369E3"/>
    <w:rsid w:val="00A438C4"/>
    <w:rsid w:val="00A56E22"/>
    <w:rsid w:val="00A57600"/>
    <w:rsid w:val="00A62A0B"/>
    <w:rsid w:val="00A64912"/>
    <w:rsid w:val="00A70A74"/>
    <w:rsid w:val="00A75FE9"/>
    <w:rsid w:val="00A87AF8"/>
    <w:rsid w:val="00A97C70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6060"/>
    <w:rsid w:val="00BA220B"/>
    <w:rsid w:val="00BA3A57"/>
    <w:rsid w:val="00BB1533"/>
    <w:rsid w:val="00BB4E1A"/>
    <w:rsid w:val="00BC015E"/>
    <w:rsid w:val="00BC76AC"/>
    <w:rsid w:val="00BD0ECB"/>
    <w:rsid w:val="00BE2155"/>
    <w:rsid w:val="00BE4BEA"/>
    <w:rsid w:val="00BE719A"/>
    <w:rsid w:val="00BE720A"/>
    <w:rsid w:val="00BF0D73"/>
    <w:rsid w:val="00BF2465"/>
    <w:rsid w:val="00C16619"/>
    <w:rsid w:val="00C24D88"/>
    <w:rsid w:val="00C25E7F"/>
    <w:rsid w:val="00C2746F"/>
    <w:rsid w:val="00C323D6"/>
    <w:rsid w:val="00C324A0"/>
    <w:rsid w:val="00C42BF8"/>
    <w:rsid w:val="00C50043"/>
    <w:rsid w:val="00C7573B"/>
    <w:rsid w:val="00C97101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7AF8"/>
    <w:rsid w:val="00D13306"/>
    <w:rsid w:val="00D13441"/>
    <w:rsid w:val="00D150E7"/>
    <w:rsid w:val="00D42991"/>
    <w:rsid w:val="00D52DC2"/>
    <w:rsid w:val="00D53BCC"/>
    <w:rsid w:val="00D54C9E"/>
    <w:rsid w:val="00D6537E"/>
    <w:rsid w:val="00D70DFB"/>
    <w:rsid w:val="00D766DF"/>
    <w:rsid w:val="00D8206C"/>
    <w:rsid w:val="00D9138C"/>
    <w:rsid w:val="00D91F10"/>
    <w:rsid w:val="00DA186E"/>
    <w:rsid w:val="00DA4116"/>
    <w:rsid w:val="00DB251C"/>
    <w:rsid w:val="00DB4630"/>
    <w:rsid w:val="00DC4F88"/>
    <w:rsid w:val="00DE107C"/>
    <w:rsid w:val="00DF2388"/>
    <w:rsid w:val="00E0415A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1C67"/>
    <w:rsid w:val="00F32BA8"/>
    <w:rsid w:val="00F32EE0"/>
    <w:rsid w:val="00F33B09"/>
    <w:rsid w:val="00F349F1"/>
    <w:rsid w:val="00F4350D"/>
    <w:rsid w:val="00F479C4"/>
    <w:rsid w:val="00F567F7"/>
    <w:rsid w:val="00F6696E"/>
    <w:rsid w:val="00F73BD6"/>
    <w:rsid w:val="00F83989"/>
    <w:rsid w:val="00F85099"/>
    <w:rsid w:val="00F86B48"/>
    <w:rsid w:val="00F9379C"/>
    <w:rsid w:val="00F9632C"/>
    <w:rsid w:val="00FA1E52"/>
    <w:rsid w:val="00FB5A08"/>
    <w:rsid w:val="00FC6A80"/>
    <w:rsid w:val="00FE3C06"/>
    <w:rsid w:val="00FE4688"/>
    <w:rsid w:val="00FF5704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FEB3C7"/>
  <w15:docId w15:val="{6853A469-EB98-4FCB-AF91-E6809FA0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-BodyTextNote">
    <w:name w:val="LI - Body Text Note"/>
    <w:basedOn w:val="Normal"/>
    <w:link w:val="LI-BodyTextNoteChar"/>
    <w:rsid w:val="009434B9"/>
    <w:pPr>
      <w:spacing w:before="200" w:line="240" w:lineRule="auto"/>
      <w:ind w:left="1701" w:hanging="567"/>
    </w:pPr>
    <w:rPr>
      <w:rFonts w:eastAsia="Times New Roman" w:cs="Times New Roman"/>
      <w:sz w:val="18"/>
      <w:lang w:eastAsia="en-AU"/>
    </w:rPr>
  </w:style>
  <w:style w:type="character" w:styleId="Hyperlink">
    <w:name w:val="Hyperlink"/>
    <w:uiPriority w:val="99"/>
    <w:rsid w:val="009434B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9434B9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C7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E0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E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5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13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legislation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0988F91EE0F4F80A727CD01D192AF" ma:contentTypeVersion="8" ma:contentTypeDescription="Create a new document." ma:contentTypeScope="" ma:versionID="31156aa20883e26d2adf2bddc08f3924">
  <xsd:schema xmlns:xsd="http://www.w3.org/2001/XMLSchema" xmlns:xs="http://www.w3.org/2001/XMLSchema" xmlns:p="http://schemas.microsoft.com/office/2006/metadata/properties" xmlns:ns3="523206b7-4c20-4510-872a-3f5c9c3e077a" targetNamespace="http://schemas.microsoft.com/office/2006/metadata/properties" ma:root="true" ma:fieldsID="bbbb5d0a2e9b6d877974f72fc1391b96" ns3:_="">
    <xsd:import namespace="523206b7-4c20-4510-872a-3f5c9c3e0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206b7-4c20-4510-872a-3f5c9c3e0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636D-1149-46B4-8CD4-FC15F7BEB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206b7-4c20-4510-872a-3f5c9c3e0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694F0-7191-4CB7-8C9B-9A763B0BBB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23206b7-4c20-4510-872a-3f5c9c3e077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EB4F0C-ADFB-41FF-BA4A-DD2572ED3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370F0-1B13-4894-9D09-728E3B44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Jing Chua</dc:creator>
  <cp:lastModifiedBy>Morgan Vaudrey</cp:lastModifiedBy>
  <cp:revision>6</cp:revision>
  <dcterms:created xsi:type="dcterms:W3CDTF">2019-11-07T21:50:00Z</dcterms:created>
  <dcterms:modified xsi:type="dcterms:W3CDTF">2019-11-08T03:02:00Z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0x0101009160988F91EE0F4F80A727CD01D192AF</vt:lpwstr>
  </property>
  <property fmtid="{D5CDD505-2E9C-101B-9397-08002B2CF9AE}" pid="3" name="_dlc_DocIdItemGuid">
    <vt:lpwstr>635e76b1-bb7a-4b17-a44f-fd2d0d5099b0</vt:lpwstr>
  </property>
</Properties>
</file>