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bookmarkStart w:id="0" w:name="_Toc461026796" w:displacedByCustomXml="next"/>
    <w:sdt>
      <w:sdtPr>
        <w:rPr>
          <w:rFonts w:ascii="Times New Roman" w:eastAsiaTheme="minorHAnsi" w:hAnsi="Times New Roman" w:cstheme="minorBidi"/>
          <w:b w:val="0"/>
          <w:sz w:val="22"/>
          <w:szCs w:val="22"/>
          <w:u w:val="single"/>
        </w:rPr>
        <w:id w:val="962787086"/>
        <w:lock w:val="contentLocked"/>
        <w:placeholder>
          <w:docPart w:val="EAB15C6F17CC49D695ADCB716B2034F2"/>
        </w:placeholder>
        <w:group/>
      </w:sdtPr>
      <w:sdtEndPr>
        <w:rPr>
          <w:rFonts w:eastAsia="Calibri" w:cs="Times New Roman"/>
          <w:szCs w:val="20"/>
          <w:u w:val="none"/>
        </w:rPr>
      </w:sdtEndPr>
      <w:sdtContent>
        <w:p w14:paraId="44A7F476" w14:textId="018457BD" w:rsidR="001E7C2F" w:rsidRPr="00096B91" w:rsidRDefault="001E7C2F" w:rsidP="00C211B3">
          <w:pPr>
            <w:pStyle w:val="Title"/>
            <w:rPr>
              <w:rFonts w:ascii="Times New Roman" w:hAnsi="Times New Roman"/>
              <w:u w:val="single"/>
            </w:rPr>
          </w:pPr>
          <w:r w:rsidRPr="00096B91">
            <w:rPr>
              <w:rFonts w:ascii="Times New Roman" w:hAnsi="Times New Roman"/>
              <w:u w:val="single"/>
            </w:rPr>
            <w:t>EXPLANATORY STATEMENT</w:t>
          </w:r>
        </w:p>
        <w:p w14:paraId="7A5A3385" w14:textId="77777777" w:rsidR="001E7C2F" w:rsidRPr="00A90BBB" w:rsidRDefault="00EC4659" w:rsidP="00C211B3">
          <w:pPr>
            <w:jc w:val="center"/>
            <w:rPr>
              <w:sz w:val="24"/>
              <w:szCs w:val="24"/>
            </w:rPr>
          </w:pPr>
        </w:p>
      </w:sdtContent>
    </w:sdt>
    <w:p w14:paraId="10B5EC1E" w14:textId="040F2B4B" w:rsidR="001E7C2F" w:rsidRPr="00CA09A3" w:rsidRDefault="001E7C2F" w:rsidP="00C211B3">
      <w:pPr>
        <w:pStyle w:val="Title"/>
        <w:rPr>
          <w:szCs w:val="24"/>
          <w:u w:val="single"/>
        </w:rPr>
      </w:pPr>
    </w:p>
    <w:p w14:paraId="2E2FE589" w14:textId="77777777" w:rsidR="001E7C2F" w:rsidRPr="00A90BBB" w:rsidRDefault="001E7C2F" w:rsidP="00C211B3">
      <w:pPr>
        <w:jc w:val="center"/>
        <w:rPr>
          <w:i/>
          <w:sz w:val="24"/>
          <w:szCs w:val="24"/>
        </w:rPr>
      </w:pPr>
      <w:r w:rsidRPr="00A90BBB">
        <w:rPr>
          <w:i/>
          <w:sz w:val="24"/>
          <w:szCs w:val="24"/>
        </w:rPr>
        <w:t xml:space="preserve">Export Control Act 1982 </w:t>
      </w:r>
    </w:p>
    <w:p w14:paraId="7E8579CE" w14:textId="77777777" w:rsidR="001E7C2F" w:rsidRPr="00A90BBB" w:rsidRDefault="001E7C2F" w:rsidP="00C211B3">
      <w:pPr>
        <w:jc w:val="center"/>
        <w:rPr>
          <w:sz w:val="24"/>
          <w:szCs w:val="24"/>
        </w:rPr>
      </w:pPr>
    </w:p>
    <w:p w14:paraId="619EC726" w14:textId="7D18E469" w:rsidR="001E7C2F" w:rsidRPr="007B0985" w:rsidRDefault="001E7C2F" w:rsidP="00C211B3">
      <w:pPr>
        <w:jc w:val="center"/>
        <w:rPr>
          <w:i/>
          <w:sz w:val="24"/>
          <w:szCs w:val="24"/>
        </w:rPr>
      </w:pPr>
      <w:r w:rsidRPr="007B0985">
        <w:rPr>
          <w:i/>
          <w:sz w:val="24"/>
          <w:szCs w:val="24"/>
        </w:rPr>
        <w:t xml:space="preserve">Export Control (Tariff Rate Quotas) </w:t>
      </w:r>
      <w:r w:rsidR="0095222F" w:rsidRPr="007B0985">
        <w:rPr>
          <w:i/>
          <w:sz w:val="24"/>
          <w:szCs w:val="24"/>
        </w:rPr>
        <w:t>Order 201</w:t>
      </w:r>
      <w:r w:rsidR="007E11FA" w:rsidRPr="007B0985">
        <w:rPr>
          <w:i/>
          <w:sz w:val="24"/>
          <w:szCs w:val="24"/>
        </w:rPr>
        <w:t>9</w:t>
      </w:r>
    </w:p>
    <w:p w14:paraId="234AEBA0" w14:textId="77777777" w:rsidR="001E7C2F" w:rsidRPr="00CA09A3" w:rsidRDefault="001E7C2F" w:rsidP="00C211B3">
      <w:pPr>
        <w:rPr>
          <w:sz w:val="24"/>
          <w:szCs w:val="24"/>
        </w:rPr>
      </w:pPr>
    </w:p>
    <w:p w14:paraId="472DB6CF" w14:textId="4166DB4F" w:rsidR="001E7C2F" w:rsidRDefault="001E7C2F" w:rsidP="00C211B3">
      <w:pPr>
        <w:tabs>
          <w:tab w:val="left" w:pos="1701"/>
          <w:tab w:val="right" w:pos="9072"/>
        </w:tabs>
        <w:rPr>
          <w:b/>
          <w:sz w:val="24"/>
          <w:szCs w:val="24"/>
        </w:rPr>
      </w:pPr>
      <w:r w:rsidRPr="00CA09A3">
        <w:rPr>
          <w:b/>
          <w:sz w:val="24"/>
          <w:szCs w:val="24"/>
        </w:rPr>
        <w:t>Legislative Authority</w:t>
      </w:r>
    </w:p>
    <w:p w14:paraId="7302107A" w14:textId="77777777" w:rsidR="00736D9E" w:rsidRPr="003A4C67" w:rsidRDefault="00736D9E" w:rsidP="009D01AD">
      <w:pPr>
        <w:tabs>
          <w:tab w:val="left" w:pos="1701"/>
          <w:tab w:val="right" w:pos="9072"/>
        </w:tabs>
        <w:jc w:val="right"/>
        <w:rPr>
          <w:b/>
          <w:sz w:val="2"/>
          <w:szCs w:val="24"/>
        </w:rPr>
      </w:pPr>
    </w:p>
    <w:p w14:paraId="3FCB0D99" w14:textId="3BDEFE79" w:rsidR="001E7C2F" w:rsidRPr="00820E9F" w:rsidRDefault="001E7C2F" w:rsidP="00C211B3">
      <w:pPr>
        <w:tabs>
          <w:tab w:val="left" w:pos="1701"/>
          <w:tab w:val="right" w:pos="9072"/>
        </w:tabs>
        <w:rPr>
          <w:sz w:val="24"/>
          <w:szCs w:val="24"/>
        </w:rPr>
      </w:pPr>
      <w:r w:rsidRPr="00820E9F">
        <w:rPr>
          <w:sz w:val="24"/>
          <w:szCs w:val="24"/>
        </w:rPr>
        <w:t xml:space="preserve">Section 23A of the </w:t>
      </w:r>
      <w:r w:rsidRPr="00820E9F">
        <w:rPr>
          <w:i/>
          <w:sz w:val="24"/>
          <w:szCs w:val="24"/>
        </w:rPr>
        <w:t xml:space="preserve">Export Control Act 1982 </w:t>
      </w:r>
      <w:r w:rsidRPr="00820E9F">
        <w:rPr>
          <w:sz w:val="24"/>
          <w:szCs w:val="24"/>
        </w:rPr>
        <w:t xml:space="preserve">(the Act) provides the Secretary of the Department of Agriculture (the department) </w:t>
      </w:r>
      <w:r w:rsidR="008B55CE">
        <w:rPr>
          <w:sz w:val="24"/>
          <w:szCs w:val="24"/>
        </w:rPr>
        <w:t>with</w:t>
      </w:r>
      <w:r w:rsidRPr="00820E9F">
        <w:rPr>
          <w:sz w:val="24"/>
          <w:szCs w:val="24"/>
        </w:rPr>
        <w:t xml:space="preserve"> the capacity to create orders providing for, or in relation to, the establishment and administration of a system or systems of tariff rate quotas for the export of goods.  </w:t>
      </w:r>
    </w:p>
    <w:p w14:paraId="6BD57DB9" w14:textId="77777777" w:rsidR="001E7C2F" w:rsidRPr="00820E9F" w:rsidRDefault="001E7C2F" w:rsidP="00C211B3">
      <w:pPr>
        <w:tabs>
          <w:tab w:val="left" w:pos="1701"/>
          <w:tab w:val="right" w:pos="9072"/>
        </w:tabs>
        <w:rPr>
          <w:sz w:val="24"/>
          <w:szCs w:val="24"/>
        </w:rPr>
      </w:pPr>
    </w:p>
    <w:p w14:paraId="7845058F" w14:textId="6DEDE058" w:rsidR="001E7C2F" w:rsidRPr="00A90BBB" w:rsidRDefault="001E7C2F" w:rsidP="00C211B3">
      <w:pPr>
        <w:tabs>
          <w:tab w:val="left" w:pos="1701"/>
          <w:tab w:val="right" w:pos="9072"/>
        </w:tabs>
        <w:rPr>
          <w:sz w:val="24"/>
          <w:szCs w:val="24"/>
        </w:rPr>
      </w:pPr>
      <w:r w:rsidRPr="00820E9F">
        <w:rPr>
          <w:sz w:val="24"/>
          <w:szCs w:val="24"/>
        </w:rPr>
        <w:t xml:space="preserve">The power to make the </w:t>
      </w:r>
      <w:r w:rsidRPr="009444FC">
        <w:rPr>
          <w:i/>
          <w:sz w:val="24"/>
          <w:szCs w:val="24"/>
        </w:rPr>
        <w:t>Export Control (Tariff Rate Quotas) Order 201</w:t>
      </w:r>
      <w:r w:rsidR="007E11FA" w:rsidRPr="009444FC">
        <w:rPr>
          <w:i/>
          <w:sz w:val="24"/>
          <w:szCs w:val="24"/>
        </w:rPr>
        <w:t>9</w:t>
      </w:r>
      <w:r w:rsidRPr="00820E9F">
        <w:rPr>
          <w:i/>
          <w:sz w:val="24"/>
          <w:szCs w:val="24"/>
        </w:rPr>
        <w:t xml:space="preserve"> </w:t>
      </w:r>
      <w:r w:rsidRPr="00820E9F">
        <w:rPr>
          <w:sz w:val="24"/>
          <w:szCs w:val="24"/>
        </w:rPr>
        <w:t>(the</w:t>
      </w:r>
      <w:r w:rsidR="0095222F">
        <w:rPr>
          <w:sz w:val="24"/>
          <w:szCs w:val="24"/>
        </w:rPr>
        <w:t xml:space="preserve"> </w:t>
      </w:r>
      <w:r w:rsidRPr="00820E9F">
        <w:rPr>
          <w:sz w:val="24"/>
          <w:szCs w:val="24"/>
        </w:rPr>
        <w:t>Order) was delegated by the Secretary</w:t>
      </w:r>
      <w:r w:rsidRPr="00A90BBB">
        <w:rPr>
          <w:sz w:val="24"/>
          <w:szCs w:val="24"/>
        </w:rPr>
        <w:t xml:space="preserve"> under section 19 of the Act on 3 March 2016</w:t>
      </w:r>
      <w:r w:rsidR="00DD2749">
        <w:rPr>
          <w:sz w:val="24"/>
          <w:szCs w:val="24"/>
        </w:rPr>
        <w:t xml:space="preserve"> to the Assistant Secretary </w:t>
      </w:r>
      <w:r w:rsidR="009A3411">
        <w:rPr>
          <w:sz w:val="24"/>
          <w:szCs w:val="24"/>
        </w:rPr>
        <w:t>responsible for quota administration</w:t>
      </w:r>
      <w:r w:rsidRPr="00A90BBB">
        <w:rPr>
          <w:sz w:val="24"/>
          <w:szCs w:val="24"/>
        </w:rPr>
        <w:t xml:space="preserve">. </w:t>
      </w:r>
    </w:p>
    <w:p w14:paraId="0AF339C3" w14:textId="77777777" w:rsidR="001E7C2F" w:rsidRPr="00A90BBB" w:rsidRDefault="001E7C2F" w:rsidP="00C211B3">
      <w:pPr>
        <w:tabs>
          <w:tab w:val="left" w:pos="1701"/>
          <w:tab w:val="right" w:pos="9072"/>
        </w:tabs>
        <w:rPr>
          <w:sz w:val="24"/>
          <w:szCs w:val="24"/>
        </w:rPr>
      </w:pPr>
    </w:p>
    <w:p w14:paraId="61BF053C" w14:textId="07C99FE2" w:rsidR="001E7C2F" w:rsidRDefault="001E7C2F" w:rsidP="003A4C67">
      <w:pPr>
        <w:tabs>
          <w:tab w:val="left" w:pos="1701"/>
          <w:tab w:val="right" w:pos="9072"/>
        </w:tabs>
        <w:rPr>
          <w:b/>
          <w:sz w:val="24"/>
          <w:szCs w:val="24"/>
        </w:rPr>
      </w:pPr>
      <w:r w:rsidRPr="00A90BBB">
        <w:rPr>
          <w:b/>
          <w:sz w:val="24"/>
          <w:szCs w:val="24"/>
        </w:rPr>
        <w:t>Purpose</w:t>
      </w:r>
    </w:p>
    <w:p w14:paraId="313F159A" w14:textId="77777777" w:rsidR="00736D9E" w:rsidRPr="003A4C67" w:rsidRDefault="00736D9E" w:rsidP="003A4C67">
      <w:pPr>
        <w:tabs>
          <w:tab w:val="left" w:pos="1701"/>
          <w:tab w:val="right" w:pos="9072"/>
        </w:tabs>
        <w:rPr>
          <w:sz w:val="2"/>
          <w:szCs w:val="24"/>
        </w:rPr>
      </w:pPr>
    </w:p>
    <w:p w14:paraId="7CAC1093" w14:textId="23D33708" w:rsidR="00CC3524" w:rsidRPr="00480AE6" w:rsidRDefault="00986F59" w:rsidP="00315894">
      <w:pPr>
        <w:tabs>
          <w:tab w:val="left" w:pos="1701"/>
          <w:tab w:val="right" w:pos="9072"/>
        </w:tabs>
        <w:rPr>
          <w:rFonts w:eastAsia="Times New Roman"/>
          <w:sz w:val="24"/>
          <w:szCs w:val="24"/>
          <w:lang w:eastAsia="en-AU"/>
        </w:rPr>
      </w:pPr>
      <w:r>
        <w:rPr>
          <w:rFonts w:eastAsia="Times New Roman"/>
          <w:sz w:val="24"/>
          <w:szCs w:val="24"/>
          <w:lang w:eastAsia="en-AU"/>
        </w:rPr>
        <w:t xml:space="preserve">The purpose of the Order is to </w:t>
      </w:r>
      <w:r w:rsidR="007D6119">
        <w:rPr>
          <w:rFonts w:eastAsia="Times New Roman"/>
          <w:sz w:val="24"/>
          <w:szCs w:val="24"/>
          <w:lang w:eastAsia="en-AU"/>
        </w:rPr>
        <w:t xml:space="preserve">set out the administrative arrangements for the fair and equitable allocation of, and </w:t>
      </w:r>
      <w:r w:rsidR="007D6119" w:rsidRPr="00E73728">
        <w:rPr>
          <w:rFonts w:eastAsia="Times New Roman"/>
          <w:sz w:val="24"/>
          <w:szCs w:val="24"/>
          <w:lang w:eastAsia="en-AU"/>
        </w:rPr>
        <w:t xml:space="preserve">access to, </w:t>
      </w:r>
      <w:r w:rsidR="009D5DD3" w:rsidRPr="00E73728">
        <w:rPr>
          <w:rFonts w:eastAsia="Times New Roman"/>
          <w:sz w:val="24"/>
          <w:szCs w:val="24"/>
          <w:lang w:eastAsia="en-AU"/>
        </w:rPr>
        <w:t xml:space="preserve">certain tariff rate quotas operating under </w:t>
      </w:r>
      <w:r w:rsidR="007D6119" w:rsidRPr="00E73728">
        <w:rPr>
          <w:sz w:val="24"/>
          <w:szCs w:val="24"/>
        </w:rPr>
        <w:t>World Trade Organisation (WTO)</w:t>
      </w:r>
      <w:r w:rsidR="009D5DD3" w:rsidRPr="00E73728">
        <w:rPr>
          <w:sz w:val="24"/>
          <w:szCs w:val="24"/>
        </w:rPr>
        <w:t xml:space="preserve"> arrangements and certain</w:t>
      </w:r>
      <w:r w:rsidR="007D6119" w:rsidRPr="00E73728">
        <w:rPr>
          <w:sz w:val="24"/>
          <w:szCs w:val="24"/>
        </w:rPr>
        <w:t xml:space="preserve"> Free Trade Agreement</w:t>
      </w:r>
      <w:r w:rsidR="009D5DD3" w:rsidRPr="00E73728">
        <w:rPr>
          <w:sz w:val="24"/>
          <w:szCs w:val="24"/>
        </w:rPr>
        <w:t>s</w:t>
      </w:r>
      <w:r w:rsidR="007D6119" w:rsidRPr="00E73728">
        <w:rPr>
          <w:sz w:val="24"/>
          <w:szCs w:val="24"/>
        </w:rPr>
        <w:t xml:space="preserve"> (FTA</w:t>
      </w:r>
      <w:r w:rsidR="009D5DD3" w:rsidRPr="00E73728">
        <w:rPr>
          <w:sz w:val="24"/>
          <w:szCs w:val="24"/>
        </w:rPr>
        <w:t>s</w:t>
      </w:r>
      <w:r w:rsidR="007D6119" w:rsidRPr="00E73728">
        <w:rPr>
          <w:sz w:val="24"/>
          <w:szCs w:val="24"/>
        </w:rPr>
        <w:t xml:space="preserve">). The </w:t>
      </w:r>
      <w:r w:rsidR="009D5DD3" w:rsidRPr="00E73728">
        <w:rPr>
          <w:sz w:val="24"/>
          <w:szCs w:val="24"/>
        </w:rPr>
        <w:t xml:space="preserve">tariff rate </w:t>
      </w:r>
      <w:r w:rsidR="007D6119" w:rsidRPr="00E73728">
        <w:rPr>
          <w:sz w:val="24"/>
          <w:szCs w:val="24"/>
        </w:rPr>
        <w:t xml:space="preserve">quotas permit Australian exporters to export stipulated volumes of </w:t>
      </w:r>
      <w:r w:rsidR="009D5DD3" w:rsidRPr="00E73728">
        <w:rPr>
          <w:sz w:val="24"/>
          <w:szCs w:val="24"/>
        </w:rPr>
        <w:t xml:space="preserve">particular </w:t>
      </w:r>
      <w:r w:rsidR="007D6119" w:rsidRPr="00E73728">
        <w:rPr>
          <w:sz w:val="24"/>
          <w:szCs w:val="24"/>
        </w:rPr>
        <w:t>products to the E</w:t>
      </w:r>
      <w:r w:rsidR="009D5DD3" w:rsidRPr="00E73728">
        <w:rPr>
          <w:sz w:val="24"/>
          <w:szCs w:val="24"/>
        </w:rPr>
        <w:t xml:space="preserve">uropean </w:t>
      </w:r>
      <w:r w:rsidR="007D6119" w:rsidRPr="00E73728">
        <w:rPr>
          <w:sz w:val="24"/>
          <w:szCs w:val="24"/>
        </w:rPr>
        <w:t>U</w:t>
      </w:r>
      <w:r w:rsidR="009D5DD3" w:rsidRPr="00E73728">
        <w:rPr>
          <w:sz w:val="24"/>
          <w:szCs w:val="24"/>
        </w:rPr>
        <w:t>nion (EU)</w:t>
      </w:r>
      <w:r w:rsidR="007D6119" w:rsidRPr="00E73728">
        <w:rPr>
          <w:sz w:val="24"/>
          <w:szCs w:val="24"/>
        </w:rPr>
        <w:t>,</w:t>
      </w:r>
      <w:r w:rsidR="009D5DD3" w:rsidRPr="00E73728">
        <w:rPr>
          <w:sz w:val="24"/>
          <w:szCs w:val="24"/>
        </w:rPr>
        <w:t xml:space="preserve"> the United States of America (US), Japan and Indonesia.</w:t>
      </w:r>
      <w:r w:rsidR="002305E2" w:rsidRPr="00E73728">
        <w:rPr>
          <w:sz w:val="24"/>
          <w:szCs w:val="24"/>
        </w:rPr>
        <w:t xml:space="preserve"> The Order transitions tariff rate quotas already in operation into revised rule</w:t>
      </w:r>
      <w:r w:rsidR="00C938E5">
        <w:rPr>
          <w:sz w:val="24"/>
          <w:szCs w:val="24"/>
        </w:rPr>
        <w:t xml:space="preserve"> </w:t>
      </w:r>
      <w:r w:rsidR="002305E2" w:rsidRPr="00E73728">
        <w:rPr>
          <w:sz w:val="24"/>
          <w:szCs w:val="24"/>
        </w:rPr>
        <w:t xml:space="preserve">sets as determined by the </w:t>
      </w:r>
      <w:r w:rsidR="00480AE6" w:rsidRPr="00E73728">
        <w:rPr>
          <w:sz w:val="24"/>
          <w:szCs w:val="24"/>
        </w:rPr>
        <w:t xml:space="preserve">Export Tariff Rate Quota Regulatory Streamlining </w:t>
      </w:r>
      <w:r w:rsidR="002305E2" w:rsidRPr="00E73728">
        <w:rPr>
          <w:sz w:val="24"/>
          <w:szCs w:val="24"/>
        </w:rPr>
        <w:t>Regulation Impact Statement</w:t>
      </w:r>
      <w:r w:rsidR="002305E2" w:rsidRPr="00E73728">
        <w:rPr>
          <w:i/>
          <w:sz w:val="24"/>
          <w:szCs w:val="24"/>
        </w:rPr>
        <w:t xml:space="preserve"> </w:t>
      </w:r>
      <w:r w:rsidR="002305E2" w:rsidRPr="00E73728">
        <w:rPr>
          <w:sz w:val="24"/>
          <w:szCs w:val="24"/>
        </w:rPr>
        <w:t>(OBPR ID 20651)</w:t>
      </w:r>
      <w:r w:rsidR="0002764E">
        <w:rPr>
          <w:sz w:val="24"/>
          <w:szCs w:val="24"/>
        </w:rPr>
        <w:t xml:space="preserve">, at </w:t>
      </w:r>
      <w:r w:rsidR="0002764E" w:rsidRPr="0002764E">
        <w:rPr>
          <w:sz w:val="24"/>
          <w:szCs w:val="24"/>
          <w:u w:val="single"/>
        </w:rPr>
        <w:t>Attachment C</w:t>
      </w:r>
      <w:r w:rsidR="002305E2" w:rsidRPr="00E73728">
        <w:rPr>
          <w:sz w:val="24"/>
          <w:szCs w:val="24"/>
        </w:rPr>
        <w:t>.</w:t>
      </w:r>
    </w:p>
    <w:p w14:paraId="35C34C2C" w14:textId="77777777" w:rsidR="001E7C2F" w:rsidRPr="006C20B5" w:rsidRDefault="001E7C2F" w:rsidP="00C211B3">
      <w:pPr>
        <w:tabs>
          <w:tab w:val="right" w:pos="9072"/>
        </w:tabs>
        <w:rPr>
          <w:sz w:val="24"/>
          <w:szCs w:val="24"/>
          <w:highlight w:val="yellow"/>
        </w:rPr>
      </w:pPr>
    </w:p>
    <w:p w14:paraId="2165CBA2" w14:textId="5D075E9E" w:rsidR="003373BB" w:rsidRPr="00E73728" w:rsidRDefault="001E7C2F" w:rsidP="003A4C67">
      <w:pPr>
        <w:tabs>
          <w:tab w:val="right" w:pos="9072"/>
        </w:tabs>
        <w:rPr>
          <w:b/>
          <w:sz w:val="24"/>
          <w:szCs w:val="24"/>
        </w:rPr>
      </w:pPr>
      <w:r w:rsidRPr="00E73728">
        <w:rPr>
          <w:b/>
          <w:sz w:val="24"/>
          <w:szCs w:val="24"/>
        </w:rPr>
        <w:t>Background</w:t>
      </w:r>
    </w:p>
    <w:p w14:paraId="5C2C8365" w14:textId="77777777" w:rsidR="00736D9E" w:rsidRPr="00E73728" w:rsidRDefault="00736D9E" w:rsidP="003A4C67">
      <w:pPr>
        <w:tabs>
          <w:tab w:val="right" w:pos="9072"/>
        </w:tabs>
        <w:rPr>
          <w:rFonts w:eastAsia="Times New Roman"/>
          <w:sz w:val="24"/>
          <w:szCs w:val="24"/>
          <w:lang w:eastAsia="en-AU"/>
        </w:rPr>
      </w:pPr>
    </w:p>
    <w:p w14:paraId="49CB4B8A" w14:textId="2ACC3B21" w:rsidR="00444F99" w:rsidRPr="00E73728" w:rsidRDefault="009D5DD3" w:rsidP="003A4C67">
      <w:pPr>
        <w:tabs>
          <w:tab w:val="right" w:pos="9072"/>
        </w:tabs>
        <w:rPr>
          <w:rFonts w:eastAsia="Times New Roman"/>
          <w:sz w:val="24"/>
          <w:szCs w:val="24"/>
          <w:lang w:eastAsia="en-AU"/>
        </w:rPr>
      </w:pPr>
      <w:r w:rsidRPr="00E73728">
        <w:rPr>
          <w:rFonts w:eastAsia="Times New Roman"/>
          <w:sz w:val="24"/>
          <w:szCs w:val="24"/>
          <w:lang w:eastAsia="en-AU"/>
        </w:rPr>
        <w:t>As part of certain WTO arrangements and FTA agreements, Australia is responsible for managing access to certain tariff rate quotas, including issuing certification.</w:t>
      </w:r>
    </w:p>
    <w:p w14:paraId="2CCC6F82" w14:textId="38883FCD" w:rsidR="001E7C2F" w:rsidRPr="00E73728" w:rsidRDefault="00444F99" w:rsidP="00C211B3">
      <w:pPr>
        <w:shd w:val="clear" w:color="auto" w:fill="FFFFFF"/>
        <w:spacing w:before="100" w:beforeAutospacing="1" w:after="100" w:afterAutospacing="1"/>
        <w:rPr>
          <w:rFonts w:eastAsia="Times New Roman"/>
          <w:sz w:val="24"/>
          <w:szCs w:val="24"/>
          <w:lang w:eastAsia="en-AU"/>
        </w:rPr>
      </w:pPr>
      <w:r w:rsidRPr="00E73728">
        <w:rPr>
          <w:rFonts w:eastAsia="Times New Roman"/>
          <w:sz w:val="24"/>
          <w:szCs w:val="24"/>
          <w:lang w:eastAsia="en-AU"/>
        </w:rPr>
        <w:t>Australia manages the q</w:t>
      </w:r>
      <w:r w:rsidR="003C7121" w:rsidRPr="00E73728">
        <w:rPr>
          <w:rFonts w:eastAsia="Times New Roman"/>
          <w:sz w:val="24"/>
          <w:szCs w:val="24"/>
          <w:lang w:eastAsia="en-AU"/>
        </w:rPr>
        <w:t xml:space="preserve">uotas on a cost-recovery basis.  </w:t>
      </w:r>
      <w:r w:rsidRPr="00E73728">
        <w:rPr>
          <w:rFonts w:eastAsia="Times New Roman"/>
          <w:sz w:val="24"/>
          <w:szCs w:val="24"/>
          <w:lang w:eastAsia="en-AU"/>
        </w:rPr>
        <w:t>The aim of the quota allocation is to optimise the value of the quotas for the collective benefit of the</w:t>
      </w:r>
      <w:r w:rsidR="009D5DD3" w:rsidRPr="00E73728">
        <w:rPr>
          <w:rFonts w:eastAsia="Times New Roman"/>
          <w:sz w:val="24"/>
          <w:szCs w:val="24"/>
          <w:lang w:eastAsia="en-AU"/>
        </w:rPr>
        <w:t xml:space="preserve"> respective</w:t>
      </w:r>
      <w:r w:rsidRPr="00E73728">
        <w:rPr>
          <w:rFonts w:eastAsia="Times New Roman"/>
          <w:sz w:val="24"/>
          <w:szCs w:val="24"/>
          <w:lang w:eastAsia="en-AU"/>
        </w:rPr>
        <w:t xml:space="preserve"> </w:t>
      </w:r>
      <w:r w:rsidR="00833082" w:rsidRPr="00E73728">
        <w:rPr>
          <w:rFonts w:eastAsia="Times New Roman"/>
          <w:sz w:val="24"/>
          <w:szCs w:val="24"/>
          <w:lang w:eastAsia="en-AU"/>
        </w:rPr>
        <w:t>Australian</w:t>
      </w:r>
      <w:r w:rsidR="009D5DD3" w:rsidRPr="00E73728">
        <w:rPr>
          <w:rFonts w:eastAsia="Times New Roman"/>
          <w:sz w:val="24"/>
          <w:szCs w:val="24"/>
          <w:lang w:eastAsia="en-AU"/>
        </w:rPr>
        <w:t xml:space="preserve"> agricultural industries</w:t>
      </w:r>
      <w:r w:rsidR="00833082" w:rsidRPr="00E73728">
        <w:rPr>
          <w:rFonts w:eastAsia="Times New Roman"/>
          <w:sz w:val="24"/>
          <w:szCs w:val="24"/>
          <w:lang w:eastAsia="en-AU"/>
        </w:rPr>
        <w:t>.</w:t>
      </w:r>
    </w:p>
    <w:p w14:paraId="2B337042" w14:textId="61C529EC" w:rsidR="001E7C2F" w:rsidRPr="00E73728" w:rsidRDefault="001E7C2F" w:rsidP="00C211B3">
      <w:pPr>
        <w:tabs>
          <w:tab w:val="left" w:pos="1701"/>
          <w:tab w:val="right" w:pos="9072"/>
        </w:tabs>
        <w:rPr>
          <w:b/>
          <w:sz w:val="24"/>
          <w:szCs w:val="24"/>
        </w:rPr>
      </w:pPr>
      <w:r w:rsidRPr="00E73728">
        <w:rPr>
          <w:b/>
          <w:sz w:val="24"/>
          <w:szCs w:val="24"/>
        </w:rPr>
        <w:t>Impact and Effect</w:t>
      </w:r>
    </w:p>
    <w:p w14:paraId="2C832F3D" w14:textId="77777777" w:rsidR="00550B75" w:rsidRPr="00E73728" w:rsidRDefault="00550B75" w:rsidP="00CA09A3">
      <w:pPr>
        <w:tabs>
          <w:tab w:val="right" w:pos="9072"/>
        </w:tabs>
        <w:rPr>
          <w:b/>
          <w:sz w:val="24"/>
          <w:szCs w:val="24"/>
        </w:rPr>
      </w:pPr>
    </w:p>
    <w:p w14:paraId="1F1FBC96" w14:textId="3B159815" w:rsidR="002305E2" w:rsidRPr="00E73728" w:rsidRDefault="00DE4213" w:rsidP="00CA09A3">
      <w:pPr>
        <w:tabs>
          <w:tab w:val="right" w:pos="9072"/>
        </w:tabs>
        <w:rPr>
          <w:sz w:val="24"/>
          <w:szCs w:val="24"/>
        </w:rPr>
      </w:pPr>
      <w:r w:rsidRPr="00E73728">
        <w:rPr>
          <w:sz w:val="24"/>
          <w:szCs w:val="24"/>
        </w:rPr>
        <w:t xml:space="preserve">The Order provides for administrative arrangements to ensure fair and equitable access by quota users to the </w:t>
      </w:r>
      <w:r w:rsidR="002305E2" w:rsidRPr="00E73728">
        <w:rPr>
          <w:sz w:val="24"/>
          <w:szCs w:val="24"/>
        </w:rPr>
        <w:t>respective</w:t>
      </w:r>
      <w:r w:rsidRPr="00E73728">
        <w:rPr>
          <w:sz w:val="24"/>
          <w:szCs w:val="24"/>
        </w:rPr>
        <w:t xml:space="preserve"> markets. The impact of the order is </w:t>
      </w:r>
      <w:r w:rsidR="002305E2" w:rsidRPr="00E73728">
        <w:rPr>
          <w:sz w:val="24"/>
          <w:szCs w:val="24"/>
        </w:rPr>
        <w:t>small</w:t>
      </w:r>
      <w:r w:rsidRPr="00E73728">
        <w:rPr>
          <w:sz w:val="24"/>
          <w:szCs w:val="24"/>
        </w:rPr>
        <w:t xml:space="preserve"> as it provides for</w:t>
      </w:r>
      <w:r w:rsidR="002305E2" w:rsidRPr="00E73728">
        <w:rPr>
          <w:sz w:val="24"/>
          <w:szCs w:val="24"/>
        </w:rPr>
        <w:t xml:space="preserve"> modest changes to</w:t>
      </w:r>
      <w:r w:rsidRPr="00E73728">
        <w:rPr>
          <w:sz w:val="24"/>
          <w:szCs w:val="24"/>
        </w:rPr>
        <w:t xml:space="preserve"> administrative arrangements </w:t>
      </w:r>
      <w:r w:rsidR="002305E2" w:rsidRPr="00E73728">
        <w:rPr>
          <w:sz w:val="24"/>
          <w:szCs w:val="24"/>
        </w:rPr>
        <w:t>compared to</w:t>
      </w:r>
      <w:r w:rsidRPr="00E73728">
        <w:rPr>
          <w:sz w:val="24"/>
          <w:szCs w:val="24"/>
        </w:rPr>
        <w:t xml:space="preserve"> the previous regulations, being</w:t>
      </w:r>
      <w:r w:rsidR="002305E2" w:rsidRPr="00E73728">
        <w:rPr>
          <w:sz w:val="24"/>
          <w:szCs w:val="24"/>
        </w:rPr>
        <w:t>;</w:t>
      </w:r>
    </w:p>
    <w:p w14:paraId="1AB5D55B" w14:textId="46782D6D" w:rsidR="002305E2" w:rsidRPr="00E73728" w:rsidRDefault="00DE4213" w:rsidP="00D868E2">
      <w:pPr>
        <w:pStyle w:val="ListParagraph"/>
        <w:numPr>
          <w:ilvl w:val="0"/>
          <w:numId w:val="21"/>
        </w:numPr>
        <w:tabs>
          <w:tab w:val="right" w:pos="9072"/>
        </w:tabs>
        <w:rPr>
          <w:sz w:val="24"/>
          <w:szCs w:val="24"/>
        </w:rPr>
      </w:pPr>
      <w:r w:rsidRPr="00E73728">
        <w:rPr>
          <w:sz w:val="24"/>
          <w:szCs w:val="24"/>
        </w:rPr>
        <w:t>the</w:t>
      </w:r>
      <w:r w:rsidR="00F92FE9" w:rsidRPr="00E73728">
        <w:rPr>
          <w:sz w:val="24"/>
          <w:szCs w:val="24"/>
        </w:rPr>
        <w:t xml:space="preserve"> </w:t>
      </w:r>
      <w:r w:rsidR="0010737D" w:rsidRPr="00E73728">
        <w:rPr>
          <w:i/>
          <w:sz w:val="24"/>
          <w:szCs w:val="24"/>
        </w:rPr>
        <w:t>Export Control (</w:t>
      </w:r>
      <w:r w:rsidR="00F92FE9" w:rsidRPr="00E73728">
        <w:rPr>
          <w:i/>
          <w:sz w:val="24"/>
          <w:szCs w:val="24"/>
        </w:rPr>
        <w:t xml:space="preserve">Beef </w:t>
      </w:r>
      <w:r w:rsidR="0010737D" w:rsidRPr="00E73728">
        <w:rPr>
          <w:i/>
          <w:sz w:val="24"/>
          <w:szCs w:val="24"/>
        </w:rPr>
        <w:t>E</w:t>
      </w:r>
      <w:r w:rsidR="00F92FE9" w:rsidRPr="00E73728">
        <w:rPr>
          <w:i/>
          <w:sz w:val="24"/>
          <w:szCs w:val="24"/>
        </w:rPr>
        <w:t xml:space="preserve">xport to the USA </w:t>
      </w:r>
      <w:r w:rsidR="0010737D" w:rsidRPr="00E73728">
        <w:rPr>
          <w:i/>
          <w:sz w:val="24"/>
          <w:szCs w:val="24"/>
        </w:rPr>
        <w:t>Tariff Rate Quota) O</w:t>
      </w:r>
      <w:r w:rsidR="00F92FE9" w:rsidRPr="00E73728">
        <w:rPr>
          <w:i/>
          <w:sz w:val="24"/>
          <w:szCs w:val="24"/>
        </w:rPr>
        <w:t>rder</w:t>
      </w:r>
      <w:r w:rsidR="0010737D" w:rsidRPr="00E73728">
        <w:rPr>
          <w:i/>
          <w:sz w:val="24"/>
          <w:szCs w:val="24"/>
        </w:rPr>
        <w:t xml:space="preserve"> 2016</w:t>
      </w:r>
      <w:r w:rsidR="00F92FE9" w:rsidRPr="00E73728">
        <w:rPr>
          <w:sz w:val="24"/>
          <w:szCs w:val="24"/>
        </w:rPr>
        <w:t xml:space="preserve">, </w:t>
      </w:r>
    </w:p>
    <w:p w14:paraId="7D8D3F2C" w14:textId="0B739999" w:rsidR="002305E2" w:rsidRPr="00E73728" w:rsidRDefault="002305E2" w:rsidP="00D868E2">
      <w:pPr>
        <w:pStyle w:val="ListParagraph"/>
        <w:numPr>
          <w:ilvl w:val="0"/>
          <w:numId w:val="21"/>
        </w:numPr>
        <w:tabs>
          <w:tab w:val="right" w:pos="9072"/>
        </w:tabs>
        <w:rPr>
          <w:sz w:val="24"/>
          <w:szCs w:val="24"/>
        </w:rPr>
      </w:pPr>
      <w:r w:rsidRPr="00E73728">
        <w:rPr>
          <w:sz w:val="24"/>
          <w:szCs w:val="24"/>
        </w:rPr>
        <w:t xml:space="preserve">the </w:t>
      </w:r>
      <w:r w:rsidR="0010737D" w:rsidRPr="00E73728">
        <w:rPr>
          <w:i/>
          <w:sz w:val="24"/>
          <w:szCs w:val="24"/>
        </w:rPr>
        <w:t>Export Control (</w:t>
      </w:r>
      <w:r w:rsidR="00F92FE9" w:rsidRPr="00E73728">
        <w:rPr>
          <w:i/>
          <w:sz w:val="24"/>
          <w:szCs w:val="24"/>
        </w:rPr>
        <w:t xml:space="preserve">Dairy </w:t>
      </w:r>
      <w:r w:rsidR="0010737D" w:rsidRPr="00E73728">
        <w:rPr>
          <w:i/>
          <w:sz w:val="24"/>
          <w:szCs w:val="24"/>
        </w:rPr>
        <w:t>P</w:t>
      </w:r>
      <w:r w:rsidR="00F92FE9" w:rsidRPr="00E73728">
        <w:rPr>
          <w:i/>
          <w:sz w:val="24"/>
          <w:szCs w:val="24"/>
        </w:rPr>
        <w:t xml:space="preserve">roduce </w:t>
      </w:r>
      <w:r w:rsidR="0010737D" w:rsidRPr="00E73728">
        <w:rPr>
          <w:i/>
          <w:sz w:val="24"/>
          <w:szCs w:val="24"/>
        </w:rPr>
        <w:t>T</w:t>
      </w:r>
      <w:r w:rsidR="00F92FE9" w:rsidRPr="00E73728">
        <w:rPr>
          <w:i/>
          <w:sz w:val="24"/>
          <w:szCs w:val="24"/>
        </w:rPr>
        <w:t xml:space="preserve">ariff </w:t>
      </w:r>
      <w:r w:rsidR="0010737D" w:rsidRPr="00E73728">
        <w:rPr>
          <w:i/>
          <w:sz w:val="24"/>
          <w:szCs w:val="24"/>
        </w:rPr>
        <w:t>R</w:t>
      </w:r>
      <w:r w:rsidR="00F92FE9" w:rsidRPr="00E73728">
        <w:rPr>
          <w:i/>
          <w:sz w:val="24"/>
          <w:szCs w:val="24"/>
        </w:rPr>
        <w:t xml:space="preserve">ate </w:t>
      </w:r>
      <w:r w:rsidR="0010737D" w:rsidRPr="00E73728">
        <w:rPr>
          <w:i/>
          <w:sz w:val="24"/>
          <w:szCs w:val="24"/>
        </w:rPr>
        <w:t>Quotas) O</w:t>
      </w:r>
      <w:r w:rsidR="00F92FE9" w:rsidRPr="00E73728">
        <w:rPr>
          <w:i/>
          <w:sz w:val="24"/>
          <w:szCs w:val="24"/>
        </w:rPr>
        <w:t>rder</w:t>
      </w:r>
      <w:r w:rsidR="0010737D" w:rsidRPr="00E73728">
        <w:rPr>
          <w:i/>
          <w:sz w:val="24"/>
          <w:szCs w:val="24"/>
        </w:rPr>
        <w:t xml:space="preserve"> 2016</w:t>
      </w:r>
      <w:r w:rsidRPr="00E73728">
        <w:rPr>
          <w:sz w:val="24"/>
          <w:szCs w:val="24"/>
        </w:rPr>
        <w:t>,</w:t>
      </w:r>
    </w:p>
    <w:p w14:paraId="08A87F6D" w14:textId="34828349" w:rsidR="002305E2" w:rsidRPr="00E73728" w:rsidRDefault="002305E2" w:rsidP="00D868E2">
      <w:pPr>
        <w:pStyle w:val="ListParagraph"/>
        <w:numPr>
          <w:ilvl w:val="0"/>
          <w:numId w:val="21"/>
        </w:numPr>
        <w:tabs>
          <w:tab w:val="right" w:pos="9072"/>
        </w:tabs>
        <w:rPr>
          <w:sz w:val="24"/>
          <w:szCs w:val="24"/>
        </w:rPr>
      </w:pPr>
      <w:r w:rsidRPr="00E73728">
        <w:rPr>
          <w:sz w:val="24"/>
          <w:szCs w:val="24"/>
        </w:rPr>
        <w:t xml:space="preserve">the </w:t>
      </w:r>
      <w:r w:rsidRPr="00E73728">
        <w:rPr>
          <w:i/>
          <w:sz w:val="24"/>
          <w:szCs w:val="24"/>
        </w:rPr>
        <w:t>Export Control (High Quality Beef Export to the European Union Tariff Rate Quotas) Order 2016,</w:t>
      </w:r>
    </w:p>
    <w:p w14:paraId="06FCD719" w14:textId="2EBD7784" w:rsidR="00DE4213" w:rsidRPr="00E73728" w:rsidRDefault="00F92FE9" w:rsidP="00D868E2">
      <w:pPr>
        <w:pStyle w:val="ListParagraph"/>
        <w:numPr>
          <w:ilvl w:val="0"/>
          <w:numId w:val="21"/>
        </w:numPr>
        <w:tabs>
          <w:tab w:val="right" w:pos="9072"/>
        </w:tabs>
        <w:rPr>
          <w:sz w:val="24"/>
          <w:szCs w:val="24"/>
        </w:rPr>
      </w:pPr>
      <w:proofErr w:type="gramStart"/>
      <w:r w:rsidRPr="00E73728">
        <w:rPr>
          <w:sz w:val="24"/>
          <w:szCs w:val="24"/>
        </w:rPr>
        <w:t>the</w:t>
      </w:r>
      <w:proofErr w:type="gramEnd"/>
      <w:r w:rsidRPr="00E73728">
        <w:rPr>
          <w:sz w:val="24"/>
          <w:szCs w:val="24"/>
        </w:rPr>
        <w:t xml:space="preserve"> </w:t>
      </w:r>
      <w:r w:rsidR="0010737D" w:rsidRPr="00E73728">
        <w:rPr>
          <w:i/>
          <w:sz w:val="24"/>
          <w:szCs w:val="24"/>
        </w:rPr>
        <w:t>Export Control (</w:t>
      </w:r>
      <w:r w:rsidRPr="00E73728">
        <w:rPr>
          <w:i/>
          <w:sz w:val="24"/>
          <w:szCs w:val="24"/>
        </w:rPr>
        <w:t xml:space="preserve">Japan-Australia </w:t>
      </w:r>
      <w:r w:rsidR="0010737D" w:rsidRPr="00E73728">
        <w:rPr>
          <w:i/>
          <w:sz w:val="24"/>
          <w:szCs w:val="24"/>
        </w:rPr>
        <w:t>Economic Partnership Agreement Tariff Rate Quotas) O</w:t>
      </w:r>
      <w:r w:rsidRPr="00E73728">
        <w:rPr>
          <w:i/>
          <w:sz w:val="24"/>
          <w:szCs w:val="24"/>
        </w:rPr>
        <w:t>rder</w:t>
      </w:r>
      <w:r w:rsidR="0010737D" w:rsidRPr="00E73728">
        <w:rPr>
          <w:i/>
          <w:sz w:val="24"/>
          <w:szCs w:val="24"/>
        </w:rPr>
        <w:t xml:space="preserve"> 2016</w:t>
      </w:r>
      <w:r w:rsidRPr="00E73728">
        <w:rPr>
          <w:sz w:val="24"/>
          <w:szCs w:val="24"/>
        </w:rPr>
        <w:t>.</w:t>
      </w:r>
    </w:p>
    <w:p w14:paraId="2CD49C18" w14:textId="77777777" w:rsidR="00DE4213" w:rsidRPr="006C20B5" w:rsidRDefault="00DE4213" w:rsidP="00CA09A3">
      <w:pPr>
        <w:tabs>
          <w:tab w:val="right" w:pos="9072"/>
        </w:tabs>
        <w:rPr>
          <w:b/>
          <w:sz w:val="24"/>
          <w:szCs w:val="24"/>
          <w:highlight w:val="yellow"/>
        </w:rPr>
      </w:pPr>
    </w:p>
    <w:p w14:paraId="2419BD38" w14:textId="4E1048C9" w:rsidR="001E7C2F" w:rsidRPr="00E73728" w:rsidRDefault="001E7C2F" w:rsidP="00C211B3">
      <w:pPr>
        <w:tabs>
          <w:tab w:val="left" w:pos="1701"/>
          <w:tab w:val="right" w:pos="9072"/>
        </w:tabs>
        <w:rPr>
          <w:sz w:val="24"/>
          <w:szCs w:val="24"/>
        </w:rPr>
      </w:pPr>
      <w:r w:rsidRPr="00E73728">
        <w:rPr>
          <w:b/>
          <w:sz w:val="24"/>
          <w:szCs w:val="24"/>
        </w:rPr>
        <w:lastRenderedPageBreak/>
        <w:t>Consultation</w:t>
      </w:r>
    </w:p>
    <w:p w14:paraId="6A8007DE" w14:textId="77777777" w:rsidR="00480AE6" w:rsidRDefault="00480AE6" w:rsidP="00480AE6">
      <w:pPr>
        <w:shd w:val="clear" w:color="auto" w:fill="FFFFFF"/>
        <w:spacing w:before="100" w:beforeAutospacing="1" w:after="100" w:afterAutospacing="1" w:line="240" w:lineRule="auto"/>
        <w:rPr>
          <w:sz w:val="24"/>
          <w:szCs w:val="24"/>
        </w:rPr>
      </w:pPr>
      <w:r>
        <w:rPr>
          <w:sz w:val="24"/>
          <w:szCs w:val="24"/>
        </w:rPr>
        <w:t>Before making the instrument, the Department completed the Export Tariff Rate Quota Regulatory Streamlining Regulation Impact Statement (RIS) (OBPR ID 20651), which included consultation with exporter stakeholders and the industry representative bodies.  This included:</w:t>
      </w:r>
    </w:p>
    <w:p w14:paraId="452C1D78" w14:textId="7A01CDB2" w:rsidR="00480AE6" w:rsidRPr="00480AE6" w:rsidRDefault="00480AE6" w:rsidP="00D868E2">
      <w:pPr>
        <w:pStyle w:val="ListParagraph"/>
        <w:numPr>
          <w:ilvl w:val="0"/>
          <w:numId w:val="22"/>
        </w:numPr>
        <w:shd w:val="clear" w:color="auto" w:fill="FFFFFF"/>
        <w:spacing w:before="100" w:beforeAutospacing="1" w:after="100" w:afterAutospacing="1" w:line="240" w:lineRule="auto"/>
        <w:rPr>
          <w:sz w:val="24"/>
          <w:szCs w:val="24"/>
        </w:rPr>
      </w:pPr>
      <w:r w:rsidRPr="00E73728">
        <w:rPr>
          <w:sz w:val="24"/>
          <w:szCs w:val="24"/>
        </w:rPr>
        <w:t>the Australian Meat Industry Counci</w:t>
      </w:r>
      <w:r w:rsidRPr="00480AE6">
        <w:rPr>
          <w:sz w:val="24"/>
          <w:szCs w:val="24"/>
        </w:rPr>
        <w:t>l</w:t>
      </w:r>
      <w:r>
        <w:rPr>
          <w:sz w:val="24"/>
          <w:szCs w:val="24"/>
        </w:rPr>
        <w:t xml:space="preserve"> for red meat quotas</w:t>
      </w:r>
    </w:p>
    <w:p w14:paraId="5477EBF1" w14:textId="70AB92E8" w:rsidR="00480AE6" w:rsidRDefault="00480AE6" w:rsidP="00D868E2">
      <w:pPr>
        <w:pStyle w:val="ListParagraph"/>
        <w:numPr>
          <w:ilvl w:val="0"/>
          <w:numId w:val="22"/>
        </w:numPr>
        <w:shd w:val="clear" w:color="auto" w:fill="FFFFFF"/>
        <w:spacing w:before="100" w:beforeAutospacing="1" w:after="100" w:afterAutospacing="1" w:line="240" w:lineRule="auto"/>
        <w:rPr>
          <w:sz w:val="24"/>
          <w:szCs w:val="24"/>
        </w:rPr>
      </w:pPr>
      <w:r>
        <w:rPr>
          <w:sz w:val="24"/>
          <w:szCs w:val="24"/>
        </w:rPr>
        <w:t>Dairy Australia and the Australian Dairy Products Federation for dairy quotas</w:t>
      </w:r>
    </w:p>
    <w:p w14:paraId="323D31C8" w14:textId="2A64BDF3" w:rsidR="00480AE6" w:rsidRDefault="0045751B" w:rsidP="00D868E2">
      <w:pPr>
        <w:pStyle w:val="ListParagraph"/>
        <w:numPr>
          <w:ilvl w:val="0"/>
          <w:numId w:val="22"/>
        </w:numPr>
        <w:shd w:val="clear" w:color="auto" w:fill="FFFFFF"/>
        <w:spacing w:before="100" w:beforeAutospacing="1" w:after="100" w:afterAutospacing="1" w:line="240" w:lineRule="auto"/>
        <w:rPr>
          <w:sz w:val="24"/>
          <w:szCs w:val="24"/>
        </w:rPr>
      </w:pPr>
      <w:r>
        <w:rPr>
          <w:sz w:val="24"/>
          <w:szCs w:val="24"/>
        </w:rPr>
        <w:t xml:space="preserve">The Australia Honey </w:t>
      </w:r>
      <w:r w:rsidR="00C938E5">
        <w:rPr>
          <w:sz w:val="24"/>
          <w:szCs w:val="24"/>
        </w:rPr>
        <w:t>Bee</w:t>
      </w:r>
      <w:r>
        <w:rPr>
          <w:sz w:val="24"/>
          <w:szCs w:val="24"/>
        </w:rPr>
        <w:t xml:space="preserve"> Industry Council for honey quota</w:t>
      </w:r>
    </w:p>
    <w:p w14:paraId="3373A831" w14:textId="466A85AB" w:rsidR="0045751B" w:rsidRDefault="0045751B" w:rsidP="00D868E2">
      <w:pPr>
        <w:pStyle w:val="ListParagraph"/>
        <w:numPr>
          <w:ilvl w:val="0"/>
          <w:numId w:val="22"/>
        </w:numPr>
        <w:shd w:val="clear" w:color="auto" w:fill="FFFFFF"/>
        <w:spacing w:before="100" w:beforeAutospacing="1" w:after="100" w:afterAutospacing="1" w:line="240" w:lineRule="auto"/>
        <w:rPr>
          <w:sz w:val="24"/>
          <w:szCs w:val="24"/>
        </w:rPr>
      </w:pPr>
      <w:r>
        <w:rPr>
          <w:sz w:val="24"/>
          <w:szCs w:val="24"/>
        </w:rPr>
        <w:t>Australian Pork Limited for pork quota</w:t>
      </w:r>
    </w:p>
    <w:p w14:paraId="7644BF44" w14:textId="588D3EAC" w:rsidR="0045751B" w:rsidRDefault="0045751B" w:rsidP="00D868E2">
      <w:pPr>
        <w:pStyle w:val="ListParagraph"/>
        <w:numPr>
          <w:ilvl w:val="0"/>
          <w:numId w:val="22"/>
        </w:numPr>
        <w:shd w:val="clear" w:color="auto" w:fill="FFFFFF"/>
        <w:spacing w:before="100" w:beforeAutospacing="1" w:after="100" w:afterAutospacing="1" w:line="240" w:lineRule="auto"/>
        <w:rPr>
          <w:sz w:val="24"/>
          <w:szCs w:val="24"/>
        </w:rPr>
      </w:pPr>
      <w:r>
        <w:rPr>
          <w:sz w:val="24"/>
          <w:szCs w:val="24"/>
        </w:rPr>
        <w:t>The Australian Chicken Meat Federation for poultry quota</w:t>
      </w:r>
    </w:p>
    <w:p w14:paraId="7F96D599" w14:textId="3DAA427F" w:rsidR="0045751B" w:rsidRDefault="0045751B" w:rsidP="00D868E2">
      <w:pPr>
        <w:pStyle w:val="ListParagraph"/>
        <w:numPr>
          <w:ilvl w:val="0"/>
          <w:numId w:val="22"/>
        </w:numPr>
        <w:shd w:val="clear" w:color="auto" w:fill="FFFFFF"/>
        <w:spacing w:before="100" w:beforeAutospacing="1" w:after="100" w:afterAutospacing="1" w:line="240" w:lineRule="auto"/>
        <w:rPr>
          <w:sz w:val="24"/>
          <w:szCs w:val="24"/>
        </w:rPr>
      </w:pPr>
      <w:r>
        <w:rPr>
          <w:sz w:val="24"/>
          <w:szCs w:val="24"/>
        </w:rPr>
        <w:t>The Australian Beverages Council for juice quotas</w:t>
      </w:r>
    </w:p>
    <w:p w14:paraId="296F97D1" w14:textId="78F2E37A" w:rsidR="00480AE6" w:rsidRDefault="00480AE6" w:rsidP="00480AE6">
      <w:pPr>
        <w:shd w:val="clear" w:color="auto" w:fill="FFFFFF"/>
        <w:spacing w:before="100" w:beforeAutospacing="1" w:after="100" w:afterAutospacing="1" w:line="240" w:lineRule="auto"/>
        <w:rPr>
          <w:sz w:val="24"/>
          <w:szCs w:val="24"/>
        </w:rPr>
      </w:pPr>
      <w:r w:rsidRPr="00E73728">
        <w:rPr>
          <w:sz w:val="24"/>
          <w:szCs w:val="24"/>
        </w:rPr>
        <w:t>The RIS was endorsed by OBPR and approved by the Minister for Agriculture on 28 June 2018</w:t>
      </w:r>
      <w:r w:rsidR="0002764E">
        <w:rPr>
          <w:sz w:val="24"/>
          <w:szCs w:val="24"/>
        </w:rPr>
        <w:t xml:space="preserve">. Please refer to </w:t>
      </w:r>
      <w:r w:rsidR="0002764E" w:rsidRPr="0002764E">
        <w:rPr>
          <w:sz w:val="24"/>
          <w:szCs w:val="24"/>
          <w:u w:val="single"/>
        </w:rPr>
        <w:t>Attachment C</w:t>
      </w:r>
      <w:r w:rsidRPr="00E73728">
        <w:rPr>
          <w:sz w:val="24"/>
          <w:szCs w:val="24"/>
        </w:rPr>
        <w:t>.</w:t>
      </w:r>
    </w:p>
    <w:p w14:paraId="47C5DF33" w14:textId="45FF7625" w:rsidR="0045751B" w:rsidRDefault="0045751B" w:rsidP="00480AE6">
      <w:pPr>
        <w:shd w:val="clear" w:color="auto" w:fill="FFFFFF"/>
        <w:spacing w:before="100" w:beforeAutospacing="1" w:after="100" w:afterAutospacing="1" w:line="240" w:lineRule="auto"/>
        <w:rPr>
          <w:sz w:val="24"/>
          <w:szCs w:val="24"/>
        </w:rPr>
      </w:pPr>
      <w:r>
        <w:rPr>
          <w:sz w:val="24"/>
          <w:szCs w:val="24"/>
        </w:rPr>
        <w:t xml:space="preserve">The Department has </w:t>
      </w:r>
      <w:r w:rsidR="00C5224C">
        <w:rPr>
          <w:sz w:val="24"/>
          <w:szCs w:val="24"/>
        </w:rPr>
        <w:t>consulted with exporter stakeholders and industry representative bodies regarding the tariff rate quotas for the Indonesia Australia Comprehensive Economic Partnership Agreement (IA-CEPA). This included:</w:t>
      </w:r>
    </w:p>
    <w:p w14:paraId="7AA5CEE7" w14:textId="0188ED10" w:rsidR="00C5224C" w:rsidRDefault="006D0F5A" w:rsidP="00D868E2">
      <w:pPr>
        <w:pStyle w:val="ListParagraph"/>
        <w:numPr>
          <w:ilvl w:val="0"/>
          <w:numId w:val="23"/>
        </w:numPr>
        <w:shd w:val="clear" w:color="auto" w:fill="FFFFFF"/>
        <w:spacing w:before="100" w:beforeAutospacing="1" w:after="100" w:afterAutospacing="1" w:line="240" w:lineRule="auto"/>
        <w:rPr>
          <w:sz w:val="24"/>
          <w:szCs w:val="24"/>
        </w:rPr>
      </w:pPr>
      <w:r>
        <w:rPr>
          <w:sz w:val="24"/>
          <w:szCs w:val="24"/>
        </w:rPr>
        <w:t>The Australian Livestock Export</w:t>
      </w:r>
      <w:r w:rsidR="0029237A">
        <w:rPr>
          <w:sz w:val="24"/>
          <w:szCs w:val="24"/>
        </w:rPr>
        <w:t>ers</w:t>
      </w:r>
      <w:r>
        <w:rPr>
          <w:sz w:val="24"/>
          <w:szCs w:val="24"/>
        </w:rPr>
        <w:t xml:space="preserve"> Council for </w:t>
      </w:r>
      <w:r w:rsidR="000642E3">
        <w:rPr>
          <w:sz w:val="24"/>
          <w:szCs w:val="24"/>
        </w:rPr>
        <w:t>live cattle quota</w:t>
      </w:r>
    </w:p>
    <w:p w14:paraId="05B612AE" w14:textId="3B1CA7D4" w:rsidR="006D0F5A" w:rsidRDefault="006D0F5A" w:rsidP="00D868E2">
      <w:pPr>
        <w:pStyle w:val="ListParagraph"/>
        <w:numPr>
          <w:ilvl w:val="0"/>
          <w:numId w:val="23"/>
        </w:numPr>
        <w:shd w:val="clear" w:color="auto" w:fill="FFFFFF"/>
        <w:spacing w:before="100" w:beforeAutospacing="1" w:after="100" w:afterAutospacing="1" w:line="240" w:lineRule="auto"/>
        <w:rPr>
          <w:sz w:val="24"/>
          <w:szCs w:val="24"/>
        </w:rPr>
      </w:pPr>
      <w:r>
        <w:rPr>
          <w:sz w:val="24"/>
          <w:szCs w:val="24"/>
        </w:rPr>
        <w:t>Citrus Australia</w:t>
      </w:r>
      <w:r w:rsidR="0029237A">
        <w:rPr>
          <w:sz w:val="24"/>
          <w:szCs w:val="24"/>
        </w:rPr>
        <w:t xml:space="preserve">, </w:t>
      </w:r>
      <w:proofErr w:type="spellStart"/>
      <w:r w:rsidR="0029237A">
        <w:rPr>
          <w:sz w:val="24"/>
          <w:szCs w:val="24"/>
        </w:rPr>
        <w:t>AusVeg</w:t>
      </w:r>
      <w:proofErr w:type="spellEnd"/>
      <w:r w:rsidR="0029237A">
        <w:rPr>
          <w:sz w:val="24"/>
          <w:szCs w:val="24"/>
        </w:rPr>
        <w:t xml:space="preserve"> and the Australian Horticultural Exporters’ and Importers’ Association</w:t>
      </w:r>
      <w:r>
        <w:rPr>
          <w:sz w:val="24"/>
          <w:szCs w:val="24"/>
        </w:rPr>
        <w:t xml:space="preserve"> for citrus </w:t>
      </w:r>
      <w:r w:rsidR="0029237A">
        <w:rPr>
          <w:sz w:val="24"/>
          <w:szCs w:val="24"/>
        </w:rPr>
        <w:t xml:space="preserve">and vegetable </w:t>
      </w:r>
      <w:r>
        <w:rPr>
          <w:sz w:val="24"/>
          <w:szCs w:val="24"/>
        </w:rPr>
        <w:t>quotas</w:t>
      </w:r>
    </w:p>
    <w:p w14:paraId="26A0C51D" w14:textId="3A2DD6E9" w:rsidR="00C5224C" w:rsidRPr="00E73728" w:rsidRDefault="00C5224C" w:rsidP="00480AE6">
      <w:pPr>
        <w:shd w:val="clear" w:color="auto" w:fill="FFFFFF"/>
        <w:spacing w:before="100" w:beforeAutospacing="1" w:after="100" w:afterAutospacing="1" w:line="240" w:lineRule="auto"/>
        <w:rPr>
          <w:sz w:val="24"/>
          <w:szCs w:val="24"/>
        </w:rPr>
      </w:pPr>
      <w:r w:rsidRPr="009277BB">
        <w:rPr>
          <w:sz w:val="24"/>
          <w:szCs w:val="24"/>
        </w:rPr>
        <w:t>The Office of Best Practice Regulation was co</w:t>
      </w:r>
      <w:r>
        <w:rPr>
          <w:sz w:val="24"/>
          <w:szCs w:val="24"/>
        </w:rPr>
        <w:t>nsulted and advised that the IA-CEPA</w:t>
      </w:r>
      <w:r w:rsidRPr="009277BB">
        <w:rPr>
          <w:sz w:val="24"/>
          <w:szCs w:val="24"/>
        </w:rPr>
        <w:t xml:space="preserve"> Analysis of Regulatory Impact on Australia (ARIA) certified by the Department of Foreign Affairs and Trad</w:t>
      </w:r>
      <w:r w:rsidR="004F2C46">
        <w:rPr>
          <w:sz w:val="24"/>
          <w:szCs w:val="24"/>
        </w:rPr>
        <w:t xml:space="preserve">e met the requirements of a </w:t>
      </w:r>
      <w:r w:rsidR="00C2424C">
        <w:rPr>
          <w:sz w:val="24"/>
          <w:szCs w:val="24"/>
        </w:rPr>
        <w:t>regulation impact statement</w:t>
      </w:r>
      <w:r w:rsidRPr="009277BB">
        <w:rPr>
          <w:sz w:val="24"/>
          <w:szCs w:val="24"/>
        </w:rPr>
        <w:t>.</w:t>
      </w:r>
    </w:p>
    <w:p w14:paraId="7C367DC5" w14:textId="77777777" w:rsidR="00DE4213" w:rsidRPr="006C20B5" w:rsidRDefault="00DE4213" w:rsidP="00C211B3">
      <w:pPr>
        <w:tabs>
          <w:tab w:val="left" w:pos="1701"/>
          <w:tab w:val="right" w:pos="9072"/>
        </w:tabs>
        <w:rPr>
          <w:color w:val="FF0000"/>
          <w:sz w:val="24"/>
          <w:szCs w:val="24"/>
          <w:highlight w:val="yellow"/>
        </w:rPr>
      </w:pPr>
    </w:p>
    <w:p w14:paraId="04130A04" w14:textId="5EC0D98E" w:rsidR="009302F0" w:rsidRPr="006C20B5" w:rsidRDefault="009302F0" w:rsidP="00C211B3">
      <w:pPr>
        <w:tabs>
          <w:tab w:val="left" w:pos="1701"/>
          <w:tab w:val="right" w:pos="9072"/>
        </w:tabs>
        <w:rPr>
          <w:sz w:val="24"/>
          <w:szCs w:val="24"/>
        </w:rPr>
      </w:pPr>
      <w:r w:rsidRPr="006C20B5">
        <w:rPr>
          <w:sz w:val="24"/>
          <w:szCs w:val="24"/>
        </w:rPr>
        <w:t xml:space="preserve">Details of the Order are set out in </w:t>
      </w:r>
      <w:r w:rsidRPr="006C20B5">
        <w:rPr>
          <w:sz w:val="24"/>
          <w:szCs w:val="24"/>
          <w:u w:val="single"/>
        </w:rPr>
        <w:t>Attachment A</w:t>
      </w:r>
      <w:r w:rsidRPr="006C20B5">
        <w:rPr>
          <w:sz w:val="24"/>
          <w:szCs w:val="24"/>
        </w:rPr>
        <w:t>.</w:t>
      </w:r>
    </w:p>
    <w:p w14:paraId="618B29B5" w14:textId="77777777" w:rsidR="00A90BBB" w:rsidRPr="006C20B5" w:rsidRDefault="00A90BBB" w:rsidP="00C211B3">
      <w:pPr>
        <w:tabs>
          <w:tab w:val="left" w:pos="1701"/>
          <w:tab w:val="right" w:pos="9072"/>
        </w:tabs>
        <w:rPr>
          <w:color w:val="FF0000"/>
          <w:sz w:val="24"/>
          <w:szCs w:val="24"/>
          <w:highlight w:val="yellow"/>
        </w:rPr>
      </w:pPr>
    </w:p>
    <w:p w14:paraId="12377252" w14:textId="4ACA5C9B" w:rsidR="001E7C2F" w:rsidRPr="006C20B5" w:rsidRDefault="001E7C2F" w:rsidP="00C211B3">
      <w:pPr>
        <w:tabs>
          <w:tab w:val="left" w:pos="1701"/>
          <w:tab w:val="right" w:pos="9072"/>
        </w:tabs>
        <w:rPr>
          <w:sz w:val="24"/>
          <w:szCs w:val="24"/>
        </w:rPr>
      </w:pPr>
      <w:r w:rsidRPr="006C20B5">
        <w:rPr>
          <w:sz w:val="24"/>
          <w:szCs w:val="24"/>
        </w:rPr>
        <w:t xml:space="preserve">The </w:t>
      </w:r>
      <w:r w:rsidR="00A33C83" w:rsidRPr="006C20B5">
        <w:rPr>
          <w:sz w:val="24"/>
          <w:szCs w:val="24"/>
        </w:rPr>
        <w:t xml:space="preserve">Amendment </w:t>
      </w:r>
      <w:r w:rsidRPr="006C20B5">
        <w:rPr>
          <w:sz w:val="24"/>
          <w:szCs w:val="24"/>
        </w:rPr>
        <w:t xml:space="preserve">Order is compatible with human rights and freedoms recognised or declared under section 3 of the </w:t>
      </w:r>
      <w:r w:rsidRPr="006C20B5">
        <w:rPr>
          <w:i/>
          <w:sz w:val="24"/>
          <w:szCs w:val="24"/>
        </w:rPr>
        <w:t>Human Rights (Parliamentary Scrutiny) Act 2011</w:t>
      </w:r>
      <w:r w:rsidRPr="006C20B5">
        <w:rPr>
          <w:sz w:val="24"/>
          <w:szCs w:val="24"/>
        </w:rPr>
        <w:t xml:space="preserve">. A full statement of compatibility is set out in </w:t>
      </w:r>
      <w:r w:rsidRPr="006C20B5">
        <w:rPr>
          <w:sz w:val="24"/>
          <w:szCs w:val="24"/>
          <w:u w:val="single"/>
        </w:rPr>
        <w:t xml:space="preserve">Attachment </w:t>
      </w:r>
      <w:r w:rsidR="009302F0" w:rsidRPr="006C20B5">
        <w:rPr>
          <w:sz w:val="24"/>
          <w:szCs w:val="24"/>
          <w:u w:val="single"/>
        </w:rPr>
        <w:t>B</w:t>
      </w:r>
      <w:r w:rsidRPr="006C20B5">
        <w:rPr>
          <w:sz w:val="24"/>
          <w:szCs w:val="24"/>
        </w:rPr>
        <w:t>.</w:t>
      </w:r>
    </w:p>
    <w:p w14:paraId="531C71DA" w14:textId="77777777" w:rsidR="00FA4F7F" w:rsidRPr="006C20B5" w:rsidRDefault="00FA4F7F" w:rsidP="00C211B3">
      <w:pPr>
        <w:tabs>
          <w:tab w:val="left" w:pos="1701"/>
          <w:tab w:val="right" w:pos="9072"/>
        </w:tabs>
        <w:rPr>
          <w:color w:val="FF0000"/>
          <w:sz w:val="24"/>
          <w:szCs w:val="24"/>
          <w:highlight w:val="yellow"/>
        </w:rPr>
      </w:pPr>
    </w:p>
    <w:p w14:paraId="72886317" w14:textId="76482A8D" w:rsidR="001E7C2F" w:rsidRPr="00820E9F" w:rsidRDefault="001E7C2F" w:rsidP="00C211B3">
      <w:pPr>
        <w:tabs>
          <w:tab w:val="left" w:pos="1701"/>
          <w:tab w:val="right" w:pos="9072"/>
        </w:tabs>
        <w:rPr>
          <w:sz w:val="24"/>
          <w:szCs w:val="24"/>
        </w:rPr>
      </w:pPr>
      <w:r w:rsidRPr="006C20B5">
        <w:rPr>
          <w:sz w:val="24"/>
          <w:szCs w:val="24"/>
        </w:rPr>
        <w:t xml:space="preserve">The Order is a legislative instrument for the purposes of the </w:t>
      </w:r>
      <w:r w:rsidRPr="006C20B5">
        <w:rPr>
          <w:i/>
          <w:sz w:val="24"/>
          <w:szCs w:val="24"/>
        </w:rPr>
        <w:t>Legislation Act 2003</w:t>
      </w:r>
      <w:r w:rsidRPr="00820E9F">
        <w:rPr>
          <w:sz w:val="24"/>
          <w:szCs w:val="24"/>
        </w:rPr>
        <w:t>.</w:t>
      </w:r>
    </w:p>
    <w:p w14:paraId="0C14E493" w14:textId="77777777" w:rsidR="003A6C42" w:rsidRDefault="003A6C42">
      <w:pPr>
        <w:spacing w:line="240" w:lineRule="auto"/>
        <w:rPr>
          <w:rStyle w:val="CharPartNo"/>
          <w:rFonts w:eastAsia="Times New Roman"/>
          <w:b/>
          <w:kern w:val="28"/>
          <w:sz w:val="32"/>
          <w:lang w:eastAsia="en-AU"/>
        </w:rPr>
      </w:pPr>
    </w:p>
    <w:p w14:paraId="420B66B8" w14:textId="77777777" w:rsidR="001E7C2F" w:rsidRDefault="001E7C2F" w:rsidP="001E7C2F">
      <w:pPr>
        <w:rPr>
          <w:b/>
          <w:sz w:val="24"/>
        </w:rPr>
      </w:pPr>
    </w:p>
    <w:p w14:paraId="4A707A02" w14:textId="77777777" w:rsidR="001E7C2F" w:rsidRDefault="001E7C2F" w:rsidP="001E7C2F">
      <w:pPr>
        <w:rPr>
          <w:b/>
          <w:sz w:val="24"/>
        </w:rPr>
      </w:pPr>
    </w:p>
    <w:p w14:paraId="07E409EC" w14:textId="77777777" w:rsidR="001E7C2F" w:rsidRDefault="001E7C2F" w:rsidP="001E7C2F">
      <w:pPr>
        <w:rPr>
          <w:b/>
          <w:i/>
          <w:sz w:val="24"/>
        </w:rPr>
      </w:pPr>
    </w:p>
    <w:p w14:paraId="525D528A" w14:textId="77777777" w:rsidR="001E7C2F" w:rsidRDefault="001E7C2F" w:rsidP="001E7C2F">
      <w:pPr>
        <w:rPr>
          <w:b/>
          <w:i/>
          <w:sz w:val="24"/>
        </w:rPr>
      </w:pPr>
    </w:p>
    <w:p w14:paraId="60EE22D5" w14:textId="2ABB2810" w:rsidR="00A90BBB" w:rsidRDefault="00A90BBB" w:rsidP="00CA09A3">
      <w:pPr>
        <w:pStyle w:val="ActHead2"/>
        <w:pageBreakBefore/>
        <w:ind w:left="0" w:firstLine="0"/>
        <w:jc w:val="right"/>
        <w:rPr>
          <w:rStyle w:val="CharPartNo"/>
          <w:sz w:val="24"/>
          <w:szCs w:val="24"/>
        </w:rPr>
      </w:pPr>
      <w:bookmarkStart w:id="1" w:name="_Toc27482935"/>
      <w:r>
        <w:rPr>
          <w:rStyle w:val="CharPartNo"/>
          <w:sz w:val="24"/>
          <w:szCs w:val="24"/>
        </w:rPr>
        <w:lastRenderedPageBreak/>
        <w:t>Attachment A</w:t>
      </w:r>
      <w:bookmarkEnd w:id="1"/>
    </w:p>
    <w:p w14:paraId="2D7B0C43" w14:textId="03A33CFE" w:rsidR="009302F0" w:rsidRPr="00736D9E" w:rsidRDefault="009302F0" w:rsidP="00CA09A3">
      <w:pPr>
        <w:pStyle w:val="ActHead2"/>
        <w:ind w:left="0" w:firstLine="0"/>
        <w:rPr>
          <w:rStyle w:val="CharPartNo"/>
          <w:sz w:val="24"/>
          <w:szCs w:val="24"/>
          <w:u w:val="single"/>
        </w:rPr>
      </w:pPr>
      <w:bookmarkStart w:id="2" w:name="_Toc27482936"/>
      <w:r w:rsidRPr="00736D9E">
        <w:rPr>
          <w:rStyle w:val="CharPartNo"/>
          <w:sz w:val="24"/>
          <w:szCs w:val="24"/>
          <w:u w:val="single"/>
        </w:rPr>
        <w:t xml:space="preserve">Details of the </w:t>
      </w:r>
      <w:r w:rsidRPr="00736D9E">
        <w:rPr>
          <w:rStyle w:val="CharPartNo"/>
          <w:i/>
          <w:sz w:val="24"/>
          <w:szCs w:val="24"/>
          <w:u w:val="single"/>
        </w:rPr>
        <w:t>Export Control (Tariff Rate Quotas)</w:t>
      </w:r>
      <w:r w:rsidR="004C7EFF" w:rsidRPr="00736D9E">
        <w:rPr>
          <w:rStyle w:val="CharPartNo"/>
          <w:i/>
          <w:sz w:val="24"/>
          <w:szCs w:val="24"/>
          <w:u w:val="single"/>
        </w:rPr>
        <w:t xml:space="preserve"> </w:t>
      </w:r>
      <w:r w:rsidRPr="00736D9E">
        <w:rPr>
          <w:rStyle w:val="CharPartNo"/>
          <w:i/>
          <w:sz w:val="24"/>
          <w:szCs w:val="24"/>
          <w:u w:val="single"/>
        </w:rPr>
        <w:t>Order 201</w:t>
      </w:r>
      <w:r w:rsidR="0047414E" w:rsidRPr="00736D9E">
        <w:rPr>
          <w:rStyle w:val="CharPartNo"/>
          <w:i/>
          <w:sz w:val="24"/>
          <w:szCs w:val="24"/>
          <w:u w:val="single"/>
        </w:rPr>
        <w:t>9</w:t>
      </w:r>
      <w:bookmarkEnd w:id="2"/>
      <w:r w:rsidRPr="00736D9E">
        <w:rPr>
          <w:rStyle w:val="CharPartNo"/>
          <w:sz w:val="24"/>
          <w:szCs w:val="24"/>
          <w:u w:val="single"/>
        </w:rPr>
        <w:t xml:space="preserve"> </w:t>
      </w:r>
    </w:p>
    <w:p w14:paraId="23205689" w14:textId="56C7A44D" w:rsidR="003A6C42" w:rsidRPr="00FE3AA5" w:rsidRDefault="001E7C2F" w:rsidP="00CA09A3">
      <w:pPr>
        <w:pStyle w:val="ActHead2"/>
        <w:ind w:left="0" w:firstLine="0"/>
        <w:rPr>
          <w:sz w:val="24"/>
          <w:szCs w:val="24"/>
        </w:rPr>
      </w:pPr>
      <w:bookmarkStart w:id="3" w:name="_Toc27482937"/>
      <w:r w:rsidRPr="00FE3AA5">
        <w:rPr>
          <w:rStyle w:val="CharPartNo"/>
          <w:sz w:val="24"/>
          <w:szCs w:val="24"/>
        </w:rPr>
        <w:t>P</w:t>
      </w:r>
      <w:r w:rsidR="003A6C42" w:rsidRPr="00FE3AA5">
        <w:rPr>
          <w:rStyle w:val="CharPartNo"/>
          <w:sz w:val="24"/>
          <w:szCs w:val="24"/>
        </w:rPr>
        <w:t>art 1</w:t>
      </w:r>
      <w:r w:rsidR="003A6C42" w:rsidRPr="00FE3AA5">
        <w:rPr>
          <w:sz w:val="24"/>
          <w:szCs w:val="24"/>
        </w:rPr>
        <w:t>—</w:t>
      </w:r>
      <w:r w:rsidR="003A6C42" w:rsidRPr="00FE3AA5">
        <w:rPr>
          <w:rStyle w:val="CharPartText"/>
          <w:sz w:val="24"/>
          <w:szCs w:val="24"/>
        </w:rPr>
        <w:t>Preliminary</w:t>
      </w:r>
      <w:bookmarkEnd w:id="0"/>
      <w:bookmarkEnd w:id="3"/>
    </w:p>
    <w:p w14:paraId="0B48C131" w14:textId="34F79AB5" w:rsidR="00A90BBB" w:rsidRDefault="003A6C42" w:rsidP="00B04E8B">
      <w:pPr>
        <w:pStyle w:val="ActHead5"/>
        <w:rPr>
          <w:b w:val="0"/>
          <w:szCs w:val="24"/>
          <w:u w:val="single"/>
        </w:rPr>
      </w:pPr>
      <w:bookmarkStart w:id="4" w:name="_Toc461026797"/>
      <w:r w:rsidRPr="002A690D">
        <w:rPr>
          <w:rStyle w:val="CharSectno"/>
          <w:b w:val="0"/>
          <w:szCs w:val="24"/>
          <w:u w:val="single"/>
        </w:rPr>
        <w:t>Section 1</w:t>
      </w:r>
      <w:r w:rsidRPr="002A690D">
        <w:rPr>
          <w:b w:val="0"/>
          <w:szCs w:val="24"/>
          <w:u w:val="single"/>
        </w:rPr>
        <w:t xml:space="preserve"> </w:t>
      </w:r>
      <w:r w:rsidR="00FC265C">
        <w:rPr>
          <w:b w:val="0"/>
          <w:szCs w:val="24"/>
          <w:u w:val="single"/>
        </w:rPr>
        <w:t>–</w:t>
      </w:r>
      <w:r w:rsidRPr="002A690D">
        <w:rPr>
          <w:b w:val="0"/>
          <w:szCs w:val="24"/>
          <w:u w:val="single"/>
        </w:rPr>
        <w:t xml:space="preserve"> Name</w:t>
      </w:r>
      <w:bookmarkEnd w:id="4"/>
    </w:p>
    <w:p w14:paraId="636894AB" w14:textId="77777777" w:rsidR="00FC265C" w:rsidRPr="002E394E" w:rsidRDefault="00FC265C" w:rsidP="002E394E">
      <w:pPr>
        <w:pStyle w:val="subsection"/>
        <w:rPr>
          <w:b/>
        </w:rPr>
      </w:pPr>
    </w:p>
    <w:p w14:paraId="057408FA" w14:textId="6B75B96E" w:rsidR="003A6C42" w:rsidRPr="00644021" w:rsidRDefault="003A6C42" w:rsidP="00EA4FD9">
      <w:pPr>
        <w:spacing w:line="240" w:lineRule="auto"/>
        <w:rPr>
          <w:rFonts w:eastAsia="Times New Roman"/>
          <w:sz w:val="24"/>
          <w:szCs w:val="24"/>
          <w:lang w:eastAsia="en-AU"/>
        </w:rPr>
      </w:pPr>
      <w:r w:rsidRPr="00A90BBB">
        <w:rPr>
          <w:rFonts w:eastAsia="Times New Roman"/>
          <w:sz w:val="24"/>
          <w:szCs w:val="24"/>
          <w:lang w:eastAsia="en-AU"/>
        </w:rPr>
        <w:t xml:space="preserve">This section </w:t>
      </w:r>
      <w:r w:rsidR="001473BC" w:rsidRPr="00A90BBB">
        <w:rPr>
          <w:rFonts w:eastAsia="Times New Roman"/>
          <w:sz w:val="24"/>
          <w:szCs w:val="24"/>
          <w:lang w:eastAsia="en-AU"/>
        </w:rPr>
        <w:t xml:space="preserve">provides that </w:t>
      </w:r>
      <w:r w:rsidRPr="00A90BBB">
        <w:rPr>
          <w:rFonts w:eastAsia="Times New Roman"/>
          <w:sz w:val="24"/>
          <w:szCs w:val="24"/>
          <w:lang w:eastAsia="en-AU"/>
        </w:rPr>
        <w:t xml:space="preserve">the name of the Order is </w:t>
      </w:r>
      <w:r w:rsidR="00644021">
        <w:rPr>
          <w:rFonts w:eastAsia="Times New Roman"/>
          <w:sz w:val="24"/>
          <w:szCs w:val="24"/>
          <w:lang w:eastAsia="en-AU"/>
        </w:rPr>
        <w:t xml:space="preserve">the </w:t>
      </w:r>
      <w:r w:rsidR="00E55609" w:rsidRPr="00C806D7">
        <w:rPr>
          <w:rFonts w:eastAsia="Times New Roman"/>
          <w:i/>
          <w:sz w:val="24"/>
          <w:szCs w:val="24"/>
          <w:lang w:eastAsia="en-AU"/>
        </w:rPr>
        <w:t>Export Control (Tariff Rate Quotas) Order 201</w:t>
      </w:r>
      <w:r w:rsidR="0047414E" w:rsidRPr="00C806D7">
        <w:rPr>
          <w:rFonts w:eastAsia="Times New Roman"/>
          <w:i/>
          <w:sz w:val="24"/>
          <w:szCs w:val="24"/>
          <w:lang w:eastAsia="en-AU"/>
        </w:rPr>
        <w:t>9</w:t>
      </w:r>
      <w:r w:rsidRPr="00644021">
        <w:rPr>
          <w:rFonts w:eastAsia="Times New Roman"/>
          <w:sz w:val="24"/>
          <w:szCs w:val="24"/>
          <w:lang w:eastAsia="en-AU"/>
        </w:rPr>
        <w:t>.</w:t>
      </w:r>
    </w:p>
    <w:p w14:paraId="01283DDC" w14:textId="4BC0199B" w:rsidR="00A90BBB" w:rsidRDefault="003A6C42" w:rsidP="00B04E8B">
      <w:pPr>
        <w:pStyle w:val="ActHead5"/>
        <w:rPr>
          <w:b w:val="0"/>
          <w:szCs w:val="24"/>
          <w:u w:val="single"/>
        </w:rPr>
      </w:pPr>
      <w:bookmarkStart w:id="5" w:name="_Toc461026798"/>
      <w:r w:rsidRPr="002A690D">
        <w:rPr>
          <w:rStyle w:val="CharSectno"/>
          <w:b w:val="0"/>
          <w:szCs w:val="24"/>
          <w:u w:val="single"/>
        </w:rPr>
        <w:t>Section 2</w:t>
      </w:r>
      <w:r w:rsidRPr="002A690D">
        <w:rPr>
          <w:b w:val="0"/>
          <w:szCs w:val="24"/>
          <w:u w:val="single"/>
        </w:rPr>
        <w:t xml:space="preserve"> </w:t>
      </w:r>
      <w:r w:rsidR="00FC265C">
        <w:rPr>
          <w:b w:val="0"/>
          <w:szCs w:val="24"/>
          <w:u w:val="single"/>
        </w:rPr>
        <w:t>–</w:t>
      </w:r>
      <w:r w:rsidRPr="002A690D">
        <w:rPr>
          <w:b w:val="0"/>
          <w:szCs w:val="24"/>
          <w:u w:val="single"/>
        </w:rPr>
        <w:t xml:space="preserve"> Commencement</w:t>
      </w:r>
      <w:bookmarkEnd w:id="5"/>
    </w:p>
    <w:p w14:paraId="30FA1EED" w14:textId="77777777" w:rsidR="00FC265C" w:rsidRPr="002E394E" w:rsidRDefault="00FC265C" w:rsidP="002E394E">
      <w:pPr>
        <w:pStyle w:val="subsection"/>
        <w:rPr>
          <w:b/>
        </w:rPr>
      </w:pPr>
    </w:p>
    <w:p w14:paraId="38DB8241" w14:textId="0152F599" w:rsidR="003B67ED" w:rsidRDefault="00DC262C" w:rsidP="00EA4FD9">
      <w:pPr>
        <w:spacing w:line="240" w:lineRule="auto"/>
        <w:rPr>
          <w:rFonts w:eastAsia="Times New Roman"/>
          <w:sz w:val="24"/>
          <w:szCs w:val="24"/>
          <w:lang w:eastAsia="en-AU"/>
        </w:rPr>
      </w:pPr>
      <w:r w:rsidRPr="00A90BBB">
        <w:rPr>
          <w:rFonts w:eastAsia="Times New Roman"/>
          <w:sz w:val="24"/>
          <w:szCs w:val="24"/>
          <w:lang w:eastAsia="en-AU"/>
        </w:rPr>
        <w:t xml:space="preserve">This section </w:t>
      </w:r>
      <w:r w:rsidR="00705481" w:rsidRPr="00A90BBB">
        <w:rPr>
          <w:rFonts w:eastAsia="Times New Roman"/>
          <w:sz w:val="24"/>
          <w:szCs w:val="24"/>
          <w:lang w:eastAsia="en-AU"/>
        </w:rPr>
        <w:t>provides that</w:t>
      </w:r>
      <w:r w:rsidRPr="00A90BBB">
        <w:rPr>
          <w:rFonts w:eastAsia="Times New Roman"/>
          <w:sz w:val="24"/>
          <w:szCs w:val="24"/>
          <w:lang w:eastAsia="en-AU"/>
        </w:rPr>
        <w:t xml:space="preserve"> the Order is to commence </w:t>
      </w:r>
      <w:r w:rsidR="00A50932">
        <w:rPr>
          <w:rFonts w:eastAsia="Times New Roman"/>
          <w:sz w:val="24"/>
          <w:szCs w:val="24"/>
          <w:lang w:eastAsia="en-AU"/>
        </w:rPr>
        <w:t>the</w:t>
      </w:r>
      <w:r w:rsidRPr="00A90BBB">
        <w:rPr>
          <w:rFonts w:eastAsia="Times New Roman"/>
          <w:sz w:val="24"/>
          <w:szCs w:val="24"/>
          <w:lang w:eastAsia="en-AU"/>
        </w:rPr>
        <w:t xml:space="preserve"> day </w:t>
      </w:r>
      <w:r w:rsidR="00340CF3" w:rsidRPr="00A90BBB">
        <w:rPr>
          <w:rFonts w:eastAsia="Times New Roman"/>
          <w:sz w:val="24"/>
          <w:szCs w:val="24"/>
          <w:lang w:eastAsia="en-AU"/>
        </w:rPr>
        <w:t>after</w:t>
      </w:r>
      <w:r w:rsidR="00340CF3">
        <w:rPr>
          <w:rFonts w:eastAsia="Times New Roman"/>
          <w:sz w:val="24"/>
          <w:szCs w:val="24"/>
          <w:lang w:eastAsia="en-AU"/>
        </w:rPr>
        <w:t xml:space="preserve"> </w:t>
      </w:r>
      <w:r w:rsidR="00644021">
        <w:rPr>
          <w:rFonts w:eastAsia="Times New Roman"/>
          <w:sz w:val="24"/>
          <w:szCs w:val="24"/>
          <w:lang w:eastAsia="en-AU"/>
        </w:rPr>
        <w:t>it</w:t>
      </w:r>
      <w:r w:rsidRPr="00A90BBB">
        <w:rPr>
          <w:rFonts w:eastAsia="Times New Roman"/>
          <w:sz w:val="24"/>
          <w:szCs w:val="24"/>
          <w:lang w:eastAsia="en-AU"/>
        </w:rPr>
        <w:t xml:space="preserve"> is registered</w:t>
      </w:r>
      <w:r w:rsidR="00A50932">
        <w:rPr>
          <w:rFonts w:eastAsia="Times New Roman"/>
          <w:sz w:val="24"/>
          <w:szCs w:val="24"/>
          <w:lang w:eastAsia="en-AU"/>
        </w:rPr>
        <w:t>.</w:t>
      </w:r>
      <w:r w:rsidR="00844AE6">
        <w:rPr>
          <w:rFonts w:eastAsia="Times New Roman"/>
          <w:sz w:val="24"/>
          <w:szCs w:val="24"/>
          <w:lang w:eastAsia="en-AU"/>
        </w:rPr>
        <w:t xml:space="preserve"> </w:t>
      </w:r>
    </w:p>
    <w:p w14:paraId="7FD9D837" w14:textId="4B8C3905" w:rsidR="00A90BBB" w:rsidRDefault="003A6C42" w:rsidP="00B04E8B">
      <w:pPr>
        <w:pStyle w:val="ActHead5"/>
        <w:rPr>
          <w:b w:val="0"/>
          <w:szCs w:val="24"/>
          <w:u w:val="single"/>
        </w:rPr>
      </w:pPr>
      <w:bookmarkStart w:id="6" w:name="_Toc461026799"/>
      <w:r w:rsidRPr="002A690D">
        <w:rPr>
          <w:rStyle w:val="CharSectno"/>
          <w:b w:val="0"/>
          <w:szCs w:val="24"/>
          <w:u w:val="single"/>
        </w:rPr>
        <w:t>Section 3</w:t>
      </w:r>
      <w:r w:rsidRPr="002A690D">
        <w:rPr>
          <w:b w:val="0"/>
          <w:szCs w:val="24"/>
          <w:u w:val="single"/>
        </w:rPr>
        <w:t xml:space="preserve"> </w:t>
      </w:r>
      <w:r w:rsidR="00FC265C">
        <w:rPr>
          <w:b w:val="0"/>
          <w:szCs w:val="24"/>
          <w:u w:val="single"/>
        </w:rPr>
        <w:t>–</w:t>
      </w:r>
      <w:r w:rsidRPr="002A690D">
        <w:rPr>
          <w:b w:val="0"/>
          <w:szCs w:val="24"/>
          <w:u w:val="single"/>
        </w:rPr>
        <w:t xml:space="preserve"> Authority</w:t>
      </w:r>
      <w:bookmarkEnd w:id="6"/>
    </w:p>
    <w:p w14:paraId="5CDF24B3" w14:textId="77777777" w:rsidR="00FC265C" w:rsidRPr="002E394E" w:rsidRDefault="00FC265C" w:rsidP="002E394E">
      <w:pPr>
        <w:pStyle w:val="subsection"/>
        <w:rPr>
          <w:b/>
        </w:rPr>
      </w:pPr>
    </w:p>
    <w:p w14:paraId="411B2DAE" w14:textId="4D129A08" w:rsidR="003A6C42" w:rsidRPr="00A90BBB" w:rsidRDefault="00DC262C" w:rsidP="00EA4FD9">
      <w:pPr>
        <w:spacing w:line="240" w:lineRule="auto"/>
        <w:rPr>
          <w:sz w:val="24"/>
          <w:szCs w:val="24"/>
        </w:rPr>
      </w:pPr>
      <w:r w:rsidRPr="00A90BBB">
        <w:rPr>
          <w:rFonts w:eastAsia="Times New Roman"/>
          <w:sz w:val="24"/>
          <w:szCs w:val="24"/>
          <w:lang w:eastAsia="en-AU"/>
        </w:rPr>
        <w:t xml:space="preserve">This section </w:t>
      </w:r>
      <w:r w:rsidR="00705481" w:rsidRPr="00A90BBB">
        <w:rPr>
          <w:rFonts w:eastAsia="Times New Roman"/>
          <w:sz w:val="24"/>
          <w:szCs w:val="24"/>
          <w:lang w:eastAsia="en-AU"/>
        </w:rPr>
        <w:t>provides that</w:t>
      </w:r>
      <w:r w:rsidRPr="00A90BBB">
        <w:rPr>
          <w:rFonts w:eastAsia="Times New Roman"/>
          <w:sz w:val="24"/>
          <w:szCs w:val="24"/>
          <w:lang w:eastAsia="en-AU"/>
        </w:rPr>
        <w:t xml:space="preserve"> the Order is made under section 23A of the </w:t>
      </w:r>
      <w:r w:rsidRPr="00A90BBB">
        <w:rPr>
          <w:rFonts w:eastAsia="Times New Roman"/>
          <w:i/>
          <w:sz w:val="24"/>
          <w:szCs w:val="24"/>
          <w:lang w:eastAsia="en-AU"/>
        </w:rPr>
        <w:t>Export Control Act 1982</w:t>
      </w:r>
      <w:r w:rsidRPr="00A90BBB">
        <w:rPr>
          <w:rFonts w:eastAsia="Times New Roman"/>
          <w:sz w:val="24"/>
          <w:szCs w:val="24"/>
          <w:lang w:eastAsia="en-AU"/>
        </w:rPr>
        <w:t>.</w:t>
      </w:r>
    </w:p>
    <w:p w14:paraId="4AB4326B" w14:textId="55373705" w:rsidR="003A6C42" w:rsidRDefault="003A6C42" w:rsidP="003A6C42">
      <w:pPr>
        <w:pStyle w:val="ActHead5"/>
        <w:rPr>
          <w:b w:val="0"/>
          <w:szCs w:val="24"/>
          <w:u w:val="single"/>
        </w:rPr>
      </w:pPr>
      <w:bookmarkStart w:id="7" w:name="_Toc461026800"/>
      <w:r w:rsidRPr="002A690D">
        <w:rPr>
          <w:rStyle w:val="CharSectno"/>
          <w:b w:val="0"/>
          <w:szCs w:val="24"/>
          <w:u w:val="single"/>
        </w:rPr>
        <w:t>Section 4</w:t>
      </w:r>
      <w:r w:rsidRPr="002A690D">
        <w:rPr>
          <w:b w:val="0"/>
          <w:szCs w:val="24"/>
          <w:u w:val="single"/>
        </w:rPr>
        <w:t xml:space="preserve"> </w:t>
      </w:r>
      <w:r w:rsidR="00FC265C">
        <w:rPr>
          <w:b w:val="0"/>
          <w:szCs w:val="24"/>
          <w:u w:val="single"/>
        </w:rPr>
        <w:t>–</w:t>
      </w:r>
      <w:r w:rsidRPr="002A690D">
        <w:rPr>
          <w:b w:val="0"/>
          <w:szCs w:val="24"/>
          <w:u w:val="single"/>
        </w:rPr>
        <w:t xml:space="preserve"> </w:t>
      </w:r>
      <w:bookmarkEnd w:id="7"/>
      <w:r w:rsidR="00A50932" w:rsidRPr="002A690D">
        <w:rPr>
          <w:b w:val="0"/>
          <w:szCs w:val="24"/>
          <w:u w:val="single"/>
        </w:rPr>
        <w:t>Schedules</w:t>
      </w:r>
    </w:p>
    <w:p w14:paraId="1BDDFE41" w14:textId="77777777" w:rsidR="00FC265C" w:rsidRPr="002E394E" w:rsidRDefault="00FC265C" w:rsidP="002E394E">
      <w:pPr>
        <w:pStyle w:val="subsection"/>
        <w:rPr>
          <w:b/>
        </w:rPr>
      </w:pPr>
    </w:p>
    <w:p w14:paraId="36340E0B" w14:textId="151066FF" w:rsidR="002A1329" w:rsidRDefault="003A6C42" w:rsidP="00EA4FD9">
      <w:pPr>
        <w:spacing w:line="240" w:lineRule="auto"/>
        <w:rPr>
          <w:rFonts w:eastAsia="Times New Roman"/>
          <w:sz w:val="24"/>
          <w:szCs w:val="24"/>
          <w:lang w:eastAsia="en-AU"/>
        </w:rPr>
      </w:pPr>
      <w:r w:rsidRPr="00A90BBB">
        <w:rPr>
          <w:rFonts w:eastAsia="Times New Roman"/>
          <w:sz w:val="24"/>
          <w:szCs w:val="24"/>
          <w:lang w:eastAsia="en-AU"/>
        </w:rPr>
        <w:t>This</w:t>
      </w:r>
      <w:r w:rsidR="004A5344">
        <w:rPr>
          <w:rFonts w:eastAsia="Times New Roman"/>
          <w:sz w:val="24"/>
          <w:szCs w:val="24"/>
          <w:lang w:eastAsia="en-AU"/>
        </w:rPr>
        <w:t xml:space="preserve"> </w:t>
      </w:r>
      <w:r w:rsidR="00A50932">
        <w:rPr>
          <w:rFonts w:eastAsia="Times New Roman"/>
          <w:sz w:val="24"/>
          <w:szCs w:val="24"/>
          <w:lang w:eastAsia="en-AU"/>
        </w:rPr>
        <w:t>section provides that each instrument</w:t>
      </w:r>
      <w:r w:rsidR="00FC265C">
        <w:rPr>
          <w:rFonts w:eastAsia="Times New Roman"/>
          <w:sz w:val="24"/>
          <w:szCs w:val="24"/>
          <w:lang w:eastAsia="en-AU"/>
        </w:rPr>
        <w:t xml:space="preserve"> as</w:t>
      </w:r>
      <w:r w:rsidR="00A50932">
        <w:rPr>
          <w:rFonts w:eastAsia="Times New Roman"/>
          <w:sz w:val="24"/>
          <w:szCs w:val="24"/>
          <w:lang w:eastAsia="en-AU"/>
        </w:rPr>
        <w:t xml:space="preserve"> set out in the</w:t>
      </w:r>
      <w:r w:rsidR="00FC265C">
        <w:rPr>
          <w:rFonts w:eastAsia="Times New Roman"/>
          <w:sz w:val="24"/>
          <w:szCs w:val="24"/>
          <w:lang w:eastAsia="en-AU"/>
        </w:rPr>
        <w:t xml:space="preserve"> applicable items in the</w:t>
      </w:r>
      <w:r w:rsidR="00A50932">
        <w:rPr>
          <w:rFonts w:eastAsia="Times New Roman"/>
          <w:sz w:val="24"/>
          <w:szCs w:val="24"/>
          <w:lang w:eastAsia="en-AU"/>
        </w:rPr>
        <w:t xml:space="preserve"> Schedule is amended as per the terms of the Schedule itself.</w:t>
      </w:r>
    </w:p>
    <w:p w14:paraId="021ECB58" w14:textId="4D680844" w:rsidR="002A1329" w:rsidRDefault="002A1329" w:rsidP="002A1329">
      <w:pPr>
        <w:pStyle w:val="ActHead5"/>
        <w:rPr>
          <w:b w:val="0"/>
          <w:szCs w:val="24"/>
          <w:u w:val="single"/>
        </w:rPr>
      </w:pPr>
      <w:r w:rsidRPr="002A690D">
        <w:rPr>
          <w:rStyle w:val="CharSectno"/>
          <w:b w:val="0"/>
          <w:szCs w:val="24"/>
          <w:u w:val="single"/>
        </w:rPr>
        <w:t>Section 5</w:t>
      </w:r>
      <w:r w:rsidRPr="002A690D">
        <w:rPr>
          <w:b w:val="0"/>
          <w:szCs w:val="24"/>
          <w:u w:val="single"/>
        </w:rPr>
        <w:t xml:space="preserve"> - Purpose of this instrument</w:t>
      </w:r>
    </w:p>
    <w:p w14:paraId="2510DCA6" w14:textId="77777777" w:rsidR="00FC265C" w:rsidRPr="002E394E" w:rsidRDefault="00FC265C" w:rsidP="002E394E">
      <w:pPr>
        <w:pStyle w:val="subsection"/>
        <w:rPr>
          <w:b/>
        </w:rPr>
      </w:pPr>
    </w:p>
    <w:p w14:paraId="726BAECE" w14:textId="3E030C49" w:rsidR="002A1329" w:rsidRPr="00A90BBB" w:rsidRDefault="002A1329" w:rsidP="002A1329">
      <w:pPr>
        <w:spacing w:line="240" w:lineRule="auto"/>
        <w:rPr>
          <w:sz w:val="24"/>
          <w:szCs w:val="24"/>
        </w:rPr>
      </w:pPr>
      <w:r w:rsidRPr="00A90BBB">
        <w:rPr>
          <w:rFonts w:eastAsia="Times New Roman"/>
          <w:sz w:val="24"/>
          <w:szCs w:val="24"/>
          <w:lang w:eastAsia="en-AU"/>
        </w:rPr>
        <w:t>This</w:t>
      </w:r>
      <w:r>
        <w:rPr>
          <w:rFonts w:eastAsia="Times New Roman"/>
          <w:sz w:val="24"/>
          <w:szCs w:val="24"/>
          <w:lang w:eastAsia="en-AU"/>
        </w:rPr>
        <w:t xml:space="preserve"> section provides </w:t>
      </w:r>
      <w:r w:rsidR="00FC265C">
        <w:rPr>
          <w:rFonts w:eastAsia="Times New Roman"/>
          <w:sz w:val="24"/>
          <w:szCs w:val="24"/>
          <w:lang w:eastAsia="en-AU"/>
        </w:rPr>
        <w:t xml:space="preserve">that </w:t>
      </w:r>
      <w:r w:rsidR="00F9487B">
        <w:rPr>
          <w:rFonts w:eastAsia="Times New Roman"/>
          <w:sz w:val="24"/>
          <w:szCs w:val="24"/>
          <w:lang w:eastAsia="en-AU"/>
        </w:rPr>
        <w:t>the</w:t>
      </w:r>
      <w:r w:rsidR="00FC265C">
        <w:rPr>
          <w:rFonts w:eastAsia="Times New Roman"/>
          <w:sz w:val="24"/>
          <w:szCs w:val="24"/>
          <w:lang w:eastAsia="en-AU"/>
        </w:rPr>
        <w:t xml:space="preserve"> purpose</w:t>
      </w:r>
      <w:r w:rsidR="00F9487B">
        <w:rPr>
          <w:rFonts w:eastAsia="Times New Roman"/>
          <w:sz w:val="24"/>
          <w:szCs w:val="24"/>
          <w:lang w:eastAsia="en-AU"/>
        </w:rPr>
        <w:t xml:space="preserve"> of the Order as relating to the establishment and administration of tariff rate quotas for </w:t>
      </w:r>
      <w:r w:rsidR="00E73728">
        <w:rPr>
          <w:rFonts w:eastAsia="Times New Roman"/>
          <w:sz w:val="24"/>
          <w:szCs w:val="24"/>
          <w:lang w:eastAsia="en-AU"/>
        </w:rPr>
        <w:t>the export of goods</w:t>
      </w:r>
      <w:r w:rsidR="00FD7155" w:rsidRPr="00E73728">
        <w:rPr>
          <w:rFonts w:eastAsia="Times New Roman"/>
          <w:sz w:val="24"/>
          <w:szCs w:val="24"/>
          <w:lang w:eastAsia="en-AU"/>
        </w:rPr>
        <w:t>.</w:t>
      </w:r>
    </w:p>
    <w:p w14:paraId="23B59959" w14:textId="2B11E7FB" w:rsidR="002A1329" w:rsidRDefault="002A1329" w:rsidP="002A1329">
      <w:pPr>
        <w:pStyle w:val="ActHead5"/>
        <w:rPr>
          <w:b w:val="0"/>
          <w:szCs w:val="24"/>
          <w:u w:val="single"/>
        </w:rPr>
      </w:pPr>
      <w:r w:rsidRPr="002A690D">
        <w:rPr>
          <w:rStyle w:val="CharSectno"/>
          <w:b w:val="0"/>
          <w:szCs w:val="24"/>
          <w:u w:val="single"/>
        </w:rPr>
        <w:t>Section 6</w:t>
      </w:r>
      <w:r w:rsidRPr="002A690D">
        <w:rPr>
          <w:b w:val="0"/>
          <w:szCs w:val="24"/>
          <w:u w:val="single"/>
        </w:rPr>
        <w:t xml:space="preserve"> </w:t>
      </w:r>
      <w:r w:rsidR="00FC265C">
        <w:rPr>
          <w:b w:val="0"/>
          <w:szCs w:val="24"/>
          <w:u w:val="single"/>
        </w:rPr>
        <w:t>–</w:t>
      </w:r>
      <w:r w:rsidRPr="002A690D">
        <w:rPr>
          <w:b w:val="0"/>
          <w:szCs w:val="24"/>
          <w:u w:val="single"/>
        </w:rPr>
        <w:t xml:space="preserve"> Definitions</w:t>
      </w:r>
    </w:p>
    <w:p w14:paraId="12ED8F38" w14:textId="77777777" w:rsidR="00FC265C" w:rsidRPr="002E394E" w:rsidRDefault="00FC265C" w:rsidP="002E394E">
      <w:pPr>
        <w:pStyle w:val="subsection"/>
        <w:rPr>
          <w:b/>
        </w:rPr>
      </w:pPr>
    </w:p>
    <w:p w14:paraId="0FF6F2FB" w14:textId="6952F594" w:rsidR="00E93DE3" w:rsidRPr="00BF0681" w:rsidRDefault="002A1329" w:rsidP="002D41A7">
      <w:pPr>
        <w:spacing w:line="240" w:lineRule="auto"/>
      </w:pPr>
      <w:r w:rsidRPr="0057061D">
        <w:rPr>
          <w:rFonts w:eastAsia="Times New Roman"/>
          <w:sz w:val="24"/>
          <w:szCs w:val="24"/>
          <w:lang w:eastAsia="en-AU"/>
        </w:rPr>
        <w:t xml:space="preserve">This section provides </w:t>
      </w:r>
      <w:r w:rsidR="00F9487B" w:rsidRPr="0057061D">
        <w:rPr>
          <w:rFonts w:eastAsia="Times New Roman"/>
          <w:sz w:val="24"/>
          <w:szCs w:val="24"/>
          <w:lang w:eastAsia="en-AU"/>
        </w:rPr>
        <w:t>definitions of terms used within the Order</w:t>
      </w:r>
      <w:r w:rsidR="00510484" w:rsidRPr="0057061D">
        <w:rPr>
          <w:rFonts w:eastAsia="Times New Roman"/>
          <w:sz w:val="24"/>
          <w:szCs w:val="24"/>
          <w:lang w:eastAsia="en-AU"/>
        </w:rPr>
        <w:t>.</w:t>
      </w:r>
    </w:p>
    <w:p w14:paraId="3F867567" w14:textId="26B36399" w:rsidR="0053168C" w:rsidRDefault="00E93DE3" w:rsidP="00575E15">
      <w:pPr>
        <w:pStyle w:val="Definition"/>
        <w:ind w:left="0"/>
        <w:rPr>
          <w:sz w:val="24"/>
          <w:szCs w:val="24"/>
        </w:rPr>
      </w:pPr>
      <w:proofErr w:type="gramStart"/>
      <w:r w:rsidRPr="00BF0681">
        <w:rPr>
          <w:b/>
          <w:i/>
          <w:sz w:val="24"/>
          <w:szCs w:val="24"/>
        </w:rPr>
        <w:t>additional</w:t>
      </w:r>
      <w:proofErr w:type="gramEnd"/>
      <w:r w:rsidRPr="00BF0681">
        <w:rPr>
          <w:b/>
          <w:i/>
          <w:sz w:val="24"/>
          <w:szCs w:val="24"/>
        </w:rPr>
        <w:t xml:space="preserve"> U.S. note</w:t>
      </w:r>
      <w:r w:rsidRPr="00BF0681">
        <w:rPr>
          <w:sz w:val="24"/>
          <w:szCs w:val="24"/>
        </w:rPr>
        <w:t xml:space="preserve"> means an additional U.S. note to chapter 4 of th</w:t>
      </w:r>
      <w:r w:rsidR="0053168C">
        <w:rPr>
          <w:sz w:val="24"/>
          <w:szCs w:val="24"/>
        </w:rPr>
        <w:t>e US Harmonized Tariff Schedule.  The Harmonized Tariff Schedule could in 2019 be viewed on the United States International Trade Commission website (</w:t>
      </w:r>
      <w:r w:rsidR="0053168C" w:rsidRPr="0053168C">
        <w:rPr>
          <w:sz w:val="24"/>
          <w:szCs w:val="24"/>
        </w:rPr>
        <w:t>https://hts.usitc.gov/current</w:t>
      </w:r>
      <w:r w:rsidR="0053168C">
        <w:rPr>
          <w:sz w:val="24"/>
          <w:szCs w:val="24"/>
        </w:rPr>
        <w:t>).</w:t>
      </w:r>
    </w:p>
    <w:p w14:paraId="012FA354" w14:textId="0C310155" w:rsidR="00575E15" w:rsidRPr="00575E15" w:rsidRDefault="00575E15" w:rsidP="00575E15">
      <w:pPr>
        <w:pStyle w:val="Definition"/>
        <w:ind w:left="0"/>
        <w:rPr>
          <w:sz w:val="24"/>
          <w:szCs w:val="24"/>
        </w:rPr>
      </w:pPr>
      <w:r w:rsidRPr="00575E15">
        <w:rPr>
          <w:sz w:val="24"/>
          <w:szCs w:val="24"/>
        </w:rPr>
        <w:t xml:space="preserve">Paragraph 25(5)(aba) of the Export Control Act </w:t>
      </w:r>
      <w:r w:rsidR="00FC265C">
        <w:rPr>
          <w:sz w:val="24"/>
          <w:szCs w:val="24"/>
        </w:rPr>
        <w:t xml:space="preserve">relevantly </w:t>
      </w:r>
      <w:r w:rsidRPr="00575E15">
        <w:rPr>
          <w:sz w:val="24"/>
          <w:szCs w:val="24"/>
        </w:rPr>
        <w:t>permits an order made under that Act to  apply, adopt or incorporate any matter contained in any instrument or writing that:</w:t>
      </w:r>
    </w:p>
    <w:p w14:paraId="34D98102" w14:textId="77777777" w:rsidR="002E394E" w:rsidRDefault="00575E15" w:rsidP="000F6D46">
      <w:pPr>
        <w:pStyle w:val="ListParagraph"/>
        <w:numPr>
          <w:ilvl w:val="0"/>
          <w:numId w:val="56"/>
        </w:numPr>
        <w:spacing w:line="240" w:lineRule="auto"/>
        <w:rPr>
          <w:sz w:val="24"/>
          <w:szCs w:val="24"/>
        </w:rPr>
      </w:pPr>
      <w:r w:rsidRPr="002E394E">
        <w:rPr>
          <w:sz w:val="24"/>
          <w:szCs w:val="24"/>
        </w:rPr>
        <w:t>sets out, or provides a method for calculating, the tariff rate quota for the importation of goods into a country; and</w:t>
      </w:r>
    </w:p>
    <w:p w14:paraId="6C21547F" w14:textId="1736EDB0" w:rsidR="00575E15" w:rsidRPr="002E394E" w:rsidRDefault="00575E15" w:rsidP="000F6D46">
      <w:pPr>
        <w:pStyle w:val="ListParagraph"/>
        <w:numPr>
          <w:ilvl w:val="0"/>
          <w:numId w:val="56"/>
        </w:numPr>
        <w:spacing w:line="240" w:lineRule="auto"/>
        <w:rPr>
          <w:sz w:val="24"/>
          <w:szCs w:val="24"/>
        </w:rPr>
      </w:pPr>
      <w:r w:rsidRPr="002E394E">
        <w:rPr>
          <w:sz w:val="24"/>
          <w:szCs w:val="24"/>
        </w:rPr>
        <w:t>is made by the authority or body in that country responsible for regulating the importation of goods into that country;</w:t>
      </w:r>
    </w:p>
    <w:p w14:paraId="5F0701E8" w14:textId="3D75C790" w:rsidR="00575E15" w:rsidRPr="00575E15" w:rsidRDefault="00575E15" w:rsidP="00575E15">
      <w:pPr>
        <w:spacing w:line="240" w:lineRule="auto"/>
        <w:rPr>
          <w:sz w:val="24"/>
          <w:szCs w:val="24"/>
        </w:rPr>
      </w:pPr>
      <w:proofErr w:type="gramStart"/>
      <w:r w:rsidRPr="00575E15">
        <w:rPr>
          <w:sz w:val="24"/>
          <w:szCs w:val="24"/>
        </w:rPr>
        <w:t>as</w:t>
      </w:r>
      <w:proofErr w:type="gramEnd"/>
      <w:r w:rsidRPr="00575E15">
        <w:rPr>
          <w:sz w:val="24"/>
          <w:szCs w:val="24"/>
        </w:rPr>
        <w:t xml:space="preserve"> in force at a particular time or as in force from time to time.</w:t>
      </w:r>
    </w:p>
    <w:p w14:paraId="09DEBCA8" w14:textId="689BD3FF" w:rsidR="00575E15" w:rsidRPr="00575E15" w:rsidRDefault="00575E15" w:rsidP="00575E15">
      <w:pPr>
        <w:pStyle w:val="Definition"/>
        <w:ind w:left="0"/>
        <w:rPr>
          <w:sz w:val="24"/>
          <w:szCs w:val="24"/>
        </w:rPr>
      </w:pPr>
      <w:r w:rsidRPr="00A90BBB">
        <w:rPr>
          <w:sz w:val="24"/>
          <w:szCs w:val="24"/>
          <w:lang w:eastAsia="en-US"/>
        </w:rPr>
        <w:lastRenderedPageBreak/>
        <w:t xml:space="preserve">Here, the relevant regulation (the Harmonized Tariff Schedule) sets out </w:t>
      </w:r>
      <w:r w:rsidRPr="00F32E84">
        <w:rPr>
          <w:sz w:val="24"/>
          <w:szCs w:val="24"/>
          <w:lang w:eastAsia="en-US"/>
        </w:rPr>
        <w:t>tariff rate quotas for the importation of goods into the USA and so would meet the r</w:t>
      </w:r>
      <w:r>
        <w:rPr>
          <w:sz w:val="24"/>
          <w:szCs w:val="24"/>
          <w:lang w:eastAsia="en-US"/>
        </w:rPr>
        <w:t>equirements of subparagraph (</w:t>
      </w:r>
      <w:proofErr w:type="spellStart"/>
      <w:r>
        <w:rPr>
          <w:sz w:val="24"/>
          <w:szCs w:val="24"/>
          <w:lang w:eastAsia="en-US"/>
        </w:rPr>
        <w:t>i</w:t>
      </w:r>
      <w:proofErr w:type="spellEnd"/>
      <w:r>
        <w:rPr>
          <w:sz w:val="24"/>
          <w:szCs w:val="24"/>
          <w:lang w:eastAsia="en-US"/>
        </w:rPr>
        <w:t xml:space="preserve">). </w:t>
      </w:r>
      <w:r w:rsidRPr="00F05F76">
        <w:rPr>
          <w:sz w:val="24"/>
          <w:szCs w:val="24"/>
          <w:lang w:eastAsia="en-US"/>
        </w:rPr>
        <w:t>In relation to the ‘authority in that country’, the United States International Trade Commission is the rele</w:t>
      </w:r>
      <w:r w:rsidR="0053168C">
        <w:rPr>
          <w:sz w:val="24"/>
          <w:szCs w:val="24"/>
          <w:lang w:eastAsia="en-US"/>
        </w:rPr>
        <w:t>vant US body</w:t>
      </w:r>
      <w:r w:rsidRPr="00F05F76">
        <w:rPr>
          <w:sz w:val="24"/>
          <w:szCs w:val="24"/>
          <w:lang w:eastAsia="en-US"/>
        </w:rPr>
        <w:t xml:space="preserve"> regarding customs tariffs for imported goods</w:t>
      </w:r>
      <w:r w:rsidRPr="00A90BBB">
        <w:rPr>
          <w:sz w:val="24"/>
          <w:szCs w:val="24"/>
          <w:lang w:eastAsia="en-US"/>
        </w:rPr>
        <w:t>, so is regarded as meeting the description in subparagraph (ii).</w:t>
      </w:r>
      <w:r w:rsidRPr="00575E15">
        <w:rPr>
          <w:sz w:val="24"/>
          <w:szCs w:val="24"/>
        </w:rPr>
        <w:t xml:space="preserve"> </w:t>
      </w:r>
    </w:p>
    <w:p w14:paraId="3303488E" w14:textId="68FD4267" w:rsidR="007F4B7E" w:rsidRDefault="007F4B7E" w:rsidP="00BF0681">
      <w:pPr>
        <w:pStyle w:val="Definition"/>
        <w:ind w:left="0"/>
        <w:rPr>
          <w:b/>
          <w:i/>
          <w:sz w:val="24"/>
          <w:szCs w:val="24"/>
        </w:rPr>
      </w:pPr>
      <w:proofErr w:type="gramStart"/>
      <w:r>
        <w:rPr>
          <w:b/>
          <w:i/>
          <w:sz w:val="24"/>
          <w:szCs w:val="24"/>
        </w:rPr>
        <w:t>adjusted</w:t>
      </w:r>
      <w:proofErr w:type="gramEnd"/>
      <w:r>
        <w:rPr>
          <w:b/>
          <w:i/>
          <w:sz w:val="24"/>
          <w:szCs w:val="24"/>
        </w:rPr>
        <w:t xml:space="preserve"> individual entitlement</w:t>
      </w:r>
      <w:r>
        <w:rPr>
          <w:sz w:val="24"/>
          <w:szCs w:val="24"/>
        </w:rPr>
        <w:t>: see subsection 32(3)</w:t>
      </w:r>
      <w:r w:rsidR="002E394E">
        <w:rPr>
          <w:sz w:val="24"/>
          <w:szCs w:val="24"/>
        </w:rPr>
        <w:t>.</w:t>
      </w:r>
    </w:p>
    <w:p w14:paraId="5B096081" w14:textId="77777777" w:rsidR="00E93DE3" w:rsidRPr="00575E15" w:rsidRDefault="00E93DE3" w:rsidP="00BF0681">
      <w:pPr>
        <w:pStyle w:val="Definition"/>
        <w:ind w:left="0"/>
        <w:rPr>
          <w:sz w:val="24"/>
          <w:szCs w:val="24"/>
        </w:rPr>
      </w:pPr>
      <w:proofErr w:type="gramStart"/>
      <w:r w:rsidRPr="00575E15">
        <w:rPr>
          <w:b/>
          <w:i/>
          <w:sz w:val="24"/>
          <w:szCs w:val="24"/>
        </w:rPr>
        <w:t>allocation</w:t>
      </w:r>
      <w:proofErr w:type="gramEnd"/>
      <w:r w:rsidRPr="00575E15">
        <w:rPr>
          <w:b/>
          <w:i/>
          <w:sz w:val="24"/>
          <w:szCs w:val="24"/>
        </w:rPr>
        <w:t xml:space="preserve"> method</w:t>
      </w:r>
      <w:r w:rsidRPr="00575E15">
        <w:rPr>
          <w:sz w:val="24"/>
          <w:szCs w:val="24"/>
        </w:rPr>
        <w:t xml:space="preserve"> means the method set out in Part 3 of Chapter 2.</w:t>
      </w:r>
    </w:p>
    <w:p w14:paraId="11C82E8D" w14:textId="56E9486D" w:rsidR="00E93DE3" w:rsidRPr="00BF0681" w:rsidRDefault="00E93DE3" w:rsidP="00BF0681">
      <w:pPr>
        <w:pStyle w:val="Definition"/>
        <w:ind w:left="0"/>
        <w:rPr>
          <w:sz w:val="24"/>
          <w:szCs w:val="24"/>
        </w:rPr>
      </w:pPr>
      <w:proofErr w:type="gramStart"/>
      <w:r w:rsidRPr="00BF0681">
        <w:rPr>
          <w:b/>
          <w:i/>
          <w:sz w:val="24"/>
          <w:szCs w:val="24"/>
        </w:rPr>
        <w:t>allocation</w:t>
      </w:r>
      <w:proofErr w:type="gramEnd"/>
      <w:r w:rsidRPr="00BF0681">
        <w:rPr>
          <w:b/>
          <w:i/>
          <w:sz w:val="24"/>
          <w:szCs w:val="24"/>
        </w:rPr>
        <w:t xml:space="preserve"> penalty</w:t>
      </w:r>
      <w:r w:rsidRPr="00BF0681">
        <w:rPr>
          <w:sz w:val="24"/>
          <w:szCs w:val="24"/>
        </w:rPr>
        <w:t>: see section 33.</w:t>
      </w:r>
    </w:p>
    <w:p w14:paraId="47AE8A19" w14:textId="4E8C63B9" w:rsidR="00E93DE3" w:rsidRPr="00BF0681" w:rsidRDefault="00E93DE3" w:rsidP="00BF0681">
      <w:pPr>
        <w:pStyle w:val="Definition"/>
        <w:ind w:left="0"/>
        <w:rPr>
          <w:sz w:val="24"/>
          <w:szCs w:val="24"/>
        </w:rPr>
      </w:pPr>
      <w:proofErr w:type="gramStart"/>
      <w:r w:rsidRPr="00BF0681">
        <w:rPr>
          <w:b/>
          <w:i/>
          <w:sz w:val="24"/>
          <w:szCs w:val="24"/>
        </w:rPr>
        <w:t>allocation</w:t>
      </w:r>
      <w:proofErr w:type="gramEnd"/>
      <w:r w:rsidRPr="00BF0681">
        <w:rPr>
          <w:b/>
          <w:i/>
          <w:sz w:val="24"/>
          <w:szCs w:val="24"/>
        </w:rPr>
        <w:t xml:space="preserve"> trigger</w:t>
      </w:r>
      <w:r w:rsidRPr="00BF0681">
        <w:rPr>
          <w:sz w:val="24"/>
          <w:szCs w:val="24"/>
        </w:rPr>
        <w:t>: see section 15.</w:t>
      </w:r>
    </w:p>
    <w:p w14:paraId="0DF4C7BD" w14:textId="77777777" w:rsidR="00E93DE3" w:rsidRPr="00BF0681" w:rsidRDefault="00E93DE3" w:rsidP="00BF0681">
      <w:pPr>
        <w:pStyle w:val="Definition"/>
        <w:ind w:left="0"/>
        <w:rPr>
          <w:sz w:val="24"/>
          <w:szCs w:val="24"/>
        </w:rPr>
      </w:pPr>
      <w:proofErr w:type="gramStart"/>
      <w:r w:rsidRPr="00BF0681">
        <w:rPr>
          <w:b/>
          <w:i/>
          <w:sz w:val="24"/>
          <w:szCs w:val="24"/>
        </w:rPr>
        <w:t>annual</w:t>
      </w:r>
      <w:proofErr w:type="gramEnd"/>
      <w:r w:rsidRPr="00BF0681">
        <w:rPr>
          <w:b/>
          <w:i/>
          <w:sz w:val="24"/>
          <w:szCs w:val="24"/>
        </w:rPr>
        <w:t xml:space="preserve"> access amount</w:t>
      </w:r>
      <w:r w:rsidRPr="00BF0681">
        <w:rPr>
          <w:sz w:val="24"/>
          <w:szCs w:val="24"/>
        </w:rPr>
        <w:t>, for a quota type and a quota year, means the weight specified under Chapter 3 to be the annual access amount for that quota type in relation to</w:t>
      </w:r>
      <w:bookmarkStart w:id="8" w:name="BK_S3P2L6C20"/>
      <w:bookmarkEnd w:id="8"/>
      <w:r w:rsidRPr="00BF0681">
        <w:rPr>
          <w:sz w:val="24"/>
          <w:szCs w:val="24"/>
        </w:rPr>
        <w:t xml:space="preserve"> that quota year.</w:t>
      </w:r>
    </w:p>
    <w:p w14:paraId="029F4B4C" w14:textId="7ADAA026" w:rsidR="00E93DE3" w:rsidRPr="00BF0681" w:rsidRDefault="00E93DE3" w:rsidP="00BF0681">
      <w:pPr>
        <w:pStyle w:val="Definition"/>
        <w:ind w:left="0"/>
        <w:rPr>
          <w:sz w:val="24"/>
          <w:szCs w:val="24"/>
        </w:rPr>
      </w:pPr>
      <w:proofErr w:type="gramStart"/>
      <w:r w:rsidRPr="00BF0681">
        <w:rPr>
          <w:b/>
          <w:i/>
          <w:sz w:val="24"/>
          <w:szCs w:val="24"/>
        </w:rPr>
        <w:t>annual</w:t>
      </w:r>
      <w:proofErr w:type="gramEnd"/>
      <w:r w:rsidRPr="00BF0681">
        <w:rPr>
          <w:b/>
          <w:i/>
          <w:sz w:val="24"/>
          <w:szCs w:val="24"/>
        </w:rPr>
        <w:t xml:space="preserve"> application day</w:t>
      </w:r>
      <w:r w:rsidRPr="00BF0681">
        <w:rPr>
          <w:sz w:val="24"/>
          <w:szCs w:val="24"/>
        </w:rPr>
        <w:t>: see section 27.</w:t>
      </w:r>
    </w:p>
    <w:p w14:paraId="3418477A" w14:textId="77777777" w:rsidR="00E93DE3" w:rsidRPr="00BF0681" w:rsidRDefault="00E93DE3" w:rsidP="00BF0681">
      <w:pPr>
        <w:pStyle w:val="Definition"/>
        <w:ind w:left="0"/>
        <w:rPr>
          <w:sz w:val="24"/>
          <w:szCs w:val="24"/>
        </w:rPr>
      </w:pPr>
      <w:r w:rsidRPr="00BF0681">
        <w:rPr>
          <w:b/>
          <w:i/>
          <w:sz w:val="24"/>
          <w:szCs w:val="24"/>
        </w:rPr>
        <w:t>Australia</w:t>
      </w:r>
      <w:r w:rsidRPr="00BF0681">
        <w:rPr>
          <w:b/>
          <w:i/>
          <w:sz w:val="24"/>
          <w:szCs w:val="24"/>
        </w:rPr>
        <w:noBreakHyphen/>
        <w:t>US</w:t>
      </w:r>
      <w:r w:rsidRPr="00BF0681">
        <w:rPr>
          <w:sz w:val="24"/>
          <w:szCs w:val="24"/>
        </w:rPr>
        <w:t xml:space="preserve"> </w:t>
      </w:r>
      <w:r w:rsidRPr="00BF0681">
        <w:rPr>
          <w:b/>
          <w:i/>
          <w:sz w:val="24"/>
          <w:szCs w:val="24"/>
        </w:rPr>
        <w:t xml:space="preserve">Free Trade Agreement </w:t>
      </w:r>
      <w:r w:rsidRPr="00BF0681">
        <w:rPr>
          <w:sz w:val="24"/>
          <w:szCs w:val="24"/>
        </w:rPr>
        <w:t>means the Australia</w:t>
      </w:r>
      <w:r w:rsidRPr="00BF0681">
        <w:rPr>
          <w:sz w:val="24"/>
          <w:szCs w:val="24"/>
        </w:rPr>
        <w:noBreakHyphen/>
        <w:t>US Free Trade Agreement done at Washington on 18 May 2004</w:t>
      </w:r>
      <w:r w:rsidRPr="00BF0681">
        <w:rPr>
          <w:i/>
          <w:sz w:val="24"/>
          <w:szCs w:val="24"/>
        </w:rPr>
        <w:t>,</w:t>
      </w:r>
      <w:r w:rsidRPr="00BF0681">
        <w:rPr>
          <w:sz w:val="24"/>
          <w:szCs w:val="24"/>
        </w:rPr>
        <w:t xml:space="preserve"> as in force from time</w:t>
      </w:r>
      <w:bookmarkStart w:id="9" w:name="BK_S3P2L9C67"/>
      <w:bookmarkEnd w:id="9"/>
      <w:r w:rsidRPr="00BF0681">
        <w:rPr>
          <w:sz w:val="24"/>
          <w:szCs w:val="24"/>
        </w:rPr>
        <w:t xml:space="preserve"> to time.</w:t>
      </w:r>
    </w:p>
    <w:p w14:paraId="227AD4E3" w14:textId="50418D39" w:rsidR="00E93DE3" w:rsidRDefault="00E93DE3" w:rsidP="00BF0681">
      <w:pPr>
        <w:pStyle w:val="notetext"/>
        <w:ind w:left="0" w:firstLine="0"/>
        <w:rPr>
          <w:sz w:val="24"/>
          <w:szCs w:val="24"/>
        </w:rPr>
      </w:pPr>
      <w:r w:rsidRPr="00BF0681">
        <w:rPr>
          <w:sz w:val="24"/>
          <w:szCs w:val="24"/>
        </w:rPr>
        <w:t>Note:</w:t>
      </w:r>
      <w:r w:rsidRPr="00BF0681">
        <w:rPr>
          <w:sz w:val="24"/>
          <w:szCs w:val="24"/>
        </w:rPr>
        <w:tab/>
        <w:t>The Agreement is in Australian Treaty Series</w:t>
      </w:r>
      <w:bookmarkStart w:id="10" w:name="BK_S3P2L10C51"/>
      <w:bookmarkEnd w:id="10"/>
      <w:r w:rsidRPr="00BF0681">
        <w:rPr>
          <w:sz w:val="24"/>
          <w:szCs w:val="24"/>
        </w:rPr>
        <w:t xml:space="preserve"> 2005 No. 1 ([2005] ATS 1) and could in 2019 be viewed in the Australian Treaties Library on the </w:t>
      </w:r>
      <w:proofErr w:type="spellStart"/>
      <w:r w:rsidRPr="00BF0681">
        <w:rPr>
          <w:sz w:val="24"/>
          <w:szCs w:val="24"/>
        </w:rPr>
        <w:t>AustLII</w:t>
      </w:r>
      <w:proofErr w:type="spellEnd"/>
      <w:r w:rsidRPr="00BF0681">
        <w:rPr>
          <w:sz w:val="24"/>
          <w:szCs w:val="24"/>
        </w:rPr>
        <w:t xml:space="preserve"> website (</w:t>
      </w:r>
      <w:hyperlink r:id="rId8" w:history="1">
        <w:r w:rsidR="0053168C" w:rsidRPr="007E556A">
          <w:rPr>
            <w:rStyle w:val="Hyperlink"/>
            <w:sz w:val="24"/>
            <w:szCs w:val="24"/>
          </w:rPr>
          <w:t>http://www.austlii.edu.au</w:t>
        </w:r>
      </w:hyperlink>
      <w:r w:rsidRPr="00BF0681">
        <w:rPr>
          <w:sz w:val="24"/>
          <w:szCs w:val="24"/>
        </w:rPr>
        <w:t>).</w:t>
      </w:r>
    </w:p>
    <w:p w14:paraId="46A9C93F" w14:textId="77777777" w:rsidR="0053168C" w:rsidRPr="00575E15" w:rsidRDefault="0053168C" w:rsidP="0053168C">
      <w:pPr>
        <w:pStyle w:val="Definition"/>
        <w:ind w:left="0"/>
        <w:rPr>
          <w:sz w:val="24"/>
          <w:szCs w:val="24"/>
        </w:rPr>
      </w:pPr>
      <w:r w:rsidRPr="00575E15">
        <w:rPr>
          <w:sz w:val="24"/>
          <w:szCs w:val="24"/>
        </w:rPr>
        <w:t>Paragraph 25(5)(aba) of the Export Control Act permits an order made under that Act to  apply, adopt or incorporate any matter contained in any instrument or writing that:</w:t>
      </w:r>
    </w:p>
    <w:p w14:paraId="7A9A533E" w14:textId="77777777" w:rsidR="0053168C" w:rsidRPr="00575E15" w:rsidRDefault="0053168C" w:rsidP="000F6D46">
      <w:pPr>
        <w:pStyle w:val="ListParagraph"/>
        <w:numPr>
          <w:ilvl w:val="0"/>
          <w:numId w:val="57"/>
        </w:numPr>
        <w:spacing w:line="240" w:lineRule="auto"/>
        <w:rPr>
          <w:sz w:val="24"/>
          <w:szCs w:val="24"/>
        </w:rPr>
      </w:pPr>
      <w:r w:rsidRPr="00575E15">
        <w:rPr>
          <w:sz w:val="24"/>
          <w:szCs w:val="24"/>
        </w:rPr>
        <w:t>sets out, or provides a method for calculating, the tariff rate quota for the importation of goods into a country; and</w:t>
      </w:r>
    </w:p>
    <w:p w14:paraId="0D787E2B" w14:textId="77777777" w:rsidR="0053168C" w:rsidRPr="00575E15" w:rsidRDefault="0053168C" w:rsidP="000F6D46">
      <w:pPr>
        <w:pStyle w:val="ListParagraph"/>
        <w:numPr>
          <w:ilvl w:val="0"/>
          <w:numId w:val="57"/>
        </w:numPr>
        <w:spacing w:line="240" w:lineRule="auto"/>
        <w:rPr>
          <w:sz w:val="24"/>
          <w:szCs w:val="24"/>
        </w:rPr>
      </w:pPr>
      <w:r w:rsidRPr="00575E15">
        <w:rPr>
          <w:sz w:val="24"/>
          <w:szCs w:val="24"/>
        </w:rPr>
        <w:t>is made by the authority or body in that country responsible for regulating the importation of goods into that country;</w:t>
      </w:r>
    </w:p>
    <w:p w14:paraId="4B00B07C" w14:textId="52CDB3A2" w:rsidR="0053168C" w:rsidRDefault="0053168C" w:rsidP="0053168C">
      <w:pPr>
        <w:spacing w:line="240" w:lineRule="auto"/>
        <w:rPr>
          <w:sz w:val="24"/>
          <w:szCs w:val="24"/>
        </w:rPr>
      </w:pPr>
      <w:proofErr w:type="gramStart"/>
      <w:r w:rsidRPr="00575E15">
        <w:rPr>
          <w:sz w:val="24"/>
          <w:szCs w:val="24"/>
        </w:rPr>
        <w:t>as</w:t>
      </w:r>
      <w:proofErr w:type="gramEnd"/>
      <w:r w:rsidRPr="00575E15">
        <w:rPr>
          <w:sz w:val="24"/>
          <w:szCs w:val="24"/>
        </w:rPr>
        <w:t xml:space="preserve"> in force at a particular time or as in force from time to time.</w:t>
      </w:r>
    </w:p>
    <w:p w14:paraId="40E28A5D" w14:textId="451135CD" w:rsidR="0053168C" w:rsidRPr="00BF0681" w:rsidRDefault="0053168C" w:rsidP="00BF0681">
      <w:pPr>
        <w:pStyle w:val="notetext"/>
        <w:ind w:left="0" w:firstLine="0"/>
        <w:rPr>
          <w:sz w:val="24"/>
          <w:szCs w:val="24"/>
        </w:rPr>
      </w:pPr>
      <w:r w:rsidRPr="00A90BBB">
        <w:rPr>
          <w:sz w:val="24"/>
          <w:szCs w:val="24"/>
          <w:lang w:eastAsia="en-US"/>
        </w:rPr>
        <w:t xml:space="preserve">Here, the relevant regulation (the </w:t>
      </w:r>
      <w:r>
        <w:rPr>
          <w:sz w:val="24"/>
          <w:szCs w:val="24"/>
          <w:lang w:eastAsia="en-US"/>
        </w:rPr>
        <w:t>Free Trade Agreement</w:t>
      </w:r>
      <w:r w:rsidRPr="00A90BBB">
        <w:rPr>
          <w:sz w:val="24"/>
          <w:szCs w:val="24"/>
          <w:lang w:eastAsia="en-US"/>
        </w:rPr>
        <w:t xml:space="preserve">) sets out </w:t>
      </w:r>
      <w:r w:rsidRPr="00F32E84">
        <w:rPr>
          <w:sz w:val="24"/>
          <w:szCs w:val="24"/>
          <w:lang w:eastAsia="en-US"/>
        </w:rPr>
        <w:t>tariff rate quotas for the importation of goods into the USA and so would meet the requirements of subparagraph (</w:t>
      </w:r>
      <w:proofErr w:type="spellStart"/>
      <w:r w:rsidRPr="00F32E84">
        <w:rPr>
          <w:sz w:val="24"/>
          <w:szCs w:val="24"/>
          <w:lang w:eastAsia="en-US"/>
        </w:rPr>
        <w:t>i</w:t>
      </w:r>
      <w:proofErr w:type="spellEnd"/>
      <w:r w:rsidRPr="00F32E84">
        <w:rPr>
          <w:sz w:val="24"/>
          <w:szCs w:val="24"/>
          <w:lang w:eastAsia="en-US"/>
        </w:rPr>
        <w:t>).</w:t>
      </w:r>
      <w:r w:rsidRPr="00E35E41">
        <w:rPr>
          <w:sz w:val="24"/>
          <w:szCs w:val="24"/>
          <w:highlight w:val="yellow"/>
          <w:lang w:eastAsia="en-US"/>
        </w:rPr>
        <w:t xml:space="preserve"> </w:t>
      </w:r>
      <w:r w:rsidRPr="00F05F76">
        <w:rPr>
          <w:sz w:val="24"/>
          <w:szCs w:val="24"/>
          <w:lang w:eastAsia="en-US"/>
        </w:rPr>
        <w:t>In relation to the ‘authority in that country’, the United States International Trade Commission is the rele</w:t>
      </w:r>
      <w:r>
        <w:rPr>
          <w:sz w:val="24"/>
          <w:szCs w:val="24"/>
          <w:lang w:eastAsia="en-US"/>
        </w:rPr>
        <w:t>vant US body</w:t>
      </w:r>
      <w:r w:rsidRPr="00F05F76">
        <w:rPr>
          <w:sz w:val="24"/>
          <w:szCs w:val="24"/>
          <w:lang w:eastAsia="en-US"/>
        </w:rPr>
        <w:t xml:space="preserve"> regarding customs tariffs for imported goods</w:t>
      </w:r>
      <w:r w:rsidRPr="00A90BBB">
        <w:rPr>
          <w:sz w:val="24"/>
          <w:szCs w:val="24"/>
          <w:lang w:eastAsia="en-US"/>
        </w:rPr>
        <w:t>, so is regarded as meeting the description in subparagraph (ii).</w:t>
      </w:r>
    </w:p>
    <w:p w14:paraId="5D45D078" w14:textId="77777777" w:rsidR="00E93DE3" w:rsidRPr="00BF0681" w:rsidRDefault="00E93DE3" w:rsidP="00BF0681">
      <w:pPr>
        <w:pStyle w:val="Definition"/>
        <w:ind w:left="0"/>
        <w:rPr>
          <w:sz w:val="24"/>
          <w:szCs w:val="24"/>
        </w:rPr>
      </w:pPr>
      <w:proofErr w:type="gramStart"/>
      <w:r w:rsidRPr="00BF0681">
        <w:rPr>
          <w:b/>
          <w:i/>
          <w:sz w:val="24"/>
          <w:szCs w:val="24"/>
        </w:rPr>
        <w:t>certification</w:t>
      </w:r>
      <w:proofErr w:type="gramEnd"/>
      <w:r w:rsidRPr="00BF0681">
        <w:rPr>
          <w:b/>
          <w:i/>
          <w:sz w:val="24"/>
          <w:szCs w:val="24"/>
        </w:rPr>
        <w:t xml:space="preserve"> method</w:t>
      </w:r>
      <w:r w:rsidRPr="00BF0681">
        <w:rPr>
          <w:sz w:val="24"/>
          <w:szCs w:val="24"/>
        </w:rPr>
        <w:t xml:space="preserve"> means the method set out in Part 4 of Chapter 2.</w:t>
      </w:r>
    </w:p>
    <w:p w14:paraId="5A5B7AC9" w14:textId="77777777" w:rsidR="00E93DE3" w:rsidRPr="00BF0681" w:rsidRDefault="00E93DE3" w:rsidP="00BF0681">
      <w:pPr>
        <w:pStyle w:val="Definition"/>
        <w:ind w:left="0"/>
        <w:rPr>
          <w:sz w:val="24"/>
          <w:szCs w:val="24"/>
        </w:rPr>
      </w:pPr>
      <w:proofErr w:type="gramStart"/>
      <w:r w:rsidRPr="00BF0681">
        <w:rPr>
          <w:b/>
          <w:i/>
          <w:sz w:val="24"/>
          <w:szCs w:val="24"/>
        </w:rPr>
        <w:t>consignment</w:t>
      </w:r>
      <w:proofErr w:type="gramEnd"/>
      <w:r w:rsidRPr="00BF0681">
        <w:rPr>
          <w:b/>
          <w:i/>
          <w:sz w:val="24"/>
          <w:szCs w:val="24"/>
        </w:rPr>
        <w:t xml:space="preserve"> </w:t>
      </w:r>
      <w:r w:rsidRPr="00BF0681">
        <w:rPr>
          <w:sz w:val="24"/>
          <w:szCs w:val="24"/>
        </w:rPr>
        <w:t>means a single shipment (by sea or air) of a kind of goods that is exported to a single consignee.</w:t>
      </w:r>
    </w:p>
    <w:p w14:paraId="02826024" w14:textId="3AD436FD" w:rsidR="00E93DE3" w:rsidRPr="00BF0681" w:rsidRDefault="00E93DE3" w:rsidP="00BF0681">
      <w:pPr>
        <w:pStyle w:val="Definition"/>
        <w:ind w:left="0"/>
        <w:rPr>
          <w:sz w:val="24"/>
          <w:szCs w:val="24"/>
        </w:rPr>
      </w:pPr>
      <w:proofErr w:type="gramStart"/>
      <w:r w:rsidRPr="00BF0681">
        <w:rPr>
          <w:b/>
          <w:i/>
          <w:sz w:val="24"/>
          <w:szCs w:val="24"/>
        </w:rPr>
        <w:t>eligible</w:t>
      </w:r>
      <w:proofErr w:type="gramEnd"/>
      <w:r w:rsidRPr="00BF0681">
        <w:rPr>
          <w:b/>
          <w:i/>
          <w:sz w:val="24"/>
          <w:szCs w:val="24"/>
        </w:rPr>
        <w:t xml:space="preserve"> past export</w:t>
      </w:r>
      <w:r w:rsidRPr="00BF0681">
        <w:rPr>
          <w:sz w:val="24"/>
          <w:szCs w:val="24"/>
        </w:rPr>
        <w:t>, for a quota type and a quota year, means an export of a consignment that is specified under Chapter 3 to be an eligible past export for the quota type in relation to</w:t>
      </w:r>
      <w:bookmarkStart w:id="11" w:name="BK_S3P2L18C34"/>
      <w:bookmarkEnd w:id="11"/>
      <w:r w:rsidRPr="00BF0681">
        <w:rPr>
          <w:sz w:val="24"/>
          <w:szCs w:val="24"/>
        </w:rPr>
        <w:t xml:space="preserve"> the quota year.</w:t>
      </w:r>
      <w:r w:rsidR="00E67F54">
        <w:rPr>
          <w:sz w:val="24"/>
          <w:szCs w:val="24"/>
        </w:rPr>
        <w:t xml:space="preserve"> This has the effect of providing a set export history that is used in proportionally calculating entitlements; this has the effect of </w:t>
      </w:r>
      <w:r w:rsidR="002E394E">
        <w:rPr>
          <w:sz w:val="24"/>
          <w:szCs w:val="24"/>
        </w:rPr>
        <w:t xml:space="preserve">allocations made in the Order </w:t>
      </w:r>
      <w:r w:rsidR="00E67F54">
        <w:rPr>
          <w:sz w:val="24"/>
          <w:szCs w:val="24"/>
        </w:rPr>
        <w:t>being equitable and transparent</w:t>
      </w:r>
      <w:r w:rsidR="005314B7">
        <w:rPr>
          <w:sz w:val="24"/>
          <w:szCs w:val="24"/>
        </w:rPr>
        <w:t xml:space="preserve"> (see sections 20, 31, 32 and 46)</w:t>
      </w:r>
      <w:r w:rsidR="00E67F54">
        <w:rPr>
          <w:sz w:val="24"/>
          <w:szCs w:val="24"/>
        </w:rPr>
        <w:t>.</w:t>
      </w:r>
    </w:p>
    <w:p w14:paraId="5EAF06DD" w14:textId="77777777" w:rsidR="00E93DE3" w:rsidRPr="00BF0681" w:rsidRDefault="00E93DE3" w:rsidP="00BF0681">
      <w:pPr>
        <w:pStyle w:val="Definition"/>
        <w:ind w:left="0"/>
        <w:rPr>
          <w:sz w:val="24"/>
          <w:szCs w:val="24"/>
        </w:rPr>
      </w:pPr>
      <w:proofErr w:type="gramStart"/>
      <w:r w:rsidRPr="00BF0681">
        <w:rPr>
          <w:b/>
          <w:i/>
          <w:sz w:val="24"/>
          <w:szCs w:val="24"/>
        </w:rPr>
        <w:t>eligible</w:t>
      </w:r>
      <w:proofErr w:type="gramEnd"/>
      <w:r w:rsidRPr="00BF0681">
        <w:rPr>
          <w:b/>
          <w:i/>
          <w:sz w:val="24"/>
          <w:szCs w:val="24"/>
        </w:rPr>
        <w:t xml:space="preserve"> person</w:t>
      </w:r>
      <w:r w:rsidRPr="00BF0681">
        <w:rPr>
          <w:sz w:val="24"/>
          <w:szCs w:val="24"/>
        </w:rPr>
        <w:t>, for a quota type, means a person that is specified under Chapter 3 to be an eligible person for that quota type.</w:t>
      </w:r>
    </w:p>
    <w:p w14:paraId="7BA7388E" w14:textId="77777777" w:rsidR="00E93DE3" w:rsidRPr="00BF0681" w:rsidRDefault="00E93DE3" w:rsidP="00BF0681">
      <w:pPr>
        <w:pStyle w:val="Definition"/>
        <w:ind w:left="0"/>
        <w:rPr>
          <w:sz w:val="24"/>
          <w:szCs w:val="24"/>
        </w:rPr>
      </w:pPr>
      <w:r w:rsidRPr="00BF0681">
        <w:rPr>
          <w:b/>
          <w:i/>
          <w:sz w:val="24"/>
          <w:szCs w:val="24"/>
        </w:rPr>
        <w:t>EU Beef and Buffalo Regulation</w:t>
      </w:r>
      <w:r w:rsidRPr="00BF0681">
        <w:rPr>
          <w:sz w:val="24"/>
          <w:szCs w:val="24"/>
        </w:rPr>
        <w:t xml:space="preserve"> means Commission Implementing Regulation (EU) No 593/2013, as in force from time</w:t>
      </w:r>
      <w:bookmarkStart w:id="12" w:name="BK_S3P2L22C51"/>
      <w:bookmarkEnd w:id="12"/>
      <w:r w:rsidRPr="00BF0681">
        <w:rPr>
          <w:sz w:val="24"/>
          <w:szCs w:val="24"/>
        </w:rPr>
        <w:t xml:space="preserve"> to time.</w:t>
      </w:r>
    </w:p>
    <w:p w14:paraId="5931A27C" w14:textId="22E0C46D" w:rsidR="00E93DE3" w:rsidRDefault="00E93DE3" w:rsidP="00BF0681">
      <w:pPr>
        <w:pStyle w:val="notetext"/>
        <w:ind w:left="0" w:firstLine="0"/>
        <w:rPr>
          <w:sz w:val="24"/>
          <w:szCs w:val="24"/>
        </w:rPr>
      </w:pPr>
      <w:r w:rsidRPr="00BF0681">
        <w:rPr>
          <w:sz w:val="24"/>
          <w:szCs w:val="24"/>
        </w:rPr>
        <w:lastRenderedPageBreak/>
        <w:t>Note:</w:t>
      </w:r>
      <w:r w:rsidRPr="00BF0681">
        <w:rPr>
          <w:sz w:val="24"/>
          <w:szCs w:val="24"/>
        </w:rPr>
        <w:tab/>
        <w:t>The Regulation could in 2019 be viewed on the EUR</w:t>
      </w:r>
      <w:r w:rsidRPr="00BF0681">
        <w:rPr>
          <w:sz w:val="24"/>
          <w:szCs w:val="24"/>
        </w:rPr>
        <w:noBreakHyphen/>
        <w:t>Lex website (</w:t>
      </w:r>
      <w:hyperlink r:id="rId9" w:history="1">
        <w:r w:rsidR="0053168C" w:rsidRPr="007E556A">
          <w:rPr>
            <w:rStyle w:val="Hyperlink"/>
            <w:sz w:val="24"/>
            <w:szCs w:val="24"/>
          </w:rPr>
          <w:t>https://eur</w:t>
        </w:r>
        <w:r w:rsidR="0053168C" w:rsidRPr="007E556A">
          <w:rPr>
            <w:rStyle w:val="Hyperlink"/>
            <w:sz w:val="24"/>
            <w:szCs w:val="24"/>
          </w:rPr>
          <w:noBreakHyphen/>
          <w:t>lex.europa.eu</w:t>
        </w:r>
      </w:hyperlink>
      <w:r w:rsidRPr="00BF0681">
        <w:rPr>
          <w:sz w:val="24"/>
          <w:szCs w:val="24"/>
        </w:rPr>
        <w:t>).</w:t>
      </w:r>
    </w:p>
    <w:p w14:paraId="23DC4159" w14:textId="77777777" w:rsidR="0053168C" w:rsidRPr="00575E15" w:rsidRDefault="0053168C" w:rsidP="0053168C">
      <w:pPr>
        <w:pStyle w:val="Definition"/>
        <w:ind w:left="0"/>
        <w:rPr>
          <w:sz w:val="24"/>
          <w:szCs w:val="24"/>
        </w:rPr>
      </w:pPr>
      <w:r w:rsidRPr="00575E15">
        <w:rPr>
          <w:sz w:val="24"/>
          <w:szCs w:val="24"/>
        </w:rPr>
        <w:t>Paragraph 25(5)(aba) of the Export Control Act permits an order made under that Act to  apply, adopt or incorporate any matter contained in any instrument or writing that:</w:t>
      </w:r>
    </w:p>
    <w:p w14:paraId="53C3AC34" w14:textId="77777777" w:rsidR="0053168C" w:rsidRPr="00575E15" w:rsidRDefault="0053168C" w:rsidP="000F6D46">
      <w:pPr>
        <w:pStyle w:val="ListParagraph"/>
        <w:numPr>
          <w:ilvl w:val="0"/>
          <w:numId w:val="58"/>
        </w:numPr>
        <w:spacing w:line="240" w:lineRule="auto"/>
        <w:rPr>
          <w:sz w:val="24"/>
          <w:szCs w:val="24"/>
        </w:rPr>
      </w:pPr>
      <w:r w:rsidRPr="00575E15">
        <w:rPr>
          <w:sz w:val="24"/>
          <w:szCs w:val="24"/>
        </w:rPr>
        <w:t>sets out, or provides a method for calculating, the tariff rate quota for the importation of goods into a country; and</w:t>
      </w:r>
    </w:p>
    <w:p w14:paraId="14B21B90" w14:textId="77777777" w:rsidR="0053168C" w:rsidRPr="00575E15" w:rsidRDefault="0053168C" w:rsidP="000F6D46">
      <w:pPr>
        <w:pStyle w:val="ListParagraph"/>
        <w:numPr>
          <w:ilvl w:val="0"/>
          <w:numId w:val="58"/>
        </w:numPr>
        <w:spacing w:line="240" w:lineRule="auto"/>
        <w:rPr>
          <w:sz w:val="24"/>
          <w:szCs w:val="24"/>
        </w:rPr>
      </w:pPr>
      <w:r w:rsidRPr="00575E15">
        <w:rPr>
          <w:sz w:val="24"/>
          <w:szCs w:val="24"/>
        </w:rPr>
        <w:t>is made by the authority or body in that country responsible for regulating the importation of goods into that country;</w:t>
      </w:r>
    </w:p>
    <w:p w14:paraId="0FD82088" w14:textId="77777777" w:rsidR="0053168C" w:rsidRPr="00575E15" w:rsidRDefault="0053168C" w:rsidP="0053168C">
      <w:pPr>
        <w:spacing w:line="240" w:lineRule="auto"/>
        <w:rPr>
          <w:sz w:val="24"/>
          <w:szCs w:val="24"/>
        </w:rPr>
      </w:pPr>
      <w:proofErr w:type="gramStart"/>
      <w:r w:rsidRPr="00575E15">
        <w:rPr>
          <w:sz w:val="24"/>
          <w:szCs w:val="24"/>
        </w:rPr>
        <w:t>as</w:t>
      </w:r>
      <w:proofErr w:type="gramEnd"/>
      <w:r w:rsidRPr="00575E15">
        <w:rPr>
          <w:sz w:val="24"/>
          <w:szCs w:val="24"/>
        </w:rPr>
        <w:t xml:space="preserve"> in force at a particular time or as in force from time to time.</w:t>
      </w:r>
    </w:p>
    <w:p w14:paraId="38712FC9" w14:textId="7FBF0864" w:rsidR="0053168C" w:rsidRPr="00BF0681" w:rsidRDefault="0053168C" w:rsidP="00BF0681">
      <w:pPr>
        <w:pStyle w:val="notetext"/>
        <w:ind w:left="0" w:firstLine="0"/>
        <w:rPr>
          <w:sz w:val="24"/>
          <w:szCs w:val="24"/>
        </w:rPr>
      </w:pPr>
      <w:r w:rsidRPr="00A90BBB">
        <w:rPr>
          <w:sz w:val="24"/>
          <w:szCs w:val="24"/>
          <w:lang w:eastAsia="en-US"/>
        </w:rPr>
        <w:t xml:space="preserve">Here, the relevant </w:t>
      </w:r>
      <w:r>
        <w:rPr>
          <w:sz w:val="24"/>
          <w:szCs w:val="24"/>
          <w:lang w:eastAsia="en-US"/>
        </w:rPr>
        <w:t xml:space="preserve">European </w:t>
      </w:r>
      <w:r w:rsidRPr="00A90BBB">
        <w:rPr>
          <w:sz w:val="24"/>
          <w:szCs w:val="24"/>
          <w:lang w:eastAsia="en-US"/>
        </w:rPr>
        <w:t xml:space="preserve">Commission Regulation </w:t>
      </w:r>
      <w:r>
        <w:rPr>
          <w:sz w:val="24"/>
          <w:szCs w:val="24"/>
          <w:lang w:eastAsia="en-US"/>
        </w:rPr>
        <w:t>(No 593/2013</w:t>
      </w:r>
      <w:r w:rsidRPr="00A90BBB">
        <w:rPr>
          <w:sz w:val="24"/>
          <w:szCs w:val="24"/>
          <w:lang w:eastAsia="en-US"/>
        </w:rPr>
        <w:t>) sets out tariff rate quotas for the importation of goods into EU countries and so would meet the requirements of subparagraph (</w:t>
      </w:r>
      <w:proofErr w:type="spellStart"/>
      <w:r w:rsidRPr="00A90BBB">
        <w:rPr>
          <w:sz w:val="24"/>
          <w:szCs w:val="24"/>
          <w:lang w:eastAsia="en-US"/>
        </w:rPr>
        <w:t>i</w:t>
      </w:r>
      <w:proofErr w:type="spellEnd"/>
      <w:r w:rsidRPr="00A90BBB">
        <w:rPr>
          <w:sz w:val="24"/>
          <w:szCs w:val="24"/>
          <w:lang w:eastAsia="en-US"/>
        </w:rPr>
        <w:t>). In relation to the ‘authority in that country’, the EU has ‘exclusive competence’ over customs, including the setting of uniform customs tariffs for importation of goods into member states, which means that member states cannot (as a general rule) legislate or regulate these matters. In this context, given that the regulation of tariff rate quotas for the importation of goods into an EU country is done by the EU and its institutions, the relevant EU body (in this case the Commission) is regarded as meeting the description in subparagraph (ii).</w:t>
      </w:r>
    </w:p>
    <w:p w14:paraId="60335579" w14:textId="303EB9E2" w:rsidR="00E93DE3" w:rsidRPr="00BF0681" w:rsidRDefault="00E93DE3" w:rsidP="00BF0681">
      <w:pPr>
        <w:pStyle w:val="Definition"/>
        <w:ind w:left="0"/>
        <w:rPr>
          <w:sz w:val="24"/>
          <w:szCs w:val="24"/>
        </w:rPr>
      </w:pPr>
      <w:r w:rsidRPr="00BF0681">
        <w:rPr>
          <w:b/>
          <w:i/>
          <w:sz w:val="24"/>
          <w:szCs w:val="24"/>
        </w:rPr>
        <w:t xml:space="preserve">EU buffalo meat </w:t>
      </w:r>
      <w:r w:rsidR="00E62A2D">
        <w:rPr>
          <w:sz w:val="24"/>
          <w:szCs w:val="24"/>
        </w:rPr>
        <w:t>see</w:t>
      </w:r>
      <w:r w:rsidRPr="00BF0681">
        <w:rPr>
          <w:b/>
          <w:i/>
          <w:sz w:val="24"/>
          <w:szCs w:val="24"/>
        </w:rPr>
        <w:t xml:space="preserve"> </w:t>
      </w:r>
      <w:r w:rsidRPr="00BF0681">
        <w:rPr>
          <w:sz w:val="24"/>
          <w:szCs w:val="24"/>
        </w:rPr>
        <w:t>section 53.</w:t>
      </w:r>
    </w:p>
    <w:p w14:paraId="2C62E869" w14:textId="77777777" w:rsidR="00E93DE3" w:rsidRPr="00BF0681" w:rsidRDefault="00E93DE3" w:rsidP="00BF0681">
      <w:pPr>
        <w:pStyle w:val="Definition"/>
        <w:ind w:left="0"/>
        <w:rPr>
          <w:sz w:val="24"/>
          <w:szCs w:val="24"/>
        </w:rPr>
      </w:pPr>
      <w:r w:rsidRPr="00BF0681">
        <w:rPr>
          <w:b/>
          <w:i/>
          <w:sz w:val="24"/>
          <w:szCs w:val="24"/>
        </w:rPr>
        <w:t>EU Dairy Regulation</w:t>
      </w:r>
      <w:r w:rsidRPr="00BF0681">
        <w:rPr>
          <w:sz w:val="24"/>
          <w:szCs w:val="24"/>
        </w:rPr>
        <w:t xml:space="preserve"> means Commission Regulation (EC) No 2535/2001, as in force from time</w:t>
      </w:r>
      <w:bookmarkStart w:id="13" w:name="BK_S3P2L27C19"/>
      <w:bookmarkEnd w:id="13"/>
      <w:r w:rsidRPr="00BF0681">
        <w:rPr>
          <w:sz w:val="24"/>
          <w:szCs w:val="24"/>
        </w:rPr>
        <w:t xml:space="preserve"> to time.</w:t>
      </w:r>
    </w:p>
    <w:p w14:paraId="697ADBBC" w14:textId="2F4F8E54" w:rsidR="00E93DE3" w:rsidRDefault="00E93DE3" w:rsidP="00BF0681">
      <w:pPr>
        <w:pStyle w:val="notetext"/>
        <w:ind w:left="0" w:firstLine="0"/>
        <w:rPr>
          <w:sz w:val="24"/>
          <w:szCs w:val="24"/>
        </w:rPr>
      </w:pPr>
      <w:r w:rsidRPr="00BF0681">
        <w:rPr>
          <w:sz w:val="24"/>
          <w:szCs w:val="24"/>
        </w:rPr>
        <w:t>Note:</w:t>
      </w:r>
      <w:r w:rsidRPr="00BF0681">
        <w:rPr>
          <w:sz w:val="24"/>
          <w:szCs w:val="24"/>
        </w:rPr>
        <w:tab/>
        <w:t>The Regulation could in 2019 be viewed on the EUR</w:t>
      </w:r>
      <w:r w:rsidRPr="00BF0681">
        <w:rPr>
          <w:sz w:val="24"/>
          <w:szCs w:val="24"/>
        </w:rPr>
        <w:noBreakHyphen/>
        <w:t>Lex website (</w:t>
      </w:r>
      <w:hyperlink r:id="rId10" w:history="1">
        <w:r w:rsidR="0053168C" w:rsidRPr="007E556A">
          <w:rPr>
            <w:rStyle w:val="Hyperlink"/>
            <w:sz w:val="24"/>
            <w:szCs w:val="24"/>
          </w:rPr>
          <w:t>https://eur</w:t>
        </w:r>
        <w:r w:rsidR="0053168C" w:rsidRPr="007E556A">
          <w:rPr>
            <w:rStyle w:val="Hyperlink"/>
            <w:sz w:val="24"/>
            <w:szCs w:val="24"/>
          </w:rPr>
          <w:noBreakHyphen/>
          <w:t>lex.europa.eu</w:t>
        </w:r>
      </w:hyperlink>
      <w:r w:rsidRPr="00BF0681">
        <w:rPr>
          <w:sz w:val="24"/>
          <w:szCs w:val="24"/>
        </w:rPr>
        <w:t>).</w:t>
      </w:r>
    </w:p>
    <w:p w14:paraId="1A13FEF1" w14:textId="77777777" w:rsidR="0053168C" w:rsidRPr="00575E15" w:rsidRDefault="0053168C" w:rsidP="0053168C">
      <w:pPr>
        <w:pStyle w:val="Definition"/>
        <w:ind w:left="0"/>
        <w:rPr>
          <w:sz w:val="24"/>
          <w:szCs w:val="24"/>
        </w:rPr>
      </w:pPr>
      <w:r w:rsidRPr="00575E15">
        <w:rPr>
          <w:sz w:val="24"/>
          <w:szCs w:val="24"/>
        </w:rPr>
        <w:t>Paragraph 25(5)(aba) of the Export Control Act permits an order made under that Act to  apply, adopt or incorporate any matter contained in any instrument or writing that:</w:t>
      </w:r>
    </w:p>
    <w:p w14:paraId="0C28268A" w14:textId="77777777" w:rsidR="0053168C" w:rsidRPr="00575E15" w:rsidRDefault="0053168C" w:rsidP="000F6D46">
      <w:pPr>
        <w:pStyle w:val="ListParagraph"/>
        <w:numPr>
          <w:ilvl w:val="0"/>
          <w:numId w:val="59"/>
        </w:numPr>
        <w:spacing w:line="240" w:lineRule="auto"/>
        <w:rPr>
          <w:sz w:val="24"/>
          <w:szCs w:val="24"/>
        </w:rPr>
      </w:pPr>
      <w:r w:rsidRPr="00575E15">
        <w:rPr>
          <w:sz w:val="24"/>
          <w:szCs w:val="24"/>
        </w:rPr>
        <w:t>sets out, or provides a method for calculating, the tariff rate quota for the importation of goods into a country; and</w:t>
      </w:r>
    </w:p>
    <w:p w14:paraId="7B5B3E71" w14:textId="77777777" w:rsidR="0053168C" w:rsidRPr="00575E15" w:rsidRDefault="0053168C" w:rsidP="000F6D46">
      <w:pPr>
        <w:pStyle w:val="ListParagraph"/>
        <w:numPr>
          <w:ilvl w:val="0"/>
          <w:numId w:val="59"/>
        </w:numPr>
        <w:spacing w:line="240" w:lineRule="auto"/>
        <w:rPr>
          <w:sz w:val="24"/>
          <w:szCs w:val="24"/>
        </w:rPr>
      </w:pPr>
      <w:r w:rsidRPr="00575E15">
        <w:rPr>
          <w:sz w:val="24"/>
          <w:szCs w:val="24"/>
        </w:rPr>
        <w:t>is made by the authority or body in that country responsible for regulating the importation of goods into that country;</w:t>
      </w:r>
    </w:p>
    <w:p w14:paraId="76776BBC" w14:textId="77777777" w:rsidR="0053168C" w:rsidRPr="00575E15" w:rsidRDefault="0053168C" w:rsidP="0053168C">
      <w:pPr>
        <w:spacing w:line="240" w:lineRule="auto"/>
        <w:rPr>
          <w:sz w:val="24"/>
          <w:szCs w:val="24"/>
        </w:rPr>
      </w:pPr>
      <w:proofErr w:type="gramStart"/>
      <w:r w:rsidRPr="00575E15">
        <w:rPr>
          <w:sz w:val="24"/>
          <w:szCs w:val="24"/>
        </w:rPr>
        <w:t>as</w:t>
      </w:r>
      <w:proofErr w:type="gramEnd"/>
      <w:r w:rsidRPr="00575E15">
        <w:rPr>
          <w:sz w:val="24"/>
          <w:szCs w:val="24"/>
        </w:rPr>
        <w:t xml:space="preserve"> in force at a particular time or as in force from time to time.</w:t>
      </w:r>
    </w:p>
    <w:p w14:paraId="22CB8BED" w14:textId="121E0EA7" w:rsidR="0053168C" w:rsidRPr="00BF0681" w:rsidRDefault="0053168C" w:rsidP="0053168C">
      <w:pPr>
        <w:pStyle w:val="notetext"/>
        <w:ind w:left="0" w:firstLine="0"/>
        <w:rPr>
          <w:sz w:val="24"/>
          <w:szCs w:val="24"/>
        </w:rPr>
      </w:pPr>
      <w:r w:rsidRPr="00A90BBB">
        <w:rPr>
          <w:sz w:val="24"/>
          <w:szCs w:val="24"/>
          <w:lang w:eastAsia="en-US"/>
        </w:rPr>
        <w:t xml:space="preserve">Here, the relevant </w:t>
      </w:r>
      <w:r>
        <w:rPr>
          <w:sz w:val="24"/>
          <w:szCs w:val="24"/>
          <w:lang w:eastAsia="en-US"/>
        </w:rPr>
        <w:t xml:space="preserve">European </w:t>
      </w:r>
      <w:r w:rsidRPr="00A90BBB">
        <w:rPr>
          <w:sz w:val="24"/>
          <w:szCs w:val="24"/>
          <w:lang w:eastAsia="en-US"/>
        </w:rPr>
        <w:t xml:space="preserve">Commission Regulation </w:t>
      </w:r>
      <w:r>
        <w:rPr>
          <w:sz w:val="24"/>
          <w:szCs w:val="24"/>
          <w:lang w:eastAsia="en-US"/>
        </w:rPr>
        <w:t>(No 2535/2001</w:t>
      </w:r>
      <w:r w:rsidRPr="00A90BBB">
        <w:rPr>
          <w:sz w:val="24"/>
          <w:szCs w:val="24"/>
          <w:lang w:eastAsia="en-US"/>
        </w:rPr>
        <w:t>) sets out tariff rate quotas for the importation of goods into EU countries and so would meet the requirements of subparagraph (</w:t>
      </w:r>
      <w:proofErr w:type="spellStart"/>
      <w:r w:rsidRPr="00A90BBB">
        <w:rPr>
          <w:sz w:val="24"/>
          <w:szCs w:val="24"/>
          <w:lang w:eastAsia="en-US"/>
        </w:rPr>
        <w:t>i</w:t>
      </w:r>
      <w:proofErr w:type="spellEnd"/>
      <w:r w:rsidRPr="00A90BBB">
        <w:rPr>
          <w:sz w:val="24"/>
          <w:szCs w:val="24"/>
          <w:lang w:eastAsia="en-US"/>
        </w:rPr>
        <w:t>). In relation to the ‘authority in that country’, the EU has ‘exclusive competence’ over customs, including the setting of uniform customs tariffs for importation of goods into member states, which means that member states cannot (as a general rule) legislate or regulate these matters. In this context, given that the regulation of tariff rate quotas for the importation of goods into an EU country is done by the EU and its institutions, the relevant EU body (in this case the Commission) is regarded as meeting the description in subparagraph (ii).</w:t>
      </w:r>
    </w:p>
    <w:p w14:paraId="294CA21A" w14:textId="716DD21D" w:rsidR="00E93DE3" w:rsidRPr="00BF0681" w:rsidRDefault="00E93DE3" w:rsidP="00BF0681">
      <w:pPr>
        <w:pStyle w:val="Definition"/>
        <w:ind w:left="0"/>
        <w:rPr>
          <w:sz w:val="24"/>
          <w:szCs w:val="24"/>
        </w:rPr>
      </w:pPr>
      <w:r w:rsidRPr="00BF0681">
        <w:rPr>
          <w:b/>
          <w:i/>
          <w:sz w:val="24"/>
          <w:szCs w:val="24"/>
        </w:rPr>
        <w:t>EU grain fed beef</w:t>
      </w:r>
      <w:r w:rsidRPr="00BF0681">
        <w:rPr>
          <w:sz w:val="24"/>
          <w:szCs w:val="24"/>
        </w:rPr>
        <w:t xml:space="preserve"> </w:t>
      </w:r>
      <w:r w:rsidR="00E62A2D">
        <w:rPr>
          <w:sz w:val="24"/>
          <w:szCs w:val="24"/>
        </w:rPr>
        <w:t>see</w:t>
      </w:r>
      <w:r w:rsidR="00E62A2D" w:rsidRPr="00BF0681">
        <w:rPr>
          <w:sz w:val="24"/>
          <w:szCs w:val="24"/>
        </w:rPr>
        <w:t xml:space="preserve"> </w:t>
      </w:r>
      <w:r w:rsidRPr="00BF0681">
        <w:rPr>
          <w:sz w:val="24"/>
          <w:szCs w:val="24"/>
        </w:rPr>
        <w:t>section 57.</w:t>
      </w:r>
    </w:p>
    <w:p w14:paraId="7BF37B03" w14:textId="77777777" w:rsidR="00E93DE3" w:rsidRPr="00BF0681" w:rsidRDefault="00E93DE3" w:rsidP="00BF0681">
      <w:pPr>
        <w:pStyle w:val="Definition"/>
        <w:ind w:left="0"/>
        <w:rPr>
          <w:sz w:val="24"/>
          <w:szCs w:val="24"/>
        </w:rPr>
      </w:pPr>
      <w:r w:rsidRPr="00BF0681">
        <w:rPr>
          <w:b/>
          <w:i/>
          <w:sz w:val="24"/>
          <w:szCs w:val="24"/>
        </w:rPr>
        <w:t>EU Grain Fed Beef Regulation</w:t>
      </w:r>
      <w:r w:rsidRPr="00BF0681">
        <w:rPr>
          <w:sz w:val="24"/>
          <w:szCs w:val="24"/>
        </w:rPr>
        <w:t xml:space="preserve"> means Commission Implementing Regulation (EU) No 481/2012, as in force from time</w:t>
      </w:r>
      <w:bookmarkStart w:id="14" w:name="BK_S3P2L32C51"/>
      <w:bookmarkEnd w:id="14"/>
      <w:r w:rsidRPr="00BF0681">
        <w:rPr>
          <w:sz w:val="24"/>
          <w:szCs w:val="24"/>
        </w:rPr>
        <w:t xml:space="preserve"> to time.</w:t>
      </w:r>
    </w:p>
    <w:p w14:paraId="46C30B70" w14:textId="3E5E1C6E" w:rsidR="00E93DE3" w:rsidRDefault="00E93DE3" w:rsidP="00BF0681">
      <w:pPr>
        <w:pStyle w:val="notetext"/>
        <w:ind w:left="0" w:firstLine="0"/>
        <w:rPr>
          <w:sz w:val="24"/>
          <w:szCs w:val="24"/>
        </w:rPr>
      </w:pPr>
      <w:r w:rsidRPr="00BF0681">
        <w:rPr>
          <w:sz w:val="24"/>
          <w:szCs w:val="24"/>
        </w:rPr>
        <w:t>Note:</w:t>
      </w:r>
      <w:r w:rsidRPr="00BF0681">
        <w:rPr>
          <w:sz w:val="24"/>
          <w:szCs w:val="24"/>
        </w:rPr>
        <w:tab/>
        <w:t>The Regulation could in 2019 be viewed on the EUR-Lex website (</w:t>
      </w:r>
      <w:hyperlink r:id="rId11" w:history="1">
        <w:r w:rsidR="0053168C" w:rsidRPr="007E556A">
          <w:rPr>
            <w:rStyle w:val="Hyperlink"/>
            <w:sz w:val="24"/>
            <w:szCs w:val="24"/>
          </w:rPr>
          <w:t>https://eur-lex.europa.eu</w:t>
        </w:r>
      </w:hyperlink>
      <w:r w:rsidRPr="00BF0681">
        <w:rPr>
          <w:sz w:val="24"/>
          <w:szCs w:val="24"/>
        </w:rPr>
        <w:t>).</w:t>
      </w:r>
    </w:p>
    <w:p w14:paraId="3B757B95" w14:textId="77777777" w:rsidR="0053168C" w:rsidRPr="00575E15" w:rsidRDefault="0053168C" w:rsidP="0053168C">
      <w:pPr>
        <w:pStyle w:val="Definition"/>
        <w:ind w:left="0"/>
        <w:rPr>
          <w:sz w:val="24"/>
          <w:szCs w:val="24"/>
        </w:rPr>
      </w:pPr>
      <w:r w:rsidRPr="00575E15">
        <w:rPr>
          <w:sz w:val="24"/>
          <w:szCs w:val="24"/>
        </w:rPr>
        <w:lastRenderedPageBreak/>
        <w:t>Paragraph 25(5)(aba) of the Export Control Act permits an order made under that Act to  apply, adopt or incorporate any matter contained in any instrument or writing that:</w:t>
      </w:r>
    </w:p>
    <w:p w14:paraId="2512DD58" w14:textId="77777777" w:rsidR="0053168C" w:rsidRPr="00575E15" w:rsidRDefault="0053168C" w:rsidP="000F6D46">
      <w:pPr>
        <w:pStyle w:val="ListParagraph"/>
        <w:numPr>
          <w:ilvl w:val="0"/>
          <w:numId w:val="60"/>
        </w:numPr>
        <w:spacing w:line="240" w:lineRule="auto"/>
        <w:rPr>
          <w:sz w:val="24"/>
          <w:szCs w:val="24"/>
        </w:rPr>
      </w:pPr>
      <w:r w:rsidRPr="00575E15">
        <w:rPr>
          <w:sz w:val="24"/>
          <w:szCs w:val="24"/>
        </w:rPr>
        <w:t>sets out, or provides a method for calculating, the tariff rate quota for the importation of goods into a country; and</w:t>
      </w:r>
    </w:p>
    <w:p w14:paraId="5FC2471E" w14:textId="77777777" w:rsidR="0053168C" w:rsidRPr="00575E15" w:rsidRDefault="0053168C" w:rsidP="000F6D46">
      <w:pPr>
        <w:pStyle w:val="ListParagraph"/>
        <w:numPr>
          <w:ilvl w:val="0"/>
          <w:numId w:val="60"/>
        </w:numPr>
        <w:spacing w:line="240" w:lineRule="auto"/>
        <w:rPr>
          <w:sz w:val="24"/>
          <w:szCs w:val="24"/>
        </w:rPr>
      </w:pPr>
      <w:r w:rsidRPr="00575E15">
        <w:rPr>
          <w:sz w:val="24"/>
          <w:szCs w:val="24"/>
        </w:rPr>
        <w:t>is made by the authority or body in that country responsible for regulating the importation of goods into that country;</w:t>
      </w:r>
    </w:p>
    <w:p w14:paraId="3B2F350C" w14:textId="77777777" w:rsidR="0053168C" w:rsidRPr="00575E15" w:rsidRDefault="0053168C" w:rsidP="0053168C">
      <w:pPr>
        <w:spacing w:line="240" w:lineRule="auto"/>
        <w:rPr>
          <w:sz w:val="24"/>
          <w:szCs w:val="24"/>
        </w:rPr>
      </w:pPr>
      <w:proofErr w:type="gramStart"/>
      <w:r w:rsidRPr="00575E15">
        <w:rPr>
          <w:sz w:val="24"/>
          <w:szCs w:val="24"/>
        </w:rPr>
        <w:t>as</w:t>
      </w:r>
      <w:proofErr w:type="gramEnd"/>
      <w:r w:rsidRPr="00575E15">
        <w:rPr>
          <w:sz w:val="24"/>
          <w:szCs w:val="24"/>
        </w:rPr>
        <w:t xml:space="preserve"> in force at a particular time or as in force from time to time.</w:t>
      </w:r>
    </w:p>
    <w:p w14:paraId="040B546A" w14:textId="42234771" w:rsidR="0053168C" w:rsidRPr="00BF0681" w:rsidRDefault="0053168C" w:rsidP="0053168C">
      <w:pPr>
        <w:pStyle w:val="notetext"/>
        <w:ind w:left="0" w:firstLine="0"/>
        <w:rPr>
          <w:sz w:val="24"/>
          <w:szCs w:val="24"/>
        </w:rPr>
      </w:pPr>
      <w:r w:rsidRPr="00A90BBB">
        <w:rPr>
          <w:sz w:val="24"/>
          <w:szCs w:val="24"/>
          <w:lang w:eastAsia="en-US"/>
        </w:rPr>
        <w:t xml:space="preserve">Here, the relevant </w:t>
      </w:r>
      <w:r>
        <w:rPr>
          <w:sz w:val="24"/>
          <w:szCs w:val="24"/>
          <w:lang w:eastAsia="en-US"/>
        </w:rPr>
        <w:t xml:space="preserve">European </w:t>
      </w:r>
      <w:r w:rsidRPr="00A90BBB">
        <w:rPr>
          <w:sz w:val="24"/>
          <w:szCs w:val="24"/>
          <w:lang w:eastAsia="en-US"/>
        </w:rPr>
        <w:t xml:space="preserve">Commission Regulation </w:t>
      </w:r>
      <w:r>
        <w:rPr>
          <w:sz w:val="24"/>
          <w:szCs w:val="24"/>
          <w:lang w:eastAsia="en-US"/>
        </w:rPr>
        <w:t>(No 481/2012</w:t>
      </w:r>
      <w:r w:rsidRPr="00A90BBB">
        <w:rPr>
          <w:sz w:val="24"/>
          <w:szCs w:val="24"/>
          <w:lang w:eastAsia="en-US"/>
        </w:rPr>
        <w:t>) sets out tariff rate quotas for the importation of goods into EU countries and so would meet the requirements of subparagraph (</w:t>
      </w:r>
      <w:proofErr w:type="spellStart"/>
      <w:r w:rsidRPr="00A90BBB">
        <w:rPr>
          <w:sz w:val="24"/>
          <w:szCs w:val="24"/>
          <w:lang w:eastAsia="en-US"/>
        </w:rPr>
        <w:t>i</w:t>
      </w:r>
      <w:proofErr w:type="spellEnd"/>
      <w:r w:rsidRPr="00A90BBB">
        <w:rPr>
          <w:sz w:val="24"/>
          <w:szCs w:val="24"/>
          <w:lang w:eastAsia="en-US"/>
        </w:rPr>
        <w:t>). In relation to the ‘authority in that country’, the EU has ‘exclusive competence’ over customs, including the setting of uniform customs tariffs for importation of goods into member states, which means that member states cannot (as a general rule) legislate or regulate these matters. In this context, given that the regulation of tariff rate quotas for the importation of goods into an EU country is done by the EU and its institutions, the relevant EU body (in this case the Commission) is regarded as meeting the description in subparagraph (ii).</w:t>
      </w:r>
    </w:p>
    <w:p w14:paraId="439AB083" w14:textId="1D229986" w:rsidR="00E93DE3" w:rsidRPr="00BF0681" w:rsidRDefault="00E93DE3" w:rsidP="00BF0681">
      <w:pPr>
        <w:pStyle w:val="Definition"/>
        <w:ind w:left="0"/>
        <w:rPr>
          <w:sz w:val="24"/>
          <w:szCs w:val="24"/>
        </w:rPr>
      </w:pPr>
      <w:r w:rsidRPr="00BF0681">
        <w:rPr>
          <w:b/>
          <w:i/>
          <w:sz w:val="24"/>
          <w:szCs w:val="24"/>
        </w:rPr>
        <w:t>EU high quality beef</w:t>
      </w:r>
      <w:r w:rsidRPr="00BF0681">
        <w:rPr>
          <w:sz w:val="24"/>
          <w:szCs w:val="24"/>
        </w:rPr>
        <w:t xml:space="preserve"> </w:t>
      </w:r>
      <w:r w:rsidR="00E62A2D">
        <w:rPr>
          <w:sz w:val="24"/>
          <w:szCs w:val="24"/>
        </w:rPr>
        <w:t>see</w:t>
      </w:r>
      <w:r w:rsidR="00E62A2D" w:rsidRPr="00BF0681" w:rsidDel="00E62A2D">
        <w:rPr>
          <w:sz w:val="24"/>
          <w:szCs w:val="24"/>
        </w:rPr>
        <w:t xml:space="preserve"> </w:t>
      </w:r>
      <w:r w:rsidRPr="00BF0681">
        <w:rPr>
          <w:sz w:val="24"/>
          <w:szCs w:val="24"/>
        </w:rPr>
        <w:t>section 60.</w:t>
      </w:r>
    </w:p>
    <w:p w14:paraId="20726FDA" w14:textId="53686E3D" w:rsidR="00E93DE3" w:rsidRPr="00BF0681" w:rsidRDefault="00E93DE3" w:rsidP="00BF0681">
      <w:pPr>
        <w:pStyle w:val="Definition"/>
        <w:ind w:left="0"/>
        <w:rPr>
          <w:sz w:val="24"/>
          <w:szCs w:val="24"/>
        </w:rPr>
      </w:pPr>
      <w:r w:rsidRPr="00BF0681">
        <w:rPr>
          <w:b/>
          <w:i/>
          <w:sz w:val="24"/>
          <w:szCs w:val="24"/>
        </w:rPr>
        <w:t xml:space="preserve">EU WTO dairy goods </w:t>
      </w:r>
      <w:r w:rsidR="00E62A2D">
        <w:rPr>
          <w:sz w:val="24"/>
          <w:szCs w:val="24"/>
        </w:rPr>
        <w:t>see</w:t>
      </w:r>
      <w:r w:rsidR="00E62A2D" w:rsidRPr="00BF0681" w:rsidDel="00E62A2D">
        <w:rPr>
          <w:sz w:val="24"/>
          <w:szCs w:val="24"/>
        </w:rPr>
        <w:t xml:space="preserve"> </w:t>
      </w:r>
      <w:r w:rsidRPr="00BF0681">
        <w:rPr>
          <w:sz w:val="24"/>
          <w:szCs w:val="24"/>
        </w:rPr>
        <w:t>section 71.</w:t>
      </w:r>
    </w:p>
    <w:p w14:paraId="6139C500" w14:textId="77777777" w:rsidR="00E93DE3" w:rsidRPr="00BF0681" w:rsidRDefault="00E93DE3" w:rsidP="00BF0681">
      <w:pPr>
        <w:pStyle w:val="Definition"/>
        <w:ind w:left="0"/>
        <w:rPr>
          <w:sz w:val="24"/>
          <w:szCs w:val="24"/>
        </w:rPr>
      </w:pPr>
      <w:proofErr w:type="gramStart"/>
      <w:r w:rsidRPr="00BF0681">
        <w:rPr>
          <w:b/>
          <w:i/>
          <w:sz w:val="24"/>
          <w:szCs w:val="24"/>
        </w:rPr>
        <w:t>first</w:t>
      </w:r>
      <w:proofErr w:type="gramEnd"/>
      <w:r w:rsidRPr="00BF0681">
        <w:rPr>
          <w:b/>
          <w:i/>
          <w:sz w:val="24"/>
          <w:szCs w:val="24"/>
        </w:rPr>
        <w:t xml:space="preserve"> come, first served method</w:t>
      </w:r>
      <w:r w:rsidRPr="00BF0681">
        <w:rPr>
          <w:sz w:val="24"/>
          <w:szCs w:val="24"/>
        </w:rPr>
        <w:t xml:space="preserve"> means the method set out in Part 1 of Chapter 2.</w:t>
      </w:r>
    </w:p>
    <w:p w14:paraId="004783CB" w14:textId="6859FBB7" w:rsidR="00E93DE3" w:rsidRPr="00BF0681" w:rsidRDefault="00E93DE3" w:rsidP="00BF0681">
      <w:pPr>
        <w:pStyle w:val="Definition"/>
        <w:ind w:left="0"/>
        <w:rPr>
          <w:sz w:val="24"/>
          <w:szCs w:val="24"/>
        </w:rPr>
      </w:pPr>
      <w:proofErr w:type="gramStart"/>
      <w:r w:rsidRPr="00BF0681">
        <w:rPr>
          <w:b/>
          <w:i/>
          <w:sz w:val="24"/>
          <w:szCs w:val="24"/>
        </w:rPr>
        <w:t>first</w:t>
      </w:r>
      <w:proofErr w:type="gramEnd"/>
      <w:r w:rsidRPr="00BF0681">
        <w:rPr>
          <w:b/>
          <w:i/>
          <w:sz w:val="24"/>
          <w:szCs w:val="24"/>
        </w:rPr>
        <w:t xml:space="preserve"> year new entrant</w:t>
      </w:r>
      <w:r w:rsidRPr="00BF0681">
        <w:rPr>
          <w:sz w:val="24"/>
          <w:szCs w:val="24"/>
        </w:rPr>
        <w:t>: see subsection 28(2).</w:t>
      </w:r>
    </w:p>
    <w:p w14:paraId="5297C0B6" w14:textId="77777777" w:rsidR="00E93DE3" w:rsidRPr="00BF0681" w:rsidRDefault="00E93DE3" w:rsidP="00BF0681">
      <w:pPr>
        <w:pStyle w:val="Definition"/>
        <w:ind w:left="0"/>
        <w:rPr>
          <w:sz w:val="24"/>
          <w:szCs w:val="24"/>
        </w:rPr>
      </w:pPr>
      <w:proofErr w:type="gramStart"/>
      <w:r w:rsidRPr="00BF0681">
        <w:rPr>
          <w:b/>
          <w:i/>
          <w:sz w:val="24"/>
          <w:szCs w:val="24"/>
        </w:rPr>
        <w:t>high-fill</w:t>
      </w:r>
      <w:proofErr w:type="gramEnd"/>
      <w:r w:rsidRPr="00BF0681">
        <w:rPr>
          <w:b/>
          <w:i/>
          <w:sz w:val="24"/>
          <w:szCs w:val="24"/>
        </w:rPr>
        <w:t xml:space="preserve"> trigger method</w:t>
      </w:r>
      <w:r w:rsidRPr="00BF0681">
        <w:rPr>
          <w:sz w:val="24"/>
          <w:szCs w:val="24"/>
        </w:rPr>
        <w:t xml:space="preserve"> means the method set out in Part 2 of Chapter 2.</w:t>
      </w:r>
    </w:p>
    <w:p w14:paraId="22C8E847" w14:textId="77777777" w:rsidR="00E93DE3" w:rsidRPr="00BF0681" w:rsidRDefault="00E93DE3" w:rsidP="00BF0681">
      <w:pPr>
        <w:pStyle w:val="Definition"/>
        <w:ind w:left="0"/>
        <w:rPr>
          <w:sz w:val="24"/>
          <w:szCs w:val="24"/>
        </w:rPr>
      </w:pPr>
      <w:bookmarkStart w:id="15" w:name="BK_S3P3L12C1"/>
      <w:bookmarkEnd w:id="15"/>
      <w:r w:rsidRPr="00BF0681">
        <w:rPr>
          <w:b/>
          <w:i/>
          <w:sz w:val="24"/>
          <w:szCs w:val="24"/>
        </w:rPr>
        <w:t>Indonesia-Australia Comprehensive Economic Partnership Agreement</w:t>
      </w:r>
      <w:r w:rsidRPr="00BF0681">
        <w:rPr>
          <w:sz w:val="24"/>
          <w:szCs w:val="24"/>
        </w:rPr>
        <w:t xml:space="preserve"> means the Indonesia-Australia Comprehensive Economic Partnership Agreement done at Jakarta on 4 March 2019, as amended from time to time.</w:t>
      </w:r>
    </w:p>
    <w:p w14:paraId="1083ABB6" w14:textId="47A00020" w:rsidR="00E93DE3" w:rsidRDefault="00E93DE3" w:rsidP="00BF0681">
      <w:pPr>
        <w:pStyle w:val="notetext"/>
        <w:ind w:left="0" w:firstLine="0"/>
        <w:rPr>
          <w:sz w:val="24"/>
          <w:szCs w:val="24"/>
        </w:rPr>
      </w:pPr>
      <w:r w:rsidRPr="00BF0681">
        <w:rPr>
          <w:sz w:val="24"/>
          <w:szCs w:val="24"/>
        </w:rPr>
        <w:t>Note:</w:t>
      </w:r>
      <w:r w:rsidRPr="00BF0681">
        <w:rPr>
          <w:sz w:val="24"/>
          <w:szCs w:val="24"/>
        </w:rPr>
        <w:tab/>
        <w:t xml:space="preserve">The Agreement could in 2019 be viewed in the Australian Treaties Library on the </w:t>
      </w:r>
      <w:proofErr w:type="spellStart"/>
      <w:r w:rsidRPr="00BF0681">
        <w:rPr>
          <w:sz w:val="24"/>
          <w:szCs w:val="24"/>
        </w:rPr>
        <w:t>AustLII</w:t>
      </w:r>
      <w:proofErr w:type="spellEnd"/>
      <w:r w:rsidRPr="00BF0681">
        <w:rPr>
          <w:sz w:val="24"/>
          <w:szCs w:val="24"/>
        </w:rPr>
        <w:t xml:space="preserve"> website (</w:t>
      </w:r>
      <w:hyperlink r:id="rId12" w:history="1">
        <w:r w:rsidR="0053168C" w:rsidRPr="007E556A">
          <w:rPr>
            <w:rStyle w:val="Hyperlink"/>
            <w:sz w:val="24"/>
            <w:szCs w:val="24"/>
          </w:rPr>
          <w:t>http://www.austlii.edu.au</w:t>
        </w:r>
      </w:hyperlink>
      <w:r w:rsidRPr="00BF0681">
        <w:rPr>
          <w:sz w:val="24"/>
          <w:szCs w:val="24"/>
        </w:rPr>
        <w:t>).</w:t>
      </w:r>
      <w:bookmarkStart w:id="16" w:name="BK_S3P3L16C46"/>
      <w:bookmarkEnd w:id="16"/>
    </w:p>
    <w:p w14:paraId="6031B8F2" w14:textId="77777777" w:rsidR="0053168C" w:rsidRPr="00575E15" w:rsidRDefault="0053168C" w:rsidP="0053168C">
      <w:pPr>
        <w:pStyle w:val="Definition"/>
        <w:ind w:left="0"/>
        <w:rPr>
          <w:sz w:val="24"/>
          <w:szCs w:val="24"/>
        </w:rPr>
      </w:pPr>
      <w:r w:rsidRPr="00575E15">
        <w:rPr>
          <w:sz w:val="24"/>
          <w:szCs w:val="24"/>
        </w:rPr>
        <w:t>Paragraph 25(5)(aba) of the Export Control Act permits an order made under that Act to  apply, adopt or incorporate any matter contained in any instrument or writing that:</w:t>
      </w:r>
    </w:p>
    <w:p w14:paraId="6E90F646" w14:textId="77777777" w:rsidR="0053168C" w:rsidRPr="00575E15" w:rsidRDefault="0053168C" w:rsidP="000F6D46">
      <w:pPr>
        <w:pStyle w:val="ListParagraph"/>
        <w:numPr>
          <w:ilvl w:val="0"/>
          <w:numId w:val="61"/>
        </w:numPr>
        <w:spacing w:line="240" w:lineRule="auto"/>
        <w:rPr>
          <w:sz w:val="24"/>
          <w:szCs w:val="24"/>
        </w:rPr>
      </w:pPr>
      <w:r w:rsidRPr="00575E15">
        <w:rPr>
          <w:sz w:val="24"/>
          <w:szCs w:val="24"/>
        </w:rPr>
        <w:t>sets out, or provides a method for calculating, the tariff rate quota for the importation of goods into a country; and</w:t>
      </w:r>
    </w:p>
    <w:p w14:paraId="4A44DDE1" w14:textId="77777777" w:rsidR="0053168C" w:rsidRPr="00575E15" w:rsidRDefault="0053168C" w:rsidP="000F6D46">
      <w:pPr>
        <w:pStyle w:val="ListParagraph"/>
        <w:numPr>
          <w:ilvl w:val="0"/>
          <w:numId w:val="61"/>
        </w:numPr>
        <w:spacing w:line="240" w:lineRule="auto"/>
        <w:rPr>
          <w:sz w:val="24"/>
          <w:szCs w:val="24"/>
        </w:rPr>
      </w:pPr>
      <w:r w:rsidRPr="00575E15">
        <w:rPr>
          <w:sz w:val="24"/>
          <w:szCs w:val="24"/>
        </w:rPr>
        <w:t>is made by the authority or body in that country responsible for regulating the importation of goods into that country;</w:t>
      </w:r>
    </w:p>
    <w:p w14:paraId="4F00E3B8" w14:textId="77777777" w:rsidR="0053168C" w:rsidRDefault="0053168C" w:rsidP="0053168C">
      <w:pPr>
        <w:spacing w:line="240" w:lineRule="auto"/>
        <w:rPr>
          <w:sz w:val="24"/>
          <w:szCs w:val="24"/>
        </w:rPr>
      </w:pPr>
      <w:proofErr w:type="gramStart"/>
      <w:r w:rsidRPr="00575E15">
        <w:rPr>
          <w:sz w:val="24"/>
          <w:szCs w:val="24"/>
        </w:rPr>
        <w:t>as</w:t>
      </w:r>
      <w:proofErr w:type="gramEnd"/>
      <w:r w:rsidRPr="00575E15">
        <w:rPr>
          <w:sz w:val="24"/>
          <w:szCs w:val="24"/>
        </w:rPr>
        <w:t xml:space="preserve"> in force at a particular time or as in force from time to time.</w:t>
      </w:r>
    </w:p>
    <w:p w14:paraId="72A62052" w14:textId="55EFC855" w:rsidR="0053168C" w:rsidRPr="00BF0681" w:rsidRDefault="0053168C" w:rsidP="0053168C">
      <w:pPr>
        <w:pStyle w:val="notetext"/>
        <w:ind w:left="0" w:firstLine="0"/>
        <w:rPr>
          <w:sz w:val="24"/>
          <w:szCs w:val="24"/>
        </w:rPr>
      </w:pPr>
      <w:r w:rsidRPr="00A90BBB">
        <w:rPr>
          <w:sz w:val="24"/>
          <w:szCs w:val="24"/>
          <w:lang w:eastAsia="en-US"/>
        </w:rPr>
        <w:t>Here, the relevant</w:t>
      </w:r>
      <w:r w:rsidR="00614C52">
        <w:rPr>
          <w:sz w:val="24"/>
          <w:szCs w:val="24"/>
          <w:lang w:eastAsia="en-US"/>
        </w:rPr>
        <w:t xml:space="preserve"> instrument or writing</w:t>
      </w:r>
      <w:r w:rsidRPr="00A90BBB">
        <w:rPr>
          <w:sz w:val="24"/>
          <w:szCs w:val="24"/>
          <w:lang w:eastAsia="en-US"/>
        </w:rPr>
        <w:t xml:space="preserve"> (the </w:t>
      </w:r>
      <w:r>
        <w:rPr>
          <w:sz w:val="24"/>
          <w:szCs w:val="24"/>
          <w:lang w:eastAsia="en-US"/>
        </w:rPr>
        <w:t>Comprehensive Economic Partnership Agreement</w:t>
      </w:r>
      <w:r w:rsidRPr="00A90BBB">
        <w:rPr>
          <w:sz w:val="24"/>
          <w:szCs w:val="24"/>
          <w:lang w:eastAsia="en-US"/>
        </w:rPr>
        <w:t xml:space="preserve">) sets out </w:t>
      </w:r>
      <w:r w:rsidRPr="00F32E84">
        <w:rPr>
          <w:sz w:val="24"/>
          <w:szCs w:val="24"/>
          <w:lang w:eastAsia="en-US"/>
        </w:rPr>
        <w:t>tariff rate quotas for the i</w:t>
      </w:r>
      <w:r>
        <w:rPr>
          <w:sz w:val="24"/>
          <w:szCs w:val="24"/>
          <w:lang w:eastAsia="en-US"/>
        </w:rPr>
        <w:t>mportation of goods into Indonesia</w:t>
      </w:r>
      <w:r w:rsidRPr="00F32E84">
        <w:rPr>
          <w:sz w:val="24"/>
          <w:szCs w:val="24"/>
          <w:lang w:eastAsia="en-US"/>
        </w:rPr>
        <w:t xml:space="preserve"> and so would meet the requirements of subparagraph (</w:t>
      </w:r>
      <w:proofErr w:type="spellStart"/>
      <w:r w:rsidRPr="00F32E84">
        <w:rPr>
          <w:sz w:val="24"/>
          <w:szCs w:val="24"/>
          <w:lang w:eastAsia="en-US"/>
        </w:rPr>
        <w:t>i</w:t>
      </w:r>
      <w:proofErr w:type="spellEnd"/>
      <w:r w:rsidRPr="00F32E84">
        <w:rPr>
          <w:sz w:val="24"/>
          <w:szCs w:val="24"/>
          <w:lang w:eastAsia="en-US"/>
        </w:rPr>
        <w:t>).</w:t>
      </w:r>
      <w:r w:rsidRPr="0053168C">
        <w:rPr>
          <w:sz w:val="24"/>
          <w:szCs w:val="24"/>
          <w:lang w:eastAsia="en-US"/>
        </w:rPr>
        <w:t xml:space="preserve"> In relation to the ‘</w:t>
      </w:r>
      <w:r w:rsidR="00787972">
        <w:rPr>
          <w:sz w:val="24"/>
          <w:szCs w:val="24"/>
          <w:lang w:eastAsia="en-US"/>
        </w:rPr>
        <w:t>authority in that country’, the</w:t>
      </w:r>
      <w:r w:rsidRPr="00F05F76">
        <w:rPr>
          <w:sz w:val="24"/>
          <w:szCs w:val="24"/>
          <w:lang w:eastAsia="en-US"/>
        </w:rPr>
        <w:t xml:space="preserve"> </w:t>
      </w:r>
      <w:r w:rsidR="00787972">
        <w:rPr>
          <w:sz w:val="24"/>
          <w:szCs w:val="24"/>
          <w:lang w:eastAsia="en-US"/>
        </w:rPr>
        <w:t xml:space="preserve">Directorate General of  Customs and Excise </w:t>
      </w:r>
      <w:r w:rsidRPr="00F05F76">
        <w:rPr>
          <w:sz w:val="24"/>
          <w:szCs w:val="24"/>
          <w:lang w:eastAsia="en-US"/>
        </w:rPr>
        <w:t>is the rele</w:t>
      </w:r>
      <w:r w:rsidR="00787972">
        <w:rPr>
          <w:sz w:val="24"/>
          <w:szCs w:val="24"/>
          <w:lang w:eastAsia="en-US"/>
        </w:rPr>
        <w:t>vant Indonesian</w:t>
      </w:r>
      <w:r>
        <w:rPr>
          <w:sz w:val="24"/>
          <w:szCs w:val="24"/>
          <w:lang w:eastAsia="en-US"/>
        </w:rPr>
        <w:t xml:space="preserve"> body</w:t>
      </w:r>
      <w:r w:rsidRPr="00F05F76">
        <w:rPr>
          <w:sz w:val="24"/>
          <w:szCs w:val="24"/>
          <w:lang w:eastAsia="en-US"/>
        </w:rPr>
        <w:t xml:space="preserve"> </w:t>
      </w:r>
      <w:r w:rsidR="00614C52">
        <w:rPr>
          <w:sz w:val="24"/>
          <w:szCs w:val="24"/>
          <w:lang w:eastAsia="en-US"/>
        </w:rPr>
        <w:t xml:space="preserve"> regulating</w:t>
      </w:r>
      <w:r w:rsidRPr="00F05F76">
        <w:rPr>
          <w:sz w:val="24"/>
          <w:szCs w:val="24"/>
          <w:lang w:eastAsia="en-US"/>
        </w:rPr>
        <w:t xml:space="preserve"> customs tariffs for imported goods</w:t>
      </w:r>
      <w:r w:rsidRPr="00A90BBB">
        <w:rPr>
          <w:sz w:val="24"/>
          <w:szCs w:val="24"/>
          <w:lang w:eastAsia="en-US"/>
        </w:rPr>
        <w:t>, so is regarded as meeting the description in subparagraph (ii).</w:t>
      </w:r>
    </w:p>
    <w:p w14:paraId="265F1646" w14:textId="5F1A885A" w:rsidR="00E93DE3" w:rsidRPr="00BF0681" w:rsidRDefault="00E93DE3" w:rsidP="00BF0681">
      <w:pPr>
        <w:pStyle w:val="Definition"/>
        <w:ind w:left="0"/>
        <w:rPr>
          <w:sz w:val="24"/>
          <w:szCs w:val="24"/>
        </w:rPr>
      </w:pPr>
      <w:r w:rsidRPr="00BF0681">
        <w:rPr>
          <w:b/>
          <w:i/>
          <w:sz w:val="24"/>
          <w:szCs w:val="24"/>
        </w:rPr>
        <w:t>Indonesia quota goods</w:t>
      </w:r>
      <w:r w:rsidRPr="00BF0681">
        <w:rPr>
          <w:sz w:val="24"/>
          <w:szCs w:val="24"/>
        </w:rPr>
        <w:t xml:space="preserve"> </w:t>
      </w:r>
      <w:r w:rsidR="00E62A2D">
        <w:rPr>
          <w:sz w:val="24"/>
          <w:szCs w:val="24"/>
        </w:rPr>
        <w:t>see</w:t>
      </w:r>
      <w:r w:rsidR="00E62A2D" w:rsidRPr="00BF0681" w:rsidDel="00E62A2D">
        <w:rPr>
          <w:sz w:val="24"/>
          <w:szCs w:val="24"/>
        </w:rPr>
        <w:t xml:space="preserve"> </w:t>
      </w:r>
      <w:r w:rsidR="00614C52">
        <w:rPr>
          <w:sz w:val="24"/>
          <w:szCs w:val="24"/>
        </w:rPr>
        <w:t>sub</w:t>
      </w:r>
      <w:r w:rsidRPr="00BF0681">
        <w:rPr>
          <w:sz w:val="24"/>
          <w:szCs w:val="24"/>
        </w:rPr>
        <w:t>section 75</w:t>
      </w:r>
      <w:r w:rsidR="00614C52">
        <w:rPr>
          <w:sz w:val="24"/>
          <w:szCs w:val="24"/>
        </w:rPr>
        <w:t>(1).</w:t>
      </w:r>
    </w:p>
    <w:p w14:paraId="28E634E7" w14:textId="17EDBB9D" w:rsidR="00E93DE3" w:rsidRPr="00BF0681" w:rsidRDefault="00E93DE3" w:rsidP="00BF0681">
      <w:pPr>
        <w:pStyle w:val="Definition"/>
        <w:ind w:left="0"/>
        <w:rPr>
          <w:sz w:val="24"/>
          <w:szCs w:val="24"/>
        </w:rPr>
      </w:pPr>
      <w:proofErr w:type="gramStart"/>
      <w:r w:rsidRPr="00BF0681">
        <w:rPr>
          <w:b/>
          <w:i/>
          <w:sz w:val="24"/>
          <w:szCs w:val="24"/>
        </w:rPr>
        <w:t>initial</w:t>
      </w:r>
      <w:proofErr w:type="gramEnd"/>
      <w:r w:rsidRPr="00BF0681">
        <w:rPr>
          <w:b/>
          <w:i/>
          <w:sz w:val="24"/>
          <w:szCs w:val="24"/>
        </w:rPr>
        <w:t xml:space="preserve"> decision</w:t>
      </w:r>
      <w:r w:rsidRPr="00BF0681">
        <w:rPr>
          <w:sz w:val="24"/>
          <w:szCs w:val="24"/>
        </w:rPr>
        <w:t xml:space="preserve"> </w:t>
      </w:r>
      <w:r w:rsidR="00E62A2D">
        <w:rPr>
          <w:sz w:val="24"/>
          <w:szCs w:val="24"/>
        </w:rPr>
        <w:t>see</w:t>
      </w:r>
      <w:r w:rsidR="00E62A2D" w:rsidRPr="00BF0681">
        <w:rPr>
          <w:sz w:val="24"/>
          <w:szCs w:val="24"/>
        </w:rPr>
        <w:t xml:space="preserve"> </w:t>
      </w:r>
      <w:r w:rsidRPr="00BF0681">
        <w:rPr>
          <w:sz w:val="24"/>
          <w:szCs w:val="24"/>
        </w:rPr>
        <w:t>section 120.</w:t>
      </w:r>
    </w:p>
    <w:p w14:paraId="2288419C" w14:textId="1643447D" w:rsidR="00E93DE3" w:rsidRPr="00BF0681" w:rsidRDefault="00E93DE3" w:rsidP="00BF0681">
      <w:pPr>
        <w:pStyle w:val="Definition"/>
        <w:ind w:left="0"/>
        <w:rPr>
          <w:sz w:val="24"/>
          <w:szCs w:val="24"/>
        </w:rPr>
      </w:pPr>
      <w:proofErr w:type="gramStart"/>
      <w:r w:rsidRPr="00BF0681">
        <w:rPr>
          <w:b/>
          <w:i/>
          <w:sz w:val="24"/>
          <w:szCs w:val="24"/>
        </w:rPr>
        <w:t>initial</w:t>
      </w:r>
      <w:proofErr w:type="gramEnd"/>
      <w:r w:rsidRPr="00BF0681">
        <w:rPr>
          <w:b/>
          <w:i/>
          <w:sz w:val="24"/>
          <w:szCs w:val="24"/>
        </w:rPr>
        <w:t xml:space="preserve"> individual entitlement</w:t>
      </w:r>
      <w:r w:rsidRPr="00BF0681">
        <w:rPr>
          <w:sz w:val="24"/>
          <w:szCs w:val="24"/>
        </w:rPr>
        <w:t>: see subsection 32(1).</w:t>
      </w:r>
    </w:p>
    <w:p w14:paraId="6049C048" w14:textId="77777777" w:rsidR="00E93DE3" w:rsidRPr="00BF0681" w:rsidRDefault="00E93DE3" w:rsidP="00BF0681">
      <w:pPr>
        <w:pStyle w:val="Definition"/>
        <w:ind w:left="0"/>
        <w:rPr>
          <w:sz w:val="24"/>
          <w:szCs w:val="24"/>
        </w:rPr>
      </w:pPr>
      <w:r w:rsidRPr="00BF0681">
        <w:rPr>
          <w:b/>
          <w:i/>
          <w:sz w:val="24"/>
          <w:szCs w:val="24"/>
        </w:rPr>
        <w:lastRenderedPageBreak/>
        <w:t>Japan</w:t>
      </w:r>
      <w:r w:rsidRPr="00BF0681">
        <w:rPr>
          <w:b/>
          <w:i/>
          <w:sz w:val="24"/>
          <w:szCs w:val="24"/>
        </w:rPr>
        <w:noBreakHyphen/>
        <w:t>Australia Economic Partnership Agreement</w:t>
      </w:r>
      <w:r w:rsidRPr="00BF0681">
        <w:rPr>
          <w:sz w:val="24"/>
          <w:szCs w:val="24"/>
        </w:rPr>
        <w:t xml:space="preserve"> means the Agreement between Australia and Japan for an Economic Partnership, done at Canberra on 8 July 2014, as amended from time to time.</w:t>
      </w:r>
    </w:p>
    <w:p w14:paraId="0862765B" w14:textId="3147DB2C" w:rsidR="00E93DE3" w:rsidRDefault="00E93DE3" w:rsidP="00BF0681">
      <w:pPr>
        <w:pStyle w:val="notetext"/>
        <w:ind w:left="0" w:firstLine="0"/>
        <w:rPr>
          <w:sz w:val="24"/>
          <w:szCs w:val="24"/>
        </w:rPr>
      </w:pPr>
      <w:r w:rsidRPr="00BF0681">
        <w:rPr>
          <w:sz w:val="24"/>
          <w:szCs w:val="24"/>
        </w:rPr>
        <w:t>Note:</w:t>
      </w:r>
      <w:r w:rsidRPr="00BF0681">
        <w:rPr>
          <w:sz w:val="24"/>
          <w:szCs w:val="24"/>
        </w:rPr>
        <w:tab/>
        <w:t xml:space="preserve">The Agreement is in Australian Treaty Series 2015 No. 2 ([2015] ATS 2) and could in 2019 be viewed in the Australian Treaties Library on the </w:t>
      </w:r>
      <w:proofErr w:type="spellStart"/>
      <w:r w:rsidRPr="00BF0681">
        <w:rPr>
          <w:sz w:val="24"/>
          <w:szCs w:val="24"/>
        </w:rPr>
        <w:t>AustLII</w:t>
      </w:r>
      <w:proofErr w:type="spellEnd"/>
      <w:r w:rsidRPr="00BF0681">
        <w:rPr>
          <w:sz w:val="24"/>
          <w:szCs w:val="24"/>
        </w:rPr>
        <w:t xml:space="preserve"> website (</w:t>
      </w:r>
      <w:hyperlink r:id="rId13" w:history="1">
        <w:r w:rsidR="0053168C" w:rsidRPr="007E556A">
          <w:rPr>
            <w:rStyle w:val="Hyperlink"/>
            <w:sz w:val="24"/>
            <w:szCs w:val="24"/>
          </w:rPr>
          <w:t>http://www.austlii.edu.au</w:t>
        </w:r>
      </w:hyperlink>
      <w:r w:rsidRPr="00BF0681">
        <w:rPr>
          <w:sz w:val="24"/>
          <w:szCs w:val="24"/>
        </w:rPr>
        <w:t>).</w:t>
      </w:r>
    </w:p>
    <w:p w14:paraId="2CAFFB81" w14:textId="77777777" w:rsidR="0053168C" w:rsidRPr="00575E15" w:rsidRDefault="0053168C" w:rsidP="0053168C">
      <w:pPr>
        <w:pStyle w:val="Definition"/>
        <w:ind w:left="0"/>
        <w:rPr>
          <w:sz w:val="24"/>
          <w:szCs w:val="24"/>
        </w:rPr>
      </w:pPr>
      <w:r w:rsidRPr="00575E15">
        <w:rPr>
          <w:sz w:val="24"/>
          <w:szCs w:val="24"/>
        </w:rPr>
        <w:t>Paragraph 25(5)(aba) of the Export Control Act permits an order made under that Act to  apply, adopt or incorporate any matter contained in any instrument or writing that:</w:t>
      </w:r>
    </w:p>
    <w:p w14:paraId="76505981" w14:textId="77777777" w:rsidR="0053168C" w:rsidRPr="00575E15" w:rsidRDefault="0053168C" w:rsidP="000F6D46">
      <w:pPr>
        <w:pStyle w:val="ListParagraph"/>
        <w:numPr>
          <w:ilvl w:val="0"/>
          <w:numId w:val="62"/>
        </w:numPr>
        <w:spacing w:line="240" w:lineRule="auto"/>
        <w:rPr>
          <w:sz w:val="24"/>
          <w:szCs w:val="24"/>
        </w:rPr>
      </w:pPr>
      <w:r w:rsidRPr="00575E15">
        <w:rPr>
          <w:sz w:val="24"/>
          <w:szCs w:val="24"/>
        </w:rPr>
        <w:t>sets out, or provides a method for calculating, the tariff rate quota for the importation of goods into a country; and</w:t>
      </w:r>
    </w:p>
    <w:p w14:paraId="03869B4F" w14:textId="77777777" w:rsidR="0053168C" w:rsidRPr="00575E15" w:rsidRDefault="0053168C" w:rsidP="000F6D46">
      <w:pPr>
        <w:pStyle w:val="ListParagraph"/>
        <w:numPr>
          <w:ilvl w:val="0"/>
          <w:numId w:val="62"/>
        </w:numPr>
        <w:spacing w:line="240" w:lineRule="auto"/>
        <w:rPr>
          <w:sz w:val="24"/>
          <w:szCs w:val="24"/>
        </w:rPr>
      </w:pPr>
      <w:r w:rsidRPr="00575E15">
        <w:rPr>
          <w:sz w:val="24"/>
          <w:szCs w:val="24"/>
        </w:rPr>
        <w:t>is made by the authority or body in that country responsible for regulating the importation of goods into that country;</w:t>
      </w:r>
    </w:p>
    <w:p w14:paraId="5E00D979" w14:textId="77777777" w:rsidR="0053168C" w:rsidRDefault="0053168C" w:rsidP="0053168C">
      <w:pPr>
        <w:spacing w:line="240" w:lineRule="auto"/>
        <w:rPr>
          <w:sz w:val="24"/>
          <w:szCs w:val="24"/>
        </w:rPr>
      </w:pPr>
      <w:proofErr w:type="gramStart"/>
      <w:r w:rsidRPr="00575E15">
        <w:rPr>
          <w:sz w:val="24"/>
          <w:szCs w:val="24"/>
        </w:rPr>
        <w:t>as</w:t>
      </w:r>
      <w:proofErr w:type="gramEnd"/>
      <w:r w:rsidRPr="00575E15">
        <w:rPr>
          <w:sz w:val="24"/>
          <w:szCs w:val="24"/>
        </w:rPr>
        <w:t xml:space="preserve"> in force at a particular time or as in force from time to time.</w:t>
      </w:r>
    </w:p>
    <w:p w14:paraId="628F0788" w14:textId="04E120F2" w:rsidR="0053168C" w:rsidRPr="00BF0681" w:rsidRDefault="0053168C" w:rsidP="0053168C">
      <w:pPr>
        <w:pStyle w:val="notetext"/>
        <w:ind w:left="0" w:firstLine="0"/>
        <w:rPr>
          <w:sz w:val="24"/>
          <w:szCs w:val="24"/>
        </w:rPr>
      </w:pPr>
      <w:r w:rsidRPr="00A90BBB">
        <w:rPr>
          <w:sz w:val="24"/>
          <w:szCs w:val="24"/>
          <w:lang w:eastAsia="en-US"/>
        </w:rPr>
        <w:t xml:space="preserve">Here, the relevant </w:t>
      </w:r>
      <w:r w:rsidR="00575888">
        <w:rPr>
          <w:sz w:val="24"/>
          <w:szCs w:val="24"/>
          <w:lang w:eastAsia="en-US"/>
        </w:rPr>
        <w:t xml:space="preserve">instrument or writing </w:t>
      </w:r>
      <w:r w:rsidRPr="00A90BBB">
        <w:rPr>
          <w:sz w:val="24"/>
          <w:szCs w:val="24"/>
          <w:lang w:eastAsia="en-US"/>
        </w:rPr>
        <w:t xml:space="preserve">(the </w:t>
      </w:r>
      <w:r>
        <w:rPr>
          <w:sz w:val="24"/>
          <w:szCs w:val="24"/>
          <w:lang w:eastAsia="en-US"/>
        </w:rPr>
        <w:t>Economic Partnership Agreement</w:t>
      </w:r>
      <w:r w:rsidRPr="00A90BBB">
        <w:rPr>
          <w:sz w:val="24"/>
          <w:szCs w:val="24"/>
          <w:lang w:eastAsia="en-US"/>
        </w:rPr>
        <w:t xml:space="preserve">) sets out </w:t>
      </w:r>
      <w:r w:rsidRPr="00F32E84">
        <w:rPr>
          <w:sz w:val="24"/>
          <w:szCs w:val="24"/>
          <w:lang w:eastAsia="en-US"/>
        </w:rPr>
        <w:t>tariff rate quotas for the i</w:t>
      </w:r>
      <w:r w:rsidR="002745FD">
        <w:rPr>
          <w:sz w:val="24"/>
          <w:szCs w:val="24"/>
          <w:lang w:eastAsia="en-US"/>
        </w:rPr>
        <w:t>mportation of goods into Japan</w:t>
      </w:r>
      <w:r w:rsidRPr="00F32E84">
        <w:rPr>
          <w:sz w:val="24"/>
          <w:szCs w:val="24"/>
          <w:lang w:eastAsia="en-US"/>
        </w:rPr>
        <w:t xml:space="preserve"> and so would meet the requirements of subparagraph (</w:t>
      </w:r>
      <w:proofErr w:type="spellStart"/>
      <w:r w:rsidRPr="00F32E84">
        <w:rPr>
          <w:sz w:val="24"/>
          <w:szCs w:val="24"/>
          <w:lang w:eastAsia="en-US"/>
        </w:rPr>
        <w:t>i</w:t>
      </w:r>
      <w:proofErr w:type="spellEnd"/>
      <w:r w:rsidRPr="0053168C">
        <w:rPr>
          <w:sz w:val="24"/>
          <w:szCs w:val="24"/>
          <w:lang w:eastAsia="en-US"/>
        </w:rPr>
        <w:t>). In</w:t>
      </w:r>
      <w:r w:rsidRPr="00F05F76">
        <w:rPr>
          <w:sz w:val="24"/>
          <w:szCs w:val="24"/>
          <w:lang w:eastAsia="en-US"/>
        </w:rPr>
        <w:t xml:space="preserve"> relation to the ‘authority in that country’, </w:t>
      </w:r>
      <w:r w:rsidR="00194A95">
        <w:rPr>
          <w:sz w:val="24"/>
          <w:szCs w:val="24"/>
          <w:lang w:eastAsia="en-US"/>
        </w:rPr>
        <w:t>Japan Customs</w:t>
      </w:r>
      <w:r w:rsidRPr="00F05F76">
        <w:rPr>
          <w:sz w:val="24"/>
          <w:szCs w:val="24"/>
          <w:lang w:eastAsia="en-US"/>
        </w:rPr>
        <w:t xml:space="preserve"> is the rele</w:t>
      </w:r>
      <w:r w:rsidR="00194A95">
        <w:rPr>
          <w:sz w:val="24"/>
          <w:szCs w:val="24"/>
          <w:lang w:eastAsia="en-US"/>
        </w:rPr>
        <w:t>vant Japanese</w:t>
      </w:r>
      <w:r w:rsidR="00F32EB3">
        <w:rPr>
          <w:sz w:val="24"/>
          <w:szCs w:val="24"/>
          <w:lang w:eastAsia="en-US"/>
        </w:rPr>
        <w:t xml:space="preserve"> body</w:t>
      </w:r>
      <w:r w:rsidR="00575888">
        <w:rPr>
          <w:sz w:val="24"/>
          <w:szCs w:val="24"/>
          <w:lang w:eastAsia="en-US"/>
        </w:rPr>
        <w:t xml:space="preserve"> responsible for regulating</w:t>
      </w:r>
      <w:r w:rsidRPr="00F05F76">
        <w:rPr>
          <w:sz w:val="24"/>
          <w:szCs w:val="24"/>
          <w:lang w:eastAsia="en-US"/>
        </w:rPr>
        <w:t xml:space="preserve"> customs tariffs for imported goods</w:t>
      </w:r>
      <w:r w:rsidRPr="00A90BBB">
        <w:rPr>
          <w:sz w:val="24"/>
          <w:szCs w:val="24"/>
          <w:lang w:eastAsia="en-US"/>
        </w:rPr>
        <w:t>, so is regarded as meeting the description in subparagraph (ii).</w:t>
      </w:r>
    </w:p>
    <w:p w14:paraId="44633FA0" w14:textId="2DA729B5" w:rsidR="00E93DE3" w:rsidRPr="00BF0681" w:rsidRDefault="00E93DE3" w:rsidP="00BF0681">
      <w:pPr>
        <w:pStyle w:val="Definition"/>
        <w:ind w:left="0"/>
        <w:rPr>
          <w:sz w:val="24"/>
          <w:szCs w:val="24"/>
        </w:rPr>
      </w:pPr>
      <w:r w:rsidRPr="00BF0681">
        <w:rPr>
          <w:b/>
          <w:i/>
          <w:sz w:val="24"/>
          <w:szCs w:val="24"/>
        </w:rPr>
        <w:t xml:space="preserve">Japan quota goods </w:t>
      </w:r>
      <w:r w:rsidR="00DA592C">
        <w:rPr>
          <w:sz w:val="24"/>
          <w:szCs w:val="24"/>
        </w:rPr>
        <w:t xml:space="preserve">see </w:t>
      </w:r>
      <w:r w:rsidR="00575888">
        <w:rPr>
          <w:sz w:val="24"/>
          <w:szCs w:val="24"/>
        </w:rPr>
        <w:t>sub</w:t>
      </w:r>
      <w:r w:rsidRPr="00BF0681">
        <w:rPr>
          <w:sz w:val="24"/>
          <w:szCs w:val="24"/>
        </w:rPr>
        <w:t>section 86</w:t>
      </w:r>
      <w:r w:rsidR="00575888">
        <w:rPr>
          <w:sz w:val="24"/>
          <w:szCs w:val="24"/>
        </w:rPr>
        <w:t>(1)</w:t>
      </w:r>
      <w:r w:rsidRPr="00BF0681">
        <w:rPr>
          <w:sz w:val="24"/>
          <w:szCs w:val="24"/>
        </w:rPr>
        <w:t>.</w:t>
      </w:r>
    </w:p>
    <w:p w14:paraId="2E8CAA4D" w14:textId="00F7C45F" w:rsidR="00E93DE3" w:rsidRPr="00BF0681" w:rsidRDefault="00E93DE3" w:rsidP="00BF0681">
      <w:pPr>
        <w:pStyle w:val="Definition"/>
        <w:ind w:left="0"/>
        <w:rPr>
          <w:sz w:val="24"/>
          <w:szCs w:val="24"/>
        </w:rPr>
      </w:pPr>
      <w:proofErr w:type="gramStart"/>
      <w:r w:rsidRPr="00BF0681">
        <w:rPr>
          <w:b/>
          <w:i/>
          <w:sz w:val="24"/>
          <w:szCs w:val="24"/>
        </w:rPr>
        <w:t>maximum</w:t>
      </w:r>
      <w:proofErr w:type="gramEnd"/>
      <w:r w:rsidRPr="00BF0681">
        <w:rPr>
          <w:b/>
          <w:i/>
          <w:sz w:val="24"/>
          <w:szCs w:val="24"/>
        </w:rPr>
        <w:t xml:space="preserve"> transfer percentage</w:t>
      </w:r>
      <w:r w:rsidRPr="00BF0681">
        <w:rPr>
          <w:sz w:val="24"/>
          <w:szCs w:val="24"/>
        </w:rPr>
        <w:t>: see section 27.</w:t>
      </w:r>
    </w:p>
    <w:p w14:paraId="656E2942" w14:textId="0B9A8316" w:rsidR="00E93DE3" w:rsidRPr="00BF0681" w:rsidRDefault="00E93DE3" w:rsidP="00BF0681">
      <w:pPr>
        <w:pStyle w:val="Definition"/>
        <w:ind w:left="0"/>
        <w:rPr>
          <w:sz w:val="24"/>
          <w:szCs w:val="24"/>
        </w:rPr>
      </w:pPr>
      <w:proofErr w:type="gramStart"/>
      <w:r w:rsidRPr="00BF0681">
        <w:rPr>
          <w:b/>
          <w:i/>
          <w:sz w:val="24"/>
          <w:szCs w:val="24"/>
        </w:rPr>
        <w:t>minimum</w:t>
      </w:r>
      <w:proofErr w:type="gramEnd"/>
      <w:r w:rsidRPr="00BF0681">
        <w:rPr>
          <w:b/>
          <w:i/>
          <w:sz w:val="24"/>
          <w:szCs w:val="24"/>
        </w:rPr>
        <w:t xml:space="preserve"> quota allocation</w:t>
      </w:r>
      <w:r w:rsidRPr="00BF0681">
        <w:rPr>
          <w:sz w:val="24"/>
          <w:szCs w:val="24"/>
        </w:rPr>
        <w:t xml:space="preserve"> for a quota type and a quota year, means the amount specified under Chapter 3 to be the minimum quota allocation for that quota type in relation to</w:t>
      </w:r>
      <w:bookmarkStart w:id="17" w:name="BK_S3P3L21C31"/>
      <w:bookmarkEnd w:id="17"/>
      <w:r w:rsidRPr="00BF0681">
        <w:rPr>
          <w:sz w:val="24"/>
          <w:szCs w:val="24"/>
        </w:rPr>
        <w:t xml:space="preserve"> that quota year.</w:t>
      </w:r>
      <w:r w:rsidR="00E67F54">
        <w:rPr>
          <w:sz w:val="24"/>
          <w:szCs w:val="24"/>
        </w:rPr>
        <w:t xml:space="preserve"> This is considered as the amount </w:t>
      </w:r>
      <w:r w:rsidR="00BA58D3">
        <w:rPr>
          <w:sz w:val="24"/>
          <w:szCs w:val="24"/>
        </w:rPr>
        <w:t>under</w:t>
      </w:r>
      <w:r w:rsidR="00E67F54">
        <w:rPr>
          <w:sz w:val="24"/>
          <w:szCs w:val="24"/>
        </w:rPr>
        <w:t xml:space="preserve"> which would </w:t>
      </w:r>
      <w:r w:rsidR="00BA58D3">
        <w:rPr>
          <w:sz w:val="24"/>
          <w:szCs w:val="24"/>
        </w:rPr>
        <w:t xml:space="preserve">generally </w:t>
      </w:r>
      <w:r w:rsidR="00E67F54">
        <w:rPr>
          <w:sz w:val="24"/>
          <w:szCs w:val="24"/>
        </w:rPr>
        <w:t>not be a useful allocation</w:t>
      </w:r>
      <w:r w:rsidR="00BA58D3">
        <w:rPr>
          <w:sz w:val="24"/>
          <w:szCs w:val="24"/>
        </w:rPr>
        <w:t xml:space="preserve"> for commercial purposes</w:t>
      </w:r>
      <w:r w:rsidR="00E67F54">
        <w:rPr>
          <w:sz w:val="24"/>
          <w:szCs w:val="24"/>
        </w:rPr>
        <w:t xml:space="preserve"> (unless specifically requested).</w:t>
      </w:r>
    </w:p>
    <w:p w14:paraId="4E31A849" w14:textId="3C352C28" w:rsidR="00E93DE3" w:rsidRPr="00BF0681" w:rsidRDefault="00E93DE3" w:rsidP="00BF0681">
      <w:pPr>
        <w:pStyle w:val="Definition"/>
        <w:ind w:left="0"/>
        <w:rPr>
          <w:sz w:val="24"/>
          <w:szCs w:val="24"/>
        </w:rPr>
      </w:pPr>
      <w:proofErr w:type="gramStart"/>
      <w:r w:rsidRPr="00BF0681">
        <w:rPr>
          <w:b/>
          <w:i/>
          <w:sz w:val="24"/>
          <w:szCs w:val="24"/>
        </w:rPr>
        <w:t>new</w:t>
      </w:r>
      <w:proofErr w:type="gramEnd"/>
      <w:r w:rsidRPr="00BF0681">
        <w:rPr>
          <w:b/>
          <w:i/>
          <w:sz w:val="24"/>
          <w:szCs w:val="24"/>
        </w:rPr>
        <w:t xml:space="preserve"> entrant</w:t>
      </w:r>
      <w:r w:rsidRPr="00BF0681">
        <w:rPr>
          <w:sz w:val="24"/>
          <w:szCs w:val="24"/>
        </w:rPr>
        <w:t>: see subsection 28(1).</w:t>
      </w:r>
    </w:p>
    <w:p w14:paraId="6211D428" w14:textId="5EEBC47C" w:rsidR="00E93DE3" w:rsidRPr="00BF0681" w:rsidRDefault="00E93DE3" w:rsidP="00BF0681">
      <w:pPr>
        <w:pStyle w:val="Definition"/>
        <w:ind w:left="0"/>
        <w:rPr>
          <w:sz w:val="24"/>
          <w:szCs w:val="24"/>
        </w:rPr>
      </w:pPr>
      <w:proofErr w:type="gramStart"/>
      <w:r w:rsidRPr="00BF0681">
        <w:rPr>
          <w:b/>
          <w:i/>
          <w:sz w:val="24"/>
          <w:szCs w:val="24"/>
        </w:rPr>
        <w:t>new</w:t>
      </w:r>
      <w:proofErr w:type="gramEnd"/>
      <w:r w:rsidRPr="00BF0681">
        <w:rPr>
          <w:b/>
          <w:i/>
          <w:sz w:val="24"/>
          <w:szCs w:val="24"/>
        </w:rPr>
        <w:t xml:space="preserve"> entrant access amount</w:t>
      </w:r>
      <w:r w:rsidRPr="00BF0681">
        <w:rPr>
          <w:sz w:val="24"/>
          <w:szCs w:val="24"/>
        </w:rPr>
        <w:t>: see section 27.</w:t>
      </w:r>
    </w:p>
    <w:p w14:paraId="6104E1FD" w14:textId="15DDB911" w:rsidR="00E93DE3" w:rsidRPr="00BF0681" w:rsidRDefault="00E93DE3" w:rsidP="00BF0681">
      <w:pPr>
        <w:pStyle w:val="Definition"/>
        <w:ind w:left="0"/>
        <w:rPr>
          <w:sz w:val="24"/>
          <w:szCs w:val="24"/>
        </w:rPr>
      </w:pPr>
      <w:proofErr w:type="gramStart"/>
      <w:r w:rsidRPr="00BF0681">
        <w:rPr>
          <w:b/>
          <w:i/>
          <w:sz w:val="24"/>
          <w:szCs w:val="24"/>
        </w:rPr>
        <w:t>new</w:t>
      </w:r>
      <w:proofErr w:type="gramEnd"/>
      <w:r w:rsidRPr="00BF0681">
        <w:rPr>
          <w:b/>
          <w:i/>
          <w:sz w:val="24"/>
          <w:szCs w:val="24"/>
        </w:rPr>
        <w:t xml:space="preserve"> entrant access cap</w:t>
      </w:r>
      <w:r w:rsidRPr="00BF0681">
        <w:rPr>
          <w:sz w:val="24"/>
          <w:szCs w:val="24"/>
        </w:rPr>
        <w:t>: see section 27.</w:t>
      </w:r>
    </w:p>
    <w:p w14:paraId="135E907D" w14:textId="761189DA" w:rsidR="00E93DE3" w:rsidRPr="00BF0681" w:rsidRDefault="00E93DE3" w:rsidP="00BF0681">
      <w:pPr>
        <w:pStyle w:val="Definition"/>
        <w:ind w:left="0"/>
        <w:rPr>
          <w:sz w:val="24"/>
          <w:szCs w:val="24"/>
        </w:rPr>
      </w:pPr>
      <w:proofErr w:type="gramStart"/>
      <w:r w:rsidRPr="00BF0681">
        <w:rPr>
          <w:b/>
          <w:i/>
          <w:sz w:val="24"/>
          <w:szCs w:val="24"/>
        </w:rPr>
        <w:t>new</w:t>
      </w:r>
      <w:proofErr w:type="gramEnd"/>
      <w:r w:rsidRPr="00BF0681">
        <w:rPr>
          <w:b/>
          <w:i/>
          <w:sz w:val="24"/>
          <w:szCs w:val="24"/>
        </w:rPr>
        <w:t xml:space="preserve"> entrant available amount</w:t>
      </w:r>
      <w:r w:rsidRPr="00BF0681">
        <w:rPr>
          <w:sz w:val="24"/>
          <w:szCs w:val="24"/>
        </w:rPr>
        <w:t>: see section 27.</w:t>
      </w:r>
    </w:p>
    <w:p w14:paraId="2DD9BC44" w14:textId="19E277BE" w:rsidR="00E93DE3" w:rsidRPr="00BF0681" w:rsidRDefault="00E93DE3" w:rsidP="00BF0681">
      <w:pPr>
        <w:pStyle w:val="Definition"/>
        <w:ind w:left="0"/>
        <w:rPr>
          <w:sz w:val="24"/>
          <w:szCs w:val="24"/>
        </w:rPr>
      </w:pPr>
      <w:proofErr w:type="gramStart"/>
      <w:r w:rsidRPr="00BF0681">
        <w:rPr>
          <w:b/>
          <w:i/>
          <w:sz w:val="24"/>
          <w:szCs w:val="24"/>
        </w:rPr>
        <w:t>penalty</w:t>
      </w:r>
      <w:proofErr w:type="gramEnd"/>
      <w:r w:rsidRPr="00BF0681">
        <w:rPr>
          <w:b/>
          <w:i/>
          <w:sz w:val="24"/>
          <w:szCs w:val="24"/>
        </w:rPr>
        <w:t xml:space="preserve"> individual threshold</w:t>
      </w:r>
      <w:r w:rsidRPr="00BF0681">
        <w:rPr>
          <w:sz w:val="24"/>
          <w:szCs w:val="24"/>
        </w:rPr>
        <w:t>: see section 27.</w:t>
      </w:r>
    </w:p>
    <w:p w14:paraId="151840AB" w14:textId="20187E21" w:rsidR="00E93DE3" w:rsidRPr="00BF0681" w:rsidRDefault="00E93DE3" w:rsidP="00BF0681">
      <w:pPr>
        <w:pStyle w:val="Definition"/>
        <w:ind w:left="0"/>
        <w:rPr>
          <w:sz w:val="24"/>
          <w:szCs w:val="24"/>
        </w:rPr>
      </w:pPr>
      <w:proofErr w:type="gramStart"/>
      <w:r w:rsidRPr="00BF0681">
        <w:rPr>
          <w:b/>
          <w:i/>
          <w:sz w:val="24"/>
          <w:szCs w:val="24"/>
        </w:rPr>
        <w:t>penalty</w:t>
      </w:r>
      <w:proofErr w:type="gramEnd"/>
      <w:r w:rsidRPr="00BF0681">
        <w:rPr>
          <w:b/>
          <w:i/>
          <w:sz w:val="24"/>
          <w:szCs w:val="24"/>
        </w:rPr>
        <w:t xml:space="preserve"> pool threshold</w:t>
      </w:r>
      <w:r w:rsidRPr="00BF0681">
        <w:rPr>
          <w:sz w:val="24"/>
          <w:szCs w:val="24"/>
        </w:rPr>
        <w:t>: see section 27.</w:t>
      </w:r>
    </w:p>
    <w:p w14:paraId="5E7589EE" w14:textId="66AB841D" w:rsidR="00E93DE3" w:rsidRPr="00BF0681" w:rsidRDefault="00E93DE3" w:rsidP="00BF0681">
      <w:pPr>
        <w:pStyle w:val="Definition"/>
        <w:ind w:left="0"/>
        <w:rPr>
          <w:sz w:val="24"/>
          <w:szCs w:val="24"/>
        </w:rPr>
      </w:pPr>
      <w:proofErr w:type="gramStart"/>
      <w:r w:rsidRPr="00BF0681">
        <w:rPr>
          <w:b/>
          <w:i/>
          <w:sz w:val="24"/>
          <w:szCs w:val="24"/>
        </w:rPr>
        <w:t>post</w:t>
      </w:r>
      <w:r w:rsidRPr="00BF0681">
        <w:rPr>
          <w:b/>
          <w:i/>
          <w:sz w:val="24"/>
          <w:szCs w:val="24"/>
        </w:rPr>
        <w:noBreakHyphen/>
        <w:t>trigger</w:t>
      </w:r>
      <w:proofErr w:type="gramEnd"/>
      <w:r w:rsidRPr="00BF0681">
        <w:rPr>
          <w:b/>
          <w:i/>
          <w:sz w:val="24"/>
          <w:szCs w:val="24"/>
        </w:rPr>
        <w:t xml:space="preserve"> access amount</w:t>
      </w:r>
      <w:r w:rsidRPr="00BF0681">
        <w:rPr>
          <w:sz w:val="24"/>
          <w:szCs w:val="24"/>
        </w:rPr>
        <w:t>: see section 14.</w:t>
      </w:r>
    </w:p>
    <w:p w14:paraId="5E3956EF" w14:textId="5CF83B5A" w:rsidR="00E93DE3" w:rsidRPr="00BF0681" w:rsidRDefault="00E93DE3" w:rsidP="00BF0681">
      <w:pPr>
        <w:pStyle w:val="Definition"/>
        <w:ind w:left="0"/>
        <w:rPr>
          <w:sz w:val="24"/>
          <w:szCs w:val="24"/>
        </w:rPr>
      </w:pPr>
      <w:proofErr w:type="gramStart"/>
      <w:r w:rsidRPr="00BF0681">
        <w:rPr>
          <w:b/>
          <w:i/>
          <w:sz w:val="24"/>
          <w:szCs w:val="24"/>
        </w:rPr>
        <w:t>provisional</w:t>
      </w:r>
      <w:proofErr w:type="gramEnd"/>
      <w:r w:rsidRPr="00BF0681">
        <w:rPr>
          <w:b/>
          <w:i/>
          <w:sz w:val="24"/>
          <w:szCs w:val="24"/>
        </w:rPr>
        <w:t xml:space="preserve"> tariff rate quota entitlement</w:t>
      </w:r>
      <w:r w:rsidRPr="00BF0681">
        <w:rPr>
          <w:sz w:val="24"/>
          <w:szCs w:val="24"/>
        </w:rPr>
        <w:t>: see section 20.</w:t>
      </w:r>
    </w:p>
    <w:p w14:paraId="58C9091B" w14:textId="3A09DE56" w:rsidR="00E93DE3" w:rsidRPr="00BF0681" w:rsidRDefault="00E93DE3" w:rsidP="00BF0681">
      <w:pPr>
        <w:pStyle w:val="Definition"/>
        <w:ind w:left="0"/>
        <w:rPr>
          <w:sz w:val="24"/>
          <w:szCs w:val="24"/>
        </w:rPr>
      </w:pPr>
      <w:proofErr w:type="gramStart"/>
      <w:r w:rsidRPr="00BF0681">
        <w:rPr>
          <w:b/>
          <w:i/>
          <w:sz w:val="24"/>
          <w:szCs w:val="24"/>
        </w:rPr>
        <w:t>quarterly</w:t>
      </w:r>
      <w:proofErr w:type="gramEnd"/>
      <w:r w:rsidRPr="00BF0681">
        <w:rPr>
          <w:b/>
          <w:i/>
          <w:sz w:val="24"/>
          <w:szCs w:val="24"/>
        </w:rPr>
        <w:t xml:space="preserve"> access amount</w:t>
      </w:r>
      <w:r w:rsidRPr="00BF0681">
        <w:rPr>
          <w:sz w:val="24"/>
          <w:szCs w:val="24"/>
        </w:rPr>
        <w:t>: see subsection 7(1).</w:t>
      </w:r>
    </w:p>
    <w:p w14:paraId="336F3B6F" w14:textId="77777777" w:rsidR="00E93DE3" w:rsidRPr="00BF0681" w:rsidRDefault="00E93DE3" w:rsidP="00BF0681">
      <w:pPr>
        <w:pStyle w:val="Definition"/>
        <w:ind w:left="0"/>
        <w:rPr>
          <w:sz w:val="24"/>
          <w:szCs w:val="24"/>
        </w:rPr>
      </w:pPr>
      <w:proofErr w:type="gramStart"/>
      <w:r w:rsidRPr="00BF0681">
        <w:rPr>
          <w:b/>
          <w:i/>
          <w:sz w:val="24"/>
          <w:szCs w:val="24"/>
        </w:rPr>
        <w:t>quarter</w:t>
      </w:r>
      <w:proofErr w:type="gramEnd"/>
      <w:r w:rsidRPr="00BF0681">
        <w:rPr>
          <w:b/>
          <w:i/>
          <w:sz w:val="24"/>
          <w:szCs w:val="24"/>
        </w:rPr>
        <w:t xml:space="preserve"> of a quota year</w:t>
      </w:r>
      <w:r w:rsidRPr="00BF0681">
        <w:rPr>
          <w:sz w:val="24"/>
          <w:szCs w:val="24"/>
        </w:rPr>
        <w:t>, for a quota type, means the period specified under Chapter 3 to be a quarter of a quota year for that quota type.</w:t>
      </w:r>
    </w:p>
    <w:p w14:paraId="4D47D702" w14:textId="77777777" w:rsidR="00E93DE3" w:rsidRPr="00BF0681" w:rsidRDefault="00E93DE3" w:rsidP="00BF0681">
      <w:pPr>
        <w:pStyle w:val="Definition"/>
        <w:ind w:left="0"/>
        <w:rPr>
          <w:sz w:val="24"/>
          <w:szCs w:val="24"/>
        </w:rPr>
      </w:pPr>
      <w:proofErr w:type="gramStart"/>
      <w:r w:rsidRPr="00BF0681">
        <w:rPr>
          <w:b/>
          <w:i/>
          <w:sz w:val="24"/>
          <w:szCs w:val="24"/>
        </w:rPr>
        <w:t>quota</w:t>
      </w:r>
      <w:proofErr w:type="gramEnd"/>
      <w:r w:rsidRPr="00BF0681">
        <w:rPr>
          <w:b/>
          <w:i/>
          <w:sz w:val="24"/>
          <w:szCs w:val="24"/>
        </w:rPr>
        <w:t xml:space="preserve"> type</w:t>
      </w:r>
      <w:r w:rsidRPr="00BF0681">
        <w:rPr>
          <w:sz w:val="24"/>
          <w:szCs w:val="24"/>
        </w:rPr>
        <w:t xml:space="preserve"> means a kind of goods for export to a particular destination.</w:t>
      </w:r>
    </w:p>
    <w:p w14:paraId="58103EB8" w14:textId="77777777" w:rsidR="00E93DE3" w:rsidRPr="00BF0681" w:rsidRDefault="00E93DE3" w:rsidP="00BF0681">
      <w:pPr>
        <w:pStyle w:val="Definition"/>
        <w:ind w:left="0"/>
        <w:rPr>
          <w:sz w:val="24"/>
          <w:szCs w:val="24"/>
        </w:rPr>
      </w:pPr>
      <w:proofErr w:type="gramStart"/>
      <w:r w:rsidRPr="00BF0681">
        <w:rPr>
          <w:b/>
          <w:i/>
          <w:sz w:val="24"/>
          <w:szCs w:val="24"/>
        </w:rPr>
        <w:t>quota</w:t>
      </w:r>
      <w:proofErr w:type="gramEnd"/>
      <w:r w:rsidRPr="00BF0681">
        <w:rPr>
          <w:b/>
          <w:i/>
          <w:sz w:val="24"/>
          <w:szCs w:val="24"/>
        </w:rPr>
        <w:t xml:space="preserve"> year</w:t>
      </w:r>
      <w:r w:rsidRPr="00BF0681">
        <w:rPr>
          <w:sz w:val="24"/>
          <w:szCs w:val="24"/>
        </w:rPr>
        <w:t>, for a quota type, means the period that is specified under Chapter 3 to be a quota year for that quota type.</w:t>
      </w:r>
    </w:p>
    <w:p w14:paraId="0242EE44" w14:textId="27A35FA3" w:rsidR="00E93DE3" w:rsidRPr="00BF0681" w:rsidRDefault="00E93DE3" w:rsidP="00BF0681">
      <w:pPr>
        <w:pStyle w:val="Definition"/>
        <w:ind w:left="0"/>
        <w:rPr>
          <w:sz w:val="24"/>
          <w:szCs w:val="24"/>
        </w:rPr>
      </w:pPr>
      <w:bookmarkStart w:id="18" w:name="BK_S3P6L29C1"/>
      <w:bookmarkStart w:id="19" w:name="BK_S3P7L5C1"/>
      <w:bookmarkEnd w:id="18"/>
      <w:bookmarkEnd w:id="19"/>
      <w:proofErr w:type="gramStart"/>
      <w:r w:rsidRPr="00BF0681">
        <w:rPr>
          <w:b/>
          <w:i/>
          <w:sz w:val="24"/>
          <w:szCs w:val="24"/>
        </w:rPr>
        <w:lastRenderedPageBreak/>
        <w:t>reclamation</w:t>
      </w:r>
      <w:proofErr w:type="gramEnd"/>
      <w:r w:rsidRPr="00BF0681">
        <w:rPr>
          <w:b/>
          <w:i/>
          <w:sz w:val="24"/>
          <w:szCs w:val="24"/>
        </w:rPr>
        <w:t xml:space="preserve"> day</w:t>
      </w:r>
      <w:r w:rsidRPr="00BF0681">
        <w:rPr>
          <w:sz w:val="24"/>
          <w:szCs w:val="24"/>
        </w:rPr>
        <w:t>: see section 27.</w:t>
      </w:r>
    </w:p>
    <w:p w14:paraId="5CBB5CE0" w14:textId="4198B440" w:rsidR="00E93DE3" w:rsidRPr="00BF0681" w:rsidRDefault="00E93DE3" w:rsidP="00BF0681">
      <w:pPr>
        <w:pStyle w:val="Definition"/>
        <w:ind w:left="0"/>
        <w:rPr>
          <w:sz w:val="24"/>
          <w:szCs w:val="24"/>
        </w:rPr>
      </w:pPr>
      <w:proofErr w:type="gramStart"/>
      <w:r w:rsidRPr="00BF0681">
        <w:rPr>
          <w:b/>
          <w:i/>
          <w:sz w:val="24"/>
          <w:szCs w:val="24"/>
        </w:rPr>
        <w:t>redistributed</w:t>
      </w:r>
      <w:proofErr w:type="gramEnd"/>
      <w:r w:rsidRPr="00BF0681">
        <w:rPr>
          <w:b/>
          <w:i/>
          <w:sz w:val="24"/>
          <w:szCs w:val="24"/>
        </w:rPr>
        <w:t xml:space="preserve"> individual entitlement</w:t>
      </w:r>
      <w:r w:rsidRPr="00BF0681">
        <w:rPr>
          <w:sz w:val="24"/>
          <w:szCs w:val="24"/>
        </w:rPr>
        <w:t>: see subsection 32(</w:t>
      </w:r>
      <w:r w:rsidR="007F4B7E">
        <w:rPr>
          <w:sz w:val="24"/>
          <w:szCs w:val="24"/>
        </w:rPr>
        <w:t>7</w:t>
      </w:r>
      <w:r w:rsidRPr="00BF0681">
        <w:rPr>
          <w:sz w:val="24"/>
          <w:szCs w:val="24"/>
        </w:rPr>
        <w:t>).</w:t>
      </w:r>
    </w:p>
    <w:p w14:paraId="1AE6E3BB" w14:textId="77777777" w:rsidR="00E93DE3" w:rsidRPr="00BF0681" w:rsidRDefault="00E93DE3" w:rsidP="00BF0681">
      <w:pPr>
        <w:pStyle w:val="Definition"/>
        <w:ind w:left="0"/>
        <w:rPr>
          <w:sz w:val="24"/>
          <w:szCs w:val="24"/>
        </w:rPr>
      </w:pPr>
      <w:proofErr w:type="gramStart"/>
      <w:r w:rsidRPr="00BF0681">
        <w:rPr>
          <w:b/>
          <w:i/>
          <w:sz w:val="24"/>
          <w:szCs w:val="24"/>
        </w:rPr>
        <w:t>relevant</w:t>
      </w:r>
      <w:proofErr w:type="gramEnd"/>
      <w:r w:rsidRPr="00BF0681">
        <w:rPr>
          <w:b/>
          <w:i/>
          <w:sz w:val="24"/>
          <w:szCs w:val="24"/>
        </w:rPr>
        <w:t xml:space="preserve"> destination authority</w:t>
      </w:r>
      <w:r w:rsidRPr="00BF0681">
        <w:rPr>
          <w:sz w:val="24"/>
          <w:szCs w:val="24"/>
        </w:rPr>
        <w:t>, for a kind of goods for export to a particular destination, means the authority or body that is responsible for regulating the importation of that kind of goods into that destination.</w:t>
      </w:r>
    </w:p>
    <w:p w14:paraId="13B82B8A" w14:textId="77777777" w:rsidR="00DF7A7A" w:rsidRDefault="00E93DE3" w:rsidP="00DF7A7A">
      <w:pPr>
        <w:pStyle w:val="Definition"/>
        <w:ind w:left="0"/>
        <w:rPr>
          <w:sz w:val="24"/>
          <w:szCs w:val="24"/>
        </w:rPr>
      </w:pPr>
      <w:proofErr w:type="gramStart"/>
      <w:r w:rsidRPr="00BF0681">
        <w:rPr>
          <w:b/>
          <w:i/>
          <w:sz w:val="24"/>
          <w:szCs w:val="24"/>
        </w:rPr>
        <w:t>relevant</w:t>
      </w:r>
      <w:proofErr w:type="gramEnd"/>
      <w:r w:rsidRPr="00BF0681">
        <w:rPr>
          <w:b/>
          <w:i/>
          <w:sz w:val="24"/>
          <w:szCs w:val="24"/>
        </w:rPr>
        <w:t xml:space="preserve"> liability </w:t>
      </w:r>
      <w:r w:rsidR="00DF7A7A">
        <w:rPr>
          <w:sz w:val="24"/>
          <w:szCs w:val="24"/>
        </w:rPr>
        <w:t>means:</w:t>
      </w:r>
    </w:p>
    <w:p w14:paraId="78CF56B8" w14:textId="77777777" w:rsidR="00DF7A7A" w:rsidRDefault="00E93DE3" w:rsidP="000F6D46">
      <w:pPr>
        <w:pStyle w:val="Definition"/>
        <w:numPr>
          <w:ilvl w:val="0"/>
          <w:numId w:val="30"/>
        </w:numPr>
        <w:ind w:left="426"/>
        <w:rPr>
          <w:sz w:val="24"/>
          <w:szCs w:val="24"/>
        </w:rPr>
      </w:pPr>
      <w:r w:rsidRPr="00DF7A7A">
        <w:rPr>
          <w:sz w:val="24"/>
          <w:szCs w:val="24"/>
        </w:rPr>
        <w:t xml:space="preserve">a fee imposed under the </w:t>
      </w:r>
      <w:r w:rsidRPr="00DF7A7A">
        <w:rPr>
          <w:i/>
          <w:sz w:val="24"/>
          <w:szCs w:val="24"/>
        </w:rPr>
        <w:t xml:space="preserve">Export Control (Fees) Order 2015 </w:t>
      </w:r>
      <w:r w:rsidRPr="00DF7A7A">
        <w:rPr>
          <w:sz w:val="24"/>
          <w:szCs w:val="24"/>
        </w:rPr>
        <w:t>that is due and payable; or</w:t>
      </w:r>
    </w:p>
    <w:p w14:paraId="35A40F07" w14:textId="06C0288D" w:rsidR="00DF7A7A" w:rsidRDefault="00E93DE3" w:rsidP="000F6D46">
      <w:pPr>
        <w:pStyle w:val="Definition"/>
        <w:numPr>
          <w:ilvl w:val="0"/>
          <w:numId w:val="30"/>
        </w:numPr>
        <w:ind w:left="426"/>
        <w:rPr>
          <w:sz w:val="24"/>
          <w:szCs w:val="24"/>
        </w:rPr>
      </w:pPr>
      <w:r w:rsidRPr="00DF7A7A">
        <w:rPr>
          <w:sz w:val="24"/>
          <w:szCs w:val="24"/>
        </w:rPr>
        <w:t xml:space="preserve">a charge prescribed by the </w:t>
      </w:r>
      <w:r w:rsidRPr="00DF7A7A">
        <w:rPr>
          <w:i/>
          <w:sz w:val="24"/>
          <w:szCs w:val="24"/>
        </w:rPr>
        <w:t xml:space="preserve">Export Charges (Imposition—Customs) Regulation 2015 </w:t>
      </w:r>
      <w:r w:rsidRPr="00DF7A7A">
        <w:rPr>
          <w:sz w:val="24"/>
          <w:szCs w:val="24"/>
        </w:rPr>
        <w:t>that is due and payable; or</w:t>
      </w:r>
    </w:p>
    <w:p w14:paraId="6931D09F" w14:textId="52AF1BD5" w:rsidR="00E93DE3" w:rsidRPr="00DF7A7A" w:rsidRDefault="00E93DE3" w:rsidP="000F6D46">
      <w:pPr>
        <w:pStyle w:val="Definition"/>
        <w:numPr>
          <w:ilvl w:val="0"/>
          <w:numId w:val="30"/>
        </w:numPr>
        <w:ind w:left="426"/>
        <w:rPr>
          <w:sz w:val="24"/>
          <w:szCs w:val="24"/>
        </w:rPr>
      </w:pPr>
      <w:proofErr w:type="gramStart"/>
      <w:r w:rsidRPr="00DF7A7A">
        <w:rPr>
          <w:sz w:val="24"/>
          <w:szCs w:val="24"/>
        </w:rPr>
        <w:t>a</w:t>
      </w:r>
      <w:proofErr w:type="gramEnd"/>
      <w:r w:rsidRPr="00DF7A7A">
        <w:rPr>
          <w:sz w:val="24"/>
          <w:szCs w:val="24"/>
        </w:rPr>
        <w:t xml:space="preserve"> charge prescribed by the</w:t>
      </w:r>
      <w:r w:rsidRPr="00DF7A7A">
        <w:rPr>
          <w:i/>
          <w:sz w:val="24"/>
          <w:szCs w:val="24"/>
        </w:rPr>
        <w:t xml:space="preserve"> Export Charges (Imposition—General) Regulation 2015 </w:t>
      </w:r>
      <w:r w:rsidRPr="00DF7A7A">
        <w:rPr>
          <w:sz w:val="24"/>
          <w:szCs w:val="24"/>
        </w:rPr>
        <w:t>that is due and payable.</w:t>
      </w:r>
    </w:p>
    <w:p w14:paraId="371D4252" w14:textId="1A47D265" w:rsidR="00E93DE3" w:rsidRPr="00BF0681" w:rsidRDefault="00E93DE3" w:rsidP="00BF0681">
      <w:pPr>
        <w:pStyle w:val="Definition"/>
        <w:ind w:left="0"/>
        <w:rPr>
          <w:sz w:val="24"/>
          <w:szCs w:val="24"/>
        </w:rPr>
      </w:pPr>
      <w:proofErr w:type="gramStart"/>
      <w:r w:rsidRPr="00BF0681">
        <w:rPr>
          <w:b/>
          <w:i/>
          <w:sz w:val="24"/>
          <w:szCs w:val="24"/>
        </w:rPr>
        <w:t>relevant</w:t>
      </w:r>
      <w:proofErr w:type="gramEnd"/>
      <w:r w:rsidRPr="00BF0681">
        <w:rPr>
          <w:b/>
          <w:i/>
          <w:sz w:val="24"/>
          <w:szCs w:val="24"/>
        </w:rPr>
        <w:t xml:space="preserve"> person</w:t>
      </w:r>
      <w:r w:rsidRPr="00BF0681">
        <w:rPr>
          <w:sz w:val="24"/>
          <w:szCs w:val="24"/>
        </w:rPr>
        <w:t>, for an initial decision referred to in column 1 of an item in the table in section 120, means the person referred to in column 3 of that item.</w:t>
      </w:r>
    </w:p>
    <w:p w14:paraId="78862677" w14:textId="505F29AF" w:rsidR="00E93DE3" w:rsidRPr="00BF0681" w:rsidRDefault="00E93DE3" w:rsidP="00BF0681">
      <w:pPr>
        <w:pStyle w:val="Definition"/>
        <w:ind w:left="0"/>
        <w:rPr>
          <w:sz w:val="24"/>
          <w:szCs w:val="24"/>
        </w:rPr>
      </w:pPr>
      <w:proofErr w:type="gramStart"/>
      <w:r w:rsidRPr="00BF0681">
        <w:rPr>
          <w:b/>
          <w:i/>
          <w:sz w:val="24"/>
          <w:szCs w:val="24"/>
        </w:rPr>
        <w:t>required</w:t>
      </w:r>
      <w:proofErr w:type="gramEnd"/>
      <w:r w:rsidRPr="00BF0681">
        <w:rPr>
          <w:b/>
          <w:i/>
          <w:sz w:val="24"/>
          <w:szCs w:val="24"/>
        </w:rPr>
        <w:t xml:space="preserve"> usage percentage</w:t>
      </w:r>
      <w:r w:rsidRPr="00BF0681">
        <w:rPr>
          <w:sz w:val="24"/>
          <w:szCs w:val="24"/>
        </w:rPr>
        <w:t>: see section 27.</w:t>
      </w:r>
    </w:p>
    <w:p w14:paraId="4D7EABE6" w14:textId="6DCEF2DE" w:rsidR="00E93DE3" w:rsidRPr="00BF0681" w:rsidRDefault="00E93DE3" w:rsidP="00BF0681">
      <w:pPr>
        <w:pStyle w:val="Definition"/>
        <w:ind w:left="0"/>
        <w:rPr>
          <w:sz w:val="24"/>
          <w:szCs w:val="24"/>
        </w:rPr>
      </w:pPr>
      <w:proofErr w:type="gramStart"/>
      <w:r w:rsidRPr="00BF0681">
        <w:rPr>
          <w:b/>
          <w:i/>
          <w:sz w:val="24"/>
          <w:szCs w:val="24"/>
        </w:rPr>
        <w:t>second</w:t>
      </w:r>
      <w:proofErr w:type="gramEnd"/>
      <w:r w:rsidRPr="00BF0681">
        <w:rPr>
          <w:b/>
          <w:i/>
          <w:sz w:val="24"/>
          <w:szCs w:val="24"/>
        </w:rPr>
        <w:t xml:space="preserve"> year new entrant</w:t>
      </w:r>
      <w:r w:rsidRPr="00BF0681">
        <w:rPr>
          <w:sz w:val="24"/>
          <w:szCs w:val="24"/>
        </w:rPr>
        <w:t>: see subsection 28(3).</w:t>
      </w:r>
    </w:p>
    <w:p w14:paraId="0F957C63" w14:textId="374815C0" w:rsidR="00E93DE3" w:rsidRPr="00BF0681" w:rsidRDefault="00E93DE3" w:rsidP="00BF0681">
      <w:pPr>
        <w:pStyle w:val="Definition"/>
        <w:ind w:left="0"/>
        <w:rPr>
          <w:sz w:val="24"/>
          <w:szCs w:val="24"/>
        </w:rPr>
      </w:pPr>
      <w:proofErr w:type="gramStart"/>
      <w:r w:rsidRPr="00BF0681">
        <w:rPr>
          <w:b/>
          <w:i/>
          <w:sz w:val="24"/>
          <w:szCs w:val="24"/>
        </w:rPr>
        <w:t>standard</w:t>
      </w:r>
      <w:proofErr w:type="gramEnd"/>
      <w:r w:rsidRPr="00BF0681">
        <w:rPr>
          <w:b/>
          <w:i/>
          <w:sz w:val="24"/>
          <w:szCs w:val="24"/>
        </w:rPr>
        <w:t xml:space="preserve"> access amount</w:t>
      </w:r>
      <w:r w:rsidRPr="00BF0681">
        <w:rPr>
          <w:sz w:val="24"/>
          <w:szCs w:val="24"/>
        </w:rPr>
        <w:t>: see section 27.</w:t>
      </w:r>
    </w:p>
    <w:p w14:paraId="74D18FAB" w14:textId="77777777" w:rsidR="00E93DE3" w:rsidRPr="00BF0681" w:rsidRDefault="00E93DE3" w:rsidP="00BF0681">
      <w:pPr>
        <w:pStyle w:val="Definition"/>
        <w:ind w:left="0"/>
        <w:rPr>
          <w:sz w:val="24"/>
          <w:szCs w:val="24"/>
        </w:rPr>
      </w:pPr>
      <w:proofErr w:type="gramStart"/>
      <w:r w:rsidRPr="00BF0681">
        <w:rPr>
          <w:b/>
          <w:i/>
          <w:sz w:val="24"/>
          <w:szCs w:val="24"/>
        </w:rPr>
        <w:t>tariff</w:t>
      </w:r>
      <w:proofErr w:type="gramEnd"/>
      <w:r w:rsidRPr="00BF0681">
        <w:rPr>
          <w:b/>
          <w:i/>
          <w:sz w:val="24"/>
          <w:szCs w:val="24"/>
        </w:rPr>
        <w:t xml:space="preserve"> rate quota certificate</w:t>
      </w:r>
      <w:r w:rsidRPr="00BF0681">
        <w:rPr>
          <w:sz w:val="24"/>
          <w:szCs w:val="24"/>
        </w:rPr>
        <w:t xml:space="preserve"> means a tariff rate quota certificate issued under this instrument.</w:t>
      </w:r>
    </w:p>
    <w:p w14:paraId="26818BAF" w14:textId="77777777" w:rsidR="00E93DE3" w:rsidRPr="00BF0681" w:rsidRDefault="00E93DE3" w:rsidP="00BF0681">
      <w:pPr>
        <w:pStyle w:val="Definition"/>
        <w:ind w:left="0"/>
        <w:rPr>
          <w:sz w:val="24"/>
          <w:szCs w:val="24"/>
        </w:rPr>
      </w:pPr>
      <w:r w:rsidRPr="00BF0681">
        <w:rPr>
          <w:b/>
          <w:i/>
          <w:sz w:val="24"/>
          <w:szCs w:val="24"/>
        </w:rPr>
        <w:t>tariff rate quota entitlement</w:t>
      </w:r>
      <w:r w:rsidRPr="00BF0681">
        <w:rPr>
          <w:sz w:val="24"/>
          <w:szCs w:val="24"/>
        </w:rPr>
        <w:t>: a person’s tariff rate quota entitlement for a quota type and a quota year at a particular time is the weight reserved at that time for the person’s use for the purposes of applications for tariff rate quota certificates in relation to</w:t>
      </w:r>
      <w:bookmarkStart w:id="20" w:name="BK_S3P4L25C34"/>
      <w:bookmarkEnd w:id="20"/>
      <w:r w:rsidRPr="00BF0681">
        <w:rPr>
          <w:sz w:val="24"/>
          <w:szCs w:val="24"/>
        </w:rPr>
        <w:t xml:space="preserve"> consignments of that quota type for export in that quota year.</w:t>
      </w:r>
    </w:p>
    <w:p w14:paraId="52D87617" w14:textId="63773E31" w:rsidR="00E93DE3" w:rsidRPr="00BF0681" w:rsidRDefault="00E93DE3" w:rsidP="00BF0681">
      <w:pPr>
        <w:pStyle w:val="Definition"/>
        <w:ind w:left="0"/>
        <w:rPr>
          <w:sz w:val="24"/>
          <w:szCs w:val="24"/>
        </w:rPr>
      </w:pPr>
      <w:proofErr w:type="gramStart"/>
      <w:r w:rsidRPr="00BF0681">
        <w:rPr>
          <w:b/>
          <w:i/>
          <w:sz w:val="24"/>
          <w:szCs w:val="24"/>
        </w:rPr>
        <w:t>third</w:t>
      </w:r>
      <w:proofErr w:type="gramEnd"/>
      <w:r w:rsidRPr="00BF0681">
        <w:rPr>
          <w:b/>
          <w:i/>
          <w:sz w:val="24"/>
          <w:szCs w:val="24"/>
        </w:rPr>
        <w:t xml:space="preserve"> year new entrant</w:t>
      </w:r>
      <w:r w:rsidRPr="00BF0681">
        <w:rPr>
          <w:sz w:val="24"/>
          <w:szCs w:val="24"/>
        </w:rPr>
        <w:t>: see subsection 28(4).</w:t>
      </w:r>
    </w:p>
    <w:p w14:paraId="55372F10" w14:textId="7099B6AA" w:rsidR="00E93DE3" w:rsidRPr="00BF0681" w:rsidRDefault="00E93DE3" w:rsidP="00BF0681">
      <w:pPr>
        <w:pStyle w:val="Definition"/>
        <w:ind w:left="0"/>
        <w:rPr>
          <w:sz w:val="24"/>
          <w:szCs w:val="24"/>
        </w:rPr>
      </w:pPr>
      <w:proofErr w:type="gramStart"/>
      <w:r w:rsidRPr="00BF0681">
        <w:rPr>
          <w:b/>
          <w:i/>
          <w:sz w:val="24"/>
          <w:szCs w:val="24"/>
        </w:rPr>
        <w:t>trigger</w:t>
      </w:r>
      <w:proofErr w:type="gramEnd"/>
      <w:r w:rsidRPr="00BF0681">
        <w:rPr>
          <w:b/>
          <w:i/>
          <w:sz w:val="24"/>
          <w:szCs w:val="24"/>
        </w:rPr>
        <w:t xml:space="preserve"> amount</w:t>
      </w:r>
      <w:r w:rsidRPr="00BF0681">
        <w:rPr>
          <w:sz w:val="24"/>
          <w:szCs w:val="24"/>
        </w:rPr>
        <w:t>: see section 14.</w:t>
      </w:r>
    </w:p>
    <w:p w14:paraId="4115696E" w14:textId="540181EE" w:rsidR="00E93DE3" w:rsidRPr="00BF0681" w:rsidRDefault="00E93DE3" w:rsidP="00BF0681">
      <w:pPr>
        <w:pStyle w:val="Definition"/>
        <w:ind w:left="0"/>
        <w:rPr>
          <w:sz w:val="24"/>
          <w:szCs w:val="24"/>
        </w:rPr>
      </w:pPr>
      <w:proofErr w:type="gramStart"/>
      <w:r w:rsidRPr="00BF0681">
        <w:rPr>
          <w:b/>
          <w:i/>
          <w:sz w:val="24"/>
          <w:szCs w:val="24"/>
        </w:rPr>
        <w:t>trigger</w:t>
      </w:r>
      <w:proofErr w:type="gramEnd"/>
      <w:r w:rsidRPr="00BF0681">
        <w:rPr>
          <w:b/>
          <w:i/>
          <w:sz w:val="24"/>
          <w:szCs w:val="24"/>
        </w:rPr>
        <w:t xml:space="preserve"> deadline</w:t>
      </w:r>
      <w:r w:rsidRPr="00BF0681">
        <w:rPr>
          <w:sz w:val="24"/>
          <w:szCs w:val="24"/>
        </w:rPr>
        <w:t>: see section 14.</w:t>
      </w:r>
    </w:p>
    <w:p w14:paraId="1FCD854F" w14:textId="77777777" w:rsidR="00BA58D3" w:rsidRDefault="00E93DE3" w:rsidP="00BA58D3">
      <w:pPr>
        <w:pStyle w:val="Definition"/>
        <w:ind w:left="0"/>
        <w:rPr>
          <w:sz w:val="24"/>
          <w:szCs w:val="24"/>
        </w:rPr>
      </w:pPr>
      <w:proofErr w:type="gramStart"/>
      <w:r w:rsidRPr="00BF0681">
        <w:rPr>
          <w:b/>
          <w:i/>
          <w:sz w:val="24"/>
          <w:szCs w:val="24"/>
        </w:rPr>
        <w:t>uncommitted</w:t>
      </w:r>
      <w:proofErr w:type="gramEnd"/>
      <w:r w:rsidRPr="00BF0681">
        <w:rPr>
          <w:b/>
          <w:i/>
          <w:sz w:val="24"/>
          <w:szCs w:val="24"/>
        </w:rPr>
        <w:t xml:space="preserve"> annual access amount</w:t>
      </w:r>
      <w:r w:rsidRPr="00BF0681">
        <w:rPr>
          <w:sz w:val="24"/>
          <w:szCs w:val="24"/>
        </w:rPr>
        <w:t>: for a quota type and a quota year at a particular time is the annual access amount for that quota type and quota year reduced by the sum of:</w:t>
      </w:r>
    </w:p>
    <w:p w14:paraId="0ECE7BC3" w14:textId="2A7FE13F" w:rsidR="00E93DE3" w:rsidRPr="00BF0681" w:rsidRDefault="00E93DE3" w:rsidP="00BA58D3">
      <w:pPr>
        <w:pStyle w:val="Definition"/>
        <w:ind w:left="0"/>
        <w:rPr>
          <w:sz w:val="24"/>
          <w:szCs w:val="24"/>
        </w:rPr>
      </w:pPr>
      <w:r w:rsidRPr="00BF0681">
        <w:rPr>
          <w:sz w:val="24"/>
          <w:szCs w:val="24"/>
        </w:rPr>
        <w:t>the total weight for which tariff rate quota certificates have been issued in relation to consignments of that quota type for export in that quota year; and</w:t>
      </w:r>
    </w:p>
    <w:p w14:paraId="226E8E94" w14:textId="34A53CFE" w:rsidR="00E93DE3" w:rsidRPr="00BF0681" w:rsidRDefault="00E93DE3" w:rsidP="00BA58D3">
      <w:pPr>
        <w:pStyle w:val="paragraph"/>
        <w:ind w:left="0"/>
        <w:rPr>
          <w:sz w:val="24"/>
          <w:szCs w:val="24"/>
        </w:rPr>
      </w:pPr>
      <w:r w:rsidRPr="00BF0681">
        <w:rPr>
          <w:sz w:val="24"/>
          <w:szCs w:val="24"/>
        </w:rPr>
        <w:tab/>
      </w:r>
      <w:proofErr w:type="gramStart"/>
      <w:r w:rsidRPr="00BF0681">
        <w:rPr>
          <w:sz w:val="24"/>
          <w:szCs w:val="24"/>
        </w:rPr>
        <w:t>if</w:t>
      </w:r>
      <w:proofErr w:type="gramEnd"/>
      <w:r w:rsidRPr="00BF0681">
        <w:rPr>
          <w:sz w:val="24"/>
          <w:szCs w:val="24"/>
        </w:rPr>
        <w:t xml:space="preserve"> tariff rate quota entitlements have been allocated for that quota type and quota year—the total tariff rate quota entitlements of all persons.</w:t>
      </w:r>
    </w:p>
    <w:p w14:paraId="06609A16" w14:textId="58E27022" w:rsidR="00E93DE3" w:rsidRPr="00BF0681" w:rsidRDefault="00E93DE3" w:rsidP="00CF4A7B">
      <w:pPr>
        <w:pStyle w:val="notetext"/>
        <w:ind w:left="0" w:firstLine="0"/>
        <w:rPr>
          <w:sz w:val="24"/>
          <w:szCs w:val="24"/>
        </w:rPr>
      </w:pPr>
      <w:r w:rsidRPr="00BF0681">
        <w:rPr>
          <w:sz w:val="24"/>
          <w:szCs w:val="24"/>
        </w:rPr>
        <w:t>Note:</w:t>
      </w:r>
      <w:r w:rsidRPr="00BF0681">
        <w:rPr>
          <w:sz w:val="24"/>
          <w:szCs w:val="24"/>
        </w:rPr>
        <w:tab/>
        <w:t>If a tariff rate quota certificate in relation to a consignment is cancelled, the certificate is taken never to have been issued (see subsection 119(5)).</w:t>
      </w:r>
    </w:p>
    <w:p w14:paraId="4303FB0F" w14:textId="01F4BF0B" w:rsidR="00E93DE3" w:rsidRPr="00BF0681" w:rsidRDefault="00E93DE3" w:rsidP="00BF0681">
      <w:pPr>
        <w:pStyle w:val="Definition"/>
        <w:ind w:left="0"/>
        <w:rPr>
          <w:sz w:val="24"/>
          <w:szCs w:val="24"/>
        </w:rPr>
      </w:pPr>
      <w:bookmarkStart w:id="21" w:name="BK_S3P8L1C1"/>
      <w:bookmarkEnd w:id="21"/>
      <w:proofErr w:type="gramStart"/>
      <w:r w:rsidRPr="00BF0681">
        <w:rPr>
          <w:b/>
          <w:i/>
          <w:sz w:val="24"/>
          <w:szCs w:val="24"/>
        </w:rPr>
        <w:t>uncommitted</w:t>
      </w:r>
      <w:proofErr w:type="gramEnd"/>
      <w:r w:rsidRPr="00BF0681">
        <w:rPr>
          <w:b/>
          <w:i/>
          <w:sz w:val="24"/>
          <w:szCs w:val="24"/>
        </w:rPr>
        <w:t xml:space="preserve"> new entrant access amount</w:t>
      </w:r>
      <w:r w:rsidRPr="00BF0681">
        <w:rPr>
          <w:sz w:val="24"/>
          <w:szCs w:val="24"/>
        </w:rPr>
        <w:t>: see section 27.</w:t>
      </w:r>
    </w:p>
    <w:p w14:paraId="0AC349B7" w14:textId="2551B1AF" w:rsidR="00E93DE3" w:rsidRPr="00BF0681" w:rsidRDefault="00E93DE3" w:rsidP="00BF0681">
      <w:pPr>
        <w:pStyle w:val="Definition"/>
        <w:ind w:left="0"/>
        <w:rPr>
          <w:sz w:val="24"/>
          <w:szCs w:val="24"/>
        </w:rPr>
      </w:pPr>
      <w:proofErr w:type="gramStart"/>
      <w:r w:rsidRPr="00BF0681">
        <w:rPr>
          <w:b/>
          <w:i/>
          <w:sz w:val="24"/>
          <w:szCs w:val="24"/>
        </w:rPr>
        <w:t>uncommitted</w:t>
      </w:r>
      <w:proofErr w:type="gramEnd"/>
      <w:r w:rsidRPr="00BF0681">
        <w:rPr>
          <w:b/>
          <w:i/>
          <w:sz w:val="24"/>
          <w:szCs w:val="24"/>
        </w:rPr>
        <w:t xml:space="preserve"> quarterly access amount</w:t>
      </w:r>
      <w:r w:rsidRPr="00BF0681">
        <w:rPr>
          <w:sz w:val="24"/>
          <w:szCs w:val="24"/>
        </w:rPr>
        <w:t>: see subsection 7(2).</w:t>
      </w:r>
    </w:p>
    <w:p w14:paraId="00EFAE1A" w14:textId="4A1A5241" w:rsidR="00E93DE3" w:rsidRPr="00BF0681" w:rsidRDefault="00E93DE3" w:rsidP="00BF0681">
      <w:pPr>
        <w:pStyle w:val="Definition"/>
        <w:ind w:left="0"/>
        <w:rPr>
          <w:sz w:val="24"/>
          <w:szCs w:val="24"/>
        </w:rPr>
      </w:pPr>
      <w:proofErr w:type="gramStart"/>
      <w:r w:rsidRPr="00BF0681">
        <w:rPr>
          <w:b/>
          <w:i/>
          <w:sz w:val="24"/>
          <w:szCs w:val="24"/>
        </w:rPr>
        <w:t>uncommitted</w:t>
      </w:r>
      <w:proofErr w:type="gramEnd"/>
      <w:r w:rsidRPr="00BF0681">
        <w:rPr>
          <w:b/>
          <w:i/>
          <w:sz w:val="24"/>
          <w:szCs w:val="24"/>
        </w:rPr>
        <w:t xml:space="preserve"> standard access amount</w:t>
      </w:r>
      <w:r w:rsidRPr="00BF0681">
        <w:rPr>
          <w:sz w:val="24"/>
          <w:szCs w:val="24"/>
        </w:rPr>
        <w:t>: see section 27.</w:t>
      </w:r>
    </w:p>
    <w:p w14:paraId="05F6CCE7" w14:textId="6ED2639F" w:rsidR="00E93DE3" w:rsidRPr="00BF0681" w:rsidRDefault="00E93DE3" w:rsidP="00BF0681">
      <w:pPr>
        <w:pStyle w:val="Definition"/>
        <w:ind w:left="0"/>
        <w:rPr>
          <w:sz w:val="24"/>
          <w:szCs w:val="24"/>
        </w:rPr>
      </w:pPr>
      <w:proofErr w:type="gramStart"/>
      <w:r w:rsidRPr="00BF0681">
        <w:rPr>
          <w:b/>
          <w:i/>
          <w:sz w:val="24"/>
          <w:szCs w:val="24"/>
        </w:rPr>
        <w:t>uncommitted</w:t>
      </w:r>
      <w:proofErr w:type="gramEnd"/>
      <w:r w:rsidRPr="00BF0681">
        <w:rPr>
          <w:b/>
          <w:i/>
          <w:sz w:val="24"/>
          <w:szCs w:val="24"/>
        </w:rPr>
        <w:t xml:space="preserve"> trigger amount</w:t>
      </w:r>
      <w:r w:rsidRPr="00BF0681">
        <w:rPr>
          <w:sz w:val="24"/>
          <w:szCs w:val="24"/>
        </w:rPr>
        <w:t>: see section 14.</w:t>
      </w:r>
    </w:p>
    <w:p w14:paraId="681F68E6" w14:textId="1844CD11" w:rsidR="00E93DE3" w:rsidRPr="00BF0681" w:rsidRDefault="00E93DE3" w:rsidP="00BF0681">
      <w:pPr>
        <w:pStyle w:val="Definition"/>
        <w:ind w:left="0"/>
        <w:rPr>
          <w:sz w:val="24"/>
          <w:szCs w:val="24"/>
        </w:rPr>
      </w:pPr>
      <w:r w:rsidRPr="00BF0681">
        <w:rPr>
          <w:b/>
          <w:i/>
          <w:sz w:val="24"/>
          <w:szCs w:val="24"/>
        </w:rPr>
        <w:lastRenderedPageBreak/>
        <w:t>US beef</w:t>
      </w:r>
      <w:r w:rsidRPr="00BF0681">
        <w:rPr>
          <w:b/>
          <w:sz w:val="24"/>
          <w:szCs w:val="24"/>
        </w:rPr>
        <w:t xml:space="preserve"> </w:t>
      </w:r>
      <w:r w:rsidR="00DA592C">
        <w:rPr>
          <w:sz w:val="24"/>
          <w:szCs w:val="24"/>
        </w:rPr>
        <w:t>see</w:t>
      </w:r>
      <w:r w:rsidRPr="00BF0681">
        <w:rPr>
          <w:sz w:val="24"/>
          <w:szCs w:val="24"/>
        </w:rPr>
        <w:t xml:space="preserve"> </w:t>
      </w:r>
      <w:r w:rsidR="00575888">
        <w:rPr>
          <w:sz w:val="24"/>
          <w:szCs w:val="24"/>
        </w:rPr>
        <w:t>sub</w:t>
      </w:r>
      <w:r w:rsidRPr="00BF0681">
        <w:rPr>
          <w:sz w:val="24"/>
          <w:szCs w:val="24"/>
        </w:rPr>
        <w:t>section 90</w:t>
      </w:r>
      <w:r w:rsidR="00575888">
        <w:rPr>
          <w:sz w:val="24"/>
          <w:szCs w:val="24"/>
        </w:rPr>
        <w:t>(1)</w:t>
      </w:r>
      <w:r w:rsidRPr="00BF0681">
        <w:rPr>
          <w:sz w:val="24"/>
          <w:szCs w:val="24"/>
        </w:rPr>
        <w:t>.</w:t>
      </w:r>
    </w:p>
    <w:p w14:paraId="1808209F" w14:textId="227BB3DC" w:rsidR="00E93DE3" w:rsidRPr="00BF0681" w:rsidRDefault="00E93DE3" w:rsidP="00BF0681">
      <w:pPr>
        <w:pStyle w:val="Definition"/>
        <w:ind w:left="0"/>
        <w:rPr>
          <w:sz w:val="24"/>
          <w:szCs w:val="24"/>
        </w:rPr>
      </w:pPr>
      <w:r w:rsidRPr="00BF0681">
        <w:rPr>
          <w:b/>
          <w:i/>
          <w:sz w:val="24"/>
          <w:szCs w:val="24"/>
        </w:rPr>
        <w:t xml:space="preserve">US FTA dairy goods </w:t>
      </w:r>
      <w:r w:rsidR="00DA592C">
        <w:rPr>
          <w:sz w:val="24"/>
          <w:szCs w:val="24"/>
        </w:rPr>
        <w:t xml:space="preserve">see </w:t>
      </w:r>
      <w:r w:rsidR="00575888">
        <w:rPr>
          <w:sz w:val="24"/>
          <w:szCs w:val="24"/>
        </w:rPr>
        <w:t>sub</w:t>
      </w:r>
      <w:r w:rsidRPr="00BF0681">
        <w:rPr>
          <w:sz w:val="24"/>
          <w:szCs w:val="24"/>
        </w:rPr>
        <w:t>section 98</w:t>
      </w:r>
      <w:r w:rsidR="00575888">
        <w:rPr>
          <w:sz w:val="24"/>
          <w:szCs w:val="24"/>
        </w:rPr>
        <w:t>(1)</w:t>
      </w:r>
      <w:r w:rsidRPr="00BF0681">
        <w:rPr>
          <w:sz w:val="24"/>
          <w:szCs w:val="24"/>
        </w:rPr>
        <w:t>.</w:t>
      </w:r>
    </w:p>
    <w:p w14:paraId="0AD83EEB" w14:textId="77777777" w:rsidR="00E93DE3" w:rsidRPr="00BF0681" w:rsidRDefault="00E93DE3" w:rsidP="00BF0681">
      <w:pPr>
        <w:pStyle w:val="Definition"/>
        <w:ind w:left="0"/>
        <w:rPr>
          <w:sz w:val="24"/>
          <w:szCs w:val="24"/>
        </w:rPr>
      </w:pPr>
      <w:r w:rsidRPr="00BF0681">
        <w:rPr>
          <w:b/>
          <w:i/>
          <w:sz w:val="24"/>
          <w:szCs w:val="24"/>
        </w:rPr>
        <w:t xml:space="preserve">US Harmonized Tariff Code </w:t>
      </w:r>
      <w:r w:rsidRPr="00BF0681">
        <w:rPr>
          <w:sz w:val="24"/>
          <w:szCs w:val="24"/>
        </w:rPr>
        <w:t>means the code used in the US Harmonized Tariff Schedule.</w:t>
      </w:r>
    </w:p>
    <w:p w14:paraId="24F277F8" w14:textId="77777777" w:rsidR="00E93DE3" w:rsidRPr="00BF0681" w:rsidRDefault="00E93DE3" w:rsidP="00BF0681">
      <w:pPr>
        <w:pStyle w:val="Definition"/>
        <w:ind w:left="0"/>
        <w:rPr>
          <w:b/>
          <w:i/>
          <w:sz w:val="24"/>
          <w:szCs w:val="24"/>
        </w:rPr>
      </w:pPr>
      <w:r w:rsidRPr="00BF0681">
        <w:rPr>
          <w:b/>
          <w:i/>
          <w:sz w:val="24"/>
          <w:szCs w:val="24"/>
        </w:rPr>
        <w:t xml:space="preserve">US Harmonized Tariff Schedule </w:t>
      </w:r>
      <w:r w:rsidRPr="00BF0681">
        <w:rPr>
          <w:sz w:val="24"/>
          <w:szCs w:val="24"/>
        </w:rPr>
        <w:t>means the US Harmonized Tariff Schedule of the United States published by the United States International Trade Commission, as in force from time</w:t>
      </w:r>
      <w:bookmarkStart w:id="22" w:name="BK_S3P5L11C34"/>
      <w:bookmarkEnd w:id="22"/>
      <w:r w:rsidRPr="00BF0681">
        <w:rPr>
          <w:sz w:val="24"/>
          <w:szCs w:val="24"/>
        </w:rPr>
        <w:t xml:space="preserve"> to time.</w:t>
      </w:r>
    </w:p>
    <w:p w14:paraId="04F11A39" w14:textId="0B4C89B4" w:rsidR="00E93DE3" w:rsidRDefault="00E93DE3" w:rsidP="00CF4A7B">
      <w:pPr>
        <w:pStyle w:val="notetext"/>
        <w:ind w:left="0" w:firstLine="0"/>
        <w:rPr>
          <w:sz w:val="24"/>
          <w:szCs w:val="24"/>
        </w:rPr>
      </w:pPr>
      <w:r w:rsidRPr="00BF0681">
        <w:rPr>
          <w:sz w:val="24"/>
          <w:szCs w:val="24"/>
        </w:rPr>
        <w:t>Note:</w:t>
      </w:r>
      <w:r w:rsidRPr="00BF0681">
        <w:rPr>
          <w:sz w:val="24"/>
          <w:szCs w:val="24"/>
        </w:rPr>
        <w:tab/>
        <w:t>The Schedule could in 2019 be viewed on the United States International Trade Commission’s website (</w:t>
      </w:r>
      <w:hyperlink r:id="rId14" w:history="1">
        <w:r w:rsidR="00CF4A7B" w:rsidRPr="007E556A">
          <w:rPr>
            <w:rStyle w:val="Hyperlink"/>
            <w:sz w:val="24"/>
            <w:szCs w:val="24"/>
          </w:rPr>
          <w:t>http://www.usitc.gov</w:t>
        </w:r>
      </w:hyperlink>
      <w:r w:rsidRPr="00BF0681">
        <w:rPr>
          <w:sz w:val="24"/>
          <w:szCs w:val="24"/>
        </w:rPr>
        <w:t>).</w:t>
      </w:r>
    </w:p>
    <w:p w14:paraId="124B6B80" w14:textId="77777777" w:rsidR="00CF4A7B" w:rsidRPr="00575E15" w:rsidRDefault="00CF4A7B" w:rsidP="00CF4A7B">
      <w:pPr>
        <w:pStyle w:val="Definition"/>
        <w:ind w:left="0"/>
        <w:rPr>
          <w:sz w:val="24"/>
          <w:szCs w:val="24"/>
        </w:rPr>
      </w:pPr>
      <w:r w:rsidRPr="00575E15">
        <w:rPr>
          <w:sz w:val="24"/>
          <w:szCs w:val="24"/>
        </w:rPr>
        <w:t>Paragraph 25(5)(aba) of the Export Control Act permits an order made under that Act to  apply, adopt or incorporate any matter contained in any instrument or writing that:</w:t>
      </w:r>
    </w:p>
    <w:p w14:paraId="7267CE4F" w14:textId="77777777" w:rsidR="00CF4A7B" w:rsidRPr="00575E15" w:rsidRDefault="00CF4A7B" w:rsidP="000F6D46">
      <w:pPr>
        <w:pStyle w:val="ListParagraph"/>
        <w:numPr>
          <w:ilvl w:val="0"/>
          <w:numId w:val="63"/>
        </w:numPr>
        <w:spacing w:line="240" w:lineRule="auto"/>
        <w:rPr>
          <w:sz w:val="24"/>
          <w:szCs w:val="24"/>
        </w:rPr>
      </w:pPr>
      <w:r w:rsidRPr="00575E15">
        <w:rPr>
          <w:sz w:val="24"/>
          <w:szCs w:val="24"/>
        </w:rPr>
        <w:t>sets out, or provides a method for calculating, the tariff rate quota for the importation of goods into a country; and</w:t>
      </w:r>
    </w:p>
    <w:p w14:paraId="1362B17A" w14:textId="77777777" w:rsidR="00CF4A7B" w:rsidRPr="00575E15" w:rsidRDefault="00CF4A7B" w:rsidP="000F6D46">
      <w:pPr>
        <w:pStyle w:val="ListParagraph"/>
        <w:numPr>
          <w:ilvl w:val="0"/>
          <w:numId w:val="63"/>
        </w:numPr>
        <w:spacing w:line="240" w:lineRule="auto"/>
        <w:rPr>
          <w:sz w:val="24"/>
          <w:szCs w:val="24"/>
        </w:rPr>
      </w:pPr>
      <w:r w:rsidRPr="00575E15">
        <w:rPr>
          <w:sz w:val="24"/>
          <w:szCs w:val="24"/>
        </w:rPr>
        <w:t>is made by the authority or body in that country responsible for regulating the importation of goods into that country;</w:t>
      </w:r>
    </w:p>
    <w:p w14:paraId="4C3F43B3" w14:textId="77777777" w:rsidR="00CF4A7B" w:rsidRPr="00575E15" w:rsidRDefault="00CF4A7B" w:rsidP="00CF4A7B">
      <w:pPr>
        <w:spacing w:line="240" w:lineRule="auto"/>
        <w:rPr>
          <w:sz w:val="24"/>
          <w:szCs w:val="24"/>
        </w:rPr>
      </w:pPr>
      <w:proofErr w:type="gramStart"/>
      <w:r w:rsidRPr="00575E15">
        <w:rPr>
          <w:sz w:val="24"/>
          <w:szCs w:val="24"/>
        </w:rPr>
        <w:t>as</w:t>
      </w:r>
      <w:proofErr w:type="gramEnd"/>
      <w:r w:rsidRPr="00575E15">
        <w:rPr>
          <w:sz w:val="24"/>
          <w:szCs w:val="24"/>
        </w:rPr>
        <w:t xml:space="preserve"> in force at a particular time or as in force from time to time.</w:t>
      </w:r>
    </w:p>
    <w:p w14:paraId="1FEF6D29" w14:textId="4BB2D0B3" w:rsidR="00CF4A7B" w:rsidRPr="00BF0681" w:rsidRDefault="00CF4A7B" w:rsidP="00CF4A7B">
      <w:pPr>
        <w:pStyle w:val="notetext"/>
        <w:ind w:left="0" w:firstLine="0"/>
        <w:rPr>
          <w:sz w:val="24"/>
          <w:szCs w:val="24"/>
        </w:rPr>
      </w:pPr>
      <w:r w:rsidRPr="00A90BBB">
        <w:rPr>
          <w:sz w:val="24"/>
          <w:szCs w:val="24"/>
          <w:lang w:eastAsia="en-US"/>
        </w:rPr>
        <w:t xml:space="preserve">Here, the relevant </w:t>
      </w:r>
      <w:r w:rsidR="00575888">
        <w:rPr>
          <w:sz w:val="24"/>
          <w:szCs w:val="24"/>
          <w:lang w:eastAsia="en-US"/>
        </w:rPr>
        <w:t>instrument or writing</w:t>
      </w:r>
      <w:r w:rsidRPr="00A90BBB">
        <w:rPr>
          <w:sz w:val="24"/>
          <w:szCs w:val="24"/>
          <w:lang w:eastAsia="en-US"/>
        </w:rPr>
        <w:t xml:space="preserve"> (the Harmonized Tariff Schedule) sets out </w:t>
      </w:r>
      <w:r w:rsidRPr="00F32E84">
        <w:rPr>
          <w:sz w:val="24"/>
          <w:szCs w:val="24"/>
          <w:lang w:eastAsia="en-US"/>
        </w:rPr>
        <w:t>tariff rate quotas for the importation of goods into the USA and so would meet the r</w:t>
      </w:r>
      <w:r>
        <w:rPr>
          <w:sz w:val="24"/>
          <w:szCs w:val="24"/>
          <w:lang w:eastAsia="en-US"/>
        </w:rPr>
        <w:t>equirements of subparagraph (</w:t>
      </w:r>
      <w:proofErr w:type="spellStart"/>
      <w:r>
        <w:rPr>
          <w:sz w:val="24"/>
          <w:szCs w:val="24"/>
          <w:lang w:eastAsia="en-US"/>
        </w:rPr>
        <w:t>i</w:t>
      </w:r>
      <w:proofErr w:type="spellEnd"/>
      <w:r>
        <w:rPr>
          <w:sz w:val="24"/>
          <w:szCs w:val="24"/>
          <w:lang w:eastAsia="en-US"/>
        </w:rPr>
        <w:t xml:space="preserve">). </w:t>
      </w:r>
      <w:r w:rsidRPr="00F05F76">
        <w:rPr>
          <w:sz w:val="24"/>
          <w:szCs w:val="24"/>
          <w:lang w:eastAsia="en-US"/>
        </w:rPr>
        <w:t>In relation to the ‘authority in that country’, the United States International Trade Commission is the rele</w:t>
      </w:r>
      <w:r>
        <w:rPr>
          <w:sz w:val="24"/>
          <w:szCs w:val="24"/>
          <w:lang w:eastAsia="en-US"/>
        </w:rPr>
        <w:t>vant US body</w:t>
      </w:r>
      <w:r w:rsidRPr="00F05F76">
        <w:rPr>
          <w:sz w:val="24"/>
          <w:szCs w:val="24"/>
          <w:lang w:eastAsia="en-US"/>
        </w:rPr>
        <w:t xml:space="preserve"> </w:t>
      </w:r>
      <w:r w:rsidR="00575888">
        <w:rPr>
          <w:sz w:val="24"/>
          <w:szCs w:val="24"/>
          <w:lang w:eastAsia="en-US"/>
        </w:rPr>
        <w:t xml:space="preserve">regulating the importation of goods into the USA, </w:t>
      </w:r>
      <w:r w:rsidRPr="00A90BBB">
        <w:rPr>
          <w:sz w:val="24"/>
          <w:szCs w:val="24"/>
          <w:lang w:eastAsia="en-US"/>
        </w:rPr>
        <w:t>so is regarded as meeting the description in subparagraph (ii).</w:t>
      </w:r>
    </w:p>
    <w:p w14:paraId="3087A7DE" w14:textId="7EAFB89D" w:rsidR="00E93DE3" w:rsidRPr="00BF0681" w:rsidRDefault="00E93DE3" w:rsidP="00BF0681">
      <w:pPr>
        <w:pStyle w:val="Definition"/>
        <w:ind w:left="0"/>
        <w:rPr>
          <w:sz w:val="24"/>
          <w:szCs w:val="24"/>
        </w:rPr>
      </w:pPr>
      <w:proofErr w:type="gramStart"/>
      <w:r w:rsidRPr="00BF0681">
        <w:rPr>
          <w:b/>
          <w:i/>
          <w:sz w:val="24"/>
          <w:szCs w:val="24"/>
        </w:rPr>
        <w:t>using</w:t>
      </w:r>
      <w:proofErr w:type="gramEnd"/>
      <w:r w:rsidRPr="00BF0681">
        <w:rPr>
          <w:b/>
          <w:i/>
          <w:sz w:val="24"/>
          <w:szCs w:val="24"/>
        </w:rPr>
        <w:t xml:space="preserve"> new entrant access quota</w:t>
      </w:r>
      <w:r w:rsidRPr="00BF0681">
        <w:rPr>
          <w:sz w:val="24"/>
          <w:szCs w:val="24"/>
        </w:rPr>
        <w:t>, in relation to</w:t>
      </w:r>
      <w:bookmarkStart w:id="23" w:name="BK_S3P5L14C47"/>
      <w:bookmarkEnd w:id="23"/>
      <w:r w:rsidRPr="00BF0681">
        <w:rPr>
          <w:sz w:val="24"/>
          <w:szCs w:val="24"/>
        </w:rPr>
        <w:t xml:space="preserve"> issuing a tariff rate quota certificate, has the meaning given by subsection 36(6).</w:t>
      </w:r>
    </w:p>
    <w:p w14:paraId="5F3FBB1A" w14:textId="364A59FE" w:rsidR="00E93DE3" w:rsidRPr="00BF0681" w:rsidRDefault="00E93DE3" w:rsidP="00BF0681">
      <w:pPr>
        <w:pStyle w:val="Definition"/>
        <w:ind w:left="0"/>
        <w:rPr>
          <w:sz w:val="24"/>
          <w:szCs w:val="24"/>
        </w:rPr>
      </w:pPr>
      <w:proofErr w:type="gramStart"/>
      <w:r w:rsidRPr="00BF0681">
        <w:rPr>
          <w:b/>
          <w:i/>
          <w:sz w:val="24"/>
          <w:szCs w:val="24"/>
        </w:rPr>
        <w:t>using</w:t>
      </w:r>
      <w:proofErr w:type="gramEnd"/>
      <w:r w:rsidRPr="00BF0681">
        <w:rPr>
          <w:b/>
          <w:i/>
          <w:sz w:val="24"/>
          <w:szCs w:val="24"/>
        </w:rPr>
        <w:t xml:space="preserve"> standard access quota</w:t>
      </w:r>
      <w:r w:rsidRPr="00BF0681">
        <w:rPr>
          <w:sz w:val="24"/>
          <w:szCs w:val="24"/>
        </w:rPr>
        <w:t>, in relation to</w:t>
      </w:r>
      <w:bookmarkStart w:id="24" w:name="BK_S3P5L16C44"/>
      <w:bookmarkEnd w:id="24"/>
      <w:r w:rsidRPr="00BF0681">
        <w:rPr>
          <w:sz w:val="24"/>
          <w:szCs w:val="24"/>
        </w:rPr>
        <w:t xml:space="preserve"> issuing a tariff rate quota certificate, has the meaning given by subsection 36(7).</w:t>
      </w:r>
      <w:bookmarkStart w:id="25" w:name="BK_S3P8L39C38"/>
      <w:bookmarkEnd w:id="25"/>
    </w:p>
    <w:p w14:paraId="2AF9AAEA" w14:textId="5D6B41F5" w:rsidR="00E93DE3" w:rsidRPr="00BF0681" w:rsidRDefault="00E93DE3" w:rsidP="00BF0681">
      <w:pPr>
        <w:pStyle w:val="Definition"/>
        <w:ind w:left="0"/>
        <w:rPr>
          <w:sz w:val="24"/>
          <w:szCs w:val="24"/>
        </w:rPr>
      </w:pPr>
      <w:r w:rsidRPr="00BF0681">
        <w:rPr>
          <w:b/>
          <w:i/>
          <w:sz w:val="24"/>
          <w:szCs w:val="24"/>
        </w:rPr>
        <w:t>US WTO dairy goods</w:t>
      </w:r>
      <w:r w:rsidRPr="00BF0681">
        <w:rPr>
          <w:i/>
          <w:sz w:val="24"/>
          <w:szCs w:val="24"/>
        </w:rPr>
        <w:t xml:space="preserve"> </w:t>
      </w:r>
      <w:r w:rsidRPr="00BF0681">
        <w:rPr>
          <w:sz w:val="24"/>
          <w:szCs w:val="24"/>
        </w:rPr>
        <w:t xml:space="preserve">has the meaning given by section </w:t>
      </w:r>
      <w:r w:rsidR="00C93053">
        <w:rPr>
          <w:sz w:val="24"/>
          <w:szCs w:val="24"/>
        </w:rPr>
        <w:t>110</w:t>
      </w:r>
      <w:r w:rsidRPr="00BF0681">
        <w:rPr>
          <w:sz w:val="24"/>
          <w:szCs w:val="24"/>
        </w:rPr>
        <w:t>.</w:t>
      </w:r>
    </w:p>
    <w:p w14:paraId="5E66271A" w14:textId="77777777" w:rsidR="00E93DE3" w:rsidRPr="00BF0681" w:rsidRDefault="00E93DE3" w:rsidP="00BF0681">
      <w:pPr>
        <w:spacing w:line="240" w:lineRule="auto"/>
        <w:rPr>
          <w:rFonts w:eastAsia="Times New Roman"/>
          <w:sz w:val="24"/>
          <w:szCs w:val="24"/>
          <w:lang w:eastAsia="en-AU"/>
        </w:rPr>
      </w:pPr>
    </w:p>
    <w:p w14:paraId="33E87AAF" w14:textId="76CE484A" w:rsidR="002A1329" w:rsidRDefault="002A1329" w:rsidP="002A1329">
      <w:pPr>
        <w:pStyle w:val="ActHead5"/>
        <w:rPr>
          <w:b w:val="0"/>
          <w:szCs w:val="24"/>
          <w:u w:val="single"/>
        </w:rPr>
      </w:pPr>
      <w:r w:rsidRPr="0057061D">
        <w:rPr>
          <w:rStyle w:val="CharSectno"/>
          <w:b w:val="0"/>
          <w:szCs w:val="24"/>
          <w:u w:val="single"/>
        </w:rPr>
        <w:t xml:space="preserve">Section </w:t>
      </w:r>
      <w:r w:rsidR="00436B91">
        <w:rPr>
          <w:rStyle w:val="CharSectno"/>
          <w:b w:val="0"/>
          <w:szCs w:val="24"/>
          <w:u w:val="single"/>
        </w:rPr>
        <w:t>7</w:t>
      </w:r>
      <w:r w:rsidRPr="0057061D">
        <w:rPr>
          <w:b w:val="0"/>
          <w:szCs w:val="24"/>
          <w:u w:val="single"/>
        </w:rPr>
        <w:t xml:space="preserve"> - </w:t>
      </w:r>
      <w:r w:rsidR="002A690D" w:rsidRPr="0057061D">
        <w:rPr>
          <w:b w:val="0"/>
          <w:szCs w:val="24"/>
          <w:u w:val="single"/>
        </w:rPr>
        <w:t>Quarterly a</w:t>
      </w:r>
      <w:r w:rsidRPr="0057061D">
        <w:rPr>
          <w:b w:val="0"/>
          <w:szCs w:val="24"/>
          <w:u w:val="single"/>
        </w:rPr>
        <w:t>ccess amounts</w:t>
      </w:r>
    </w:p>
    <w:p w14:paraId="2B6F9EA3" w14:textId="77777777" w:rsidR="00C93053" w:rsidRPr="00BA58D3" w:rsidRDefault="00C93053" w:rsidP="00BA58D3">
      <w:pPr>
        <w:pStyle w:val="subsection"/>
        <w:rPr>
          <w:b/>
        </w:rPr>
      </w:pPr>
    </w:p>
    <w:p w14:paraId="7DFF1446" w14:textId="6659BAC7" w:rsidR="003A6C42" w:rsidRPr="0057061D" w:rsidRDefault="002A1329" w:rsidP="002A1329">
      <w:pPr>
        <w:spacing w:line="240" w:lineRule="auto"/>
        <w:rPr>
          <w:rFonts w:eastAsia="Times New Roman"/>
          <w:sz w:val="24"/>
          <w:szCs w:val="24"/>
          <w:lang w:eastAsia="en-AU"/>
        </w:rPr>
      </w:pPr>
      <w:r w:rsidRPr="0057061D">
        <w:rPr>
          <w:rFonts w:eastAsia="Times New Roman"/>
          <w:sz w:val="24"/>
          <w:szCs w:val="24"/>
          <w:lang w:eastAsia="en-AU"/>
        </w:rPr>
        <w:t xml:space="preserve">This section provides </w:t>
      </w:r>
      <w:r w:rsidR="00F9487B" w:rsidRPr="0057061D">
        <w:rPr>
          <w:rFonts w:eastAsia="Times New Roman"/>
          <w:sz w:val="24"/>
          <w:szCs w:val="24"/>
          <w:lang w:eastAsia="en-AU"/>
        </w:rPr>
        <w:t>definitions of access amounts used within the Order</w:t>
      </w:r>
      <w:r w:rsidR="00510484" w:rsidRPr="0057061D">
        <w:rPr>
          <w:rFonts w:eastAsia="Times New Roman"/>
          <w:sz w:val="24"/>
          <w:szCs w:val="24"/>
          <w:lang w:eastAsia="en-AU"/>
        </w:rPr>
        <w:t>.</w:t>
      </w:r>
    </w:p>
    <w:p w14:paraId="3FE8B9B5" w14:textId="77777777" w:rsidR="00CD3D6C" w:rsidRDefault="00CD3D6C" w:rsidP="00CD3D6C">
      <w:pPr>
        <w:spacing w:line="240" w:lineRule="auto"/>
      </w:pPr>
    </w:p>
    <w:p w14:paraId="6D122CE9" w14:textId="62B83B7D" w:rsidR="002A690D" w:rsidRPr="00CD3D6C" w:rsidRDefault="00436B91" w:rsidP="00CD3D6C">
      <w:pPr>
        <w:spacing w:line="240" w:lineRule="auto"/>
        <w:rPr>
          <w:rFonts w:eastAsia="Times New Roman"/>
          <w:sz w:val="24"/>
          <w:szCs w:val="24"/>
          <w:lang w:eastAsia="en-AU"/>
        </w:rPr>
      </w:pPr>
      <w:r>
        <w:rPr>
          <w:rFonts w:eastAsia="Times New Roman"/>
          <w:sz w:val="24"/>
          <w:szCs w:val="24"/>
          <w:lang w:eastAsia="en-AU"/>
        </w:rPr>
        <w:t>Subsection 7</w:t>
      </w:r>
      <w:r w:rsidR="00E73728" w:rsidRPr="00CD3D6C">
        <w:rPr>
          <w:rFonts w:eastAsia="Times New Roman"/>
          <w:sz w:val="24"/>
          <w:szCs w:val="24"/>
          <w:lang w:eastAsia="en-AU"/>
        </w:rPr>
        <w:t xml:space="preserve">(1) </w:t>
      </w:r>
      <w:r w:rsidR="00CD3D6C" w:rsidRPr="00CD3D6C">
        <w:rPr>
          <w:rFonts w:eastAsia="Times New Roman"/>
          <w:sz w:val="24"/>
          <w:szCs w:val="24"/>
          <w:lang w:eastAsia="en-AU"/>
        </w:rPr>
        <w:t>states</w:t>
      </w:r>
      <w:r w:rsidR="00E73728" w:rsidRPr="00CD3D6C">
        <w:rPr>
          <w:rFonts w:eastAsia="Times New Roman"/>
          <w:sz w:val="24"/>
          <w:szCs w:val="24"/>
          <w:lang w:eastAsia="en-AU"/>
        </w:rPr>
        <w:t xml:space="preserve"> that if a provi</w:t>
      </w:r>
      <w:r w:rsidR="002A690D" w:rsidRPr="00CD3D6C">
        <w:rPr>
          <w:rFonts w:eastAsia="Times New Roman"/>
          <w:sz w:val="24"/>
          <w:szCs w:val="24"/>
          <w:lang w:eastAsia="en-AU"/>
        </w:rPr>
        <w:t>sion of Chapter 3</w:t>
      </w:r>
      <w:r w:rsidR="00CD3D6C">
        <w:rPr>
          <w:rFonts w:eastAsia="Times New Roman"/>
          <w:sz w:val="24"/>
          <w:szCs w:val="24"/>
          <w:lang w:eastAsia="en-AU"/>
        </w:rPr>
        <w:t xml:space="preserve"> (Exports covered by tariff rate quotas)</w:t>
      </w:r>
      <w:r w:rsidR="002A690D" w:rsidRPr="00CD3D6C">
        <w:rPr>
          <w:rFonts w:eastAsia="Times New Roman"/>
          <w:sz w:val="24"/>
          <w:szCs w:val="24"/>
          <w:lang w:eastAsia="en-AU"/>
        </w:rPr>
        <w:t xml:space="preserve"> provides that there is a quarterly access amount for a </w:t>
      </w:r>
      <w:r w:rsidR="00FE3E4B" w:rsidRPr="00CD3D6C">
        <w:rPr>
          <w:rFonts w:eastAsia="Times New Roman"/>
          <w:sz w:val="24"/>
          <w:szCs w:val="24"/>
          <w:lang w:eastAsia="en-AU"/>
        </w:rPr>
        <w:t>quota type</w:t>
      </w:r>
      <w:r w:rsidR="002A690D" w:rsidRPr="00CD3D6C">
        <w:rPr>
          <w:rFonts w:eastAsia="Times New Roman"/>
          <w:sz w:val="24"/>
          <w:szCs w:val="24"/>
          <w:lang w:eastAsia="en-AU"/>
        </w:rPr>
        <w:t>, then, subject to subsection (4), the quarterly access amount</w:t>
      </w:r>
      <w:r w:rsidR="00C93053">
        <w:rPr>
          <w:rFonts w:eastAsia="Times New Roman"/>
          <w:sz w:val="24"/>
          <w:szCs w:val="24"/>
          <w:lang w:eastAsia="en-AU"/>
        </w:rPr>
        <w:t xml:space="preserve"> for that quota type and a quarter of a quota year</w:t>
      </w:r>
      <w:r w:rsidR="002A690D" w:rsidRPr="00CD3D6C">
        <w:rPr>
          <w:rFonts w:eastAsia="Times New Roman"/>
          <w:sz w:val="24"/>
          <w:szCs w:val="24"/>
          <w:lang w:eastAsia="en-AU"/>
        </w:rPr>
        <w:t xml:space="preserve"> is the annual access amount for that </w:t>
      </w:r>
      <w:r w:rsidR="00FE3E4B" w:rsidRPr="00CD3D6C">
        <w:rPr>
          <w:rFonts w:eastAsia="Times New Roman"/>
          <w:sz w:val="24"/>
          <w:szCs w:val="24"/>
          <w:lang w:eastAsia="en-AU"/>
        </w:rPr>
        <w:t>quota type</w:t>
      </w:r>
      <w:r w:rsidR="002A690D" w:rsidRPr="00CD3D6C">
        <w:rPr>
          <w:rFonts w:eastAsia="Times New Roman"/>
          <w:sz w:val="24"/>
          <w:szCs w:val="24"/>
          <w:lang w:eastAsia="en-AU"/>
        </w:rPr>
        <w:t xml:space="preserve"> and quota year divided by 4.</w:t>
      </w:r>
    </w:p>
    <w:p w14:paraId="20E6D726" w14:textId="77777777" w:rsidR="00CD3D6C" w:rsidRDefault="00CD3D6C" w:rsidP="00CD3D6C">
      <w:pPr>
        <w:spacing w:line="240" w:lineRule="auto"/>
        <w:rPr>
          <w:sz w:val="24"/>
          <w:szCs w:val="24"/>
        </w:rPr>
      </w:pPr>
    </w:p>
    <w:p w14:paraId="6D51E978" w14:textId="50CF06F2" w:rsidR="002A690D" w:rsidRPr="00E73728" w:rsidRDefault="00436B91" w:rsidP="00CD3D6C">
      <w:pPr>
        <w:spacing w:line="240" w:lineRule="auto"/>
        <w:rPr>
          <w:sz w:val="24"/>
          <w:szCs w:val="24"/>
        </w:rPr>
      </w:pPr>
      <w:r>
        <w:rPr>
          <w:rFonts w:eastAsia="Times New Roman"/>
          <w:sz w:val="24"/>
          <w:szCs w:val="24"/>
          <w:lang w:eastAsia="en-AU"/>
        </w:rPr>
        <w:t>Subsection 7</w:t>
      </w:r>
      <w:r w:rsidR="00CD3D6C" w:rsidRPr="00CD3D6C">
        <w:rPr>
          <w:rFonts w:eastAsia="Times New Roman"/>
          <w:sz w:val="24"/>
          <w:szCs w:val="24"/>
          <w:lang w:eastAsia="en-AU"/>
        </w:rPr>
        <w:t>(2) provides that t</w:t>
      </w:r>
      <w:r w:rsidR="002A690D" w:rsidRPr="00CD3D6C">
        <w:rPr>
          <w:rFonts w:eastAsia="Times New Roman"/>
          <w:sz w:val="24"/>
          <w:szCs w:val="24"/>
          <w:lang w:eastAsia="en-AU"/>
        </w:rPr>
        <w:t xml:space="preserve">he uncommitted quarterly access amount for a </w:t>
      </w:r>
      <w:r w:rsidR="00FE3E4B" w:rsidRPr="00CD3D6C">
        <w:rPr>
          <w:rFonts w:eastAsia="Times New Roman"/>
          <w:sz w:val="24"/>
          <w:szCs w:val="24"/>
          <w:lang w:eastAsia="en-AU"/>
        </w:rPr>
        <w:t>quota type</w:t>
      </w:r>
      <w:r w:rsidR="002A690D" w:rsidRPr="00CD3D6C">
        <w:rPr>
          <w:rFonts w:eastAsia="Times New Roman"/>
          <w:sz w:val="24"/>
          <w:szCs w:val="24"/>
          <w:lang w:eastAsia="en-AU"/>
        </w:rPr>
        <w:t xml:space="preserve"> and a quarter of a quota year at a particular time is the difference between:</w:t>
      </w:r>
    </w:p>
    <w:p w14:paraId="7A768020" w14:textId="435EA100" w:rsidR="002A690D" w:rsidRPr="00E73728" w:rsidRDefault="002A690D" w:rsidP="00B35DAD">
      <w:pPr>
        <w:pStyle w:val="paragraph"/>
        <w:numPr>
          <w:ilvl w:val="0"/>
          <w:numId w:val="14"/>
        </w:numPr>
        <w:rPr>
          <w:sz w:val="24"/>
          <w:szCs w:val="24"/>
        </w:rPr>
      </w:pPr>
      <w:r w:rsidRPr="00E73728">
        <w:rPr>
          <w:sz w:val="24"/>
          <w:szCs w:val="24"/>
        </w:rPr>
        <w:t xml:space="preserve">the quarterly access amount for that </w:t>
      </w:r>
      <w:r w:rsidR="00FE3E4B" w:rsidRPr="00E73728">
        <w:rPr>
          <w:sz w:val="24"/>
          <w:szCs w:val="24"/>
        </w:rPr>
        <w:t>quota type</w:t>
      </w:r>
      <w:r w:rsidRPr="00E73728">
        <w:rPr>
          <w:sz w:val="24"/>
          <w:szCs w:val="24"/>
        </w:rPr>
        <w:t xml:space="preserve"> and quarter; and</w:t>
      </w:r>
    </w:p>
    <w:p w14:paraId="0D48BA6B" w14:textId="77777777" w:rsidR="00CD3D6C" w:rsidRDefault="002A690D" w:rsidP="000D2D6F">
      <w:pPr>
        <w:pStyle w:val="paragraph"/>
        <w:numPr>
          <w:ilvl w:val="0"/>
          <w:numId w:val="14"/>
        </w:numPr>
        <w:rPr>
          <w:sz w:val="24"/>
          <w:szCs w:val="24"/>
        </w:rPr>
      </w:pPr>
      <w:r w:rsidRPr="00CD3D6C">
        <w:rPr>
          <w:sz w:val="24"/>
          <w:szCs w:val="24"/>
        </w:rPr>
        <w:t xml:space="preserve">the total weight for which tariff rate quota certificates have been issued during that quarter in relation to consignments of that </w:t>
      </w:r>
      <w:r w:rsidR="00FE3E4B" w:rsidRPr="00CD3D6C">
        <w:rPr>
          <w:sz w:val="24"/>
          <w:szCs w:val="24"/>
        </w:rPr>
        <w:t>quota type</w:t>
      </w:r>
      <w:r w:rsidRPr="00CD3D6C">
        <w:rPr>
          <w:sz w:val="24"/>
          <w:szCs w:val="24"/>
        </w:rPr>
        <w:t xml:space="preserve"> for export in that quota year.</w:t>
      </w:r>
    </w:p>
    <w:p w14:paraId="35F9F0AA" w14:textId="0C290731" w:rsidR="002A690D" w:rsidRPr="00CD3D6C" w:rsidRDefault="00436B91" w:rsidP="00CD3D6C">
      <w:pPr>
        <w:spacing w:line="240" w:lineRule="auto"/>
        <w:rPr>
          <w:rFonts w:eastAsia="Times New Roman"/>
          <w:sz w:val="24"/>
          <w:szCs w:val="24"/>
          <w:lang w:eastAsia="en-AU"/>
        </w:rPr>
      </w:pPr>
      <w:r>
        <w:rPr>
          <w:rFonts w:eastAsia="Times New Roman"/>
          <w:sz w:val="24"/>
          <w:szCs w:val="24"/>
          <w:lang w:eastAsia="en-AU"/>
        </w:rPr>
        <w:t>The Note to subsection 7</w:t>
      </w:r>
      <w:r w:rsidR="00CD3D6C" w:rsidRPr="00CD3D6C">
        <w:rPr>
          <w:rFonts w:eastAsia="Times New Roman"/>
          <w:sz w:val="24"/>
          <w:szCs w:val="24"/>
          <w:lang w:eastAsia="en-AU"/>
        </w:rPr>
        <w:t>(2) explains that i</w:t>
      </w:r>
      <w:r w:rsidR="002A690D" w:rsidRPr="00CD3D6C">
        <w:rPr>
          <w:rFonts w:eastAsia="Times New Roman"/>
          <w:sz w:val="24"/>
          <w:szCs w:val="24"/>
          <w:lang w:eastAsia="en-AU"/>
        </w:rPr>
        <w:t>f a tariff rate quo</w:t>
      </w:r>
      <w:r w:rsidR="00CD3D6C" w:rsidRPr="00CD3D6C">
        <w:rPr>
          <w:rFonts w:eastAsia="Times New Roman"/>
          <w:sz w:val="24"/>
          <w:szCs w:val="24"/>
          <w:lang w:eastAsia="en-AU"/>
        </w:rPr>
        <w:t xml:space="preserve">ta certificate in relation to a </w:t>
      </w:r>
      <w:r w:rsidR="002A690D" w:rsidRPr="00CD3D6C">
        <w:rPr>
          <w:rFonts w:eastAsia="Times New Roman"/>
          <w:sz w:val="24"/>
          <w:szCs w:val="24"/>
          <w:lang w:eastAsia="en-AU"/>
        </w:rPr>
        <w:t xml:space="preserve">consignment is cancelled, the certificate is taken never to have been issued (see subsection </w:t>
      </w:r>
      <w:r w:rsidR="00542A46">
        <w:rPr>
          <w:rFonts w:eastAsia="Times New Roman"/>
          <w:sz w:val="24"/>
          <w:szCs w:val="24"/>
          <w:lang w:eastAsia="en-AU"/>
        </w:rPr>
        <w:lastRenderedPageBreak/>
        <w:t>119</w:t>
      </w:r>
      <w:r w:rsidR="002A690D" w:rsidRPr="00CD3D6C">
        <w:rPr>
          <w:rFonts w:eastAsia="Times New Roman"/>
          <w:sz w:val="24"/>
          <w:szCs w:val="24"/>
          <w:lang w:eastAsia="en-AU"/>
        </w:rPr>
        <w:t>(5)).</w:t>
      </w:r>
      <w:r w:rsidR="00CD3D6C">
        <w:rPr>
          <w:rFonts w:eastAsia="Times New Roman"/>
          <w:sz w:val="24"/>
          <w:szCs w:val="24"/>
          <w:lang w:eastAsia="en-AU"/>
        </w:rPr>
        <w:t xml:space="preserve">  This ensure</w:t>
      </w:r>
      <w:r w:rsidR="00C93053">
        <w:rPr>
          <w:rFonts w:eastAsia="Times New Roman"/>
          <w:sz w:val="24"/>
          <w:szCs w:val="24"/>
          <w:lang w:eastAsia="en-AU"/>
        </w:rPr>
        <w:t>s</w:t>
      </w:r>
      <w:r w:rsidR="00CD3D6C">
        <w:rPr>
          <w:rFonts w:eastAsia="Times New Roman"/>
          <w:sz w:val="24"/>
          <w:szCs w:val="24"/>
          <w:lang w:eastAsia="en-AU"/>
        </w:rPr>
        <w:t xml:space="preserve"> that the uncommitted quarterly access amount can be correctly calculated and the full volume available for use.</w:t>
      </w:r>
    </w:p>
    <w:p w14:paraId="52B918E1" w14:textId="77777777" w:rsidR="00CD3D6C" w:rsidRDefault="00CD3D6C" w:rsidP="00CD3D6C">
      <w:pPr>
        <w:spacing w:line="240" w:lineRule="auto"/>
        <w:rPr>
          <w:rFonts w:eastAsia="Times New Roman"/>
          <w:sz w:val="24"/>
          <w:szCs w:val="24"/>
          <w:lang w:eastAsia="en-AU"/>
        </w:rPr>
      </w:pPr>
    </w:p>
    <w:p w14:paraId="509270F0" w14:textId="1D059827" w:rsidR="002A690D" w:rsidRDefault="00436B91" w:rsidP="00CD3D6C">
      <w:pPr>
        <w:spacing w:line="240" w:lineRule="auto"/>
        <w:rPr>
          <w:rFonts w:eastAsia="Times New Roman"/>
          <w:sz w:val="24"/>
          <w:szCs w:val="24"/>
          <w:lang w:eastAsia="en-AU"/>
        </w:rPr>
      </w:pPr>
      <w:r>
        <w:rPr>
          <w:rFonts w:eastAsia="Times New Roman"/>
          <w:sz w:val="24"/>
          <w:szCs w:val="24"/>
          <w:lang w:eastAsia="en-AU"/>
        </w:rPr>
        <w:t>Subsection 7</w:t>
      </w:r>
      <w:r w:rsidR="00CD3D6C">
        <w:rPr>
          <w:rFonts w:eastAsia="Times New Roman"/>
          <w:sz w:val="24"/>
          <w:szCs w:val="24"/>
          <w:lang w:eastAsia="en-AU"/>
        </w:rPr>
        <w:t>(3) provides that f</w:t>
      </w:r>
      <w:r w:rsidR="002A690D" w:rsidRPr="00CD3D6C">
        <w:rPr>
          <w:rFonts w:eastAsia="Times New Roman"/>
          <w:sz w:val="24"/>
          <w:szCs w:val="24"/>
          <w:lang w:eastAsia="en-AU"/>
        </w:rPr>
        <w:t>or the purposes of subsection (2), if a tariff rate quota certificate</w:t>
      </w:r>
      <w:r w:rsidR="004806D5">
        <w:rPr>
          <w:rFonts w:eastAsia="Times New Roman"/>
          <w:sz w:val="24"/>
          <w:szCs w:val="24"/>
          <w:lang w:eastAsia="en-AU"/>
        </w:rPr>
        <w:t xml:space="preserve"> in relation to a consignment of a quota type for export in a quota year</w:t>
      </w:r>
      <w:r w:rsidR="002A690D" w:rsidRPr="00CD3D6C">
        <w:rPr>
          <w:rFonts w:eastAsia="Times New Roman"/>
          <w:sz w:val="24"/>
          <w:szCs w:val="24"/>
          <w:lang w:eastAsia="en-AU"/>
        </w:rPr>
        <w:t xml:space="preserve"> is issued before the start of </w:t>
      </w:r>
      <w:r w:rsidR="004806D5">
        <w:rPr>
          <w:rFonts w:eastAsia="Times New Roman"/>
          <w:sz w:val="24"/>
          <w:szCs w:val="24"/>
          <w:lang w:eastAsia="en-AU"/>
        </w:rPr>
        <w:t>the</w:t>
      </w:r>
      <w:r w:rsidR="002A690D" w:rsidRPr="00CD3D6C">
        <w:rPr>
          <w:rFonts w:eastAsia="Times New Roman"/>
          <w:sz w:val="24"/>
          <w:szCs w:val="24"/>
          <w:lang w:eastAsia="en-AU"/>
        </w:rPr>
        <w:t xml:space="preserve"> quota year, </w:t>
      </w:r>
      <w:r w:rsidR="004806D5">
        <w:rPr>
          <w:rFonts w:eastAsia="Times New Roman"/>
          <w:sz w:val="24"/>
          <w:szCs w:val="24"/>
          <w:lang w:eastAsia="en-AU"/>
        </w:rPr>
        <w:t>the certificate</w:t>
      </w:r>
      <w:r w:rsidR="002A690D" w:rsidRPr="00CD3D6C">
        <w:rPr>
          <w:rFonts w:eastAsia="Times New Roman"/>
          <w:sz w:val="24"/>
          <w:szCs w:val="24"/>
          <w:lang w:eastAsia="en-AU"/>
        </w:rPr>
        <w:t xml:space="preserve"> is taken to have been issued during the first quarter of the quota year.</w:t>
      </w:r>
      <w:r w:rsidR="00CD3D6C">
        <w:rPr>
          <w:rFonts w:eastAsia="Times New Roman"/>
          <w:sz w:val="24"/>
          <w:szCs w:val="24"/>
          <w:lang w:eastAsia="en-AU"/>
        </w:rPr>
        <w:t xml:space="preserve">  This </w:t>
      </w:r>
      <w:r w:rsidR="00C93053">
        <w:rPr>
          <w:rFonts w:eastAsia="Times New Roman"/>
          <w:sz w:val="24"/>
          <w:szCs w:val="24"/>
          <w:lang w:eastAsia="en-AU"/>
        </w:rPr>
        <w:t>provision</w:t>
      </w:r>
      <w:r w:rsidR="00CD3D6C">
        <w:rPr>
          <w:rFonts w:eastAsia="Times New Roman"/>
          <w:sz w:val="24"/>
          <w:szCs w:val="24"/>
          <w:lang w:eastAsia="en-AU"/>
        </w:rPr>
        <w:t xml:space="preserve"> recognise</w:t>
      </w:r>
      <w:r w:rsidR="00C93053">
        <w:rPr>
          <w:rFonts w:eastAsia="Times New Roman"/>
          <w:sz w:val="24"/>
          <w:szCs w:val="24"/>
          <w:lang w:eastAsia="en-AU"/>
        </w:rPr>
        <w:t>s</w:t>
      </w:r>
      <w:r w:rsidR="00CD3D6C">
        <w:rPr>
          <w:rFonts w:eastAsia="Times New Roman"/>
          <w:sz w:val="24"/>
          <w:szCs w:val="24"/>
          <w:lang w:eastAsia="en-AU"/>
        </w:rPr>
        <w:t xml:space="preserve"> that </w:t>
      </w:r>
      <w:r w:rsidR="00C077C1">
        <w:rPr>
          <w:rFonts w:eastAsia="Times New Roman"/>
          <w:sz w:val="24"/>
          <w:szCs w:val="24"/>
          <w:lang w:eastAsia="en-AU"/>
        </w:rPr>
        <w:t>due to travel times, applications</w:t>
      </w:r>
      <w:r w:rsidR="00C93053">
        <w:rPr>
          <w:rFonts w:eastAsia="Times New Roman"/>
          <w:sz w:val="24"/>
          <w:szCs w:val="24"/>
          <w:lang w:eastAsia="en-AU"/>
        </w:rPr>
        <w:t xml:space="preserve"> for tariff rate quota certificates</w:t>
      </w:r>
      <w:r w:rsidR="00C077C1">
        <w:rPr>
          <w:rFonts w:eastAsia="Times New Roman"/>
          <w:sz w:val="24"/>
          <w:szCs w:val="24"/>
          <w:lang w:eastAsia="en-AU"/>
        </w:rPr>
        <w:t xml:space="preserve"> can be made in a different period than that of the expected arrival date of the exports.</w:t>
      </w:r>
    </w:p>
    <w:p w14:paraId="5067DBD4" w14:textId="77777777" w:rsidR="00CD3D6C" w:rsidRPr="00CD3D6C" w:rsidRDefault="00CD3D6C" w:rsidP="00CD3D6C">
      <w:pPr>
        <w:spacing w:line="240" w:lineRule="auto"/>
        <w:rPr>
          <w:rFonts w:eastAsia="Times New Roman"/>
          <w:sz w:val="24"/>
          <w:szCs w:val="24"/>
          <w:lang w:eastAsia="en-AU"/>
        </w:rPr>
      </w:pPr>
    </w:p>
    <w:p w14:paraId="1D039675" w14:textId="7AAAD03A" w:rsidR="002A690D" w:rsidRPr="00CD3D6C" w:rsidRDefault="00436B91" w:rsidP="00CD3D6C">
      <w:pPr>
        <w:spacing w:line="240" w:lineRule="auto"/>
        <w:rPr>
          <w:rFonts w:eastAsia="Times New Roman"/>
          <w:sz w:val="24"/>
          <w:szCs w:val="24"/>
          <w:lang w:eastAsia="en-AU"/>
        </w:rPr>
      </w:pPr>
      <w:r>
        <w:rPr>
          <w:rFonts w:eastAsia="Times New Roman"/>
          <w:sz w:val="24"/>
          <w:szCs w:val="24"/>
          <w:lang w:eastAsia="en-AU"/>
        </w:rPr>
        <w:t>Subsection 7</w:t>
      </w:r>
      <w:r w:rsidR="00C077C1">
        <w:rPr>
          <w:rFonts w:eastAsia="Times New Roman"/>
          <w:sz w:val="24"/>
          <w:szCs w:val="24"/>
          <w:lang w:eastAsia="en-AU"/>
        </w:rPr>
        <w:t>(4) provides that i</w:t>
      </w:r>
      <w:r w:rsidR="002A690D" w:rsidRPr="00CD3D6C">
        <w:rPr>
          <w:rFonts w:eastAsia="Times New Roman"/>
          <w:sz w:val="24"/>
          <w:szCs w:val="24"/>
          <w:lang w:eastAsia="en-AU"/>
        </w:rPr>
        <w:t>f, at the end of the first, second or third quarter of a quota year, the uncommitted quarterly access amount for that quarter is greater than zero, the quarterly access amount for the next quarter of the quota year is increased by that uncommitted quarterly access amount.</w:t>
      </w:r>
      <w:r w:rsidR="00C077C1">
        <w:rPr>
          <w:rFonts w:eastAsia="Times New Roman"/>
          <w:sz w:val="24"/>
          <w:szCs w:val="24"/>
          <w:lang w:eastAsia="en-AU"/>
        </w:rPr>
        <w:t xml:space="preserve">  This ensures the full yearly access amount can be accessed by the end of the quota year, despite lower usage during any given</w:t>
      </w:r>
      <w:r w:rsidR="00C93053">
        <w:rPr>
          <w:rFonts w:eastAsia="Times New Roman"/>
          <w:sz w:val="24"/>
          <w:szCs w:val="24"/>
          <w:lang w:eastAsia="en-AU"/>
        </w:rPr>
        <w:t xml:space="preserve"> previous</w:t>
      </w:r>
      <w:r w:rsidR="00C077C1">
        <w:rPr>
          <w:rFonts w:eastAsia="Times New Roman"/>
          <w:sz w:val="24"/>
          <w:szCs w:val="24"/>
          <w:lang w:eastAsia="en-AU"/>
        </w:rPr>
        <w:t xml:space="preserve"> quarter.</w:t>
      </w:r>
    </w:p>
    <w:p w14:paraId="62A53355" w14:textId="77777777" w:rsidR="00B454D4" w:rsidRDefault="00B454D4" w:rsidP="00DC262C">
      <w:pPr>
        <w:pStyle w:val="paragraph"/>
        <w:rPr>
          <w:rStyle w:val="CharSectno"/>
          <w:kern w:val="28"/>
          <w:u w:val="single"/>
        </w:rPr>
      </w:pPr>
      <w:bookmarkStart w:id="26" w:name="BK_S3P6L18C76"/>
      <w:bookmarkEnd w:id="26"/>
    </w:p>
    <w:p w14:paraId="6C6DCCFC" w14:textId="7D2FF14E" w:rsidR="003A6C42" w:rsidRPr="0057061D" w:rsidRDefault="00DC262C" w:rsidP="00DC262C">
      <w:pPr>
        <w:pStyle w:val="paragraph"/>
        <w:rPr>
          <w:b/>
          <w:sz w:val="28"/>
          <w:szCs w:val="28"/>
        </w:rPr>
      </w:pPr>
      <w:r w:rsidRPr="0057061D">
        <w:rPr>
          <w:b/>
          <w:sz w:val="24"/>
          <w:szCs w:val="24"/>
        </w:rPr>
        <w:tab/>
      </w:r>
      <w:bookmarkStart w:id="27" w:name="_Toc461026801"/>
      <w:r w:rsidR="00F9487B" w:rsidRPr="0057061D">
        <w:rPr>
          <w:b/>
          <w:sz w:val="28"/>
          <w:szCs w:val="28"/>
        </w:rPr>
        <w:t xml:space="preserve">Chapter 2 </w:t>
      </w:r>
      <w:bookmarkEnd w:id="27"/>
      <w:r w:rsidR="0052350D" w:rsidRPr="0057061D">
        <w:rPr>
          <w:b/>
          <w:sz w:val="28"/>
          <w:szCs w:val="28"/>
        </w:rPr>
        <w:t>- Methods for determining entitlements and issuing certificates</w:t>
      </w:r>
    </w:p>
    <w:p w14:paraId="2AA1F943" w14:textId="77777777" w:rsidR="00B321F8" w:rsidRPr="0057061D" w:rsidRDefault="00B321F8" w:rsidP="00DC262C">
      <w:pPr>
        <w:pStyle w:val="paragraph"/>
        <w:rPr>
          <w:b/>
          <w:sz w:val="24"/>
          <w:szCs w:val="24"/>
        </w:rPr>
      </w:pPr>
    </w:p>
    <w:p w14:paraId="748C83E7" w14:textId="3E83E630" w:rsidR="002F2E7E" w:rsidRPr="0057061D" w:rsidRDefault="0052350D" w:rsidP="002F2E7E">
      <w:pPr>
        <w:pStyle w:val="paragraph"/>
        <w:rPr>
          <w:rStyle w:val="CharSectno"/>
          <w:b/>
          <w:sz w:val="24"/>
          <w:szCs w:val="24"/>
        </w:rPr>
      </w:pPr>
      <w:r w:rsidRPr="0057061D">
        <w:rPr>
          <w:b/>
          <w:sz w:val="24"/>
          <w:szCs w:val="24"/>
        </w:rPr>
        <w:t>Part 1 - First come</w:t>
      </w:r>
      <w:r w:rsidR="00736D9E" w:rsidRPr="0057061D">
        <w:rPr>
          <w:b/>
          <w:sz w:val="24"/>
          <w:szCs w:val="24"/>
        </w:rPr>
        <w:t>,</w:t>
      </w:r>
      <w:r w:rsidRPr="0057061D">
        <w:rPr>
          <w:b/>
          <w:sz w:val="24"/>
          <w:szCs w:val="24"/>
        </w:rPr>
        <w:t xml:space="preserve"> first served method</w:t>
      </w:r>
    </w:p>
    <w:p w14:paraId="4F4EB53E" w14:textId="77777777" w:rsidR="00A50932" w:rsidRPr="0057061D" w:rsidRDefault="00A50932" w:rsidP="00A50932">
      <w:pPr>
        <w:pStyle w:val="paragraph"/>
        <w:ind w:left="0" w:firstLine="0"/>
        <w:rPr>
          <w:rStyle w:val="CharSectno"/>
          <w:i/>
          <w:sz w:val="24"/>
          <w:szCs w:val="24"/>
        </w:rPr>
      </w:pPr>
    </w:p>
    <w:p w14:paraId="668C6A48" w14:textId="06034CE4" w:rsidR="00666888" w:rsidRPr="0057061D" w:rsidRDefault="00B93BB2" w:rsidP="00A50932">
      <w:pPr>
        <w:pStyle w:val="paragraph"/>
        <w:ind w:left="0" w:firstLine="0"/>
        <w:rPr>
          <w:rStyle w:val="CharSectno"/>
          <w:sz w:val="24"/>
          <w:szCs w:val="24"/>
          <w:u w:val="single"/>
        </w:rPr>
      </w:pPr>
      <w:r w:rsidRPr="0057061D">
        <w:rPr>
          <w:rStyle w:val="CharSectno"/>
          <w:sz w:val="24"/>
          <w:szCs w:val="24"/>
          <w:u w:val="single"/>
        </w:rPr>
        <w:t>Section</w:t>
      </w:r>
      <w:r w:rsidR="00A50932" w:rsidRPr="0057061D">
        <w:rPr>
          <w:rStyle w:val="CharSectno"/>
          <w:sz w:val="24"/>
          <w:szCs w:val="24"/>
          <w:u w:val="single"/>
        </w:rPr>
        <w:t xml:space="preserve"> </w:t>
      </w:r>
      <w:r w:rsidR="00436B91">
        <w:rPr>
          <w:rStyle w:val="CharSectno"/>
          <w:sz w:val="24"/>
          <w:szCs w:val="24"/>
          <w:u w:val="single"/>
        </w:rPr>
        <w:t>8</w:t>
      </w:r>
      <w:r w:rsidR="0052350D" w:rsidRPr="0057061D">
        <w:rPr>
          <w:rStyle w:val="CharSectno"/>
          <w:sz w:val="24"/>
          <w:szCs w:val="24"/>
          <w:u w:val="single"/>
        </w:rPr>
        <w:t xml:space="preserve"> - </w:t>
      </w:r>
      <w:r w:rsidR="00736D9E" w:rsidRPr="0057061D">
        <w:rPr>
          <w:rStyle w:val="CharSectno"/>
          <w:sz w:val="24"/>
          <w:szCs w:val="24"/>
          <w:u w:val="single"/>
        </w:rPr>
        <w:t>A</w:t>
      </w:r>
      <w:r w:rsidR="0052350D" w:rsidRPr="0057061D">
        <w:rPr>
          <w:rStyle w:val="CharSectno"/>
          <w:sz w:val="24"/>
          <w:szCs w:val="24"/>
          <w:u w:val="single"/>
        </w:rPr>
        <w:t>pplication of this Part</w:t>
      </w:r>
    </w:p>
    <w:p w14:paraId="6DA610FE" w14:textId="77777777" w:rsidR="00736D9E" w:rsidRPr="0057061D" w:rsidRDefault="00736D9E" w:rsidP="00A50932">
      <w:pPr>
        <w:pStyle w:val="paragraph"/>
        <w:ind w:left="0" w:firstLine="0"/>
        <w:rPr>
          <w:rStyle w:val="CharSectno"/>
          <w:sz w:val="24"/>
          <w:szCs w:val="24"/>
        </w:rPr>
      </w:pPr>
    </w:p>
    <w:p w14:paraId="1D208F50" w14:textId="47A97835" w:rsidR="002F2E7E" w:rsidRPr="0057061D" w:rsidRDefault="00510484" w:rsidP="00A50932">
      <w:pPr>
        <w:pStyle w:val="paragraph"/>
        <w:ind w:left="0" w:firstLine="0"/>
        <w:rPr>
          <w:rStyle w:val="CharSectno"/>
          <w:sz w:val="24"/>
          <w:szCs w:val="24"/>
        </w:rPr>
      </w:pPr>
      <w:r w:rsidRPr="0057061D">
        <w:rPr>
          <w:rStyle w:val="CharSectno"/>
          <w:sz w:val="24"/>
          <w:szCs w:val="24"/>
        </w:rPr>
        <w:t>S</w:t>
      </w:r>
      <w:r w:rsidR="002F2E7E" w:rsidRPr="0057061D">
        <w:rPr>
          <w:rStyle w:val="CharSectno"/>
          <w:sz w:val="24"/>
          <w:szCs w:val="24"/>
        </w:rPr>
        <w:t>ection</w:t>
      </w:r>
      <w:r w:rsidR="00E12CBF" w:rsidRPr="0057061D">
        <w:rPr>
          <w:rStyle w:val="CharSectno"/>
          <w:sz w:val="24"/>
          <w:szCs w:val="24"/>
        </w:rPr>
        <w:t xml:space="preserve"> </w:t>
      </w:r>
      <w:r w:rsidR="00436B91">
        <w:rPr>
          <w:rStyle w:val="CharSectno"/>
          <w:sz w:val="24"/>
          <w:szCs w:val="24"/>
        </w:rPr>
        <w:t>8</w:t>
      </w:r>
      <w:r w:rsidRPr="0057061D">
        <w:rPr>
          <w:rStyle w:val="CharSectno"/>
          <w:sz w:val="24"/>
          <w:szCs w:val="24"/>
        </w:rPr>
        <w:t xml:space="preserve"> </w:t>
      </w:r>
      <w:r w:rsidR="00E12CBF" w:rsidRPr="0057061D">
        <w:rPr>
          <w:rStyle w:val="CharSectno"/>
          <w:sz w:val="24"/>
          <w:szCs w:val="24"/>
        </w:rPr>
        <w:t>provides that</w:t>
      </w:r>
      <w:r w:rsidR="002F2E7E" w:rsidRPr="0057061D">
        <w:rPr>
          <w:rStyle w:val="CharSectno"/>
          <w:sz w:val="24"/>
          <w:szCs w:val="24"/>
        </w:rPr>
        <w:t xml:space="preserve"> </w:t>
      </w:r>
      <w:r w:rsidR="00E12CBF" w:rsidRPr="0057061D">
        <w:rPr>
          <w:rStyle w:val="CharSectno"/>
          <w:sz w:val="24"/>
          <w:szCs w:val="24"/>
        </w:rPr>
        <w:t>i</w:t>
      </w:r>
      <w:r w:rsidR="00E12CBF" w:rsidRPr="0057061D">
        <w:rPr>
          <w:sz w:val="24"/>
          <w:szCs w:val="24"/>
        </w:rPr>
        <w:t>f a provision of Chapter 3 provides that the first come</w:t>
      </w:r>
      <w:r w:rsidR="00536306">
        <w:rPr>
          <w:sz w:val="24"/>
          <w:szCs w:val="24"/>
        </w:rPr>
        <w:t>,</w:t>
      </w:r>
      <w:r w:rsidR="00E12CBF" w:rsidRPr="0057061D">
        <w:rPr>
          <w:sz w:val="24"/>
          <w:szCs w:val="24"/>
        </w:rPr>
        <w:t xml:space="preserve"> first served method applies for the purposes of issuing a tariff rate quota certificate in relation to a consignment of a </w:t>
      </w:r>
      <w:r w:rsidR="00FE3E4B">
        <w:rPr>
          <w:sz w:val="24"/>
          <w:szCs w:val="24"/>
        </w:rPr>
        <w:t>quota type</w:t>
      </w:r>
      <w:r w:rsidR="00E12CBF" w:rsidRPr="0057061D">
        <w:rPr>
          <w:sz w:val="24"/>
          <w:szCs w:val="24"/>
        </w:rPr>
        <w:t xml:space="preserve"> </w:t>
      </w:r>
      <w:r w:rsidR="00C74EC7">
        <w:rPr>
          <w:sz w:val="24"/>
          <w:szCs w:val="24"/>
        </w:rPr>
        <w:t xml:space="preserve">for export </w:t>
      </w:r>
      <w:r w:rsidR="00E12CBF" w:rsidRPr="0057061D">
        <w:rPr>
          <w:sz w:val="24"/>
          <w:szCs w:val="24"/>
        </w:rPr>
        <w:t>in a quota year, then this Part applies for the purposes of issuing a tariff rate quota certificate in relation to such a consignment.</w:t>
      </w:r>
      <w:r w:rsidR="00E50646">
        <w:rPr>
          <w:sz w:val="24"/>
          <w:szCs w:val="24"/>
        </w:rPr>
        <w:t xml:space="preserve">  </w:t>
      </w:r>
      <w:r w:rsidR="00E50646" w:rsidRPr="00C449C0">
        <w:rPr>
          <w:sz w:val="24"/>
        </w:rPr>
        <w:t>This is to distinguish between the other methods set out in Chapter 2</w:t>
      </w:r>
      <w:r w:rsidR="00663D21" w:rsidRPr="00C449C0">
        <w:rPr>
          <w:sz w:val="24"/>
        </w:rPr>
        <w:t>;</w:t>
      </w:r>
      <w:r w:rsidR="00E50646" w:rsidRPr="00C449C0">
        <w:rPr>
          <w:sz w:val="24"/>
        </w:rPr>
        <w:t xml:space="preserve"> only one</w:t>
      </w:r>
      <w:r w:rsidR="00663D21" w:rsidRPr="00C449C0">
        <w:rPr>
          <w:sz w:val="24"/>
        </w:rPr>
        <w:t xml:space="preserve"> method</w:t>
      </w:r>
      <w:r w:rsidR="00E50646" w:rsidRPr="00C449C0">
        <w:rPr>
          <w:sz w:val="24"/>
        </w:rPr>
        <w:t xml:space="preserve"> will ever apply to a given quota type in a given quota year</w:t>
      </w:r>
      <w:r w:rsidR="00E50646">
        <w:rPr>
          <w:sz w:val="24"/>
          <w:szCs w:val="24"/>
        </w:rPr>
        <w:t>.</w:t>
      </w:r>
      <w:r w:rsidR="00F62CC4">
        <w:rPr>
          <w:sz w:val="24"/>
          <w:szCs w:val="24"/>
        </w:rPr>
        <w:t xml:space="preserve"> This method is included to cater for tariff rate quotas that are not likely to have high usage.  The risk of the quota being exhausted is low and therefore exporters can plan commercially with low risk, while the minimum level of regulation is being applied.</w:t>
      </w:r>
    </w:p>
    <w:p w14:paraId="2E053E36" w14:textId="77777777" w:rsidR="00DF1361" w:rsidRPr="0057061D" w:rsidRDefault="00DF1361" w:rsidP="00A50932">
      <w:pPr>
        <w:pStyle w:val="paragraph"/>
        <w:ind w:left="0" w:firstLine="0"/>
        <w:rPr>
          <w:rStyle w:val="CharSectno"/>
          <w:sz w:val="24"/>
          <w:szCs w:val="24"/>
        </w:rPr>
      </w:pPr>
    </w:p>
    <w:p w14:paraId="25611941" w14:textId="4B7557A1" w:rsidR="00DF1361" w:rsidRPr="0057061D" w:rsidRDefault="00F52569" w:rsidP="00A50932">
      <w:pPr>
        <w:pStyle w:val="paragraph"/>
        <w:ind w:left="0" w:firstLine="0"/>
        <w:rPr>
          <w:rStyle w:val="CharSectno"/>
          <w:sz w:val="24"/>
          <w:szCs w:val="24"/>
          <w:u w:val="single"/>
        </w:rPr>
      </w:pPr>
      <w:r w:rsidRPr="0057061D">
        <w:rPr>
          <w:rStyle w:val="CharSectno"/>
          <w:sz w:val="24"/>
          <w:szCs w:val="24"/>
          <w:u w:val="single"/>
        </w:rPr>
        <w:t>Section</w:t>
      </w:r>
      <w:r w:rsidR="00DF1361" w:rsidRPr="0057061D">
        <w:rPr>
          <w:rStyle w:val="CharSectno"/>
          <w:sz w:val="24"/>
          <w:szCs w:val="24"/>
          <w:u w:val="single"/>
        </w:rPr>
        <w:t xml:space="preserve"> </w:t>
      </w:r>
      <w:r w:rsidR="00436B91">
        <w:rPr>
          <w:rStyle w:val="CharSectno"/>
          <w:sz w:val="24"/>
          <w:szCs w:val="24"/>
          <w:u w:val="single"/>
        </w:rPr>
        <w:t>9</w:t>
      </w:r>
      <w:r w:rsidRPr="0057061D">
        <w:rPr>
          <w:rStyle w:val="CharSectno"/>
          <w:sz w:val="24"/>
          <w:szCs w:val="24"/>
          <w:u w:val="single"/>
        </w:rPr>
        <w:t xml:space="preserve"> - Applications for tariff rate quota certificates</w:t>
      </w:r>
    </w:p>
    <w:p w14:paraId="1768D42B" w14:textId="77777777" w:rsidR="00510484" w:rsidRPr="0057061D" w:rsidRDefault="00510484" w:rsidP="00A50932">
      <w:pPr>
        <w:pStyle w:val="paragraph"/>
        <w:ind w:left="0" w:firstLine="0"/>
        <w:rPr>
          <w:rStyle w:val="CharSectno"/>
          <w:sz w:val="24"/>
          <w:szCs w:val="24"/>
        </w:rPr>
      </w:pPr>
    </w:p>
    <w:p w14:paraId="772116F1" w14:textId="3DFAC972" w:rsidR="00510484" w:rsidRPr="0057061D" w:rsidRDefault="00436B91" w:rsidP="00510484">
      <w:pPr>
        <w:pStyle w:val="Normal-em"/>
        <w:spacing w:after="0" w:line="240" w:lineRule="auto"/>
        <w:rPr>
          <w:color w:val="auto"/>
        </w:rPr>
      </w:pPr>
      <w:r>
        <w:rPr>
          <w:color w:val="auto"/>
        </w:rPr>
        <w:t>Section 9</w:t>
      </w:r>
      <w:r w:rsidR="00510484" w:rsidRPr="0057061D">
        <w:rPr>
          <w:color w:val="auto"/>
        </w:rPr>
        <w:t xml:space="preserve"> provides that a person who intends to export a consignment of a </w:t>
      </w:r>
      <w:r w:rsidR="00FE3E4B">
        <w:rPr>
          <w:color w:val="auto"/>
        </w:rPr>
        <w:t>quota type</w:t>
      </w:r>
      <w:r w:rsidR="00510484" w:rsidRPr="0057061D">
        <w:rPr>
          <w:color w:val="auto"/>
        </w:rPr>
        <w:t xml:space="preserve"> in a quota year may apply to the Secretary under this section for a tariff rate quota certificate in rela</w:t>
      </w:r>
      <w:r w:rsidR="00E50646">
        <w:rPr>
          <w:color w:val="auto"/>
        </w:rPr>
        <w:t xml:space="preserve">tion to the consignment. This section includes a note referring the reader to section </w:t>
      </w:r>
      <w:r w:rsidR="00FF72F4">
        <w:rPr>
          <w:color w:val="auto"/>
        </w:rPr>
        <w:t>114</w:t>
      </w:r>
      <w:r w:rsidR="00E50646">
        <w:rPr>
          <w:color w:val="auto"/>
        </w:rPr>
        <w:t xml:space="preserve"> which sets out the</w:t>
      </w:r>
      <w:r w:rsidR="00510484" w:rsidRPr="0057061D">
        <w:rPr>
          <w:color w:val="auto"/>
        </w:rPr>
        <w:t xml:space="preserve"> requirements and other matters relating to applications.</w:t>
      </w:r>
    </w:p>
    <w:p w14:paraId="40670F06" w14:textId="77777777" w:rsidR="008113A2" w:rsidRPr="0057061D" w:rsidRDefault="008113A2" w:rsidP="00A50932">
      <w:pPr>
        <w:pStyle w:val="paragraph"/>
        <w:ind w:left="0" w:firstLine="0"/>
        <w:rPr>
          <w:rStyle w:val="CharSectno"/>
          <w:sz w:val="24"/>
          <w:szCs w:val="24"/>
        </w:rPr>
      </w:pPr>
    </w:p>
    <w:p w14:paraId="63BCD3D9" w14:textId="590EFC0B" w:rsidR="008113A2" w:rsidRPr="0057061D" w:rsidRDefault="00F52569" w:rsidP="00A50932">
      <w:pPr>
        <w:pStyle w:val="paragraph"/>
        <w:ind w:left="0" w:firstLine="0"/>
        <w:rPr>
          <w:rStyle w:val="CharSectno"/>
          <w:sz w:val="24"/>
          <w:szCs w:val="24"/>
          <w:u w:val="single"/>
        </w:rPr>
      </w:pPr>
      <w:r w:rsidRPr="0057061D">
        <w:rPr>
          <w:rStyle w:val="CharSectno"/>
          <w:sz w:val="24"/>
          <w:szCs w:val="24"/>
          <w:u w:val="single"/>
        </w:rPr>
        <w:t xml:space="preserve">Section </w:t>
      </w:r>
      <w:r w:rsidR="00436B91">
        <w:rPr>
          <w:rStyle w:val="CharSectno"/>
          <w:sz w:val="24"/>
          <w:szCs w:val="24"/>
          <w:u w:val="single"/>
        </w:rPr>
        <w:t>10</w:t>
      </w:r>
      <w:r w:rsidRPr="0057061D">
        <w:rPr>
          <w:rStyle w:val="CharSectno"/>
          <w:sz w:val="24"/>
          <w:szCs w:val="24"/>
          <w:u w:val="single"/>
        </w:rPr>
        <w:t xml:space="preserve"> - </w:t>
      </w:r>
      <w:r w:rsidR="00D81E66" w:rsidRPr="0057061D">
        <w:rPr>
          <w:rStyle w:val="CharSectno"/>
          <w:sz w:val="24"/>
          <w:szCs w:val="24"/>
          <w:u w:val="single"/>
        </w:rPr>
        <w:t xml:space="preserve">Applications to be dealt with </w:t>
      </w:r>
      <w:r w:rsidR="00536306">
        <w:rPr>
          <w:rStyle w:val="CharSectno"/>
          <w:sz w:val="24"/>
          <w:szCs w:val="24"/>
          <w:u w:val="single"/>
        </w:rPr>
        <w:t>in order of receipt</w:t>
      </w:r>
    </w:p>
    <w:p w14:paraId="5E18291C" w14:textId="55AE1C7E" w:rsidR="008113A2" w:rsidRPr="0057061D" w:rsidRDefault="008113A2" w:rsidP="00A50932">
      <w:pPr>
        <w:pStyle w:val="paragraph"/>
        <w:ind w:left="0" w:firstLine="0"/>
        <w:rPr>
          <w:sz w:val="24"/>
          <w:szCs w:val="24"/>
        </w:rPr>
      </w:pPr>
    </w:p>
    <w:p w14:paraId="453E8177" w14:textId="76DE5DF4" w:rsidR="00C83543" w:rsidRPr="00081587" w:rsidRDefault="00510484" w:rsidP="005B177F">
      <w:pPr>
        <w:pStyle w:val="paragraph"/>
        <w:ind w:left="0" w:firstLine="0"/>
        <w:rPr>
          <w:sz w:val="24"/>
          <w:szCs w:val="24"/>
        </w:rPr>
      </w:pPr>
      <w:r w:rsidRPr="00A46399">
        <w:rPr>
          <w:sz w:val="24"/>
          <w:szCs w:val="24"/>
        </w:rPr>
        <w:t>S</w:t>
      </w:r>
      <w:r w:rsidR="00014A66" w:rsidRPr="00A46399">
        <w:rPr>
          <w:sz w:val="24"/>
          <w:szCs w:val="24"/>
        </w:rPr>
        <w:t>ection</w:t>
      </w:r>
      <w:r w:rsidR="00436B91" w:rsidRPr="00A46399">
        <w:rPr>
          <w:sz w:val="24"/>
          <w:szCs w:val="24"/>
        </w:rPr>
        <w:t xml:space="preserve"> 10</w:t>
      </w:r>
      <w:r w:rsidRPr="00A46399">
        <w:rPr>
          <w:sz w:val="24"/>
          <w:szCs w:val="24"/>
        </w:rPr>
        <w:t xml:space="preserve"> </w:t>
      </w:r>
      <w:r w:rsidR="00C83543" w:rsidRPr="00A46399">
        <w:rPr>
          <w:sz w:val="24"/>
          <w:szCs w:val="24"/>
        </w:rPr>
        <w:t>provides that t</w:t>
      </w:r>
      <w:r w:rsidR="00C83543" w:rsidRPr="00081587">
        <w:rPr>
          <w:sz w:val="24"/>
          <w:szCs w:val="24"/>
        </w:rPr>
        <w:t>he Secretary must deal with</w:t>
      </w:r>
      <w:r w:rsidR="00436B91" w:rsidRPr="00081587">
        <w:rPr>
          <w:sz w:val="24"/>
          <w:szCs w:val="24"/>
        </w:rPr>
        <w:t xml:space="preserve"> applications under section 9</w:t>
      </w:r>
      <w:r w:rsidR="00C83543" w:rsidRPr="00081587">
        <w:rPr>
          <w:sz w:val="24"/>
          <w:szCs w:val="24"/>
        </w:rPr>
        <w:t xml:space="preserve"> in the order in which the applications</w:t>
      </w:r>
      <w:r w:rsidR="005B177F" w:rsidRPr="00081587">
        <w:rPr>
          <w:sz w:val="24"/>
          <w:szCs w:val="24"/>
        </w:rPr>
        <w:t xml:space="preserve"> are received by the Secretary. </w:t>
      </w:r>
      <w:r w:rsidR="00C83543" w:rsidRPr="00081587">
        <w:rPr>
          <w:sz w:val="24"/>
          <w:szCs w:val="24"/>
        </w:rPr>
        <w:t xml:space="preserve">This section includes a note that section </w:t>
      </w:r>
      <w:r w:rsidR="00FF72F4" w:rsidRPr="00081587">
        <w:rPr>
          <w:sz w:val="24"/>
          <w:szCs w:val="24"/>
        </w:rPr>
        <w:t>114</w:t>
      </w:r>
      <w:r w:rsidR="00C83543" w:rsidRPr="00081587">
        <w:rPr>
          <w:sz w:val="24"/>
          <w:szCs w:val="24"/>
        </w:rPr>
        <w:t>(8) deals with when an application is taken to be received by the Secretary.</w:t>
      </w:r>
    </w:p>
    <w:p w14:paraId="53E83CFD" w14:textId="77777777" w:rsidR="00C83543" w:rsidRPr="0057061D" w:rsidRDefault="00C83543" w:rsidP="008F4702">
      <w:pPr>
        <w:pStyle w:val="paragraph"/>
        <w:ind w:left="0" w:firstLine="0"/>
        <w:rPr>
          <w:sz w:val="24"/>
          <w:szCs w:val="24"/>
        </w:rPr>
      </w:pPr>
    </w:p>
    <w:p w14:paraId="3615198A" w14:textId="4BC75D24" w:rsidR="00D81E66" w:rsidRPr="0057061D" w:rsidRDefault="00D81E66" w:rsidP="004839AA">
      <w:pPr>
        <w:pStyle w:val="paragraph"/>
        <w:keepNext/>
        <w:ind w:left="0" w:firstLine="0"/>
        <w:rPr>
          <w:rStyle w:val="CharSectno"/>
          <w:sz w:val="24"/>
          <w:szCs w:val="24"/>
          <w:u w:val="single"/>
        </w:rPr>
      </w:pPr>
      <w:r w:rsidRPr="0057061D">
        <w:rPr>
          <w:rStyle w:val="CharSectno"/>
          <w:sz w:val="24"/>
          <w:szCs w:val="24"/>
          <w:u w:val="single"/>
        </w:rPr>
        <w:lastRenderedPageBreak/>
        <w:t xml:space="preserve">Section </w:t>
      </w:r>
      <w:r w:rsidR="00436B91">
        <w:rPr>
          <w:rStyle w:val="CharSectno"/>
          <w:sz w:val="24"/>
          <w:szCs w:val="24"/>
          <w:u w:val="single"/>
        </w:rPr>
        <w:t>11</w:t>
      </w:r>
      <w:r w:rsidRPr="0057061D">
        <w:rPr>
          <w:rStyle w:val="CharSectno"/>
          <w:sz w:val="24"/>
          <w:szCs w:val="24"/>
          <w:u w:val="single"/>
        </w:rPr>
        <w:t xml:space="preserve"> - Issuing tariff rate quota certificates - annual access amounts</w:t>
      </w:r>
    </w:p>
    <w:p w14:paraId="114F9BB5" w14:textId="77777777" w:rsidR="00D81E66" w:rsidRPr="0057061D" w:rsidRDefault="00D81E66" w:rsidP="004839AA">
      <w:pPr>
        <w:pStyle w:val="paragraph"/>
        <w:keepNext/>
        <w:ind w:left="0" w:firstLine="0"/>
        <w:rPr>
          <w:sz w:val="24"/>
          <w:szCs w:val="24"/>
        </w:rPr>
      </w:pPr>
    </w:p>
    <w:p w14:paraId="1BFF8AE2" w14:textId="3BAEEFA2" w:rsidR="00014A66" w:rsidRPr="0057061D" w:rsidRDefault="00436B91" w:rsidP="00A50932">
      <w:pPr>
        <w:pStyle w:val="paragraph"/>
        <w:ind w:left="0" w:firstLine="0"/>
        <w:rPr>
          <w:sz w:val="24"/>
          <w:szCs w:val="24"/>
        </w:rPr>
      </w:pPr>
      <w:r>
        <w:rPr>
          <w:sz w:val="24"/>
          <w:szCs w:val="24"/>
        </w:rPr>
        <w:t>Subsection 11</w:t>
      </w:r>
      <w:r w:rsidR="00014A66" w:rsidRPr="0057061D">
        <w:rPr>
          <w:sz w:val="24"/>
          <w:szCs w:val="24"/>
        </w:rPr>
        <w:t xml:space="preserve">(1) </w:t>
      </w:r>
      <w:r w:rsidR="00A46399">
        <w:rPr>
          <w:sz w:val="24"/>
          <w:szCs w:val="24"/>
        </w:rPr>
        <w:t xml:space="preserve">provides that this section </w:t>
      </w:r>
      <w:r w:rsidR="00014A66" w:rsidRPr="0057061D">
        <w:rPr>
          <w:sz w:val="24"/>
          <w:szCs w:val="24"/>
        </w:rPr>
        <w:t xml:space="preserve">applies in relation to </w:t>
      </w:r>
      <w:r>
        <w:rPr>
          <w:sz w:val="24"/>
          <w:szCs w:val="24"/>
        </w:rPr>
        <w:t>an application under section 9</w:t>
      </w:r>
      <w:r w:rsidR="00014A66" w:rsidRPr="0057061D">
        <w:rPr>
          <w:sz w:val="24"/>
          <w:szCs w:val="24"/>
        </w:rPr>
        <w:t xml:space="preserve"> for a tariff rate quota certificate in relation to a consignment of a </w:t>
      </w:r>
      <w:r w:rsidR="00FE3E4B">
        <w:rPr>
          <w:sz w:val="24"/>
          <w:szCs w:val="24"/>
        </w:rPr>
        <w:t>quota type</w:t>
      </w:r>
      <w:r w:rsidR="00014A66" w:rsidRPr="0057061D">
        <w:rPr>
          <w:sz w:val="24"/>
          <w:szCs w:val="24"/>
        </w:rPr>
        <w:t xml:space="preserve"> for export in a quota year (other than an application relating to a </w:t>
      </w:r>
      <w:r w:rsidR="00FE3E4B">
        <w:rPr>
          <w:sz w:val="24"/>
          <w:szCs w:val="24"/>
        </w:rPr>
        <w:t>quota type</w:t>
      </w:r>
      <w:r w:rsidR="00014A66" w:rsidRPr="0057061D">
        <w:rPr>
          <w:sz w:val="24"/>
          <w:szCs w:val="24"/>
        </w:rPr>
        <w:t xml:space="preserve"> for which there</w:t>
      </w:r>
      <w:r w:rsidR="005B177F">
        <w:rPr>
          <w:sz w:val="24"/>
          <w:szCs w:val="24"/>
        </w:rPr>
        <w:t xml:space="preserve"> is a quarterly access amount). </w:t>
      </w:r>
      <w:r w:rsidR="00ED235F" w:rsidRPr="0057061D">
        <w:rPr>
          <w:sz w:val="24"/>
          <w:szCs w:val="24"/>
        </w:rPr>
        <w:t>This subsection includes a note that s</w:t>
      </w:r>
      <w:r>
        <w:rPr>
          <w:sz w:val="24"/>
          <w:szCs w:val="24"/>
        </w:rPr>
        <w:t>ection 12</w:t>
      </w:r>
      <w:r w:rsidR="00014A66" w:rsidRPr="0057061D">
        <w:rPr>
          <w:sz w:val="24"/>
          <w:szCs w:val="24"/>
        </w:rPr>
        <w:t xml:space="preserve"> deals with applications relating to a </w:t>
      </w:r>
      <w:r w:rsidR="00FE3E4B">
        <w:rPr>
          <w:sz w:val="24"/>
          <w:szCs w:val="24"/>
        </w:rPr>
        <w:t>quota type</w:t>
      </w:r>
      <w:r w:rsidR="00014A66" w:rsidRPr="0057061D">
        <w:rPr>
          <w:sz w:val="24"/>
          <w:szCs w:val="24"/>
        </w:rPr>
        <w:t xml:space="preserve"> for which there is a quarterly access amount.</w:t>
      </w:r>
    </w:p>
    <w:p w14:paraId="357FB394" w14:textId="77777777" w:rsidR="00014A66" w:rsidRPr="0057061D" w:rsidRDefault="00014A66" w:rsidP="00A50932">
      <w:pPr>
        <w:pStyle w:val="paragraph"/>
        <w:ind w:left="0" w:firstLine="0"/>
        <w:rPr>
          <w:sz w:val="24"/>
          <w:szCs w:val="24"/>
        </w:rPr>
      </w:pPr>
    </w:p>
    <w:p w14:paraId="1DC6E2EA" w14:textId="4879980B" w:rsidR="00014A66" w:rsidRPr="0057061D" w:rsidRDefault="00014A66" w:rsidP="00014A66">
      <w:pPr>
        <w:pStyle w:val="Normal-em"/>
        <w:spacing w:after="0" w:line="240" w:lineRule="auto"/>
      </w:pPr>
      <w:r w:rsidRPr="0057061D">
        <w:rPr>
          <w:szCs w:val="24"/>
        </w:rPr>
        <w:t xml:space="preserve">Subsection </w:t>
      </w:r>
      <w:r w:rsidR="00436B91">
        <w:rPr>
          <w:szCs w:val="24"/>
        </w:rPr>
        <w:t>11</w:t>
      </w:r>
      <w:r w:rsidRPr="0057061D">
        <w:rPr>
          <w:szCs w:val="24"/>
        </w:rPr>
        <w:t>(2) provides that s</w:t>
      </w:r>
      <w:r w:rsidRPr="0057061D">
        <w:t xml:space="preserve">ubject to section </w:t>
      </w:r>
      <w:r w:rsidR="00FF72F4">
        <w:t>115</w:t>
      </w:r>
      <w:r w:rsidRPr="0057061D">
        <w:t xml:space="preserve">, the Secretary must issue a tariff rate quota certificate to the applicant in relation to the consignment if, at the time the Secretary </w:t>
      </w:r>
      <w:r w:rsidR="00C74EC7">
        <w:t>deals with</w:t>
      </w:r>
      <w:r w:rsidRPr="0057061D">
        <w:t xml:space="preserve"> the</w:t>
      </w:r>
      <w:r w:rsidR="00C74EC7">
        <w:t xml:space="preserve"> application</w:t>
      </w:r>
      <w:r w:rsidRPr="0057061D">
        <w:t xml:space="preserve">, the uncommitted annual access amount for the </w:t>
      </w:r>
      <w:r w:rsidR="00FE3E4B">
        <w:t>quota type</w:t>
      </w:r>
      <w:r w:rsidRPr="0057061D">
        <w:t xml:space="preserve"> and q</w:t>
      </w:r>
      <w:r w:rsidR="005B177F">
        <w:t xml:space="preserve">uota year is greater than zero. </w:t>
      </w:r>
      <w:r w:rsidRPr="0057061D">
        <w:rPr>
          <w:color w:val="auto"/>
        </w:rPr>
        <w:t xml:space="preserve">This subsection includes a note </w:t>
      </w:r>
      <w:r w:rsidR="00FC0AC1" w:rsidRPr="0057061D">
        <w:rPr>
          <w:color w:val="auto"/>
        </w:rPr>
        <w:t xml:space="preserve">that </w:t>
      </w:r>
      <w:r w:rsidRPr="0057061D">
        <w:rPr>
          <w:color w:val="auto"/>
        </w:rPr>
        <w:t>s</w:t>
      </w:r>
      <w:r w:rsidRPr="0057061D">
        <w:t xml:space="preserve">ection </w:t>
      </w:r>
      <w:r w:rsidR="00FF72F4">
        <w:t>115</w:t>
      </w:r>
      <w:r w:rsidRPr="0057061D">
        <w:t xml:space="preserve"> deals with when the Secretary may decide not to issue a certificate.</w:t>
      </w:r>
    </w:p>
    <w:p w14:paraId="71FBFC74" w14:textId="77777777" w:rsidR="00014A66" w:rsidRPr="0057061D" w:rsidRDefault="00014A66" w:rsidP="00014A66">
      <w:pPr>
        <w:pStyle w:val="paragraph"/>
        <w:ind w:left="0" w:firstLine="0"/>
        <w:rPr>
          <w:sz w:val="24"/>
          <w:szCs w:val="24"/>
        </w:rPr>
      </w:pPr>
    </w:p>
    <w:p w14:paraId="6B10D8FC" w14:textId="7BCAACE4" w:rsidR="00014A66" w:rsidRPr="0057061D" w:rsidRDefault="00014A66" w:rsidP="00014A66">
      <w:pPr>
        <w:pStyle w:val="paragraph"/>
        <w:ind w:left="0" w:firstLine="0"/>
        <w:rPr>
          <w:sz w:val="24"/>
          <w:szCs w:val="24"/>
        </w:rPr>
      </w:pPr>
      <w:r w:rsidRPr="0057061D">
        <w:rPr>
          <w:sz w:val="24"/>
          <w:szCs w:val="24"/>
        </w:rPr>
        <w:t xml:space="preserve">Subsection </w:t>
      </w:r>
      <w:r w:rsidR="00436B91">
        <w:rPr>
          <w:sz w:val="24"/>
          <w:szCs w:val="24"/>
        </w:rPr>
        <w:t>11</w:t>
      </w:r>
      <w:r w:rsidRPr="0057061D">
        <w:rPr>
          <w:sz w:val="24"/>
          <w:szCs w:val="24"/>
        </w:rPr>
        <w:t xml:space="preserve">(3) provides that the certificate must be issued for the lesser of the weight of the consignment applied for and the uncommitted annual access amount at the time the Secretary </w:t>
      </w:r>
      <w:r w:rsidR="00176C7B">
        <w:rPr>
          <w:sz w:val="24"/>
          <w:szCs w:val="24"/>
        </w:rPr>
        <w:t>deals with</w:t>
      </w:r>
      <w:r w:rsidRPr="0057061D">
        <w:rPr>
          <w:sz w:val="24"/>
          <w:szCs w:val="24"/>
        </w:rPr>
        <w:t xml:space="preserve"> the </w:t>
      </w:r>
      <w:r w:rsidR="00176C7B">
        <w:rPr>
          <w:sz w:val="24"/>
          <w:szCs w:val="24"/>
        </w:rPr>
        <w:t>application</w:t>
      </w:r>
      <w:r w:rsidRPr="0057061D">
        <w:rPr>
          <w:sz w:val="24"/>
          <w:szCs w:val="24"/>
        </w:rPr>
        <w:t>.</w:t>
      </w:r>
      <w:r w:rsidR="005B177F">
        <w:rPr>
          <w:sz w:val="24"/>
          <w:szCs w:val="24"/>
        </w:rPr>
        <w:t xml:space="preserve">  This ensures that certificates cannot be issued for more than the access amount for the quota type and quota year.</w:t>
      </w:r>
    </w:p>
    <w:p w14:paraId="00613CA7" w14:textId="77777777" w:rsidR="00014A66" w:rsidRPr="0057061D" w:rsidRDefault="00014A66" w:rsidP="00014A66">
      <w:pPr>
        <w:pStyle w:val="paragraph"/>
        <w:ind w:left="0" w:firstLine="0"/>
        <w:rPr>
          <w:sz w:val="24"/>
          <w:szCs w:val="24"/>
        </w:rPr>
      </w:pPr>
    </w:p>
    <w:p w14:paraId="39AEF751" w14:textId="2957B14C" w:rsidR="008F4A8F" w:rsidRPr="0057061D" w:rsidRDefault="008F4A8F" w:rsidP="008F4A8F">
      <w:pPr>
        <w:pStyle w:val="paragraph"/>
        <w:ind w:left="0" w:firstLine="0"/>
        <w:rPr>
          <w:rStyle w:val="CharSectno"/>
          <w:sz w:val="24"/>
          <w:szCs w:val="24"/>
          <w:u w:val="single"/>
        </w:rPr>
      </w:pPr>
      <w:r w:rsidRPr="0057061D">
        <w:rPr>
          <w:rStyle w:val="CharSectno"/>
          <w:sz w:val="24"/>
          <w:szCs w:val="24"/>
          <w:u w:val="single"/>
        </w:rPr>
        <w:t xml:space="preserve">Section </w:t>
      </w:r>
      <w:r w:rsidR="00436B91">
        <w:rPr>
          <w:rStyle w:val="CharSectno"/>
          <w:sz w:val="24"/>
          <w:szCs w:val="24"/>
          <w:u w:val="single"/>
        </w:rPr>
        <w:t>12</w:t>
      </w:r>
      <w:r w:rsidRPr="0057061D">
        <w:rPr>
          <w:rStyle w:val="CharSectno"/>
          <w:sz w:val="24"/>
          <w:szCs w:val="24"/>
          <w:u w:val="single"/>
        </w:rPr>
        <w:t xml:space="preserve"> - Issuing tariff rate quota certificates - quarterly access amounts</w:t>
      </w:r>
    </w:p>
    <w:p w14:paraId="661FBCCB" w14:textId="77777777" w:rsidR="00550B75" w:rsidRPr="0057061D" w:rsidRDefault="00550B75" w:rsidP="00A50932">
      <w:pPr>
        <w:pStyle w:val="paragraph"/>
        <w:ind w:left="0" w:firstLine="0"/>
        <w:rPr>
          <w:sz w:val="24"/>
          <w:szCs w:val="24"/>
        </w:rPr>
      </w:pPr>
    </w:p>
    <w:p w14:paraId="5B07B42A" w14:textId="6ED0AA88" w:rsidR="006E1F8B" w:rsidRPr="00FF0D86" w:rsidRDefault="006E1F8B" w:rsidP="006E1F8B">
      <w:pPr>
        <w:pStyle w:val="paragraph"/>
        <w:ind w:left="0" w:firstLine="0"/>
        <w:rPr>
          <w:sz w:val="24"/>
          <w:szCs w:val="24"/>
        </w:rPr>
      </w:pPr>
      <w:r w:rsidRPr="00A46399">
        <w:rPr>
          <w:sz w:val="24"/>
          <w:szCs w:val="24"/>
        </w:rPr>
        <w:t xml:space="preserve">Subsection </w:t>
      </w:r>
      <w:r w:rsidR="00436B91" w:rsidRPr="00A46399">
        <w:rPr>
          <w:sz w:val="24"/>
          <w:szCs w:val="24"/>
        </w:rPr>
        <w:t>12</w:t>
      </w:r>
      <w:r w:rsidRPr="00A46399">
        <w:rPr>
          <w:sz w:val="24"/>
          <w:szCs w:val="24"/>
        </w:rPr>
        <w:t>(1)</w:t>
      </w:r>
      <w:r w:rsidR="00A46399" w:rsidRPr="00A46399">
        <w:rPr>
          <w:sz w:val="24"/>
          <w:szCs w:val="24"/>
        </w:rPr>
        <w:t xml:space="preserve"> provides that th</w:t>
      </w:r>
      <w:r w:rsidR="00A46399" w:rsidRPr="00BD4A59">
        <w:rPr>
          <w:sz w:val="24"/>
          <w:szCs w:val="24"/>
        </w:rPr>
        <w:t>is section</w:t>
      </w:r>
      <w:r w:rsidRPr="00BD4A59">
        <w:rPr>
          <w:sz w:val="24"/>
          <w:szCs w:val="24"/>
        </w:rPr>
        <w:t xml:space="preserve"> </w:t>
      </w:r>
      <w:r w:rsidRPr="00FF0D86">
        <w:rPr>
          <w:sz w:val="24"/>
          <w:szCs w:val="24"/>
        </w:rPr>
        <w:t xml:space="preserve">applies in relation to an application under section </w:t>
      </w:r>
      <w:r w:rsidR="00436B91" w:rsidRPr="00FF0D86">
        <w:rPr>
          <w:sz w:val="24"/>
          <w:szCs w:val="24"/>
        </w:rPr>
        <w:t>9</w:t>
      </w:r>
      <w:r w:rsidRPr="00FF0D86">
        <w:rPr>
          <w:sz w:val="24"/>
          <w:szCs w:val="24"/>
        </w:rPr>
        <w:t xml:space="preserve"> for a tariff rate quota certificate in relation to a consignment of a </w:t>
      </w:r>
      <w:r w:rsidR="00FE3E4B" w:rsidRPr="00FF0D86">
        <w:rPr>
          <w:sz w:val="24"/>
          <w:szCs w:val="24"/>
        </w:rPr>
        <w:t>quota type</w:t>
      </w:r>
      <w:r w:rsidRPr="00FF0D86">
        <w:rPr>
          <w:sz w:val="24"/>
          <w:szCs w:val="24"/>
        </w:rPr>
        <w:t xml:space="preserve"> for export in a quota year if there is a quarterly access amount for that </w:t>
      </w:r>
      <w:r w:rsidR="00FE3E4B" w:rsidRPr="00FF0D86">
        <w:rPr>
          <w:sz w:val="24"/>
          <w:szCs w:val="24"/>
        </w:rPr>
        <w:t>quota type</w:t>
      </w:r>
      <w:r w:rsidR="005B177F" w:rsidRPr="00FF0D86">
        <w:rPr>
          <w:sz w:val="24"/>
          <w:szCs w:val="24"/>
        </w:rPr>
        <w:t xml:space="preserve">. </w:t>
      </w:r>
      <w:r w:rsidRPr="00A46399">
        <w:rPr>
          <w:sz w:val="24"/>
          <w:szCs w:val="24"/>
        </w:rPr>
        <w:t>This subsection includes a note that t</w:t>
      </w:r>
      <w:r w:rsidRPr="00FF0D86">
        <w:rPr>
          <w:sz w:val="24"/>
          <w:szCs w:val="24"/>
        </w:rPr>
        <w:t xml:space="preserve">here is a quarterly access amount only if a provision of Chapter 3 provides for it as </w:t>
      </w:r>
      <w:r w:rsidR="00444136" w:rsidRPr="00FF0D86">
        <w:rPr>
          <w:sz w:val="24"/>
          <w:szCs w:val="24"/>
        </w:rPr>
        <w:t>provided</w:t>
      </w:r>
      <w:r w:rsidRPr="00FF0D86">
        <w:rPr>
          <w:sz w:val="24"/>
          <w:szCs w:val="24"/>
        </w:rPr>
        <w:t xml:space="preserve"> in section </w:t>
      </w:r>
      <w:r w:rsidR="00436B91" w:rsidRPr="00FF0D86">
        <w:rPr>
          <w:sz w:val="24"/>
          <w:szCs w:val="24"/>
        </w:rPr>
        <w:t>7</w:t>
      </w:r>
      <w:r w:rsidRPr="00FF0D86">
        <w:rPr>
          <w:sz w:val="24"/>
          <w:szCs w:val="24"/>
        </w:rPr>
        <w:t>.</w:t>
      </w:r>
    </w:p>
    <w:p w14:paraId="4683FDC7" w14:textId="77777777" w:rsidR="00B01B26" w:rsidRPr="00FF0D86" w:rsidRDefault="00B01B26" w:rsidP="006E1F8B">
      <w:pPr>
        <w:pStyle w:val="paragraph"/>
        <w:ind w:left="0" w:firstLine="0"/>
        <w:rPr>
          <w:sz w:val="24"/>
        </w:rPr>
      </w:pPr>
    </w:p>
    <w:p w14:paraId="51843D7B" w14:textId="725BAD2F" w:rsidR="00B01B26" w:rsidRPr="005B177F" w:rsidRDefault="00B01B26" w:rsidP="005B177F">
      <w:pPr>
        <w:pStyle w:val="paragraph"/>
        <w:ind w:left="0" w:firstLine="0"/>
        <w:rPr>
          <w:sz w:val="24"/>
          <w:szCs w:val="24"/>
        </w:rPr>
      </w:pPr>
      <w:r w:rsidRPr="0057061D">
        <w:rPr>
          <w:sz w:val="24"/>
          <w:szCs w:val="24"/>
        </w:rPr>
        <w:t xml:space="preserve">Subsection </w:t>
      </w:r>
      <w:r w:rsidR="00436B91">
        <w:rPr>
          <w:sz w:val="24"/>
          <w:szCs w:val="24"/>
        </w:rPr>
        <w:t>12</w:t>
      </w:r>
      <w:r w:rsidRPr="0057061D">
        <w:rPr>
          <w:sz w:val="24"/>
          <w:szCs w:val="24"/>
        </w:rPr>
        <w:t xml:space="preserve">(2) provides that subject to section </w:t>
      </w:r>
      <w:r w:rsidR="00FF72F4">
        <w:rPr>
          <w:sz w:val="24"/>
          <w:szCs w:val="24"/>
        </w:rPr>
        <w:t>115</w:t>
      </w:r>
      <w:r w:rsidRPr="0057061D">
        <w:rPr>
          <w:sz w:val="24"/>
          <w:szCs w:val="24"/>
        </w:rPr>
        <w:t xml:space="preserve">, the Secretary must issue a tariff rate quota certificate to the applicant in relation to the consignment if, at the time the Secretary issues the certificate, the uncommitted quarterly access amount for the </w:t>
      </w:r>
      <w:r w:rsidR="00FE3E4B">
        <w:rPr>
          <w:sz w:val="24"/>
          <w:szCs w:val="24"/>
        </w:rPr>
        <w:t>quota type</w:t>
      </w:r>
      <w:r w:rsidRPr="0057061D">
        <w:rPr>
          <w:sz w:val="24"/>
          <w:szCs w:val="24"/>
        </w:rPr>
        <w:t xml:space="preserve"> and the current quarter of the quota year</w:t>
      </w:r>
      <w:r w:rsidR="005B177F">
        <w:rPr>
          <w:sz w:val="24"/>
          <w:szCs w:val="24"/>
        </w:rPr>
        <w:t xml:space="preserve"> is greater than zero. </w:t>
      </w:r>
      <w:r w:rsidRPr="00FF0D86">
        <w:rPr>
          <w:sz w:val="24"/>
        </w:rPr>
        <w:t xml:space="preserve">This subsection includes a note that section </w:t>
      </w:r>
      <w:r w:rsidR="00FF72F4" w:rsidRPr="00FF0D86">
        <w:rPr>
          <w:sz w:val="24"/>
        </w:rPr>
        <w:t>115</w:t>
      </w:r>
      <w:r w:rsidRPr="00FF0D86">
        <w:rPr>
          <w:sz w:val="24"/>
        </w:rPr>
        <w:t xml:space="preserve"> deals with when the Secretary may decide not to issue a certificate.</w:t>
      </w:r>
    </w:p>
    <w:p w14:paraId="664A7555" w14:textId="77777777" w:rsidR="00B01B26" w:rsidRPr="0057061D" w:rsidRDefault="00B01B26" w:rsidP="00B01B26">
      <w:pPr>
        <w:pStyle w:val="paragraph"/>
        <w:ind w:left="0" w:firstLine="0"/>
      </w:pPr>
    </w:p>
    <w:p w14:paraId="05ED9725" w14:textId="76988AD4" w:rsidR="00B01B26" w:rsidRPr="0057061D" w:rsidRDefault="00B01B26" w:rsidP="00B01B26">
      <w:pPr>
        <w:pStyle w:val="paragraph"/>
        <w:ind w:left="0" w:firstLine="0"/>
        <w:rPr>
          <w:sz w:val="24"/>
          <w:szCs w:val="24"/>
        </w:rPr>
      </w:pPr>
      <w:r w:rsidRPr="0057061D">
        <w:rPr>
          <w:sz w:val="24"/>
          <w:szCs w:val="24"/>
        </w:rPr>
        <w:t xml:space="preserve">Subsection </w:t>
      </w:r>
      <w:r w:rsidR="00436B91">
        <w:rPr>
          <w:sz w:val="24"/>
          <w:szCs w:val="24"/>
        </w:rPr>
        <w:t>12</w:t>
      </w:r>
      <w:r w:rsidRPr="0057061D">
        <w:rPr>
          <w:sz w:val="24"/>
          <w:szCs w:val="24"/>
        </w:rPr>
        <w:t xml:space="preserve">(3) provides that for the purposes of subsection </w:t>
      </w:r>
      <w:r w:rsidR="00436B91">
        <w:rPr>
          <w:sz w:val="24"/>
          <w:szCs w:val="24"/>
        </w:rPr>
        <w:t>12</w:t>
      </w:r>
      <w:r w:rsidRPr="0057061D">
        <w:rPr>
          <w:sz w:val="24"/>
          <w:szCs w:val="24"/>
        </w:rPr>
        <w:t xml:space="preserve">(2), if the quota year has not started at the time the Secretary </w:t>
      </w:r>
      <w:r w:rsidR="00176C7B">
        <w:rPr>
          <w:sz w:val="24"/>
          <w:szCs w:val="24"/>
        </w:rPr>
        <w:t>deals with</w:t>
      </w:r>
      <w:r w:rsidRPr="0057061D">
        <w:rPr>
          <w:sz w:val="24"/>
          <w:szCs w:val="24"/>
        </w:rPr>
        <w:t xml:space="preserve"> the </w:t>
      </w:r>
      <w:r w:rsidR="00176C7B">
        <w:rPr>
          <w:sz w:val="24"/>
          <w:szCs w:val="24"/>
        </w:rPr>
        <w:t>application</w:t>
      </w:r>
      <w:r w:rsidRPr="0057061D">
        <w:rPr>
          <w:sz w:val="24"/>
          <w:szCs w:val="24"/>
        </w:rPr>
        <w:t>, the first quarter of the quota year is taken to be the current quarter.</w:t>
      </w:r>
      <w:r w:rsidR="005B177F">
        <w:rPr>
          <w:sz w:val="24"/>
          <w:szCs w:val="24"/>
        </w:rPr>
        <w:t xml:space="preserve"> This recognises that applications will be made ahead of the start of the first quarter for consignments that</w:t>
      </w:r>
      <w:r w:rsidR="006F1A92">
        <w:rPr>
          <w:sz w:val="24"/>
          <w:szCs w:val="24"/>
        </w:rPr>
        <w:t>, due to travel times,</w:t>
      </w:r>
      <w:r w:rsidR="005B177F">
        <w:rPr>
          <w:sz w:val="24"/>
          <w:szCs w:val="24"/>
        </w:rPr>
        <w:t xml:space="preserve"> will arrive in the first quarter.</w:t>
      </w:r>
    </w:p>
    <w:p w14:paraId="657C5000" w14:textId="77777777" w:rsidR="00B01B26" w:rsidRPr="0057061D" w:rsidRDefault="00B01B26" w:rsidP="00B01B26">
      <w:pPr>
        <w:pStyle w:val="paragraph"/>
        <w:ind w:left="0" w:firstLine="0"/>
        <w:rPr>
          <w:sz w:val="24"/>
          <w:szCs w:val="24"/>
        </w:rPr>
      </w:pPr>
    </w:p>
    <w:p w14:paraId="0FA0D36A" w14:textId="52A470D9" w:rsidR="00B01B26" w:rsidRPr="0057061D" w:rsidRDefault="00B01B26" w:rsidP="00B01B26">
      <w:pPr>
        <w:pStyle w:val="paragraph"/>
        <w:ind w:left="0" w:firstLine="0"/>
        <w:rPr>
          <w:sz w:val="24"/>
          <w:szCs w:val="24"/>
        </w:rPr>
      </w:pPr>
      <w:r w:rsidRPr="0057061D">
        <w:rPr>
          <w:sz w:val="24"/>
          <w:szCs w:val="24"/>
        </w:rPr>
        <w:t xml:space="preserve">Subsection </w:t>
      </w:r>
      <w:r w:rsidR="00436B91">
        <w:rPr>
          <w:sz w:val="24"/>
          <w:szCs w:val="24"/>
        </w:rPr>
        <w:t>12</w:t>
      </w:r>
      <w:r w:rsidRPr="0057061D">
        <w:rPr>
          <w:sz w:val="24"/>
          <w:szCs w:val="24"/>
        </w:rPr>
        <w:t xml:space="preserve">(4) provides that the certificate must be issued for the lesser of the weight of the consignment applied for and the uncommitted quarterly access amount at the time the Secretary </w:t>
      </w:r>
      <w:r w:rsidR="00176C7B">
        <w:rPr>
          <w:sz w:val="24"/>
          <w:szCs w:val="24"/>
        </w:rPr>
        <w:t>deals with</w:t>
      </w:r>
      <w:r w:rsidRPr="0057061D">
        <w:rPr>
          <w:sz w:val="24"/>
          <w:szCs w:val="24"/>
        </w:rPr>
        <w:t xml:space="preserve"> the </w:t>
      </w:r>
      <w:r w:rsidR="00176C7B">
        <w:rPr>
          <w:sz w:val="24"/>
          <w:szCs w:val="24"/>
        </w:rPr>
        <w:t>application</w:t>
      </w:r>
      <w:r w:rsidRPr="0057061D">
        <w:rPr>
          <w:sz w:val="24"/>
          <w:szCs w:val="24"/>
        </w:rPr>
        <w:t>.</w:t>
      </w:r>
      <w:bookmarkStart w:id="28" w:name="BK_S3P13L4C79"/>
      <w:bookmarkEnd w:id="28"/>
      <w:r w:rsidR="006F1A92">
        <w:rPr>
          <w:sz w:val="24"/>
          <w:szCs w:val="24"/>
        </w:rPr>
        <w:t xml:space="preserve"> This ensures that certificates cannot be issued for more than the quarterly access amount for the quota type. Due to subsection </w:t>
      </w:r>
      <w:r w:rsidR="00436B91">
        <w:rPr>
          <w:sz w:val="24"/>
          <w:szCs w:val="24"/>
        </w:rPr>
        <w:t>7</w:t>
      </w:r>
      <w:r w:rsidR="006F1A92">
        <w:rPr>
          <w:sz w:val="24"/>
          <w:szCs w:val="24"/>
        </w:rPr>
        <w:t>(4), this includes any accumulated amounts from previous quarters in the quota year.</w:t>
      </w:r>
    </w:p>
    <w:p w14:paraId="5D4226A9" w14:textId="77777777" w:rsidR="006E1F8B" w:rsidRPr="0057061D" w:rsidRDefault="006E1F8B" w:rsidP="00A50932">
      <w:pPr>
        <w:pStyle w:val="paragraph"/>
        <w:ind w:left="0" w:firstLine="0"/>
        <w:rPr>
          <w:b/>
          <w:sz w:val="24"/>
          <w:szCs w:val="24"/>
        </w:rPr>
      </w:pPr>
    </w:p>
    <w:p w14:paraId="7DC572B8" w14:textId="0D0873AE" w:rsidR="008F4A8F" w:rsidRPr="0057061D" w:rsidRDefault="008F4A8F" w:rsidP="004839AA">
      <w:pPr>
        <w:pStyle w:val="paragraph"/>
        <w:keepNext/>
        <w:rPr>
          <w:b/>
          <w:sz w:val="24"/>
          <w:szCs w:val="24"/>
        </w:rPr>
      </w:pPr>
      <w:r w:rsidRPr="0057061D">
        <w:rPr>
          <w:b/>
          <w:sz w:val="24"/>
          <w:szCs w:val="24"/>
        </w:rPr>
        <w:lastRenderedPageBreak/>
        <w:t xml:space="preserve">Part 2 - </w:t>
      </w:r>
      <w:r w:rsidR="00741557" w:rsidRPr="0057061D">
        <w:rPr>
          <w:b/>
          <w:sz w:val="24"/>
          <w:szCs w:val="24"/>
        </w:rPr>
        <w:t xml:space="preserve">High-fill </w:t>
      </w:r>
      <w:r w:rsidRPr="0057061D">
        <w:rPr>
          <w:b/>
          <w:sz w:val="24"/>
          <w:szCs w:val="24"/>
        </w:rPr>
        <w:t>trigger method</w:t>
      </w:r>
    </w:p>
    <w:p w14:paraId="184A866C" w14:textId="77777777" w:rsidR="00741557" w:rsidRPr="0057061D" w:rsidRDefault="00741557" w:rsidP="004839AA">
      <w:pPr>
        <w:pStyle w:val="paragraph"/>
        <w:keepNext/>
        <w:rPr>
          <w:b/>
          <w:sz w:val="24"/>
          <w:szCs w:val="24"/>
        </w:rPr>
      </w:pPr>
    </w:p>
    <w:p w14:paraId="56791C5E" w14:textId="6795430F" w:rsidR="00741557" w:rsidRPr="00FF0D86" w:rsidRDefault="00741557" w:rsidP="00741557">
      <w:pPr>
        <w:pStyle w:val="paragraph"/>
      </w:pPr>
      <w:r w:rsidRPr="0057061D">
        <w:rPr>
          <w:b/>
          <w:sz w:val="24"/>
          <w:szCs w:val="24"/>
        </w:rPr>
        <w:t xml:space="preserve">Division 1 </w:t>
      </w:r>
      <w:r w:rsidR="00A46399">
        <w:rPr>
          <w:b/>
          <w:sz w:val="24"/>
          <w:szCs w:val="24"/>
        </w:rPr>
        <w:t>–</w:t>
      </w:r>
      <w:r w:rsidRPr="0057061D">
        <w:rPr>
          <w:b/>
          <w:sz w:val="24"/>
          <w:szCs w:val="24"/>
        </w:rPr>
        <w:t xml:space="preserve"> Preliminary</w:t>
      </w:r>
    </w:p>
    <w:p w14:paraId="0827DED1" w14:textId="77777777" w:rsidR="00A46399" w:rsidRPr="0057061D" w:rsidRDefault="00A46399" w:rsidP="00741557">
      <w:pPr>
        <w:pStyle w:val="paragraph"/>
        <w:rPr>
          <w:rStyle w:val="CharSectno"/>
          <w:b/>
          <w:sz w:val="24"/>
          <w:szCs w:val="24"/>
        </w:rPr>
      </w:pPr>
    </w:p>
    <w:p w14:paraId="7E139727" w14:textId="098A242E" w:rsidR="00741557" w:rsidRPr="0057061D" w:rsidRDefault="00436B91" w:rsidP="008F4A8F">
      <w:pPr>
        <w:pStyle w:val="paragraph"/>
        <w:rPr>
          <w:rStyle w:val="CharSectno"/>
          <w:sz w:val="24"/>
          <w:szCs w:val="24"/>
          <w:u w:val="single"/>
        </w:rPr>
      </w:pPr>
      <w:r>
        <w:rPr>
          <w:rStyle w:val="CharSectno"/>
          <w:sz w:val="24"/>
          <w:szCs w:val="24"/>
          <w:u w:val="single"/>
        </w:rPr>
        <w:t>Section 13</w:t>
      </w:r>
      <w:r w:rsidR="00741557" w:rsidRPr="0057061D">
        <w:rPr>
          <w:rStyle w:val="CharSectno"/>
          <w:sz w:val="24"/>
          <w:szCs w:val="24"/>
          <w:u w:val="single"/>
        </w:rPr>
        <w:t xml:space="preserve"> - Application of this </w:t>
      </w:r>
      <w:r w:rsidR="00A10F28" w:rsidRPr="0057061D">
        <w:rPr>
          <w:rStyle w:val="CharSectno"/>
          <w:sz w:val="24"/>
          <w:szCs w:val="24"/>
          <w:u w:val="single"/>
        </w:rPr>
        <w:t>P</w:t>
      </w:r>
      <w:r w:rsidR="00741557" w:rsidRPr="0057061D">
        <w:rPr>
          <w:rStyle w:val="CharSectno"/>
          <w:sz w:val="24"/>
          <w:szCs w:val="24"/>
          <w:u w:val="single"/>
        </w:rPr>
        <w:t>art</w:t>
      </w:r>
    </w:p>
    <w:p w14:paraId="294F0705" w14:textId="77777777" w:rsidR="00741557" w:rsidRPr="0057061D" w:rsidRDefault="00741557" w:rsidP="008F4A8F">
      <w:pPr>
        <w:pStyle w:val="paragraph"/>
        <w:rPr>
          <w:rStyle w:val="CharSectno"/>
          <w:sz w:val="24"/>
          <w:szCs w:val="24"/>
          <w:u w:val="single"/>
        </w:rPr>
      </w:pPr>
    </w:p>
    <w:p w14:paraId="4575B200" w14:textId="139AA90B" w:rsidR="00741557" w:rsidRDefault="00741557" w:rsidP="00741557">
      <w:pPr>
        <w:pStyle w:val="paragraph"/>
        <w:ind w:left="0" w:firstLine="0"/>
        <w:rPr>
          <w:sz w:val="24"/>
          <w:szCs w:val="24"/>
        </w:rPr>
      </w:pPr>
      <w:r w:rsidRPr="0057061D">
        <w:rPr>
          <w:rStyle w:val="CharSectno"/>
          <w:sz w:val="24"/>
          <w:szCs w:val="24"/>
        </w:rPr>
        <w:t xml:space="preserve">Section </w:t>
      </w:r>
      <w:r w:rsidR="00436B91">
        <w:rPr>
          <w:rStyle w:val="CharSectno"/>
          <w:sz w:val="24"/>
          <w:szCs w:val="24"/>
        </w:rPr>
        <w:t>13</w:t>
      </w:r>
      <w:r w:rsidRPr="0057061D">
        <w:rPr>
          <w:rStyle w:val="CharSectno"/>
          <w:sz w:val="24"/>
          <w:szCs w:val="24"/>
        </w:rPr>
        <w:t xml:space="preserve"> provides that i</w:t>
      </w:r>
      <w:r w:rsidRPr="0057061D">
        <w:rPr>
          <w:sz w:val="24"/>
          <w:szCs w:val="24"/>
        </w:rPr>
        <w:t xml:space="preserve">f a provision of Chapter 3 provides that the high-fill trigger method applies for the purposes of issuing a tariff rate quota certificate in relation to consignments of a </w:t>
      </w:r>
      <w:r w:rsidR="00FE3E4B">
        <w:rPr>
          <w:sz w:val="24"/>
          <w:szCs w:val="24"/>
        </w:rPr>
        <w:t>quota type</w:t>
      </w:r>
      <w:r w:rsidR="00A46399">
        <w:rPr>
          <w:sz w:val="24"/>
          <w:szCs w:val="24"/>
        </w:rPr>
        <w:t xml:space="preserve"> for export</w:t>
      </w:r>
      <w:r w:rsidRPr="0057061D">
        <w:rPr>
          <w:sz w:val="24"/>
          <w:szCs w:val="24"/>
        </w:rPr>
        <w:t xml:space="preserve"> in </w:t>
      </w:r>
      <w:r w:rsidR="00A46399">
        <w:rPr>
          <w:sz w:val="24"/>
          <w:szCs w:val="24"/>
        </w:rPr>
        <w:t xml:space="preserve">a </w:t>
      </w:r>
      <w:r w:rsidRPr="0057061D">
        <w:rPr>
          <w:sz w:val="24"/>
          <w:szCs w:val="24"/>
        </w:rPr>
        <w:t xml:space="preserve">quota year, then this Part applies for the purposes of issuing a tariff rate quota certificate in relation to such a consignment and determining tariff rate quota entitlements for that </w:t>
      </w:r>
      <w:r w:rsidR="00FE3E4B">
        <w:rPr>
          <w:sz w:val="24"/>
          <w:szCs w:val="24"/>
        </w:rPr>
        <w:t>quota type</w:t>
      </w:r>
      <w:r w:rsidRPr="0057061D">
        <w:rPr>
          <w:sz w:val="24"/>
          <w:szCs w:val="24"/>
        </w:rPr>
        <w:t xml:space="preserve"> and quota year.</w:t>
      </w:r>
      <w:r w:rsidR="006F1A92" w:rsidRPr="006F1A92">
        <w:rPr>
          <w:sz w:val="24"/>
          <w:szCs w:val="24"/>
        </w:rPr>
        <w:t xml:space="preserve"> </w:t>
      </w:r>
      <w:r w:rsidR="006F1A92" w:rsidRPr="00C449C0">
        <w:rPr>
          <w:sz w:val="24"/>
        </w:rPr>
        <w:t>This is to distinguish between the other methods set out in Chapter 2</w:t>
      </w:r>
      <w:r w:rsidR="00FF0D86" w:rsidRPr="00C449C0">
        <w:rPr>
          <w:sz w:val="24"/>
        </w:rPr>
        <w:t>;</w:t>
      </w:r>
      <w:r w:rsidR="006F1A92" w:rsidRPr="00C449C0">
        <w:rPr>
          <w:sz w:val="24"/>
        </w:rPr>
        <w:t xml:space="preserve"> only one</w:t>
      </w:r>
      <w:r w:rsidR="00FF0D86" w:rsidRPr="00C449C0">
        <w:rPr>
          <w:sz w:val="24"/>
        </w:rPr>
        <w:t xml:space="preserve"> method</w:t>
      </w:r>
      <w:r w:rsidR="006F1A92" w:rsidRPr="00C449C0">
        <w:rPr>
          <w:sz w:val="24"/>
        </w:rPr>
        <w:t xml:space="preserve"> will ever apply to a given quota type in a given quota year</w:t>
      </w:r>
      <w:r w:rsidR="006F1A92">
        <w:rPr>
          <w:sz w:val="24"/>
          <w:szCs w:val="24"/>
        </w:rPr>
        <w:t>.</w:t>
      </w:r>
      <w:r w:rsidR="00F62CC4">
        <w:rPr>
          <w:sz w:val="24"/>
          <w:szCs w:val="24"/>
        </w:rPr>
        <w:t xml:space="preserve"> This method is included to cater for tariff rate quotas that are expected to have moderate to high usage, but which may fluctuate from year to year.  In low-use years it allows the most efficient process (a first come, first served process) to be applied, whereas in high-use years it can trigger an allocation process to give exporters certainty for the remainder of the quota year.</w:t>
      </w:r>
    </w:p>
    <w:p w14:paraId="75269FAA" w14:textId="77777777" w:rsidR="00115DBA" w:rsidRPr="000D2D6F" w:rsidRDefault="00115DBA" w:rsidP="00741557">
      <w:pPr>
        <w:pStyle w:val="paragraph"/>
        <w:ind w:left="0" w:firstLine="0"/>
        <w:rPr>
          <w:sz w:val="24"/>
          <w:szCs w:val="24"/>
        </w:rPr>
      </w:pPr>
    </w:p>
    <w:p w14:paraId="65C8244F" w14:textId="2F53C48B" w:rsidR="00115DBA" w:rsidRPr="000D2D6F" w:rsidRDefault="00115DBA" w:rsidP="000D2D6F">
      <w:pPr>
        <w:pStyle w:val="paragraph"/>
        <w:rPr>
          <w:rStyle w:val="CharSectno"/>
          <w:sz w:val="24"/>
          <w:szCs w:val="24"/>
          <w:u w:val="single"/>
        </w:rPr>
      </w:pPr>
      <w:r w:rsidRPr="000D2D6F">
        <w:rPr>
          <w:rStyle w:val="CharSectno"/>
          <w:sz w:val="24"/>
          <w:szCs w:val="24"/>
          <w:u w:val="single"/>
        </w:rPr>
        <w:t xml:space="preserve">Section </w:t>
      </w:r>
      <w:r w:rsidR="00436B91">
        <w:rPr>
          <w:rStyle w:val="CharSectno"/>
          <w:sz w:val="24"/>
          <w:szCs w:val="24"/>
          <w:u w:val="single"/>
        </w:rPr>
        <w:t>14</w:t>
      </w:r>
      <w:r w:rsidRPr="000D2D6F">
        <w:rPr>
          <w:rStyle w:val="CharSectno"/>
          <w:sz w:val="24"/>
          <w:szCs w:val="24"/>
          <w:u w:val="single"/>
        </w:rPr>
        <w:t xml:space="preserve"> - Definitions</w:t>
      </w:r>
    </w:p>
    <w:p w14:paraId="74F8E589" w14:textId="77777777" w:rsidR="00115DBA" w:rsidRPr="000D2D6F" w:rsidRDefault="00115DBA" w:rsidP="000D2D6F">
      <w:pPr>
        <w:pStyle w:val="paragraph"/>
        <w:rPr>
          <w:rStyle w:val="CharSectno"/>
          <w:sz w:val="24"/>
          <w:szCs w:val="24"/>
          <w:u w:val="single"/>
        </w:rPr>
      </w:pPr>
    </w:p>
    <w:p w14:paraId="7A4D3FAF" w14:textId="3BA7CF27" w:rsidR="000D2D6F" w:rsidRPr="000D2D6F" w:rsidRDefault="00115DBA" w:rsidP="000D2D6F">
      <w:pPr>
        <w:pStyle w:val="paragraph"/>
        <w:ind w:left="0" w:firstLine="0"/>
        <w:rPr>
          <w:rStyle w:val="CharSectno"/>
          <w:sz w:val="24"/>
          <w:szCs w:val="24"/>
        </w:rPr>
      </w:pPr>
      <w:r w:rsidRPr="000D2D6F">
        <w:rPr>
          <w:rStyle w:val="CharSectno"/>
          <w:sz w:val="24"/>
          <w:szCs w:val="24"/>
        </w:rPr>
        <w:t xml:space="preserve">Section </w:t>
      </w:r>
      <w:r w:rsidR="00436B91">
        <w:rPr>
          <w:rStyle w:val="CharSectno"/>
          <w:sz w:val="24"/>
          <w:szCs w:val="24"/>
        </w:rPr>
        <w:t>14</w:t>
      </w:r>
      <w:r w:rsidRPr="000D2D6F">
        <w:rPr>
          <w:rStyle w:val="CharSectno"/>
          <w:sz w:val="24"/>
          <w:szCs w:val="24"/>
        </w:rPr>
        <w:t xml:space="preserve"> provides definitions </w:t>
      </w:r>
      <w:r w:rsidR="006B27AE" w:rsidRPr="000D2D6F">
        <w:rPr>
          <w:rStyle w:val="CharSectno"/>
          <w:sz w:val="24"/>
          <w:szCs w:val="24"/>
        </w:rPr>
        <w:t>regarding</w:t>
      </w:r>
      <w:r w:rsidRPr="000D2D6F">
        <w:rPr>
          <w:rStyle w:val="CharSectno"/>
          <w:sz w:val="24"/>
          <w:szCs w:val="24"/>
        </w:rPr>
        <w:t xml:space="preserve"> triggers used within the</w:t>
      </w:r>
      <w:r w:rsidR="000D2D6F" w:rsidRPr="000D2D6F">
        <w:rPr>
          <w:rStyle w:val="CharSectno"/>
          <w:sz w:val="24"/>
          <w:szCs w:val="24"/>
        </w:rPr>
        <w:t xml:space="preserve"> high-fill trigger method of the</w:t>
      </w:r>
      <w:r w:rsidRPr="000D2D6F">
        <w:rPr>
          <w:rStyle w:val="CharSectno"/>
          <w:sz w:val="24"/>
          <w:szCs w:val="24"/>
        </w:rPr>
        <w:t xml:space="preserve"> Order.</w:t>
      </w:r>
    </w:p>
    <w:p w14:paraId="5660BA33" w14:textId="77777777" w:rsidR="000D2D6F" w:rsidRPr="000D2D6F" w:rsidRDefault="000D2D6F" w:rsidP="000D2D6F">
      <w:pPr>
        <w:pStyle w:val="paragraph"/>
        <w:ind w:left="0" w:firstLine="0"/>
        <w:rPr>
          <w:rStyle w:val="CharSectno"/>
          <w:sz w:val="24"/>
          <w:szCs w:val="24"/>
        </w:rPr>
      </w:pPr>
    </w:p>
    <w:p w14:paraId="4780D208" w14:textId="58624177" w:rsidR="00115DBA" w:rsidRPr="000D2D6F" w:rsidRDefault="00115DBA" w:rsidP="000D2D6F">
      <w:pPr>
        <w:pStyle w:val="paragraph"/>
        <w:ind w:left="0" w:firstLine="0"/>
        <w:rPr>
          <w:sz w:val="24"/>
          <w:szCs w:val="24"/>
        </w:rPr>
      </w:pPr>
      <w:proofErr w:type="gramStart"/>
      <w:r w:rsidRPr="000D2D6F">
        <w:rPr>
          <w:b/>
          <w:i/>
          <w:sz w:val="24"/>
          <w:szCs w:val="24"/>
        </w:rPr>
        <w:t>post-trigger</w:t>
      </w:r>
      <w:proofErr w:type="gramEnd"/>
      <w:r w:rsidRPr="000D2D6F">
        <w:rPr>
          <w:b/>
          <w:i/>
          <w:sz w:val="24"/>
          <w:szCs w:val="24"/>
        </w:rPr>
        <w:t xml:space="preserve"> access amount</w:t>
      </w:r>
      <w:r w:rsidRPr="000D2D6F">
        <w:rPr>
          <w:sz w:val="24"/>
          <w:szCs w:val="24"/>
        </w:rPr>
        <w:t>, for a quota type and a quota year, means the weight that is the difference between the annual access amount for that quota type and quota year and the trigger amount for that quota type and quota year.</w:t>
      </w:r>
      <w:r w:rsidR="00E67F54">
        <w:rPr>
          <w:sz w:val="24"/>
          <w:szCs w:val="24"/>
        </w:rPr>
        <w:t xml:space="preserve"> </w:t>
      </w:r>
    </w:p>
    <w:p w14:paraId="340669B4" w14:textId="39BE9F4D" w:rsidR="00115DBA" w:rsidRPr="000D2D6F" w:rsidRDefault="00115DBA" w:rsidP="000D2D6F">
      <w:pPr>
        <w:pStyle w:val="Definition"/>
        <w:ind w:left="0"/>
        <w:rPr>
          <w:sz w:val="24"/>
          <w:szCs w:val="24"/>
        </w:rPr>
      </w:pPr>
      <w:proofErr w:type="gramStart"/>
      <w:r w:rsidRPr="000D2D6F">
        <w:rPr>
          <w:b/>
          <w:i/>
          <w:sz w:val="24"/>
          <w:szCs w:val="24"/>
        </w:rPr>
        <w:t>trigger</w:t>
      </w:r>
      <w:proofErr w:type="gramEnd"/>
      <w:r w:rsidRPr="000D2D6F">
        <w:rPr>
          <w:b/>
          <w:i/>
          <w:sz w:val="24"/>
          <w:szCs w:val="24"/>
        </w:rPr>
        <w:t xml:space="preserve"> amount</w:t>
      </w:r>
      <w:r w:rsidRPr="000D2D6F">
        <w:rPr>
          <w:sz w:val="24"/>
          <w:szCs w:val="24"/>
        </w:rPr>
        <w:t>, for a quota type and a quota year, means the weight specified under Chapter</w:t>
      </w:r>
      <w:r w:rsidR="000D2D6F">
        <w:rPr>
          <w:sz w:val="24"/>
          <w:szCs w:val="24"/>
        </w:rPr>
        <w:t> </w:t>
      </w:r>
      <w:r w:rsidRPr="000D2D6F">
        <w:rPr>
          <w:sz w:val="24"/>
          <w:szCs w:val="24"/>
        </w:rPr>
        <w:t>3 to be the trigger amount for that quota type in relation to that quota year.</w:t>
      </w:r>
    </w:p>
    <w:p w14:paraId="4BF1522D" w14:textId="2FC2F006" w:rsidR="00115DBA" w:rsidRPr="000D2D6F" w:rsidRDefault="00115DBA" w:rsidP="000D2D6F">
      <w:pPr>
        <w:pStyle w:val="Definition"/>
        <w:ind w:left="0"/>
        <w:rPr>
          <w:sz w:val="24"/>
          <w:szCs w:val="24"/>
        </w:rPr>
      </w:pPr>
      <w:r w:rsidRPr="000D2D6F">
        <w:rPr>
          <w:b/>
          <w:i/>
          <w:sz w:val="24"/>
          <w:szCs w:val="24"/>
        </w:rPr>
        <w:t>trigger deadline</w:t>
      </w:r>
      <w:r w:rsidRPr="000D2D6F">
        <w:rPr>
          <w:sz w:val="24"/>
          <w:szCs w:val="24"/>
        </w:rPr>
        <w:t>,</w:t>
      </w:r>
      <w:r w:rsidRPr="000D2D6F">
        <w:rPr>
          <w:b/>
          <w:i/>
          <w:sz w:val="24"/>
          <w:szCs w:val="24"/>
        </w:rPr>
        <w:t xml:space="preserve"> </w:t>
      </w:r>
      <w:r w:rsidRPr="000D2D6F">
        <w:rPr>
          <w:sz w:val="24"/>
          <w:szCs w:val="24"/>
        </w:rPr>
        <w:t>for a quota type and a quota year, means the day specified under Chapter 3 to be the trigger deadline for that quota type in that quota year.</w:t>
      </w:r>
      <w:r w:rsidR="000D2D6F">
        <w:rPr>
          <w:sz w:val="24"/>
          <w:szCs w:val="24"/>
        </w:rPr>
        <w:t xml:space="preserve"> T</w:t>
      </w:r>
      <w:r w:rsidRPr="000D2D6F">
        <w:rPr>
          <w:sz w:val="24"/>
          <w:szCs w:val="24"/>
        </w:rPr>
        <w:t xml:space="preserve">he trigger deadline is the last day when the allocation trigger for that quota type and quota </w:t>
      </w:r>
      <w:r w:rsidR="00436B91">
        <w:rPr>
          <w:sz w:val="24"/>
          <w:szCs w:val="24"/>
        </w:rPr>
        <w:t>year can occur (see section 15</w:t>
      </w:r>
      <w:r w:rsidRPr="000D2D6F">
        <w:rPr>
          <w:sz w:val="24"/>
          <w:szCs w:val="24"/>
        </w:rPr>
        <w:t>).</w:t>
      </w:r>
    </w:p>
    <w:p w14:paraId="240280D3" w14:textId="77777777" w:rsidR="000D2D6F" w:rsidRDefault="00115DBA" w:rsidP="000D2D6F">
      <w:pPr>
        <w:pStyle w:val="Definition"/>
        <w:ind w:left="0"/>
        <w:rPr>
          <w:sz w:val="24"/>
          <w:szCs w:val="24"/>
        </w:rPr>
      </w:pPr>
      <w:proofErr w:type="gramStart"/>
      <w:r w:rsidRPr="000D2D6F">
        <w:rPr>
          <w:b/>
          <w:i/>
          <w:sz w:val="24"/>
          <w:szCs w:val="24"/>
        </w:rPr>
        <w:t>uncommitted</w:t>
      </w:r>
      <w:proofErr w:type="gramEnd"/>
      <w:r w:rsidRPr="000D2D6F">
        <w:rPr>
          <w:b/>
          <w:i/>
          <w:sz w:val="24"/>
          <w:szCs w:val="24"/>
        </w:rPr>
        <w:t xml:space="preserve"> trigger amount</w:t>
      </w:r>
      <w:r w:rsidR="000D2D6F">
        <w:rPr>
          <w:sz w:val="24"/>
          <w:szCs w:val="24"/>
        </w:rPr>
        <w:t>,</w:t>
      </w:r>
      <w:r w:rsidRPr="000D2D6F">
        <w:rPr>
          <w:sz w:val="24"/>
          <w:szCs w:val="24"/>
        </w:rPr>
        <w:t xml:space="preserve"> for a quota type and a quota year</w:t>
      </w:r>
      <w:r w:rsidRPr="000D2D6F">
        <w:rPr>
          <w:b/>
          <w:sz w:val="24"/>
          <w:szCs w:val="24"/>
        </w:rPr>
        <w:t xml:space="preserve"> </w:t>
      </w:r>
      <w:r w:rsidRPr="000D2D6F">
        <w:rPr>
          <w:sz w:val="24"/>
          <w:szCs w:val="24"/>
        </w:rPr>
        <w:t>at a particular time is the difference between:</w:t>
      </w:r>
    </w:p>
    <w:p w14:paraId="6090197E" w14:textId="77777777" w:rsidR="000D2D6F" w:rsidRDefault="00115DBA" w:rsidP="00D868E2">
      <w:pPr>
        <w:pStyle w:val="Definition"/>
        <w:numPr>
          <w:ilvl w:val="0"/>
          <w:numId w:val="29"/>
        </w:numPr>
        <w:rPr>
          <w:sz w:val="24"/>
          <w:szCs w:val="24"/>
        </w:rPr>
      </w:pPr>
      <w:r w:rsidRPr="000D2D6F">
        <w:rPr>
          <w:sz w:val="24"/>
          <w:szCs w:val="24"/>
        </w:rPr>
        <w:t>the trigger amount for that quota type and quota year; and</w:t>
      </w:r>
    </w:p>
    <w:p w14:paraId="2C521CAC" w14:textId="132ED722" w:rsidR="000D2D6F" w:rsidRDefault="00115DBA" w:rsidP="00D868E2">
      <w:pPr>
        <w:pStyle w:val="Definition"/>
        <w:numPr>
          <w:ilvl w:val="0"/>
          <w:numId w:val="29"/>
        </w:numPr>
        <w:rPr>
          <w:sz w:val="24"/>
          <w:szCs w:val="24"/>
        </w:rPr>
      </w:pPr>
      <w:r w:rsidRPr="000D2D6F">
        <w:rPr>
          <w:sz w:val="24"/>
          <w:szCs w:val="24"/>
        </w:rPr>
        <w:t>the total weight for which tariff rate quota certificates have been issued in relation to consignments of that quota type for export in that quota year.</w:t>
      </w:r>
    </w:p>
    <w:p w14:paraId="0E63FAE7" w14:textId="77777777" w:rsidR="00A46399" w:rsidRPr="000D2D6F" w:rsidRDefault="00A46399" w:rsidP="00DA0E53">
      <w:pPr>
        <w:pStyle w:val="Definition"/>
        <w:ind w:left="720"/>
        <w:rPr>
          <w:sz w:val="24"/>
          <w:szCs w:val="24"/>
        </w:rPr>
      </w:pPr>
    </w:p>
    <w:p w14:paraId="56423861" w14:textId="71D9A35E" w:rsidR="00115DBA" w:rsidRPr="000D2D6F" w:rsidRDefault="000D2D6F" w:rsidP="000D2D6F">
      <w:pPr>
        <w:pStyle w:val="paragraph"/>
        <w:ind w:left="0" w:firstLine="0"/>
        <w:rPr>
          <w:rStyle w:val="CharSectno"/>
          <w:sz w:val="24"/>
          <w:szCs w:val="24"/>
        </w:rPr>
      </w:pPr>
      <w:r>
        <w:rPr>
          <w:rStyle w:val="CharSectno"/>
          <w:sz w:val="24"/>
          <w:szCs w:val="24"/>
        </w:rPr>
        <w:t xml:space="preserve">This is distinct from the uncommitted annual access amount, defined in section 6. </w:t>
      </w:r>
      <w:r w:rsidR="00115DBA" w:rsidRPr="000D2D6F">
        <w:rPr>
          <w:rStyle w:val="CharSectno"/>
          <w:sz w:val="24"/>
          <w:szCs w:val="24"/>
        </w:rPr>
        <w:t xml:space="preserve">If a tariff rate quota certificate in relation to a consignment is cancelled, the certificate is taken never to have been issued (see subsection </w:t>
      </w:r>
      <w:r w:rsidR="00542A46">
        <w:rPr>
          <w:rStyle w:val="CharSectno"/>
          <w:sz w:val="24"/>
          <w:szCs w:val="24"/>
        </w:rPr>
        <w:t>119</w:t>
      </w:r>
      <w:r w:rsidR="00115DBA" w:rsidRPr="000D2D6F">
        <w:rPr>
          <w:rStyle w:val="CharSectno"/>
          <w:sz w:val="24"/>
          <w:szCs w:val="24"/>
        </w:rPr>
        <w:t>(5)).</w:t>
      </w:r>
    </w:p>
    <w:p w14:paraId="0216BAD2" w14:textId="77777777" w:rsidR="00A10F28" w:rsidRPr="000D2D6F" w:rsidRDefault="00A10F28" w:rsidP="00741557">
      <w:pPr>
        <w:pStyle w:val="paragraph"/>
        <w:ind w:left="0" w:firstLine="0"/>
        <w:rPr>
          <w:sz w:val="24"/>
          <w:szCs w:val="24"/>
        </w:rPr>
      </w:pPr>
    </w:p>
    <w:p w14:paraId="282008DE" w14:textId="455D5272" w:rsidR="00A10F28" w:rsidRPr="0057061D" w:rsidRDefault="00A10F28" w:rsidP="004839AA">
      <w:pPr>
        <w:pStyle w:val="paragraph"/>
        <w:keepNext/>
        <w:rPr>
          <w:rStyle w:val="CharSectno"/>
          <w:sz w:val="24"/>
          <w:szCs w:val="24"/>
          <w:u w:val="single"/>
        </w:rPr>
      </w:pPr>
      <w:r w:rsidRPr="0057061D">
        <w:rPr>
          <w:rStyle w:val="CharSectno"/>
          <w:sz w:val="24"/>
          <w:szCs w:val="24"/>
          <w:u w:val="single"/>
        </w:rPr>
        <w:lastRenderedPageBreak/>
        <w:t xml:space="preserve">Section </w:t>
      </w:r>
      <w:r w:rsidR="00436B91">
        <w:rPr>
          <w:rStyle w:val="CharSectno"/>
          <w:sz w:val="24"/>
          <w:szCs w:val="24"/>
          <w:u w:val="single"/>
        </w:rPr>
        <w:t>15</w:t>
      </w:r>
      <w:r w:rsidRPr="0057061D">
        <w:rPr>
          <w:rStyle w:val="CharSectno"/>
          <w:sz w:val="24"/>
          <w:szCs w:val="24"/>
          <w:u w:val="single"/>
        </w:rPr>
        <w:t xml:space="preserve"> - Allocation trigger</w:t>
      </w:r>
    </w:p>
    <w:p w14:paraId="5931F4DC" w14:textId="77777777" w:rsidR="00A10F28" w:rsidRPr="0057061D" w:rsidRDefault="00A10F28" w:rsidP="004839AA">
      <w:pPr>
        <w:pStyle w:val="paragraph"/>
        <w:keepNext/>
        <w:rPr>
          <w:rStyle w:val="CharSectno"/>
          <w:sz w:val="24"/>
          <w:szCs w:val="24"/>
          <w:u w:val="single"/>
        </w:rPr>
      </w:pPr>
    </w:p>
    <w:p w14:paraId="3A13B2B5" w14:textId="2830BEA6" w:rsidR="00057D43" w:rsidRDefault="00057D43" w:rsidP="00ED7274">
      <w:pPr>
        <w:pStyle w:val="paragraph"/>
        <w:ind w:left="0" w:firstLine="0"/>
        <w:rPr>
          <w:sz w:val="24"/>
          <w:szCs w:val="24"/>
        </w:rPr>
      </w:pPr>
      <w:r>
        <w:rPr>
          <w:sz w:val="24"/>
          <w:szCs w:val="24"/>
        </w:rPr>
        <w:t>Section 15 sets out the details for when an allocation trigger occurs, or if it will not occur, for a quota year.  The purpose of the allocation trigger is to recognise that a tariff rate quota is highly sought after and is likely to be fully used before the end of the quota year.  By triggering an allocation process, exporters can be allocated entitlements for the remainder of the quota year and have certainty regarding the amount of quota they are able to access.</w:t>
      </w:r>
    </w:p>
    <w:p w14:paraId="20BB9A4E" w14:textId="77777777" w:rsidR="00057D43" w:rsidRDefault="00057D43" w:rsidP="00ED7274">
      <w:pPr>
        <w:pStyle w:val="paragraph"/>
        <w:ind w:left="0" w:firstLine="0"/>
        <w:rPr>
          <w:sz w:val="24"/>
          <w:szCs w:val="24"/>
        </w:rPr>
      </w:pPr>
    </w:p>
    <w:p w14:paraId="20757114" w14:textId="710EBAF9" w:rsidR="00ED7274" w:rsidRPr="0057061D" w:rsidRDefault="00A10F28" w:rsidP="00ED7274">
      <w:pPr>
        <w:pStyle w:val="paragraph"/>
        <w:ind w:left="0" w:firstLine="0"/>
        <w:rPr>
          <w:sz w:val="24"/>
          <w:szCs w:val="24"/>
        </w:rPr>
      </w:pPr>
      <w:r w:rsidRPr="0057061D">
        <w:rPr>
          <w:sz w:val="24"/>
          <w:szCs w:val="24"/>
        </w:rPr>
        <w:t xml:space="preserve">Subsection </w:t>
      </w:r>
      <w:r w:rsidR="00436B91">
        <w:rPr>
          <w:sz w:val="24"/>
          <w:szCs w:val="24"/>
        </w:rPr>
        <w:t>15</w:t>
      </w:r>
      <w:r w:rsidRPr="0057061D">
        <w:rPr>
          <w:sz w:val="24"/>
          <w:szCs w:val="24"/>
        </w:rPr>
        <w:t xml:space="preserve">(1) provides </w:t>
      </w:r>
      <w:r w:rsidR="00ED7274" w:rsidRPr="0057061D">
        <w:rPr>
          <w:sz w:val="24"/>
          <w:szCs w:val="24"/>
        </w:rPr>
        <w:t xml:space="preserve">the </w:t>
      </w:r>
      <w:r w:rsidR="00ED7274" w:rsidRPr="000D2D6F">
        <w:rPr>
          <w:i/>
          <w:sz w:val="24"/>
          <w:szCs w:val="24"/>
        </w:rPr>
        <w:t>allocation trigger</w:t>
      </w:r>
      <w:r w:rsidR="00ED7274" w:rsidRPr="0057061D">
        <w:rPr>
          <w:sz w:val="24"/>
          <w:szCs w:val="24"/>
        </w:rPr>
        <w:t xml:space="preserve"> for a </w:t>
      </w:r>
      <w:r w:rsidR="00FE3E4B">
        <w:rPr>
          <w:sz w:val="24"/>
          <w:szCs w:val="24"/>
        </w:rPr>
        <w:t>quota type</w:t>
      </w:r>
      <w:r w:rsidR="00ED7274" w:rsidRPr="0057061D">
        <w:rPr>
          <w:sz w:val="24"/>
          <w:szCs w:val="24"/>
        </w:rPr>
        <w:t xml:space="preserve"> and a quota year occurs at the first time that the total weight for which tariff rate quota certificates have been issued in relation to consignments of that </w:t>
      </w:r>
      <w:r w:rsidR="00FE3E4B">
        <w:rPr>
          <w:sz w:val="24"/>
          <w:szCs w:val="24"/>
        </w:rPr>
        <w:t>quota type</w:t>
      </w:r>
      <w:r w:rsidR="00ED7274" w:rsidRPr="0057061D">
        <w:rPr>
          <w:sz w:val="24"/>
          <w:szCs w:val="24"/>
        </w:rPr>
        <w:t xml:space="preserve"> in relation to that quota year is equal to the trigger amount for the </w:t>
      </w:r>
      <w:r w:rsidR="00FE3E4B">
        <w:rPr>
          <w:sz w:val="24"/>
          <w:szCs w:val="24"/>
        </w:rPr>
        <w:t>quota type</w:t>
      </w:r>
      <w:r w:rsidR="00ED7274" w:rsidRPr="0057061D">
        <w:rPr>
          <w:sz w:val="24"/>
          <w:szCs w:val="24"/>
        </w:rPr>
        <w:t xml:space="preserve"> and quota year.</w:t>
      </w:r>
      <w:r w:rsidR="00766DEC">
        <w:rPr>
          <w:sz w:val="24"/>
          <w:szCs w:val="24"/>
        </w:rPr>
        <w:t xml:space="preserve"> This subsection stipulates the ‘first time’ to ensure that if a tariff rate quota certificate were cancelled and subsequently reduced the amount used to below the trigger amount, there would not be a suggestion that the allocation trigger should be reversed.</w:t>
      </w:r>
    </w:p>
    <w:p w14:paraId="61D7A8B0" w14:textId="77777777" w:rsidR="00ED7274" w:rsidRPr="0057061D" w:rsidRDefault="00ED7274" w:rsidP="00ED7274">
      <w:pPr>
        <w:pStyle w:val="paragraph"/>
        <w:ind w:left="0" w:firstLine="0"/>
        <w:rPr>
          <w:sz w:val="24"/>
          <w:szCs w:val="24"/>
        </w:rPr>
      </w:pPr>
    </w:p>
    <w:p w14:paraId="3258F895" w14:textId="5D27C609" w:rsidR="00D4054F" w:rsidRDefault="00ED7274" w:rsidP="00371C9B">
      <w:pPr>
        <w:pStyle w:val="paragraph"/>
        <w:ind w:left="0" w:firstLine="0"/>
        <w:rPr>
          <w:sz w:val="24"/>
          <w:szCs w:val="24"/>
        </w:rPr>
      </w:pPr>
      <w:r w:rsidRPr="0057061D">
        <w:rPr>
          <w:sz w:val="24"/>
          <w:szCs w:val="24"/>
        </w:rPr>
        <w:t xml:space="preserve">Subsection </w:t>
      </w:r>
      <w:r w:rsidR="00436B91">
        <w:rPr>
          <w:sz w:val="24"/>
          <w:szCs w:val="24"/>
        </w:rPr>
        <w:t>15</w:t>
      </w:r>
      <w:r w:rsidRPr="0057061D">
        <w:rPr>
          <w:sz w:val="24"/>
          <w:szCs w:val="24"/>
        </w:rPr>
        <w:t xml:space="preserve">(2) provides </w:t>
      </w:r>
      <w:r w:rsidR="00371C9B" w:rsidRPr="0057061D">
        <w:rPr>
          <w:sz w:val="24"/>
          <w:szCs w:val="24"/>
        </w:rPr>
        <w:t xml:space="preserve">that </w:t>
      </w:r>
      <w:r w:rsidRPr="0057061D">
        <w:rPr>
          <w:sz w:val="24"/>
          <w:szCs w:val="24"/>
        </w:rPr>
        <w:t xml:space="preserve">the allocation trigger does not occur if the time mentioned in subsection (1) is after the trigger deadline for the </w:t>
      </w:r>
      <w:r w:rsidR="00FE3E4B">
        <w:rPr>
          <w:sz w:val="24"/>
          <w:szCs w:val="24"/>
        </w:rPr>
        <w:t>quota type</w:t>
      </w:r>
      <w:r w:rsidRPr="0057061D">
        <w:rPr>
          <w:sz w:val="24"/>
          <w:szCs w:val="24"/>
        </w:rPr>
        <w:t xml:space="preserve"> and quota year.</w:t>
      </w:r>
      <w:r w:rsidR="00766DEC">
        <w:rPr>
          <w:sz w:val="24"/>
          <w:szCs w:val="24"/>
        </w:rPr>
        <w:t xml:space="preserve">  The allocation process is only intended where</w:t>
      </w:r>
      <w:r w:rsidR="00C06BBB">
        <w:rPr>
          <w:sz w:val="24"/>
          <w:szCs w:val="24"/>
        </w:rPr>
        <w:t xml:space="preserve"> use of the quota is sufficiently high, and this is not determined to be the case if the stipulated volume is reached after the trigger deadline.</w:t>
      </w:r>
    </w:p>
    <w:p w14:paraId="6D9D1825" w14:textId="77777777" w:rsidR="00D4054F" w:rsidRDefault="00D4054F" w:rsidP="00371C9B">
      <w:pPr>
        <w:pStyle w:val="paragraph"/>
        <w:ind w:left="0" w:firstLine="0"/>
        <w:rPr>
          <w:sz w:val="24"/>
          <w:szCs w:val="24"/>
        </w:rPr>
      </w:pPr>
    </w:p>
    <w:p w14:paraId="06DE41F2" w14:textId="37CE78C1" w:rsidR="00ED7274" w:rsidRPr="0057061D" w:rsidRDefault="00D4054F" w:rsidP="00371C9B">
      <w:pPr>
        <w:pStyle w:val="paragraph"/>
        <w:ind w:left="0" w:firstLine="0"/>
      </w:pPr>
      <w:r>
        <w:rPr>
          <w:sz w:val="24"/>
          <w:szCs w:val="24"/>
        </w:rPr>
        <w:t>This subsection includes a note which advises the reader</w:t>
      </w:r>
      <w:r w:rsidR="002B332F">
        <w:rPr>
          <w:sz w:val="24"/>
          <w:szCs w:val="24"/>
        </w:rPr>
        <w:t xml:space="preserve"> to see Division 4</w:t>
      </w:r>
      <w:r>
        <w:rPr>
          <w:sz w:val="24"/>
          <w:szCs w:val="24"/>
        </w:rPr>
        <w:t xml:space="preserve"> for the allocation of quota after</w:t>
      </w:r>
      <w:r w:rsidR="002B332F">
        <w:rPr>
          <w:sz w:val="24"/>
          <w:szCs w:val="24"/>
        </w:rPr>
        <w:t xml:space="preserve"> the allocation trigger has occurred.</w:t>
      </w:r>
    </w:p>
    <w:p w14:paraId="1C9E7AEB" w14:textId="77777777" w:rsidR="00ED7274" w:rsidRPr="0057061D" w:rsidRDefault="00ED7274" w:rsidP="00ED7274">
      <w:pPr>
        <w:pStyle w:val="paragraph"/>
        <w:ind w:left="0" w:firstLine="0"/>
        <w:rPr>
          <w:sz w:val="24"/>
          <w:szCs w:val="24"/>
        </w:rPr>
      </w:pPr>
    </w:p>
    <w:p w14:paraId="0ACC525C" w14:textId="2E224071" w:rsidR="008F4A8F" w:rsidRPr="0057061D" w:rsidRDefault="00371C9B" w:rsidP="008F4A8F">
      <w:pPr>
        <w:pStyle w:val="paragraph"/>
        <w:rPr>
          <w:b/>
          <w:sz w:val="24"/>
          <w:szCs w:val="24"/>
        </w:rPr>
      </w:pPr>
      <w:r w:rsidRPr="0057061D">
        <w:rPr>
          <w:b/>
          <w:sz w:val="24"/>
          <w:szCs w:val="24"/>
        </w:rPr>
        <w:t>Division 2</w:t>
      </w:r>
      <w:r w:rsidR="008F4A8F" w:rsidRPr="0057061D">
        <w:rPr>
          <w:b/>
          <w:sz w:val="24"/>
          <w:szCs w:val="24"/>
        </w:rPr>
        <w:t xml:space="preserve"> - </w:t>
      </w:r>
      <w:r w:rsidRPr="0057061D">
        <w:rPr>
          <w:b/>
          <w:sz w:val="24"/>
          <w:szCs w:val="24"/>
        </w:rPr>
        <w:t>Tariff rate quota certificates if allocation trigger has not occurred</w:t>
      </w:r>
    </w:p>
    <w:p w14:paraId="730F0B96" w14:textId="77777777" w:rsidR="00371C9B" w:rsidRPr="0057061D" w:rsidRDefault="00371C9B" w:rsidP="008F4A8F">
      <w:pPr>
        <w:pStyle w:val="paragraph"/>
        <w:rPr>
          <w:b/>
          <w:sz w:val="24"/>
          <w:szCs w:val="24"/>
        </w:rPr>
      </w:pPr>
    </w:p>
    <w:p w14:paraId="233C5FD9" w14:textId="59E5308B" w:rsidR="00371C9B" w:rsidRPr="0057061D" w:rsidRDefault="00436B91" w:rsidP="008F4A8F">
      <w:pPr>
        <w:pStyle w:val="paragraph"/>
        <w:rPr>
          <w:sz w:val="24"/>
          <w:szCs w:val="24"/>
          <w:u w:val="single"/>
        </w:rPr>
      </w:pPr>
      <w:r>
        <w:rPr>
          <w:sz w:val="24"/>
          <w:szCs w:val="24"/>
          <w:u w:val="single"/>
        </w:rPr>
        <w:t>Section 16</w:t>
      </w:r>
      <w:r w:rsidR="00371C9B" w:rsidRPr="0057061D">
        <w:rPr>
          <w:sz w:val="24"/>
          <w:szCs w:val="24"/>
          <w:u w:val="single"/>
        </w:rPr>
        <w:t xml:space="preserve"> - Applications for tariff rate quota certificates before allocation trigger</w:t>
      </w:r>
    </w:p>
    <w:p w14:paraId="02EB1B28" w14:textId="77777777" w:rsidR="00371C9B" w:rsidRPr="0057061D" w:rsidRDefault="00371C9B" w:rsidP="008F4A8F">
      <w:pPr>
        <w:pStyle w:val="paragraph"/>
        <w:rPr>
          <w:sz w:val="24"/>
          <w:szCs w:val="24"/>
          <w:u w:val="single"/>
        </w:rPr>
      </w:pPr>
    </w:p>
    <w:p w14:paraId="685A56B2" w14:textId="10BA6D57" w:rsidR="00371C9B" w:rsidRDefault="00371C9B" w:rsidP="00371C9B">
      <w:pPr>
        <w:pStyle w:val="paragraph"/>
        <w:ind w:left="0" w:firstLine="0"/>
        <w:rPr>
          <w:sz w:val="24"/>
          <w:szCs w:val="24"/>
        </w:rPr>
      </w:pPr>
      <w:r w:rsidRPr="0057061D">
        <w:rPr>
          <w:sz w:val="24"/>
          <w:szCs w:val="24"/>
        </w:rPr>
        <w:t xml:space="preserve">Section </w:t>
      </w:r>
      <w:r w:rsidR="00436B91">
        <w:rPr>
          <w:sz w:val="24"/>
          <w:szCs w:val="24"/>
        </w:rPr>
        <w:t>16</w:t>
      </w:r>
      <w:r w:rsidRPr="0057061D">
        <w:rPr>
          <w:sz w:val="24"/>
          <w:szCs w:val="24"/>
        </w:rPr>
        <w:t xml:space="preserve"> provides that a person who intends to export a consignment of a </w:t>
      </w:r>
      <w:r w:rsidR="00FE3E4B">
        <w:rPr>
          <w:sz w:val="24"/>
          <w:szCs w:val="24"/>
        </w:rPr>
        <w:t>quota type</w:t>
      </w:r>
      <w:r w:rsidRPr="0057061D">
        <w:rPr>
          <w:sz w:val="24"/>
          <w:szCs w:val="24"/>
        </w:rPr>
        <w:t xml:space="preserve"> in a quota year may apply to the Secretary under this section for a tariff rate quota certificate in relation to the consignment if, at the time the application is made, the allocation trigger for the </w:t>
      </w:r>
      <w:r w:rsidR="00FE3E4B">
        <w:rPr>
          <w:sz w:val="24"/>
          <w:szCs w:val="24"/>
        </w:rPr>
        <w:t>quota type</w:t>
      </w:r>
      <w:r w:rsidRPr="0057061D">
        <w:rPr>
          <w:sz w:val="24"/>
          <w:szCs w:val="24"/>
        </w:rPr>
        <w:t xml:space="preserve"> and quota year has not occurred.</w:t>
      </w:r>
      <w:r w:rsidR="00487C40">
        <w:rPr>
          <w:sz w:val="24"/>
          <w:szCs w:val="24"/>
        </w:rPr>
        <w:t xml:space="preserve"> </w:t>
      </w:r>
      <w:r w:rsidRPr="00371C9B">
        <w:rPr>
          <w:sz w:val="24"/>
          <w:szCs w:val="24"/>
        </w:rPr>
        <w:t xml:space="preserve">This section includes a note which refers to section </w:t>
      </w:r>
      <w:r w:rsidR="00FF72F4">
        <w:rPr>
          <w:sz w:val="24"/>
          <w:szCs w:val="24"/>
        </w:rPr>
        <w:t>114</w:t>
      </w:r>
      <w:r w:rsidRPr="00371C9B">
        <w:rPr>
          <w:sz w:val="24"/>
          <w:szCs w:val="24"/>
        </w:rPr>
        <w:t xml:space="preserve"> for requirements and other matters relating to applications.</w:t>
      </w:r>
    </w:p>
    <w:p w14:paraId="6264D272" w14:textId="77777777" w:rsidR="00371C9B" w:rsidRDefault="00371C9B" w:rsidP="00371C9B">
      <w:pPr>
        <w:pStyle w:val="paragraph"/>
        <w:ind w:left="0" w:firstLine="0"/>
        <w:rPr>
          <w:sz w:val="24"/>
          <w:szCs w:val="24"/>
        </w:rPr>
      </w:pPr>
    </w:p>
    <w:p w14:paraId="50EA477D" w14:textId="5B014AEA" w:rsidR="00371C9B" w:rsidRDefault="00436B91" w:rsidP="00371C9B">
      <w:pPr>
        <w:pStyle w:val="paragraph"/>
        <w:ind w:left="0" w:firstLine="0"/>
        <w:rPr>
          <w:sz w:val="24"/>
          <w:szCs w:val="24"/>
          <w:u w:val="single"/>
        </w:rPr>
      </w:pPr>
      <w:r>
        <w:rPr>
          <w:sz w:val="24"/>
          <w:szCs w:val="24"/>
          <w:u w:val="single"/>
        </w:rPr>
        <w:t>Section 17</w:t>
      </w:r>
      <w:r w:rsidR="00514562">
        <w:rPr>
          <w:sz w:val="24"/>
          <w:szCs w:val="24"/>
          <w:u w:val="single"/>
        </w:rPr>
        <w:t xml:space="preserve"> - Applications to be dealt with </w:t>
      </w:r>
      <w:r w:rsidR="00E34C77">
        <w:rPr>
          <w:sz w:val="24"/>
          <w:szCs w:val="24"/>
          <w:u w:val="single"/>
        </w:rPr>
        <w:t>in order of receipt</w:t>
      </w:r>
    </w:p>
    <w:p w14:paraId="29C0E692" w14:textId="77777777" w:rsidR="00514562" w:rsidRDefault="00514562" w:rsidP="00371C9B">
      <w:pPr>
        <w:pStyle w:val="paragraph"/>
        <w:ind w:left="0" w:firstLine="0"/>
        <w:rPr>
          <w:sz w:val="24"/>
          <w:szCs w:val="24"/>
          <w:u w:val="single"/>
        </w:rPr>
      </w:pPr>
    </w:p>
    <w:p w14:paraId="6C395612" w14:textId="3A1E02A7" w:rsidR="00514562" w:rsidRDefault="00514562" w:rsidP="00514562">
      <w:pPr>
        <w:pStyle w:val="paragraph"/>
        <w:ind w:left="0" w:firstLine="0"/>
      </w:pPr>
      <w:r w:rsidRPr="00C83543">
        <w:rPr>
          <w:sz w:val="24"/>
          <w:szCs w:val="24"/>
        </w:rPr>
        <w:t xml:space="preserve">Subsection </w:t>
      </w:r>
      <w:r w:rsidR="00436B91">
        <w:rPr>
          <w:sz w:val="24"/>
          <w:szCs w:val="24"/>
        </w:rPr>
        <w:t>17</w:t>
      </w:r>
      <w:r w:rsidRPr="00C83543">
        <w:rPr>
          <w:sz w:val="24"/>
          <w:szCs w:val="24"/>
        </w:rPr>
        <w:t>(</w:t>
      </w:r>
      <w:r>
        <w:rPr>
          <w:sz w:val="24"/>
          <w:szCs w:val="24"/>
        </w:rPr>
        <w:t xml:space="preserve">1) provides </w:t>
      </w:r>
      <w:r w:rsidRPr="00BB3C70">
        <w:rPr>
          <w:sz w:val="24"/>
          <w:szCs w:val="24"/>
        </w:rPr>
        <w:t>that t</w:t>
      </w:r>
      <w:r w:rsidRPr="00487C40">
        <w:rPr>
          <w:sz w:val="24"/>
          <w:szCs w:val="24"/>
        </w:rPr>
        <w:t xml:space="preserve">he Secretary must deal with applications under section </w:t>
      </w:r>
      <w:r w:rsidR="00436B91">
        <w:rPr>
          <w:sz w:val="24"/>
          <w:szCs w:val="24"/>
        </w:rPr>
        <w:t>16</w:t>
      </w:r>
      <w:r w:rsidRPr="00487C40">
        <w:rPr>
          <w:sz w:val="24"/>
          <w:szCs w:val="24"/>
        </w:rPr>
        <w:t xml:space="preserve"> in the order in which the applications are received by the Secretary.</w:t>
      </w:r>
      <w:r w:rsidR="00487C40">
        <w:rPr>
          <w:sz w:val="24"/>
          <w:szCs w:val="24"/>
        </w:rPr>
        <w:t xml:space="preserve">  This reflects that </w:t>
      </w:r>
      <w:r w:rsidR="00A46399">
        <w:rPr>
          <w:sz w:val="24"/>
          <w:szCs w:val="24"/>
        </w:rPr>
        <w:t>the applications will be dealt with</w:t>
      </w:r>
      <w:r w:rsidR="00487C40">
        <w:rPr>
          <w:sz w:val="24"/>
          <w:szCs w:val="24"/>
        </w:rPr>
        <w:t xml:space="preserve"> on a first come, first served basis.</w:t>
      </w:r>
    </w:p>
    <w:p w14:paraId="57EEFF95" w14:textId="77777777" w:rsidR="00514562" w:rsidRDefault="00514562" w:rsidP="00514562">
      <w:pPr>
        <w:pStyle w:val="paragraph"/>
        <w:ind w:left="0" w:firstLine="0"/>
      </w:pPr>
    </w:p>
    <w:p w14:paraId="431FC57B" w14:textId="2C58A3CD" w:rsidR="00514562" w:rsidRPr="00F93A3D" w:rsidRDefault="00514562" w:rsidP="00514562">
      <w:pPr>
        <w:pStyle w:val="Normal-em"/>
        <w:spacing w:after="0" w:line="240" w:lineRule="auto"/>
      </w:pPr>
      <w:r>
        <w:rPr>
          <w:color w:val="auto"/>
        </w:rPr>
        <w:t>This subsection includes a note that section</w:t>
      </w:r>
      <w:r w:rsidRPr="00F93A3D">
        <w:t xml:space="preserve"> </w:t>
      </w:r>
      <w:r w:rsidR="00FF72F4">
        <w:t>114</w:t>
      </w:r>
      <w:r w:rsidRPr="00F93A3D">
        <w:t>(8) deals with when an application is taken to be received by the Secretary.</w:t>
      </w:r>
    </w:p>
    <w:p w14:paraId="06CFE859" w14:textId="77777777" w:rsidR="00514562" w:rsidRPr="00F93A3D" w:rsidRDefault="00514562" w:rsidP="00514562">
      <w:pPr>
        <w:pStyle w:val="paragraph"/>
        <w:ind w:left="0" w:firstLine="0"/>
      </w:pPr>
    </w:p>
    <w:p w14:paraId="3513744D" w14:textId="71FD1295" w:rsidR="00514562" w:rsidRPr="00514562" w:rsidRDefault="00514562" w:rsidP="00514562">
      <w:pPr>
        <w:pStyle w:val="paragraph"/>
        <w:ind w:left="0" w:firstLine="0"/>
        <w:rPr>
          <w:sz w:val="24"/>
          <w:szCs w:val="24"/>
        </w:rPr>
      </w:pPr>
      <w:r w:rsidRPr="00C83543">
        <w:rPr>
          <w:sz w:val="24"/>
          <w:szCs w:val="24"/>
        </w:rPr>
        <w:t xml:space="preserve">Subsection </w:t>
      </w:r>
      <w:r w:rsidR="00436B91">
        <w:rPr>
          <w:sz w:val="24"/>
          <w:szCs w:val="24"/>
        </w:rPr>
        <w:t>17</w:t>
      </w:r>
      <w:r w:rsidRPr="00C83543">
        <w:rPr>
          <w:sz w:val="24"/>
          <w:szCs w:val="24"/>
        </w:rPr>
        <w:t>(</w:t>
      </w:r>
      <w:r>
        <w:rPr>
          <w:sz w:val="24"/>
          <w:szCs w:val="24"/>
        </w:rPr>
        <w:t xml:space="preserve">2) provides that </w:t>
      </w:r>
      <w:r w:rsidRPr="00514562">
        <w:rPr>
          <w:sz w:val="24"/>
          <w:szCs w:val="24"/>
        </w:rPr>
        <w:t xml:space="preserve">if the Secretary has not dealt with an application under section </w:t>
      </w:r>
      <w:r w:rsidR="00436B91">
        <w:rPr>
          <w:sz w:val="24"/>
          <w:szCs w:val="24"/>
        </w:rPr>
        <w:t>16</w:t>
      </w:r>
      <w:r w:rsidRPr="00514562">
        <w:rPr>
          <w:sz w:val="24"/>
          <w:szCs w:val="24"/>
        </w:rPr>
        <w:t xml:space="preserve"> and the allocation trigger for </w:t>
      </w:r>
      <w:r w:rsidRPr="0057061D">
        <w:rPr>
          <w:sz w:val="24"/>
          <w:szCs w:val="24"/>
        </w:rPr>
        <w:t xml:space="preserve">the </w:t>
      </w:r>
      <w:r w:rsidR="00FE3E4B">
        <w:rPr>
          <w:sz w:val="24"/>
          <w:szCs w:val="24"/>
        </w:rPr>
        <w:t>quota type</w:t>
      </w:r>
      <w:r w:rsidRPr="00514562">
        <w:rPr>
          <w:sz w:val="24"/>
          <w:szCs w:val="24"/>
        </w:rPr>
        <w:t xml:space="preserve"> and quota year occurs, the Secretary must treat the application as being made under section </w:t>
      </w:r>
      <w:r w:rsidR="001C37BA">
        <w:rPr>
          <w:sz w:val="24"/>
          <w:szCs w:val="24"/>
        </w:rPr>
        <w:t>23</w:t>
      </w:r>
      <w:r w:rsidR="00A46399">
        <w:rPr>
          <w:sz w:val="24"/>
          <w:szCs w:val="24"/>
        </w:rPr>
        <w:t xml:space="preserve"> (applications for tariff rate quota certificates after the allocation trigger occurs)</w:t>
      </w:r>
      <w:r w:rsidRPr="00514562">
        <w:rPr>
          <w:sz w:val="24"/>
          <w:szCs w:val="24"/>
        </w:rPr>
        <w:t>.</w:t>
      </w:r>
      <w:bookmarkStart w:id="29" w:name="BK_S3P13L16C56"/>
      <w:bookmarkEnd w:id="29"/>
      <w:r w:rsidRPr="00514562">
        <w:rPr>
          <w:sz w:val="24"/>
          <w:szCs w:val="24"/>
        </w:rPr>
        <w:t xml:space="preserve"> The application is taken to be validly made under that </w:t>
      </w:r>
      <w:r w:rsidRPr="00514562">
        <w:rPr>
          <w:sz w:val="24"/>
          <w:szCs w:val="24"/>
        </w:rPr>
        <w:lastRenderedPageBreak/>
        <w:t xml:space="preserve">section despite being made before </w:t>
      </w:r>
      <w:r w:rsidR="00BD4A59" w:rsidRPr="00514562">
        <w:rPr>
          <w:sz w:val="24"/>
          <w:szCs w:val="24"/>
        </w:rPr>
        <w:t>the</w:t>
      </w:r>
      <w:r w:rsidR="00BD4A59">
        <w:rPr>
          <w:sz w:val="24"/>
          <w:szCs w:val="24"/>
        </w:rPr>
        <w:t xml:space="preserve"> allocation </w:t>
      </w:r>
      <w:r w:rsidRPr="00514562">
        <w:rPr>
          <w:sz w:val="24"/>
          <w:szCs w:val="24"/>
        </w:rPr>
        <w:t>trigger occur</w:t>
      </w:r>
      <w:r w:rsidR="00ED6C54">
        <w:rPr>
          <w:sz w:val="24"/>
          <w:szCs w:val="24"/>
        </w:rPr>
        <w:t xml:space="preserve">red, but cannot be dealt with under section </w:t>
      </w:r>
      <w:r w:rsidR="00436B91">
        <w:rPr>
          <w:sz w:val="24"/>
          <w:szCs w:val="24"/>
        </w:rPr>
        <w:t>16</w:t>
      </w:r>
      <w:r w:rsidR="00ED6C54">
        <w:rPr>
          <w:sz w:val="24"/>
          <w:szCs w:val="24"/>
        </w:rPr>
        <w:t xml:space="preserve"> as there is no longer any uncommitted trigger amount available.</w:t>
      </w:r>
    </w:p>
    <w:p w14:paraId="42CFB304" w14:textId="77777777" w:rsidR="00514562" w:rsidRDefault="00514562" w:rsidP="00D82D3E">
      <w:pPr>
        <w:pStyle w:val="paragraph"/>
        <w:ind w:left="0" w:firstLine="0"/>
        <w:rPr>
          <w:sz w:val="24"/>
          <w:szCs w:val="24"/>
          <w:lang w:eastAsia="ja-JP"/>
        </w:rPr>
      </w:pPr>
    </w:p>
    <w:p w14:paraId="0491DD38" w14:textId="14BEDFD5" w:rsidR="00514562" w:rsidRDefault="00436B91" w:rsidP="00514562">
      <w:pPr>
        <w:pStyle w:val="paragraph"/>
        <w:ind w:left="0" w:firstLine="0"/>
        <w:rPr>
          <w:sz w:val="24"/>
          <w:szCs w:val="24"/>
          <w:u w:val="single"/>
        </w:rPr>
      </w:pPr>
      <w:r>
        <w:rPr>
          <w:sz w:val="24"/>
          <w:szCs w:val="24"/>
          <w:u w:val="single"/>
        </w:rPr>
        <w:t>Section 18</w:t>
      </w:r>
      <w:r w:rsidR="00514562">
        <w:rPr>
          <w:sz w:val="24"/>
          <w:szCs w:val="24"/>
          <w:u w:val="single"/>
        </w:rPr>
        <w:t xml:space="preserve"> - Issuing tariff rate quota certificates</w:t>
      </w:r>
    </w:p>
    <w:p w14:paraId="0D019949" w14:textId="77777777" w:rsidR="00B902C2" w:rsidRDefault="00B902C2" w:rsidP="00AE5C34">
      <w:pPr>
        <w:pStyle w:val="paragraph"/>
        <w:ind w:left="0" w:firstLine="0"/>
        <w:rPr>
          <w:rStyle w:val="CharSectno"/>
          <w:b/>
          <w:sz w:val="24"/>
          <w:szCs w:val="24"/>
        </w:rPr>
      </w:pPr>
    </w:p>
    <w:p w14:paraId="34C66005" w14:textId="31C4044C" w:rsidR="009055F1" w:rsidRPr="00516983" w:rsidRDefault="00436B91" w:rsidP="00ED6C54">
      <w:pPr>
        <w:pStyle w:val="paragraph"/>
        <w:ind w:left="0" w:firstLine="0"/>
        <w:rPr>
          <w:sz w:val="24"/>
          <w:szCs w:val="24"/>
        </w:rPr>
      </w:pPr>
      <w:r w:rsidRPr="008E666C">
        <w:rPr>
          <w:sz w:val="24"/>
        </w:rPr>
        <w:t>Subsection 18</w:t>
      </w:r>
      <w:r w:rsidR="009055F1" w:rsidRPr="008E666C">
        <w:rPr>
          <w:sz w:val="24"/>
        </w:rPr>
        <w:t xml:space="preserve">(1) </w:t>
      </w:r>
      <w:r w:rsidR="009055F1" w:rsidRPr="00516983">
        <w:rPr>
          <w:sz w:val="24"/>
          <w:szCs w:val="24"/>
        </w:rPr>
        <w:t>a</w:t>
      </w:r>
      <w:r w:rsidR="009055F1" w:rsidRPr="008E666C">
        <w:rPr>
          <w:sz w:val="24"/>
        </w:rPr>
        <w:t xml:space="preserve">pplies in </w:t>
      </w:r>
      <w:r w:rsidR="009055F1" w:rsidRPr="00ED6C54">
        <w:rPr>
          <w:sz w:val="24"/>
          <w:szCs w:val="24"/>
        </w:rPr>
        <w:t xml:space="preserve">relation to an application under section </w:t>
      </w:r>
      <w:r>
        <w:rPr>
          <w:sz w:val="24"/>
          <w:szCs w:val="24"/>
        </w:rPr>
        <w:t>16</w:t>
      </w:r>
      <w:r w:rsidR="009055F1" w:rsidRPr="00ED6C54">
        <w:rPr>
          <w:sz w:val="24"/>
          <w:szCs w:val="24"/>
        </w:rPr>
        <w:t xml:space="preserve"> for a tariff rate quota certificate in relation to a consignment of a quota type for export in a quota year.</w:t>
      </w:r>
    </w:p>
    <w:p w14:paraId="0F4D4EDD" w14:textId="77777777" w:rsidR="009055F1" w:rsidRPr="00516983" w:rsidRDefault="009055F1" w:rsidP="00ED6C54">
      <w:pPr>
        <w:pStyle w:val="paragraph"/>
        <w:ind w:left="0" w:firstLine="0"/>
        <w:rPr>
          <w:sz w:val="24"/>
          <w:szCs w:val="24"/>
        </w:rPr>
      </w:pPr>
    </w:p>
    <w:p w14:paraId="2F3E96ED" w14:textId="509EE86A" w:rsidR="009055F1" w:rsidRPr="00ED6C54" w:rsidRDefault="009055F1" w:rsidP="00ED6C54">
      <w:pPr>
        <w:pStyle w:val="paragraph"/>
        <w:ind w:left="0" w:firstLine="0"/>
        <w:rPr>
          <w:sz w:val="24"/>
          <w:szCs w:val="24"/>
        </w:rPr>
      </w:pPr>
      <w:r w:rsidRPr="00516983">
        <w:rPr>
          <w:sz w:val="24"/>
          <w:szCs w:val="24"/>
        </w:rPr>
        <w:t xml:space="preserve">Subsection </w:t>
      </w:r>
      <w:r w:rsidR="00436B91">
        <w:rPr>
          <w:sz w:val="24"/>
          <w:szCs w:val="24"/>
        </w:rPr>
        <w:t>18</w:t>
      </w:r>
      <w:r w:rsidRPr="00516983">
        <w:rPr>
          <w:sz w:val="24"/>
          <w:szCs w:val="24"/>
        </w:rPr>
        <w:t xml:space="preserve">(2) provides that subject </w:t>
      </w:r>
      <w:r w:rsidRPr="00ED6C54">
        <w:rPr>
          <w:sz w:val="24"/>
          <w:szCs w:val="24"/>
        </w:rPr>
        <w:t xml:space="preserve">to section </w:t>
      </w:r>
      <w:r w:rsidR="00FF72F4">
        <w:rPr>
          <w:sz w:val="24"/>
          <w:szCs w:val="24"/>
        </w:rPr>
        <w:t>115</w:t>
      </w:r>
      <w:r w:rsidRPr="00ED6C54">
        <w:rPr>
          <w:sz w:val="24"/>
          <w:szCs w:val="24"/>
        </w:rPr>
        <w:t xml:space="preserve">, the Secretary must issue a tariff rate quota certificate to the applicant in relation to the consignment if, at the time the Secretary </w:t>
      </w:r>
      <w:r w:rsidR="00516983">
        <w:rPr>
          <w:sz w:val="24"/>
          <w:szCs w:val="24"/>
        </w:rPr>
        <w:t>deals with</w:t>
      </w:r>
      <w:r w:rsidRPr="00ED6C54">
        <w:rPr>
          <w:sz w:val="24"/>
          <w:szCs w:val="24"/>
        </w:rPr>
        <w:t xml:space="preserve"> the </w:t>
      </w:r>
      <w:r w:rsidR="00516983">
        <w:rPr>
          <w:sz w:val="24"/>
          <w:szCs w:val="24"/>
        </w:rPr>
        <w:t>application</w:t>
      </w:r>
      <w:r w:rsidRPr="00ED6C54">
        <w:rPr>
          <w:sz w:val="24"/>
          <w:szCs w:val="24"/>
        </w:rPr>
        <w:t>, for the issue of a certificate on or before the trigger deadline for the quota type and quota year, the uncommitted trigger amount for the quota type and quota year is greater than zero</w:t>
      </w:r>
      <w:r w:rsidR="00ED6C54">
        <w:rPr>
          <w:sz w:val="24"/>
          <w:szCs w:val="24"/>
        </w:rPr>
        <w:t>;</w:t>
      </w:r>
      <w:r w:rsidRPr="00ED6C54">
        <w:rPr>
          <w:sz w:val="24"/>
          <w:szCs w:val="24"/>
        </w:rPr>
        <w:t xml:space="preserve"> or for the issue of a certifi</w:t>
      </w:r>
      <w:r w:rsidR="00ED6C54">
        <w:rPr>
          <w:sz w:val="24"/>
          <w:szCs w:val="24"/>
        </w:rPr>
        <w:t xml:space="preserve">cate after the trigger deadline, </w:t>
      </w:r>
      <w:r w:rsidRPr="00ED6C54">
        <w:rPr>
          <w:sz w:val="24"/>
          <w:szCs w:val="24"/>
        </w:rPr>
        <w:t>the uncommitted annual access amount for the quota type and quota year is greater than zero.</w:t>
      </w:r>
      <w:r w:rsidR="00ED6C54">
        <w:rPr>
          <w:sz w:val="24"/>
          <w:szCs w:val="24"/>
        </w:rPr>
        <w:t xml:space="preserve"> This is to recognise that if the trigger deadline is past (and no allocation trigger took place), then the annual access amount for the quota year can be considered</w:t>
      </w:r>
      <w:r w:rsidR="00BD4A59">
        <w:rPr>
          <w:sz w:val="24"/>
          <w:szCs w:val="24"/>
        </w:rPr>
        <w:t xml:space="preserve"> (provided it is greater than zero)</w:t>
      </w:r>
      <w:r w:rsidR="00ED6C54">
        <w:rPr>
          <w:sz w:val="24"/>
          <w:szCs w:val="24"/>
        </w:rPr>
        <w:t>.</w:t>
      </w:r>
    </w:p>
    <w:p w14:paraId="23D72750" w14:textId="76607930" w:rsidR="009055F1" w:rsidRPr="00516983" w:rsidRDefault="009055F1" w:rsidP="00ED6C54">
      <w:pPr>
        <w:pStyle w:val="paragraph"/>
        <w:ind w:left="0" w:firstLine="0"/>
        <w:rPr>
          <w:sz w:val="24"/>
          <w:szCs w:val="24"/>
        </w:rPr>
      </w:pPr>
    </w:p>
    <w:p w14:paraId="0D489F4C" w14:textId="7B471AF9" w:rsidR="009055F1" w:rsidRPr="00516983" w:rsidRDefault="009055F1" w:rsidP="00ED6C54">
      <w:pPr>
        <w:pStyle w:val="paragraph"/>
        <w:ind w:left="0" w:firstLine="0"/>
        <w:rPr>
          <w:sz w:val="24"/>
          <w:szCs w:val="24"/>
        </w:rPr>
      </w:pPr>
      <w:r w:rsidRPr="00516983">
        <w:rPr>
          <w:sz w:val="24"/>
          <w:szCs w:val="24"/>
        </w:rPr>
        <w:t>This subsection includes a note that s</w:t>
      </w:r>
      <w:r w:rsidRPr="00ED6C54">
        <w:rPr>
          <w:sz w:val="24"/>
          <w:szCs w:val="24"/>
        </w:rPr>
        <w:t xml:space="preserve">ection </w:t>
      </w:r>
      <w:r w:rsidR="00FF72F4">
        <w:rPr>
          <w:sz w:val="24"/>
          <w:szCs w:val="24"/>
        </w:rPr>
        <w:t>115</w:t>
      </w:r>
      <w:r w:rsidRPr="00ED6C54">
        <w:rPr>
          <w:sz w:val="24"/>
          <w:szCs w:val="24"/>
        </w:rPr>
        <w:t xml:space="preserve"> deals with when the Secretary may decide not to issue a certificate.</w:t>
      </w:r>
    </w:p>
    <w:p w14:paraId="4F304914" w14:textId="77777777" w:rsidR="0089053F" w:rsidRPr="00670C94" w:rsidRDefault="0089053F" w:rsidP="00ED6C54">
      <w:pPr>
        <w:pStyle w:val="paragraph"/>
        <w:ind w:left="0" w:firstLine="0"/>
        <w:rPr>
          <w:sz w:val="24"/>
          <w:szCs w:val="24"/>
        </w:rPr>
      </w:pPr>
    </w:p>
    <w:p w14:paraId="008F3811" w14:textId="71E2B4F2" w:rsidR="0089053F" w:rsidRPr="00ED6C54" w:rsidRDefault="0089053F" w:rsidP="00ED6C54">
      <w:pPr>
        <w:pStyle w:val="paragraph"/>
        <w:ind w:left="0" w:firstLine="0"/>
        <w:rPr>
          <w:sz w:val="24"/>
          <w:szCs w:val="24"/>
        </w:rPr>
      </w:pPr>
      <w:r w:rsidRPr="00670C94">
        <w:rPr>
          <w:sz w:val="24"/>
          <w:szCs w:val="24"/>
        </w:rPr>
        <w:t xml:space="preserve">Subsection </w:t>
      </w:r>
      <w:r w:rsidR="00436B91">
        <w:rPr>
          <w:sz w:val="24"/>
          <w:szCs w:val="24"/>
        </w:rPr>
        <w:t>18</w:t>
      </w:r>
      <w:r w:rsidRPr="000732A5">
        <w:rPr>
          <w:sz w:val="24"/>
          <w:szCs w:val="24"/>
        </w:rPr>
        <w:t xml:space="preserve">(3) provides that </w:t>
      </w:r>
      <w:r w:rsidRPr="00ED6C54">
        <w:rPr>
          <w:sz w:val="24"/>
          <w:szCs w:val="24"/>
        </w:rPr>
        <w:t>if the certificate is issued on or before the trigger deadline, the certificate must be issued for the lesser of the weight of the consignment applied for and</w:t>
      </w:r>
      <w:r w:rsidRPr="00ED6C54">
        <w:rPr>
          <w:sz w:val="24"/>
          <w:szCs w:val="24"/>
        </w:rPr>
        <w:tab/>
        <w:t>the uncommitted trigger amount at the time the Secretary</w:t>
      </w:r>
      <w:r w:rsidR="00516983">
        <w:rPr>
          <w:sz w:val="24"/>
          <w:szCs w:val="24"/>
        </w:rPr>
        <w:t xml:space="preserve"> deals with</w:t>
      </w:r>
      <w:r w:rsidRPr="00ED6C54">
        <w:rPr>
          <w:sz w:val="24"/>
          <w:szCs w:val="24"/>
        </w:rPr>
        <w:t xml:space="preserve"> the </w:t>
      </w:r>
      <w:r w:rsidR="00516983">
        <w:rPr>
          <w:sz w:val="24"/>
          <w:szCs w:val="24"/>
        </w:rPr>
        <w:t>application</w:t>
      </w:r>
      <w:r w:rsidRPr="00ED6C54">
        <w:rPr>
          <w:sz w:val="24"/>
          <w:szCs w:val="24"/>
        </w:rPr>
        <w:t>.</w:t>
      </w:r>
      <w:r w:rsidR="00ED6C54">
        <w:rPr>
          <w:sz w:val="24"/>
          <w:szCs w:val="24"/>
        </w:rPr>
        <w:t xml:space="preserve">  This ensure</w:t>
      </w:r>
      <w:r w:rsidR="00BD4A59">
        <w:rPr>
          <w:sz w:val="24"/>
          <w:szCs w:val="24"/>
        </w:rPr>
        <w:t>s</w:t>
      </w:r>
      <w:r w:rsidR="00ED6C54">
        <w:rPr>
          <w:sz w:val="24"/>
          <w:szCs w:val="24"/>
        </w:rPr>
        <w:t xml:space="preserve"> that the uncommitted trigger amount cannot be exceeded.</w:t>
      </w:r>
    </w:p>
    <w:p w14:paraId="0A7064B4" w14:textId="06FB8D66" w:rsidR="0089053F" w:rsidRPr="00ED6C54" w:rsidRDefault="0089053F" w:rsidP="00ED6C54">
      <w:pPr>
        <w:pStyle w:val="paragraph"/>
        <w:ind w:left="0" w:firstLine="0"/>
        <w:rPr>
          <w:sz w:val="24"/>
          <w:szCs w:val="24"/>
        </w:rPr>
      </w:pPr>
    </w:p>
    <w:p w14:paraId="5DD151EC" w14:textId="214496BC" w:rsidR="0068202C" w:rsidRPr="00516983" w:rsidRDefault="0089053F" w:rsidP="00AE5C34">
      <w:pPr>
        <w:pStyle w:val="paragraph"/>
        <w:ind w:left="0" w:firstLine="0"/>
        <w:rPr>
          <w:sz w:val="24"/>
          <w:szCs w:val="24"/>
        </w:rPr>
      </w:pPr>
      <w:r w:rsidRPr="00516983">
        <w:rPr>
          <w:sz w:val="24"/>
          <w:szCs w:val="24"/>
        </w:rPr>
        <w:t xml:space="preserve">Subsection </w:t>
      </w:r>
      <w:r w:rsidR="00436B91">
        <w:rPr>
          <w:sz w:val="24"/>
          <w:szCs w:val="24"/>
        </w:rPr>
        <w:t>18</w:t>
      </w:r>
      <w:r w:rsidRPr="00516983">
        <w:rPr>
          <w:sz w:val="24"/>
          <w:szCs w:val="24"/>
        </w:rPr>
        <w:t>(4) provides that i</w:t>
      </w:r>
      <w:r w:rsidRPr="00ED6C54">
        <w:rPr>
          <w:sz w:val="24"/>
          <w:szCs w:val="24"/>
        </w:rPr>
        <w:t xml:space="preserve">f the certificate is issued after the trigger deadline, the certificate must be issued for the lesser of the weight of the consignment applied for and the uncommitted annual access amount at the time the Secretary </w:t>
      </w:r>
      <w:r w:rsidR="00516983">
        <w:rPr>
          <w:sz w:val="24"/>
          <w:szCs w:val="24"/>
        </w:rPr>
        <w:t>deals with</w:t>
      </w:r>
      <w:r w:rsidRPr="00ED6C54">
        <w:rPr>
          <w:sz w:val="24"/>
          <w:szCs w:val="24"/>
        </w:rPr>
        <w:t xml:space="preserve"> the </w:t>
      </w:r>
      <w:r w:rsidR="00516983">
        <w:rPr>
          <w:sz w:val="24"/>
          <w:szCs w:val="24"/>
        </w:rPr>
        <w:t>application</w:t>
      </w:r>
      <w:r w:rsidRPr="00ED6C54">
        <w:rPr>
          <w:sz w:val="24"/>
          <w:szCs w:val="24"/>
        </w:rPr>
        <w:t>.</w:t>
      </w:r>
      <w:bookmarkStart w:id="30" w:name="BK_S3P16L29C77"/>
      <w:bookmarkEnd w:id="30"/>
      <w:r w:rsidR="00ED6C54">
        <w:rPr>
          <w:sz w:val="24"/>
          <w:szCs w:val="24"/>
        </w:rPr>
        <w:t xml:space="preserve">  This ensure</w:t>
      </w:r>
      <w:r w:rsidR="00BD4A59">
        <w:rPr>
          <w:sz w:val="24"/>
          <w:szCs w:val="24"/>
        </w:rPr>
        <w:t>s</w:t>
      </w:r>
      <w:r w:rsidR="00ED6C54">
        <w:rPr>
          <w:sz w:val="24"/>
          <w:szCs w:val="24"/>
        </w:rPr>
        <w:t xml:space="preserve"> that the annual access amount for the quota cannot be exceeded.</w:t>
      </w:r>
    </w:p>
    <w:p w14:paraId="08A57DDA" w14:textId="77777777" w:rsidR="0089053F" w:rsidRPr="00ED6C54" w:rsidRDefault="0089053F" w:rsidP="00AE5C34">
      <w:pPr>
        <w:pStyle w:val="paragraph"/>
        <w:ind w:left="0" w:firstLine="0"/>
        <w:rPr>
          <w:rStyle w:val="CharSectno"/>
          <w:sz w:val="24"/>
          <w:szCs w:val="24"/>
        </w:rPr>
      </w:pPr>
    </w:p>
    <w:p w14:paraId="12ED79FD" w14:textId="40F0BFB6" w:rsidR="00514562" w:rsidRDefault="00514562" w:rsidP="00514562">
      <w:pPr>
        <w:pStyle w:val="paragraph"/>
        <w:rPr>
          <w:b/>
          <w:sz w:val="24"/>
          <w:szCs w:val="24"/>
        </w:rPr>
      </w:pPr>
      <w:r>
        <w:rPr>
          <w:b/>
          <w:sz w:val="24"/>
          <w:szCs w:val="24"/>
        </w:rPr>
        <w:t>Division 3 - Provision</w:t>
      </w:r>
      <w:r w:rsidR="00BD4A59">
        <w:rPr>
          <w:b/>
          <w:sz w:val="24"/>
          <w:szCs w:val="24"/>
        </w:rPr>
        <w:t>al</w:t>
      </w:r>
      <w:r>
        <w:rPr>
          <w:b/>
          <w:sz w:val="24"/>
          <w:szCs w:val="24"/>
        </w:rPr>
        <w:t xml:space="preserve"> tariff rate quota entitlements</w:t>
      </w:r>
    </w:p>
    <w:p w14:paraId="3B6DA7D1" w14:textId="77777777" w:rsidR="00514562" w:rsidRDefault="00514562" w:rsidP="00514562">
      <w:pPr>
        <w:pStyle w:val="paragraph"/>
        <w:rPr>
          <w:b/>
          <w:sz w:val="24"/>
          <w:szCs w:val="24"/>
        </w:rPr>
      </w:pPr>
    </w:p>
    <w:p w14:paraId="78CBCCA5" w14:textId="5F5776A6" w:rsidR="00514562" w:rsidRDefault="001C37BA" w:rsidP="00514562">
      <w:pPr>
        <w:pStyle w:val="paragraph"/>
        <w:rPr>
          <w:sz w:val="24"/>
          <w:szCs w:val="24"/>
          <w:u w:val="single"/>
        </w:rPr>
      </w:pPr>
      <w:r>
        <w:rPr>
          <w:sz w:val="24"/>
          <w:szCs w:val="24"/>
          <w:u w:val="single"/>
        </w:rPr>
        <w:t>Section 19</w:t>
      </w:r>
      <w:r w:rsidR="00514562">
        <w:rPr>
          <w:sz w:val="24"/>
          <w:szCs w:val="24"/>
          <w:u w:val="single"/>
        </w:rPr>
        <w:t xml:space="preserve"> - Notice of provisional tariff rate quota entitlement</w:t>
      </w:r>
    </w:p>
    <w:p w14:paraId="63561D70" w14:textId="77777777" w:rsidR="00514562" w:rsidRDefault="00514562" w:rsidP="00514562">
      <w:pPr>
        <w:pStyle w:val="paragraph"/>
        <w:rPr>
          <w:sz w:val="24"/>
          <w:szCs w:val="24"/>
          <w:u w:val="single"/>
        </w:rPr>
      </w:pPr>
    </w:p>
    <w:p w14:paraId="1426A357" w14:textId="396F9BAB" w:rsidR="00B225F2" w:rsidRPr="0057061D" w:rsidRDefault="00B225F2" w:rsidP="00B225F2">
      <w:pPr>
        <w:pStyle w:val="paragraph"/>
        <w:ind w:left="0" w:firstLine="0"/>
        <w:rPr>
          <w:sz w:val="24"/>
          <w:szCs w:val="24"/>
        </w:rPr>
      </w:pPr>
      <w:r w:rsidRPr="0057061D">
        <w:rPr>
          <w:sz w:val="24"/>
          <w:szCs w:val="24"/>
        </w:rPr>
        <w:t xml:space="preserve">Subsection </w:t>
      </w:r>
      <w:r w:rsidR="001C37BA">
        <w:rPr>
          <w:sz w:val="24"/>
          <w:szCs w:val="24"/>
        </w:rPr>
        <w:t>19</w:t>
      </w:r>
      <w:r w:rsidRPr="0057061D">
        <w:rPr>
          <w:sz w:val="24"/>
          <w:szCs w:val="24"/>
        </w:rPr>
        <w:t xml:space="preserve">(1) provides that if the Secretary believes that the allocation trigger for a </w:t>
      </w:r>
      <w:r w:rsidR="00FE3E4B">
        <w:rPr>
          <w:sz w:val="24"/>
          <w:szCs w:val="24"/>
        </w:rPr>
        <w:t>quota type</w:t>
      </w:r>
      <w:r w:rsidRPr="0057061D">
        <w:rPr>
          <w:sz w:val="24"/>
          <w:szCs w:val="24"/>
        </w:rPr>
        <w:t xml:space="preserve"> and a quota year is likely to occur, the Secretary must give a written notice to each person to whom tariff rate quota certificates have been issued in relation to consignments of that </w:t>
      </w:r>
      <w:r w:rsidR="00FE3E4B">
        <w:rPr>
          <w:sz w:val="24"/>
          <w:szCs w:val="24"/>
        </w:rPr>
        <w:t>quota type</w:t>
      </w:r>
      <w:r w:rsidRPr="0057061D">
        <w:rPr>
          <w:sz w:val="24"/>
          <w:szCs w:val="24"/>
        </w:rPr>
        <w:t xml:space="preserve"> </w:t>
      </w:r>
      <w:r w:rsidR="00EA4313">
        <w:rPr>
          <w:sz w:val="24"/>
          <w:szCs w:val="24"/>
        </w:rPr>
        <w:t xml:space="preserve">for export </w:t>
      </w:r>
      <w:r w:rsidRPr="0057061D">
        <w:rPr>
          <w:sz w:val="24"/>
          <w:szCs w:val="24"/>
        </w:rPr>
        <w:t>in that quota year.</w:t>
      </w:r>
      <w:r w:rsidR="00ED6C54">
        <w:rPr>
          <w:sz w:val="24"/>
          <w:szCs w:val="24"/>
        </w:rPr>
        <w:t xml:space="preserve"> This is</w:t>
      </w:r>
      <w:r w:rsidR="007824FE">
        <w:rPr>
          <w:sz w:val="24"/>
          <w:szCs w:val="24"/>
        </w:rPr>
        <w:t xml:space="preserve"> to provide the best opportunity for</w:t>
      </w:r>
      <w:r w:rsidR="00ED6C54">
        <w:rPr>
          <w:sz w:val="24"/>
          <w:szCs w:val="24"/>
        </w:rPr>
        <w:t xml:space="preserve"> notifications </w:t>
      </w:r>
      <w:r w:rsidR="007824FE">
        <w:rPr>
          <w:sz w:val="24"/>
          <w:szCs w:val="24"/>
        </w:rPr>
        <w:t>to be</w:t>
      </w:r>
      <w:r w:rsidR="00ED6C54">
        <w:rPr>
          <w:sz w:val="24"/>
          <w:szCs w:val="24"/>
        </w:rPr>
        <w:t xml:space="preserve"> sent out ahead of the a</w:t>
      </w:r>
      <w:r w:rsidR="007C77BE">
        <w:rPr>
          <w:sz w:val="24"/>
          <w:szCs w:val="24"/>
        </w:rPr>
        <w:t xml:space="preserve">llocation trigger occurring, to minimise any interruptions to exports should the trigger occur. </w:t>
      </w:r>
    </w:p>
    <w:p w14:paraId="47607145" w14:textId="77777777" w:rsidR="0068202C" w:rsidRPr="0057061D" w:rsidRDefault="0068202C" w:rsidP="00AE5C34">
      <w:pPr>
        <w:pStyle w:val="paragraph"/>
        <w:ind w:left="0" w:firstLine="0"/>
        <w:rPr>
          <w:rStyle w:val="CharSectno"/>
          <w:b/>
          <w:sz w:val="24"/>
          <w:szCs w:val="24"/>
        </w:rPr>
      </w:pPr>
    </w:p>
    <w:p w14:paraId="12B8E844" w14:textId="4D4EC3C9" w:rsidR="000243B5" w:rsidRDefault="007C77BE" w:rsidP="00B225F2">
      <w:pPr>
        <w:pStyle w:val="paragraph"/>
        <w:ind w:left="0" w:firstLine="0"/>
        <w:rPr>
          <w:sz w:val="24"/>
          <w:szCs w:val="24"/>
        </w:rPr>
      </w:pPr>
      <w:r>
        <w:rPr>
          <w:sz w:val="24"/>
          <w:szCs w:val="24"/>
        </w:rPr>
        <w:t>Paragraph</w:t>
      </w:r>
      <w:r w:rsidR="00B225F2" w:rsidRPr="0057061D">
        <w:rPr>
          <w:sz w:val="24"/>
          <w:szCs w:val="24"/>
        </w:rPr>
        <w:t xml:space="preserve"> </w:t>
      </w:r>
      <w:r w:rsidR="001C37BA">
        <w:rPr>
          <w:sz w:val="24"/>
          <w:szCs w:val="24"/>
        </w:rPr>
        <w:t>19</w:t>
      </w:r>
      <w:r w:rsidR="00B225F2" w:rsidRPr="0057061D">
        <w:rPr>
          <w:sz w:val="24"/>
          <w:szCs w:val="24"/>
        </w:rPr>
        <w:t>(2</w:t>
      </w:r>
      <w:proofErr w:type="gramStart"/>
      <w:r w:rsidR="00B225F2" w:rsidRPr="0057061D">
        <w:rPr>
          <w:sz w:val="24"/>
          <w:szCs w:val="24"/>
        </w:rPr>
        <w:t>)</w:t>
      </w:r>
      <w:r w:rsidR="000243B5">
        <w:rPr>
          <w:sz w:val="24"/>
          <w:szCs w:val="24"/>
        </w:rPr>
        <w:t>(</w:t>
      </w:r>
      <w:proofErr w:type="gramEnd"/>
      <w:r w:rsidR="000243B5">
        <w:rPr>
          <w:sz w:val="24"/>
          <w:szCs w:val="24"/>
        </w:rPr>
        <w:t>a)</w:t>
      </w:r>
      <w:r w:rsidR="00B225F2" w:rsidRPr="0057061D">
        <w:rPr>
          <w:sz w:val="24"/>
          <w:szCs w:val="24"/>
        </w:rPr>
        <w:t xml:space="preserve"> provides that the notice issued under subsection </w:t>
      </w:r>
      <w:r w:rsidR="001C37BA">
        <w:rPr>
          <w:sz w:val="24"/>
          <w:szCs w:val="24"/>
        </w:rPr>
        <w:t>19</w:t>
      </w:r>
      <w:r w:rsidR="00B225F2" w:rsidRPr="0057061D">
        <w:rPr>
          <w:sz w:val="24"/>
          <w:szCs w:val="24"/>
        </w:rPr>
        <w:t xml:space="preserve">(1) must state the amount (if any) of the person’s provisional tariff rate quota entitlement for the </w:t>
      </w:r>
      <w:r w:rsidR="00FE3E4B">
        <w:rPr>
          <w:sz w:val="24"/>
          <w:szCs w:val="24"/>
        </w:rPr>
        <w:t>quota type</w:t>
      </w:r>
      <w:r w:rsidR="00B225F2" w:rsidRPr="00B225F2">
        <w:rPr>
          <w:sz w:val="24"/>
          <w:szCs w:val="24"/>
        </w:rPr>
        <w:t xml:space="preserve"> and quota year</w:t>
      </w:r>
      <w:r>
        <w:rPr>
          <w:sz w:val="24"/>
          <w:szCs w:val="24"/>
        </w:rPr>
        <w:t>, so the person knows what they can be allocated, and plan accordingly.</w:t>
      </w:r>
    </w:p>
    <w:p w14:paraId="288FDCEB" w14:textId="77777777" w:rsidR="000243B5" w:rsidRDefault="000243B5" w:rsidP="00B225F2">
      <w:pPr>
        <w:pStyle w:val="paragraph"/>
        <w:ind w:left="0" w:firstLine="0"/>
        <w:rPr>
          <w:sz w:val="24"/>
          <w:szCs w:val="24"/>
        </w:rPr>
      </w:pPr>
    </w:p>
    <w:p w14:paraId="2FB9DE56" w14:textId="165343DD" w:rsidR="00FE50A1" w:rsidRDefault="007C77BE" w:rsidP="001C37BA">
      <w:pPr>
        <w:pStyle w:val="paragraph"/>
        <w:ind w:left="0" w:firstLine="0"/>
        <w:rPr>
          <w:sz w:val="24"/>
          <w:szCs w:val="24"/>
        </w:rPr>
      </w:pPr>
      <w:r>
        <w:rPr>
          <w:sz w:val="24"/>
          <w:szCs w:val="24"/>
        </w:rPr>
        <w:lastRenderedPageBreak/>
        <w:t>Paragraph</w:t>
      </w:r>
      <w:r w:rsidR="000243B5">
        <w:rPr>
          <w:sz w:val="24"/>
          <w:szCs w:val="24"/>
        </w:rPr>
        <w:t xml:space="preserve"> </w:t>
      </w:r>
      <w:r w:rsidR="001C37BA">
        <w:rPr>
          <w:sz w:val="24"/>
          <w:szCs w:val="24"/>
        </w:rPr>
        <w:t>19</w:t>
      </w:r>
      <w:r w:rsidR="000243B5">
        <w:rPr>
          <w:sz w:val="24"/>
          <w:szCs w:val="24"/>
        </w:rPr>
        <w:t>(2</w:t>
      </w:r>
      <w:proofErr w:type="gramStart"/>
      <w:r w:rsidR="000243B5">
        <w:rPr>
          <w:sz w:val="24"/>
          <w:szCs w:val="24"/>
        </w:rPr>
        <w:t>)(</w:t>
      </w:r>
      <w:proofErr w:type="gramEnd"/>
      <w:r w:rsidR="000243B5">
        <w:rPr>
          <w:sz w:val="24"/>
          <w:szCs w:val="24"/>
        </w:rPr>
        <w:t xml:space="preserve">b) </w:t>
      </w:r>
      <w:r w:rsidR="00FE50A1">
        <w:rPr>
          <w:sz w:val="24"/>
          <w:szCs w:val="24"/>
        </w:rPr>
        <w:t xml:space="preserve">provides that </w:t>
      </w:r>
      <w:r w:rsidR="00B225F2" w:rsidRPr="00B225F2">
        <w:rPr>
          <w:sz w:val="24"/>
          <w:szCs w:val="24"/>
        </w:rPr>
        <w:t xml:space="preserve">unless the person’s provisional tariff rate quota entitlement is nil, </w:t>
      </w:r>
      <w:r w:rsidR="00FE50A1">
        <w:rPr>
          <w:sz w:val="24"/>
          <w:szCs w:val="24"/>
        </w:rPr>
        <w:t xml:space="preserve">the notice </w:t>
      </w:r>
      <w:r w:rsidR="00FE50A1" w:rsidRPr="0057061D">
        <w:rPr>
          <w:sz w:val="24"/>
          <w:szCs w:val="24"/>
        </w:rPr>
        <w:t xml:space="preserve">issued under subsection </w:t>
      </w:r>
      <w:r w:rsidR="001C37BA">
        <w:rPr>
          <w:sz w:val="24"/>
          <w:szCs w:val="24"/>
        </w:rPr>
        <w:t>19</w:t>
      </w:r>
      <w:r w:rsidR="00FE50A1" w:rsidRPr="0057061D">
        <w:rPr>
          <w:sz w:val="24"/>
          <w:szCs w:val="24"/>
        </w:rPr>
        <w:t xml:space="preserve">(1) </w:t>
      </w:r>
      <w:r w:rsidR="00FE50A1">
        <w:rPr>
          <w:sz w:val="24"/>
          <w:szCs w:val="24"/>
        </w:rPr>
        <w:t xml:space="preserve">must </w:t>
      </w:r>
      <w:r w:rsidR="00B225F2" w:rsidRPr="00B225F2">
        <w:rPr>
          <w:sz w:val="24"/>
          <w:szCs w:val="24"/>
        </w:rPr>
        <w:t xml:space="preserve">state that the person may request, </w:t>
      </w:r>
      <w:r w:rsidR="00EA4313">
        <w:rPr>
          <w:sz w:val="24"/>
          <w:szCs w:val="24"/>
        </w:rPr>
        <w:t>no later than</w:t>
      </w:r>
      <w:r w:rsidR="00B225F2" w:rsidRPr="00B225F2">
        <w:rPr>
          <w:sz w:val="24"/>
          <w:szCs w:val="24"/>
        </w:rPr>
        <w:t xml:space="preserve"> the </w:t>
      </w:r>
      <w:r w:rsidR="00EA4313">
        <w:rPr>
          <w:sz w:val="24"/>
          <w:szCs w:val="24"/>
        </w:rPr>
        <w:t>day</w:t>
      </w:r>
      <w:r w:rsidR="00B225F2" w:rsidRPr="00B225F2">
        <w:rPr>
          <w:sz w:val="24"/>
          <w:szCs w:val="24"/>
        </w:rPr>
        <w:t xml:space="preserve"> specified in the notice, the amount of that provisional tariff rate quota entitlement that the person wants to h</w:t>
      </w:r>
      <w:r w:rsidR="005C5919">
        <w:rPr>
          <w:sz w:val="24"/>
          <w:szCs w:val="24"/>
        </w:rPr>
        <w:t>ave allocated under section 21</w:t>
      </w:r>
      <w:r w:rsidR="00B225F2" w:rsidRPr="00B225F2">
        <w:rPr>
          <w:sz w:val="24"/>
          <w:szCs w:val="24"/>
        </w:rPr>
        <w:t xml:space="preserve"> as the person’s tariff rate quota entitlement if the allocation trigger occurs</w:t>
      </w:r>
      <w:r>
        <w:rPr>
          <w:sz w:val="24"/>
          <w:szCs w:val="24"/>
        </w:rPr>
        <w:t>. This ensures any unwanted entitlement can be promptly returned and made available through the uncommitted access amount.</w:t>
      </w:r>
      <w:r w:rsidR="00B225F2" w:rsidRPr="00B225F2">
        <w:rPr>
          <w:sz w:val="24"/>
          <w:szCs w:val="24"/>
        </w:rPr>
        <w:t xml:space="preserve"> </w:t>
      </w:r>
    </w:p>
    <w:p w14:paraId="173C0619" w14:textId="77777777" w:rsidR="00FE50A1" w:rsidRDefault="00FE50A1" w:rsidP="00B225F2">
      <w:pPr>
        <w:pStyle w:val="paragraph"/>
        <w:ind w:left="0" w:firstLine="0"/>
        <w:rPr>
          <w:sz w:val="24"/>
          <w:szCs w:val="24"/>
        </w:rPr>
      </w:pPr>
    </w:p>
    <w:p w14:paraId="7BC8384A" w14:textId="476BD2D4" w:rsidR="00B225F2" w:rsidRDefault="007C77BE" w:rsidP="00B225F2">
      <w:pPr>
        <w:pStyle w:val="paragraph"/>
        <w:ind w:left="0" w:firstLine="0"/>
        <w:rPr>
          <w:sz w:val="24"/>
          <w:szCs w:val="24"/>
        </w:rPr>
      </w:pPr>
      <w:r>
        <w:rPr>
          <w:sz w:val="24"/>
          <w:szCs w:val="24"/>
        </w:rPr>
        <w:t>Paragraph</w:t>
      </w:r>
      <w:r w:rsidR="00FE50A1">
        <w:rPr>
          <w:sz w:val="24"/>
          <w:szCs w:val="24"/>
        </w:rPr>
        <w:t xml:space="preserve"> </w:t>
      </w:r>
      <w:r w:rsidR="001C37BA">
        <w:rPr>
          <w:sz w:val="24"/>
          <w:szCs w:val="24"/>
        </w:rPr>
        <w:t>19</w:t>
      </w:r>
      <w:r w:rsidR="00FE50A1">
        <w:rPr>
          <w:sz w:val="24"/>
          <w:szCs w:val="24"/>
        </w:rPr>
        <w:t>(2</w:t>
      </w:r>
      <w:proofErr w:type="gramStart"/>
      <w:r w:rsidR="00FE50A1">
        <w:rPr>
          <w:sz w:val="24"/>
          <w:szCs w:val="24"/>
        </w:rPr>
        <w:t>)(</w:t>
      </w:r>
      <w:proofErr w:type="gramEnd"/>
      <w:r w:rsidR="00FE50A1">
        <w:rPr>
          <w:sz w:val="24"/>
          <w:szCs w:val="24"/>
        </w:rPr>
        <w:t xml:space="preserve">c) provides that the notice </w:t>
      </w:r>
      <w:r w:rsidR="00FE50A1" w:rsidRPr="0057061D">
        <w:rPr>
          <w:sz w:val="24"/>
          <w:szCs w:val="24"/>
        </w:rPr>
        <w:t xml:space="preserve">issued under subsection </w:t>
      </w:r>
      <w:r w:rsidR="001C37BA">
        <w:rPr>
          <w:sz w:val="24"/>
          <w:szCs w:val="24"/>
        </w:rPr>
        <w:t>19</w:t>
      </w:r>
      <w:r w:rsidR="00FE50A1" w:rsidRPr="0057061D">
        <w:rPr>
          <w:sz w:val="24"/>
          <w:szCs w:val="24"/>
        </w:rPr>
        <w:t xml:space="preserve">(1) </w:t>
      </w:r>
      <w:r w:rsidR="00FE50A1">
        <w:rPr>
          <w:sz w:val="24"/>
          <w:szCs w:val="24"/>
        </w:rPr>
        <w:t>must</w:t>
      </w:r>
      <w:r w:rsidR="00B225F2" w:rsidRPr="00B225F2">
        <w:rPr>
          <w:sz w:val="24"/>
          <w:szCs w:val="24"/>
        </w:rPr>
        <w:t xml:space="preserve"> specify the way in which the person is to make the request.</w:t>
      </w:r>
    </w:p>
    <w:p w14:paraId="5F6AA3F8" w14:textId="77777777" w:rsidR="00654BDE" w:rsidRDefault="00654BDE" w:rsidP="00B225F2">
      <w:pPr>
        <w:pStyle w:val="paragraph"/>
        <w:ind w:left="0" w:firstLine="0"/>
        <w:rPr>
          <w:sz w:val="24"/>
          <w:szCs w:val="24"/>
        </w:rPr>
      </w:pPr>
    </w:p>
    <w:p w14:paraId="192139D0" w14:textId="73A32115" w:rsidR="00654BDE" w:rsidRPr="00B225F2" w:rsidRDefault="00654BDE" w:rsidP="00B225F2">
      <w:pPr>
        <w:pStyle w:val="paragraph"/>
        <w:ind w:left="0" w:firstLine="0"/>
        <w:rPr>
          <w:sz w:val="24"/>
          <w:szCs w:val="24"/>
        </w:rPr>
      </w:pPr>
      <w:r>
        <w:rPr>
          <w:sz w:val="24"/>
          <w:szCs w:val="24"/>
        </w:rPr>
        <w:t xml:space="preserve">Subsection </w:t>
      </w:r>
      <w:r w:rsidR="001C37BA">
        <w:rPr>
          <w:sz w:val="24"/>
          <w:szCs w:val="24"/>
        </w:rPr>
        <w:t>19</w:t>
      </w:r>
      <w:r>
        <w:rPr>
          <w:sz w:val="24"/>
          <w:szCs w:val="24"/>
        </w:rPr>
        <w:t>(3)</w:t>
      </w:r>
      <w:r w:rsidRPr="0057061D">
        <w:rPr>
          <w:sz w:val="24"/>
          <w:szCs w:val="24"/>
        </w:rPr>
        <w:t xml:space="preserve"> provides that</w:t>
      </w:r>
      <w:r>
        <w:rPr>
          <w:sz w:val="24"/>
          <w:szCs w:val="24"/>
        </w:rPr>
        <w:t xml:space="preserve"> the </w:t>
      </w:r>
      <w:r w:rsidRPr="00ED6C54">
        <w:rPr>
          <w:sz w:val="24"/>
          <w:szCs w:val="24"/>
        </w:rPr>
        <w:t>da</w:t>
      </w:r>
      <w:r w:rsidR="00EA4313">
        <w:rPr>
          <w:sz w:val="24"/>
          <w:szCs w:val="24"/>
        </w:rPr>
        <w:t>y</w:t>
      </w:r>
      <w:r w:rsidRPr="00ED6C54">
        <w:rPr>
          <w:sz w:val="24"/>
          <w:szCs w:val="24"/>
        </w:rPr>
        <w:t xml:space="preserve"> specified for the purposes of paragraph </w:t>
      </w:r>
      <w:r w:rsidR="001C37BA">
        <w:rPr>
          <w:sz w:val="24"/>
          <w:szCs w:val="24"/>
        </w:rPr>
        <w:t>19</w:t>
      </w:r>
      <w:r w:rsidRPr="00ED6C54">
        <w:rPr>
          <w:sz w:val="24"/>
          <w:szCs w:val="24"/>
        </w:rPr>
        <w:t>(2</w:t>
      </w:r>
      <w:proofErr w:type="gramStart"/>
      <w:r w:rsidRPr="00ED6C54">
        <w:rPr>
          <w:sz w:val="24"/>
          <w:szCs w:val="24"/>
        </w:rPr>
        <w:t>)(</w:t>
      </w:r>
      <w:proofErr w:type="gramEnd"/>
      <w:r w:rsidRPr="00ED6C54">
        <w:rPr>
          <w:sz w:val="24"/>
          <w:szCs w:val="24"/>
        </w:rPr>
        <w:t>b) must be at least 10 business days after the date of the notice.</w:t>
      </w:r>
      <w:r w:rsidR="00211E62">
        <w:rPr>
          <w:sz w:val="24"/>
          <w:szCs w:val="24"/>
        </w:rPr>
        <w:t xml:space="preserve">  This ensures a person is </w:t>
      </w:r>
      <w:r w:rsidR="00820C1D">
        <w:rPr>
          <w:sz w:val="24"/>
          <w:szCs w:val="24"/>
        </w:rPr>
        <w:t>given sufficient time to assess and respond to the notice.</w:t>
      </w:r>
    </w:p>
    <w:p w14:paraId="77BF8382" w14:textId="77777777" w:rsidR="005D4D98" w:rsidRDefault="005D4D98">
      <w:pPr>
        <w:spacing w:line="240" w:lineRule="auto"/>
        <w:rPr>
          <w:sz w:val="24"/>
          <w:szCs w:val="24"/>
        </w:rPr>
      </w:pPr>
    </w:p>
    <w:p w14:paraId="5DE5C992" w14:textId="5439284D" w:rsidR="0057061D" w:rsidRDefault="0057061D">
      <w:pPr>
        <w:spacing w:line="240" w:lineRule="auto"/>
        <w:rPr>
          <w:sz w:val="24"/>
          <w:szCs w:val="24"/>
          <w:u w:val="single"/>
        </w:rPr>
      </w:pPr>
      <w:r>
        <w:rPr>
          <w:sz w:val="24"/>
          <w:szCs w:val="24"/>
          <w:u w:val="single"/>
        </w:rPr>
        <w:t xml:space="preserve">Section </w:t>
      </w:r>
      <w:r w:rsidR="001C37BA">
        <w:rPr>
          <w:sz w:val="24"/>
          <w:szCs w:val="24"/>
          <w:u w:val="single"/>
        </w:rPr>
        <w:t>20</w:t>
      </w:r>
      <w:r>
        <w:rPr>
          <w:sz w:val="24"/>
          <w:szCs w:val="24"/>
          <w:u w:val="single"/>
        </w:rPr>
        <w:t xml:space="preserve"> - Calculation of provisional tariff rate quota entitlement</w:t>
      </w:r>
    </w:p>
    <w:p w14:paraId="76E40DA1" w14:textId="77777777" w:rsidR="0057061D" w:rsidRPr="00820C1D" w:rsidRDefault="0057061D">
      <w:pPr>
        <w:spacing w:line="240" w:lineRule="auto"/>
        <w:rPr>
          <w:sz w:val="24"/>
          <w:szCs w:val="24"/>
          <w:u w:val="single"/>
        </w:rPr>
      </w:pPr>
    </w:p>
    <w:p w14:paraId="5CEFEEAD" w14:textId="2FCBED9C" w:rsidR="00505CF3" w:rsidRDefault="00505CF3" w:rsidP="0057061D">
      <w:pPr>
        <w:spacing w:line="240" w:lineRule="auto"/>
        <w:rPr>
          <w:sz w:val="24"/>
          <w:szCs w:val="24"/>
        </w:rPr>
      </w:pPr>
      <w:r>
        <w:rPr>
          <w:sz w:val="24"/>
          <w:szCs w:val="24"/>
        </w:rPr>
        <w:t>Section 20 sets out specific inputs and a formula for calculating</w:t>
      </w:r>
      <w:r w:rsidR="00477FD1">
        <w:rPr>
          <w:sz w:val="24"/>
          <w:szCs w:val="24"/>
        </w:rPr>
        <w:t xml:space="preserve"> provisional tariff rate quota</w:t>
      </w:r>
      <w:r>
        <w:rPr>
          <w:sz w:val="24"/>
          <w:szCs w:val="24"/>
        </w:rPr>
        <w:t xml:space="preserve"> entitlements and as a result there is no discretion in the calculations.  This ensure</w:t>
      </w:r>
      <w:r w:rsidR="005C1FEB">
        <w:rPr>
          <w:sz w:val="24"/>
          <w:szCs w:val="24"/>
        </w:rPr>
        <w:t>s</w:t>
      </w:r>
      <w:r>
        <w:rPr>
          <w:sz w:val="24"/>
          <w:szCs w:val="24"/>
        </w:rPr>
        <w:t xml:space="preserve"> a consistent result every time the calculations are made. As applicants can view the legislation, they can be aware of the exact</w:t>
      </w:r>
      <w:r w:rsidR="00477FD1">
        <w:rPr>
          <w:sz w:val="24"/>
          <w:szCs w:val="24"/>
        </w:rPr>
        <w:t xml:space="preserve"> formula used</w:t>
      </w:r>
      <w:r>
        <w:rPr>
          <w:sz w:val="24"/>
          <w:szCs w:val="24"/>
        </w:rPr>
        <w:t xml:space="preserve"> to calculate the entitlements, ensuring transparency.</w:t>
      </w:r>
    </w:p>
    <w:p w14:paraId="7BA445D3" w14:textId="77777777" w:rsidR="00505CF3" w:rsidRDefault="00505CF3" w:rsidP="0057061D">
      <w:pPr>
        <w:spacing w:line="240" w:lineRule="auto"/>
        <w:rPr>
          <w:sz w:val="24"/>
          <w:szCs w:val="24"/>
        </w:rPr>
      </w:pPr>
    </w:p>
    <w:p w14:paraId="1B885135" w14:textId="3D675922" w:rsidR="0057061D" w:rsidRPr="00820C1D" w:rsidRDefault="0057061D" w:rsidP="0057061D">
      <w:pPr>
        <w:spacing w:line="240" w:lineRule="auto"/>
        <w:rPr>
          <w:sz w:val="24"/>
          <w:szCs w:val="24"/>
        </w:rPr>
      </w:pPr>
      <w:r w:rsidRPr="00820C1D">
        <w:rPr>
          <w:sz w:val="24"/>
          <w:szCs w:val="24"/>
        </w:rPr>
        <w:t xml:space="preserve">Subsection </w:t>
      </w:r>
      <w:r w:rsidR="001C37BA">
        <w:rPr>
          <w:sz w:val="24"/>
          <w:szCs w:val="24"/>
        </w:rPr>
        <w:t>20</w:t>
      </w:r>
      <w:r w:rsidRPr="00820C1D">
        <w:rPr>
          <w:sz w:val="24"/>
          <w:szCs w:val="24"/>
        </w:rPr>
        <w:t xml:space="preserve">(1) provides that subject to this section, a person’s </w:t>
      </w:r>
      <w:r w:rsidRPr="00820C1D">
        <w:rPr>
          <w:i/>
          <w:sz w:val="24"/>
          <w:szCs w:val="24"/>
        </w:rPr>
        <w:t>provisional tariff rate quota entitlement</w:t>
      </w:r>
      <w:r w:rsidRPr="00820C1D">
        <w:rPr>
          <w:sz w:val="24"/>
          <w:szCs w:val="24"/>
        </w:rPr>
        <w:t xml:space="preserve"> for a </w:t>
      </w:r>
      <w:r w:rsidR="00FE3E4B" w:rsidRPr="00820C1D">
        <w:rPr>
          <w:sz w:val="24"/>
          <w:szCs w:val="24"/>
        </w:rPr>
        <w:t>quota type</w:t>
      </w:r>
      <w:r w:rsidRPr="00820C1D">
        <w:rPr>
          <w:sz w:val="24"/>
          <w:szCs w:val="24"/>
        </w:rPr>
        <w:t xml:space="preserve"> and a quota year is the amount worked out using the following formula:</w:t>
      </w:r>
    </w:p>
    <w:bookmarkStart w:id="31" w:name="BKCheck15B_4"/>
    <w:bookmarkEnd w:id="31"/>
    <w:p w14:paraId="57A03219" w14:textId="1B7801A9" w:rsidR="0057061D" w:rsidRPr="00F93A3D" w:rsidRDefault="002F2A5D" w:rsidP="0057061D">
      <w:pPr>
        <w:pStyle w:val="subsection2"/>
      </w:pPr>
      <w:r w:rsidRPr="00062DF6">
        <w:rPr>
          <w:position w:val="-38"/>
        </w:rPr>
        <w:object w:dxaOrig="4860" w:dyaOrig="840" w14:anchorId="3A6DA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43.5pt" o:ole="">
            <v:imagedata r:id="rId15" o:title=""/>
          </v:shape>
          <o:OLEObject Type="Embed" ProgID="Equation.DSMT4" ShapeID="_x0000_i1025" DrawAspect="Content" ObjectID="_1638095746" r:id="rId16"/>
        </w:object>
      </w:r>
    </w:p>
    <w:p w14:paraId="37AECCBD" w14:textId="77777777" w:rsidR="0057061D" w:rsidRPr="00820C1D" w:rsidRDefault="0057061D" w:rsidP="00820C1D">
      <w:pPr>
        <w:pStyle w:val="subsection2"/>
        <w:ind w:left="0"/>
        <w:rPr>
          <w:sz w:val="24"/>
          <w:szCs w:val="24"/>
        </w:rPr>
      </w:pPr>
      <w:proofErr w:type="gramStart"/>
      <w:r w:rsidRPr="00820C1D">
        <w:rPr>
          <w:sz w:val="24"/>
          <w:szCs w:val="24"/>
        </w:rPr>
        <w:t>where</w:t>
      </w:r>
      <w:proofErr w:type="gramEnd"/>
      <w:r w:rsidRPr="00820C1D">
        <w:rPr>
          <w:sz w:val="24"/>
          <w:szCs w:val="24"/>
        </w:rPr>
        <w:t>:</w:t>
      </w:r>
    </w:p>
    <w:p w14:paraId="47F13877" w14:textId="055C9940" w:rsidR="0057061D" w:rsidRPr="00820C1D" w:rsidRDefault="0057061D" w:rsidP="00820C1D">
      <w:pPr>
        <w:pStyle w:val="Definition"/>
        <w:ind w:left="0"/>
        <w:rPr>
          <w:sz w:val="24"/>
          <w:szCs w:val="24"/>
        </w:rPr>
      </w:pPr>
      <w:r w:rsidRPr="00820C1D">
        <w:rPr>
          <w:b/>
          <w:i/>
          <w:sz w:val="24"/>
          <w:szCs w:val="24"/>
        </w:rPr>
        <w:t>all eligible past exports</w:t>
      </w:r>
      <w:r w:rsidRPr="00820C1D">
        <w:rPr>
          <w:sz w:val="24"/>
          <w:szCs w:val="24"/>
        </w:rPr>
        <w:t xml:space="preserve"> is the total weight of all eligible past exports for th</w:t>
      </w:r>
      <w:r w:rsidR="002050F6">
        <w:rPr>
          <w:sz w:val="24"/>
          <w:szCs w:val="24"/>
        </w:rPr>
        <w:t>e</w:t>
      </w:r>
      <w:r w:rsidRPr="00820C1D">
        <w:rPr>
          <w:sz w:val="24"/>
          <w:szCs w:val="24"/>
        </w:rPr>
        <w:t xml:space="preserve"> </w:t>
      </w:r>
      <w:r w:rsidR="00FE3E4B" w:rsidRPr="00820C1D">
        <w:rPr>
          <w:sz w:val="24"/>
          <w:szCs w:val="24"/>
        </w:rPr>
        <w:t>quota type</w:t>
      </w:r>
      <w:r w:rsidRPr="00820C1D">
        <w:rPr>
          <w:sz w:val="24"/>
          <w:szCs w:val="24"/>
        </w:rPr>
        <w:t xml:space="preserve"> and quota year, by persons to whom tariff rate quota certificates have been issued in relation to consignments of that </w:t>
      </w:r>
      <w:r w:rsidR="00FE3E4B" w:rsidRPr="00820C1D">
        <w:rPr>
          <w:sz w:val="24"/>
          <w:szCs w:val="24"/>
        </w:rPr>
        <w:t>quota type</w:t>
      </w:r>
      <w:r w:rsidRPr="00820C1D">
        <w:rPr>
          <w:sz w:val="24"/>
          <w:szCs w:val="24"/>
        </w:rPr>
        <w:t xml:space="preserve"> </w:t>
      </w:r>
      <w:r w:rsidR="00D5302C" w:rsidRPr="00820C1D">
        <w:rPr>
          <w:sz w:val="24"/>
          <w:szCs w:val="24"/>
        </w:rPr>
        <w:t xml:space="preserve">for export </w:t>
      </w:r>
      <w:r w:rsidRPr="00820C1D">
        <w:rPr>
          <w:sz w:val="24"/>
          <w:szCs w:val="24"/>
        </w:rPr>
        <w:t>in that quota year.</w:t>
      </w:r>
      <w:r w:rsidR="00820C1D">
        <w:rPr>
          <w:sz w:val="24"/>
          <w:szCs w:val="24"/>
        </w:rPr>
        <w:t xml:space="preserve"> </w:t>
      </w:r>
      <w:r w:rsidR="0034563F">
        <w:rPr>
          <w:sz w:val="24"/>
          <w:szCs w:val="24"/>
        </w:rPr>
        <w:t>The policy for using past exports history is that it is deemed the most effective way of determining the amount of quota an exporter is likely to be able to use while avoiding discretionary decision making methods.</w:t>
      </w:r>
    </w:p>
    <w:p w14:paraId="4BD01F97" w14:textId="29E31E60" w:rsidR="0057061D" w:rsidRPr="00820C1D" w:rsidRDefault="0057061D" w:rsidP="00820C1D">
      <w:pPr>
        <w:pStyle w:val="Definition"/>
        <w:ind w:left="0"/>
        <w:rPr>
          <w:sz w:val="24"/>
          <w:szCs w:val="24"/>
        </w:rPr>
      </w:pPr>
      <w:proofErr w:type="gramStart"/>
      <w:r w:rsidRPr="00820C1D">
        <w:rPr>
          <w:b/>
          <w:i/>
          <w:sz w:val="24"/>
          <w:szCs w:val="24"/>
        </w:rPr>
        <w:t>person’s</w:t>
      </w:r>
      <w:proofErr w:type="gramEnd"/>
      <w:r w:rsidRPr="00820C1D">
        <w:rPr>
          <w:b/>
          <w:i/>
          <w:sz w:val="24"/>
          <w:szCs w:val="24"/>
        </w:rPr>
        <w:t xml:space="preserve"> eligible past exports</w:t>
      </w:r>
      <w:r w:rsidRPr="00820C1D">
        <w:rPr>
          <w:sz w:val="24"/>
          <w:szCs w:val="24"/>
        </w:rPr>
        <w:t xml:space="preserve"> is the total weight of the person’s eligible past exports for th</w:t>
      </w:r>
      <w:r w:rsidR="002050F6">
        <w:rPr>
          <w:sz w:val="24"/>
          <w:szCs w:val="24"/>
        </w:rPr>
        <w:t>e</w:t>
      </w:r>
      <w:r w:rsidRPr="00820C1D">
        <w:rPr>
          <w:sz w:val="24"/>
          <w:szCs w:val="24"/>
        </w:rPr>
        <w:t xml:space="preserve"> </w:t>
      </w:r>
      <w:r w:rsidR="00FE3E4B" w:rsidRPr="00820C1D">
        <w:rPr>
          <w:sz w:val="24"/>
          <w:szCs w:val="24"/>
        </w:rPr>
        <w:t>quota type</w:t>
      </w:r>
      <w:r w:rsidRPr="00820C1D">
        <w:rPr>
          <w:sz w:val="24"/>
          <w:szCs w:val="24"/>
        </w:rPr>
        <w:t xml:space="preserve"> and quota year.</w:t>
      </w:r>
      <w:r w:rsidR="00820C1D" w:rsidRPr="00820C1D">
        <w:rPr>
          <w:sz w:val="24"/>
          <w:szCs w:val="24"/>
        </w:rPr>
        <w:t xml:space="preserve"> </w:t>
      </w:r>
      <w:r w:rsidR="00820C1D">
        <w:rPr>
          <w:sz w:val="24"/>
          <w:szCs w:val="24"/>
        </w:rPr>
        <w:t>The eligible past exports are defined for each relevant quota type in Chapter 3.</w:t>
      </w:r>
    </w:p>
    <w:p w14:paraId="0A58C138" w14:textId="22F96FB2" w:rsidR="0057061D" w:rsidRDefault="0057061D" w:rsidP="00820C1D">
      <w:pPr>
        <w:pStyle w:val="Definition"/>
        <w:ind w:left="0"/>
        <w:rPr>
          <w:sz w:val="24"/>
          <w:szCs w:val="24"/>
        </w:rPr>
      </w:pPr>
      <w:proofErr w:type="gramStart"/>
      <w:r w:rsidRPr="00820C1D">
        <w:rPr>
          <w:b/>
          <w:i/>
          <w:sz w:val="24"/>
          <w:szCs w:val="24"/>
        </w:rPr>
        <w:t>post</w:t>
      </w:r>
      <w:r w:rsidRPr="00820C1D">
        <w:rPr>
          <w:b/>
          <w:i/>
          <w:sz w:val="24"/>
          <w:szCs w:val="24"/>
        </w:rPr>
        <w:noBreakHyphen/>
        <w:t>trigger</w:t>
      </w:r>
      <w:proofErr w:type="gramEnd"/>
      <w:r w:rsidRPr="00820C1D">
        <w:rPr>
          <w:b/>
          <w:i/>
          <w:sz w:val="24"/>
          <w:szCs w:val="24"/>
        </w:rPr>
        <w:t xml:space="preserve"> access amount</w:t>
      </w:r>
      <w:r w:rsidRPr="00820C1D">
        <w:rPr>
          <w:sz w:val="24"/>
          <w:szCs w:val="24"/>
        </w:rPr>
        <w:t xml:space="preserve"> is the post</w:t>
      </w:r>
      <w:r w:rsidRPr="00820C1D">
        <w:rPr>
          <w:sz w:val="24"/>
          <w:szCs w:val="24"/>
        </w:rPr>
        <w:noBreakHyphen/>
        <w:t xml:space="preserve">trigger access amount for the </w:t>
      </w:r>
      <w:r w:rsidR="00FE3E4B" w:rsidRPr="00820C1D">
        <w:rPr>
          <w:sz w:val="24"/>
          <w:szCs w:val="24"/>
        </w:rPr>
        <w:t>quota type</w:t>
      </w:r>
      <w:r w:rsidRPr="00820C1D">
        <w:rPr>
          <w:sz w:val="24"/>
          <w:szCs w:val="24"/>
        </w:rPr>
        <w:t xml:space="preserve"> and</w:t>
      </w:r>
      <w:r w:rsidR="00820C1D">
        <w:rPr>
          <w:sz w:val="24"/>
          <w:szCs w:val="24"/>
        </w:rPr>
        <w:t xml:space="preserve"> quota year, defined for each relevant quota type in Chapter 3.</w:t>
      </w:r>
    </w:p>
    <w:p w14:paraId="4967EBB0" w14:textId="4707B7D6" w:rsidR="00AD2B58" w:rsidRPr="00820C1D" w:rsidRDefault="00AD2B58" w:rsidP="00820C1D">
      <w:pPr>
        <w:pStyle w:val="Definition"/>
        <w:ind w:left="0"/>
        <w:rPr>
          <w:sz w:val="24"/>
          <w:szCs w:val="24"/>
        </w:rPr>
      </w:pPr>
      <w:r>
        <w:rPr>
          <w:sz w:val="24"/>
          <w:szCs w:val="24"/>
        </w:rPr>
        <w:t xml:space="preserve">The formula ensures that provisional tariff rate quota entitlements are proportional to exporters’ previous use of the tariff rate quota, and so </w:t>
      </w:r>
      <w:r w:rsidR="00477FD1">
        <w:rPr>
          <w:sz w:val="24"/>
          <w:szCs w:val="24"/>
        </w:rPr>
        <w:t xml:space="preserve">is </w:t>
      </w:r>
      <w:r>
        <w:rPr>
          <w:sz w:val="24"/>
          <w:szCs w:val="24"/>
        </w:rPr>
        <w:t xml:space="preserve">fair and transparent. </w:t>
      </w:r>
      <w:r w:rsidR="009A2265">
        <w:rPr>
          <w:sz w:val="24"/>
          <w:szCs w:val="24"/>
        </w:rPr>
        <w:t>All weights are calculated using kilograms.</w:t>
      </w:r>
    </w:p>
    <w:p w14:paraId="1845D0CC" w14:textId="77777777" w:rsidR="00AD2B58" w:rsidRDefault="00AD2B58" w:rsidP="0057061D">
      <w:pPr>
        <w:spacing w:line="240" w:lineRule="auto"/>
        <w:rPr>
          <w:sz w:val="24"/>
          <w:szCs w:val="24"/>
        </w:rPr>
      </w:pPr>
    </w:p>
    <w:p w14:paraId="69366621" w14:textId="00FADB89" w:rsidR="0057061D" w:rsidRDefault="0057061D" w:rsidP="0057061D">
      <w:pPr>
        <w:spacing w:line="240" w:lineRule="auto"/>
        <w:rPr>
          <w:sz w:val="24"/>
          <w:szCs w:val="24"/>
        </w:rPr>
      </w:pPr>
      <w:r w:rsidRPr="00C83543">
        <w:rPr>
          <w:sz w:val="24"/>
          <w:szCs w:val="24"/>
        </w:rPr>
        <w:t xml:space="preserve">Subsection </w:t>
      </w:r>
      <w:r w:rsidR="001C37BA">
        <w:rPr>
          <w:sz w:val="24"/>
          <w:szCs w:val="24"/>
        </w:rPr>
        <w:t>20</w:t>
      </w:r>
      <w:r w:rsidRPr="00C83543">
        <w:rPr>
          <w:sz w:val="24"/>
          <w:szCs w:val="24"/>
        </w:rPr>
        <w:t>(</w:t>
      </w:r>
      <w:r>
        <w:rPr>
          <w:sz w:val="24"/>
          <w:szCs w:val="24"/>
        </w:rPr>
        <w:t xml:space="preserve">2) </w:t>
      </w:r>
      <w:r w:rsidRPr="0057061D">
        <w:rPr>
          <w:sz w:val="24"/>
          <w:szCs w:val="24"/>
        </w:rPr>
        <w:t>provides that if the amount worked out under subsection </w:t>
      </w:r>
      <w:r w:rsidR="001C37BA">
        <w:rPr>
          <w:sz w:val="24"/>
          <w:szCs w:val="24"/>
        </w:rPr>
        <w:t>20</w:t>
      </w:r>
      <w:r w:rsidRPr="0057061D">
        <w:rPr>
          <w:sz w:val="24"/>
          <w:szCs w:val="24"/>
        </w:rPr>
        <w:t xml:space="preserve">(1) for a person is less than the minimum quota allocation for the </w:t>
      </w:r>
      <w:r w:rsidR="00FE3E4B">
        <w:rPr>
          <w:sz w:val="24"/>
          <w:szCs w:val="24"/>
        </w:rPr>
        <w:t>quota type</w:t>
      </w:r>
      <w:r w:rsidRPr="0057061D">
        <w:rPr>
          <w:sz w:val="24"/>
          <w:szCs w:val="24"/>
        </w:rPr>
        <w:t xml:space="preserve"> and quota year, the person’s provisional tariff rate quota entitlement for the </w:t>
      </w:r>
      <w:r w:rsidR="00FE3E4B">
        <w:rPr>
          <w:sz w:val="24"/>
          <w:szCs w:val="24"/>
        </w:rPr>
        <w:t>quota type</w:t>
      </w:r>
      <w:r w:rsidRPr="0057061D">
        <w:rPr>
          <w:sz w:val="24"/>
          <w:szCs w:val="24"/>
        </w:rPr>
        <w:t xml:space="preserve"> and quota year is nil.</w:t>
      </w:r>
      <w:r w:rsidR="00820C1D">
        <w:rPr>
          <w:sz w:val="24"/>
          <w:szCs w:val="24"/>
        </w:rPr>
        <w:t xml:space="preserve"> The minimum </w:t>
      </w:r>
      <w:r w:rsidR="00820C1D">
        <w:rPr>
          <w:sz w:val="24"/>
          <w:szCs w:val="24"/>
        </w:rPr>
        <w:lastRenderedPageBreak/>
        <w:t>quota allocation is defined for each relevant quota type in Chapter 3.</w:t>
      </w:r>
      <w:r w:rsidR="00505CF3">
        <w:rPr>
          <w:sz w:val="24"/>
          <w:szCs w:val="24"/>
        </w:rPr>
        <w:t xml:space="preserve"> The purpose of the minimum quota allocation is to avoid allocating amounts that are not commercially viable, as this may </w:t>
      </w:r>
      <w:r w:rsidR="00477FD1">
        <w:rPr>
          <w:sz w:val="24"/>
          <w:szCs w:val="24"/>
        </w:rPr>
        <w:t>result in tariff rate quota entitlement being</w:t>
      </w:r>
      <w:r w:rsidR="00505CF3">
        <w:rPr>
          <w:sz w:val="24"/>
          <w:szCs w:val="24"/>
        </w:rPr>
        <w:t xml:space="preserve"> wasted.</w:t>
      </w:r>
    </w:p>
    <w:p w14:paraId="2B459AD5" w14:textId="77777777" w:rsidR="0057061D" w:rsidRDefault="0057061D" w:rsidP="0057061D">
      <w:pPr>
        <w:spacing w:line="240" w:lineRule="auto"/>
        <w:rPr>
          <w:sz w:val="24"/>
          <w:szCs w:val="24"/>
        </w:rPr>
      </w:pPr>
    </w:p>
    <w:p w14:paraId="59AFB64A" w14:textId="76A127CE" w:rsidR="0057061D" w:rsidRPr="006D0292" w:rsidRDefault="0057061D" w:rsidP="0057061D">
      <w:pPr>
        <w:spacing w:line="240" w:lineRule="auto"/>
        <w:rPr>
          <w:sz w:val="24"/>
          <w:szCs w:val="24"/>
        </w:rPr>
      </w:pPr>
      <w:r w:rsidRPr="00C83543">
        <w:rPr>
          <w:sz w:val="24"/>
          <w:szCs w:val="24"/>
        </w:rPr>
        <w:t xml:space="preserve">Subsection </w:t>
      </w:r>
      <w:r w:rsidR="001C37BA">
        <w:rPr>
          <w:sz w:val="24"/>
          <w:szCs w:val="24"/>
        </w:rPr>
        <w:t>20</w:t>
      </w:r>
      <w:r w:rsidRPr="00C83543">
        <w:rPr>
          <w:sz w:val="24"/>
          <w:szCs w:val="24"/>
        </w:rPr>
        <w:t>(</w:t>
      </w:r>
      <w:r>
        <w:rPr>
          <w:sz w:val="24"/>
          <w:szCs w:val="24"/>
        </w:rPr>
        <w:t xml:space="preserve">3) </w:t>
      </w:r>
      <w:r w:rsidRPr="0057061D">
        <w:rPr>
          <w:sz w:val="24"/>
          <w:szCs w:val="24"/>
        </w:rPr>
        <w:t>provides</w:t>
      </w:r>
      <w:r>
        <w:rPr>
          <w:sz w:val="24"/>
          <w:szCs w:val="24"/>
        </w:rPr>
        <w:t xml:space="preserve"> i</w:t>
      </w:r>
      <w:r w:rsidRPr="006D0292">
        <w:rPr>
          <w:sz w:val="24"/>
          <w:szCs w:val="24"/>
        </w:rPr>
        <w:t>f subsection </w:t>
      </w:r>
      <w:r w:rsidR="001C37BA">
        <w:rPr>
          <w:sz w:val="24"/>
          <w:szCs w:val="24"/>
        </w:rPr>
        <w:t>20</w:t>
      </w:r>
      <w:r w:rsidRPr="006D0292">
        <w:rPr>
          <w:sz w:val="24"/>
          <w:szCs w:val="24"/>
        </w:rPr>
        <w:t xml:space="preserve">(2) applies to the provisional tariff rate quota entitlement of a person (an excluded person), then the provisional tariff rate quota entitlement of each person to whom a notice must be issued under subsection </w:t>
      </w:r>
      <w:r w:rsidR="001C37BA">
        <w:rPr>
          <w:sz w:val="24"/>
          <w:szCs w:val="24"/>
        </w:rPr>
        <w:t>19</w:t>
      </w:r>
      <w:r w:rsidRPr="006D0292">
        <w:rPr>
          <w:sz w:val="24"/>
          <w:szCs w:val="24"/>
        </w:rPr>
        <w:t>(1) who is not an excluded person must be recalculated under subsection </w:t>
      </w:r>
      <w:r w:rsidR="001C37BA">
        <w:rPr>
          <w:sz w:val="24"/>
          <w:szCs w:val="24"/>
        </w:rPr>
        <w:t>20</w:t>
      </w:r>
      <w:r w:rsidRPr="006D0292">
        <w:rPr>
          <w:sz w:val="24"/>
          <w:szCs w:val="24"/>
        </w:rPr>
        <w:t>(1)</w:t>
      </w:r>
      <w:r w:rsidR="00267AA2">
        <w:rPr>
          <w:sz w:val="24"/>
          <w:szCs w:val="24"/>
        </w:rPr>
        <w:t>. F</w:t>
      </w:r>
      <w:r w:rsidRPr="006D0292">
        <w:rPr>
          <w:sz w:val="24"/>
          <w:szCs w:val="24"/>
        </w:rPr>
        <w:t xml:space="preserve">or the purposes of the </w:t>
      </w:r>
      <w:r w:rsidRPr="0057061D">
        <w:rPr>
          <w:sz w:val="24"/>
          <w:szCs w:val="24"/>
        </w:rPr>
        <w:t>recalculation</w:t>
      </w:r>
      <w:r w:rsidRPr="006D0292">
        <w:rPr>
          <w:sz w:val="24"/>
          <w:szCs w:val="24"/>
        </w:rPr>
        <w:t xml:space="preserve">, each excluded person is taken not to be a person to whom tariff rate quota certificates have been issued in relation to consignments of the </w:t>
      </w:r>
      <w:r w:rsidR="00FE3E4B">
        <w:rPr>
          <w:sz w:val="24"/>
          <w:szCs w:val="24"/>
        </w:rPr>
        <w:t>quota type</w:t>
      </w:r>
      <w:r w:rsidRPr="006D0292">
        <w:rPr>
          <w:sz w:val="24"/>
          <w:szCs w:val="24"/>
        </w:rPr>
        <w:t xml:space="preserve"> </w:t>
      </w:r>
      <w:r w:rsidR="00D5302C">
        <w:rPr>
          <w:sz w:val="24"/>
          <w:szCs w:val="24"/>
        </w:rPr>
        <w:t xml:space="preserve">for export </w:t>
      </w:r>
      <w:r w:rsidRPr="006D0292">
        <w:rPr>
          <w:sz w:val="24"/>
          <w:szCs w:val="24"/>
        </w:rPr>
        <w:t>in the quota year</w:t>
      </w:r>
      <w:r w:rsidR="000617EA">
        <w:rPr>
          <w:sz w:val="24"/>
          <w:szCs w:val="24"/>
        </w:rPr>
        <w:t xml:space="preserve"> (that is, they are taken to no longer be eligible</w:t>
      </w:r>
      <w:r w:rsidR="009A2265">
        <w:rPr>
          <w:sz w:val="24"/>
          <w:szCs w:val="24"/>
        </w:rPr>
        <w:t xml:space="preserve"> for an entitlement</w:t>
      </w:r>
      <w:r w:rsidR="0051728C">
        <w:rPr>
          <w:sz w:val="24"/>
          <w:szCs w:val="24"/>
        </w:rPr>
        <w:t>, and the calculation is redone without them</w:t>
      </w:r>
      <w:r w:rsidR="000617EA">
        <w:rPr>
          <w:sz w:val="24"/>
          <w:szCs w:val="24"/>
        </w:rPr>
        <w:t>)</w:t>
      </w:r>
      <w:r w:rsidRPr="006D0292">
        <w:rPr>
          <w:sz w:val="24"/>
          <w:szCs w:val="24"/>
        </w:rPr>
        <w:t>.</w:t>
      </w:r>
    </w:p>
    <w:p w14:paraId="53B0D537" w14:textId="77777777" w:rsidR="0057061D" w:rsidRPr="006D0292" w:rsidRDefault="0057061D" w:rsidP="0057061D">
      <w:pPr>
        <w:spacing w:line="240" w:lineRule="auto"/>
        <w:rPr>
          <w:sz w:val="24"/>
          <w:szCs w:val="24"/>
        </w:rPr>
      </w:pPr>
    </w:p>
    <w:p w14:paraId="370B9AEA" w14:textId="2387F669" w:rsidR="006D0292" w:rsidRPr="006D0292" w:rsidRDefault="0057061D" w:rsidP="006D0292">
      <w:pPr>
        <w:spacing w:line="240" w:lineRule="auto"/>
        <w:rPr>
          <w:sz w:val="24"/>
          <w:szCs w:val="24"/>
        </w:rPr>
      </w:pPr>
      <w:r w:rsidRPr="00C83543">
        <w:rPr>
          <w:sz w:val="24"/>
          <w:szCs w:val="24"/>
        </w:rPr>
        <w:t xml:space="preserve">Subsection </w:t>
      </w:r>
      <w:r w:rsidR="001C37BA">
        <w:rPr>
          <w:sz w:val="24"/>
          <w:szCs w:val="24"/>
        </w:rPr>
        <w:t>20</w:t>
      </w:r>
      <w:r w:rsidRPr="00C83543">
        <w:rPr>
          <w:sz w:val="24"/>
          <w:szCs w:val="24"/>
        </w:rPr>
        <w:t>(</w:t>
      </w:r>
      <w:r>
        <w:rPr>
          <w:sz w:val="24"/>
          <w:szCs w:val="24"/>
        </w:rPr>
        <w:t xml:space="preserve">4) </w:t>
      </w:r>
      <w:r w:rsidRPr="0057061D">
        <w:rPr>
          <w:sz w:val="24"/>
          <w:szCs w:val="24"/>
        </w:rPr>
        <w:t>provides</w:t>
      </w:r>
      <w:r>
        <w:rPr>
          <w:sz w:val="24"/>
          <w:szCs w:val="24"/>
        </w:rPr>
        <w:t xml:space="preserve"> </w:t>
      </w:r>
      <w:r w:rsidR="006D0292">
        <w:rPr>
          <w:sz w:val="24"/>
          <w:szCs w:val="24"/>
        </w:rPr>
        <w:t>that t</w:t>
      </w:r>
      <w:r w:rsidR="006D0292" w:rsidRPr="006D0292">
        <w:rPr>
          <w:sz w:val="24"/>
          <w:szCs w:val="24"/>
        </w:rPr>
        <w:t xml:space="preserve">he amount of each person’s provisional tariff rate quota entitlement, as calculated under subsections </w:t>
      </w:r>
      <w:r w:rsidR="001C37BA">
        <w:rPr>
          <w:sz w:val="24"/>
          <w:szCs w:val="24"/>
        </w:rPr>
        <w:t>20</w:t>
      </w:r>
      <w:r w:rsidR="006D0292" w:rsidRPr="006D0292">
        <w:rPr>
          <w:sz w:val="24"/>
          <w:szCs w:val="24"/>
        </w:rPr>
        <w:t xml:space="preserve">(1) to </w:t>
      </w:r>
      <w:r w:rsidR="001C37BA">
        <w:rPr>
          <w:sz w:val="24"/>
          <w:szCs w:val="24"/>
        </w:rPr>
        <w:t>20</w:t>
      </w:r>
      <w:r w:rsidR="006D0292" w:rsidRPr="006D0292">
        <w:rPr>
          <w:sz w:val="24"/>
          <w:szCs w:val="24"/>
        </w:rPr>
        <w:t>(3), must be rounded to the nearest kilogram with 0.5 of a kilogram to be rounded up.</w:t>
      </w:r>
      <w:bookmarkStart w:id="32" w:name="BK_S3P16L19C28"/>
      <w:bookmarkEnd w:id="32"/>
    </w:p>
    <w:p w14:paraId="2CAAFF29" w14:textId="77777777" w:rsidR="006D0292" w:rsidRDefault="006D0292" w:rsidP="0057061D">
      <w:pPr>
        <w:spacing w:line="240" w:lineRule="auto"/>
      </w:pPr>
    </w:p>
    <w:p w14:paraId="73582870" w14:textId="3204EBBE" w:rsidR="006D0292" w:rsidRDefault="006D0292" w:rsidP="006D0292">
      <w:pPr>
        <w:spacing w:line="240" w:lineRule="auto"/>
        <w:rPr>
          <w:sz w:val="24"/>
          <w:szCs w:val="24"/>
        </w:rPr>
      </w:pPr>
      <w:r w:rsidRPr="00C83543">
        <w:rPr>
          <w:sz w:val="24"/>
          <w:szCs w:val="24"/>
        </w:rPr>
        <w:t xml:space="preserve">Subsection </w:t>
      </w:r>
      <w:r w:rsidR="001C37BA">
        <w:rPr>
          <w:sz w:val="24"/>
          <w:szCs w:val="24"/>
        </w:rPr>
        <w:t>20</w:t>
      </w:r>
      <w:r w:rsidRPr="00C83543">
        <w:rPr>
          <w:sz w:val="24"/>
          <w:szCs w:val="24"/>
        </w:rPr>
        <w:t>(</w:t>
      </w:r>
      <w:r>
        <w:rPr>
          <w:sz w:val="24"/>
          <w:szCs w:val="24"/>
        </w:rPr>
        <w:t xml:space="preserve">5) </w:t>
      </w:r>
      <w:r w:rsidRPr="0057061D">
        <w:rPr>
          <w:sz w:val="24"/>
          <w:szCs w:val="24"/>
        </w:rPr>
        <w:t>provides</w:t>
      </w:r>
      <w:r>
        <w:rPr>
          <w:sz w:val="24"/>
          <w:szCs w:val="24"/>
        </w:rPr>
        <w:t xml:space="preserve"> that i</w:t>
      </w:r>
      <w:r w:rsidRPr="006D0292">
        <w:rPr>
          <w:sz w:val="24"/>
          <w:szCs w:val="24"/>
        </w:rPr>
        <w:t xml:space="preserve">f the sum of the provisional tariff rate quota entitlements of all persons exceeds the post-trigger access amount for the </w:t>
      </w:r>
      <w:r w:rsidR="00FE3E4B">
        <w:rPr>
          <w:sz w:val="24"/>
          <w:szCs w:val="24"/>
        </w:rPr>
        <w:t>quota type</w:t>
      </w:r>
      <w:r w:rsidRPr="006D0292">
        <w:rPr>
          <w:sz w:val="24"/>
          <w:szCs w:val="24"/>
        </w:rPr>
        <w:t xml:space="preserve"> and quota year, the amount of each person’s provisional tariff rate quota entitlement must be rounded down to the nearest kilogram instead.</w:t>
      </w:r>
      <w:r w:rsidR="002C62E3">
        <w:rPr>
          <w:sz w:val="24"/>
          <w:szCs w:val="24"/>
        </w:rPr>
        <w:t xml:space="preserve"> This ensures the access amount cannot be exceeded.</w:t>
      </w:r>
    </w:p>
    <w:p w14:paraId="664E4142" w14:textId="77777777" w:rsidR="006D0292" w:rsidRPr="006D0292" w:rsidRDefault="006D0292" w:rsidP="006D0292">
      <w:pPr>
        <w:spacing w:line="240" w:lineRule="auto"/>
        <w:rPr>
          <w:sz w:val="24"/>
          <w:szCs w:val="24"/>
        </w:rPr>
      </w:pPr>
    </w:p>
    <w:p w14:paraId="628236DA" w14:textId="3AF36E3D" w:rsidR="0025244C" w:rsidRDefault="0025244C" w:rsidP="0025244C">
      <w:pPr>
        <w:pStyle w:val="paragraph"/>
        <w:rPr>
          <w:b/>
          <w:sz w:val="24"/>
          <w:szCs w:val="24"/>
        </w:rPr>
      </w:pPr>
      <w:r>
        <w:rPr>
          <w:b/>
          <w:sz w:val="24"/>
          <w:szCs w:val="24"/>
        </w:rPr>
        <w:t>Division 4 - Allocation of quota after allocation trigger occurs</w:t>
      </w:r>
    </w:p>
    <w:p w14:paraId="387F3EE9" w14:textId="77777777" w:rsidR="0025244C" w:rsidRDefault="0025244C" w:rsidP="0025244C">
      <w:pPr>
        <w:pStyle w:val="paragraph"/>
        <w:rPr>
          <w:b/>
          <w:sz w:val="24"/>
          <w:szCs w:val="24"/>
        </w:rPr>
      </w:pPr>
    </w:p>
    <w:p w14:paraId="049D31D6" w14:textId="01D4AA73" w:rsidR="0025244C" w:rsidRDefault="0025244C" w:rsidP="0025244C">
      <w:pPr>
        <w:pStyle w:val="paragraph"/>
        <w:rPr>
          <w:sz w:val="24"/>
          <w:szCs w:val="24"/>
          <w:u w:val="single"/>
        </w:rPr>
      </w:pPr>
      <w:r>
        <w:rPr>
          <w:sz w:val="24"/>
          <w:szCs w:val="24"/>
          <w:u w:val="single"/>
        </w:rPr>
        <w:t xml:space="preserve">Section </w:t>
      </w:r>
      <w:r w:rsidR="001C37BA">
        <w:rPr>
          <w:sz w:val="24"/>
          <w:szCs w:val="24"/>
          <w:u w:val="single"/>
        </w:rPr>
        <w:t>21</w:t>
      </w:r>
      <w:r>
        <w:rPr>
          <w:sz w:val="24"/>
          <w:szCs w:val="24"/>
          <w:u w:val="single"/>
        </w:rPr>
        <w:t xml:space="preserve"> - Allocation of tariff rate quota entitlement</w:t>
      </w:r>
    </w:p>
    <w:p w14:paraId="07D0E119" w14:textId="77777777" w:rsidR="006D0292" w:rsidRPr="0057061D" w:rsidRDefault="006D0292" w:rsidP="0057061D">
      <w:pPr>
        <w:spacing w:line="240" w:lineRule="auto"/>
        <w:rPr>
          <w:sz w:val="24"/>
          <w:szCs w:val="24"/>
        </w:rPr>
      </w:pPr>
    </w:p>
    <w:p w14:paraId="2A98A842" w14:textId="2CCC6939" w:rsidR="0056412C" w:rsidRPr="0056412C" w:rsidRDefault="0056412C" w:rsidP="0056412C">
      <w:pPr>
        <w:spacing w:line="240" w:lineRule="auto"/>
        <w:rPr>
          <w:sz w:val="24"/>
          <w:szCs w:val="24"/>
        </w:rPr>
      </w:pPr>
      <w:r w:rsidRPr="00C83543">
        <w:rPr>
          <w:sz w:val="24"/>
          <w:szCs w:val="24"/>
        </w:rPr>
        <w:t xml:space="preserve">Subsection </w:t>
      </w:r>
      <w:r w:rsidR="001C37BA">
        <w:rPr>
          <w:sz w:val="24"/>
          <w:szCs w:val="24"/>
        </w:rPr>
        <w:t>21</w:t>
      </w:r>
      <w:r w:rsidRPr="00C83543">
        <w:rPr>
          <w:sz w:val="24"/>
          <w:szCs w:val="24"/>
        </w:rPr>
        <w:t>(</w:t>
      </w:r>
      <w:r>
        <w:rPr>
          <w:sz w:val="24"/>
          <w:szCs w:val="24"/>
        </w:rPr>
        <w:t>1) provides that t</w:t>
      </w:r>
      <w:r w:rsidRPr="0056412C">
        <w:rPr>
          <w:sz w:val="24"/>
          <w:szCs w:val="24"/>
        </w:rPr>
        <w:t xml:space="preserve">his section applies if the allocation trigger for a </w:t>
      </w:r>
      <w:r w:rsidR="00FE3E4B">
        <w:rPr>
          <w:sz w:val="24"/>
          <w:szCs w:val="24"/>
        </w:rPr>
        <w:t>quota type</w:t>
      </w:r>
      <w:r w:rsidR="002C62E3">
        <w:rPr>
          <w:sz w:val="24"/>
          <w:szCs w:val="24"/>
        </w:rPr>
        <w:t xml:space="preserve"> and a quota year occurs</w:t>
      </w:r>
      <w:r w:rsidR="00060D1E">
        <w:rPr>
          <w:sz w:val="24"/>
          <w:szCs w:val="24"/>
        </w:rPr>
        <w:t>. (S</w:t>
      </w:r>
      <w:r w:rsidR="002C62E3">
        <w:rPr>
          <w:sz w:val="24"/>
          <w:szCs w:val="24"/>
        </w:rPr>
        <w:t xml:space="preserve">ection </w:t>
      </w:r>
      <w:r w:rsidR="00436B91">
        <w:rPr>
          <w:sz w:val="24"/>
          <w:szCs w:val="24"/>
        </w:rPr>
        <w:t>15</w:t>
      </w:r>
      <w:r w:rsidR="00060D1E">
        <w:rPr>
          <w:sz w:val="24"/>
          <w:szCs w:val="24"/>
        </w:rPr>
        <w:t xml:space="preserve"> provides for when the allocation trigger occurs)</w:t>
      </w:r>
      <w:r w:rsidR="002C62E3">
        <w:rPr>
          <w:sz w:val="24"/>
          <w:szCs w:val="24"/>
        </w:rPr>
        <w:t>.</w:t>
      </w:r>
    </w:p>
    <w:p w14:paraId="430E7466" w14:textId="77777777" w:rsidR="0056412C" w:rsidRDefault="0056412C">
      <w:pPr>
        <w:spacing w:line="240" w:lineRule="auto"/>
        <w:rPr>
          <w:sz w:val="24"/>
          <w:szCs w:val="24"/>
        </w:rPr>
      </w:pPr>
    </w:p>
    <w:p w14:paraId="0D19E750" w14:textId="07E89DE5" w:rsidR="0056412C" w:rsidRPr="002C62E3" w:rsidRDefault="0056412C" w:rsidP="0056412C">
      <w:pPr>
        <w:spacing w:line="240" w:lineRule="auto"/>
        <w:rPr>
          <w:sz w:val="24"/>
          <w:szCs w:val="24"/>
        </w:rPr>
      </w:pPr>
      <w:r w:rsidRPr="00C83543">
        <w:rPr>
          <w:sz w:val="24"/>
          <w:szCs w:val="24"/>
        </w:rPr>
        <w:t xml:space="preserve">Subsection </w:t>
      </w:r>
      <w:r w:rsidR="001C37BA">
        <w:rPr>
          <w:sz w:val="24"/>
          <w:szCs w:val="24"/>
        </w:rPr>
        <w:t>21</w:t>
      </w:r>
      <w:r w:rsidRPr="00C83543">
        <w:rPr>
          <w:sz w:val="24"/>
          <w:szCs w:val="24"/>
        </w:rPr>
        <w:t>(</w:t>
      </w:r>
      <w:r>
        <w:rPr>
          <w:sz w:val="24"/>
          <w:szCs w:val="24"/>
        </w:rPr>
        <w:t>2) provides that t</w:t>
      </w:r>
      <w:r w:rsidRPr="002C62E3">
        <w:rPr>
          <w:sz w:val="24"/>
          <w:szCs w:val="24"/>
        </w:rPr>
        <w:t xml:space="preserve">he Secretary must, as soon as practicable after the allocation trigger occurs, allocate the requested amount of tariff rate quota entitlement for the </w:t>
      </w:r>
      <w:r w:rsidR="00FE3E4B" w:rsidRPr="002C62E3">
        <w:rPr>
          <w:sz w:val="24"/>
          <w:szCs w:val="24"/>
        </w:rPr>
        <w:t>quota type</w:t>
      </w:r>
      <w:r w:rsidRPr="002C62E3">
        <w:rPr>
          <w:sz w:val="24"/>
          <w:szCs w:val="24"/>
        </w:rPr>
        <w:t xml:space="preserve"> and quota year to each person who has made a request in accordance with paragraph </w:t>
      </w:r>
      <w:r w:rsidR="001C37BA">
        <w:rPr>
          <w:sz w:val="24"/>
          <w:szCs w:val="24"/>
        </w:rPr>
        <w:t>19</w:t>
      </w:r>
      <w:r w:rsidRPr="002C62E3">
        <w:rPr>
          <w:sz w:val="24"/>
          <w:szCs w:val="24"/>
        </w:rPr>
        <w:t>(2)(b).</w:t>
      </w:r>
    </w:p>
    <w:p w14:paraId="74C17E00" w14:textId="25C23ADE" w:rsidR="0056412C" w:rsidRDefault="009736F3" w:rsidP="00FE50A1">
      <w:pPr>
        <w:pStyle w:val="paragraph"/>
      </w:pPr>
      <w:r>
        <w:tab/>
      </w:r>
      <w:r>
        <w:tab/>
      </w:r>
    </w:p>
    <w:p w14:paraId="7646E056" w14:textId="01FE074D" w:rsidR="009736F3" w:rsidRDefault="009736F3" w:rsidP="009736F3">
      <w:pPr>
        <w:spacing w:line="240" w:lineRule="auto"/>
        <w:rPr>
          <w:sz w:val="24"/>
          <w:szCs w:val="24"/>
        </w:rPr>
      </w:pPr>
      <w:r w:rsidRPr="009736F3">
        <w:rPr>
          <w:sz w:val="24"/>
          <w:szCs w:val="24"/>
        </w:rPr>
        <w:t xml:space="preserve">Subsection </w:t>
      </w:r>
      <w:r w:rsidR="001C37BA">
        <w:rPr>
          <w:sz w:val="24"/>
          <w:szCs w:val="24"/>
        </w:rPr>
        <w:t>21</w:t>
      </w:r>
      <w:r w:rsidRPr="009736F3">
        <w:rPr>
          <w:sz w:val="24"/>
          <w:szCs w:val="24"/>
        </w:rPr>
        <w:t xml:space="preserve">(3) provides that the Secretary must not allocate the requested amount to a person if the person is not an eligible person for the </w:t>
      </w:r>
      <w:r w:rsidR="00FE3E4B">
        <w:rPr>
          <w:sz w:val="24"/>
          <w:szCs w:val="24"/>
        </w:rPr>
        <w:t>quota type</w:t>
      </w:r>
      <w:r w:rsidRPr="009736F3">
        <w:rPr>
          <w:sz w:val="24"/>
          <w:szCs w:val="24"/>
        </w:rPr>
        <w:t>.</w:t>
      </w:r>
      <w:r w:rsidR="002C62E3">
        <w:rPr>
          <w:sz w:val="24"/>
          <w:szCs w:val="24"/>
        </w:rPr>
        <w:t xml:space="preserve"> The requirements of an eligible person are set out for each quota type in Chapter 3.</w:t>
      </w:r>
    </w:p>
    <w:p w14:paraId="3BE9581E" w14:textId="77777777" w:rsidR="009736F3" w:rsidRDefault="009736F3" w:rsidP="009736F3">
      <w:pPr>
        <w:spacing w:line="240" w:lineRule="auto"/>
        <w:rPr>
          <w:sz w:val="24"/>
          <w:szCs w:val="24"/>
        </w:rPr>
      </w:pPr>
    </w:p>
    <w:p w14:paraId="20FBA277" w14:textId="096AD5CA" w:rsidR="009736F3" w:rsidRDefault="009736F3" w:rsidP="009736F3">
      <w:pPr>
        <w:spacing w:line="240" w:lineRule="auto"/>
        <w:rPr>
          <w:sz w:val="24"/>
          <w:szCs w:val="24"/>
        </w:rPr>
      </w:pPr>
      <w:r w:rsidRPr="009736F3">
        <w:rPr>
          <w:sz w:val="24"/>
          <w:szCs w:val="24"/>
        </w:rPr>
        <w:t xml:space="preserve">Subsection </w:t>
      </w:r>
      <w:r w:rsidR="001C37BA">
        <w:rPr>
          <w:sz w:val="24"/>
          <w:szCs w:val="24"/>
        </w:rPr>
        <w:t>21</w:t>
      </w:r>
      <w:r w:rsidRPr="009736F3">
        <w:rPr>
          <w:sz w:val="24"/>
          <w:szCs w:val="24"/>
        </w:rPr>
        <w:t>(</w:t>
      </w:r>
      <w:r>
        <w:rPr>
          <w:sz w:val="24"/>
          <w:szCs w:val="24"/>
        </w:rPr>
        <w:t>4</w:t>
      </w:r>
      <w:r w:rsidRPr="009736F3">
        <w:rPr>
          <w:sz w:val="24"/>
          <w:szCs w:val="24"/>
        </w:rPr>
        <w:t>) provides that</w:t>
      </w:r>
      <w:r>
        <w:rPr>
          <w:sz w:val="24"/>
          <w:szCs w:val="24"/>
        </w:rPr>
        <w:t xml:space="preserve"> t</w:t>
      </w:r>
      <w:r w:rsidRPr="009736F3">
        <w:rPr>
          <w:sz w:val="24"/>
          <w:szCs w:val="24"/>
        </w:rPr>
        <w:t xml:space="preserve">he Secretary must give, to each person to whom tariff rate quota certificates have been issued in relation to consignments of the </w:t>
      </w:r>
      <w:r w:rsidR="00FE3E4B">
        <w:rPr>
          <w:sz w:val="24"/>
          <w:szCs w:val="24"/>
        </w:rPr>
        <w:t>quota type</w:t>
      </w:r>
      <w:r w:rsidRPr="009736F3">
        <w:rPr>
          <w:sz w:val="24"/>
          <w:szCs w:val="24"/>
        </w:rPr>
        <w:t xml:space="preserve"> </w:t>
      </w:r>
      <w:r w:rsidR="00FE1919">
        <w:rPr>
          <w:sz w:val="24"/>
          <w:szCs w:val="24"/>
        </w:rPr>
        <w:t xml:space="preserve">for export </w:t>
      </w:r>
      <w:r w:rsidRPr="009736F3">
        <w:rPr>
          <w:sz w:val="24"/>
          <w:szCs w:val="24"/>
        </w:rPr>
        <w:t>in the quota year, a written notice stating when the allocation trigger occurred and if the person has been allocated an amount of tariff rate quota entitlement</w:t>
      </w:r>
      <w:r>
        <w:rPr>
          <w:sz w:val="24"/>
          <w:szCs w:val="24"/>
        </w:rPr>
        <w:t xml:space="preserve">, </w:t>
      </w:r>
      <w:r w:rsidRPr="009736F3">
        <w:rPr>
          <w:sz w:val="24"/>
          <w:szCs w:val="24"/>
        </w:rPr>
        <w:t>the amount of the entitlement.</w:t>
      </w:r>
      <w:r w:rsidR="002C62E3">
        <w:rPr>
          <w:sz w:val="24"/>
          <w:szCs w:val="24"/>
        </w:rPr>
        <w:t xml:space="preserve">  Notices are sent to each person to whom tariff rate quota certificates were issued to recognise them as active participants</w:t>
      </w:r>
      <w:r w:rsidR="00584AA0">
        <w:rPr>
          <w:sz w:val="24"/>
          <w:szCs w:val="24"/>
        </w:rPr>
        <w:t xml:space="preserve"> who should be advised of the change to access, even if their access is now zero.</w:t>
      </w:r>
    </w:p>
    <w:p w14:paraId="0A47CCAD" w14:textId="77777777" w:rsidR="009736F3" w:rsidRDefault="009736F3" w:rsidP="009736F3">
      <w:pPr>
        <w:spacing w:line="240" w:lineRule="auto"/>
        <w:rPr>
          <w:sz w:val="24"/>
          <w:szCs w:val="24"/>
        </w:rPr>
      </w:pPr>
    </w:p>
    <w:p w14:paraId="65B44A31" w14:textId="62985E6E" w:rsidR="00693B8C" w:rsidRDefault="00693B8C" w:rsidP="004839AA">
      <w:pPr>
        <w:pStyle w:val="paragraph"/>
        <w:keepNext/>
        <w:rPr>
          <w:sz w:val="24"/>
          <w:szCs w:val="24"/>
          <w:u w:val="single"/>
        </w:rPr>
      </w:pPr>
      <w:r>
        <w:rPr>
          <w:sz w:val="24"/>
          <w:szCs w:val="24"/>
          <w:u w:val="single"/>
        </w:rPr>
        <w:t xml:space="preserve">Section </w:t>
      </w:r>
      <w:r w:rsidR="001C37BA">
        <w:rPr>
          <w:sz w:val="24"/>
          <w:szCs w:val="24"/>
          <w:u w:val="single"/>
        </w:rPr>
        <w:t>22</w:t>
      </w:r>
      <w:r>
        <w:rPr>
          <w:sz w:val="24"/>
          <w:szCs w:val="24"/>
          <w:u w:val="single"/>
        </w:rPr>
        <w:t xml:space="preserve"> - Transfer of tariff rate quota entitlement</w:t>
      </w:r>
    </w:p>
    <w:p w14:paraId="05A35303" w14:textId="77777777" w:rsidR="00693B8C" w:rsidRDefault="00693B8C" w:rsidP="004839AA">
      <w:pPr>
        <w:keepNext/>
        <w:spacing w:line="240" w:lineRule="auto"/>
        <w:rPr>
          <w:sz w:val="24"/>
          <w:szCs w:val="24"/>
        </w:rPr>
      </w:pPr>
    </w:p>
    <w:p w14:paraId="5575FA09" w14:textId="0A6B8DB4" w:rsidR="00CB3211" w:rsidRDefault="00CB3211" w:rsidP="00CB3211">
      <w:pPr>
        <w:spacing w:line="240" w:lineRule="auto"/>
        <w:rPr>
          <w:sz w:val="24"/>
          <w:szCs w:val="24"/>
        </w:rPr>
      </w:pPr>
      <w:r w:rsidRPr="00C83543">
        <w:rPr>
          <w:sz w:val="24"/>
          <w:szCs w:val="24"/>
        </w:rPr>
        <w:t xml:space="preserve">Subsection </w:t>
      </w:r>
      <w:r w:rsidR="001C37BA">
        <w:rPr>
          <w:sz w:val="24"/>
          <w:szCs w:val="24"/>
        </w:rPr>
        <w:t>22</w:t>
      </w:r>
      <w:r w:rsidRPr="00C83543">
        <w:rPr>
          <w:sz w:val="24"/>
          <w:szCs w:val="24"/>
        </w:rPr>
        <w:t>(</w:t>
      </w:r>
      <w:r>
        <w:rPr>
          <w:sz w:val="24"/>
          <w:szCs w:val="24"/>
        </w:rPr>
        <w:t>1) provides that a</w:t>
      </w:r>
      <w:r w:rsidRPr="00CB3211">
        <w:rPr>
          <w:sz w:val="24"/>
          <w:szCs w:val="24"/>
        </w:rPr>
        <w:t xml:space="preserve"> person (the </w:t>
      </w:r>
      <w:r w:rsidRPr="00AD2B58">
        <w:rPr>
          <w:i/>
          <w:sz w:val="24"/>
          <w:szCs w:val="24"/>
        </w:rPr>
        <w:t>transferor</w:t>
      </w:r>
      <w:r w:rsidRPr="00CB3211">
        <w:rPr>
          <w:sz w:val="24"/>
          <w:szCs w:val="24"/>
        </w:rPr>
        <w:t xml:space="preserve">) who has an amount of tariff rate quota entitlement for a </w:t>
      </w:r>
      <w:r w:rsidR="00FE3E4B">
        <w:rPr>
          <w:sz w:val="24"/>
          <w:szCs w:val="24"/>
        </w:rPr>
        <w:t>quota type</w:t>
      </w:r>
      <w:r w:rsidRPr="00CB3211">
        <w:rPr>
          <w:sz w:val="24"/>
          <w:szCs w:val="24"/>
        </w:rPr>
        <w:t xml:space="preserve"> and a quota year may, at any time before the end of the </w:t>
      </w:r>
      <w:r w:rsidRPr="00CB3211">
        <w:rPr>
          <w:sz w:val="24"/>
          <w:szCs w:val="24"/>
        </w:rPr>
        <w:lastRenderedPageBreak/>
        <w:t>quota year, make a written request to the Secretary to</w:t>
      </w:r>
      <w:bookmarkStart w:id="33" w:name="BK_S3P21L21C49"/>
      <w:bookmarkEnd w:id="33"/>
      <w:r w:rsidRPr="00CB3211">
        <w:rPr>
          <w:sz w:val="24"/>
          <w:szCs w:val="24"/>
        </w:rPr>
        <w:t xml:space="preserve"> transfer all or part of that amount to an eligible person for the </w:t>
      </w:r>
      <w:r w:rsidR="00FE3E4B">
        <w:rPr>
          <w:sz w:val="24"/>
          <w:szCs w:val="24"/>
        </w:rPr>
        <w:t>quota type</w:t>
      </w:r>
      <w:r w:rsidRPr="00CB3211">
        <w:rPr>
          <w:sz w:val="24"/>
          <w:szCs w:val="24"/>
        </w:rPr>
        <w:t xml:space="preserve"> (the </w:t>
      </w:r>
      <w:r w:rsidRPr="00AD2B58">
        <w:rPr>
          <w:i/>
          <w:sz w:val="24"/>
          <w:szCs w:val="24"/>
        </w:rPr>
        <w:t>transferee</w:t>
      </w:r>
      <w:r w:rsidRPr="00CB3211">
        <w:rPr>
          <w:sz w:val="24"/>
          <w:szCs w:val="24"/>
        </w:rPr>
        <w:t>).</w:t>
      </w:r>
      <w:bookmarkStart w:id="34" w:name="BK_S3P21L22C42"/>
      <w:bookmarkEnd w:id="34"/>
      <w:r w:rsidRPr="00CB3211">
        <w:rPr>
          <w:sz w:val="24"/>
          <w:szCs w:val="24"/>
        </w:rPr>
        <w:t xml:space="preserve"> The request must include the name of the transferor, the name of the transferee and the amount, in kilograms, of the entitlement to be transferred.</w:t>
      </w:r>
      <w:r w:rsidR="00584AA0">
        <w:rPr>
          <w:sz w:val="24"/>
          <w:szCs w:val="24"/>
        </w:rPr>
        <w:t xml:space="preserve">  This provision assists in</w:t>
      </w:r>
      <w:r w:rsidR="00060D1E">
        <w:rPr>
          <w:sz w:val="24"/>
          <w:szCs w:val="24"/>
        </w:rPr>
        <w:t xml:space="preserve"> tariff rate</w:t>
      </w:r>
      <w:r w:rsidR="00584AA0">
        <w:rPr>
          <w:sz w:val="24"/>
          <w:szCs w:val="24"/>
        </w:rPr>
        <w:t xml:space="preserve"> quota</w:t>
      </w:r>
      <w:r w:rsidR="00060D1E">
        <w:rPr>
          <w:sz w:val="24"/>
          <w:szCs w:val="24"/>
        </w:rPr>
        <w:t xml:space="preserve"> entitlement</w:t>
      </w:r>
      <w:r w:rsidR="00584AA0">
        <w:rPr>
          <w:sz w:val="24"/>
          <w:szCs w:val="24"/>
        </w:rPr>
        <w:t xml:space="preserve"> being made available to those</w:t>
      </w:r>
      <w:r w:rsidR="00343FFB">
        <w:rPr>
          <w:sz w:val="24"/>
          <w:szCs w:val="24"/>
        </w:rPr>
        <w:t xml:space="preserve"> exporters</w:t>
      </w:r>
      <w:r w:rsidR="00584AA0">
        <w:rPr>
          <w:sz w:val="24"/>
          <w:szCs w:val="24"/>
        </w:rPr>
        <w:t xml:space="preserve"> in a position to use it</w:t>
      </w:r>
      <w:r w:rsidR="00343FFB">
        <w:rPr>
          <w:sz w:val="24"/>
          <w:szCs w:val="24"/>
        </w:rPr>
        <w:t>, maximising quota usage.</w:t>
      </w:r>
    </w:p>
    <w:p w14:paraId="278974B9" w14:textId="77777777" w:rsidR="00CB3211" w:rsidRDefault="00CB3211" w:rsidP="00CB3211">
      <w:pPr>
        <w:spacing w:line="240" w:lineRule="auto"/>
        <w:rPr>
          <w:sz w:val="24"/>
          <w:szCs w:val="24"/>
        </w:rPr>
      </w:pPr>
    </w:p>
    <w:p w14:paraId="759D25FE" w14:textId="23851483" w:rsidR="00CB3211" w:rsidRDefault="00CB3211" w:rsidP="00CB3211">
      <w:pPr>
        <w:spacing w:line="240" w:lineRule="auto"/>
        <w:rPr>
          <w:sz w:val="24"/>
          <w:szCs w:val="24"/>
        </w:rPr>
      </w:pPr>
      <w:r w:rsidRPr="00C83543">
        <w:rPr>
          <w:sz w:val="24"/>
          <w:szCs w:val="24"/>
        </w:rPr>
        <w:t xml:space="preserve">Subsection </w:t>
      </w:r>
      <w:r w:rsidR="001C37BA">
        <w:rPr>
          <w:sz w:val="24"/>
          <w:szCs w:val="24"/>
        </w:rPr>
        <w:t>22</w:t>
      </w:r>
      <w:r w:rsidRPr="00C83543">
        <w:rPr>
          <w:sz w:val="24"/>
          <w:szCs w:val="24"/>
        </w:rPr>
        <w:t>(</w:t>
      </w:r>
      <w:r>
        <w:rPr>
          <w:sz w:val="24"/>
          <w:szCs w:val="24"/>
        </w:rPr>
        <w:t>2) provides that i</w:t>
      </w:r>
      <w:r w:rsidRPr="00CB3211">
        <w:rPr>
          <w:sz w:val="24"/>
          <w:szCs w:val="24"/>
        </w:rPr>
        <w:t>f the Secretary receives a request under subsection </w:t>
      </w:r>
      <w:r w:rsidR="001C37BA">
        <w:rPr>
          <w:sz w:val="24"/>
          <w:szCs w:val="24"/>
        </w:rPr>
        <w:t>22</w:t>
      </w:r>
      <w:r w:rsidRPr="00CB3211">
        <w:rPr>
          <w:sz w:val="24"/>
          <w:szCs w:val="24"/>
        </w:rPr>
        <w:t>(1), the amount</w:t>
      </w:r>
      <w:r w:rsidR="002B332F">
        <w:rPr>
          <w:sz w:val="24"/>
          <w:szCs w:val="24"/>
        </w:rPr>
        <w:t xml:space="preserve"> is transferred</w:t>
      </w:r>
      <w:r w:rsidRPr="00CB3211">
        <w:rPr>
          <w:sz w:val="24"/>
          <w:szCs w:val="24"/>
        </w:rPr>
        <w:t xml:space="preserve"> in accordance with the request.</w:t>
      </w:r>
    </w:p>
    <w:p w14:paraId="0EE122D4" w14:textId="77777777" w:rsidR="00CB3211" w:rsidRDefault="00CB3211" w:rsidP="00CB3211">
      <w:pPr>
        <w:spacing w:line="240" w:lineRule="auto"/>
        <w:rPr>
          <w:sz w:val="24"/>
          <w:szCs w:val="24"/>
        </w:rPr>
      </w:pPr>
    </w:p>
    <w:p w14:paraId="163C8B01" w14:textId="6CA96598" w:rsidR="004B3E6B" w:rsidRDefault="004B3E6B" w:rsidP="004B3E6B">
      <w:pPr>
        <w:pStyle w:val="paragraph"/>
        <w:rPr>
          <w:b/>
          <w:sz w:val="24"/>
          <w:szCs w:val="24"/>
        </w:rPr>
      </w:pPr>
      <w:r>
        <w:rPr>
          <w:b/>
          <w:sz w:val="24"/>
          <w:szCs w:val="24"/>
        </w:rPr>
        <w:t>Division 5 - Tariff rate quota certificates if allocation trigger has occurred</w:t>
      </w:r>
    </w:p>
    <w:p w14:paraId="2BAD5D7C" w14:textId="77777777" w:rsidR="004B3E6B" w:rsidRDefault="004B3E6B" w:rsidP="004B3E6B">
      <w:pPr>
        <w:pStyle w:val="paragraph"/>
        <w:rPr>
          <w:b/>
          <w:sz w:val="24"/>
          <w:szCs w:val="24"/>
        </w:rPr>
      </w:pPr>
    </w:p>
    <w:p w14:paraId="34E839C3" w14:textId="4370BD55" w:rsidR="004B3E6B" w:rsidRDefault="001C37BA" w:rsidP="004B3E6B">
      <w:pPr>
        <w:pStyle w:val="paragraph"/>
        <w:rPr>
          <w:sz w:val="24"/>
          <w:szCs w:val="24"/>
          <w:u w:val="single"/>
        </w:rPr>
      </w:pPr>
      <w:r>
        <w:rPr>
          <w:sz w:val="24"/>
          <w:szCs w:val="24"/>
          <w:u w:val="single"/>
        </w:rPr>
        <w:t>Section 23</w:t>
      </w:r>
      <w:r w:rsidR="004B3E6B">
        <w:rPr>
          <w:sz w:val="24"/>
          <w:szCs w:val="24"/>
          <w:u w:val="single"/>
        </w:rPr>
        <w:t xml:space="preserve"> - Applications for tariff rate quota certificates after allocation trigger occurs</w:t>
      </w:r>
    </w:p>
    <w:p w14:paraId="657B2354" w14:textId="77777777" w:rsidR="004B3E6B" w:rsidRDefault="004B3E6B" w:rsidP="004B3E6B">
      <w:pPr>
        <w:pStyle w:val="paragraph"/>
        <w:rPr>
          <w:sz w:val="24"/>
          <w:szCs w:val="24"/>
          <w:u w:val="single"/>
        </w:rPr>
      </w:pPr>
    </w:p>
    <w:p w14:paraId="7306F21B" w14:textId="700D7B4D" w:rsidR="00E74ACC" w:rsidRDefault="00E74ACC" w:rsidP="00343FFB">
      <w:pPr>
        <w:spacing w:line="240" w:lineRule="auto"/>
        <w:rPr>
          <w:sz w:val="24"/>
          <w:szCs w:val="24"/>
        </w:rPr>
      </w:pPr>
      <w:r>
        <w:rPr>
          <w:sz w:val="24"/>
          <w:szCs w:val="24"/>
        </w:rPr>
        <w:t xml:space="preserve">Section </w:t>
      </w:r>
      <w:r w:rsidR="001C37BA">
        <w:rPr>
          <w:sz w:val="24"/>
          <w:szCs w:val="24"/>
        </w:rPr>
        <w:t>23</w:t>
      </w:r>
      <w:r>
        <w:rPr>
          <w:sz w:val="24"/>
          <w:szCs w:val="24"/>
        </w:rPr>
        <w:t xml:space="preserve"> </w:t>
      </w:r>
      <w:r w:rsidRPr="00E74ACC">
        <w:rPr>
          <w:sz w:val="24"/>
          <w:szCs w:val="24"/>
        </w:rPr>
        <w:t xml:space="preserve">provides that a person who intends to export a consignment of a </w:t>
      </w:r>
      <w:r w:rsidR="00FE3E4B">
        <w:rPr>
          <w:sz w:val="24"/>
          <w:szCs w:val="24"/>
        </w:rPr>
        <w:t>quota type</w:t>
      </w:r>
      <w:r w:rsidRPr="00E74ACC">
        <w:rPr>
          <w:sz w:val="24"/>
          <w:szCs w:val="24"/>
        </w:rPr>
        <w:t xml:space="preserve"> in a quota year may apply to the Secretary under this section for a tariff rate quota certificate in relation to the consignment if, at the time the application is made, the allocation trigger for that </w:t>
      </w:r>
      <w:r w:rsidR="00FE3E4B">
        <w:rPr>
          <w:sz w:val="24"/>
          <w:szCs w:val="24"/>
        </w:rPr>
        <w:t>quota type</w:t>
      </w:r>
      <w:r w:rsidRPr="00E74ACC">
        <w:rPr>
          <w:sz w:val="24"/>
          <w:szCs w:val="24"/>
        </w:rPr>
        <w:t xml:space="preserve"> and quota year has occurred.</w:t>
      </w:r>
      <w:r w:rsidR="00343FFB">
        <w:rPr>
          <w:sz w:val="24"/>
          <w:szCs w:val="24"/>
        </w:rPr>
        <w:t xml:space="preserve"> </w:t>
      </w:r>
      <w:r w:rsidRPr="00371C9B">
        <w:rPr>
          <w:sz w:val="24"/>
          <w:szCs w:val="24"/>
        </w:rPr>
        <w:t xml:space="preserve">This section includes a note which refers </w:t>
      </w:r>
      <w:r w:rsidR="00060D1E">
        <w:rPr>
          <w:sz w:val="24"/>
          <w:szCs w:val="24"/>
        </w:rPr>
        <w:t xml:space="preserve">the reader </w:t>
      </w:r>
      <w:r w:rsidRPr="00371C9B">
        <w:rPr>
          <w:sz w:val="24"/>
          <w:szCs w:val="24"/>
        </w:rPr>
        <w:t xml:space="preserve">to section </w:t>
      </w:r>
      <w:r w:rsidR="00FF72F4">
        <w:rPr>
          <w:sz w:val="24"/>
          <w:szCs w:val="24"/>
        </w:rPr>
        <w:t>114</w:t>
      </w:r>
      <w:r w:rsidRPr="00371C9B">
        <w:rPr>
          <w:sz w:val="24"/>
          <w:szCs w:val="24"/>
        </w:rPr>
        <w:t xml:space="preserve"> for requirements and other matters relating to applications.</w:t>
      </w:r>
    </w:p>
    <w:p w14:paraId="76FA1510" w14:textId="77777777" w:rsidR="00E74ACC" w:rsidRPr="00F93A3D" w:rsidRDefault="00E74ACC" w:rsidP="00E74ACC">
      <w:pPr>
        <w:spacing w:line="240" w:lineRule="auto"/>
      </w:pPr>
    </w:p>
    <w:p w14:paraId="77C59B97" w14:textId="50402312" w:rsidR="00E74ACC" w:rsidRDefault="00E74ACC" w:rsidP="00E74ACC">
      <w:pPr>
        <w:pStyle w:val="paragraph"/>
        <w:rPr>
          <w:sz w:val="24"/>
          <w:szCs w:val="24"/>
          <w:u w:val="single"/>
        </w:rPr>
      </w:pPr>
      <w:r>
        <w:rPr>
          <w:sz w:val="24"/>
          <w:szCs w:val="24"/>
          <w:u w:val="single"/>
        </w:rPr>
        <w:t xml:space="preserve">Section </w:t>
      </w:r>
      <w:r w:rsidR="001C37BA">
        <w:rPr>
          <w:sz w:val="24"/>
          <w:szCs w:val="24"/>
          <w:u w:val="single"/>
        </w:rPr>
        <w:t>24</w:t>
      </w:r>
      <w:r>
        <w:rPr>
          <w:sz w:val="24"/>
          <w:szCs w:val="24"/>
          <w:u w:val="single"/>
        </w:rPr>
        <w:t xml:space="preserve"> - Applications to be dealt with </w:t>
      </w:r>
      <w:r w:rsidR="00654BDE">
        <w:rPr>
          <w:sz w:val="24"/>
          <w:szCs w:val="24"/>
          <w:u w:val="single"/>
        </w:rPr>
        <w:t>in order of receipt</w:t>
      </w:r>
    </w:p>
    <w:p w14:paraId="46E2FDE0" w14:textId="77777777" w:rsidR="00E74ACC" w:rsidRDefault="00E74ACC" w:rsidP="00E74ACC">
      <w:pPr>
        <w:pStyle w:val="paragraph"/>
        <w:rPr>
          <w:sz w:val="24"/>
          <w:szCs w:val="24"/>
          <w:u w:val="single"/>
        </w:rPr>
      </w:pPr>
    </w:p>
    <w:p w14:paraId="76CA8CDA" w14:textId="034015AB" w:rsidR="00E74ACC" w:rsidRPr="00060D1E" w:rsidRDefault="00E74ACC" w:rsidP="00AD2B58">
      <w:pPr>
        <w:spacing w:line="240" w:lineRule="auto"/>
        <w:rPr>
          <w:sz w:val="24"/>
          <w:szCs w:val="24"/>
        </w:rPr>
      </w:pPr>
      <w:r w:rsidRPr="00060D1E">
        <w:rPr>
          <w:sz w:val="24"/>
          <w:szCs w:val="24"/>
        </w:rPr>
        <w:t xml:space="preserve">Subsection </w:t>
      </w:r>
      <w:r w:rsidR="001C37BA" w:rsidRPr="00060D1E">
        <w:rPr>
          <w:sz w:val="24"/>
          <w:szCs w:val="24"/>
        </w:rPr>
        <w:t>24</w:t>
      </w:r>
      <w:r w:rsidRPr="00060D1E">
        <w:rPr>
          <w:sz w:val="24"/>
          <w:szCs w:val="24"/>
        </w:rPr>
        <w:t xml:space="preserve">(1) provides that the Secretary must deal with applications under section </w:t>
      </w:r>
      <w:r w:rsidR="001C37BA" w:rsidRPr="00060D1E">
        <w:rPr>
          <w:sz w:val="24"/>
          <w:szCs w:val="24"/>
        </w:rPr>
        <w:t>23</w:t>
      </w:r>
      <w:r w:rsidRPr="00060D1E">
        <w:rPr>
          <w:sz w:val="24"/>
          <w:szCs w:val="24"/>
        </w:rPr>
        <w:t xml:space="preserve"> in the order in which the applications are received by the Secretary.</w:t>
      </w:r>
      <w:r w:rsidR="00AD2B58" w:rsidRPr="00060D1E">
        <w:rPr>
          <w:sz w:val="24"/>
          <w:szCs w:val="24"/>
        </w:rPr>
        <w:t xml:space="preserve"> </w:t>
      </w:r>
      <w:r w:rsidRPr="001A3504">
        <w:rPr>
          <w:sz w:val="24"/>
          <w:szCs w:val="24"/>
        </w:rPr>
        <w:t xml:space="preserve">This subsection includes a note that section </w:t>
      </w:r>
      <w:r w:rsidR="00FF72F4" w:rsidRPr="001A3504">
        <w:rPr>
          <w:sz w:val="24"/>
          <w:szCs w:val="24"/>
        </w:rPr>
        <w:t>114</w:t>
      </w:r>
      <w:r w:rsidRPr="001A3504">
        <w:rPr>
          <w:sz w:val="24"/>
          <w:szCs w:val="24"/>
        </w:rPr>
        <w:t>(8) deals with when an application is taken to be received by the Secretary.</w:t>
      </w:r>
    </w:p>
    <w:p w14:paraId="30945972" w14:textId="77777777" w:rsidR="00E74ACC" w:rsidRPr="00E74ACC" w:rsidRDefault="00E74ACC" w:rsidP="00E74ACC">
      <w:pPr>
        <w:spacing w:line="240" w:lineRule="auto"/>
        <w:rPr>
          <w:sz w:val="24"/>
          <w:szCs w:val="24"/>
        </w:rPr>
      </w:pPr>
    </w:p>
    <w:p w14:paraId="32529AF9" w14:textId="6C04D713" w:rsidR="00E74ACC" w:rsidRPr="00E74ACC" w:rsidRDefault="00E74ACC" w:rsidP="00E74ACC">
      <w:pPr>
        <w:spacing w:line="240" w:lineRule="auto"/>
        <w:rPr>
          <w:sz w:val="24"/>
          <w:szCs w:val="24"/>
        </w:rPr>
      </w:pPr>
      <w:r>
        <w:rPr>
          <w:sz w:val="24"/>
          <w:szCs w:val="24"/>
        </w:rPr>
        <w:t xml:space="preserve">Subsection </w:t>
      </w:r>
      <w:r w:rsidR="001C37BA">
        <w:rPr>
          <w:sz w:val="24"/>
          <w:szCs w:val="24"/>
        </w:rPr>
        <w:t>24</w:t>
      </w:r>
      <w:r>
        <w:rPr>
          <w:sz w:val="24"/>
          <w:szCs w:val="24"/>
        </w:rPr>
        <w:t>(2) provides that t</w:t>
      </w:r>
      <w:r w:rsidRPr="00E74ACC">
        <w:rPr>
          <w:sz w:val="24"/>
          <w:szCs w:val="24"/>
        </w:rPr>
        <w:t xml:space="preserve">he Secretary must not deal with any applications under section </w:t>
      </w:r>
      <w:r w:rsidR="001C37BA">
        <w:rPr>
          <w:sz w:val="24"/>
          <w:szCs w:val="24"/>
        </w:rPr>
        <w:t>23</w:t>
      </w:r>
      <w:r w:rsidRPr="00E74ACC">
        <w:rPr>
          <w:sz w:val="24"/>
          <w:szCs w:val="24"/>
        </w:rPr>
        <w:t xml:space="preserve"> until after the Secretary has allocated amounts of tariff rate quota entitlements for the </w:t>
      </w:r>
      <w:r w:rsidR="00FE3E4B">
        <w:rPr>
          <w:sz w:val="24"/>
          <w:szCs w:val="24"/>
        </w:rPr>
        <w:t>quota type</w:t>
      </w:r>
      <w:r w:rsidRPr="00E74ACC">
        <w:rPr>
          <w:sz w:val="24"/>
          <w:szCs w:val="24"/>
        </w:rPr>
        <w:t xml:space="preserve"> and quota year in accordance with section </w:t>
      </w:r>
      <w:r w:rsidR="001C37BA">
        <w:rPr>
          <w:sz w:val="24"/>
          <w:szCs w:val="24"/>
        </w:rPr>
        <w:t>21</w:t>
      </w:r>
      <w:r w:rsidRPr="00E74ACC">
        <w:rPr>
          <w:sz w:val="24"/>
          <w:szCs w:val="24"/>
        </w:rPr>
        <w:t>.</w:t>
      </w:r>
      <w:r w:rsidR="00A04D20">
        <w:rPr>
          <w:sz w:val="24"/>
          <w:szCs w:val="24"/>
        </w:rPr>
        <w:t xml:space="preserve">  This ensures the </w:t>
      </w:r>
      <w:r w:rsidR="00A04D20" w:rsidRPr="001A3504">
        <w:rPr>
          <w:i/>
          <w:sz w:val="24"/>
          <w:szCs w:val="24"/>
        </w:rPr>
        <w:t>post-trigger allocation amount</w:t>
      </w:r>
      <w:r w:rsidR="00A04D20">
        <w:rPr>
          <w:sz w:val="24"/>
          <w:szCs w:val="24"/>
        </w:rPr>
        <w:t xml:space="preserve"> is not reduced prior to allocations being made</w:t>
      </w:r>
      <w:r w:rsidR="00060D1E">
        <w:rPr>
          <w:sz w:val="24"/>
          <w:szCs w:val="24"/>
        </w:rPr>
        <w:t xml:space="preserve"> under section 21</w:t>
      </w:r>
      <w:r w:rsidR="00A04D20">
        <w:rPr>
          <w:sz w:val="24"/>
          <w:szCs w:val="24"/>
        </w:rPr>
        <w:t>, as this would risk over-allocating.</w:t>
      </w:r>
    </w:p>
    <w:p w14:paraId="566FC90F" w14:textId="77777777" w:rsidR="00E74ACC" w:rsidRPr="00E74ACC" w:rsidRDefault="00E74ACC" w:rsidP="00E74ACC">
      <w:pPr>
        <w:pStyle w:val="paragraph"/>
        <w:rPr>
          <w:sz w:val="24"/>
          <w:szCs w:val="24"/>
        </w:rPr>
      </w:pPr>
    </w:p>
    <w:p w14:paraId="2A7F8C8C" w14:textId="10BBF515" w:rsidR="00E74ACC" w:rsidRDefault="00E74ACC" w:rsidP="00E74ACC">
      <w:pPr>
        <w:pStyle w:val="paragraph"/>
        <w:rPr>
          <w:sz w:val="24"/>
          <w:szCs w:val="24"/>
          <w:u w:val="single"/>
        </w:rPr>
      </w:pPr>
      <w:r>
        <w:rPr>
          <w:sz w:val="24"/>
          <w:szCs w:val="24"/>
          <w:u w:val="single"/>
        </w:rPr>
        <w:t xml:space="preserve">Section </w:t>
      </w:r>
      <w:r w:rsidR="001C37BA">
        <w:rPr>
          <w:sz w:val="24"/>
          <w:szCs w:val="24"/>
          <w:u w:val="single"/>
        </w:rPr>
        <w:t>25</w:t>
      </w:r>
      <w:r>
        <w:rPr>
          <w:sz w:val="24"/>
          <w:szCs w:val="24"/>
          <w:u w:val="single"/>
        </w:rPr>
        <w:t xml:space="preserve"> - Issuing tariff rate quota certificates</w:t>
      </w:r>
    </w:p>
    <w:p w14:paraId="5F407D97" w14:textId="77777777" w:rsidR="00E74ACC" w:rsidRDefault="00E74ACC" w:rsidP="00E74ACC">
      <w:pPr>
        <w:pStyle w:val="paragraph"/>
        <w:rPr>
          <w:sz w:val="24"/>
          <w:szCs w:val="24"/>
          <w:u w:val="single"/>
        </w:rPr>
      </w:pPr>
    </w:p>
    <w:p w14:paraId="7EA387FE" w14:textId="7D5785A6" w:rsidR="004E5186" w:rsidRPr="004E5186" w:rsidRDefault="004E5186" w:rsidP="004E5186">
      <w:pPr>
        <w:spacing w:line="240" w:lineRule="auto"/>
        <w:rPr>
          <w:sz w:val="24"/>
          <w:szCs w:val="24"/>
        </w:rPr>
      </w:pPr>
      <w:r w:rsidRPr="004E5186">
        <w:rPr>
          <w:sz w:val="24"/>
          <w:szCs w:val="24"/>
        </w:rPr>
        <w:t xml:space="preserve">Subsection </w:t>
      </w:r>
      <w:r w:rsidR="001C37BA">
        <w:rPr>
          <w:sz w:val="24"/>
          <w:szCs w:val="24"/>
        </w:rPr>
        <w:t>25</w:t>
      </w:r>
      <w:r w:rsidRPr="004E5186">
        <w:rPr>
          <w:sz w:val="24"/>
          <w:szCs w:val="24"/>
        </w:rPr>
        <w:t xml:space="preserve">(1) provides that this section applies in relation </w:t>
      </w:r>
      <w:r w:rsidR="00AD2B58">
        <w:rPr>
          <w:sz w:val="24"/>
          <w:szCs w:val="24"/>
        </w:rPr>
        <w:t>to an application under section </w:t>
      </w:r>
      <w:r w:rsidR="001C37BA">
        <w:rPr>
          <w:sz w:val="24"/>
          <w:szCs w:val="24"/>
        </w:rPr>
        <w:t>23</w:t>
      </w:r>
      <w:r w:rsidRPr="004E5186">
        <w:rPr>
          <w:sz w:val="24"/>
          <w:szCs w:val="24"/>
        </w:rPr>
        <w:t xml:space="preserve"> for a tariff rate quota certificate in relation to a consignment of a </w:t>
      </w:r>
      <w:r w:rsidR="00FE3E4B">
        <w:rPr>
          <w:sz w:val="24"/>
          <w:szCs w:val="24"/>
        </w:rPr>
        <w:t>quota type</w:t>
      </w:r>
      <w:r w:rsidRPr="004E5186">
        <w:rPr>
          <w:sz w:val="24"/>
          <w:szCs w:val="24"/>
        </w:rPr>
        <w:t xml:space="preserve"> for export in a quota year.</w:t>
      </w:r>
    </w:p>
    <w:p w14:paraId="7982D057" w14:textId="77777777" w:rsidR="00E74ACC" w:rsidRPr="004E5186" w:rsidRDefault="00E74ACC" w:rsidP="004E5186">
      <w:pPr>
        <w:spacing w:line="240" w:lineRule="auto"/>
        <w:rPr>
          <w:sz w:val="24"/>
          <w:szCs w:val="24"/>
        </w:rPr>
      </w:pPr>
    </w:p>
    <w:p w14:paraId="0C2C04E9" w14:textId="552F0BA7" w:rsidR="004E5186" w:rsidRPr="00AD2B58" w:rsidRDefault="004E5186" w:rsidP="00AD2B58">
      <w:pPr>
        <w:spacing w:line="240" w:lineRule="auto"/>
        <w:rPr>
          <w:sz w:val="24"/>
          <w:szCs w:val="24"/>
        </w:rPr>
      </w:pPr>
      <w:r w:rsidRPr="004E5186">
        <w:rPr>
          <w:sz w:val="24"/>
          <w:szCs w:val="24"/>
        </w:rPr>
        <w:t xml:space="preserve">Subsection </w:t>
      </w:r>
      <w:r w:rsidR="001C37BA">
        <w:rPr>
          <w:sz w:val="24"/>
          <w:szCs w:val="24"/>
        </w:rPr>
        <w:t>25</w:t>
      </w:r>
      <w:r w:rsidRPr="004E5186">
        <w:rPr>
          <w:sz w:val="24"/>
          <w:szCs w:val="24"/>
        </w:rPr>
        <w:t>(</w:t>
      </w:r>
      <w:r>
        <w:rPr>
          <w:sz w:val="24"/>
          <w:szCs w:val="24"/>
        </w:rPr>
        <w:t>2</w:t>
      </w:r>
      <w:r w:rsidRPr="004E5186">
        <w:rPr>
          <w:sz w:val="24"/>
          <w:szCs w:val="24"/>
        </w:rPr>
        <w:t>) provides that</w:t>
      </w:r>
      <w:r>
        <w:rPr>
          <w:sz w:val="24"/>
          <w:szCs w:val="24"/>
        </w:rPr>
        <w:t xml:space="preserve"> s</w:t>
      </w:r>
      <w:r w:rsidRPr="004E5186">
        <w:rPr>
          <w:sz w:val="24"/>
          <w:szCs w:val="24"/>
        </w:rPr>
        <w:t xml:space="preserve">ubject to section </w:t>
      </w:r>
      <w:r w:rsidR="00FF72F4">
        <w:rPr>
          <w:sz w:val="24"/>
          <w:szCs w:val="24"/>
        </w:rPr>
        <w:t>115</w:t>
      </w:r>
      <w:r w:rsidRPr="004E5186">
        <w:rPr>
          <w:sz w:val="24"/>
          <w:szCs w:val="24"/>
        </w:rPr>
        <w:t xml:space="preserve">, the Secretary must issue a tariff rate quota certificate to the applicant in relation to the consignment if, at the time the Secretary </w:t>
      </w:r>
      <w:r w:rsidR="0031499C">
        <w:rPr>
          <w:sz w:val="24"/>
          <w:szCs w:val="24"/>
        </w:rPr>
        <w:t>deals with</w:t>
      </w:r>
      <w:r w:rsidRPr="004E5186">
        <w:rPr>
          <w:sz w:val="24"/>
          <w:szCs w:val="24"/>
        </w:rPr>
        <w:t xml:space="preserve"> the </w:t>
      </w:r>
      <w:r w:rsidR="0031499C">
        <w:rPr>
          <w:sz w:val="24"/>
          <w:szCs w:val="24"/>
        </w:rPr>
        <w:t>application</w:t>
      </w:r>
      <w:r w:rsidRPr="004E5186">
        <w:rPr>
          <w:sz w:val="24"/>
          <w:szCs w:val="24"/>
        </w:rPr>
        <w:t xml:space="preserve"> the applicant’s tariff rate quota entitlement for the </w:t>
      </w:r>
      <w:r w:rsidR="00FE3E4B">
        <w:rPr>
          <w:sz w:val="24"/>
          <w:szCs w:val="24"/>
        </w:rPr>
        <w:t>quota type</w:t>
      </w:r>
      <w:r w:rsidRPr="004E5186">
        <w:rPr>
          <w:sz w:val="24"/>
          <w:szCs w:val="24"/>
        </w:rPr>
        <w:t xml:space="preserve"> and quota year is greater than zero or the uncommitted annual access amount for the </w:t>
      </w:r>
      <w:r w:rsidR="00FE3E4B">
        <w:rPr>
          <w:sz w:val="24"/>
          <w:szCs w:val="24"/>
        </w:rPr>
        <w:t>quota type</w:t>
      </w:r>
      <w:r w:rsidRPr="004E5186">
        <w:rPr>
          <w:sz w:val="24"/>
          <w:szCs w:val="24"/>
        </w:rPr>
        <w:t xml:space="preserve"> and quota year is greater than zero.</w:t>
      </w:r>
      <w:r w:rsidR="00AD2B58" w:rsidRPr="00060D1E">
        <w:rPr>
          <w:sz w:val="24"/>
          <w:szCs w:val="24"/>
        </w:rPr>
        <w:t xml:space="preserve"> </w:t>
      </w:r>
      <w:r w:rsidRPr="001A3504">
        <w:rPr>
          <w:sz w:val="24"/>
          <w:szCs w:val="24"/>
        </w:rPr>
        <w:t xml:space="preserve">This subsection includes a note that section </w:t>
      </w:r>
      <w:r w:rsidR="00FF72F4" w:rsidRPr="001A3504">
        <w:rPr>
          <w:sz w:val="24"/>
          <w:szCs w:val="24"/>
        </w:rPr>
        <w:t>115</w:t>
      </w:r>
      <w:r w:rsidRPr="001A3504">
        <w:rPr>
          <w:sz w:val="24"/>
          <w:szCs w:val="24"/>
        </w:rPr>
        <w:t xml:space="preserve"> deals with when the Secretary may decide not to issue a certificate.</w:t>
      </w:r>
    </w:p>
    <w:p w14:paraId="1FB8B608" w14:textId="77777777" w:rsidR="004E5186" w:rsidRPr="009736F3" w:rsidRDefault="004E5186" w:rsidP="009736F3">
      <w:pPr>
        <w:spacing w:line="240" w:lineRule="auto"/>
        <w:rPr>
          <w:sz w:val="24"/>
          <w:szCs w:val="24"/>
        </w:rPr>
      </w:pPr>
    </w:p>
    <w:p w14:paraId="595DF54F" w14:textId="08DEFAC9" w:rsidR="004E5186" w:rsidRDefault="004E5186" w:rsidP="004E5186">
      <w:pPr>
        <w:spacing w:line="240" w:lineRule="auto"/>
        <w:rPr>
          <w:sz w:val="24"/>
          <w:szCs w:val="24"/>
        </w:rPr>
      </w:pPr>
      <w:r w:rsidRPr="004E5186">
        <w:rPr>
          <w:sz w:val="24"/>
          <w:szCs w:val="24"/>
        </w:rPr>
        <w:t xml:space="preserve">Subsection </w:t>
      </w:r>
      <w:r w:rsidR="001C37BA">
        <w:rPr>
          <w:sz w:val="24"/>
          <w:szCs w:val="24"/>
        </w:rPr>
        <w:t>25</w:t>
      </w:r>
      <w:r w:rsidRPr="004E5186">
        <w:rPr>
          <w:sz w:val="24"/>
          <w:szCs w:val="24"/>
        </w:rPr>
        <w:t>(</w:t>
      </w:r>
      <w:r>
        <w:rPr>
          <w:sz w:val="24"/>
          <w:szCs w:val="24"/>
        </w:rPr>
        <w:t>3</w:t>
      </w:r>
      <w:r w:rsidRPr="004E5186">
        <w:rPr>
          <w:sz w:val="24"/>
          <w:szCs w:val="24"/>
        </w:rPr>
        <w:t xml:space="preserve">) provides </w:t>
      </w:r>
      <w:r>
        <w:rPr>
          <w:sz w:val="24"/>
          <w:szCs w:val="24"/>
        </w:rPr>
        <w:t>that t</w:t>
      </w:r>
      <w:r w:rsidRPr="004E5186">
        <w:rPr>
          <w:sz w:val="24"/>
          <w:szCs w:val="24"/>
        </w:rPr>
        <w:t xml:space="preserve">he certificate must be issued for the lesser of the weight of the consignment applied for and the sum of the applicant’s tariff rate quota entitlement and the uncommitted annual access amount at the time the Secretary </w:t>
      </w:r>
      <w:r w:rsidR="0031499C">
        <w:rPr>
          <w:sz w:val="24"/>
          <w:szCs w:val="24"/>
        </w:rPr>
        <w:t>deals with</w:t>
      </w:r>
      <w:r w:rsidRPr="004E5186">
        <w:rPr>
          <w:sz w:val="24"/>
          <w:szCs w:val="24"/>
        </w:rPr>
        <w:t xml:space="preserve"> the </w:t>
      </w:r>
      <w:r w:rsidR="0031499C">
        <w:rPr>
          <w:sz w:val="24"/>
          <w:szCs w:val="24"/>
        </w:rPr>
        <w:t>application</w:t>
      </w:r>
      <w:r w:rsidRPr="004E5186">
        <w:rPr>
          <w:sz w:val="24"/>
          <w:szCs w:val="24"/>
        </w:rPr>
        <w:t>.</w:t>
      </w:r>
      <w:r w:rsidR="00AD2B58">
        <w:rPr>
          <w:sz w:val="24"/>
          <w:szCs w:val="24"/>
        </w:rPr>
        <w:t xml:space="preserve">  This ensure that certificates are not issued for more than the available amount of tariff rate quota.</w:t>
      </w:r>
    </w:p>
    <w:p w14:paraId="4618E36A" w14:textId="77777777" w:rsidR="004E5186" w:rsidRDefault="004E5186" w:rsidP="004E5186">
      <w:pPr>
        <w:spacing w:line="240" w:lineRule="auto"/>
        <w:rPr>
          <w:sz w:val="24"/>
          <w:szCs w:val="24"/>
        </w:rPr>
      </w:pPr>
    </w:p>
    <w:p w14:paraId="0E077CB8" w14:textId="6D47A0D2" w:rsidR="004E5186" w:rsidRDefault="004E5186" w:rsidP="004E5186">
      <w:pPr>
        <w:spacing w:line="240" w:lineRule="auto"/>
        <w:rPr>
          <w:sz w:val="24"/>
          <w:szCs w:val="24"/>
        </w:rPr>
      </w:pPr>
      <w:r w:rsidRPr="004E5186">
        <w:rPr>
          <w:sz w:val="24"/>
          <w:szCs w:val="24"/>
        </w:rPr>
        <w:t xml:space="preserve">Subsection </w:t>
      </w:r>
      <w:r w:rsidR="001C37BA">
        <w:rPr>
          <w:sz w:val="24"/>
          <w:szCs w:val="24"/>
        </w:rPr>
        <w:t>25</w:t>
      </w:r>
      <w:r w:rsidRPr="004E5186">
        <w:rPr>
          <w:sz w:val="24"/>
          <w:szCs w:val="24"/>
        </w:rPr>
        <w:t>(</w:t>
      </w:r>
      <w:r>
        <w:rPr>
          <w:sz w:val="24"/>
          <w:szCs w:val="24"/>
        </w:rPr>
        <w:t>4</w:t>
      </w:r>
      <w:r w:rsidRPr="004E5186">
        <w:rPr>
          <w:sz w:val="24"/>
          <w:szCs w:val="24"/>
        </w:rPr>
        <w:t xml:space="preserve">) provides </w:t>
      </w:r>
      <w:r>
        <w:rPr>
          <w:sz w:val="24"/>
          <w:szCs w:val="24"/>
        </w:rPr>
        <w:t>that i</w:t>
      </w:r>
      <w:r w:rsidRPr="004E5186">
        <w:rPr>
          <w:sz w:val="24"/>
          <w:szCs w:val="24"/>
        </w:rPr>
        <w:t xml:space="preserve">f the applicant’s tariff rate quota entitlement for the </w:t>
      </w:r>
      <w:r w:rsidR="00FE3E4B">
        <w:rPr>
          <w:sz w:val="24"/>
          <w:szCs w:val="24"/>
        </w:rPr>
        <w:t>quota type</w:t>
      </w:r>
      <w:r w:rsidRPr="004E5186">
        <w:rPr>
          <w:sz w:val="24"/>
          <w:szCs w:val="24"/>
        </w:rPr>
        <w:t xml:space="preserve"> and quota year is greater than zero at the time the Secretary </w:t>
      </w:r>
      <w:r w:rsidR="0031499C">
        <w:rPr>
          <w:sz w:val="24"/>
          <w:szCs w:val="24"/>
        </w:rPr>
        <w:t>deals with</w:t>
      </w:r>
      <w:r w:rsidRPr="004E5186">
        <w:rPr>
          <w:sz w:val="24"/>
          <w:szCs w:val="24"/>
        </w:rPr>
        <w:t xml:space="preserve"> the </w:t>
      </w:r>
      <w:r w:rsidR="0031499C">
        <w:rPr>
          <w:sz w:val="24"/>
          <w:szCs w:val="24"/>
        </w:rPr>
        <w:t>application</w:t>
      </w:r>
      <w:r w:rsidRPr="004E5186">
        <w:rPr>
          <w:sz w:val="24"/>
          <w:szCs w:val="24"/>
        </w:rPr>
        <w:t>, the applicant’s tariff rate quota entitlement is reduced (but not below zero) by the weight for which the tariff rate quota certificate is issued.</w:t>
      </w:r>
      <w:bookmarkStart w:id="35" w:name="BK_S3P21L6C63"/>
      <w:bookmarkStart w:id="36" w:name="BK_S3P20L11C63"/>
      <w:bookmarkEnd w:id="35"/>
      <w:bookmarkEnd w:id="36"/>
      <w:r w:rsidR="00AD2B58">
        <w:rPr>
          <w:sz w:val="24"/>
          <w:szCs w:val="24"/>
        </w:rPr>
        <w:t xml:space="preserve">  This ensures that an applicant’s quota entitlement is reduced first, followed by any uncommitted access amount (if any).</w:t>
      </w:r>
    </w:p>
    <w:p w14:paraId="48DEC93F" w14:textId="77777777" w:rsidR="004E5186" w:rsidRDefault="004E5186" w:rsidP="004E5186">
      <w:pPr>
        <w:spacing w:line="240" w:lineRule="auto"/>
        <w:rPr>
          <w:sz w:val="24"/>
          <w:szCs w:val="24"/>
        </w:rPr>
      </w:pPr>
    </w:p>
    <w:p w14:paraId="5F7A8EF2" w14:textId="4D980D93" w:rsidR="00482D41" w:rsidRPr="0057061D" w:rsidRDefault="00482D41" w:rsidP="00482D41">
      <w:pPr>
        <w:pStyle w:val="paragraph"/>
        <w:rPr>
          <w:b/>
          <w:sz w:val="24"/>
          <w:szCs w:val="24"/>
        </w:rPr>
      </w:pPr>
      <w:r w:rsidRPr="0057061D">
        <w:rPr>
          <w:b/>
          <w:sz w:val="24"/>
          <w:szCs w:val="24"/>
        </w:rPr>
        <w:t xml:space="preserve">Part </w:t>
      </w:r>
      <w:r>
        <w:rPr>
          <w:b/>
          <w:sz w:val="24"/>
          <w:szCs w:val="24"/>
        </w:rPr>
        <w:t>3</w:t>
      </w:r>
      <w:r w:rsidRPr="0057061D">
        <w:rPr>
          <w:b/>
          <w:sz w:val="24"/>
          <w:szCs w:val="24"/>
        </w:rPr>
        <w:t xml:space="preserve"> - </w:t>
      </w:r>
      <w:r>
        <w:rPr>
          <w:b/>
          <w:sz w:val="24"/>
          <w:szCs w:val="24"/>
        </w:rPr>
        <w:t>Allocation</w:t>
      </w:r>
      <w:r w:rsidRPr="0057061D">
        <w:rPr>
          <w:b/>
          <w:sz w:val="24"/>
          <w:szCs w:val="24"/>
        </w:rPr>
        <w:t xml:space="preserve"> method</w:t>
      </w:r>
    </w:p>
    <w:p w14:paraId="7BCAC6DB" w14:textId="77777777" w:rsidR="00482D41" w:rsidRPr="0057061D" w:rsidRDefault="00482D41" w:rsidP="00482D41">
      <w:pPr>
        <w:pStyle w:val="paragraph"/>
        <w:rPr>
          <w:b/>
          <w:sz w:val="24"/>
          <w:szCs w:val="24"/>
        </w:rPr>
      </w:pPr>
    </w:p>
    <w:p w14:paraId="2D3BC3CF" w14:textId="0D2B92A0" w:rsidR="00482D41" w:rsidRDefault="00482D41" w:rsidP="00482D41">
      <w:pPr>
        <w:pStyle w:val="paragraph"/>
        <w:rPr>
          <w:b/>
          <w:sz w:val="24"/>
          <w:szCs w:val="24"/>
        </w:rPr>
      </w:pPr>
      <w:r w:rsidRPr="0057061D">
        <w:rPr>
          <w:b/>
          <w:sz w:val="24"/>
          <w:szCs w:val="24"/>
        </w:rPr>
        <w:t xml:space="preserve">Division 1 </w:t>
      </w:r>
      <w:r w:rsidR="00060D1E">
        <w:rPr>
          <w:b/>
          <w:sz w:val="24"/>
          <w:szCs w:val="24"/>
        </w:rPr>
        <w:t>–</w:t>
      </w:r>
      <w:r w:rsidRPr="0057061D">
        <w:rPr>
          <w:b/>
          <w:sz w:val="24"/>
          <w:szCs w:val="24"/>
        </w:rPr>
        <w:t xml:space="preserve"> Preliminary</w:t>
      </w:r>
    </w:p>
    <w:p w14:paraId="4765BCE3" w14:textId="77777777" w:rsidR="00060D1E" w:rsidRDefault="00060D1E" w:rsidP="00482D41">
      <w:pPr>
        <w:pStyle w:val="paragraph"/>
        <w:rPr>
          <w:b/>
          <w:sz w:val="24"/>
          <w:szCs w:val="24"/>
        </w:rPr>
      </w:pPr>
    </w:p>
    <w:p w14:paraId="5D4D91FF" w14:textId="6FF19425" w:rsidR="00482D41" w:rsidRDefault="001C37BA" w:rsidP="00482D41">
      <w:pPr>
        <w:pStyle w:val="paragraph"/>
        <w:rPr>
          <w:sz w:val="24"/>
          <w:szCs w:val="24"/>
          <w:u w:val="single"/>
        </w:rPr>
      </w:pPr>
      <w:r>
        <w:rPr>
          <w:sz w:val="24"/>
          <w:szCs w:val="24"/>
          <w:u w:val="single"/>
        </w:rPr>
        <w:t>Section 26</w:t>
      </w:r>
      <w:r w:rsidR="00482D41">
        <w:rPr>
          <w:sz w:val="24"/>
          <w:szCs w:val="24"/>
          <w:u w:val="single"/>
        </w:rPr>
        <w:t xml:space="preserve"> - Application of this part</w:t>
      </w:r>
    </w:p>
    <w:p w14:paraId="4AA2ED95" w14:textId="77777777" w:rsidR="00482D41" w:rsidRDefault="00482D41" w:rsidP="00482D41">
      <w:pPr>
        <w:pStyle w:val="paragraph"/>
        <w:rPr>
          <w:sz w:val="24"/>
          <w:szCs w:val="24"/>
          <w:u w:val="single"/>
        </w:rPr>
      </w:pPr>
    </w:p>
    <w:p w14:paraId="126A57B6" w14:textId="282542F6" w:rsidR="00482D41" w:rsidRDefault="00482D41" w:rsidP="00482D41">
      <w:pPr>
        <w:spacing w:line="240" w:lineRule="auto"/>
        <w:rPr>
          <w:sz w:val="24"/>
          <w:szCs w:val="24"/>
        </w:rPr>
      </w:pPr>
      <w:r>
        <w:rPr>
          <w:sz w:val="24"/>
          <w:szCs w:val="24"/>
        </w:rPr>
        <w:t>This section provides that i</w:t>
      </w:r>
      <w:r w:rsidRPr="00482D41">
        <w:rPr>
          <w:sz w:val="24"/>
          <w:szCs w:val="24"/>
        </w:rPr>
        <w:t xml:space="preserve">f a provision of Chapter 3 provides that the allocation method applies for the purposes of issuing a tariff rate quota certificate in relation to a consignment of a </w:t>
      </w:r>
      <w:r w:rsidR="00FE3E4B">
        <w:rPr>
          <w:sz w:val="24"/>
          <w:szCs w:val="24"/>
        </w:rPr>
        <w:t>quota type</w:t>
      </w:r>
      <w:r w:rsidRPr="00482D41">
        <w:rPr>
          <w:sz w:val="24"/>
          <w:szCs w:val="24"/>
        </w:rPr>
        <w:t xml:space="preserve"> </w:t>
      </w:r>
      <w:r w:rsidR="00670C94">
        <w:rPr>
          <w:sz w:val="24"/>
          <w:szCs w:val="24"/>
        </w:rPr>
        <w:t xml:space="preserve">for export </w:t>
      </w:r>
      <w:r w:rsidRPr="00482D41">
        <w:rPr>
          <w:sz w:val="24"/>
          <w:szCs w:val="24"/>
        </w:rPr>
        <w:t xml:space="preserve">in a quota year, then this Part applies for the purposes of issuing a tariff rate quota certificate in relation to such a consignment and determining tariff rate quota entitlements for that </w:t>
      </w:r>
      <w:r w:rsidR="00FE3E4B">
        <w:rPr>
          <w:sz w:val="24"/>
          <w:szCs w:val="24"/>
        </w:rPr>
        <w:t>quota type</w:t>
      </w:r>
      <w:r w:rsidRPr="00482D41">
        <w:rPr>
          <w:sz w:val="24"/>
          <w:szCs w:val="24"/>
        </w:rPr>
        <w:t xml:space="preserve"> and quota year.</w:t>
      </w:r>
      <w:r w:rsidR="00AD2B58" w:rsidRPr="00AD2B58">
        <w:rPr>
          <w:sz w:val="24"/>
          <w:szCs w:val="24"/>
        </w:rPr>
        <w:t xml:space="preserve"> </w:t>
      </w:r>
      <w:r w:rsidR="00AD2B58">
        <w:rPr>
          <w:sz w:val="24"/>
          <w:szCs w:val="24"/>
        </w:rPr>
        <w:t>This is to distinguish between the other methods set out in Chapter 2</w:t>
      </w:r>
      <w:r w:rsidR="001A3504">
        <w:rPr>
          <w:sz w:val="24"/>
          <w:szCs w:val="24"/>
        </w:rPr>
        <w:t>;</w:t>
      </w:r>
      <w:r w:rsidR="00AD2B58">
        <w:rPr>
          <w:sz w:val="24"/>
          <w:szCs w:val="24"/>
        </w:rPr>
        <w:t xml:space="preserve"> only one</w:t>
      </w:r>
      <w:r w:rsidR="001A3504">
        <w:rPr>
          <w:sz w:val="24"/>
          <w:szCs w:val="24"/>
        </w:rPr>
        <w:t xml:space="preserve"> method</w:t>
      </w:r>
      <w:r w:rsidR="00AD2B58">
        <w:rPr>
          <w:sz w:val="24"/>
          <w:szCs w:val="24"/>
        </w:rPr>
        <w:t xml:space="preserve"> will ever apply to a given quota type in a given quota year.</w:t>
      </w:r>
      <w:r w:rsidR="00F62CC4">
        <w:rPr>
          <w:sz w:val="24"/>
          <w:szCs w:val="24"/>
        </w:rPr>
        <w:t xml:space="preserve">  This method is included to cater for tariff rate quotas that are likely to be highly utilised, and the greatest benefit comes from </w:t>
      </w:r>
      <w:r w:rsidR="00060D1E">
        <w:rPr>
          <w:sz w:val="24"/>
          <w:szCs w:val="24"/>
        </w:rPr>
        <w:t xml:space="preserve">an </w:t>
      </w:r>
      <w:r w:rsidR="00F62CC4">
        <w:rPr>
          <w:sz w:val="24"/>
          <w:szCs w:val="24"/>
        </w:rPr>
        <w:t>exporter receiving an allocation at the start of the quota year, knowing what they have access to, and being able to plan accordingly.</w:t>
      </w:r>
    </w:p>
    <w:p w14:paraId="57CBBE0B" w14:textId="77777777" w:rsidR="00670C94" w:rsidRDefault="00670C94" w:rsidP="00482D41">
      <w:pPr>
        <w:spacing w:line="240" w:lineRule="auto"/>
        <w:rPr>
          <w:sz w:val="24"/>
          <w:szCs w:val="24"/>
        </w:rPr>
      </w:pPr>
    </w:p>
    <w:p w14:paraId="74F285B4" w14:textId="21CD3306" w:rsidR="00670C94" w:rsidRPr="00542A46" w:rsidRDefault="00670C94" w:rsidP="00542A46">
      <w:pPr>
        <w:pStyle w:val="paragraph"/>
        <w:rPr>
          <w:szCs w:val="24"/>
          <w:u w:val="single"/>
        </w:rPr>
      </w:pPr>
      <w:bookmarkStart w:id="37" w:name="_Toc24038789"/>
      <w:r>
        <w:rPr>
          <w:sz w:val="24"/>
          <w:szCs w:val="24"/>
          <w:u w:val="single"/>
        </w:rPr>
        <w:t xml:space="preserve">Section </w:t>
      </w:r>
      <w:r w:rsidR="001C37BA">
        <w:rPr>
          <w:szCs w:val="24"/>
          <w:u w:val="single"/>
        </w:rPr>
        <w:t>27</w:t>
      </w:r>
      <w:r w:rsidRPr="00542A46">
        <w:rPr>
          <w:sz w:val="24"/>
          <w:szCs w:val="24"/>
          <w:u w:val="single"/>
        </w:rPr>
        <w:t xml:space="preserve"> </w:t>
      </w:r>
      <w:r>
        <w:rPr>
          <w:sz w:val="24"/>
          <w:szCs w:val="24"/>
          <w:u w:val="single"/>
        </w:rPr>
        <w:t>-</w:t>
      </w:r>
      <w:r w:rsidRPr="00542A46">
        <w:rPr>
          <w:sz w:val="24"/>
          <w:szCs w:val="24"/>
          <w:u w:val="single"/>
        </w:rPr>
        <w:t xml:space="preserve"> Definitions</w:t>
      </w:r>
      <w:bookmarkEnd w:id="37"/>
    </w:p>
    <w:p w14:paraId="3F04291A" w14:textId="77777777" w:rsidR="00670C94" w:rsidRDefault="00670C94" w:rsidP="00542A46">
      <w:pPr>
        <w:pStyle w:val="paragraph"/>
        <w:rPr>
          <w:sz w:val="24"/>
          <w:szCs w:val="24"/>
          <w:u w:val="single"/>
        </w:rPr>
      </w:pPr>
    </w:p>
    <w:p w14:paraId="1DA9A317" w14:textId="741ADDDD" w:rsidR="00670C94" w:rsidRDefault="00670C94" w:rsidP="00670C94">
      <w:pPr>
        <w:pStyle w:val="paragraph"/>
        <w:rPr>
          <w:sz w:val="24"/>
          <w:szCs w:val="24"/>
        </w:rPr>
      </w:pPr>
      <w:r>
        <w:rPr>
          <w:rStyle w:val="CharSectno"/>
          <w:sz w:val="24"/>
          <w:szCs w:val="24"/>
        </w:rPr>
        <w:t>Section 2</w:t>
      </w:r>
      <w:r w:rsidR="001C37BA">
        <w:rPr>
          <w:rStyle w:val="CharSectno"/>
          <w:sz w:val="24"/>
          <w:szCs w:val="24"/>
        </w:rPr>
        <w:t>7</w:t>
      </w:r>
      <w:r>
        <w:rPr>
          <w:rStyle w:val="CharSectno"/>
          <w:sz w:val="24"/>
          <w:szCs w:val="24"/>
        </w:rPr>
        <w:t xml:space="preserve"> </w:t>
      </w:r>
      <w:r w:rsidRPr="0057061D">
        <w:rPr>
          <w:sz w:val="24"/>
          <w:szCs w:val="24"/>
        </w:rPr>
        <w:t>provides definition</w:t>
      </w:r>
      <w:r>
        <w:rPr>
          <w:sz w:val="24"/>
          <w:szCs w:val="24"/>
        </w:rPr>
        <w:t>s</w:t>
      </w:r>
      <w:r w:rsidRPr="0057061D">
        <w:rPr>
          <w:sz w:val="24"/>
          <w:szCs w:val="24"/>
        </w:rPr>
        <w:t xml:space="preserve"> used within th</w:t>
      </w:r>
      <w:r>
        <w:rPr>
          <w:sz w:val="24"/>
          <w:szCs w:val="24"/>
        </w:rPr>
        <w:t>is part.</w:t>
      </w:r>
    </w:p>
    <w:p w14:paraId="7E99D939" w14:textId="4B3C2146" w:rsidR="00670C94" w:rsidRPr="00AD2B58" w:rsidRDefault="00670C94" w:rsidP="00AD2B58">
      <w:pPr>
        <w:pStyle w:val="Definition"/>
        <w:ind w:left="0"/>
        <w:rPr>
          <w:sz w:val="24"/>
          <w:szCs w:val="24"/>
        </w:rPr>
      </w:pPr>
      <w:proofErr w:type="gramStart"/>
      <w:r w:rsidRPr="00AD2B58">
        <w:rPr>
          <w:b/>
          <w:i/>
          <w:sz w:val="24"/>
          <w:szCs w:val="24"/>
        </w:rPr>
        <w:t>annual</w:t>
      </w:r>
      <w:proofErr w:type="gramEnd"/>
      <w:r w:rsidRPr="00AD2B58">
        <w:rPr>
          <w:b/>
          <w:i/>
          <w:sz w:val="24"/>
          <w:szCs w:val="24"/>
        </w:rPr>
        <w:t xml:space="preserve"> application day</w:t>
      </w:r>
      <w:r w:rsidRPr="00AD2B58">
        <w:rPr>
          <w:sz w:val="24"/>
          <w:szCs w:val="24"/>
        </w:rPr>
        <w:t>, for a quota type and a quota year, means the day specified under Chapter 3 to be the annual application day for that quota type and quota year</w:t>
      </w:r>
      <w:r w:rsidR="00421F62">
        <w:rPr>
          <w:sz w:val="24"/>
          <w:szCs w:val="24"/>
        </w:rPr>
        <w:t>, being the last day by which applications for annual quota entitlements must be submitted</w:t>
      </w:r>
      <w:r w:rsidRPr="00AD2B58">
        <w:rPr>
          <w:sz w:val="24"/>
          <w:szCs w:val="24"/>
        </w:rPr>
        <w:t>.</w:t>
      </w:r>
    </w:p>
    <w:p w14:paraId="6F2F6BAC" w14:textId="45BE6743" w:rsidR="00670C94" w:rsidRPr="00AD2B58" w:rsidRDefault="00670C94" w:rsidP="00AD2B58">
      <w:pPr>
        <w:pStyle w:val="Definition"/>
        <w:ind w:left="0"/>
        <w:rPr>
          <w:sz w:val="24"/>
          <w:szCs w:val="24"/>
        </w:rPr>
      </w:pPr>
      <w:proofErr w:type="gramStart"/>
      <w:r w:rsidRPr="00AD2B58">
        <w:rPr>
          <w:b/>
          <w:i/>
          <w:sz w:val="24"/>
          <w:szCs w:val="24"/>
        </w:rPr>
        <w:t>maximum</w:t>
      </w:r>
      <w:proofErr w:type="gramEnd"/>
      <w:r w:rsidRPr="00AD2B58">
        <w:rPr>
          <w:b/>
          <w:i/>
          <w:sz w:val="24"/>
          <w:szCs w:val="24"/>
        </w:rPr>
        <w:t xml:space="preserve"> transfer percentage</w:t>
      </w:r>
      <w:r w:rsidRPr="00AD2B58">
        <w:rPr>
          <w:sz w:val="24"/>
          <w:szCs w:val="24"/>
        </w:rPr>
        <w:t>, for a quota type, means the percentage specified under Chapter 3 to be the maximum transfer percentage for that quota type.</w:t>
      </w:r>
      <w:r w:rsidR="00421F62">
        <w:rPr>
          <w:sz w:val="24"/>
          <w:szCs w:val="24"/>
        </w:rPr>
        <w:t xml:space="preserve">  This is relevant to section 29(2) in determining if a person is eligible for an entitlement.</w:t>
      </w:r>
    </w:p>
    <w:p w14:paraId="09428B04" w14:textId="07933A8E" w:rsidR="00670C94" w:rsidRPr="00AD2B58" w:rsidRDefault="00670C94" w:rsidP="00AD2B58">
      <w:pPr>
        <w:pStyle w:val="Definition"/>
        <w:ind w:left="0"/>
        <w:rPr>
          <w:sz w:val="24"/>
          <w:szCs w:val="24"/>
        </w:rPr>
      </w:pPr>
      <w:proofErr w:type="gramStart"/>
      <w:r w:rsidRPr="00AD2B58">
        <w:rPr>
          <w:b/>
          <w:i/>
          <w:sz w:val="24"/>
          <w:szCs w:val="24"/>
        </w:rPr>
        <w:t>new</w:t>
      </w:r>
      <w:proofErr w:type="gramEnd"/>
      <w:r w:rsidRPr="00AD2B58">
        <w:rPr>
          <w:b/>
          <w:i/>
          <w:sz w:val="24"/>
          <w:szCs w:val="24"/>
        </w:rPr>
        <w:t xml:space="preserve"> entrant access amount</w:t>
      </w:r>
      <w:r w:rsidRPr="00AD2B58">
        <w:rPr>
          <w:sz w:val="24"/>
          <w:szCs w:val="24"/>
        </w:rPr>
        <w:t>, for a quota type and a quota year, means the weight specified under Chapter 3 to be the new entrant access amount for that quota type in relation to that quota year.</w:t>
      </w:r>
      <w:r w:rsidR="00421F62">
        <w:rPr>
          <w:sz w:val="24"/>
          <w:szCs w:val="24"/>
        </w:rPr>
        <w:t xml:space="preserve"> This is the amount made available in a quota year for new entrants to access, providing a pathway for exporters to enter the quota market. </w:t>
      </w:r>
    </w:p>
    <w:p w14:paraId="58DBD0B9" w14:textId="363A14DB" w:rsidR="00670C94" w:rsidRPr="00AD2B58" w:rsidRDefault="00670C94" w:rsidP="00AD2B58">
      <w:pPr>
        <w:pStyle w:val="Definition"/>
        <w:ind w:left="0"/>
        <w:rPr>
          <w:sz w:val="24"/>
          <w:szCs w:val="24"/>
        </w:rPr>
      </w:pPr>
      <w:proofErr w:type="gramStart"/>
      <w:r w:rsidRPr="00AD2B58">
        <w:rPr>
          <w:b/>
          <w:i/>
          <w:sz w:val="24"/>
          <w:szCs w:val="24"/>
        </w:rPr>
        <w:t>new</w:t>
      </w:r>
      <w:proofErr w:type="gramEnd"/>
      <w:r w:rsidRPr="00AD2B58">
        <w:rPr>
          <w:b/>
          <w:i/>
          <w:sz w:val="24"/>
          <w:szCs w:val="24"/>
        </w:rPr>
        <w:t xml:space="preserve"> entrant access cap</w:t>
      </w:r>
      <w:r w:rsidRPr="00AD2B58">
        <w:rPr>
          <w:sz w:val="24"/>
          <w:szCs w:val="24"/>
        </w:rPr>
        <w:t>, for a quota type and a quota year, means the weight specified under Chapter 3 to be the new entrant access cap for that quota type in relation to that quota year.</w:t>
      </w:r>
      <w:r w:rsidR="00421F62">
        <w:rPr>
          <w:sz w:val="24"/>
          <w:szCs w:val="24"/>
        </w:rPr>
        <w:t xml:space="preserve">  This is the maximum amount of the new entrant access amount that a single new entrant can access in a given quota year.</w:t>
      </w:r>
    </w:p>
    <w:p w14:paraId="73033AE3" w14:textId="77777777" w:rsidR="00421F62" w:rsidRDefault="00670C94" w:rsidP="00421F62">
      <w:pPr>
        <w:pStyle w:val="Definition"/>
        <w:ind w:left="0"/>
        <w:rPr>
          <w:sz w:val="24"/>
          <w:szCs w:val="24"/>
        </w:rPr>
      </w:pPr>
      <w:proofErr w:type="gramStart"/>
      <w:r w:rsidRPr="00AD2B58">
        <w:rPr>
          <w:b/>
          <w:i/>
          <w:sz w:val="24"/>
          <w:szCs w:val="24"/>
        </w:rPr>
        <w:t>new</w:t>
      </w:r>
      <w:proofErr w:type="gramEnd"/>
      <w:r w:rsidRPr="00AD2B58">
        <w:rPr>
          <w:b/>
          <w:i/>
          <w:sz w:val="24"/>
          <w:szCs w:val="24"/>
        </w:rPr>
        <w:t xml:space="preserve"> entrant available amount</w:t>
      </w:r>
      <w:r w:rsidRPr="00AD2B58">
        <w:rPr>
          <w:sz w:val="24"/>
          <w:szCs w:val="24"/>
        </w:rPr>
        <w:t>: the new entrant available amount, of a person who is a new entrant for a quota type and a quota year, at a pa</w:t>
      </w:r>
      <w:r w:rsidR="00421F62">
        <w:rPr>
          <w:sz w:val="24"/>
          <w:szCs w:val="24"/>
        </w:rPr>
        <w:t>rticular time is the lesser of:</w:t>
      </w:r>
    </w:p>
    <w:p w14:paraId="2322AE0C" w14:textId="77777777" w:rsidR="00421F62" w:rsidRDefault="00670C94" w:rsidP="000F6D46">
      <w:pPr>
        <w:pStyle w:val="Definition"/>
        <w:numPr>
          <w:ilvl w:val="0"/>
          <w:numId w:val="31"/>
        </w:numPr>
        <w:ind w:left="426"/>
        <w:rPr>
          <w:sz w:val="24"/>
          <w:szCs w:val="24"/>
        </w:rPr>
      </w:pPr>
      <w:r w:rsidRPr="00421F62">
        <w:rPr>
          <w:sz w:val="24"/>
          <w:szCs w:val="24"/>
        </w:rPr>
        <w:t>the uncommitted new entrant access amount at that time for that quota type and quota year; and</w:t>
      </w:r>
    </w:p>
    <w:p w14:paraId="2DEF425B" w14:textId="69CDE432" w:rsidR="00670C94" w:rsidRDefault="00421F62" w:rsidP="000F6D46">
      <w:pPr>
        <w:pStyle w:val="Definition"/>
        <w:numPr>
          <w:ilvl w:val="0"/>
          <w:numId w:val="31"/>
        </w:numPr>
        <w:ind w:left="426"/>
        <w:rPr>
          <w:sz w:val="24"/>
          <w:szCs w:val="24"/>
        </w:rPr>
      </w:pPr>
      <w:r>
        <w:rPr>
          <w:sz w:val="24"/>
          <w:szCs w:val="24"/>
        </w:rPr>
        <w:lastRenderedPageBreak/>
        <w:t xml:space="preserve">the difference between </w:t>
      </w:r>
      <w:r w:rsidR="00670C94" w:rsidRPr="00421F62">
        <w:rPr>
          <w:sz w:val="24"/>
          <w:szCs w:val="24"/>
        </w:rPr>
        <w:t>the new entrant access cap for tha</w:t>
      </w:r>
      <w:r>
        <w:rPr>
          <w:sz w:val="24"/>
          <w:szCs w:val="24"/>
        </w:rPr>
        <w:t xml:space="preserve">t quota type and quota year and </w:t>
      </w:r>
      <w:r w:rsidR="00670C94" w:rsidRPr="00421F62">
        <w:rPr>
          <w:sz w:val="24"/>
          <w:szCs w:val="24"/>
        </w:rPr>
        <w:t>the total weight for which tariff rate quota certificates have been issued to the person in relation to consignments of that quota type in relation to that quota year using new entrant access quota.</w:t>
      </w:r>
    </w:p>
    <w:p w14:paraId="299C1016" w14:textId="22E815EC" w:rsidR="00421F62" w:rsidRPr="00421F62" w:rsidRDefault="00421F62" w:rsidP="00421F62">
      <w:pPr>
        <w:pStyle w:val="Definition"/>
        <w:ind w:left="0"/>
        <w:rPr>
          <w:sz w:val="24"/>
          <w:szCs w:val="24"/>
        </w:rPr>
      </w:pPr>
      <w:r>
        <w:rPr>
          <w:sz w:val="24"/>
          <w:szCs w:val="24"/>
        </w:rPr>
        <w:t>This ensures neither the new entrant access amount nor the new entrant access cap can be exceeded when issuing certificates.</w:t>
      </w:r>
    </w:p>
    <w:p w14:paraId="4ED15C5F" w14:textId="348C5879" w:rsidR="00670C94" w:rsidRPr="00AD2B58" w:rsidRDefault="00670C94" w:rsidP="00AD2B58">
      <w:pPr>
        <w:pStyle w:val="Definition"/>
        <w:ind w:left="0"/>
        <w:rPr>
          <w:sz w:val="24"/>
          <w:szCs w:val="24"/>
        </w:rPr>
      </w:pPr>
      <w:proofErr w:type="gramStart"/>
      <w:r w:rsidRPr="00AD2B58">
        <w:rPr>
          <w:b/>
          <w:i/>
          <w:sz w:val="24"/>
          <w:szCs w:val="24"/>
        </w:rPr>
        <w:t>penalty</w:t>
      </w:r>
      <w:proofErr w:type="gramEnd"/>
      <w:r w:rsidRPr="00AD2B58">
        <w:rPr>
          <w:b/>
          <w:i/>
          <w:sz w:val="24"/>
          <w:szCs w:val="24"/>
        </w:rPr>
        <w:t xml:space="preserve"> individual threshold</w:t>
      </w:r>
      <w:r w:rsidRPr="00AD2B58">
        <w:rPr>
          <w:sz w:val="24"/>
          <w:szCs w:val="24"/>
        </w:rPr>
        <w:t>, for a quota type and a quota year, means the amount specified under Chapter 3 to be the penalty individual threshold for that quota type in relation to that quota year.</w:t>
      </w:r>
      <w:r w:rsidR="00C15A17">
        <w:rPr>
          <w:sz w:val="24"/>
          <w:szCs w:val="24"/>
        </w:rPr>
        <w:t xml:space="preserve"> This relates to paragraph 33(2</w:t>
      </w:r>
      <w:proofErr w:type="gramStart"/>
      <w:r w:rsidR="00C15A17">
        <w:rPr>
          <w:sz w:val="24"/>
          <w:szCs w:val="24"/>
        </w:rPr>
        <w:t>)(</w:t>
      </w:r>
      <w:proofErr w:type="gramEnd"/>
      <w:r w:rsidR="00C15A17">
        <w:rPr>
          <w:sz w:val="24"/>
          <w:szCs w:val="24"/>
        </w:rPr>
        <w:t xml:space="preserve">a) which sets the </w:t>
      </w:r>
      <w:r w:rsidR="00725AA9">
        <w:rPr>
          <w:sz w:val="24"/>
          <w:szCs w:val="24"/>
        </w:rPr>
        <w:t>maximum</w:t>
      </w:r>
      <w:r w:rsidR="00C15A17">
        <w:rPr>
          <w:sz w:val="24"/>
          <w:szCs w:val="24"/>
        </w:rPr>
        <w:t xml:space="preserve"> volume of entitlement an exporter </w:t>
      </w:r>
      <w:r w:rsidR="00725AA9">
        <w:rPr>
          <w:sz w:val="24"/>
          <w:szCs w:val="24"/>
        </w:rPr>
        <w:t>is able to</w:t>
      </w:r>
      <w:r w:rsidR="00C15A17">
        <w:rPr>
          <w:sz w:val="24"/>
          <w:szCs w:val="24"/>
        </w:rPr>
        <w:t xml:space="preserve"> hold</w:t>
      </w:r>
      <w:r w:rsidR="00725AA9">
        <w:rPr>
          <w:sz w:val="24"/>
          <w:szCs w:val="24"/>
        </w:rPr>
        <w:t xml:space="preserve"> while not incurring</w:t>
      </w:r>
      <w:r w:rsidR="00C15A17">
        <w:rPr>
          <w:sz w:val="24"/>
          <w:szCs w:val="24"/>
        </w:rPr>
        <w:t xml:space="preserve"> a penalty.</w:t>
      </w:r>
    </w:p>
    <w:p w14:paraId="50D19502" w14:textId="072AD95A" w:rsidR="00670C94" w:rsidRPr="00AD2B58" w:rsidRDefault="00670C94" w:rsidP="00AD2B58">
      <w:pPr>
        <w:pStyle w:val="Definition"/>
        <w:ind w:left="0"/>
        <w:rPr>
          <w:sz w:val="24"/>
          <w:szCs w:val="24"/>
        </w:rPr>
      </w:pPr>
      <w:proofErr w:type="gramStart"/>
      <w:r w:rsidRPr="00AD2B58">
        <w:rPr>
          <w:b/>
          <w:i/>
          <w:sz w:val="24"/>
          <w:szCs w:val="24"/>
        </w:rPr>
        <w:t>penalty</w:t>
      </w:r>
      <w:proofErr w:type="gramEnd"/>
      <w:r w:rsidRPr="00AD2B58">
        <w:rPr>
          <w:b/>
          <w:i/>
          <w:sz w:val="24"/>
          <w:szCs w:val="24"/>
        </w:rPr>
        <w:t xml:space="preserve"> pool threshold</w:t>
      </w:r>
      <w:r w:rsidRPr="00AD2B58">
        <w:rPr>
          <w:sz w:val="24"/>
          <w:szCs w:val="24"/>
        </w:rPr>
        <w:t>, for a quota type and a quota year, means the amount specified under Chapter 3 to be the penalty pool threshold for that quota type in relation to that quota year.</w:t>
      </w:r>
      <w:r w:rsidR="00C15A17">
        <w:rPr>
          <w:sz w:val="24"/>
          <w:szCs w:val="24"/>
        </w:rPr>
        <w:t xml:space="preserve"> This relates to paragraph 33(2</w:t>
      </w:r>
      <w:proofErr w:type="gramStart"/>
      <w:r w:rsidR="00C15A17">
        <w:rPr>
          <w:sz w:val="24"/>
          <w:szCs w:val="24"/>
        </w:rPr>
        <w:t>)(</w:t>
      </w:r>
      <w:proofErr w:type="gramEnd"/>
      <w:r w:rsidR="00C15A17">
        <w:rPr>
          <w:sz w:val="24"/>
          <w:szCs w:val="24"/>
        </w:rPr>
        <w:t>b) which sets the level of the uncommitted annual access amount at which penalties will not apply for any exporters (for a given quota type and quota year).</w:t>
      </w:r>
    </w:p>
    <w:p w14:paraId="134E482B" w14:textId="11E0F870" w:rsidR="00670C94" w:rsidRPr="00AD2B58" w:rsidRDefault="00670C94" w:rsidP="00AD2B58">
      <w:pPr>
        <w:pStyle w:val="Definition"/>
        <w:ind w:left="0"/>
        <w:rPr>
          <w:sz w:val="24"/>
          <w:szCs w:val="24"/>
        </w:rPr>
      </w:pPr>
      <w:r w:rsidRPr="00AD2B58">
        <w:rPr>
          <w:b/>
          <w:i/>
          <w:sz w:val="24"/>
          <w:szCs w:val="24"/>
        </w:rPr>
        <w:t>reclamation day</w:t>
      </w:r>
      <w:r w:rsidRPr="00AD2B58">
        <w:rPr>
          <w:sz w:val="24"/>
          <w:szCs w:val="24"/>
        </w:rPr>
        <w:t>, for a quota type and a quota year, means the day specified under Chapter 3 to be the reclamation day for</w:t>
      </w:r>
      <w:r w:rsidR="00C15A17">
        <w:rPr>
          <w:sz w:val="24"/>
          <w:szCs w:val="24"/>
        </w:rPr>
        <w:t xml:space="preserve"> that quota type and quota year, being the date by which certain information must be provided </w:t>
      </w:r>
      <w:r w:rsidR="00725AA9">
        <w:rPr>
          <w:sz w:val="24"/>
          <w:szCs w:val="24"/>
        </w:rPr>
        <w:t>regarding an</w:t>
      </w:r>
      <w:r w:rsidR="00C15A17">
        <w:rPr>
          <w:sz w:val="24"/>
          <w:szCs w:val="24"/>
        </w:rPr>
        <w:t xml:space="preserve"> exporter</w:t>
      </w:r>
      <w:r w:rsidR="00725AA9">
        <w:rPr>
          <w:sz w:val="24"/>
          <w:szCs w:val="24"/>
        </w:rPr>
        <w:t>’s decision to return quota</w:t>
      </w:r>
      <w:r w:rsidR="00C15A17">
        <w:rPr>
          <w:sz w:val="24"/>
          <w:szCs w:val="24"/>
        </w:rPr>
        <w:t xml:space="preserve"> or request additional allocations (set out in section 39).</w:t>
      </w:r>
    </w:p>
    <w:p w14:paraId="3D335650" w14:textId="7EA790A3" w:rsidR="00670C94" w:rsidRPr="00AD2B58" w:rsidRDefault="00670C94" w:rsidP="00AD2B58">
      <w:pPr>
        <w:pStyle w:val="Definition"/>
        <w:ind w:left="0"/>
        <w:rPr>
          <w:sz w:val="24"/>
          <w:szCs w:val="24"/>
        </w:rPr>
      </w:pPr>
      <w:proofErr w:type="gramStart"/>
      <w:r w:rsidRPr="00AD2B58">
        <w:rPr>
          <w:b/>
          <w:i/>
          <w:sz w:val="24"/>
          <w:szCs w:val="24"/>
        </w:rPr>
        <w:t>required</w:t>
      </w:r>
      <w:proofErr w:type="gramEnd"/>
      <w:r w:rsidRPr="00AD2B58">
        <w:rPr>
          <w:b/>
          <w:i/>
          <w:sz w:val="24"/>
          <w:szCs w:val="24"/>
        </w:rPr>
        <w:t xml:space="preserve"> usage percentage</w:t>
      </w:r>
      <w:r w:rsidRPr="00AD2B58">
        <w:rPr>
          <w:sz w:val="24"/>
          <w:szCs w:val="24"/>
        </w:rPr>
        <w:t>, for a quota type, means the percentage specified under Chapter 3 to be the required usage percentage for that quota type.</w:t>
      </w:r>
      <w:r w:rsidR="00C15A17">
        <w:rPr>
          <w:sz w:val="24"/>
          <w:szCs w:val="24"/>
        </w:rPr>
        <w:t xml:space="preserve">  This is the minimum percentage of an allocation that must be used to avoid a penalty, as detailed in section 33(1).</w:t>
      </w:r>
    </w:p>
    <w:p w14:paraId="758319D8" w14:textId="77777777" w:rsidR="00670C94" w:rsidRPr="00AD2B58" w:rsidRDefault="00670C94" w:rsidP="00AD2B58">
      <w:pPr>
        <w:pStyle w:val="Definition"/>
        <w:ind w:left="0"/>
        <w:rPr>
          <w:sz w:val="24"/>
          <w:szCs w:val="24"/>
        </w:rPr>
      </w:pPr>
      <w:proofErr w:type="gramStart"/>
      <w:r w:rsidRPr="00AD2B58">
        <w:rPr>
          <w:b/>
          <w:i/>
          <w:sz w:val="24"/>
          <w:szCs w:val="24"/>
        </w:rPr>
        <w:t>standard</w:t>
      </w:r>
      <w:proofErr w:type="gramEnd"/>
      <w:r w:rsidRPr="00AD2B58">
        <w:rPr>
          <w:b/>
          <w:i/>
          <w:sz w:val="24"/>
          <w:szCs w:val="24"/>
        </w:rPr>
        <w:t xml:space="preserve"> access amount</w:t>
      </w:r>
      <w:r w:rsidRPr="00AD2B58">
        <w:rPr>
          <w:sz w:val="24"/>
          <w:szCs w:val="24"/>
        </w:rPr>
        <w:t>, for a quota type and a quota year, means the weight that is the difference between the annual access amount for that quota type and quota year and the new entrant access amount for that quota type and quota year.</w:t>
      </w:r>
    </w:p>
    <w:p w14:paraId="159EAEA9" w14:textId="77777777" w:rsidR="00455887" w:rsidRDefault="00670C94" w:rsidP="00455887">
      <w:pPr>
        <w:pStyle w:val="Definition"/>
        <w:ind w:left="0"/>
        <w:rPr>
          <w:sz w:val="24"/>
          <w:szCs w:val="24"/>
        </w:rPr>
      </w:pPr>
      <w:proofErr w:type="gramStart"/>
      <w:r w:rsidRPr="00AD2B58">
        <w:rPr>
          <w:b/>
          <w:i/>
          <w:sz w:val="24"/>
          <w:szCs w:val="24"/>
        </w:rPr>
        <w:t>uncommitted</w:t>
      </w:r>
      <w:proofErr w:type="gramEnd"/>
      <w:r w:rsidRPr="00AD2B58">
        <w:rPr>
          <w:b/>
          <w:i/>
          <w:sz w:val="24"/>
          <w:szCs w:val="24"/>
        </w:rPr>
        <w:t xml:space="preserve"> new entrant access amount</w:t>
      </w:r>
      <w:r w:rsidRPr="00AD2B58">
        <w:rPr>
          <w:sz w:val="24"/>
          <w:szCs w:val="24"/>
        </w:rPr>
        <w:t>: the uncommitted new entrant access amount for a quota type and a quota year at a particular time is the difference between:</w:t>
      </w:r>
    </w:p>
    <w:p w14:paraId="75DFC83F" w14:textId="77777777" w:rsidR="00455887" w:rsidRDefault="00670C94" w:rsidP="000F6D46">
      <w:pPr>
        <w:pStyle w:val="Definition"/>
        <w:numPr>
          <w:ilvl w:val="0"/>
          <w:numId w:val="32"/>
        </w:numPr>
        <w:ind w:left="426"/>
        <w:rPr>
          <w:sz w:val="24"/>
          <w:szCs w:val="24"/>
        </w:rPr>
      </w:pPr>
      <w:r w:rsidRPr="00455887">
        <w:rPr>
          <w:sz w:val="24"/>
          <w:szCs w:val="24"/>
        </w:rPr>
        <w:t>the new entrant access amount for that quota type and quota year; and</w:t>
      </w:r>
    </w:p>
    <w:p w14:paraId="7222C97E" w14:textId="251207A2" w:rsidR="00670C94" w:rsidRPr="00455887" w:rsidRDefault="00670C94" w:rsidP="000F6D46">
      <w:pPr>
        <w:pStyle w:val="Definition"/>
        <w:numPr>
          <w:ilvl w:val="0"/>
          <w:numId w:val="32"/>
        </w:numPr>
        <w:ind w:left="426"/>
        <w:rPr>
          <w:sz w:val="24"/>
          <w:szCs w:val="24"/>
        </w:rPr>
      </w:pPr>
      <w:r w:rsidRPr="00455887">
        <w:rPr>
          <w:sz w:val="24"/>
          <w:szCs w:val="24"/>
        </w:rPr>
        <w:t>the total weight for which tariff rate quota certificates have been issued in relation to consignments of that quota type for export in that quota year using new entrant access quota.</w:t>
      </w:r>
    </w:p>
    <w:p w14:paraId="3B98D6A4" w14:textId="7D64C701" w:rsidR="00670C94" w:rsidRPr="00AD2B58" w:rsidRDefault="00670C94" w:rsidP="00AD2B58">
      <w:pPr>
        <w:pStyle w:val="notetext"/>
        <w:ind w:left="0" w:firstLine="0"/>
        <w:rPr>
          <w:sz w:val="24"/>
          <w:szCs w:val="24"/>
        </w:rPr>
      </w:pPr>
      <w:r w:rsidRPr="00AD2B58">
        <w:rPr>
          <w:sz w:val="24"/>
          <w:szCs w:val="24"/>
        </w:rPr>
        <w:t>Note:</w:t>
      </w:r>
      <w:r w:rsidRPr="00AD2B58">
        <w:rPr>
          <w:sz w:val="24"/>
          <w:szCs w:val="24"/>
        </w:rPr>
        <w:tab/>
        <w:t xml:space="preserve">If a tariff rate quota certificate in relation to a consignment is cancelled, the certificate is taken never to have been issued (see subsection </w:t>
      </w:r>
      <w:r w:rsidR="00542A46" w:rsidRPr="00AD2B58">
        <w:rPr>
          <w:sz w:val="24"/>
          <w:szCs w:val="24"/>
        </w:rPr>
        <w:t>119</w:t>
      </w:r>
      <w:r w:rsidRPr="00AD2B58">
        <w:rPr>
          <w:sz w:val="24"/>
          <w:szCs w:val="24"/>
        </w:rPr>
        <w:t>(5)).</w:t>
      </w:r>
    </w:p>
    <w:p w14:paraId="598F7E04" w14:textId="77777777" w:rsidR="00455887" w:rsidRDefault="00670C94" w:rsidP="00455887">
      <w:pPr>
        <w:pStyle w:val="Definition"/>
        <w:ind w:left="0"/>
        <w:rPr>
          <w:sz w:val="24"/>
          <w:szCs w:val="24"/>
        </w:rPr>
      </w:pPr>
      <w:proofErr w:type="gramStart"/>
      <w:r w:rsidRPr="00AD2B58">
        <w:rPr>
          <w:b/>
          <w:i/>
          <w:sz w:val="24"/>
          <w:szCs w:val="24"/>
        </w:rPr>
        <w:t>uncommitted</w:t>
      </w:r>
      <w:proofErr w:type="gramEnd"/>
      <w:r w:rsidRPr="00AD2B58">
        <w:rPr>
          <w:b/>
          <w:i/>
          <w:sz w:val="24"/>
          <w:szCs w:val="24"/>
        </w:rPr>
        <w:t xml:space="preserve"> standard access amount</w:t>
      </w:r>
      <w:r w:rsidRPr="00AD2B58">
        <w:rPr>
          <w:sz w:val="24"/>
          <w:szCs w:val="24"/>
        </w:rPr>
        <w:t>: the uncommitted standard access amount for a quota type and a quota year at a particular time is the standard access amount for that quota type and quota year reduced by the sum of:</w:t>
      </w:r>
    </w:p>
    <w:p w14:paraId="35824A34" w14:textId="77777777" w:rsidR="00455887" w:rsidRDefault="00670C94" w:rsidP="000F6D46">
      <w:pPr>
        <w:pStyle w:val="Definition"/>
        <w:numPr>
          <w:ilvl w:val="0"/>
          <w:numId w:val="32"/>
        </w:numPr>
        <w:ind w:left="426"/>
        <w:rPr>
          <w:sz w:val="24"/>
          <w:szCs w:val="24"/>
        </w:rPr>
      </w:pPr>
      <w:r w:rsidRPr="00455887">
        <w:rPr>
          <w:sz w:val="24"/>
          <w:szCs w:val="24"/>
        </w:rPr>
        <w:t>the total weight for which tariff rate quota certificates have been issued in relation to consignments of that quota type for export in that quota year using standard access quota; and</w:t>
      </w:r>
    </w:p>
    <w:p w14:paraId="2BF52C2C" w14:textId="62657C8A" w:rsidR="00670C94" w:rsidRPr="00455887" w:rsidRDefault="00670C94" w:rsidP="000F6D46">
      <w:pPr>
        <w:pStyle w:val="Definition"/>
        <w:numPr>
          <w:ilvl w:val="0"/>
          <w:numId w:val="32"/>
        </w:numPr>
        <w:ind w:left="426"/>
        <w:rPr>
          <w:sz w:val="24"/>
          <w:szCs w:val="24"/>
        </w:rPr>
      </w:pPr>
      <w:proofErr w:type="gramStart"/>
      <w:r w:rsidRPr="00455887">
        <w:rPr>
          <w:sz w:val="24"/>
          <w:szCs w:val="24"/>
        </w:rPr>
        <w:t>the</w:t>
      </w:r>
      <w:proofErr w:type="gramEnd"/>
      <w:r w:rsidRPr="00455887">
        <w:rPr>
          <w:sz w:val="24"/>
          <w:szCs w:val="24"/>
        </w:rPr>
        <w:t xml:space="preserve"> total tariff rate quota entitlements of all persons for that quota type and quota year.</w:t>
      </w:r>
    </w:p>
    <w:p w14:paraId="77AC608F" w14:textId="1E337311" w:rsidR="00670C94" w:rsidRDefault="00670C94" w:rsidP="00AD2B58">
      <w:pPr>
        <w:pStyle w:val="notetext"/>
        <w:ind w:left="0" w:firstLine="0"/>
        <w:rPr>
          <w:sz w:val="24"/>
          <w:szCs w:val="24"/>
        </w:rPr>
      </w:pPr>
      <w:r w:rsidRPr="00AD2B58">
        <w:rPr>
          <w:sz w:val="24"/>
          <w:szCs w:val="24"/>
        </w:rPr>
        <w:lastRenderedPageBreak/>
        <w:t>Note:</w:t>
      </w:r>
      <w:r w:rsidRPr="00AD2B58">
        <w:rPr>
          <w:sz w:val="24"/>
          <w:szCs w:val="24"/>
        </w:rPr>
        <w:tab/>
        <w:t xml:space="preserve">If a tariff rate quota certificate in relation to a consignment is cancelled, the certificate is taken never to have been issued (see subsection </w:t>
      </w:r>
      <w:r w:rsidR="00542A46" w:rsidRPr="00AD2B58">
        <w:rPr>
          <w:sz w:val="24"/>
          <w:szCs w:val="24"/>
        </w:rPr>
        <w:t>119</w:t>
      </w:r>
      <w:r w:rsidRPr="00AD2B58">
        <w:rPr>
          <w:sz w:val="24"/>
          <w:szCs w:val="24"/>
        </w:rPr>
        <w:t>(5)).</w:t>
      </w:r>
    </w:p>
    <w:p w14:paraId="7859E862" w14:textId="77777777" w:rsidR="00455887" w:rsidRPr="00AD2B58" w:rsidRDefault="00455887" w:rsidP="00AD2B58">
      <w:pPr>
        <w:pStyle w:val="notetext"/>
        <w:ind w:left="0" w:firstLine="0"/>
        <w:rPr>
          <w:sz w:val="24"/>
          <w:szCs w:val="24"/>
        </w:rPr>
      </w:pPr>
    </w:p>
    <w:p w14:paraId="2B014037" w14:textId="36D216D6" w:rsidR="00670C94" w:rsidRDefault="00670C94" w:rsidP="00542A46">
      <w:pPr>
        <w:pStyle w:val="paragraph"/>
        <w:rPr>
          <w:szCs w:val="24"/>
          <w:u w:val="single"/>
        </w:rPr>
      </w:pPr>
      <w:bookmarkStart w:id="38" w:name="_Toc24038790"/>
      <w:r>
        <w:rPr>
          <w:sz w:val="24"/>
          <w:szCs w:val="24"/>
          <w:u w:val="single"/>
        </w:rPr>
        <w:t xml:space="preserve">Section </w:t>
      </w:r>
      <w:r w:rsidR="00343FFB">
        <w:rPr>
          <w:szCs w:val="24"/>
          <w:u w:val="single"/>
        </w:rPr>
        <w:t>28</w:t>
      </w:r>
      <w:r w:rsidRPr="00542A46">
        <w:rPr>
          <w:sz w:val="24"/>
          <w:szCs w:val="24"/>
          <w:u w:val="single"/>
        </w:rPr>
        <w:t xml:space="preserve"> </w:t>
      </w:r>
      <w:r>
        <w:rPr>
          <w:sz w:val="24"/>
          <w:szCs w:val="24"/>
          <w:u w:val="single"/>
        </w:rPr>
        <w:t>-</w:t>
      </w:r>
      <w:r w:rsidRPr="00542A46">
        <w:rPr>
          <w:sz w:val="24"/>
          <w:szCs w:val="24"/>
          <w:u w:val="single"/>
        </w:rPr>
        <w:t xml:space="preserve"> New entrants</w:t>
      </w:r>
      <w:bookmarkEnd w:id="38"/>
    </w:p>
    <w:p w14:paraId="221C679E" w14:textId="77777777" w:rsidR="00670C94" w:rsidRDefault="00670C94" w:rsidP="00542A46">
      <w:pPr>
        <w:pStyle w:val="paragraph"/>
        <w:rPr>
          <w:szCs w:val="24"/>
          <w:u w:val="single"/>
        </w:rPr>
      </w:pPr>
    </w:p>
    <w:p w14:paraId="7942934C" w14:textId="5D793566" w:rsidR="00670C94" w:rsidRDefault="00670C94" w:rsidP="00670C94">
      <w:pPr>
        <w:pStyle w:val="paragraph"/>
        <w:rPr>
          <w:sz w:val="24"/>
          <w:szCs w:val="24"/>
        </w:rPr>
      </w:pPr>
      <w:r>
        <w:rPr>
          <w:rStyle w:val="CharSectno"/>
          <w:sz w:val="24"/>
          <w:szCs w:val="24"/>
        </w:rPr>
        <w:t xml:space="preserve">Section </w:t>
      </w:r>
      <w:r w:rsidR="00343FFB">
        <w:rPr>
          <w:rStyle w:val="CharSectno"/>
          <w:sz w:val="24"/>
          <w:szCs w:val="24"/>
        </w:rPr>
        <w:t>28</w:t>
      </w:r>
      <w:r>
        <w:rPr>
          <w:rStyle w:val="CharSectno"/>
          <w:sz w:val="24"/>
          <w:szCs w:val="24"/>
        </w:rPr>
        <w:t xml:space="preserve"> </w:t>
      </w:r>
      <w:r w:rsidRPr="0057061D">
        <w:rPr>
          <w:sz w:val="24"/>
          <w:szCs w:val="24"/>
        </w:rPr>
        <w:t xml:space="preserve">provides </w:t>
      </w:r>
      <w:r w:rsidR="00455887">
        <w:rPr>
          <w:sz w:val="24"/>
          <w:szCs w:val="24"/>
        </w:rPr>
        <w:t xml:space="preserve">a </w:t>
      </w:r>
      <w:r w:rsidRPr="0057061D">
        <w:rPr>
          <w:sz w:val="24"/>
          <w:szCs w:val="24"/>
        </w:rPr>
        <w:t xml:space="preserve">definition </w:t>
      </w:r>
      <w:r>
        <w:rPr>
          <w:sz w:val="24"/>
          <w:szCs w:val="24"/>
        </w:rPr>
        <w:t>of new entrants.</w:t>
      </w:r>
    </w:p>
    <w:p w14:paraId="10C1E388" w14:textId="77777777" w:rsidR="00670C94" w:rsidRPr="00542A46" w:rsidRDefault="00670C94" w:rsidP="00542A46">
      <w:pPr>
        <w:pStyle w:val="paragraph"/>
        <w:rPr>
          <w:szCs w:val="24"/>
          <w:u w:val="single"/>
        </w:rPr>
      </w:pPr>
    </w:p>
    <w:p w14:paraId="1D7913B5" w14:textId="0E027FEC" w:rsidR="00455887" w:rsidRDefault="00455887" w:rsidP="00455887">
      <w:pPr>
        <w:spacing w:line="240" w:lineRule="auto"/>
        <w:rPr>
          <w:sz w:val="24"/>
          <w:szCs w:val="24"/>
        </w:rPr>
      </w:pPr>
      <w:r w:rsidRPr="00455887">
        <w:rPr>
          <w:sz w:val="24"/>
          <w:szCs w:val="24"/>
        </w:rPr>
        <w:t>Subsection 28(1) provides that a</w:t>
      </w:r>
      <w:r w:rsidR="00670C94" w:rsidRPr="00455887">
        <w:rPr>
          <w:sz w:val="24"/>
          <w:szCs w:val="24"/>
        </w:rPr>
        <w:t xml:space="preserve"> person is a new entrant for</w:t>
      </w:r>
      <w:r>
        <w:rPr>
          <w:sz w:val="24"/>
          <w:szCs w:val="24"/>
        </w:rPr>
        <w:t xml:space="preserve"> a quota type and quota year if </w:t>
      </w:r>
      <w:r w:rsidR="00670C94" w:rsidRPr="00455887">
        <w:rPr>
          <w:sz w:val="24"/>
          <w:szCs w:val="24"/>
        </w:rPr>
        <w:t>the person is:</w:t>
      </w:r>
    </w:p>
    <w:p w14:paraId="245E7098" w14:textId="77777777" w:rsidR="00455887" w:rsidRDefault="00670C94" w:rsidP="000F6D46">
      <w:pPr>
        <w:pStyle w:val="ListParagraph"/>
        <w:numPr>
          <w:ilvl w:val="0"/>
          <w:numId w:val="33"/>
        </w:numPr>
        <w:spacing w:line="240" w:lineRule="auto"/>
        <w:ind w:left="426"/>
        <w:rPr>
          <w:sz w:val="24"/>
          <w:szCs w:val="24"/>
        </w:rPr>
      </w:pPr>
      <w:r w:rsidRPr="00455887">
        <w:rPr>
          <w:sz w:val="24"/>
          <w:szCs w:val="24"/>
        </w:rPr>
        <w:t>a first year new entrant for the quota type and quota year; or</w:t>
      </w:r>
    </w:p>
    <w:p w14:paraId="7AADD1B4" w14:textId="77777777" w:rsidR="00455887" w:rsidRDefault="00670C94" w:rsidP="000F6D46">
      <w:pPr>
        <w:pStyle w:val="ListParagraph"/>
        <w:numPr>
          <w:ilvl w:val="0"/>
          <w:numId w:val="33"/>
        </w:numPr>
        <w:spacing w:line="240" w:lineRule="auto"/>
        <w:ind w:left="426"/>
        <w:rPr>
          <w:sz w:val="24"/>
          <w:szCs w:val="24"/>
        </w:rPr>
      </w:pPr>
      <w:r w:rsidRPr="00455887">
        <w:rPr>
          <w:sz w:val="24"/>
          <w:szCs w:val="24"/>
        </w:rPr>
        <w:t>a second year new entrant for the quota type and quota year; or</w:t>
      </w:r>
    </w:p>
    <w:p w14:paraId="75A6A31B" w14:textId="7952CD7D" w:rsidR="00670C94" w:rsidRPr="00455887" w:rsidRDefault="00670C94" w:rsidP="000F6D46">
      <w:pPr>
        <w:pStyle w:val="ListParagraph"/>
        <w:numPr>
          <w:ilvl w:val="0"/>
          <w:numId w:val="33"/>
        </w:numPr>
        <w:spacing w:line="240" w:lineRule="auto"/>
        <w:ind w:left="426"/>
        <w:rPr>
          <w:sz w:val="24"/>
          <w:szCs w:val="24"/>
        </w:rPr>
      </w:pPr>
      <w:proofErr w:type="gramStart"/>
      <w:r w:rsidRPr="00455887">
        <w:rPr>
          <w:sz w:val="24"/>
          <w:szCs w:val="24"/>
        </w:rPr>
        <w:t>a</w:t>
      </w:r>
      <w:proofErr w:type="gramEnd"/>
      <w:r w:rsidRPr="00455887">
        <w:rPr>
          <w:sz w:val="24"/>
          <w:szCs w:val="24"/>
        </w:rPr>
        <w:t xml:space="preserve"> third year new entrant for the quota type and quota year.</w:t>
      </w:r>
    </w:p>
    <w:p w14:paraId="178447A0" w14:textId="77777777" w:rsidR="00455887" w:rsidRDefault="00455887" w:rsidP="00455887">
      <w:pPr>
        <w:spacing w:line="240" w:lineRule="auto"/>
        <w:rPr>
          <w:sz w:val="24"/>
          <w:szCs w:val="24"/>
        </w:rPr>
      </w:pPr>
    </w:p>
    <w:p w14:paraId="671F8222" w14:textId="10F22980" w:rsidR="00455887" w:rsidRDefault="00455887" w:rsidP="00455887">
      <w:pPr>
        <w:spacing w:line="240" w:lineRule="auto"/>
        <w:rPr>
          <w:sz w:val="24"/>
          <w:szCs w:val="24"/>
        </w:rPr>
      </w:pPr>
      <w:r>
        <w:rPr>
          <w:sz w:val="24"/>
          <w:szCs w:val="24"/>
        </w:rPr>
        <w:t>Subsection 28(2) provides that a</w:t>
      </w:r>
      <w:r w:rsidR="00670C94" w:rsidRPr="00455887">
        <w:rPr>
          <w:sz w:val="24"/>
          <w:szCs w:val="24"/>
        </w:rPr>
        <w:t xml:space="preserve"> person is a first year new entrant for a quota type and quota year </w:t>
      </w:r>
      <w:r w:rsidR="00B37FFA" w:rsidRPr="00455887">
        <w:rPr>
          <w:sz w:val="24"/>
          <w:szCs w:val="24"/>
        </w:rPr>
        <w:t xml:space="preserve">(the current quota year) </w:t>
      </w:r>
      <w:r w:rsidR="00670C94" w:rsidRPr="00455887">
        <w:rPr>
          <w:sz w:val="24"/>
          <w:szCs w:val="24"/>
        </w:rPr>
        <w:t>if the person:</w:t>
      </w:r>
    </w:p>
    <w:p w14:paraId="2A899AE4" w14:textId="77777777" w:rsidR="00455887" w:rsidRDefault="00B37FFA" w:rsidP="000F6D46">
      <w:pPr>
        <w:pStyle w:val="ListParagraph"/>
        <w:numPr>
          <w:ilvl w:val="0"/>
          <w:numId w:val="34"/>
        </w:numPr>
        <w:spacing w:line="240" w:lineRule="auto"/>
        <w:ind w:left="426"/>
        <w:rPr>
          <w:sz w:val="24"/>
          <w:szCs w:val="24"/>
        </w:rPr>
      </w:pPr>
      <w:r w:rsidRPr="00455887">
        <w:rPr>
          <w:sz w:val="24"/>
          <w:szCs w:val="24"/>
        </w:rPr>
        <w:t>applied for</w:t>
      </w:r>
      <w:r w:rsidR="00670C94" w:rsidRPr="00455887">
        <w:rPr>
          <w:sz w:val="24"/>
          <w:szCs w:val="24"/>
        </w:rPr>
        <w:t xml:space="preserve"> a tariff rate quota certificate in relation to a consignment of </w:t>
      </w:r>
      <w:r w:rsidRPr="00455887">
        <w:rPr>
          <w:sz w:val="24"/>
          <w:szCs w:val="24"/>
        </w:rPr>
        <w:t>the</w:t>
      </w:r>
      <w:r w:rsidR="00670C94" w:rsidRPr="00455887">
        <w:rPr>
          <w:sz w:val="24"/>
          <w:szCs w:val="24"/>
        </w:rPr>
        <w:t xml:space="preserve"> quota type for export in the </w:t>
      </w:r>
      <w:r w:rsidRPr="00455887">
        <w:rPr>
          <w:sz w:val="24"/>
          <w:szCs w:val="24"/>
        </w:rPr>
        <w:t xml:space="preserve">current </w:t>
      </w:r>
      <w:r w:rsidR="00670C94" w:rsidRPr="00455887">
        <w:rPr>
          <w:sz w:val="24"/>
          <w:szCs w:val="24"/>
        </w:rPr>
        <w:t>quota year; and</w:t>
      </w:r>
    </w:p>
    <w:p w14:paraId="0643475C" w14:textId="5D8042E8" w:rsidR="00455887" w:rsidRDefault="00B37FFA" w:rsidP="000F6D46">
      <w:pPr>
        <w:pStyle w:val="ListParagraph"/>
        <w:numPr>
          <w:ilvl w:val="0"/>
          <w:numId w:val="34"/>
        </w:numPr>
        <w:spacing w:line="240" w:lineRule="auto"/>
        <w:ind w:left="426"/>
        <w:rPr>
          <w:sz w:val="24"/>
          <w:szCs w:val="24"/>
        </w:rPr>
      </w:pPr>
      <w:r w:rsidRPr="00455887">
        <w:rPr>
          <w:sz w:val="24"/>
          <w:szCs w:val="24"/>
        </w:rPr>
        <w:t>has</w:t>
      </w:r>
      <w:r w:rsidR="00670C94" w:rsidRPr="00455887">
        <w:rPr>
          <w:sz w:val="24"/>
          <w:szCs w:val="24"/>
        </w:rPr>
        <w:t xml:space="preserve"> not </w:t>
      </w:r>
      <w:r w:rsidRPr="00455887">
        <w:rPr>
          <w:sz w:val="24"/>
          <w:szCs w:val="24"/>
        </w:rPr>
        <w:t xml:space="preserve">been </w:t>
      </w:r>
      <w:r w:rsidR="00670C94" w:rsidRPr="00455887">
        <w:rPr>
          <w:sz w:val="24"/>
          <w:szCs w:val="24"/>
        </w:rPr>
        <w:t xml:space="preserve">allocated a tariff rate quota entitlement under section </w:t>
      </w:r>
      <w:r w:rsidR="001C37BA" w:rsidRPr="00455887">
        <w:rPr>
          <w:sz w:val="24"/>
          <w:szCs w:val="24"/>
        </w:rPr>
        <w:t>30</w:t>
      </w:r>
      <w:r w:rsidR="00CB5929" w:rsidRPr="00455887">
        <w:rPr>
          <w:sz w:val="24"/>
          <w:szCs w:val="24"/>
        </w:rPr>
        <w:t xml:space="preserve"> or </w:t>
      </w:r>
      <w:r w:rsidR="00382D05" w:rsidRPr="00455887">
        <w:rPr>
          <w:sz w:val="24"/>
          <w:szCs w:val="24"/>
        </w:rPr>
        <w:t>4</w:t>
      </w:r>
      <w:r w:rsidR="00CB5929" w:rsidRPr="00455887">
        <w:rPr>
          <w:sz w:val="24"/>
          <w:szCs w:val="24"/>
        </w:rPr>
        <w:t>5</w:t>
      </w:r>
      <w:r w:rsidR="00670C94" w:rsidRPr="00455887">
        <w:rPr>
          <w:sz w:val="24"/>
          <w:szCs w:val="24"/>
        </w:rPr>
        <w:t xml:space="preserve"> for the quota type and </w:t>
      </w:r>
      <w:r w:rsidRPr="00455887">
        <w:rPr>
          <w:sz w:val="24"/>
          <w:szCs w:val="24"/>
        </w:rPr>
        <w:t xml:space="preserve">the current </w:t>
      </w:r>
      <w:r w:rsidR="00670C94" w:rsidRPr="00455887">
        <w:rPr>
          <w:sz w:val="24"/>
          <w:szCs w:val="24"/>
        </w:rPr>
        <w:t>quota year</w:t>
      </w:r>
      <w:r w:rsidR="00382D05" w:rsidRPr="00455887">
        <w:rPr>
          <w:sz w:val="24"/>
          <w:szCs w:val="24"/>
        </w:rPr>
        <w:t xml:space="preserve"> or any of the 3 quota years preceding the current quota year</w:t>
      </w:r>
      <w:r w:rsidR="00670C94" w:rsidRPr="00455887">
        <w:rPr>
          <w:sz w:val="24"/>
          <w:szCs w:val="24"/>
        </w:rPr>
        <w:t>; and</w:t>
      </w:r>
    </w:p>
    <w:p w14:paraId="1CCE24AA" w14:textId="146F5132" w:rsidR="00455887" w:rsidRDefault="00B37FFA" w:rsidP="000F6D46">
      <w:pPr>
        <w:pStyle w:val="ListParagraph"/>
        <w:numPr>
          <w:ilvl w:val="0"/>
          <w:numId w:val="34"/>
        </w:numPr>
        <w:spacing w:line="240" w:lineRule="auto"/>
        <w:ind w:left="426"/>
        <w:rPr>
          <w:sz w:val="24"/>
          <w:szCs w:val="24"/>
        </w:rPr>
      </w:pPr>
      <w:r w:rsidRPr="00455887">
        <w:rPr>
          <w:sz w:val="24"/>
          <w:szCs w:val="24"/>
        </w:rPr>
        <w:t>has not been issued a tariff rate quota certificate in relation to a consignment of the quota type for export in either of the 2 quota years preceding the current quota year using new entrant access quota; and</w:t>
      </w:r>
    </w:p>
    <w:p w14:paraId="422DCB46" w14:textId="77777777" w:rsidR="00455887" w:rsidRDefault="00455887" w:rsidP="000F6D46">
      <w:pPr>
        <w:pStyle w:val="ListParagraph"/>
        <w:numPr>
          <w:ilvl w:val="0"/>
          <w:numId w:val="34"/>
        </w:numPr>
        <w:spacing w:line="240" w:lineRule="auto"/>
        <w:ind w:left="426"/>
        <w:rPr>
          <w:sz w:val="24"/>
          <w:szCs w:val="24"/>
        </w:rPr>
      </w:pPr>
      <w:r w:rsidRPr="00455887">
        <w:rPr>
          <w:sz w:val="24"/>
          <w:szCs w:val="24"/>
        </w:rPr>
        <w:t>i</w:t>
      </w:r>
      <w:r w:rsidR="00670C94" w:rsidRPr="00455887">
        <w:rPr>
          <w:sz w:val="24"/>
          <w:szCs w:val="24"/>
        </w:rPr>
        <w:t xml:space="preserve">s not </w:t>
      </w:r>
      <w:r w:rsidR="00B37FFA" w:rsidRPr="00455887">
        <w:rPr>
          <w:sz w:val="24"/>
          <w:szCs w:val="24"/>
        </w:rPr>
        <w:t xml:space="preserve">an associated entity, within the meaning of the </w:t>
      </w:r>
      <w:r w:rsidR="00B37FFA" w:rsidRPr="00455887">
        <w:rPr>
          <w:i/>
          <w:sz w:val="24"/>
          <w:szCs w:val="24"/>
        </w:rPr>
        <w:t>Corporations Act 2001,</w:t>
      </w:r>
      <w:r w:rsidR="00670C94" w:rsidRPr="00455887">
        <w:rPr>
          <w:sz w:val="24"/>
          <w:szCs w:val="24"/>
        </w:rPr>
        <w:t xml:space="preserve"> of any person who:</w:t>
      </w:r>
    </w:p>
    <w:p w14:paraId="20E907E5" w14:textId="66FA5B04" w:rsidR="00455887" w:rsidRDefault="00670C94" w:rsidP="000F6D46">
      <w:pPr>
        <w:pStyle w:val="ListParagraph"/>
        <w:numPr>
          <w:ilvl w:val="1"/>
          <w:numId w:val="34"/>
        </w:numPr>
        <w:spacing w:line="240" w:lineRule="auto"/>
        <w:ind w:left="851"/>
        <w:rPr>
          <w:sz w:val="24"/>
          <w:szCs w:val="24"/>
        </w:rPr>
      </w:pPr>
      <w:r w:rsidRPr="00455887">
        <w:rPr>
          <w:sz w:val="24"/>
          <w:szCs w:val="24"/>
        </w:rPr>
        <w:t xml:space="preserve">has been allocated a tariff rate quota entitlement under section </w:t>
      </w:r>
      <w:r w:rsidR="001C37BA" w:rsidRPr="00455887">
        <w:rPr>
          <w:sz w:val="24"/>
          <w:szCs w:val="24"/>
        </w:rPr>
        <w:t>30</w:t>
      </w:r>
      <w:r w:rsidRPr="00455887">
        <w:rPr>
          <w:sz w:val="24"/>
          <w:szCs w:val="24"/>
        </w:rPr>
        <w:t xml:space="preserve"> or </w:t>
      </w:r>
      <w:r w:rsidR="00E730A1" w:rsidRPr="00455887">
        <w:rPr>
          <w:sz w:val="24"/>
          <w:szCs w:val="24"/>
        </w:rPr>
        <w:t>45</w:t>
      </w:r>
      <w:r w:rsidRPr="00455887">
        <w:rPr>
          <w:sz w:val="24"/>
          <w:szCs w:val="24"/>
        </w:rPr>
        <w:t xml:space="preserve"> for the quota type and </w:t>
      </w:r>
      <w:r w:rsidR="00B37FFA" w:rsidRPr="00455887">
        <w:rPr>
          <w:sz w:val="24"/>
          <w:szCs w:val="24"/>
        </w:rPr>
        <w:t>the current quota year or</w:t>
      </w:r>
      <w:r w:rsidRPr="00455887">
        <w:rPr>
          <w:i/>
          <w:sz w:val="24"/>
          <w:szCs w:val="24"/>
        </w:rPr>
        <w:t xml:space="preserve"> </w:t>
      </w:r>
      <w:r w:rsidRPr="00455887">
        <w:rPr>
          <w:sz w:val="24"/>
          <w:szCs w:val="24"/>
        </w:rPr>
        <w:t>any of the 3 quota years</w:t>
      </w:r>
      <w:r w:rsidR="00B37FFA" w:rsidRPr="00455887">
        <w:rPr>
          <w:sz w:val="24"/>
          <w:szCs w:val="24"/>
        </w:rPr>
        <w:t xml:space="preserve"> p</w:t>
      </w:r>
      <w:r w:rsidR="00035E2A" w:rsidRPr="00455887">
        <w:rPr>
          <w:sz w:val="24"/>
          <w:szCs w:val="24"/>
        </w:rPr>
        <w:t>receding the current quota year</w:t>
      </w:r>
      <w:r w:rsidR="00B37FFA" w:rsidRPr="00455887">
        <w:rPr>
          <w:sz w:val="24"/>
          <w:szCs w:val="24"/>
        </w:rPr>
        <w:t>;</w:t>
      </w:r>
      <w:r w:rsidR="00035E2A" w:rsidRPr="00455887">
        <w:rPr>
          <w:sz w:val="24"/>
          <w:szCs w:val="24"/>
        </w:rPr>
        <w:t xml:space="preserve"> </w:t>
      </w:r>
      <w:r w:rsidR="00B37FFA" w:rsidRPr="00455887">
        <w:rPr>
          <w:sz w:val="24"/>
          <w:szCs w:val="24"/>
        </w:rPr>
        <w:t>or</w:t>
      </w:r>
    </w:p>
    <w:p w14:paraId="0D8AA383" w14:textId="2EAD01F8" w:rsidR="00455887" w:rsidRPr="00455887" w:rsidRDefault="00B37FFA" w:rsidP="000F6D46">
      <w:pPr>
        <w:pStyle w:val="ListParagraph"/>
        <w:numPr>
          <w:ilvl w:val="1"/>
          <w:numId w:val="34"/>
        </w:numPr>
        <w:spacing w:line="240" w:lineRule="auto"/>
        <w:ind w:left="851"/>
        <w:rPr>
          <w:sz w:val="24"/>
          <w:szCs w:val="24"/>
        </w:rPr>
      </w:pPr>
      <w:proofErr w:type="gramStart"/>
      <w:r w:rsidRPr="00455887">
        <w:rPr>
          <w:sz w:val="24"/>
          <w:szCs w:val="24"/>
        </w:rPr>
        <w:t>has</w:t>
      </w:r>
      <w:proofErr w:type="gramEnd"/>
      <w:r w:rsidRPr="00455887">
        <w:rPr>
          <w:sz w:val="24"/>
          <w:szCs w:val="24"/>
        </w:rPr>
        <w:t xml:space="preserve"> been issued a tariff rate quota certificate in relation to a consignment of the quota type for export in the current quota year, or either of the 2 quota years preceding the current quota year, using new entrant access quota.</w:t>
      </w:r>
    </w:p>
    <w:p w14:paraId="33386EF9" w14:textId="77777777" w:rsidR="00455887" w:rsidRDefault="00455887" w:rsidP="00455887">
      <w:pPr>
        <w:spacing w:line="240" w:lineRule="auto"/>
        <w:rPr>
          <w:sz w:val="24"/>
          <w:szCs w:val="24"/>
        </w:rPr>
      </w:pPr>
    </w:p>
    <w:p w14:paraId="6F81295F" w14:textId="2D829361" w:rsidR="00455887" w:rsidRDefault="00455887" w:rsidP="00455887">
      <w:pPr>
        <w:spacing w:line="240" w:lineRule="auto"/>
        <w:rPr>
          <w:sz w:val="24"/>
          <w:szCs w:val="24"/>
        </w:rPr>
      </w:pPr>
      <w:r>
        <w:rPr>
          <w:sz w:val="24"/>
          <w:szCs w:val="24"/>
        </w:rPr>
        <w:t>Subsection 28(3) provides that a</w:t>
      </w:r>
      <w:r w:rsidR="00CB5929" w:rsidRPr="00455887">
        <w:rPr>
          <w:sz w:val="24"/>
          <w:szCs w:val="24"/>
        </w:rPr>
        <w:t xml:space="preserve"> person is a second year new entrant for a quota type and quota year if:</w:t>
      </w:r>
    </w:p>
    <w:p w14:paraId="458F8AC9" w14:textId="77777777" w:rsidR="00455887" w:rsidRDefault="00CB5929" w:rsidP="000F6D46">
      <w:pPr>
        <w:pStyle w:val="ListParagraph"/>
        <w:numPr>
          <w:ilvl w:val="0"/>
          <w:numId w:val="35"/>
        </w:numPr>
        <w:spacing w:line="240" w:lineRule="auto"/>
        <w:ind w:left="426"/>
        <w:rPr>
          <w:sz w:val="24"/>
          <w:szCs w:val="24"/>
        </w:rPr>
      </w:pPr>
      <w:r w:rsidRPr="00455887">
        <w:rPr>
          <w:sz w:val="24"/>
          <w:szCs w:val="24"/>
        </w:rPr>
        <w:t>the person was a first year new entrant for the quota type and the previous quota year; and</w:t>
      </w:r>
    </w:p>
    <w:p w14:paraId="5D39594B" w14:textId="055CAB6F" w:rsidR="00CB5929" w:rsidRPr="00455887" w:rsidRDefault="00CB5929" w:rsidP="000F6D46">
      <w:pPr>
        <w:pStyle w:val="ListParagraph"/>
        <w:numPr>
          <w:ilvl w:val="0"/>
          <w:numId w:val="35"/>
        </w:numPr>
        <w:spacing w:line="240" w:lineRule="auto"/>
        <w:ind w:left="426"/>
        <w:rPr>
          <w:sz w:val="24"/>
          <w:szCs w:val="24"/>
        </w:rPr>
      </w:pPr>
      <w:proofErr w:type="gramStart"/>
      <w:r w:rsidRPr="00455887">
        <w:rPr>
          <w:sz w:val="24"/>
          <w:szCs w:val="24"/>
        </w:rPr>
        <w:t>the</w:t>
      </w:r>
      <w:proofErr w:type="gramEnd"/>
      <w:r w:rsidRPr="00455887">
        <w:rPr>
          <w:sz w:val="24"/>
          <w:szCs w:val="24"/>
        </w:rPr>
        <w:t xml:space="preserve"> person has not been allocated a tariff rate quota entitlement under section 30 for the quota type and quota year.</w:t>
      </w:r>
    </w:p>
    <w:p w14:paraId="170603D3" w14:textId="77777777" w:rsidR="00455887" w:rsidRDefault="00455887" w:rsidP="00455887">
      <w:pPr>
        <w:spacing w:line="240" w:lineRule="auto"/>
        <w:rPr>
          <w:sz w:val="24"/>
          <w:szCs w:val="24"/>
        </w:rPr>
      </w:pPr>
    </w:p>
    <w:p w14:paraId="463476CD" w14:textId="4F2987D5" w:rsidR="00455887" w:rsidRDefault="00455887" w:rsidP="00455887">
      <w:pPr>
        <w:spacing w:line="240" w:lineRule="auto"/>
        <w:rPr>
          <w:sz w:val="24"/>
          <w:szCs w:val="24"/>
        </w:rPr>
      </w:pPr>
      <w:r>
        <w:rPr>
          <w:sz w:val="24"/>
          <w:szCs w:val="24"/>
        </w:rPr>
        <w:t>Subsection 28(4) provides that a</w:t>
      </w:r>
      <w:r w:rsidR="00CB5929" w:rsidRPr="00455887">
        <w:rPr>
          <w:sz w:val="24"/>
          <w:szCs w:val="24"/>
        </w:rPr>
        <w:t xml:space="preserve"> person is </w:t>
      </w:r>
      <w:r w:rsidR="00C353F4">
        <w:rPr>
          <w:sz w:val="24"/>
          <w:szCs w:val="24"/>
        </w:rPr>
        <w:t>a</w:t>
      </w:r>
      <w:r w:rsidR="00CB5929" w:rsidRPr="00455887">
        <w:rPr>
          <w:sz w:val="24"/>
          <w:szCs w:val="24"/>
        </w:rPr>
        <w:t xml:space="preserve"> third year new entrant for a quota type and quota year if:</w:t>
      </w:r>
    </w:p>
    <w:p w14:paraId="727B93F6" w14:textId="77777777" w:rsidR="00455887" w:rsidRPr="00455887" w:rsidRDefault="00CB5929" w:rsidP="000F6D46">
      <w:pPr>
        <w:pStyle w:val="ListParagraph"/>
        <w:numPr>
          <w:ilvl w:val="0"/>
          <w:numId w:val="36"/>
        </w:numPr>
        <w:spacing w:line="240" w:lineRule="auto"/>
        <w:ind w:left="426"/>
        <w:rPr>
          <w:sz w:val="24"/>
          <w:szCs w:val="24"/>
        </w:rPr>
      </w:pPr>
      <w:r w:rsidRPr="00455887">
        <w:rPr>
          <w:sz w:val="24"/>
          <w:szCs w:val="24"/>
        </w:rPr>
        <w:t>the person was a second year new entrant for the quota type and the previous quota year; and</w:t>
      </w:r>
    </w:p>
    <w:p w14:paraId="35980FB8" w14:textId="074CCD4D" w:rsidR="00CB5929" w:rsidRDefault="00CB5929" w:rsidP="000F6D46">
      <w:pPr>
        <w:pStyle w:val="ListParagraph"/>
        <w:numPr>
          <w:ilvl w:val="0"/>
          <w:numId w:val="36"/>
        </w:numPr>
        <w:spacing w:line="240" w:lineRule="auto"/>
        <w:ind w:left="426"/>
        <w:rPr>
          <w:sz w:val="24"/>
          <w:szCs w:val="24"/>
        </w:rPr>
      </w:pPr>
      <w:proofErr w:type="gramStart"/>
      <w:r w:rsidRPr="00455887">
        <w:rPr>
          <w:sz w:val="24"/>
          <w:szCs w:val="24"/>
        </w:rPr>
        <w:t>the</w:t>
      </w:r>
      <w:proofErr w:type="gramEnd"/>
      <w:r w:rsidRPr="00455887">
        <w:rPr>
          <w:sz w:val="24"/>
          <w:szCs w:val="24"/>
        </w:rPr>
        <w:t xml:space="preserve"> person has not been allocated a tariff rate quota entitlement under section 30 fo</w:t>
      </w:r>
      <w:r w:rsidR="00B670C7">
        <w:rPr>
          <w:sz w:val="24"/>
          <w:szCs w:val="24"/>
        </w:rPr>
        <w:t>r the quota type and quota year.</w:t>
      </w:r>
    </w:p>
    <w:p w14:paraId="4B4C6DC9" w14:textId="77777777" w:rsidR="00B670C7" w:rsidRDefault="00B670C7" w:rsidP="00B670C7">
      <w:pPr>
        <w:spacing w:line="240" w:lineRule="auto"/>
        <w:rPr>
          <w:sz w:val="24"/>
          <w:szCs w:val="24"/>
        </w:rPr>
      </w:pPr>
    </w:p>
    <w:p w14:paraId="66BA3B98" w14:textId="286CAB10" w:rsidR="00B670C7" w:rsidRPr="00B670C7" w:rsidRDefault="00B670C7" w:rsidP="00B670C7">
      <w:pPr>
        <w:spacing w:line="240" w:lineRule="auto"/>
        <w:rPr>
          <w:sz w:val="24"/>
          <w:szCs w:val="24"/>
        </w:rPr>
      </w:pPr>
      <w:r>
        <w:rPr>
          <w:sz w:val="24"/>
          <w:szCs w:val="24"/>
        </w:rPr>
        <w:lastRenderedPageBreak/>
        <w:t xml:space="preserve">Section </w:t>
      </w:r>
      <w:proofErr w:type="gramStart"/>
      <w:r>
        <w:rPr>
          <w:sz w:val="24"/>
          <w:szCs w:val="24"/>
        </w:rPr>
        <w:t>28  ensure</w:t>
      </w:r>
      <w:r w:rsidR="00DE28AC">
        <w:rPr>
          <w:sz w:val="24"/>
          <w:szCs w:val="24"/>
        </w:rPr>
        <w:t>s</w:t>
      </w:r>
      <w:proofErr w:type="gramEnd"/>
      <w:r>
        <w:rPr>
          <w:sz w:val="24"/>
          <w:szCs w:val="24"/>
        </w:rPr>
        <w:t xml:space="preserve"> that there is an appropriate pathway for a person to begin accessing the tariff rate quota, without allowing the pathway to be misused, </w:t>
      </w:r>
      <w:r w:rsidR="00DE28AC">
        <w:rPr>
          <w:sz w:val="24"/>
          <w:szCs w:val="24"/>
        </w:rPr>
        <w:t>by</w:t>
      </w:r>
      <w:r>
        <w:rPr>
          <w:sz w:val="24"/>
          <w:szCs w:val="24"/>
        </w:rPr>
        <w:t xml:space="preserve"> not allowing exporter</w:t>
      </w:r>
      <w:r w:rsidR="00DE28AC">
        <w:rPr>
          <w:sz w:val="24"/>
          <w:szCs w:val="24"/>
        </w:rPr>
        <w:t>s</w:t>
      </w:r>
      <w:r>
        <w:rPr>
          <w:sz w:val="24"/>
          <w:szCs w:val="24"/>
        </w:rPr>
        <w:t xml:space="preserve"> that can access the standard access amount from accessing the new entrant access amount.</w:t>
      </w:r>
      <w:r w:rsidR="00725AA9">
        <w:rPr>
          <w:sz w:val="24"/>
          <w:szCs w:val="24"/>
        </w:rPr>
        <w:t xml:space="preserve"> </w:t>
      </w:r>
    </w:p>
    <w:p w14:paraId="70130922" w14:textId="77777777" w:rsidR="00CB5929" w:rsidRPr="00455887" w:rsidRDefault="00CB5929" w:rsidP="00CB5929">
      <w:pPr>
        <w:pStyle w:val="paragraph"/>
        <w:rPr>
          <w:sz w:val="24"/>
          <w:szCs w:val="24"/>
        </w:rPr>
      </w:pPr>
    </w:p>
    <w:p w14:paraId="66822120" w14:textId="4279B8C6" w:rsidR="00482D41" w:rsidRDefault="004C0F04" w:rsidP="00482D41">
      <w:pPr>
        <w:pStyle w:val="paragraph"/>
        <w:rPr>
          <w:b/>
          <w:sz w:val="24"/>
          <w:szCs w:val="24"/>
        </w:rPr>
      </w:pPr>
      <w:r>
        <w:rPr>
          <w:b/>
          <w:sz w:val="24"/>
          <w:szCs w:val="24"/>
        </w:rPr>
        <w:t>Division 2</w:t>
      </w:r>
      <w:r w:rsidRPr="0057061D">
        <w:rPr>
          <w:b/>
          <w:sz w:val="24"/>
          <w:szCs w:val="24"/>
        </w:rPr>
        <w:t xml:space="preserve"> -</w:t>
      </w:r>
      <w:r>
        <w:rPr>
          <w:b/>
          <w:sz w:val="24"/>
          <w:szCs w:val="24"/>
        </w:rPr>
        <w:t xml:space="preserve"> Allocation of quota at beginning of quota year</w:t>
      </w:r>
    </w:p>
    <w:p w14:paraId="7DDD6002" w14:textId="77777777" w:rsidR="001B416F" w:rsidRDefault="001B416F" w:rsidP="00482D41">
      <w:pPr>
        <w:pStyle w:val="paragraph"/>
        <w:rPr>
          <w:b/>
          <w:sz w:val="24"/>
          <w:szCs w:val="24"/>
        </w:rPr>
      </w:pPr>
    </w:p>
    <w:p w14:paraId="37004889" w14:textId="6BEB3F1B" w:rsidR="001B416F" w:rsidRDefault="001B416F" w:rsidP="00482D41">
      <w:pPr>
        <w:pStyle w:val="paragraph"/>
        <w:rPr>
          <w:sz w:val="24"/>
          <w:szCs w:val="24"/>
          <w:u w:val="single"/>
        </w:rPr>
      </w:pPr>
      <w:r w:rsidRPr="001B416F">
        <w:rPr>
          <w:sz w:val="24"/>
          <w:szCs w:val="24"/>
          <w:u w:val="single"/>
        </w:rPr>
        <w:t>Section</w:t>
      </w:r>
      <w:r>
        <w:rPr>
          <w:sz w:val="24"/>
          <w:szCs w:val="24"/>
          <w:u w:val="single"/>
        </w:rPr>
        <w:t xml:space="preserve"> </w:t>
      </w:r>
      <w:r w:rsidR="001C37BA">
        <w:rPr>
          <w:sz w:val="24"/>
          <w:szCs w:val="24"/>
          <w:u w:val="single"/>
        </w:rPr>
        <w:t>29</w:t>
      </w:r>
      <w:r>
        <w:rPr>
          <w:sz w:val="24"/>
          <w:szCs w:val="24"/>
          <w:u w:val="single"/>
        </w:rPr>
        <w:t xml:space="preserve"> Applications for quota</w:t>
      </w:r>
    </w:p>
    <w:p w14:paraId="038A1FB3" w14:textId="77777777" w:rsidR="001B416F" w:rsidRDefault="001B416F" w:rsidP="00482D41">
      <w:pPr>
        <w:pStyle w:val="paragraph"/>
        <w:rPr>
          <w:sz w:val="24"/>
          <w:szCs w:val="24"/>
          <w:u w:val="single"/>
        </w:rPr>
      </w:pPr>
    </w:p>
    <w:p w14:paraId="56645AB2" w14:textId="3EE0875E" w:rsidR="004B41A7" w:rsidRDefault="004B41A7" w:rsidP="004B41A7">
      <w:pPr>
        <w:spacing w:line="240" w:lineRule="auto"/>
        <w:rPr>
          <w:sz w:val="24"/>
          <w:szCs w:val="24"/>
        </w:rPr>
      </w:pPr>
      <w:r w:rsidRPr="0056435F">
        <w:rPr>
          <w:sz w:val="24"/>
          <w:szCs w:val="24"/>
        </w:rPr>
        <w:t xml:space="preserve">Subsection </w:t>
      </w:r>
      <w:r w:rsidR="001C37BA">
        <w:rPr>
          <w:sz w:val="24"/>
          <w:szCs w:val="24"/>
        </w:rPr>
        <w:t>29</w:t>
      </w:r>
      <w:r w:rsidRPr="0056435F">
        <w:rPr>
          <w:sz w:val="24"/>
          <w:szCs w:val="24"/>
        </w:rPr>
        <w:t xml:space="preserve">(1) provides that subject to this section, an eligible person for a </w:t>
      </w:r>
      <w:r w:rsidR="00FE3E4B">
        <w:rPr>
          <w:sz w:val="24"/>
          <w:szCs w:val="24"/>
        </w:rPr>
        <w:t>quota type</w:t>
      </w:r>
      <w:r w:rsidRPr="0056435F">
        <w:rPr>
          <w:sz w:val="24"/>
          <w:szCs w:val="24"/>
        </w:rPr>
        <w:t xml:space="preserve"> may apply to the Secretary for an allocation of an amount of tariff rate quota entitlement for that </w:t>
      </w:r>
      <w:r w:rsidR="00FE3E4B">
        <w:rPr>
          <w:sz w:val="24"/>
          <w:szCs w:val="24"/>
        </w:rPr>
        <w:t>quota type</w:t>
      </w:r>
      <w:r w:rsidR="0078017A">
        <w:rPr>
          <w:sz w:val="24"/>
          <w:szCs w:val="24"/>
        </w:rPr>
        <w:t xml:space="preserve"> and a quota year. </w:t>
      </w:r>
      <w:r w:rsidRPr="00421FB5">
        <w:rPr>
          <w:sz w:val="24"/>
          <w:szCs w:val="24"/>
        </w:rPr>
        <w:t xml:space="preserve">This subsection includes a note that a person who is allocated an amount of tariff rate quota entitlement for a </w:t>
      </w:r>
      <w:r w:rsidR="00FE3E4B">
        <w:rPr>
          <w:sz w:val="24"/>
          <w:szCs w:val="24"/>
        </w:rPr>
        <w:t>quota type</w:t>
      </w:r>
      <w:r w:rsidRPr="00421FB5">
        <w:rPr>
          <w:sz w:val="24"/>
          <w:szCs w:val="24"/>
        </w:rPr>
        <w:t xml:space="preserve"> and a quota year under section </w:t>
      </w:r>
      <w:r w:rsidR="001C37BA">
        <w:rPr>
          <w:sz w:val="24"/>
          <w:szCs w:val="24"/>
        </w:rPr>
        <w:t>30</w:t>
      </w:r>
      <w:r w:rsidRPr="00421FB5">
        <w:rPr>
          <w:sz w:val="24"/>
          <w:szCs w:val="24"/>
        </w:rPr>
        <w:t xml:space="preserve"> cannot qualify as a new entrant for the </w:t>
      </w:r>
      <w:r w:rsidR="00FE3E4B">
        <w:rPr>
          <w:sz w:val="24"/>
          <w:szCs w:val="24"/>
        </w:rPr>
        <w:t>quota type</w:t>
      </w:r>
      <w:r w:rsidRPr="00421FB5">
        <w:rPr>
          <w:sz w:val="24"/>
          <w:szCs w:val="24"/>
        </w:rPr>
        <w:t xml:space="preserve"> for </w:t>
      </w:r>
      <w:r w:rsidR="00DC7281">
        <w:rPr>
          <w:sz w:val="24"/>
          <w:szCs w:val="24"/>
        </w:rPr>
        <w:t>the next</w:t>
      </w:r>
      <w:r w:rsidRPr="00421FB5">
        <w:rPr>
          <w:sz w:val="24"/>
          <w:szCs w:val="24"/>
        </w:rPr>
        <w:t xml:space="preserve"> 3 quota years</w:t>
      </w:r>
      <w:r w:rsidR="0056435F">
        <w:rPr>
          <w:sz w:val="24"/>
          <w:szCs w:val="24"/>
        </w:rPr>
        <w:t>,</w:t>
      </w:r>
      <w:r w:rsidRPr="00421FB5">
        <w:rPr>
          <w:sz w:val="24"/>
          <w:szCs w:val="24"/>
        </w:rPr>
        <w:t xml:space="preserve"> as provided for in section </w:t>
      </w:r>
      <w:r w:rsidR="00343FFB">
        <w:rPr>
          <w:sz w:val="24"/>
          <w:szCs w:val="24"/>
        </w:rPr>
        <w:t>28</w:t>
      </w:r>
      <w:r w:rsidRPr="00421FB5">
        <w:rPr>
          <w:sz w:val="24"/>
          <w:szCs w:val="24"/>
        </w:rPr>
        <w:t>.</w:t>
      </w:r>
    </w:p>
    <w:p w14:paraId="0C72AA32" w14:textId="77777777" w:rsidR="0056435F" w:rsidRDefault="0056435F" w:rsidP="004B41A7">
      <w:pPr>
        <w:spacing w:line="240" w:lineRule="auto"/>
        <w:rPr>
          <w:sz w:val="24"/>
          <w:szCs w:val="24"/>
        </w:rPr>
      </w:pPr>
    </w:p>
    <w:p w14:paraId="2B246748" w14:textId="46B60195" w:rsidR="0056435F" w:rsidRPr="0056435F" w:rsidRDefault="0056435F" w:rsidP="0056435F">
      <w:pPr>
        <w:spacing w:line="240" w:lineRule="auto"/>
        <w:rPr>
          <w:sz w:val="24"/>
          <w:szCs w:val="24"/>
        </w:rPr>
      </w:pPr>
      <w:r w:rsidRPr="0056435F">
        <w:rPr>
          <w:sz w:val="24"/>
          <w:szCs w:val="24"/>
        </w:rPr>
        <w:t xml:space="preserve">Subsection </w:t>
      </w:r>
      <w:r w:rsidR="001C37BA">
        <w:rPr>
          <w:sz w:val="24"/>
          <w:szCs w:val="24"/>
        </w:rPr>
        <w:t>29</w:t>
      </w:r>
      <w:r w:rsidRPr="0056435F">
        <w:rPr>
          <w:sz w:val="24"/>
          <w:szCs w:val="24"/>
        </w:rPr>
        <w:t>(</w:t>
      </w:r>
      <w:r>
        <w:rPr>
          <w:sz w:val="24"/>
          <w:szCs w:val="24"/>
        </w:rPr>
        <w:t>2</w:t>
      </w:r>
      <w:r w:rsidRPr="0056435F">
        <w:rPr>
          <w:sz w:val="24"/>
          <w:szCs w:val="24"/>
        </w:rPr>
        <w:t>) provides that</w:t>
      </w:r>
      <w:r>
        <w:rPr>
          <w:sz w:val="24"/>
          <w:szCs w:val="24"/>
        </w:rPr>
        <w:t xml:space="preserve"> a</w:t>
      </w:r>
      <w:r w:rsidRPr="0056435F">
        <w:rPr>
          <w:sz w:val="24"/>
          <w:szCs w:val="24"/>
        </w:rPr>
        <w:t xml:space="preserve"> person is not eligible to apply for an allocation for a </w:t>
      </w:r>
      <w:r w:rsidR="00FE3E4B">
        <w:rPr>
          <w:sz w:val="24"/>
          <w:szCs w:val="24"/>
        </w:rPr>
        <w:t>quota type</w:t>
      </w:r>
      <w:r w:rsidRPr="0056435F">
        <w:rPr>
          <w:sz w:val="24"/>
          <w:szCs w:val="24"/>
        </w:rPr>
        <w:t xml:space="preserve"> and a quota year if, in relation to any of the 3 previous quota years the person transferred one or more amounts of tariff rate quota entitlement for the </w:t>
      </w:r>
      <w:r w:rsidR="00FE3E4B">
        <w:rPr>
          <w:sz w:val="24"/>
          <w:szCs w:val="24"/>
        </w:rPr>
        <w:t>quota type</w:t>
      </w:r>
      <w:r w:rsidRPr="0056435F">
        <w:rPr>
          <w:sz w:val="24"/>
          <w:szCs w:val="24"/>
        </w:rPr>
        <w:t xml:space="preserve"> and quota year and the total of the amounts that the person transferred was more than the amount worked out using the following formula:</w:t>
      </w:r>
      <w:bookmarkStart w:id="39" w:name="BK_S3P21L26C1"/>
      <w:bookmarkEnd w:id="39"/>
    </w:p>
    <w:p w14:paraId="2E9B0BC6" w14:textId="0261BFD0" w:rsidR="0056435F" w:rsidRDefault="0056435F" w:rsidP="0056435F">
      <w:pPr>
        <w:pStyle w:val="paragraph"/>
      </w:pPr>
      <w:r>
        <w:tab/>
      </w:r>
      <w:r>
        <w:tab/>
      </w:r>
      <w:bookmarkStart w:id="40" w:name="BKCheck15B_5"/>
      <w:bookmarkEnd w:id="40"/>
      <w:r w:rsidR="00725AA9" w:rsidRPr="00062DF6">
        <w:rPr>
          <w:position w:val="-24"/>
        </w:rPr>
        <w:object w:dxaOrig="5160" w:dyaOrig="580" w14:anchorId="520AC62E">
          <v:shape id="_x0000_i1026" type="#_x0000_t75" style="width:259.5pt;height:28.5pt" o:ole="">
            <v:imagedata r:id="rId17" o:title=""/>
          </v:shape>
          <o:OLEObject Type="Embed" ProgID="Equation.DSMT4" ShapeID="_x0000_i1026" DrawAspect="Content" ObjectID="_1638095747" r:id="rId18"/>
        </w:object>
      </w:r>
    </w:p>
    <w:p w14:paraId="0D1F83DF" w14:textId="77777777" w:rsidR="0056435F" w:rsidRPr="0078017A" w:rsidRDefault="0056435F" w:rsidP="0078017A">
      <w:pPr>
        <w:pStyle w:val="paragraph"/>
        <w:tabs>
          <w:tab w:val="clear" w:pos="1531"/>
          <w:tab w:val="right" w:pos="851"/>
        </w:tabs>
        <w:ind w:left="426"/>
        <w:rPr>
          <w:sz w:val="24"/>
          <w:szCs w:val="24"/>
        </w:rPr>
      </w:pPr>
      <w:r w:rsidRPr="0078017A">
        <w:rPr>
          <w:sz w:val="24"/>
          <w:szCs w:val="24"/>
        </w:rPr>
        <w:tab/>
      </w:r>
      <w:r w:rsidRPr="0078017A">
        <w:rPr>
          <w:sz w:val="24"/>
          <w:szCs w:val="24"/>
        </w:rPr>
        <w:tab/>
      </w:r>
      <w:proofErr w:type="gramStart"/>
      <w:r w:rsidRPr="0078017A">
        <w:rPr>
          <w:sz w:val="24"/>
          <w:szCs w:val="24"/>
        </w:rPr>
        <w:t>where</w:t>
      </w:r>
      <w:proofErr w:type="gramEnd"/>
      <w:r w:rsidRPr="0078017A">
        <w:rPr>
          <w:sz w:val="24"/>
          <w:szCs w:val="24"/>
        </w:rPr>
        <w:t>:</w:t>
      </w:r>
    </w:p>
    <w:p w14:paraId="0D12CCCB" w14:textId="11F180F7" w:rsidR="0056435F" w:rsidRPr="0078017A" w:rsidRDefault="0056435F" w:rsidP="0078017A">
      <w:pPr>
        <w:pStyle w:val="paragraph"/>
        <w:tabs>
          <w:tab w:val="clear" w:pos="1531"/>
          <w:tab w:val="right" w:pos="851"/>
        </w:tabs>
        <w:ind w:left="426"/>
        <w:rPr>
          <w:sz w:val="24"/>
          <w:szCs w:val="24"/>
        </w:rPr>
      </w:pPr>
      <w:r w:rsidRPr="0078017A">
        <w:rPr>
          <w:sz w:val="24"/>
          <w:szCs w:val="24"/>
        </w:rPr>
        <w:tab/>
      </w:r>
      <w:r w:rsidRPr="0078017A">
        <w:rPr>
          <w:sz w:val="24"/>
          <w:szCs w:val="24"/>
        </w:rPr>
        <w:tab/>
      </w:r>
      <w:proofErr w:type="gramStart"/>
      <w:r w:rsidRPr="0078017A">
        <w:rPr>
          <w:b/>
          <w:i/>
          <w:sz w:val="24"/>
          <w:szCs w:val="24"/>
        </w:rPr>
        <w:t>allocations</w:t>
      </w:r>
      <w:proofErr w:type="gramEnd"/>
      <w:r w:rsidRPr="0078017A">
        <w:rPr>
          <w:sz w:val="24"/>
          <w:szCs w:val="24"/>
        </w:rPr>
        <w:t xml:space="preserve"> is the sum of all of the amounts of tariff rate quota entitlement for the </w:t>
      </w:r>
      <w:r w:rsidR="00FE3E4B" w:rsidRPr="0078017A">
        <w:rPr>
          <w:sz w:val="24"/>
          <w:szCs w:val="24"/>
        </w:rPr>
        <w:t>quota type</w:t>
      </w:r>
      <w:r w:rsidRPr="0078017A">
        <w:rPr>
          <w:sz w:val="24"/>
          <w:szCs w:val="24"/>
        </w:rPr>
        <w:t xml:space="preserve"> and quota year that the person has been allocated.</w:t>
      </w:r>
    </w:p>
    <w:p w14:paraId="254745DD" w14:textId="78ED3D0C" w:rsidR="0056435F" w:rsidRPr="0078017A" w:rsidRDefault="0056435F" w:rsidP="0078017A">
      <w:pPr>
        <w:pStyle w:val="paragraph"/>
        <w:tabs>
          <w:tab w:val="clear" w:pos="1531"/>
          <w:tab w:val="right" w:pos="851"/>
        </w:tabs>
        <w:ind w:left="426"/>
        <w:rPr>
          <w:sz w:val="24"/>
          <w:szCs w:val="24"/>
        </w:rPr>
      </w:pPr>
      <w:r w:rsidRPr="0078017A">
        <w:rPr>
          <w:b/>
          <w:sz w:val="24"/>
          <w:szCs w:val="24"/>
        </w:rPr>
        <w:tab/>
      </w:r>
      <w:r w:rsidRPr="0078017A">
        <w:rPr>
          <w:b/>
          <w:sz w:val="24"/>
          <w:szCs w:val="24"/>
        </w:rPr>
        <w:tab/>
      </w:r>
      <w:proofErr w:type="gramStart"/>
      <w:r w:rsidRPr="0078017A">
        <w:rPr>
          <w:b/>
          <w:i/>
          <w:sz w:val="24"/>
          <w:szCs w:val="24"/>
        </w:rPr>
        <w:t>maximum</w:t>
      </w:r>
      <w:proofErr w:type="gramEnd"/>
      <w:r w:rsidRPr="0078017A">
        <w:rPr>
          <w:b/>
          <w:i/>
          <w:sz w:val="24"/>
          <w:szCs w:val="24"/>
        </w:rPr>
        <w:t xml:space="preserve"> transfer percentage</w:t>
      </w:r>
      <w:r w:rsidRPr="0078017A">
        <w:rPr>
          <w:sz w:val="24"/>
          <w:szCs w:val="24"/>
        </w:rPr>
        <w:t xml:space="preserve"> is the maximum transfer percentage for the </w:t>
      </w:r>
      <w:r w:rsidR="00FE3E4B" w:rsidRPr="0078017A">
        <w:rPr>
          <w:sz w:val="24"/>
          <w:szCs w:val="24"/>
        </w:rPr>
        <w:t>quota type</w:t>
      </w:r>
      <w:r w:rsidRPr="0078017A">
        <w:rPr>
          <w:sz w:val="24"/>
          <w:szCs w:val="24"/>
        </w:rPr>
        <w:t>.</w:t>
      </w:r>
    </w:p>
    <w:p w14:paraId="3A4FF904" w14:textId="404BF3D7" w:rsidR="0056435F" w:rsidRPr="0078017A" w:rsidRDefault="0056435F" w:rsidP="0078017A">
      <w:pPr>
        <w:pStyle w:val="paragraph"/>
        <w:tabs>
          <w:tab w:val="clear" w:pos="1531"/>
          <w:tab w:val="right" w:pos="851"/>
        </w:tabs>
        <w:ind w:left="426"/>
        <w:rPr>
          <w:sz w:val="24"/>
          <w:szCs w:val="24"/>
        </w:rPr>
      </w:pPr>
      <w:r w:rsidRPr="0078017A">
        <w:rPr>
          <w:b/>
          <w:i/>
          <w:sz w:val="24"/>
          <w:szCs w:val="24"/>
        </w:rPr>
        <w:tab/>
      </w:r>
      <w:r w:rsidRPr="0078017A">
        <w:rPr>
          <w:b/>
          <w:i/>
          <w:sz w:val="24"/>
          <w:szCs w:val="24"/>
        </w:rPr>
        <w:tab/>
      </w:r>
      <w:proofErr w:type="gramStart"/>
      <w:r w:rsidRPr="0078017A">
        <w:rPr>
          <w:b/>
          <w:i/>
          <w:sz w:val="24"/>
          <w:szCs w:val="24"/>
        </w:rPr>
        <w:t>transfers</w:t>
      </w:r>
      <w:proofErr w:type="gramEnd"/>
      <w:r w:rsidRPr="0078017A">
        <w:rPr>
          <w:b/>
          <w:i/>
          <w:sz w:val="24"/>
          <w:szCs w:val="24"/>
        </w:rPr>
        <w:t xml:space="preserve"> in</w:t>
      </w:r>
      <w:r w:rsidRPr="0078017A">
        <w:rPr>
          <w:sz w:val="24"/>
          <w:szCs w:val="24"/>
        </w:rPr>
        <w:t xml:space="preserve"> is the sum of all of the amounts of tariff rate quota entitlement for the </w:t>
      </w:r>
      <w:r w:rsidR="00FE3E4B" w:rsidRPr="0078017A">
        <w:rPr>
          <w:sz w:val="24"/>
          <w:szCs w:val="24"/>
        </w:rPr>
        <w:t>quota type</w:t>
      </w:r>
      <w:r w:rsidRPr="0078017A">
        <w:rPr>
          <w:sz w:val="24"/>
          <w:szCs w:val="24"/>
        </w:rPr>
        <w:t xml:space="preserve"> and quota year that have been transferred to the person.</w:t>
      </w:r>
    </w:p>
    <w:p w14:paraId="615116B0" w14:textId="77777777" w:rsidR="0056435F" w:rsidRPr="00421FB5" w:rsidRDefault="0056435F" w:rsidP="004B41A7">
      <w:pPr>
        <w:spacing w:line="240" w:lineRule="auto"/>
        <w:rPr>
          <w:sz w:val="24"/>
          <w:szCs w:val="24"/>
        </w:rPr>
      </w:pPr>
    </w:p>
    <w:p w14:paraId="57447079" w14:textId="226F6A53" w:rsidR="0078017A" w:rsidRDefault="0078017A" w:rsidP="00320582">
      <w:pPr>
        <w:spacing w:line="240" w:lineRule="auto"/>
        <w:rPr>
          <w:sz w:val="24"/>
          <w:szCs w:val="24"/>
        </w:rPr>
      </w:pPr>
      <w:r>
        <w:rPr>
          <w:sz w:val="24"/>
          <w:szCs w:val="24"/>
        </w:rPr>
        <w:t>This ensures purely trading behaviour is avoided (which can diminish the benefits of the tariff rate quota</w:t>
      </w:r>
      <w:r w:rsidR="0071536D">
        <w:rPr>
          <w:sz w:val="24"/>
          <w:szCs w:val="24"/>
        </w:rPr>
        <w:t xml:space="preserve"> system</w:t>
      </w:r>
      <w:r>
        <w:rPr>
          <w:sz w:val="24"/>
          <w:szCs w:val="24"/>
        </w:rPr>
        <w:t>) and a focus is placed on exporters using their available quota entitlements.</w:t>
      </w:r>
    </w:p>
    <w:p w14:paraId="779BAF04" w14:textId="77777777" w:rsidR="0078017A" w:rsidRDefault="0078017A" w:rsidP="00320582">
      <w:pPr>
        <w:spacing w:line="240" w:lineRule="auto"/>
        <w:rPr>
          <w:sz w:val="24"/>
          <w:szCs w:val="24"/>
        </w:rPr>
      </w:pPr>
    </w:p>
    <w:p w14:paraId="464379D3" w14:textId="4F678233" w:rsidR="00320582" w:rsidRDefault="00320582" w:rsidP="00320582">
      <w:pPr>
        <w:spacing w:line="240" w:lineRule="auto"/>
        <w:rPr>
          <w:sz w:val="24"/>
          <w:szCs w:val="24"/>
        </w:rPr>
      </w:pPr>
      <w:r w:rsidRPr="0056435F">
        <w:rPr>
          <w:sz w:val="24"/>
          <w:szCs w:val="24"/>
        </w:rPr>
        <w:t xml:space="preserve">Subsection </w:t>
      </w:r>
      <w:r w:rsidR="001C37BA">
        <w:rPr>
          <w:sz w:val="24"/>
          <w:szCs w:val="24"/>
        </w:rPr>
        <w:t>29</w:t>
      </w:r>
      <w:r w:rsidRPr="0056435F">
        <w:rPr>
          <w:sz w:val="24"/>
          <w:szCs w:val="24"/>
        </w:rPr>
        <w:t>(</w:t>
      </w:r>
      <w:r>
        <w:rPr>
          <w:sz w:val="24"/>
          <w:szCs w:val="24"/>
        </w:rPr>
        <w:t>3</w:t>
      </w:r>
      <w:r w:rsidRPr="0056435F">
        <w:rPr>
          <w:sz w:val="24"/>
          <w:szCs w:val="24"/>
        </w:rPr>
        <w:t>) provides that</w:t>
      </w:r>
      <w:r>
        <w:rPr>
          <w:sz w:val="24"/>
          <w:szCs w:val="24"/>
        </w:rPr>
        <w:t xml:space="preserve"> t</w:t>
      </w:r>
      <w:r w:rsidRPr="00320582">
        <w:rPr>
          <w:sz w:val="24"/>
          <w:szCs w:val="24"/>
        </w:rPr>
        <w:t xml:space="preserve">he application must be made on or before the annual application day for the </w:t>
      </w:r>
      <w:r w:rsidR="00FE3E4B">
        <w:rPr>
          <w:sz w:val="24"/>
          <w:szCs w:val="24"/>
        </w:rPr>
        <w:t>quota type</w:t>
      </w:r>
      <w:r w:rsidRPr="00320582">
        <w:rPr>
          <w:sz w:val="24"/>
          <w:szCs w:val="24"/>
        </w:rPr>
        <w:t xml:space="preserve"> and quota year.</w:t>
      </w:r>
      <w:r w:rsidR="0078017A">
        <w:rPr>
          <w:sz w:val="24"/>
          <w:szCs w:val="24"/>
        </w:rPr>
        <w:t xml:space="preserve">  This provides a latest date by which information must be provided, so that allocations can be made in a timely manner.</w:t>
      </w:r>
    </w:p>
    <w:p w14:paraId="25A2E462" w14:textId="77777777" w:rsidR="00320582" w:rsidRDefault="00320582" w:rsidP="00320582">
      <w:pPr>
        <w:spacing w:line="240" w:lineRule="auto"/>
        <w:rPr>
          <w:sz w:val="24"/>
          <w:szCs w:val="24"/>
        </w:rPr>
      </w:pPr>
    </w:p>
    <w:p w14:paraId="63E09FEE" w14:textId="40935C63" w:rsidR="00320582" w:rsidRDefault="00320582" w:rsidP="00320582">
      <w:pPr>
        <w:spacing w:line="240" w:lineRule="auto"/>
        <w:rPr>
          <w:sz w:val="24"/>
          <w:szCs w:val="24"/>
        </w:rPr>
      </w:pPr>
      <w:r w:rsidRPr="0056435F">
        <w:rPr>
          <w:sz w:val="24"/>
          <w:szCs w:val="24"/>
        </w:rPr>
        <w:t xml:space="preserve">Subsection </w:t>
      </w:r>
      <w:r w:rsidR="001C37BA">
        <w:rPr>
          <w:sz w:val="24"/>
          <w:szCs w:val="24"/>
        </w:rPr>
        <w:t>29</w:t>
      </w:r>
      <w:r w:rsidRPr="0056435F">
        <w:rPr>
          <w:sz w:val="24"/>
          <w:szCs w:val="24"/>
        </w:rPr>
        <w:t>(</w:t>
      </w:r>
      <w:r>
        <w:rPr>
          <w:sz w:val="24"/>
          <w:szCs w:val="24"/>
        </w:rPr>
        <w:t>4</w:t>
      </w:r>
      <w:r w:rsidRPr="0056435F">
        <w:rPr>
          <w:sz w:val="24"/>
          <w:szCs w:val="24"/>
        </w:rPr>
        <w:t>) provides that</w:t>
      </w:r>
      <w:r>
        <w:rPr>
          <w:sz w:val="24"/>
          <w:szCs w:val="24"/>
        </w:rPr>
        <w:t xml:space="preserve"> t</w:t>
      </w:r>
      <w:r w:rsidRPr="00320582">
        <w:rPr>
          <w:sz w:val="24"/>
          <w:szCs w:val="24"/>
        </w:rPr>
        <w:t xml:space="preserve">he application must state the amount of tariff rate quota entitlement being applied for and be made in a manner approved, in writing, by the Secretary. </w:t>
      </w:r>
      <w:r w:rsidR="00430C87">
        <w:rPr>
          <w:sz w:val="24"/>
          <w:szCs w:val="24"/>
        </w:rPr>
        <w:t xml:space="preserve">The amount being applied for is required for the calculations in section 31. </w:t>
      </w:r>
      <w:r w:rsidRPr="00320582">
        <w:rPr>
          <w:sz w:val="24"/>
          <w:szCs w:val="24"/>
        </w:rPr>
        <w:t>If the Secretary has approved a form for making the application, the application must include the information required by the form</w:t>
      </w:r>
      <w:r w:rsidR="0071536D">
        <w:rPr>
          <w:sz w:val="24"/>
          <w:szCs w:val="24"/>
        </w:rPr>
        <w:t xml:space="preserve"> and</w:t>
      </w:r>
      <w:r w:rsidRPr="00320582">
        <w:rPr>
          <w:sz w:val="24"/>
          <w:szCs w:val="24"/>
        </w:rPr>
        <w:t xml:space="preserve"> be accompanied by any documents required by the form.</w:t>
      </w:r>
    </w:p>
    <w:p w14:paraId="645B295C" w14:textId="77777777" w:rsidR="00320582" w:rsidRDefault="00320582" w:rsidP="00320582">
      <w:pPr>
        <w:spacing w:line="240" w:lineRule="auto"/>
        <w:rPr>
          <w:sz w:val="24"/>
          <w:szCs w:val="24"/>
        </w:rPr>
      </w:pPr>
    </w:p>
    <w:p w14:paraId="3B6463EC" w14:textId="03E02774" w:rsidR="00320582" w:rsidRDefault="00320582" w:rsidP="00320582">
      <w:pPr>
        <w:spacing w:line="240" w:lineRule="auto"/>
        <w:rPr>
          <w:sz w:val="24"/>
          <w:szCs w:val="24"/>
        </w:rPr>
      </w:pPr>
      <w:r w:rsidRPr="00320582">
        <w:rPr>
          <w:sz w:val="24"/>
          <w:szCs w:val="24"/>
        </w:rPr>
        <w:t xml:space="preserve">This subsection includes a note that a person may commit an offence if the person makes a false or misleading statement in an application or provides false or misleading information or documents (see sections 136.1, 137.1 and 137.2 of the </w:t>
      </w:r>
      <w:r w:rsidRPr="00320582">
        <w:rPr>
          <w:i/>
          <w:sz w:val="24"/>
          <w:szCs w:val="24"/>
        </w:rPr>
        <w:t>Criminal Code</w:t>
      </w:r>
      <w:r w:rsidRPr="00320582">
        <w:rPr>
          <w:sz w:val="24"/>
          <w:szCs w:val="24"/>
        </w:rPr>
        <w:t>).</w:t>
      </w:r>
    </w:p>
    <w:p w14:paraId="00598414" w14:textId="77777777" w:rsidR="00320582" w:rsidRDefault="00320582" w:rsidP="00320582">
      <w:pPr>
        <w:spacing w:line="240" w:lineRule="auto"/>
        <w:rPr>
          <w:sz w:val="24"/>
          <w:szCs w:val="24"/>
        </w:rPr>
      </w:pPr>
    </w:p>
    <w:p w14:paraId="03C5E990" w14:textId="30441CFF" w:rsidR="00320582" w:rsidRDefault="00320582" w:rsidP="00320582">
      <w:pPr>
        <w:spacing w:line="240" w:lineRule="auto"/>
        <w:rPr>
          <w:sz w:val="24"/>
          <w:szCs w:val="24"/>
        </w:rPr>
      </w:pPr>
      <w:r w:rsidRPr="0056435F">
        <w:rPr>
          <w:sz w:val="24"/>
          <w:szCs w:val="24"/>
        </w:rPr>
        <w:t xml:space="preserve">Subsection </w:t>
      </w:r>
      <w:r w:rsidR="001C37BA">
        <w:rPr>
          <w:sz w:val="24"/>
          <w:szCs w:val="24"/>
        </w:rPr>
        <w:t>29</w:t>
      </w:r>
      <w:r w:rsidRPr="0056435F">
        <w:rPr>
          <w:sz w:val="24"/>
          <w:szCs w:val="24"/>
        </w:rPr>
        <w:t>(</w:t>
      </w:r>
      <w:r>
        <w:rPr>
          <w:sz w:val="24"/>
          <w:szCs w:val="24"/>
        </w:rPr>
        <w:t>5</w:t>
      </w:r>
      <w:r w:rsidRPr="0056435F">
        <w:rPr>
          <w:sz w:val="24"/>
          <w:szCs w:val="24"/>
        </w:rPr>
        <w:t>) provides that</w:t>
      </w:r>
      <w:r>
        <w:rPr>
          <w:sz w:val="24"/>
          <w:szCs w:val="24"/>
        </w:rPr>
        <w:t xml:space="preserve"> t</w:t>
      </w:r>
      <w:r w:rsidRPr="00320582">
        <w:rPr>
          <w:sz w:val="24"/>
          <w:szCs w:val="24"/>
        </w:rPr>
        <w:t xml:space="preserve">he Secretary may accept any information or document previously given to the Secretary in connection with an application made under this </w:t>
      </w:r>
      <w:r w:rsidRPr="00320582">
        <w:rPr>
          <w:sz w:val="24"/>
          <w:szCs w:val="24"/>
        </w:rPr>
        <w:lastRenderedPageBreak/>
        <w:t>instrument as satisfying any requirement to give that information or document under subsection </w:t>
      </w:r>
      <w:r w:rsidR="001C37BA">
        <w:rPr>
          <w:sz w:val="24"/>
          <w:szCs w:val="24"/>
        </w:rPr>
        <w:t>29</w:t>
      </w:r>
      <w:r w:rsidRPr="00320582">
        <w:rPr>
          <w:sz w:val="24"/>
          <w:szCs w:val="24"/>
        </w:rPr>
        <w:t>(4).</w:t>
      </w:r>
      <w:r w:rsidR="00430C87">
        <w:rPr>
          <w:sz w:val="24"/>
          <w:szCs w:val="24"/>
        </w:rPr>
        <w:t xml:space="preserve">  This is to avoid applicants needing to provide information twice.</w:t>
      </w:r>
    </w:p>
    <w:p w14:paraId="5DBEEBD1" w14:textId="77777777" w:rsidR="00320582" w:rsidRDefault="00320582" w:rsidP="00320582">
      <w:pPr>
        <w:spacing w:line="240" w:lineRule="auto"/>
        <w:rPr>
          <w:sz w:val="24"/>
          <w:szCs w:val="24"/>
        </w:rPr>
      </w:pPr>
    </w:p>
    <w:p w14:paraId="22920867" w14:textId="203B0823" w:rsidR="00320582" w:rsidRDefault="00320582" w:rsidP="00320582">
      <w:pPr>
        <w:spacing w:line="240" w:lineRule="auto"/>
        <w:rPr>
          <w:sz w:val="24"/>
          <w:szCs w:val="24"/>
        </w:rPr>
      </w:pPr>
      <w:r w:rsidRPr="0056435F">
        <w:rPr>
          <w:sz w:val="24"/>
          <w:szCs w:val="24"/>
        </w:rPr>
        <w:t xml:space="preserve">Subsection </w:t>
      </w:r>
      <w:r w:rsidR="001C37BA">
        <w:rPr>
          <w:sz w:val="24"/>
          <w:szCs w:val="24"/>
        </w:rPr>
        <w:t>29</w:t>
      </w:r>
      <w:r w:rsidRPr="0056435F">
        <w:rPr>
          <w:sz w:val="24"/>
          <w:szCs w:val="24"/>
        </w:rPr>
        <w:t>(</w:t>
      </w:r>
      <w:r>
        <w:rPr>
          <w:sz w:val="24"/>
          <w:szCs w:val="24"/>
        </w:rPr>
        <w:t>6</w:t>
      </w:r>
      <w:r w:rsidRPr="0056435F">
        <w:rPr>
          <w:sz w:val="24"/>
          <w:szCs w:val="24"/>
        </w:rPr>
        <w:t>) provides that</w:t>
      </w:r>
      <w:r>
        <w:rPr>
          <w:sz w:val="24"/>
          <w:szCs w:val="24"/>
        </w:rPr>
        <w:t xml:space="preserve"> a</w:t>
      </w:r>
      <w:r w:rsidRPr="00320582">
        <w:rPr>
          <w:sz w:val="24"/>
          <w:szCs w:val="24"/>
        </w:rPr>
        <w:t>n application is taken not to have been made if the application does not comply with the requirements referred to in subsection </w:t>
      </w:r>
      <w:r w:rsidR="001C37BA">
        <w:rPr>
          <w:sz w:val="24"/>
          <w:szCs w:val="24"/>
        </w:rPr>
        <w:t>29</w:t>
      </w:r>
      <w:r w:rsidRPr="00320582">
        <w:rPr>
          <w:sz w:val="24"/>
          <w:szCs w:val="24"/>
        </w:rPr>
        <w:t>(4) for the application.</w:t>
      </w:r>
      <w:r w:rsidR="00430C87">
        <w:rPr>
          <w:sz w:val="24"/>
          <w:szCs w:val="24"/>
        </w:rPr>
        <w:t xml:space="preserve">  This is to ensure that all information must be provided in order for a person to be considered an applicant, and therefore</w:t>
      </w:r>
      <w:r w:rsidR="0071536D">
        <w:rPr>
          <w:sz w:val="24"/>
          <w:szCs w:val="24"/>
        </w:rPr>
        <w:t xml:space="preserve"> eligible to be</w:t>
      </w:r>
      <w:r w:rsidR="00430C87">
        <w:rPr>
          <w:sz w:val="24"/>
          <w:szCs w:val="24"/>
        </w:rPr>
        <w:t xml:space="preserve"> included in the allocation process.</w:t>
      </w:r>
    </w:p>
    <w:p w14:paraId="253386F6" w14:textId="77777777" w:rsidR="00C97325" w:rsidRDefault="00C97325" w:rsidP="00320582">
      <w:pPr>
        <w:spacing w:line="240" w:lineRule="auto"/>
        <w:rPr>
          <w:sz w:val="24"/>
          <w:szCs w:val="24"/>
        </w:rPr>
      </w:pPr>
    </w:p>
    <w:p w14:paraId="44CD48BC" w14:textId="13B3E788" w:rsidR="00C97325" w:rsidRDefault="00C97325" w:rsidP="00320582">
      <w:pPr>
        <w:spacing w:line="240" w:lineRule="auto"/>
        <w:rPr>
          <w:sz w:val="24"/>
          <w:szCs w:val="24"/>
        </w:rPr>
      </w:pPr>
      <w:r>
        <w:rPr>
          <w:sz w:val="24"/>
          <w:szCs w:val="24"/>
          <w:u w:val="single"/>
        </w:rPr>
        <w:t xml:space="preserve">Section </w:t>
      </w:r>
      <w:r w:rsidR="001C37BA">
        <w:rPr>
          <w:sz w:val="24"/>
          <w:szCs w:val="24"/>
          <w:u w:val="single"/>
        </w:rPr>
        <w:t>30</w:t>
      </w:r>
      <w:r>
        <w:rPr>
          <w:sz w:val="24"/>
          <w:szCs w:val="24"/>
          <w:u w:val="single"/>
        </w:rPr>
        <w:t xml:space="preserve"> - Allocation of quota</w:t>
      </w:r>
    </w:p>
    <w:p w14:paraId="26A99096" w14:textId="77777777" w:rsidR="00C97325" w:rsidRDefault="00C97325" w:rsidP="00320582">
      <w:pPr>
        <w:spacing w:line="240" w:lineRule="auto"/>
        <w:rPr>
          <w:sz w:val="24"/>
          <w:szCs w:val="24"/>
        </w:rPr>
      </w:pPr>
    </w:p>
    <w:p w14:paraId="235DB5DD" w14:textId="02A5AAE3" w:rsidR="00435632" w:rsidRDefault="00435632" w:rsidP="00435632">
      <w:pPr>
        <w:spacing w:line="240" w:lineRule="auto"/>
        <w:rPr>
          <w:sz w:val="24"/>
          <w:szCs w:val="24"/>
        </w:rPr>
      </w:pPr>
      <w:r>
        <w:rPr>
          <w:sz w:val="24"/>
          <w:szCs w:val="24"/>
        </w:rPr>
        <w:t xml:space="preserve">Subsection </w:t>
      </w:r>
      <w:r w:rsidR="001C37BA">
        <w:rPr>
          <w:sz w:val="24"/>
          <w:szCs w:val="24"/>
        </w:rPr>
        <w:t>30</w:t>
      </w:r>
      <w:r>
        <w:rPr>
          <w:sz w:val="24"/>
          <w:szCs w:val="24"/>
        </w:rPr>
        <w:t>(1) provides that t</w:t>
      </w:r>
      <w:r w:rsidRPr="00435632">
        <w:rPr>
          <w:sz w:val="24"/>
          <w:szCs w:val="24"/>
        </w:rPr>
        <w:t xml:space="preserve">he Secretary must, as soon as practicable after the annual application day for a </w:t>
      </w:r>
      <w:r w:rsidR="00FE3E4B">
        <w:rPr>
          <w:sz w:val="24"/>
          <w:szCs w:val="24"/>
        </w:rPr>
        <w:t>quota type</w:t>
      </w:r>
      <w:r w:rsidRPr="00435632">
        <w:rPr>
          <w:sz w:val="24"/>
          <w:szCs w:val="24"/>
        </w:rPr>
        <w:t xml:space="preserve"> and a quota year, allocate to applicants under section </w:t>
      </w:r>
      <w:r w:rsidR="001C37BA">
        <w:rPr>
          <w:sz w:val="24"/>
          <w:szCs w:val="24"/>
        </w:rPr>
        <w:t>29</w:t>
      </w:r>
      <w:r w:rsidRPr="00435632">
        <w:rPr>
          <w:sz w:val="24"/>
          <w:szCs w:val="24"/>
        </w:rPr>
        <w:t xml:space="preserve"> amounts of tariff rate quota entitlement for that </w:t>
      </w:r>
      <w:r w:rsidR="00FE3E4B">
        <w:rPr>
          <w:sz w:val="24"/>
          <w:szCs w:val="24"/>
        </w:rPr>
        <w:t>quota type</w:t>
      </w:r>
      <w:r w:rsidRPr="00435632">
        <w:rPr>
          <w:sz w:val="24"/>
          <w:szCs w:val="24"/>
        </w:rPr>
        <w:t xml:space="preserve"> and quota year in accordance with this section.</w:t>
      </w:r>
    </w:p>
    <w:p w14:paraId="794F9B95" w14:textId="77777777" w:rsidR="00435632" w:rsidRDefault="00435632" w:rsidP="00435632">
      <w:pPr>
        <w:spacing w:line="240" w:lineRule="auto"/>
        <w:rPr>
          <w:sz w:val="24"/>
          <w:szCs w:val="24"/>
        </w:rPr>
      </w:pPr>
    </w:p>
    <w:p w14:paraId="6CFA1A78" w14:textId="32C7F69C" w:rsidR="00F47594" w:rsidRDefault="00430C87" w:rsidP="00435632">
      <w:pPr>
        <w:spacing w:line="240" w:lineRule="auto"/>
        <w:rPr>
          <w:sz w:val="24"/>
          <w:szCs w:val="24"/>
        </w:rPr>
      </w:pPr>
      <w:r>
        <w:rPr>
          <w:sz w:val="24"/>
          <w:szCs w:val="24"/>
        </w:rPr>
        <w:t>Paragraph</w:t>
      </w:r>
      <w:r w:rsidR="00435632">
        <w:rPr>
          <w:sz w:val="24"/>
          <w:szCs w:val="24"/>
        </w:rPr>
        <w:t xml:space="preserve"> </w:t>
      </w:r>
      <w:r w:rsidR="001C37BA">
        <w:rPr>
          <w:sz w:val="24"/>
          <w:szCs w:val="24"/>
        </w:rPr>
        <w:t>30</w:t>
      </w:r>
      <w:r w:rsidR="00435632">
        <w:rPr>
          <w:sz w:val="24"/>
          <w:szCs w:val="24"/>
        </w:rPr>
        <w:t>(2</w:t>
      </w:r>
      <w:proofErr w:type="gramStart"/>
      <w:r w:rsidR="00435632">
        <w:rPr>
          <w:sz w:val="24"/>
          <w:szCs w:val="24"/>
        </w:rPr>
        <w:t>)</w:t>
      </w:r>
      <w:r w:rsidR="00F47594">
        <w:rPr>
          <w:sz w:val="24"/>
          <w:szCs w:val="24"/>
        </w:rPr>
        <w:t>(</w:t>
      </w:r>
      <w:proofErr w:type="gramEnd"/>
      <w:r w:rsidR="00F47594">
        <w:rPr>
          <w:sz w:val="24"/>
          <w:szCs w:val="24"/>
        </w:rPr>
        <w:t>a)</w:t>
      </w:r>
      <w:r w:rsidR="00435632">
        <w:rPr>
          <w:sz w:val="24"/>
          <w:szCs w:val="24"/>
        </w:rPr>
        <w:t xml:space="preserve"> provides that t</w:t>
      </w:r>
      <w:r w:rsidR="00435632" w:rsidRPr="00435632">
        <w:rPr>
          <w:sz w:val="24"/>
          <w:szCs w:val="24"/>
        </w:rPr>
        <w:t>he amount of tariff rate quota entitlement to be allocated to an applicant is</w:t>
      </w:r>
      <w:r w:rsidR="00F47594">
        <w:rPr>
          <w:sz w:val="24"/>
          <w:szCs w:val="24"/>
        </w:rPr>
        <w:t>,</w:t>
      </w:r>
      <w:r w:rsidR="00435632" w:rsidRPr="00435632">
        <w:rPr>
          <w:sz w:val="24"/>
          <w:szCs w:val="24"/>
        </w:rPr>
        <w:t xml:space="preserve"> if the total amount applied for in all applications is less than or equal to the standard access amount for the </w:t>
      </w:r>
      <w:r w:rsidR="00FE3E4B">
        <w:rPr>
          <w:sz w:val="24"/>
          <w:szCs w:val="24"/>
        </w:rPr>
        <w:t>quota type</w:t>
      </w:r>
      <w:r w:rsidR="00435632" w:rsidRPr="00435632">
        <w:rPr>
          <w:sz w:val="24"/>
          <w:szCs w:val="24"/>
        </w:rPr>
        <w:t xml:space="preserve"> and quota year, the amount the person applied for</w:t>
      </w:r>
      <w:r w:rsidR="00F47594">
        <w:rPr>
          <w:sz w:val="24"/>
          <w:szCs w:val="24"/>
        </w:rPr>
        <w:t>.</w:t>
      </w:r>
      <w:r w:rsidR="00435632" w:rsidRPr="00435632">
        <w:rPr>
          <w:sz w:val="24"/>
          <w:szCs w:val="24"/>
        </w:rPr>
        <w:t xml:space="preserve"> </w:t>
      </w:r>
      <w:r>
        <w:rPr>
          <w:sz w:val="24"/>
          <w:szCs w:val="24"/>
        </w:rPr>
        <w:t>This recognises that the calculations in sections 31 and 32 are not required to determine what each exporter should receive as an entitlement.</w:t>
      </w:r>
    </w:p>
    <w:p w14:paraId="5632C911" w14:textId="77777777" w:rsidR="00F364F9" w:rsidRDefault="00F364F9" w:rsidP="00435632">
      <w:pPr>
        <w:spacing w:line="240" w:lineRule="auto"/>
        <w:rPr>
          <w:sz w:val="24"/>
          <w:szCs w:val="24"/>
        </w:rPr>
      </w:pPr>
    </w:p>
    <w:p w14:paraId="2115AE9A" w14:textId="5F7E428A" w:rsidR="00435632" w:rsidRDefault="00430C87" w:rsidP="00435632">
      <w:pPr>
        <w:spacing w:line="240" w:lineRule="auto"/>
        <w:rPr>
          <w:sz w:val="24"/>
          <w:szCs w:val="24"/>
        </w:rPr>
      </w:pPr>
      <w:r>
        <w:rPr>
          <w:sz w:val="24"/>
          <w:szCs w:val="24"/>
        </w:rPr>
        <w:t>Paragraph</w:t>
      </w:r>
      <w:r w:rsidR="00F47594">
        <w:rPr>
          <w:sz w:val="24"/>
          <w:szCs w:val="24"/>
        </w:rPr>
        <w:t xml:space="preserve"> </w:t>
      </w:r>
      <w:r w:rsidR="001C37BA">
        <w:rPr>
          <w:sz w:val="24"/>
          <w:szCs w:val="24"/>
        </w:rPr>
        <w:t>30</w:t>
      </w:r>
      <w:r w:rsidR="00F47594">
        <w:rPr>
          <w:sz w:val="24"/>
          <w:szCs w:val="24"/>
        </w:rPr>
        <w:t>(2)(b) provides that the amount of tariff rate quota entitlement to be allocated to an applicant is,</w:t>
      </w:r>
      <w:r w:rsidR="00CB5929">
        <w:rPr>
          <w:sz w:val="24"/>
          <w:szCs w:val="24"/>
        </w:rPr>
        <w:t xml:space="preserve"> </w:t>
      </w:r>
      <w:r w:rsidR="00435632" w:rsidRPr="00435632">
        <w:rPr>
          <w:sz w:val="24"/>
          <w:szCs w:val="24"/>
        </w:rPr>
        <w:t xml:space="preserve">if the total amount applied for in all applications is more than the standard access amount for the </w:t>
      </w:r>
      <w:r w:rsidR="00FE3E4B">
        <w:rPr>
          <w:sz w:val="24"/>
          <w:szCs w:val="24"/>
        </w:rPr>
        <w:t>quota type</w:t>
      </w:r>
      <w:r w:rsidR="00435632" w:rsidRPr="00435632">
        <w:rPr>
          <w:sz w:val="24"/>
          <w:szCs w:val="24"/>
        </w:rPr>
        <w:t xml:space="preserve"> and quota year, the amount worked out under </w:t>
      </w:r>
      <w:r w:rsidR="00654BDE">
        <w:rPr>
          <w:sz w:val="24"/>
          <w:szCs w:val="24"/>
        </w:rPr>
        <w:t xml:space="preserve">section </w:t>
      </w:r>
      <w:r w:rsidR="00892FD1">
        <w:rPr>
          <w:sz w:val="24"/>
          <w:szCs w:val="24"/>
        </w:rPr>
        <w:t>31</w:t>
      </w:r>
      <w:r w:rsidR="00435632" w:rsidRPr="00435632">
        <w:rPr>
          <w:sz w:val="24"/>
          <w:szCs w:val="24"/>
        </w:rPr>
        <w:t>.</w:t>
      </w:r>
    </w:p>
    <w:p w14:paraId="602A2CF4" w14:textId="77777777" w:rsidR="00CB5929" w:rsidRDefault="00CB5929" w:rsidP="00435632">
      <w:pPr>
        <w:spacing w:line="240" w:lineRule="auto"/>
        <w:rPr>
          <w:sz w:val="24"/>
          <w:szCs w:val="24"/>
        </w:rPr>
      </w:pPr>
    </w:p>
    <w:p w14:paraId="4D0B8114" w14:textId="612329A9" w:rsidR="00CB5929" w:rsidRPr="00435632" w:rsidRDefault="00CB5929" w:rsidP="00435632">
      <w:pPr>
        <w:spacing w:line="240" w:lineRule="auto"/>
        <w:rPr>
          <w:sz w:val="24"/>
          <w:szCs w:val="24"/>
        </w:rPr>
      </w:pPr>
      <w:r>
        <w:rPr>
          <w:sz w:val="24"/>
          <w:szCs w:val="24"/>
        </w:rPr>
        <w:t>This subsection inc</w:t>
      </w:r>
      <w:r w:rsidR="00DB08D9">
        <w:rPr>
          <w:sz w:val="24"/>
          <w:szCs w:val="24"/>
        </w:rPr>
        <w:t>l</w:t>
      </w:r>
      <w:r>
        <w:rPr>
          <w:sz w:val="24"/>
          <w:szCs w:val="24"/>
        </w:rPr>
        <w:t>udes a note that section 32 contains the calculations required for the purposes of section 31.</w:t>
      </w:r>
    </w:p>
    <w:p w14:paraId="7E109F5B" w14:textId="0C2E1A65" w:rsidR="00435632" w:rsidRPr="00435632" w:rsidRDefault="00435632" w:rsidP="00435632">
      <w:pPr>
        <w:spacing w:line="240" w:lineRule="auto"/>
        <w:rPr>
          <w:sz w:val="24"/>
          <w:szCs w:val="24"/>
        </w:rPr>
      </w:pPr>
    </w:p>
    <w:p w14:paraId="03609EE4" w14:textId="1D02183B" w:rsidR="00FE16E3" w:rsidRDefault="00FE16E3" w:rsidP="00FE16E3">
      <w:pPr>
        <w:spacing w:line="240" w:lineRule="auto"/>
        <w:rPr>
          <w:sz w:val="24"/>
          <w:szCs w:val="24"/>
          <w:u w:val="single"/>
        </w:rPr>
      </w:pPr>
      <w:r>
        <w:rPr>
          <w:sz w:val="24"/>
          <w:szCs w:val="24"/>
          <w:u w:val="single"/>
        </w:rPr>
        <w:t xml:space="preserve">Section </w:t>
      </w:r>
      <w:r w:rsidR="00892FD1">
        <w:rPr>
          <w:sz w:val="24"/>
          <w:szCs w:val="24"/>
          <w:u w:val="single"/>
        </w:rPr>
        <w:t>31</w:t>
      </w:r>
      <w:r>
        <w:rPr>
          <w:sz w:val="24"/>
          <w:szCs w:val="24"/>
          <w:u w:val="single"/>
        </w:rPr>
        <w:t xml:space="preserve"> - Calculation of </w:t>
      </w:r>
      <w:r w:rsidR="00F47594">
        <w:rPr>
          <w:sz w:val="24"/>
          <w:szCs w:val="24"/>
          <w:u w:val="single"/>
        </w:rPr>
        <w:t xml:space="preserve">tariff rate </w:t>
      </w:r>
      <w:r>
        <w:rPr>
          <w:sz w:val="24"/>
          <w:szCs w:val="24"/>
          <w:u w:val="single"/>
        </w:rPr>
        <w:t>quota entitlement allocated from standard access amount</w:t>
      </w:r>
    </w:p>
    <w:p w14:paraId="2D29FC64" w14:textId="77777777" w:rsidR="00FE16E3" w:rsidRDefault="00FE16E3" w:rsidP="00FE16E3">
      <w:pPr>
        <w:spacing w:line="240" w:lineRule="auto"/>
        <w:rPr>
          <w:sz w:val="24"/>
          <w:szCs w:val="24"/>
        </w:rPr>
      </w:pPr>
    </w:p>
    <w:p w14:paraId="2D5A9D69" w14:textId="74684F1F" w:rsidR="00DB207A" w:rsidRDefault="00DB207A" w:rsidP="004C09F5">
      <w:pPr>
        <w:spacing w:line="240" w:lineRule="auto"/>
        <w:rPr>
          <w:sz w:val="24"/>
          <w:szCs w:val="24"/>
        </w:rPr>
      </w:pPr>
      <w:r>
        <w:rPr>
          <w:sz w:val="24"/>
          <w:szCs w:val="24"/>
        </w:rPr>
        <w:t>Section 31 is the final stage of the tariff rate quota entitlement calculations.  This stage is required to determine if any exporter’s individual entitlement is less than the minimum quota allocation and, if so, to redistribute the quota available to those exporters that have not reached the amount</w:t>
      </w:r>
      <w:r w:rsidR="001A714E">
        <w:rPr>
          <w:sz w:val="24"/>
          <w:szCs w:val="24"/>
        </w:rPr>
        <w:t xml:space="preserve"> they applied for</w:t>
      </w:r>
      <w:r>
        <w:rPr>
          <w:sz w:val="24"/>
          <w:szCs w:val="24"/>
        </w:rPr>
        <w:t>.</w:t>
      </w:r>
    </w:p>
    <w:p w14:paraId="085587AF" w14:textId="77777777" w:rsidR="00DB207A" w:rsidRDefault="00DB207A" w:rsidP="004C09F5">
      <w:pPr>
        <w:spacing w:line="240" w:lineRule="auto"/>
        <w:rPr>
          <w:sz w:val="24"/>
          <w:szCs w:val="24"/>
        </w:rPr>
      </w:pPr>
    </w:p>
    <w:p w14:paraId="0237DEC2" w14:textId="64C38711" w:rsidR="00F47594" w:rsidRPr="00A41041" w:rsidRDefault="0071536D" w:rsidP="004C09F5">
      <w:pPr>
        <w:spacing w:line="240" w:lineRule="auto"/>
        <w:rPr>
          <w:sz w:val="24"/>
          <w:szCs w:val="24"/>
        </w:rPr>
      </w:pPr>
      <w:r>
        <w:rPr>
          <w:sz w:val="24"/>
          <w:szCs w:val="24"/>
        </w:rPr>
        <w:t>Paragraph</w:t>
      </w:r>
      <w:r w:rsidR="00F47594" w:rsidRPr="00B259DC">
        <w:rPr>
          <w:sz w:val="24"/>
          <w:szCs w:val="24"/>
        </w:rPr>
        <w:t xml:space="preserve"> </w:t>
      </w:r>
      <w:r w:rsidR="00892FD1">
        <w:rPr>
          <w:sz w:val="24"/>
          <w:szCs w:val="24"/>
        </w:rPr>
        <w:t>31</w:t>
      </w:r>
      <w:r w:rsidR="00F47594" w:rsidRPr="00B259DC">
        <w:rPr>
          <w:sz w:val="24"/>
          <w:szCs w:val="24"/>
        </w:rPr>
        <w:t>(1)</w:t>
      </w:r>
      <w:r w:rsidR="00B259DC">
        <w:rPr>
          <w:sz w:val="24"/>
          <w:szCs w:val="24"/>
        </w:rPr>
        <w:t>(a)</w:t>
      </w:r>
      <w:r w:rsidR="00F47594" w:rsidRPr="00B259DC">
        <w:rPr>
          <w:sz w:val="24"/>
          <w:szCs w:val="24"/>
        </w:rPr>
        <w:t xml:space="preserve"> provides that f</w:t>
      </w:r>
      <w:r w:rsidR="00F47594" w:rsidRPr="004C09F5">
        <w:rPr>
          <w:sz w:val="24"/>
          <w:szCs w:val="24"/>
        </w:rPr>
        <w:t xml:space="preserve">or the purposes of paragraph </w:t>
      </w:r>
      <w:r w:rsidR="001C37BA">
        <w:rPr>
          <w:sz w:val="24"/>
          <w:szCs w:val="24"/>
        </w:rPr>
        <w:t>30</w:t>
      </w:r>
      <w:r w:rsidR="00F47594" w:rsidRPr="004C09F5">
        <w:rPr>
          <w:sz w:val="24"/>
          <w:szCs w:val="24"/>
        </w:rPr>
        <w:t xml:space="preserve">(2)(b), </w:t>
      </w:r>
      <w:r w:rsidR="00982ADA">
        <w:rPr>
          <w:sz w:val="24"/>
          <w:szCs w:val="24"/>
        </w:rPr>
        <w:t xml:space="preserve">if the </w:t>
      </w:r>
      <w:r w:rsidR="00982ADA" w:rsidRPr="004C09F5">
        <w:rPr>
          <w:sz w:val="24"/>
          <w:szCs w:val="24"/>
        </w:rPr>
        <w:t>applicant’s redistributed individual entitlement</w:t>
      </w:r>
      <w:r>
        <w:rPr>
          <w:sz w:val="24"/>
          <w:szCs w:val="24"/>
        </w:rPr>
        <w:t xml:space="preserve"> for a quota type and a quota year</w:t>
      </w:r>
      <w:r w:rsidR="00982ADA" w:rsidRPr="004C09F5">
        <w:rPr>
          <w:sz w:val="24"/>
          <w:szCs w:val="24"/>
        </w:rPr>
        <w:t xml:space="preserve"> </w:t>
      </w:r>
      <w:r w:rsidR="00982ADA">
        <w:rPr>
          <w:sz w:val="24"/>
          <w:szCs w:val="24"/>
        </w:rPr>
        <w:t xml:space="preserve">is equal to </w:t>
      </w:r>
      <w:r w:rsidR="00982ADA" w:rsidRPr="004C09F5">
        <w:rPr>
          <w:sz w:val="24"/>
          <w:szCs w:val="24"/>
        </w:rPr>
        <w:t>the amount of tariff rate quota entitlement the applicant applied for</w:t>
      </w:r>
      <w:r w:rsidR="00982ADA">
        <w:rPr>
          <w:sz w:val="24"/>
          <w:szCs w:val="24"/>
        </w:rPr>
        <w:t>, then</w:t>
      </w:r>
      <w:r w:rsidR="00982ADA" w:rsidRPr="004C09F5">
        <w:rPr>
          <w:sz w:val="24"/>
          <w:szCs w:val="24"/>
        </w:rPr>
        <w:t xml:space="preserve"> </w:t>
      </w:r>
      <w:r w:rsidR="00F47594" w:rsidRPr="004C09F5">
        <w:rPr>
          <w:sz w:val="24"/>
          <w:szCs w:val="24"/>
        </w:rPr>
        <w:t xml:space="preserve">the amount of tariff rate quota entitlement to be allocated to </w:t>
      </w:r>
      <w:r w:rsidR="00982ADA">
        <w:rPr>
          <w:sz w:val="24"/>
          <w:szCs w:val="24"/>
        </w:rPr>
        <w:t>them is</w:t>
      </w:r>
      <w:r w:rsidR="00B82AB0" w:rsidRPr="00B259DC">
        <w:rPr>
          <w:sz w:val="24"/>
          <w:szCs w:val="24"/>
        </w:rPr>
        <w:t xml:space="preserve"> t</w:t>
      </w:r>
      <w:r w:rsidR="00B259DC" w:rsidRPr="00B259DC">
        <w:rPr>
          <w:sz w:val="24"/>
          <w:szCs w:val="24"/>
        </w:rPr>
        <w:t>hat amount.</w:t>
      </w:r>
    </w:p>
    <w:p w14:paraId="78D3BEEC" w14:textId="77777777" w:rsidR="00B259DC" w:rsidRPr="004C09F5" w:rsidRDefault="00B259DC" w:rsidP="004C09F5">
      <w:pPr>
        <w:spacing w:line="240" w:lineRule="auto"/>
        <w:rPr>
          <w:sz w:val="24"/>
          <w:szCs w:val="24"/>
        </w:rPr>
      </w:pPr>
    </w:p>
    <w:p w14:paraId="1D71FA6B" w14:textId="72CBECA9" w:rsidR="00982ADA" w:rsidRDefault="0071536D" w:rsidP="004C09F5">
      <w:pPr>
        <w:spacing w:line="240" w:lineRule="auto"/>
        <w:rPr>
          <w:sz w:val="24"/>
          <w:szCs w:val="24"/>
        </w:rPr>
      </w:pPr>
      <w:r>
        <w:rPr>
          <w:sz w:val="24"/>
          <w:szCs w:val="24"/>
        </w:rPr>
        <w:t>Paragraph</w:t>
      </w:r>
      <w:r w:rsidR="00B259DC" w:rsidRPr="00B259DC">
        <w:rPr>
          <w:sz w:val="24"/>
          <w:szCs w:val="24"/>
        </w:rPr>
        <w:t xml:space="preserve"> </w:t>
      </w:r>
      <w:r w:rsidR="00892FD1">
        <w:rPr>
          <w:sz w:val="24"/>
          <w:szCs w:val="24"/>
        </w:rPr>
        <w:t>31</w:t>
      </w:r>
      <w:r w:rsidR="00B259DC" w:rsidRPr="00B259DC">
        <w:rPr>
          <w:sz w:val="24"/>
          <w:szCs w:val="24"/>
        </w:rPr>
        <w:t>(1</w:t>
      </w:r>
      <w:proofErr w:type="gramStart"/>
      <w:r w:rsidR="00B259DC" w:rsidRPr="00B259DC">
        <w:rPr>
          <w:sz w:val="24"/>
          <w:szCs w:val="24"/>
        </w:rPr>
        <w:t>)</w:t>
      </w:r>
      <w:r w:rsidR="00B259DC">
        <w:rPr>
          <w:sz w:val="24"/>
          <w:szCs w:val="24"/>
        </w:rPr>
        <w:t>(</w:t>
      </w:r>
      <w:proofErr w:type="gramEnd"/>
      <w:r w:rsidR="00B259DC">
        <w:rPr>
          <w:sz w:val="24"/>
          <w:szCs w:val="24"/>
        </w:rPr>
        <w:t>b)</w:t>
      </w:r>
      <w:r w:rsidR="00B259DC" w:rsidRPr="00B259DC">
        <w:rPr>
          <w:sz w:val="24"/>
          <w:szCs w:val="24"/>
        </w:rPr>
        <w:t xml:space="preserve"> provides that f</w:t>
      </w:r>
      <w:r w:rsidR="00B259DC" w:rsidRPr="00B262A8">
        <w:rPr>
          <w:sz w:val="24"/>
          <w:szCs w:val="24"/>
        </w:rPr>
        <w:t xml:space="preserve">or the purposes of paragraph </w:t>
      </w:r>
      <w:r w:rsidR="001C37BA">
        <w:rPr>
          <w:sz w:val="24"/>
          <w:szCs w:val="24"/>
        </w:rPr>
        <w:t>30</w:t>
      </w:r>
      <w:r w:rsidR="00B259DC" w:rsidRPr="00B262A8">
        <w:rPr>
          <w:sz w:val="24"/>
          <w:szCs w:val="24"/>
        </w:rPr>
        <w:t xml:space="preserve">(2)(b), </w:t>
      </w:r>
      <w:r w:rsidR="00982ADA">
        <w:rPr>
          <w:sz w:val="24"/>
          <w:szCs w:val="24"/>
        </w:rPr>
        <w:t xml:space="preserve">if the applicants </w:t>
      </w:r>
      <w:r w:rsidR="00982ADA" w:rsidRPr="004C09F5">
        <w:rPr>
          <w:sz w:val="24"/>
          <w:szCs w:val="24"/>
        </w:rPr>
        <w:t xml:space="preserve">redistributed individual entitlement is less than the minimum quota allocation for the quota type and quota year </w:t>
      </w:r>
      <w:r w:rsidR="00982ADA">
        <w:rPr>
          <w:sz w:val="24"/>
          <w:szCs w:val="24"/>
        </w:rPr>
        <w:t xml:space="preserve">(and 31(1)(a) does not apply), then </w:t>
      </w:r>
      <w:r w:rsidR="00982ADA" w:rsidRPr="004C09F5">
        <w:rPr>
          <w:sz w:val="24"/>
          <w:szCs w:val="24"/>
        </w:rPr>
        <w:t xml:space="preserve">the amount of tariff rate quota entitlement to be allocated to </w:t>
      </w:r>
      <w:r w:rsidR="00982ADA">
        <w:rPr>
          <w:sz w:val="24"/>
          <w:szCs w:val="24"/>
        </w:rPr>
        <w:t>them is nil.</w:t>
      </w:r>
    </w:p>
    <w:p w14:paraId="73E64040" w14:textId="77777777" w:rsidR="00B259DC" w:rsidRDefault="00B259DC" w:rsidP="004C09F5">
      <w:pPr>
        <w:spacing w:line="240" w:lineRule="auto"/>
        <w:rPr>
          <w:sz w:val="24"/>
          <w:szCs w:val="24"/>
        </w:rPr>
      </w:pPr>
    </w:p>
    <w:p w14:paraId="3EF729E5" w14:textId="20439E21" w:rsidR="00982ADA" w:rsidRDefault="0071536D" w:rsidP="004C09F5">
      <w:pPr>
        <w:spacing w:line="240" w:lineRule="auto"/>
        <w:rPr>
          <w:sz w:val="24"/>
          <w:szCs w:val="24"/>
        </w:rPr>
      </w:pPr>
      <w:r>
        <w:rPr>
          <w:sz w:val="24"/>
          <w:szCs w:val="24"/>
        </w:rPr>
        <w:t>Paragraph</w:t>
      </w:r>
      <w:r w:rsidR="00B259DC" w:rsidRPr="00B259DC">
        <w:rPr>
          <w:sz w:val="24"/>
          <w:szCs w:val="24"/>
        </w:rPr>
        <w:t xml:space="preserve"> </w:t>
      </w:r>
      <w:r w:rsidR="00892FD1">
        <w:rPr>
          <w:sz w:val="24"/>
          <w:szCs w:val="24"/>
        </w:rPr>
        <w:t>31</w:t>
      </w:r>
      <w:r w:rsidR="00B259DC" w:rsidRPr="00B259DC">
        <w:rPr>
          <w:sz w:val="24"/>
          <w:szCs w:val="24"/>
        </w:rPr>
        <w:t>(1)</w:t>
      </w:r>
      <w:r w:rsidR="00B259DC">
        <w:rPr>
          <w:sz w:val="24"/>
          <w:szCs w:val="24"/>
        </w:rPr>
        <w:t>(c)</w:t>
      </w:r>
      <w:r w:rsidR="00B259DC" w:rsidRPr="00B259DC">
        <w:rPr>
          <w:sz w:val="24"/>
          <w:szCs w:val="24"/>
        </w:rPr>
        <w:t xml:space="preserve"> provides that f</w:t>
      </w:r>
      <w:r w:rsidR="00B259DC" w:rsidRPr="00B262A8">
        <w:rPr>
          <w:sz w:val="24"/>
          <w:szCs w:val="24"/>
        </w:rPr>
        <w:t xml:space="preserve">or the purposes of paragraph </w:t>
      </w:r>
      <w:r w:rsidR="001C37BA">
        <w:rPr>
          <w:sz w:val="24"/>
          <w:szCs w:val="24"/>
        </w:rPr>
        <w:t>30</w:t>
      </w:r>
      <w:r w:rsidR="00B259DC" w:rsidRPr="00B262A8">
        <w:rPr>
          <w:sz w:val="24"/>
          <w:szCs w:val="24"/>
        </w:rPr>
        <w:t xml:space="preserve">(2)(b), </w:t>
      </w:r>
      <w:r w:rsidR="00982ADA">
        <w:rPr>
          <w:sz w:val="24"/>
          <w:szCs w:val="24"/>
        </w:rPr>
        <w:t xml:space="preserve">if </w:t>
      </w:r>
      <w:r w:rsidR="00982ADA" w:rsidRPr="004C09F5">
        <w:rPr>
          <w:sz w:val="24"/>
          <w:szCs w:val="24"/>
        </w:rPr>
        <w:t xml:space="preserve">neither paragraph </w:t>
      </w:r>
      <w:r w:rsidR="00982ADA">
        <w:rPr>
          <w:sz w:val="24"/>
          <w:szCs w:val="24"/>
        </w:rPr>
        <w:t>31</w:t>
      </w:r>
      <w:r w:rsidR="00982ADA" w:rsidRPr="00B259DC">
        <w:rPr>
          <w:sz w:val="24"/>
          <w:szCs w:val="24"/>
        </w:rPr>
        <w:t>(1)</w:t>
      </w:r>
      <w:r w:rsidR="00982ADA" w:rsidRPr="004C09F5">
        <w:rPr>
          <w:sz w:val="24"/>
          <w:szCs w:val="24"/>
        </w:rPr>
        <w:t xml:space="preserve">(a) nor </w:t>
      </w:r>
      <w:r w:rsidR="00982ADA">
        <w:rPr>
          <w:sz w:val="24"/>
          <w:szCs w:val="24"/>
        </w:rPr>
        <w:t>31</w:t>
      </w:r>
      <w:r w:rsidR="00982ADA" w:rsidRPr="00B259DC">
        <w:rPr>
          <w:sz w:val="24"/>
          <w:szCs w:val="24"/>
        </w:rPr>
        <w:t>(1)</w:t>
      </w:r>
      <w:r w:rsidR="00982ADA" w:rsidRPr="004C09F5">
        <w:rPr>
          <w:sz w:val="24"/>
          <w:szCs w:val="24"/>
        </w:rPr>
        <w:t>(b) applies</w:t>
      </w:r>
      <w:r w:rsidR="00982ADA" w:rsidRPr="00B259DC">
        <w:rPr>
          <w:sz w:val="24"/>
          <w:szCs w:val="24"/>
        </w:rPr>
        <w:t xml:space="preserve">, </w:t>
      </w:r>
      <w:r w:rsidR="00982ADA" w:rsidRPr="004C09F5">
        <w:rPr>
          <w:sz w:val="24"/>
          <w:szCs w:val="24"/>
        </w:rPr>
        <w:t xml:space="preserve">the amount worked out using the formula in subsection </w:t>
      </w:r>
      <w:r w:rsidR="00982ADA">
        <w:rPr>
          <w:sz w:val="24"/>
          <w:szCs w:val="24"/>
        </w:rPr>
        <w:t>31</w:t>
      </w:r>
      <w:r w:rsidR="00982ADA" w:rsidRPr="004C09F5">
        <w:rPr>
          <w:sz w:val="24"/>
          <w:szCs w:val="24"/>
        </w:rPr>
        <w:t xml:space="preserve">(2), subject to subsections </w:t>
      </w:r>
      <w:r w:rsidR="00982ADA">
        <w:rPr>
          <w:sz w:val="24"/>
          <w:szCs w:val="24"/>
        </w:rPr>
        <w:t>31(3) to (6), is the applicant’s tariff rate quota entitlement.</w:t>
      </w:r>
    </w:p>
    <w:p w14:paraId="383AC05A" w14:textId="77777777" w:rsidR="00E63B4B" w:rsidRDefault="00E63B4B" w:rsidP="004C09F5">
      <w:pPr>
        <w:spacing w:line="240" w:lineRule="auto"/>
        <w:rPr>
          <w:sz w:val="24"/>
          <w:szCs w:val="24"/>
        </w:rPr>
      </w:pPr>
    </w:p>
    <w:p w14:paraId="380606F8" w14:textId="32CA9230" w:rsidR="00F47594" w:rsidRPr="004C09F5" w:rsidRDefault="00E63B4B" w:rsidP="004C09F5">
      <w:pPr>
        <w:spacing w:line="240" w:lineRule="auto"/>
        <w:rPr>
          <w:sz w:val="24"/>
          <w:szCs w:val="24"/>
        </w:rPr>
      </w:pPr>
      <w:r>
        <w:rPr>
          <w:sz w:val="24"/>
          <w:szCs w:val="24"/>
        </w:rPr>
        <w:lastRenderedPageBreak/>
        <w:t>This subsection includes a n</w:t>
      </w:r>
      <w:r w:rsidR="00F47594" w:rsidRPr="004C09F5">
        <w:rPr>
          <w:sz w:val="24"/>
          <w:szCs w:val="24"/>
        </w:rPr>
        <w:t>ote</w:t>
      </w:r>
      <w:r>
        <w:rPr>
          <w:sz w:val="24"/>
          <w:szCs w:val="24"/>
        </w:rPr>
        <w:t xml:space="preserve"> that </w:t>
      </w:r>
      <w:r w:rsidR="00B82AB0">
        <w:rPr>
          <w:sz w:val="24"/>
          <w:szCs w:val="24"/>
        </w:rPr>
        <w:t xml:space="preserve">subsection </w:t>
      </w:r>
      <w:r w:rsidR="001C37BA">
        <w:rPr>
          <w:sz w:val="24"/>
          <w:szCs w:val="24"/>
        </w:rPr>
        <w:t>32</w:t>
      </w:r>
      <w:r w:rsidR="00B82AB0">
        <w:rPr>
          <w:sz w:val="24"/>
          <w:szCs w:val="24"/>
        </w:rPr>
        <w:t>(</w:t>
      </w:r>
      <w:r w:rsidR="004C6652">
        <w:rPr>
          <w:sz w:val="24"/>
          <w:szCs w:val="24"/>
        </w:rPr>
        <w:t>7</w:t>
      </w:r>
      <w:r w:rsidR="00142D59">
        <w:rPr>
          <w:sz w:val="24"/>
          <w:szCs w:val="24"/>
        </w:rPr>
        <w:t>)</w:t>
      </w:r>
      <w:r w:rsidR="005C7894">
        <w:rPr>
          <w:sz w:val="24"/>
          <w:szCs w:val="24"/>
        </w:rPr>
        <w:t xml:space="preserve"> </w:t>
      </w:r>
      <w:r w:rsidR="004C6652">
        <w:rPr>
          <w:sz w:val="24"/>
          <w:szCs w:val="24"/>
        </w:rPr>
        <w:t>to (14)</w:t>
      </w:r>
      <w:r w:rsidR="00B82AB0">
        <w:rPr>
          <w:sz w:val="24"/>
          <w:szCs w:val="24"/>
        </w:rPr>
        <w:t xml:space="preserve"> provides information </w:t>
      </w:r>
      <w:r>
        <w:rPr>
          <w:sz w:val="24"/>
          <w:szCs w:val="24"/>
        </w:rPr>
        <w:t>f</w:t>
      </w:r>
      <w:r w:rsidR="00F47594" w:rsidRPr="004C09F5">
        <w:rPr>
          <w:sz w:val="24"/>
          <w:szCs w:val="24"/>
        </w:rPr>
        <w:t xml:space="preserve">or an applicant’s </w:t>
      </w:r>
      <w:r w:rsidR="00F47594" w:rsidRPr="00982ADA">
        <w:rPr>
          <w:i/>
          <w:sz w:val="24"/>
          <w:szCs w:val="24"/>
        </w:rPr>
        <w:t>redistributed individual entitlement</w:t>
      </w:r>
      <w:r w:rsidR="00F47594" w:rsidRPr="004C09F5">
        <w:rPr>
          <w:sz w:val="24"/>
          <w:szCs w:val="24"/>
        </w:rPr>
        <w:t xml:space="preserve">. This is worked out from an applicant’s </w:t>
      </w:r>
      <w:r w:rsidR="00F47594" w:rsidRPr="00982ADA">
        <w:rPr>
          <w:i/>
          <w:sz w:val="24"/>
          <w:szCs w:val="24"/>
        </w:rPr>
        <w:t>initial individual entitlement</w:t>
      </w:r>
      <w:r w:rsidR="004C6652">
        <w:rPr>
          <w:sz w:val="24"/>
          <w:szCs w:val="24"/>
        </w:rPr>
        <w:t xml:space="preserve"> (calculated in subsections 32(1) and (2)) and an applicant’s </w:t>
      </w:r>
      <w:r w:rsidR="004C6652">
        <w:rPr>
          <w:i/>
          <w:sz w:val="24"/>
          <w:szCs w:val="24"/>
        </w:rPr>
        <w:t>adjusted individual entitlement</w:t>
      </w:r>
      <w:r w:rsidR="004C6652">
        <w:rPr>
          <w:sz w:val="24"/>
          <w:szCs w:val="24"/>
        </w:rPr>
        <w:t xml:space="preserve"> (calculated in subsections 32(3) to (6)).</w:t>
      </w:r>
      <w:bookmarkStart w:id="41" w:name="BK_S3P21L11C40"/>
      <w:bookmarkEnd w:id="41"/>
    </w:p>
    <w:p w14:paraId="5A463AFF" w14:textId="437FA884" w:rsidR="00F47594" w:rsidRPr="00982ADA" w:rsidRDefault="00E63B4B" w:rsidP="00F47594">
      <w:pPr>
        <w:pStyle w:val="subsection"/>
        <w:rPr>
          <w:sz w:val="24"/>
          <w:szCs w:val="24"/>
        </w:rPr>
      </w:pPr>
      <w:r w:rsidRPr="00982ADA">
        <w:rPr>
          <w:sz w:val="24"/>
          <w:szCs w:val="24"/>
        </w:rPr>
        <w:t xml:space="preserve">Subsection </w:t>
      </w:r>
      <w:r w:rsidR="00892FD1" w:rsidRPr="00982ADA">
        <w:rPr>
          <w:sz w:val="24"/>
          <w:szCs w:val="24"/>
        </w:rPr>
        <w:t>31</w:t>
      </w:r>
      <w:r w:rsidRPr="00982ADA">
        <w:rPr>
          <w:sz w:val="24"/>
          <w:szCs w:val="24"/>
        </w:rPr>
        <w:t>(2) provides that fo</w:t>
      </w:r>
      <w:r w:rsidR="00F47594" w:rsidRPr="00982ADA">
        <w:rPr>
          <w:sz w:val="24"/>
          <w:szCs w:val="24"/>
        </w:rPr>
        <w:t xml:space="preserve">r the purposes of paragraph </w:t>
      </w:r>
      <w:r w:rsidR="00982ADA" w:rsidRPr="00982ADA">
        <w:rPr>
          <w:sz w:val="24"/>
          <w:szCs w:val="24"/>
        </w:rPr>
        <w:t>31</w:t>
      </w:r>
      <w:r w:rsidR="00F47594" w:rsidRPr="00982ADA">
        <w:rPr>
          <w:sz w:val="24"/>
          <w:szCs w:val="24"/>
        </w:rPr>
        <w:t>(</w:t>
      </w:r>
      <w:r w:rsidR="00982ADA" w:rsidRPr="00982ADA">
        <w:rPr>
          <w:sz w:val="24"/>
          <w:szCs w:val="24"/>
        </w:rPr>
        <w:t>1</w:t>
      </w:r>
      <w:proofErr w:type="gramStart"/>
      <w:r w:rsidR="00F47594" w:rsidRPr="00982ADA">
        <w:rPr>
          <w:sz w:val="24"/>
          <w:szCs w:val="24"/>
        </w:rPr>
        <w:t>)(</w:t>
      </w:r>
      <w:proofErr w:type="gramEnd"/>
      <w:r w:rsidR="00F47594" w:rsidRPr="00982ADA">
        <w:rPr>
          <w:sz w:val="24"/>
          <w:szCs w:val="24"/>
        </w:rPr>
        <w:t>c), the formula is:</w:t>
      </w:r>
    </w:p>
    <w:p w14:paraId="53523FD9" w14:textId="4B6F1640" w:rsidR="00F47594" w:rsidRPr="00F93A3D" w:rsidRDefault="00F47594" w:rsidP="00F47594">
      <w:pPr>
        <w:pStyle w:val="subsection"/>
      </w:pPr>
      <w:r w:rsidRPr="00F93A3D">
        <w:tab/>
      </w:r>
      <w:r w:rsidRPr="00F93A3D">
        <w:tab/>
      </w:r>
      <w:bookmarkStart w:id="42" w:name="BKCheck15B_6"/>
      <w:bookmarkEnd w:id="42"/>
      <w:r w:rsidR="004C6652">
        <w:rPr>
          <w:noProof/>
          <w:position w:val="-38"/>
        </w:rPr>
        <w:drawing>
          <wp:inline distT="0" distB="0" distL="0" distR="0" wp14:anchorId="30B74554" wp14:editId="0FACF6D2">
            <wp:extent cx="364807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48075" cy="542925"/>
                    </a:xfrm>
                    <a:prstGeom prst="rect">
                      <a:avLst/>
                    </a:prstGeom>
                    <a:noFill/>
                    <a:ln>
                      <a:noFill/>
                    </a:ln>
                  </pic:spPr>
                </pic:pic>
              </a:graphicData>
            </a:graphic>
          </wp:inline>
        </w:drawing>
      </w:r>
    </w:p>
    <w:p w14:paraId="1568414D" w14:textId="77777777" w:rsidR="00F47594" w:rsidRPr="00982ADA" w:rsidRDefault="00F47594" w:rsidP="00982ADA">
      <w:pPr>
        <w:pStyle w:val="subsection2"/>
        <w:ind w:left="567"/>
        <w:rPr>
          <w:sz w:val="24"/>
          <w:szCs w:val="24"/>
        </w:rPr>
      </w:pPr>
      <w:proofErr w:type="gramStart"/>
      <w:r w:rsidRPr="00982ADA">
        <w:rPr>
          <w:sz w:val="24"/>
          <w:szCs w:val="24"/>
        </w:rPr>
        <w:t>where</w:t>
      </w:r>
      <w:proofErr w:type="gramEnd"/>
      <w:r w:rsidRPr="00982ADA">
        <w:rPr>
          <w:sz w:val="24"/>
          <w:szCs w:val="24"/>
        </w:rPr>
        <w:t>:</w:t>
      </w:r>
    </w:p>
    <w:p w14:paraId="3D77C5B4" w14:textId="6EEF3177" w:rsidR="004C6652" w:rsidRDefault="004C6652" w:rsidP="00982ADA">
      <w:pPr>
        <w:pStyle w:val="Definition"/>
        <w:ind w:left="567"/>
        <w:rPr>
          <w:sz w:val="24"/>
          <w:szCs w:val="24"/>
        </w:rPr>
      </w:pPr>
      <w:proofErr w:type="gramStart"/>
      <w:r>
        <w:rPr>
          <w:b/>
          <w:i/>
          <w:sz w:val="24"/>
          <w:szCs w:val="24"/>
        </w:rPr>
        <w:t>applicant’s</w:t>
      </w:r>
      <w:proofErr w:type="gramEnd"/>
      <w:r>
        <w:rPr>
          <w:b/>
          <w:i/>
          <w:sz w:val="24"/>
          <w:szCs w:val="24"/>
        </w:rPr>
        <w:t xml:space="preserve"> </w:t>
      </w:r>
      <w:r w:rsidR="00F47594" w:rsidRPr="00982ADA">
        <w:rPr>
          <w:b/>
          <w:i/>
          <w:sz w:val="24"/>
          <w:szCs w:val="24"/>
        </w:rPr>
        <w:t>eligible</w:t>
      </w:r>
      <w:r>
        <w:rPr>
          <w:b/>
          <w:i/>
          <w:sz w:val="24"/>
          <w:szCs w:val="24"/>
        </w:rPr>
        <w:t xml:space="preserve"> past exports</w:t>
      </w:r>
      <w:r w:rsidR="00F47594" w:rsidRPr="00982ADA">
        <w:rPr>
          <w:sz w:val="24"/>
          <w:szCs w:val="24"/>
        </w:rPr>
        <w:t xml:space="preserve"> is the total</w:t>
      </w:r>
      <w:r>
        <w:rPr>
          <w:sz w:val="24"/>
          <w:szCs w:val="24"/>
        </w:rPr>
        <w:t xml:space="preserve"> weight</w:t>
      </w:r>
      <w:r w:rsidR="00F47594" w:rsidRPr="00982ADA">
        <w:rPr>
          <w:sz w:val="24"/>
          <w:szCs w:val="24"/>
        </w:rPr>
        <w:t xml:space="preserve"> of the </w:t>
      </w:r>
      <w:r>
        <w:rPr>
          <w:sz w:val="24"/>
          <w:szCs w:val="24"/>
        </w:rPr>
        <w:t>applicant’s eligible past exports</w:t>
      </w:r>
      <w:r w:rsidR="00F47594" w:rsidRPr="00982ADA">
        <w:rPr>
          <w:sz w:val="24"/>
          <w:szCs w:val="24"/>
        </w:rPr>
        <w:t xml:space="preserve"> for the quota type and quota year</w:t>
      </w:r>
      <w:r w:rsidR="009713EF">
        <w:rPr>
          <w:sz w:val="24"/>
          <w:szCs w:val="24"/>
        </w:rPr>
        <w:t>. Eligible past exports are detailed for each respective quota type in Chapter 3.</w:t>
      </w:r>
      <w:r w:rsidR="00F47594" w:rsidRPr="00982ADA">
        <w:rPr>
          <w:sz w:val="24"/>
          <w:szCs w:val="24"/>
        </w:rPr>
        <w:t xml:space="preserve"> </w:t>
      </w:r>
    </w:p>
    <w:p w14:paraId="5B9DD5CD" w14:textId="04D3B81B" w:rsidR="00F47594" w:rsidRPr="00982ADA" w:rsidRDefault="004C6652" w:rsidP="00982ADA">
      <w:pPr>
        <w:pStyle w:val="Definition"/>
        <w:ind w:left="567"/>
        <w:rPr>
          <w:sz w:val="24"/>
          <w:szCs w:val="24"/>
        </w:rPr>
      </w:pPr>
      <w:proofErr w:type="gramStart"/>
      <w:r>
        <w:rPr>
          <w:b/>
          <w:i/>
          <w:sz w:val="24"/>
          <w:szCs w:val="24"/>
        </w:rPr>
        <w:t>non-excess</w:t>
      </w:r>
      <w:proofErr w:type="gramEnd"/>
      <w:r>
        <w:rPr>
          <w:b/>
          <w:i/>
          <w:sz w:val="24"/>
          <w:szCs w:val="24"/>
        </w:rPr>
        <w:t xml:space="preserve"> eligible past </w:t>
      </w:r>
      <w:r w:rsidRPr="0097050C">
        <w:rPr>
          <w:b/>
          <w:i/>
          <w:sz w:val="24"/>
        </w:rPr>
        <w:t>exports</w:t>
      </w:r>
      <w:r w:rsidRPr="0097050C">
        <w:rPr>
          <w:b/>
          <w:sz w:val="24"/>
        </w:rPr>
        <w:t xml:space="preserve"> </w:t>
      </w:r>
      <w:r>
        <w:rPr>
          <w:sz w:val="24"/>
          <w:szCs w:val="24"/>
        </w:rPr>
        <w:t xml:space="preserve">is the total weight </w:t>
      </w:r>
      <w:r w:rsidR="00F47594" w:rsidRPr="004C6652">
        <w:rPr>
          <w:sz w:val="24"/>
          <w:szCs w:val="24"/>
        </w:rPr>
        <w:t>of</w:t>
      </w:r>
      <w:r w:rsidR="00F47594" w:rsidRPr="00982ADA">
        <w:rPr>
          <w:sz w:val="24"/>
          <w:szCs w:val="24"/>
        </w:rPr>
        <w:t xml:space="preserve"> all</w:t>
      </w:r>
      <w:r>
        <w:rPr>
          <w:sz w:val="24"/>
          <w:szCs w:val="24"/>
        </w:rPr>
        <w:t xml:space="preserve"> eligible past exports, for the quota type and quota year, by all</w:t>
      </w:r>
      <w:r w:rsidR="00F47594" w:rsidRPr="00982ADA">
        <w:rPr>
          <w:sz w:val="24"/>
          <w:szCs w:val="24"/>
        </w:rPr>
        <w:t xml:space="preserve"> applicants to whose entitlement paragraph (1)(</w:t>
      </w:r>
      <w:r>
        <w:rPr>
          <w:sz w:val="24"/>
          <w:szCs w:val="24"/>
        </w:rPr>
        <w:t>c</w:t>
      </w:r>
      <w:r w:rsidR="00F47594" w:rsidRPr="00982ADA">
        <w:rPr>
          <w:sz w:val="24"/>
          <w:szCs w:val="24"/>
        </w:rPr>
        <w:t>) applies.</w:t>
      </w:r>
    </w:p>
    <w:p w14:paraId="51200777" w14:textId="7FF40276" w:rsidR="00F47594" w:rsidRPr="00982ADA" w:rsidRDefault="00F47594" w:rsidP="00982ADA">
      <w:pPr>
        <w:pStyle w:val="Definition"/>
        <w:ind w:left="567"/>
        <w:rPr>
          <w:sz w:val="24"/>
          <w:szCs w:val="24"/>
        </w:rPr>
      </w:pPr>
      <w:proofErr w:type="gramStart"/>
      <w:r w:rsidRPr="00982ADA">
        <w:rPr>
          <w:b/>
          <w:i/>
          <w:sz w:val="24"/>
          <w:szCs w:val="24"/>
        </w:rPr>
        <w:t>quota</w:t>
      </w:r>
      <w:proofErr w:type="gramEnd"/>
      <w:r w:rsidRPr="00982ADA">
        <w:rPr>
          <w:b/>
          <w:i/>
          <w:sz w:val="24"/>
          <w:szCs w:val="24"/>
        </w:rPr>
        <w:t xml:space="preserve"> for redistribution</w:t>
      </w:r>
      <w:r w:rsidRPr="00982ADA">
        <w:rPr>
          <w:sz w:val="24"/>
          <w:szCs w:val="24"/>
        </w:rPr>
        <w:t xml:space="preserve"> is the sum of the redistributed individual entitlements of all applicants to whose entitlement paragraph (1)(b) applies.</w:t>
      </w:r>
    </w:p>
    <w:p w14:paraId="54CB52F2" w14:textId="77777777" w:rsidR="00F47594" w:rsidRPr="00982ADA" w:rsidRDefault="00F47594" w:rsidP="00982ADA">
      <w:pPr>
        <w:pStyle w:val="Definition"/>
        <w:ind w:left="567"/>
        <w:rPr>
          <w:sz w:val="24"/>
          <w:szCs w:val="24"/>
        </w:rPr>
      </w:pPr>
      <w:r w:rsidRPr="00982ADA">
        <w:rPr>
          <w:b/>
          <w:i/>
          <w:sz w:val="24"/>
          <w:szCs w:val="24"/>
        </w:rPr>
        <w:t>RIE</w:t>
      </w:r>
      <w:r w:rsidRPr="00982ADA">
        <w:rPr>
          <w:sz w:val="24"/>
          <w:szCs w:val="24"/>
        </w:rPr>
        <w:t xml:space="preserve"> is the applicant’s redistributed individual entitlement.</w:t>
      </w:r>
    </w:p>
    <w:p w14:paraId="615A39F4" w14:textId="77777777" w:rsidR="00E63B4B" w:rsidRDefault="00E63B4B" w:rsidP="004C09F5">
      <w:pPr>
        <w:spacing w:line="240" w:lineRule="auto"/>
        <w:rPr>
          <w:sz w:val="24"/>
          <w:szCs w:val="24"/>
        </w:rPr>
      </w:pPr>
    </w:p>
    <w:p w14:paraId="24689C8C" w14:textId="67CF6FAF" w:rsidR="00412466" w:rsidRDefault="00412466" w:rsidP="008614F4">
      <w:pPr>
        <w:spacing w:line="240" w:lineRule="auto"/>
        <w:rPr>
          <w:sz w:val="24"/>
          <w:szCs w:val="24"/>
        </w:rPr>
      </w:pPr>
      <w:r>
        <w:rPr>
          <w:sz w:val="24"/>
          <w:szCs w:val="24"/>
        </w:rPr>
        <w:t>All weights</w:t>
      </w:r>
      <w:r w:rsidR="00096FF7">
        <w:rPr>
          <w:sz w:val="24"/>
          <w:szCs w:val="24"/>
        </w:rPr>
        <w:t xml:space="preserve"> and amounts</w:t>
      </w:r>
      <w:r>
        <w:rPr>
          <w:sz w:val="24"/>
          <w:szCs w:val="24"/>
        </w:rPr>
        <w:t xml:space="preserve"> are calculated using kilograms.</w:t>
      </w:r>
    </w:p>
    <w:p w14:paraId="5C4A69EB" w14:textId="77777777" w:rsidR="00412466" w:rsidRDefault="00412466" w:rsidP="008614F4">
      <w:pPr>
        <w:spacing w:line="240" w:lineRule="auto"/>
        <w:rPr>
          <w:sz w:val="24"/>
          <w:szCs w:val="24"/>
        </w:rPr>
      </w:pPr>
    </w:p>
    <w:p w14:paraId="6205356A" w14:textId="0036AADE" w:rsidR="008614F4" w:rsidRPr="00132889" w:rsidRDefault="008614F4" w:rsidP="008614F4">
      <w:pPr>
        <w:spacing w:line="240" w:lineRule="auto"/>
        <w:rPr>
          <w:sz w:val="24"/>
          <w:szCs w:val="24"/>
        </w:rPr>
      </w:pPr>
      <w:r>
        <w:rPr>
          <w:sz w:val="24"/>
          <w:szCs w:val="24"/>
        </w:rPr>
        <w:t>This subsection includes a n</w:t>
      </w:r>
      <w:r w:rsidRPr="00132889">
        <w:rPr>
          <w:sz w:val="24"/>
          <w:szCs w:val="24"/>
        </w:rPr>
        <w:t>ote</w:t>
      </w:r>
      <w:r>
        <w:rPr>
          <w:sz w:val="24"/>
          <w:szCs w:val="24"/>
        </w:rPr>
        <w:t xml:space="preserve"> that subsection </w:t>
      </w:r>
      <w:r w:rsidR="001C37BA">
        <w:rPr>
          <w:sz w:val="24"/>
          <w:szCs w:val="24"/>
        </w:rPr>
        <w:t>32</w:t>
      </w:r>
      <w:r>
        <w:rPr>
          <w:sz w:val="24"/>
          <w:szCs w:val="24"/>
        </w:rPr>
        <w:t>(</w:t>
      </w:r>
      <w:r w:rsidR="00110A6E">
        <w:rPr>
          <w:sz w:val="24"/>
          <w:szCs w:val="24"/>
        </w:rPr>
        <w:t>7</w:t>
      </w:r>
      <w:r>
        <w:rPr>
          <w:sz w:val="24"/>
          <w:szCs w:val="24"/>
        </w:rPr>
        <w:t>)</w:t>
      </w:r>
      <w:r w:rsidR="00110A6E">
        <w:rPr>
          <w:sz w:val="24"/>
          <w:szCs w:val="24"/>
        </w:rPr>
        <w:t xml:space="preserve"> to (14)</w:t>
      </w:r>
      <w:r>
        <w:rPr>
          <w:sz w:val="24"/>
          <w:szCs w:val="24"/>
        </w:rPr>
        <w:t xml:space="preserve"> provides information f</w:t>
      </w:r>
      <w:r w:rsidRPr="00132889">
        <w:rPr>
          <w:sz w:val="24"/>
          <w:szCs w:val="24"/>
        </w:rPr>
        <w:t xml:space="preserve">or an applicant’s </w:t>
      </w:r>
      <w:r w:rsidRPr="00982ADA">
        <w:rPr>
          <w:i/>
          <w:sz w:val="24"/>
          <w:szCs w:val="24"/>
        </w:rPr>
        <w:t>redistributed individual entitlement</w:t>
      </w:r>
      <w:r w:rsidRPr="00982ADA">
        <w:rPr>
          <w:sz w:val="24"/>
          <w:szCs w:val="24"/>
        </w:rPr>
        <w:t>.</w:t>
      </w:r>
      <w:r w:rsidRPr="00132889">
        <w:rPr>
          <w:sz w:val="24"/>
          <w:szCs w:val="24"/>
        </w:rPr>
        <w:t xml:space="preserve"> This is worked out from an applicant’s </w:t>
      </w:r>
      <w:r w:rsidRPr="00982ADA">
        <w:rPr>
          <w:i/>
          <w:sz w:val="24"/>
          <w:szCs w:val="24"/>
        </w:rPr>
        <w:t>initial individual entitlement</w:t>
      </w:r>
      <w:r w:rsidR="00110A6E">
        <w:rPr>
          <w:i/>
          <w:sz w:val="24"/>
          <w:szCs w:val="24"/>
        </w:rPr>
        <w:t xml:space="preserve"> </w:t>
      </w:r>
      <w:r w:rsidR="00110A6E">
        <w:rPr>
          <w:sz w:val="24"/>
          <w:szCs w:val="24"/>
        </w:rPr>
        <w:t xml:space="preserve">(calculated in subsections 32(1) and (2)) and an applicant’s </w:t>
      </w:r>
      <w:r w:rsidR="00110A6E">
        <w:rPr>
          <w:i/>
          <w:sz w:val="24"/>
          <w:szCs w:val="24"/>
        </w:rPr>
        <w:t>adjusted individual entitlement</w:t>
      </w:r>
      <w:r w:rsidR="00110A6E">
        <w:rPr>
          <w:sz w:val="24"/>
          <w:szCs w:val="24"/>
        </w:rPr>
        <w:t xml:space="preserve"> (calculated in subsections 32(3) to (6))</w:t>
      </w:r>
      <w:r w:rsidRPr="00132889">
        <w:rPr>
          <w:sz w:val="24"/>
          <w:szCs w:val="24"/>
        </w:rPr>
        <w:t>.</w:t>
      </w:r>
    </w:p>
    <w:p w14:paraId="7E0D6D42" w14:textId="77777777" w:rsidR="00E63B4B" w:rsidRDefault="00E63B4B" w:rsidP="004C09F5">
      <w:pPr>
        <w:spacing w:line="240" w:lineRule="auto"/>
        <w:rPr>
          <w:sz w:val="24"/>
          <w:szCs w:val="24"/>
        </w:rPr>
      </w:pPr>
    </w:p>
    <w:p w14:paraId="4F2506C9" w14:textId="27225068" w:rsidR="0040102D" w:rsidRDefault="00BC7955" w:rsidP="004C09F5">
      <w:pPr>
        <w:spacing w:line="240" w:lineRule="auto"/>
        <w:rPr>
          <w:sz w:val="24"/>
          <w:szCs w:val="24"/>
        </w:rPr>
      </w:pPr>
      <w:r>
        <w:rPr>
          <w:sz w:val="24"/>
          <w:szCs w:val="24"/>
        </w:rPr>
        <w:t>The effect of subsection</w:t>
      </w:r>
      <w:r w:rsidR="00E63B4B">
        <w:rPr>
          <w:sz w:val="24"/>
          <w:szCs w:val="24"/>
        </w:rPr>
        <w:t xml:space="preserve"> </w:t>
      </w:r>
      <w:r w:rsidR="00892FD1">
        <w:rPr>
          <w:sz w:val="24"/>
          <w:szCs w:val="24"/>
        </w:rPr>
        <w:t>31</w:t>
      </w:r>
      <w:r w:rsidR="00E63B4B">
        <w:rPr>
          <w:sz w:val="24"/>
          <w:szCs w:val="24"/>
        </w:rPr>
        <w:t>(3)</w:t>
      </w:r>
      <w:r>
        <w:rPr>
          <w:sz w:val="24"/>
          <w:szCs w:val="24"/>
        </w:rPr>
        <w:t xml:space="preserve"> is</w:t>
      </w:r>
      <w:r w:rsidR="00E63B4B">
        <w:rPr>
          <w:sz w:val="24"/>
          <w:szCs w:val="24"/>
        </w:rPr>
        <w:t xml:space="preserve"> that i</w:t>
      </w:r>
      <w:r w:rsidR="00F47594" w:rsidRPr="004C09F5">
        <w:rPr>
          <w:sz w:val="24"/>
          <w:szCs w:val="24"/>
        </w:rPr>
        <w:t xml:space="preserve">f the amount worked out under subsection </w:t>
      </w:r>
      <w:r w:rsidR="00892FD1">
        <w:rPr>
          <w:sz w:val="24"/>
          <w:szCs w:val="24"/>
        </w:rPr>
        <w:t>31</w:t>
      </w:r>
      <w:r w:rsidR="00F47594" w:rsidRPr="004C09F5">
        <w:rPr>
          <w:sz w:val="24"/>
          <w:szCs w:val="24"/>
        </w:rPr>
        <w:t xml:space="preserve">(2) for any applicant (a quota-filled applicant) is more than the amount of tariff rate quota entitlement the applicant applied for, </w:t>
      </w:r>
      <w:r w:rsidR="0040102D">
        <w:rPr>
          <w:sz w:val="24"/>
          <w:szCs w:val="24"/>
        </w:rPr>
        <w:t xml:space="preserve">then their allocation should be the amount they applied for </w:t>
      </w:r>
      <w:r w:rsidR="0067648A">
        <w:rPr>
          <w:sz w:val="24"/>
          <w:szCs w:val="24"/>
        </w:rPr>
        <w:t>and the difference should be reallocated to those applicants who have not reached their application amount.</w:t>
      </w:r>
    </w:p>
    <w:p w14:paraId="0940436A" w14:textId="77777777" w:rsidR="0067648A" w:rsidRDefault="0067648A" w:rsidP="004C09F5">
      <w:pPr>
        <w:spacing w:line="240" w:lineRule="auto"/>
        <w:rPr>
          <w:sz w:val="24"/>
          <w:szCs w:val="24"/>
        </w:rPr>
      </w:pPr>
    </w:p>
    <w:p w14:paraId="0166F3E2" w14:textId="6B2A917C" w:rsidR="0067648A" w:rsidRDefault="0067648A" w:rsidP="004C09F5">
      <w:pPr>
        <w:spacing w:line="240" w:lineRule="auto"/>
        <w:rPr>
          <w:sz w:val="24"/>
          <w:szCs w:val="24"/>
        </w:rPr>
      </w:pPr>
      <w:r>
        <w:rPr>
          <w:sz w:val="24"/>
          <w:szCs w:val="24"/>
        </w:rPr>
        <w:t xml:space="preserve">The entitlements of those who are not quota-filled applicants are recalculated under subsection 31(2), </w:t>
      </w:r>
      <w:r w:rsidRPr="004C09F5">
        <w:rPr>
          <w:sz w:val="24"/>
          <w:szCs w:val="24"/>
        </w:rPr>
        <w:t>and</w:t>
      </w:r>
      <w:r>
        <w:rPr>
          <w:sz w:val="24"/>
          <w:szCs w:val="24"/>
        </w:rPr>
        <w:t xml:space="preserve"> </w:t>
      </w:r>
      <w:r w:rsidRPr="004C09F5">
        <w:rPr>
          <w:sz w:val="24"/>
          <w:szCs w:val="24"/>
        </w:rPr>
        <w:t>for the purposes of the recalculation</w:t>
      </w:r>
      <w:r>
        <w:rPr>
          <w:sz w:val="24"/>
          <w:szCs w:val="24"/>
        </w:rPr>
        <w:t xml:space="preserve">, </w:t>
      </w:r>
      <w:r w:rsidRPr="004C09F5">
        <w:rPr>
          <w:sz w:val="24"/>
          <w:szCs w:val="24"/>
        </w:rPr>
        <w:t xml:space="preserve">each quota-filled applicant is taken to be an applicant to whose entitlements paragraph </w:t>
      </w:r>
      <w:r>
        <w:rPr>
          <w:sz w:val="24"/>
          <w:szCs w:val="24"/>
        </w:rPr>
        <w:t>31</w:t>
      </w:r>
      <w:r w:rsidRPr="004C09F5">
        <w:rPr>
          <w:sz w:val="24"/>
          <w:szCs w:val="24"/>
        </w:rPr>
        <w:t>(1)(a) applies</w:t>
      </w:r>
      <w:r>
        <w:rPr>
          <w:sz w:val="24"/>
          <w:szCs w:val="24"/>
        </w:rPr>
        <w:t xml:space="preserve"> (that is, they are removed from the calculation)</w:t>
      </w:r>
      <w:r w:rsidRPr="004C09F5">
        <w:rPr>
          <w:sz w:val="24"/>
          <w:szCs w:val="24"/>
        </w:rPr>
        <w:t xml:space="preserve"> and</w:t>
      </w:r>
      <w:r>
        <w:rPr>
          <w:sz w:val="24"/>
          <w:szCs w:val="24"/>
        </w:rPr>
        <w:t xml:space="preserve"> </w:t>
      </w:r>
      <w:r w:rsidRPr="004C09F5">
        <w:rPr>
          <w:sz w:val="24"/>
          <w:szCs w:val="24"/>
        </w:rPr>
        <w:t xml:space="preserve">the quota available for redistribution is taken to be reduced by the difference, for each quota-filled applicant, between the amount of tariff rate quota entitlement </w:t>
      </w:r>
      <w:r w:rsidR="00B943AA">
        <w:rPr>
          <w:sz w:val="24"/>
          <w:szCs w:val="24"/>
        </w:rPr>
        <w:t>that the applicant has applied for</w:t>
      </w:r>
      <w:r w:rsidRPr="004C09F5">
        <w:rPr>
          <w:sz w:val="24"/>
          <w:szCs w:val="24"/>
        </w:rPr>
        <w:t xml:space="preserve"> and the amount of </w:t>
      </w:r>
      <w:r w:rsidR="00A626AC">
        <w:rPr>
          <w:sz w:val="24"/>
          <w:szCs w:val="24"/>
        </w:rPr>
        <w:t>that applicant’s</w:t>
      </w:r>
      <w:r w:rsidRPr="004C09F5">
        <w:rPr>
          <w:sz w:val="24"/>
          <w:szCs w:val="24"/>
        </w:rPr>
        <w:t xml:space="preserve"> redistributed individual entitlement.</w:t>
      </w:r>
    </w:p>
    <w:p w14:paraId="59C6BEE4" w14:textId="77777777" w:rsidR="002A7C71" w:rsidRDefault="002A7C71" w:rsidP="004C09F5">
      <w:pPr>
        <w:spacing w:line="240" w:lineRule="auto"/>
        <w:rPr>
          <w:sz w:val="24"/>
          <w:szCs w:val="24"/>
        </w:rPr>
      </w:pPr>
    </w:p>
    <w:p w14:paraId="31957EA0" w14:textId="5C60748C" w:rsidR="00F47594" w:rsidRDefault="002A7C71" w:rsidP="004C09F5">
      <w:pPr>
        <w:spacing w:line="240" w:lineRule="auto"/>
        <w:rPr>
          <w:sz w:val="24"/>
          <w:szCs w:val="24"/>
        </w:rPr>
      </w:pPr>
      <w:r>
        <w:rPr>
          <w:sz w:val="24"/>
          <w:szCs w:val="24"/>
        </w:rPr>
        <w:t xml:space="preserve">Subsection </w:t>
      </w:r>
      <w:r w:rsidR="00892FD1">
        <w:rPr>
          <w:sz w:val="24"/>
          <w:szCs w:val="24"/>
        </w:rPr>
        <w:t>31</w:t>
      </w:r>
      <w:r>
        <w:rPr>
          <w:sz w:val="24"/>
          <w:szCs w:val="24"/>
        </w:rPr>
        <w:t>(4) provides that</w:t>
      </w:r>
      <w:r w:rsidRPr="004C09F5">
        <w:rPr>
          <w:sz w:val="24"/>
          <w:szCs w:val="24"/>
        </w:rPr>
        <w:t xml:space="preserve"> t</w:t>
      </w:r>
      <w:r w:rsidR="00F47594" w:rsidRPr="004C09F5">
        <w:rPr>
          <w:sz w:val="24"/>
          <w:szCs w:val="24"/>
        </w:rPr>
        <w:t xml:space="preserve">he recalculation mentioned in subsection </w:t>
      </w:r>
      <w:r w:rsidR="00892FD1">
        <w:rPr>
          <w:sz w:val="24"/>
          <w:szCs w:val="24"/>
        </w:rPr>
        <w:t>31</w:t>
      </w:r>
      <w:r w:rsidR="00F47594" w:rsidRPr="004C09F5">
        <w:rPr>
          <w:sz w:val="24"/>
          <w:szCs w:val="24"/>
        </w:rPr>
        <w:t xml:space="preserve">(3) must be repeated until subsection </w:t>
      </w:r>
      <w:r w:rsidR="00892FD1">
        <w:rPr>
          <w:sz w:val="24"/>
          <w:szCs w:val="24"/>
        </w:rPr>
        <w:t>31</w:t>
      </w:r>
      <w:r w:rsidR="00F47594" w:rsidRPr="004C09F5">
        <w:rPr>
          <w:sz w:val="24"/>
          <w:szCs w:val="24"/>
        </w:rPr>
        <w:t>(3) no longer appli</w:t>
      </w:r>
      <w:r w:rsidR="0067648A">
        <w:rPr>
          <w:sz w:val="24"/>
          <w:szCs w:val="24"/>
        </w:rPr>
        <w:t>es in relation to any applicant (that is, either all applicants reach their application amount, or there is no further quota for redistribution).</w:t>
      </w:r>
    </w:p>
    <w:p w14:paraId="60E4DBCE" w14:textId="77777777" w:rsidR="002A7C71" w:rsidRDefault="002A7C71" w:rsidP="004C09F5">
      <w:pPr>
        <w:spacing w:line="240" w:lineRule="auto"/>
        <w:rPr>
          <w:sz w:val="24"/>
          <w:szCs w:val="24"/>
        </w:rPr>
      </w:pPr>
    </w:p>
    <w:p w14:paraId="4F278D4D" w14:textId="4606742A" w:rsidR="00F47594" w:rsidRDefault="002A7C71" w:rsidP="004C09F5">
      <w:pPr>
        <w:spacing w:line="240" w:lineRule="auto"/>
        <w:rPr>
          <w:sz w:val="24"/>
          <w:szCs w:val="24"/>
        </w:rPr>
      </w:pPr>
      <w:r>
        <w:rPr>
          <w:sz w:val="24"/>
          <w:szCs w:val="24"/>
        </w:rPr>
        <w:lastRenderedPageBreak/>
        <w:t xml:space="preserve">Subsection </w:t>
      </w:r>
      <w:r w:rsidR="00892FD1">
        <w:rPr>
          <w:sz w:val="24"/>
          <w:szCs w:val="24"/>
        </w:rPr>
        <w:t>31</w:t>
      </w:r>
      <w:r>
        <w:rPr>
          <w:sz w:val="24"/>
          <w:szCs w:val="24"/>
        </w:rPr>
        <w:t>(5) provides that t</w:t>
      </w:r>
      <w:r w:rsidR="00F47594" w:rsidRPr="004C09F5">
        <w:rPr>
          <w:sz w:val="24"/>
          <w:szCs w:val="24"/>
        </w:rPr>
        <w:t xml:space="preserve">he amount of tariff rate quota entitlement to be allocated to each applicant, as calculated under subsections </w:t>
      </w:r>
      <w:r w:rsidR="00892FD1">
        <w:rPr>
          <w:sz w:val="24"/>
          <w:szCs w:val="24"/>
        </w:rPr>
        <w:t>31</w:t>
      </w:r>
      <w:r w:rsidR="00F47594" w:rsidRPr="004C09F5">
        <w:rPr>
          <w:sz w:val="24"/>
          <w:szCs w:val="24"/>
        </w:rPr>
        <w:t>(1) to (4), must be rounded to the nearest kilogram with 0.5 of a kilogram to be rounded up.</w:t>
      </w:r>
    </w:p>
    <w:p w14:paraId="062537CC" w14:textId="77777777" w:rsidR="002A7C71" w:rsidRDefault="002A7C71" w:rsidP="004C09F5">
      <w:pPr>
        <w:spacing w:line="240" w:lineRule="auto"/>
        <w:rPr>
          <w:sz w:val="24"/>
          <w:szCs w:val="24"/>
        </w:rPr>
      </w:pPr>
    </w:p>
    <w:p w14:paraId="3B64A042" w14:textId="00A34534" w:rsidR="00F47594" w:rsidRPr="004C09F5" w:rsidRDefault="002A7C71" w:rsidP="004C09F5">
      <w:pPr>
        <w:spacing w:line="240" w:lineRule="auto"/>
        <w:rPr>
          <w:sz w:val="24"/>
          <w:szCs w:val="24"/>
        </w:rPr>
      </w:pPr>
      <w:r>
        <w:rPr>
          <w:sz w:val="24"/>
          <w:szCs w:val="24"/>
        </w:rPr>
        <w:t xml:space="preserve">Subsection </w:t>
      </w:r>
      <w:r w:rsidR="00892FD1">
        <w:rPr>
          <w:sz w:val="24"/>
          <w:szCs w:val="24"/>
        </w:rPr>
        <w:t>31</w:t>
      </w:r>
      <w:r>
        <w:rPr>
          <w:sz w:val="24"/>
          <w:szCs w:val="24"/>
        </w:rPr>
        <w:t>(6) provides that</w:t>
      </w:r>
      <w:r w:rsidR="00F47594" w:rsidRPr="004C09F5">
        <w:rPr>
          <w:sz w:val="24"/>
          <w:szCs w:val="24"/>
        </w:rPr>
        <w:t xml:space="preserve"> if the sum of the tariff rate quota entitlements to be allocated exceeds the standard access amount for the quota type and quota year, the amount of tariff rate quota entitlement to be allocated to each applicant must be rounded down to the nearest kilogram instead.</w:t>
      </w:r>
      <w:r w:rsidR="0067648A">
        <w:rPr>
          <w:sz w:val="24"/>
          <w:szCs w:val="24"/>
        </w:rPr>
        <w:t xml:space="preserve">  This ensure</w:t>
      </w:r>
      <w:r w:rsidR="00B943AA">
        <w:rPr>
          <w:sz w:val="24"/>
          <w:szCs w:val="24"/>
        </w:rPr>
        <w:t>s</w:t>
      </w:r>
      <w:r w:rsidR="0067648A">
        <w:rPr>
          <w:sz w:val="24"/>
          <w:szCs w:val="24"/>
        </w:rPr>
        <w:t xml:space="preserve"> the access amount cannot be over-allocated.</w:t>
      </w:r>
    </w:p>
    <w:p w14:paraId="46C5726A" w14:textId="77777777" w:rsidR="00FB7CB7" w:rsidRDefault="00FB7CB7" w:rsidP="00FE16E3">
      <w:pPr>
        <w:spacing w:line="240" w:lineRule="auto"/>
        <w:rPr>
          <w:sz w:val="24"/>
          <w:szCs w:val="24"/>
        </w:rPr>
      </w:pPr>
    </w:p>
    <w:p w14:paraId="3E93B2EF" w14:textId="12A29C7B" w:rsidR="00EE2DB1" w:rsidRPr="004C09F5" w:rsidRDefault="00F220DF" w:rsidP="004C09F5">
      <w:pPr>
        <w:spacing w:line="240" w:lineRule="auto"/>
        <w:rPr>
          <w:szCs w:val="24"/>
          <w:u w:val="single"/>
        </w:rPr>
      </w:pPr>
      <w:bookmarkStart w:id="43" w:name="_Toc23863223"/>
      <w:r w:rsidRPr="004C09F5">
        <w:rPr>
          <w:sz w:val="24"/>
          <w:szCs w:val="24"/>
          <w:u w:val="single"/>
        </w:rPr>
        <w:t xml:space="preserve">Section </w:t>
      </w:r>
      <w:r w:rsidR="001C37BA" w:rsidRPr="007F748C">
        <w:rPr>
          <w:sz w:val="24"/>
          <w:u w:val="single"/>
        </w:rPr>
        <w:t>32</w:t>
      </w:r>
      <w:r w:rsidR="00EE2DB1" w:rsidRPr="004C09F5">
        <w:rPr>
          <w:sz w:val="24"/>
          <w:szCs w:val="24"/>
          <w:u w:val="single"/>
        </w:rPr>
        <w:t xml:space="preserve"> </w:t>
      </w:r>
      <w:r w:rsidRPr="004C09F5">
        <w:rPr>
          <w:sz w:val="24"/>
          <w:szCs w:val="24"/>
          <w:u w:val="single"/>
        </w:rPr>
        <w:t>-</w:t>
      </w:r>
      <w:r w:rsidR="00EE2DB1" w:rsidRPr="004C09F5">
        <w:rPr>
          <w:sz w:val="24"/>
          <w:szCs w:val="24"/>
          <w:u w:val="single"/>
        </w:rPr>
        <w:t xml:space="preserve"> Initial calculations of tariff rate quota entitlement</w:t>
      </w:r>
      <w:bookmarkEnd w:id="43"/>
    </w:p>
    <w:p w14:paraId="1BB4371E" w14:textId="77777777" w:rsidR="002A7C71" w:rsidRDefault="002A7C71" w:rsidP="00320582">
      <w:pPr>
        <w:spacing w:line="240" w:lineRule="auto"/>
        <w:rPr>
          <w:sz w:val="24"/>
          <w:szCs w:val="24"/>
        </w:rPr>
      </w:pPr>
      <w:bookmarkStart w:id="44" w:name="BKCheck15B_7"/>
      <w:bookmarkStart w:id="45" w:name="BK_S3P29L33C1"/>
      <w:bookmarkStart w:id="46" w:name="BKCheck15B_8"/>
      <w:bookmarkStart w:id="47" w:name="BKCheck15B_9"/>
      <w:bookmarkStart w:id="48" w:name="BK_S3P25L24C42"/>
      <w:bookmarkEnd w:id="44"/>
      <w:bookmarkEnd w:id="45"/>
      <w:bookmarkEnd w:id="46"/>
      <w:bookmarkEnd w:id="47"/>
      <w:bookmarkEnd w:id="48"/>
    </w:p>
    <w:p w14:paraId="5EBB3072" w14:textId="07318AC9" w:rsidR="001A714E" w:rsidRDefault="001A714E" w:rsidP="004C09F5">
      <w:pPr>
        <w:spacing w:line="240" w:lineRule="auto"/>
        <w:rPr>
          <w:sz w:val="24"/>
          <w:szCs w:val="24"/>
        </w:rPr>
      </w:pPr>
      <w:r>
        <w:rPr>
          <w:sz w:val="24"/>
          <w:szCs w:val="24"/>
        </w:rPr>
        <w:t>Subsections 32(1) to (</w:t>
      </w:r>
      <w:r w:rsidR="009713EF">
        <w:rPr>
          <w:sz w:val="24"/>
          <w:szCs w:val="24"/>
        </w:rPr>
        <w:t>6</w:t>
      </w:r>
      <w:r>
        <w:rPr>
          <w:sz w:val="24"/>
          <w:szCs w:val="24"/>
        </w:rPr>
        <w:t xml:space="preserve">) </w:t>
      </w:r>
      <w:r w:rsidR="007F748C">
        <w:rPr>
          <w:sz w:val="24"/>
          <w:szCs w:val="24"/>
        </w:rPr>
        <w:t>is</w:t>
      </w:r>
      <w:r>
        <w:rPr>
          <w:sz w:val="24"/>
          <w:szCs w:val="24"/>
        </w:rPr>
        <w:t xml:space="preserve"> the initial </w:t>
      </w:r>
      <w:r w:rsidR="007F748C">
        <w:rPr>
          <w:sz w:val="24"/>
          <w:szCs w:val="24"/>
        </w:rPr>
        <w:t>stage</w:t>
      </w:r>
      <w:r>
        <w:rPr>
          <w:sz w:val="24"/>
          <w:szCs w:val="24"/>
        </w:rPr>
        <w:t xml:space="preserve"> of the tariff rate quota entitlement calculations.  This </w:t>
      </w:r>
      <w:r w:rsidR="007F748C">
        <w:rPr>
          <w:sz w:val="24"/>
          <w:szCs w:val="24"/>
        </w:rPr>
        <w:t>stage</w:t>
      </w:r>
      <w:r>
        <w:rPr>
          <w:sz w:val="24"/>
          <w:szCs w:val="24"/>
        </w:rPr>
        <w:t xml:space="preserve"> is required to determine the proportional distribution of the standard access amount based on the applicant’s eligible past exports, and limiting exporter</w:t>
      </w:r>
      <w:r w:rsidR="00412466">
        <w:rPr>
          <w:sz w:val="24"/>
          <w:szCs w:val="24"/>
        </w:rPr>
        <w:t>s</w:t>
      </w:r>
      <w:r>
        <w:rPr>
          <w:sz w:val="24"/>
          <w:szCs w:val="24"/>
        </w:rPr>
        <w:t xml:space="preserve"> to an allocation that matches the amount they applied for.</w:t>
      </w:r>
    </w:p>
    <w:p w14:paraId="7F780303" w14:textId="12A5E6A3" w:rsidR="001A714E" w:rsidRDefault="001A714E" w:rsidP="004C09F5">
      <w:pPr>
        <w:spacing w:line="240" w:lineRule="auto"/>
        <w:rPr>
          <w:sz w:val="24"/>
          <w:szCs w:val="24"/>
        </w:rPr>
      </w:pPr>
      <w:r>
        <w:rPr>
          <w:sz w:val="24"/>
          <w:szCs w:val="24"/>
        </w:rPr>
        <w:t xml:space="preserve">Once the initial </w:t>
      </w:r>
      <w:r w:rsidR="007F748C">
        <w:rPr>
          <w:sz w:val="24"/>
          <w:szCs w:val="24"/>
        </w:rPr>
        <w:t>stage</w:t>
      </w:r>
      <w:r>
        <w:rPr>
          <w:sz w:val="24"/>
          <w:szCs w:val="24"/>
        </w:rPr>
        <w:t xml:space="preserve"> is complete (and the entire standard access amount allocated), it is necessary to apply penalties (if any) and redistribute the penalty amounts to those exporters that have not reached the amount they applied for, and </w:t>
      </w:r>
      <w:r w:rsidR="00937F2D">
        <w:rPr>
          <w:sz w:val="24"/>
          <w:szCs w:val="24"/>
        </w:rPr>
        <w:t xml:space="preserve">were not penalised. This </w:t>
      </w:r>
      <w:r w:rsidR="007F748C">
        <w:rPr>
          <w:sz w:val="24"/>
          <w:szCs w:val="24"/>
        </w:rPr>
        <w:t>stage</w:t>
      </w:r>
      <w:r w:rsidR="00937F2D">
        <w:rPr>
          <w:sz w:val="24"/>
          <w:szCs w:val="24"/>
        </w:rPr>
        <w:t xml:space="preserve"> is encompassed in subsections 32(</w:t>
      </w:r>
      <w:r w:rsidR="009713EF">
        <w:rPr>
          <w:sz w:val="24"/>
          <w:szCs w:val="24"/>
        </w:rPr>
        <w:t>7</w:t>
      </w:r>
      <w:r w:rsidR="00937F2D">
        <w:rPr>
          <w:sz w:val="24"/>
          <w:szCs w:val="24"/>
        </w:rPr>
        <w:t>) to (</w:t>
      </w:r>
      <w:r w:rsidR="009713EF">
        <w:rPr>
          <w:sz w:val="24"/>
          <w:szCs w:val="24"/>
        </w:rPr>
        <w:t>10</w:t>
      </w:r>
      <w:r w:rsidR="00937F2D">
        <w:rPr>
          <w:sz w:val="24"/>
          <w:szCs w:val="24"/>
        </w:rPr>
        <w:t>).</w:t>
      </w:r>
    </w:p>
    <w:p w14:paraId="3B067690" w14:textId="018DB5BD" w:rsidR="00937F2D" w:rsidRDefault="00937F2D" w:rsidP="004C09F5">
      <w:pPr>
        <w:spacing w:line="240" w:lineRule="auto"/>
        <w:rPr>
          <w:sz w:val="24"/>
          <w:szCs w:val="24"/>
        </w:rPr>
      </w:pPr>
      <w:r>
        <w:rPr>
          <w:sz w:val="24"/>
          <w:szCs w:val="24"/>
        </w:rPr>
        <w:t>Following this, if all non-penalised applicants have reached the amount they applied for</w:t>
      </w:r>
      <w:r w:rsidR="005B5137">
        <w:rPr>
          <w:sz w:val="24"/>
          <w:szCs w:val="24"/>
        </w:rPr>
        <w:t xml:space="preserve"> </w:t>
      </w:r>
      <w:r>
        <w:rPr>
          <w:sz w:val="24"/>
          <w:szCs w:val="24"/>
        </w:rPr>
        <w:t xml:space="preserve">and there is an amount of the standard access amount remaining, that amount can be redistributed across those applicants who were penalised.  </w:t>
      </w:r>
      <w:r w:rsidR="007F748C">
        <w:rPr>
          <w:sz w:val="24"/>
          <w:szCs w:val="24"/>
        </w:rPr>
        <w:t>This stage</w:t>
      </w:r>
      <w:r w:rsidR="005B5137">
        <w:rPr>
          <w:sz w:val="24"/>
          <w:szCs w:val="24"/>
        </w:rPr>
        <w:t xml:space="preserve"> is encompassed in subsections 32(</w:t>
      </w:r>
      <w:r w:rsidR="009713EF">
        <w:rPr>
          <w:sz w:val="24"/>
          <w:szCs w:val="24"/>
        </w:rPr>
        <w:t>11</w:t>
      </w:r>
      <w:r w:rsidR="005B5137">
        <w:rPr>
          <w:sz w:val="24"/>
          <w:szCs w:val="24"/>
        </w:rPr>
        <w:t>) to (1</w:t>
      </w:r>
      <w:r w:rsidR="009713EF">
        <w:rPr>
          <w:sz w:val="24"/>
          <w:szCs w:val="24"/>
        </w:rPr>
        <w:t>4</w:t>
      </w:r>
      <w:r w:rsidR="005B5137">
        <w:rPr>
          <w:sz w:val="24"/>
          <w:szCs w:val="24"/>
        </w:rPr>
        <w:t>).</w:t>
      </w:r>
    </w:p>
    <w:p w14:paraId="3A188280" w14:textId="77777777" w:rsidR="001A714E" w:rsidRDefault="001A714E" w:rsidP="004C09F5">
      <w:pPr>
        <w:spacing w:line="240" w:lineRule="auto"/>
        <w:rPr>
          <w:sz w:val="24"/>
          <w:szCs w:val="24"/>
        </w:rPr>
      </w:pPr>
    </w:p>
    <w:p w14:paraId="12F9C1A7" w14:textId="5D3FD259" w:rsidR="009713EF" w:rsidRPr="00412466" w:rsidRDefault="009713EF" w:rsidP="004C09F5">
      <w:pPr>
        <w:spacing w:line="240" w:lineRule="auto"/>
        <w:rPr>
          <w:i/>
          <w:sz w:val="24"/>
          <w:szCs w:val="24"/>
        </w:rPr>
      </w:pPr>
      <w:r>
        <w:rPr>
          <w:i/>
          <w:sz w:val="24"/>
          <w:szCs w:val="24"/>
        </w:rPr>
        <w:t>Initial entitlement calculation using eligible past exports</w:t>
      </w:r>
    </w:p>
    <w:p w14:paraId="1286ED07" w14:textId="77777777" w:rsidR="009713EF" w:rsidRDefault="009713EF" w:rsidP="004C09F5">
      <w:pPr>
        <w:spacing w:line="240" w:lineRule="auto"/>
        <w:rPr>
          <w:sz w:val="24"/>
          <w:szCs w:val="24"/>
        </w:rPr>
      </w:pPr>
    </w:p>
    <w:p w14:paraId="24247D38" w14:textId="70F54491" w:rsidR="00093058" w:rsidRPr="004C09F5" w:rsidRDefault="00093058" w:rsidP="004C09F5">
      <w:pPr>
        <w:spacing w:line="240" w:lineRule="auto"/>
        <w:rPr>
          <w:sz w:val="24"/>
          <w:szCs w:val="24"/>
        </w:rPr>
      </w:pPr>
      <w:r>
        <w:rPr>
          <w:sz w:val="24"/>
          <w:szCs w:val="24"/>
        </w:rPr>
        <w:t xml:space="preserve">Subsection </w:t>
      </w:r>
      <w:r w:rsidR="001C37BA">
        <w:rPr>
          <w:sz w:val="24"/>
          <w:szCs w:val="24"/>
        </w:rPr>
        <w:t>32</w:t>
      </w:r>
      <w:r>
        <w:rPr>
          <w:sz w:val="24"/>
          <w:szCs w:val="24"/>
        </w:rPr>
        <w:t>(1) provides that s</w:t>
      </w:r>
      <w:r w:rsidRPr="004C09F5">
        <w:rPr>
          <w:sz w:val="24"/>
          <w:szCs w:val="24"/>
        </w:rPr>
        <w:t xml:space="preserve">ubject to subsection </w:t>
      </w:r>
      <w:r w:rsidR="001C37BA">
        <w:rPr>
          <w:sz w:val="24"/>
          <w:szCs w:val="24"/>
        </w:rPr>
        <w:t>32</w:t>
      </w:r>
      <w:r w:rsidRPr="004C09F5">
        <w:rPr>
          <w:sz w:val="24"/>
          <w:szCs w:val="24"/>
        </w:rPr>
        <w:t xml:space="preserve">(2), an applicant’s </w:t>
      </w:r>
      <w:r w:rsidRPr="0067648A">
        <w:rPr>
          <w:i/>
          <w:sz w:val="24"/>
          <w:szCs w:val="24"/>
        </w:rPr>
        <w:t>initial individual entitlement</w:t>
      </w:r>
      <w:r w:rsidRPr="004C09F5">
        <w:rPr>
          <w:sz w:val="24"/>
          <w:szCs w:val="24"/>
        </w:rPr>
        <w:t xml:space="preserve"> for a quota type and a quota year is the amount worked out using the following formula:</w:t>
      </w:r>
    </w:p>
    <w:p w14:paraId="26E48A90" w14:textId="5A469A17" w:rsidR="00093058" w:rsidRPr="00F93A3D" w:rsidRDefault="009713EF" w:rsidP="00093058">
      <w:pPr>
        <w:pStyle w:val="subsection2"/>
      </w:pPr>
      <w:r>
        <w:rPr>
          <w:noProof/>
          <w:position w:val="-38"/>
        </w:rPr>
        <w:drawing>
          <wp:inline distT="0" distB="0" distL="0" distR="0" wp14:anchorId="073751DD" wp14:editId="53214EE9">
            <wp:extent cx="3114675"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4675" cy="552450"/>
                    </a:xfrm>
                    <a:prstGeom prst="rect">
                      <a:avLst/>
                    </a:prstGeom>
                    <a:noFill/>
                    <a:ln>
                      <a:noFill/>
                    </a:ln>
                  </pic:spPr>
                </pic:pic>
              </a:graphicData>
            </a:graphic>
          </wp:inline>
        </w:drawing>
      </w:r>
    </w:p>
    <w:p w14:paraId="28A47926" w14:textId="77777777" w:rsidR="00093058" w:rsidRPr="0067648A" w:rsidRDefault="00093058" w:rsidP="0067648A">
      <w:pPr>
        <w:pStyle w:val="subsection2"/>
        <w:ind w:left="426"/>
        <w:rPr>
          <w:sz w:val="24"/>
          <w:szCs w:val="24"/>
        </w:rPr>
      </w:pPr>
      <w:proofErr w:type="gramStart"/>
      <w:r w:rsidRPr="0067648A">
        <w:rPr>
          <w:sz w:val="24"/>
          <w:szCs w:val="24"/>
        </w:rPr>
        <w:t>where</w:t>
      </w:r>
      <w:proofErr w:type="gramEnd"/>
      <w:r w:rsidRPr="0067648A">
        <w:rPr>
          <w:sz w:val="24"/>
          <w:szCs w:val="24"/>
        </w:rPr>
        <w:t>:</w:t>
      </w:r>
    </w:p>
    <w:p w14:paraId="48C8818B" w14:textId="271A3600" w:rsidR="00093058" w:rsidRPr="0067648A" w:rsidRDefault="00093058" w:rsidP="0067648A">
      <w:pPr>
        <w:pStyle w:val="Definition"/>
        <w:ind w:left="426"/>
        <w:rPr>
          <w:sz w:val="24"/>
          <w:szCs w:val="24"/>
        </w:rPr>
      </w:pPr>
      <w:proofErr w:type="gramStart"/>
      <w:r w:rsidRPr="0067648A">
        <w:rPr>
          <w:b/>
          <w:i/>
          <w:sz w:val="24"/>
          <w:szCs w:val="24"/>
        </w:rPr>
        <w:t>all</w:t>
      </w:r>
      <w:proofErr w:type="gramEnd"/>
      <w:r w:rsidRPr="0067648A">
        <w:rPr>
          <w:b/>
          <w:i/>
          <w:sz w:val="24"/>
          <w:szCs w:val="24"/>
        </w:rPr>
        <w:t xml:space="preserve"> eligible past exports</w:t>
      </w:r>
      <w:r w:rsidRPr="0067648A">
        <w:rPr>
          <w:sz w:val="24"/>
          <w:szCs w:val="24"/>
        </w:rPr>
        <w:t xml:space="preserve"> is the total weight of all eligible past exports by all applicants for th</w:t>
      </w:r>
      <w:r w:rsidR="009713EF">
        <w:rPr>
          <w:sz w:val="24"/>
          <w:szCs w:val="24"/>
        </w:rPr>
        <w:t>e</w:t>
      </w:r>
      <w:r w:rsidRPr="0067648A">
        <w:rPr>
          <w:sz w:val="24"/>
          <w:szCs w:val="24"/>
        </w:rPr>
        <w:t xml:space="preserve"> quota type and quota year.</w:t>
      </w:r>
      <w:r w:rsidR="00753DC0">
        <w:rPr>
          <w:sz w:val="24"/>
          <w:szCs w:val="24"/>
        </w:rPr>
        <w:t xml:space="preserve"> Eligible past exports are detailed for each respective quota type in Chapter 3.</w:t>
      </w:r>
    </w:p>
    <w:p w14:paraId="4F1E8A10" w14:textId="2E5246D9" w:rsidR="00093058" w:rsidRPr="0067648A" w:rsidRDefault="00093058" w:rsidP="0067648A">
      <w:pPr>
        <w:pStyle w:val="Definition"/>
        <w:ind w:left="426"/>
        <w:rPr>
          <w:sz w:val="24"/>
          <w:szCs w:val="24"/>
        </w:rPr>
      </w:pPr>
      <w:proofErr w:type="gramStart"/>
      <w:r w:rsidRPr="0067648A">
        <w:rPr>
          <w:b/>
          <w:i/>
          <w:sz w:val="24"/>
          <w:szCs w:val="24"/>
        </w:rPr>
        <w:t>applicant’s</w:t>
      </w:r>
      <w:proofErr w:type="gramEnd"/>
      <w:r w:rsidRPr="0067648A">
        <w:rPr>
          <w:b/>
          <w:i/>
          <w:sz w:val="24"/>
          <w:szCs w:val="24"/>
        </w:rPr>
        <w:t xml:space="preserve"> eligible past exports</w:t>
      </w:r>
      <w:r w:rsidRPr="0067648A">
        <w:rPr>
          <w:sz w:val="24"/>
          <w:szCs w:val="24"/>
        </w:rPr>
        <w:t xml:space="preserve"> is the total weight of the applicant’s eligible past exports for th</w:t>
      </w:r>
      <w:r w:rsidR="009713EF">
        <w:rPr>
          <w:sz w:val="24"/>
          <w:szCs w:val="24"/>
        </w:rPr>
        <w:t>e</w:t>
      </w:r>
      <w:r w:rsidRPr="0067648A">
        <w:rPr>
          <w:sz w:val="24"/>
          <w:szCs w:val="24"/>
        </w:rPr>
        <w:t xml:space="preserve"> quota type and quota year.</w:t>
      </w:r>
      <w:r w:rsidR="00753DC0" w:rsidRPr="00753DC0">
        <w:rPr>
          <w:sz w:val="24"/>
          <w:szCs w:val="24"/>
        </w:rPr>
        <w:t xml:space="preserve"> </w:t>
      </w:r>
    </w:p>
    <w:p w14:paraId="4BFD7559" w14:textId="558BC1F4" w:rsidR="00753DC0" w:rsidRDefault="00093058" w:rsidP="00753DC0">
      <w:pPr>
        <w:pStyle w:val="Definition"/>
        <w:ind w:left="426"/>
        <w:rPr>
          <w:sz w:val="24"/>
          <w:szCs w:val="24"/>
        </w:rPr>
      </w:pPr>
      <w:proofErr w:type="gramStart"/>
      <w:r w:rsidRPr="0067648A">
        <w:rPr>
          <w:b/>
          <w:i/>
          <w:sz w:val="24"/>
          <w:szCs w:val="24"/>
        </w:rPr>
        <w:t>standard</w:t>
      </w:r>
      <w:proofErr w:type="gramEnd"/>
      <w:r w:rsidRPr="0067648A">
        <w:rPr>
          <w:b/>
          <w:i/>
          <w:sz w:val="24"/>
          <w:szCs w:val="24"/>
        </w:rPr>
        <w:t xml:space="preserve"> access amount</w:t>
      </w:r>
      <w:r w:rsidRPr="0067648A">
        <w:rPr>
          <w:sz w:val="24"/>
          <w:szCs w:val="24"/>
        </w:rPr>
        <w:t xml:space="preserve"> is the standard access amount for the quota type and</w:t>
      </w:r>
      <w:r w:rsidR="00753DC0">
        <w:rPr>
          <w:sz w:val="24"/>
          <w:szCs w:val="24"/>
        </w:rPr>
        <w:t xml:space="preserve"> quota year, as detailed in Chapter 3.</w:t>
      </w:r>
    </w:p>
    <w:p w14:paraId="6D9C99AF" w14:textId="77777777" w:rsidR="00753DC0" w:rsidRDefault="00753DC0" w:rsidP="004C09F5">
      <w:pPr>
        <w:spacing w:line="240" w:lineRule="auto"/>
        <w:rPr>
          <w:sz w:val="24"/>
          <w:szCs w:val="24"/>
        </w:rPr>
      </w:pPr>
    </w:p>
    <w:p w14:paraId="5E4701A7" w14:textId="1BFC782C" w:rsidR="00412466" w:rsidRDefault="00412466" w:rsidP="004C09F5">
      <w:pPr>
        <w:spacing w:line="240" w:lineRule="auto"/>
        <w:rPr>
          <w:sz w:val="24"/>
          <w:szCs w:val="24"/>
        </w:rPr>
      </w:pPr>
      <w:r>
        <w:rPr>
          <w:sz w:val="24"/>
          <w:szCs w:val="24"/>
        </w:rPr>
        <w:t>All weights</w:t>
      </w:r>
      <w:r w:rsidR="00096FF7">
        <w:rPr>
          <w:sz w:val="24"/>
          <w:szCs w:val="24"/>
        </w:rPr>
        <w:t xml:space="preserve"> and amounts</w:t>
      </w:r>
      <w:r>
        <w:rPr>
          <w:sz w:val="24"/>
          <w:szCs w:val="24"/>
        </w:rPr>
        <w:t xml:space="preserve"> are calculated using kilograms.</w:t>
      </w:r>
    </w:p>
    <w:p w14:paraId="65175974" w14:textId="77777777" w:rsidR="00412466" w:rsidRDefault="00412466" w:rsidP="004C09F5">
      <w:pPr>
        <w:spacing w:line="240" w:lineRule="auto"/>
        <w:rPr>
          <w:sz w:val="24"/>
          <w:szCs w:val="24"/>
        </w:rPr>
      </w:pPr>
    </w:p>
    <w:p w14:paraId="522B6941" w14:textId="1DB17513" w:rsidR="00093058" w:rsidRDefault="00093058" w:rsidP="004C09F5">
      <w:pPr>
        <w:spacing w:line="240" w:lineRule="auto"/>
        <w:rPr>
          <w:sz w:val="24"/>
          <w:szCs w:val="24"/>
        </w:rPr>
      </w:pPr>
      <w:r>
        <w:rPr>
          <w:sz w:val="24"/>
          <w:szCs w:val="24"/>
        </w:rPr>
        <w:t xml:space="preserve">Subsection </w:t>
      </w:r>
      <w:r w:rsidR="001C37BA">
        <w:rPr>
          <w:sz w:val="24"/>
          <w:szCs w:val="24"/>
        </w:rPr>
        <w:t>32</w:t>
      </w:r>
      <w:r>
        <w:rPr>
          <w:sz w:val="24"/>
          <w:szCs w:val="24"/>
        </w:rPr>
        <w:t>(2) provides that if</w:t>
      </w:r>
      <w:r w:rsidRPr="004C09F5">
        <w:rPr>
          <w:sz w:val="24"/>
          <w:szCs w:val="24"/>
        </w:rPr>
        <w:t xml:space="preserve"> the amount worked out under subsection </w:t>
      </w:r>
      <w:r w:rsidR="001C37BA">
        <w:rPr>
          <w:sz w:val="24"/>
          <w:szCs w:val="24"/>
        </w:rPr>
        <w:t>32</w:t>
      </w:r>
      <w:r w:rsidRPr="004C09F5">
        <w:rPr>
          <w:sz w:val="24"/>
          <w:szCs w:val="24"/>
        </w:rPr>
        <w:t>(1) for an applicant is more than the amount of tariff rate quota entitlement the applicant applied for, the amount of the applicant’s initial individual entitlement is the amount of tariff rate quota entitlement the applicant applied for.</w:t>
      </w:r>
    </w:p>
    <w:p w14:paraId="0B4C9C40" w14:textId="77777777" w:rsidR="00093058" w:rsidRDefault="00093058" w:rsidP="004C09F5">
      <w:pPr>
        <w:spacing w:line="240" w:lineRule="auto"/>
        <w:rPr>
          <w:sz w:val="24"/>
          <w:szCs w:val="24"/>
        </w:rPr>
      </w:pPr>
    </w:p>
    <w:p w14:paraId="5BDCE8CB" w14:textId="3D2560A4" w:rsidR="00E23CA7" w:rsidRDefault="009713EF" w:rsidP="004C09F5">
      <w:pPr>
        <w:spacing w:line="240" w:lineRule="auto"/>
        <w:rPr>
          <w:sz w:val="24"/>
          <w:szCs w:val="24"/>
        </w:rPr>
      </w:pPr>
      <w:r>
        <w:rPr>
          <w:i/>
          <w:sz w:val="24"/>
          <w:szCs w:val="24"/>
        </w:rPr>
        <w:lastRenderedPageBreak/>
        <w:t>Redistribution of excess allocations</w:t>
      </w:r>
    </w:p>
    <w:p w14:paraId="37BF0F0D" w14:textId="77777777" w:rsidR="00E23CA7" w:rsidRDefault="00E23CA7" w:rsidP="004C09F5">
      <w:pPr>
        <w:spacing w:line="240" w:lineRule="auto"/>
        <w:rPr>
          <w:sz w:val="24"/>
          <w:szCs w:val="24"/>
        </w:rPr>
      </w:pPr>
    </w:p>
    <w:p w14:paraId="345FB975" w14:textId="3BE52A3A" w:rsidR="00093058" w:rsidRPr="004C09F5" w:rsidRDefault="00E23CA7" w:rsidP="004C09F5">
      <w:pPr>
        <w:spacing w:line="240" w:lineRule="auto"/>
        <w:rPr>
          <w:sz w:val="24"/>
          <w:szCs w:val="24"/>
        </w:rPr>
      </w:pPr>
      <w:r>
        <w:rPr>
          <w:sz w:val="24"/>
          <w:szCs w:val="24"/>
        </w:rPr>
        <w:t>Paragraph</w:t>
      </w:r>
      <w:r w:rsidR="00A73157">
        <w:rPr>
          <w:sz w:val="24"/>
          <w:szCs w:val="24"/>
        </w:rPr>
        <w:t xml:space="preserve"> </w:t>
      </w:r>
      <w:r w:rsidR="001C37BA">
        <w:rPr>
          <w:sz w:val="24"/>
          <w:szCs w:val="24"/>
        </w:rPr>
        <w:t>32</w:t>
      </w:r>
      <w:r w:rsidR="00A73157">
        <w:rPr>
          <w:sz w:val="24"/>
          <w:szCs w:val="24"/>
        </w:rPr>
        <w:t>(</w:t>
      </w:r>
      <w:r w:rsidR="001A1D6E">
        <w:rPr>
          <w:sz w:val="24"/>
          <w:szCs w:val="24"/>
        </w:rPr>
        <w:t>3</w:t>
      </w:r>
      <w:r w:rsidR="00A73157">
        <w:rPr>
          <w:sz w:val="24"/>
          <w:szCs w:val="24"/>
        </w:rPr>
        <w:t>)</w:t>
      </w:r>
      <w:r w:rsidR="00673983">
        <w:rPr>
          <w:sz w:val="24"/>
          <w:szCs w:val="24"/>
        </w:rPr>
        <w:t>(a)</w:t>
      </w:r>
      <w:r w:rsidR="00A73157">
        <w:rPr>
          <w:sz w:val="24"/>
          <w:szCs w:val="24"/>
        </w:rPr>
        <w:t xml:space="preserve"> provides that t</w:t>
      </w:r>
      <w:r w:rsidR="00093058" w:rsidRPr="004C09F5">
        <w:rPr>
          <w:sz w:val="24"/>
          <w:szCs w:val="24"/>
        </w:rPr>
        <w:t xml:space="preserve">he amount of an applicant’s </w:t>
      </w:r>
      <w:r w:rsidR="001A1D6E">
        <w:rPr>
          <w:i/>
          <w:sz w:val="24"/>
          <w:szCs w:val="24"/>
        </w:rPr>
        <w:t>adjusted</w:t>
      </w:r>
      <w:r w:rsidR="00093058" w:rsidRPr="0067648A">
        <w:rPr>
          <w:i/>
          <w:sz w:val="24"/>
          <w:szCs w:val="24"/>
        </w:rPr>
        <w:t xml:space="preserve"> individual entitlement</w:t>
      </w:r>
      <w:r w:rsidR="00093058" w:rsidRPr="004C09F5">
        <w:rPr>
          <w:sz w:val="24"/>
          <w:szCs w:val="24"/>
        </w:rPr>
        <w:t xml:space="preserve"> for a quota type </w:t>
      </w:r>
      <w:r w:rsidR="001A1D6E">
        <w:rPr>
          <w:sz w:val="24"/>
          <w:szCs w:val="24"/>
        </w:rPr>
        <w:t>and</w:t>
      </w:r>
      <w:r w:rsidR="00093058" w:rsidRPr="004C09F5">
        <w:rPr>
          <w:sz w:val="24"/>
          <w:szCs w:val="24"/>
        </w:rPr>
        <w:t xml:space="preserve"> a quota year is</w:t>
      </w:r>
      <w:r>
        <w:rPr>
          <w:sz w:val="24"/>
          <w:szCs w:val="24"/>
        </w:rPr>
        <w:t>,</w:t>
      </w:r>
      <w:r w:rsidR="00673983" w:rsidRPr="004C09F5">
        <w:rPr>
          <w:sz w:val="24"/>
          <w:szCs w:val="24"/>
        </w:rPr>
        <w:t xml:space="preserve"> </w:t>
      </w:r>
      <w:r w:rsidR="00093058" w:rsidRPr="004C09F5">
        <w:rPr>
          <w:sz w:val="24"/>
          <w:szCs w:val="24"/>
        </w:rPr>
        <w:t>if the amount of the applicant’s initial individual entitlement for the quota type and quota year is equal to the amount of tariff rate quota entitlement the applicant applied for</w:t>
      </w:r>
      <w:r w:rsidR="00673983" w:rsidRPr="004C09F5">
        <w:rPr>
          <w:sz w:val="24"/>
          <w:szCs w:val="24"/>
        </w:rPr>
        <w:t xml:space="preserve">, </w:t>
      </w:r>
      <w:r w:rsidR="00093058" w:rsidRPr="004C09F5">
        <w:rPr>
          <w:sz w:val="24"/>
          <w:szCs w:val="24"/>
        </w:rPr>
        <w:t>that amount</w:t>
      </w:r>
      <w:r w:rsidR="00673983" w:rsidRPr="004C09F5">
        <w:rPr>
          <w:sz w:val="24"/>
          <w:szCs w:val="24"/>
        </w:rPr>
        <w:t>.</w:t>
      </w:r>
    </w:p>
    <w:p w14:paraId="3874A7AF" w14:textId="77777777" w:rsidR="00673983" w:rsidRDefault="00673983" w:rsidP="004C09F5">
      <w:pPr>
        <w:spacing w:line="240" w:lineRule="auto"/>
      </w:pPr>
    </w:p>
    <w:p w14:paraId="575A93E5" w14:textId="7CD1E48E" w:rsidR="00093058" w:rsidRPr="004C09F5" w:rsidRDefault="00673983" w:rsidP="004C09F5">
      <w:pPr>
        <w:spacing w:line="240" w:lineRule="auto"/>
        <w:rPr>
          <w:sz w:val="24"/>
          <w:szCs w:val="24"/>
        </w:rPr>
      </w:pPr>
      <w:r>
        <w:rPr>
          <w:sz w:val="24"/>
          <w:szCs w:val="24"/>
        </w:rPr>
        <w:t xml:space="preserve">Subsection </w:t>
      </w:r>
      <w:r w:rsidR="001C37BA">
        <w:rPr>
          <w:sz w:val="24"/>
          <w:szCs w:val="24"/>
        </w:rPr>
        <w:t>32</w:t>
      </w:r>
      <w:r>
        <w:rPr>
          <w:sz w:val="24"/>
          <w:szCs w:val="24"/>
        </w:rPr>
        <w:t>(</w:t>
      </w:r>
      <w:r w:rsidR="001A1D6E">
        <w:rPr>
          <w:sz w:val="24"/>
          <w:szCs w:val="24"/>
        </w:rPr>
        <w:t>3</w:t>
      </w:r>
      <w:proofErr w:type="gramStart"/>
      <w:r>
        <w:rPr>
          <w:sz w:val="24"/>
          <w:szCs w:val="24"/>
        </w:rPr>
        <w:t>)(</w:t>
      </w:r>
      <w:proofErr w:type="gramEnd"/>
      <w:r>
        <w:rPr>
          <w:sz w:val="24"/>
          <w:szCs w:val="24"/>
        </w:rPr>
        <w:t>b) provides that t</w:t>
      </w:r>
      <w:r w:rsidRPr="004C09F5">
        <w:rPr>
          <w:sz w:val="24"/>
          <w:szCs w:val="24"/>
        </w:rPr>
        <w:t xml:space="preserve">he amount of an applicant’s </w:t>
      </w:r>
      <w:r w:rsidR="001A1D6E">
        <w:rPr>
          <w:i/>
          <w:sz w:val="24"/>
          <w:szCs w:val="24"/>
        </w:rPr>
        <w:t>adjusted</w:t>
      </w:r>
      <w:r w:rsidRPr="0067648A">
        <w:rPr>
          <w:i/>
          <w:sz w:val="24"/>
          <w:szCs w:val="24"/>
        </w:rPr>
        <w:t xml:space="preserve"> individual entitlement</w:t>
      </w:r>
      <w:r w:rsidRPr="004C09F5">
        <w:rPr>
          <w:sz w:val="24"/>
          <w:szCs w:val="24"/>
        </w:rPr>
        <w:t xml:space="preserve"> for a quota type </w:t>
      </w:r>
      <w:r w:rsidR="00B943AA">
        <w:rPr>
          <w:sz w:val="24"/>
          <w:szCs w:val="24"/>
        </w:rPr>
        <w:t>and</w:t>
      </w:r>
      <w:r w:rsidRPr="004C09F5">
        <w:rPr>
          <w:sz w:val="24"/>
          <w:szCs w:val="24"/>
        </w:rPr>
        <w:t xml:space="preserve"> a quota year is</w:t>
      </w:r>
      <w:r w:rsidR="00E23CA7">
        <w:rPr>
          <w:sz w:val="24"/>
          <w:szCs w:val="24"/>
        </w:rPr>
        <w:t>,</w:t>
      </w:r>
      <w:r w:rsidRPr="004C09F5">
        <w:rPr>
          <w:sz w:val="24"/>
          <w:szCs w:val="24"/>
        </w:rPr>
        <w:t xml:space="preserve"> </w:t>
      </w:r>
      <w:r w:rsidR="00093058" w:rsidRPr="004C09F5">
        <w:rPr>
          <w:sz w:val="24"/>
          <w:szCs w:val="24"/>
        </w:rPr>
        <w:t>if the amount of the applicant’s initial individual entitlement</w:t>
      </w:r>
      <w:r w:rsidR="001A1D6E">
        <w:rPr>
          <w:sz w:val="24"/>
          <w:szCs w:val="24"/>
        </w:rPr>
        <w:t xml:space="preserve"> for the quota type and quota year is less than the amount of tariff rate quota entitlement the applicant applied for, the amount worked out using the formula in subsection 32(4)</w:t>
      </w:r>
      <w:r w:rsidR="00093058" w:rsidRPr="004C09F5">
        <w:rPr>
          <w:sz w:val="24"/>
          <w:szCs w:val="24"/>
        </w:rPr>
        <w:t xml:space="preserve">, subject to subsections </w:t>
      </w:r>
      <w:r w:rsidR="001C37BA">
        <w:rPr>
          <w:sz w:val="24"/>
          <w:szCs w:val="24"/>
        </w:rPr>
        <w:t>32</w:t>
      </w:r>
      <w:r w:rsidR="00093058" w:rsidRPr="004C09F5">
        <w:rPr>
          <w:sz w:val="24"/>
          <w:szCs w:val="24"/>
        </w:rPr>
        <w:t>(</w:t>
      </w:r>
      <w:r w:rsidR="001A1D6E">
        <w:rPr>
          <w:sz w:val="24"/>
          <w:szCs w:val="24"/>
        </w:rPr>
        <w:t>5</w:t>
      </w:r>
      <w:r w:rsidR="00093058" w:rsidRPr="004C09F5">
        <w:rPr>
          <w:sz w:val="24"/>
          <w:szCs w:val="24"/>
        </w:rPr>
        <w:t xml:space="preserve">) </w:t>
      </w:r>
      <w:r w:rsidR="001A1D6E">
        <w:rPr>
          <w:sz w:val="24"/>
          <w:szCs w:val="24"/>
        </w:rPr>
        <w:t>and</w:t>
      </w:r>
      <w:r w:rsidR="00093058" w:rsidRPr="004C09F5">
        <w:rPr>
          <w:sz w:val="24"/>
          <w:szCs w:val="24"/>
        </w:rPr>
        <w:t xml:space="preserve"> (</w:t>
      </w:r>
      <w:r w:rsidR="001A1D6E">
        <w:rPr>
          <w:sz w:val="24"/>
          <w:szCs w:val="24"/>
        </w:rPr>
        <w:t>6</w:t>
      </w:r>
      <w:r w:rsidR="00093058" w:rsidRPr="004C09F5">
        <w:rPr>
          <w:sz w:val="24"/>
          <w:szCs w:val="24"/>
        </w:rPr>
        <w:t>)</w:t>
      </w:r>
      <w:r w:rsidRPr="004C09F5">
        <w:rPr>
          <w:sz w:val="24"/>
          <w:szCs w:val="24"/>
        </w:rPr>
        <w:t>.</w:t>
      </w:r>
    </w:p>
    <w:p w14:paraId="1C8D5AA6" w14:textId="77777777" w:rsidR="00673983" w:rsidRDefault="00673983" w:rsidP="004C09F5">
      <w:pPr>
        <w:spacing w:line="240" w:lineRule="auto"/>
      </w:pPr>
    </w:p>
    <w:p w14:paraId="1FB25200" w14:textId="20F532CA" w:rsidR="00093058" w:rsidRPr="004C09F5" w:rsidRDefault="00673983" w:rsidP="004C09F5">
      <w:pPr>
        <w:spacing w:line="240" w:lineRule="auto"/>
        <w:rPr>
          <w:sz w:val="24"/>
          <w:szCs w:val="24"/>
        </w:rPr>
      </w:pPr>
      <w:r>
        <w:rPr>
          <w:sz w:val="24"/>
          <w:szCs w:val="24"/>
        </w:rPr>
        <w:t xml:space="preserve">Subsection </w:t>
      </w:r>
      <w:r w:rsidR="001C37BA">
        <w:rPr>
          <w:sz w:val="24"/>
          <w:szCs w:val="24"/>
        </w:rPr>
        <w:t>32</w:t>
      </w:r>
      <w:r>
        <w:rPr>
          <w:sz w:val="24"/>
          <w:szCs w:val="24"/>
        </w:rPr>
        <w:t>(</w:t>
      </w:r>
      <w:r w:rsidR="001A1D6E">
        <w:rPr>
          <w:sz w:val="24"/>
          <w:szCs w:val="24"/>
        </w:rPr>
        <w:t>4</w:t>
      </w:r>
      <w:r>
        <w:rPr>
          <w:sz w:val="24"/>
          <w:szCs w:val="24"/>
        </w:rPr>
        <w:t>) provides that f</w:t>
      </w:r>
      <w:r w:rsidR="00093058" w:rsidRPr="004C09F5">
        <w:rPr>
          <w:sz w:val="24"/>
          <w:szCs w:val="24"/>
        </w:rPr>
        <w:t xml:space="preserve">or the purposes of paragraph </w:t>
      </w:r>
      <w:r w:rsidR="001C37BA">
        <w:rPr>
          <w:sz w:val="24"/>
          <w:szCs w:val="24"/>
        </w:rPr>
        <w:t>32</w:t>
      </w:r>
      <w:r w:rsidR="00093058" w:rsidRPr="004C09F5">
        <w:rPr>
          <w:sz w:val="24"/>
          <w:szCs w:val="24"/>
        </w:rPr>
        <w:t>(</w:t>
      </w:r>
      <w:r w:rsidR="001A1D6E">
        <w:rPr>
          <w:sz w:val="24"/>
          <w:szCs w:val="24"/>
        </w:rPr>
        <w:t>3</w:t>
      </w:r>
      <w:proofErr w:type="gramStart"/>
      <w:r w:rsidR="00093058" w:rsidRPr="004C09F5">
        <w:rPr>
          <w:sz w:val="24"/>
          <w:szCs w:val="24"/>
        </w:rPr>
        <w:t>)(</w:t>
      </w:r>
      <w:proofErr w:type="gramEnd"/>
      <w:r w:rsidR="001A1D6E">
        <w:rPr>
          <w:sz w:val="24"/>
          <w:szCs w:val="24"/>
        </w:rPr>
        <w:t>b</w:t>
      </w:r>
      <w:r w:rsidR="00093058" w:rsidRPr="004C09F5">
        <w:rPr>
          <w:sz w:val="24"/>
          <w:szCs w:val="24"/>
        </w:rPr>
        <w:t>), the formula is:</w:t>
      </w:r>
    </w:p>
    <w:p w14:paraId="170086FF" w14:textId="49593CB2" w:rsidR="00093058" w:rsidRPr="00F93A3D" w:rsidRDefault="00093058" w:rsidP="00093058">
      <w:pPr>
        <w:pStyle w:val="subsection"/>
      </w:pPr>
      <w:r w:rsidRPr="00F93A3D">
        <w:tab/>
      </w:r>
      <w:r w:rsidRPr="00F93A3D">
        <w:tab/>
      </w:r>
      <w:r w:rsidR="001A1D6E">
        <w:rPr>
          <w:noProof/>
          <w:position w:val="-38"/>
        </w:rPr>
        <w:drawing>
          <wp:inline distT="0" distB="0" distL="0" distR="0" wp14:anchorId="4A40E359" wp14:editId="40BD958E">
            <wp:extent cx="432435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24350" cy="542925"/>
                    </a:xfrm>
                    <a:prstGeom prst="rect">
                      <a:avLst/>
                    </a:prstGeom>
                    <a:noFill/>
                    <a:ln>
                      <a:noFill/>
                    </a:ln>
                  </pic:spPr>
                </pic:pic>
              </a:graphicData>
            </a:graphic>
          </wp:inline>
        </w:drawing>
      </w:r>
    </w:p>
    <w:p w14:paraId="0A479292" w14:textId="77777777" w:rsidR="00093058" w:rsidRPr="009422CD" w:rsidRDefault="00093058" w:rsidP="009422CD">
      <w:pPr>
        <w:pStyle w:val="subsection2"/>
        <w:ind w:left="567"/>
        <w:rPr>
          <w:sz w:val="24"/>
          <w:szCs w:val="24"/>
        </w:rPr>
      </w:pPr>
      <w:proofErr w:type="gramStart"/>
      <w:r w:rsidRPr="009422CD">
        <w:rPr>
          <w:sz w:val="24"/>
          <w:szCs w:val="24"/>
        </w:rPr>
        <w:t>where</w:t>
      </w:r>
      <w:proofErr w:type="gramEnd"/>
      <w:r w:rsidRPr="009422CD">
        <w:rPr>
          <w:sz w:val="24"/>
          <w:szCs w:val="24"/>
        </w:rPr>
        <w:t>:</w:t>
      </w:r>
    </w:p>
    <w:p w14:paraId="76CEABC6" w14:textId="77777777" w:rsidR="00093058" w:rsidRPr="009422CD" w:rsidRDefault="00093058" w:rsidP="009422CD">
      <w:pPr>
        <w:pStyle w:val="Definition"/>
        <w:ind w:left="567"/>
        <w:rPr>
          <w:sz w:val="24"/>
          <w:szCs w:val="24"/>
        </w:rPr>
      </w:pPr>
      <w:proofErr w:type="gramStart"/>
      <w:r w:rsidRPr="009422CD">
        <w:rPr>
          <w:b/>
          <w:i/>
          <w:sz w:val="24"/>
          <w:szCs w:val="24"/>
        </w:rPr>
        <w:t>all</w:t>
      </w:r>
      <w:proofErr w:type="gramEnd"/>
      <w:r w:rsidRPr="009422CD">
        <w:rPr>
          <w:b/>
          <w:i/>
          <w:sz w:val="24"/>
          <w:szCs w:val="24"/>
        </w:rPr>
        <w:t xml:space="preserve"> entitlements</w:t>
      </w:r>
      <w:r w:rsidRPr="009422CD">
        <w:rPr>
          <w:sz w:val="24"/>
          <w:szCs w:val="24"/>
        </w:rPr>
        <w:t xml:space="preserve"> is the total of the initial individual entitlements of all applicants for the quota type and quota year.</w:t>
      </w:r>
    </w:p>
    <w:p w14:paraId="71A0C8BB" w14:textId="7DFB4EE0" w:rsidR="00093058" w:rsidRPr="009422CD" w:rsidRDefault="00E428E9" w:rsidP="009422CD">
      <w:pPr>
        <w:pStyle w:val="Definition"/>
        <w:ind w:left="567"/>
        <w:rPr>
          <w:sz w:val="24"/>
          <w:szCs w:val="24"/>
        </w:rPr>
      </w:pPr>
      <w:proofErr w:type="gramStart"/>
      <w:r>
        <w:rPr>
          <w:b/>
          <w:i/>
          <w:sz w:val="24"/>
          <w:szCs w:val="24"/>
        </w:rPr>
        <w:t>applicant’s</w:t>
      </w:r>
      <w:proofErr w:type="gramEnd"/>
      <w:r>
        <w:rPr>
          <w:b/>
          <w:i/>
          <w:sz w:val="24"/>
          <w:szCs w:val="24"/>
        </w:rPr>
        <w:t xml:space="preserve"> </w:t>
      </w:r>
      <w:r w:rsidR="00093058" w:rsidRPr="009422CD">
        <w:rPr>
          <w:b/>
          <w:i/>
          <w:sz w:val="24"/>
          <w:szCs w:val="24"/>
        </w:rPr>
        <w:t xml:space="preserve">eligible </w:t>
      </w:r>
      <w:r>
        <w:rPr>
          <w:b/>
          <w:i/>
          <w:sz w:val="24"/>
          <w:szCs w:val="24"/>
        </w:rPr>
        <w:t xml:space="preserve">past exports </w:t>
      </w:r>
      <w:r w:rsidRPr="0067648A">
        <w:rPr>
          <w:sz w:val="24"/>
          <w:szCs w:val="24"/>
        </w:rPr>
        <w:t>is the total weight of the applicant’s eligible past exports for th</w:t>
      </w:r>
      <w:r>
        <w:rPr>
          <w:sz w:val="24"/>
          <w:szCs w:val="24"/>
        </w:rPr>
        <w:t>e</w:t>
      </w:r>
      <w:r w:rsidRPr="0067648A">
        <w:rPr>
          <w:sz w:val="24"/>
          <w:szCs w:val="24"/>
        </w:rPr>
        <w:t xml:space="preserve"> quota type and quota year</w:t>
      </w:r>
      <w:r w:rsidR="00093058" w:rsidRPr="009422CD">
        <w:rPr>
          <w:sz w:val="24"/>
          <w:szCs w:val="24"/>
        </w:rPr>
        <w:t>.</w:t>
      </w:r>
      <w:r>
        <w:rPr>
          <w:sz w:val="24"/>
          <w:szCs w:val="24"/>
        </w:rPr>
        <w:t xml:space="preserve"> Eligible past exports are detailed for each respective quota type in Chapter 3.</w:t>
      </w:r>
    </w:p>
    <w:p w14:paraId="4041AD3D" w14:textId="77777777" w:rsidR="00093058" w:rsidRDefault="00093058" w:rsidP="009422CD">
      <w:pPr>
        <w:pStyle w:val="Definition"/>
        <w:ind w:left="567"/>
        <w:rPr>
          <w:sz w:val="24"/>
          <w:szCs w:val="24"/>
        </w:rPr>
      </w:pPr>
      <w:r w:rsidRPr="009422CD">
        <w:rPr>
          <w:b/>
          <w:i/>
          <w:sz w:val="24"/>
          <w:szCs w:val="24"/>
        </w:rPr>
        <w:t>IIE</w:t>
      </w:r>
      <w:r w:rsidRPr="009422CD">
        <w:rPr>
          <w:sz w:val="24"/>
          <w:szCs w:val="24"/>
        </w:rPr>
        <w:t xml:space="preserve"> is the applicant’s initial individual entitlement.</w:t>
      </w:r>
    </w:p>
    <w:p w14:paraId="4C0E428D" w14:textId="20E389D8" w:rsidR="00E428E9" w:rsidRPr="00884C43" w:rsidRDefault="00E428E9" w:rsidP="009422CD">
      <w:pPr>
        <w:pStyle w:val="Definition"/>
        <w:ind w:left="567"/>
        <w:rPr>
          <w:sz w:val="24"/>
          <w:szCs w:val="24"/>
        </w:rPr>
      </w:pPr>
      <w:proofErr w:type="gramStart"/>
      <w:r>
        <w:rPr>
          <w:b/>
          <w:i/>
          <w:sz w:val="24"/>
          <w:szCs w:val="24"/>
        </w:rPr>
        <w:t>non-excess</w:t>
      </w:r>
      <w:proofErr w:type="gramEnd"/>
      <w:r>
        <w:rPr>
          <w:b/>
          <w:i/>
          <w:sz w:val="24"/>
          <w:szCs w:val="24"/>
        </w:rPr>
        <w:t xml:space="preserve"> eligible past exports</w:t>
      </w:r>
      <w:r>
        <w:rPr>
          <w:sz w:val="24"/>
          <w:szCs w:val="24"/>
        </w:rPr>
        <w:t xml:space="preserve"> is the total weight of all eligible past exports, for the quota type and quota year, by all applicants to whose entitlement paragraph (3)(b) applies.</w:t>
      </w:r>
    </w:p>
    <w:p w14:paraId="066A678B" w14:textId="2D0DF00C" w:rsidR="007F4099" w:rsidRPr="00753DC0" w:rsidRDefault="00093058" w:rsidP="00753DC0">
      <w:pPr>
        <w:pStyle w:val="Definition"/>
        <w:ind w:left="567"/>
        <w:rPr>
          <w:sz w:val="24"/>
          <w:szCs w:val="24"/>
        </w:rPr>
      </w:pPr>
      <w:proofErr w:type="gramStart"/>
      <w:r w:rsidRPr="009422CD">
        <w:rPr>
          <w:b/>
          <w:i/>
          <w:sz w:val="24"/>
          <w:szCs w:val="24"/>
        </w:rPr>
        <w:t>standard</w:t>
      </w:r>
      <w:proofErr w:type="gramEnd"/>
      <w:r w:rsidRPr="009422CD">
        <w:rPr>
          <w:b/>
          <w:i/>
          <w:sz w:val="24"/>
          <w:szCs w:val="24"/>
        </w:rPr>
        <w:t xml:space="preserve"> access</w:t>
      </w:r>
      <w:r w:rsidRPr="009422CD">
        <w:rPr>
          <w:sz w:val="24"/>
          <w:szCs w:val="24"/>
        </w:rPr>
        <w:t xml:space="preserve"> is the standard access amount for the quota type and quota year.</w:t>
      </w:r>
    </w:p>
    <w:p w14:paraId="05743FAD" w14:textId="77777777" w:rsidR="00753DC0" w:rsidRDefault="00753DC0" w:rsidP="004C09F5">
      <w:pPr>
        <w:spacing w:line="240" w:lineRule="auto"/>
        <w:rPr>
          <w:sz w:val="24"/>
          <w:szCs w:val="24"/>
        </w:rPr>
      </w:pPr>
    </w:p>
    <w:p w14:paraId="76AB93E5" w14:textId="0F63D7F2" w:rsidR="00093058" w:rsidRPr="00DB5A4D" w:rsidRDefault="007F4099" w:rsidP="004C09F5">
      <w:pPr>
        <w:spacing w:line="240" w:lineRule="auto"/>
        <w:rPr>
          <w:sz w:val="24"/>
          <w:szCs w:val="24"/>
        </w:rPr>
      </w:pPr>
      <w:r>
        <w:rPr>
          <w:sz w:val="24"/>
          <w:szCs w:val="24"/>
        </w:rPr>
        <w:t xml:space="preserve">Subsection </w:t>
      </w:r>
      <w:r w:rsidR="001C37BA">
        <w:rPr>
          <w:sz w:val="24"/>
          <w:szCs w:val="24"/>
        </w:rPr>
        <w:t>32</w:t>
      </w:r>
      <w:r>
        <w:rPr>
          <w:sz w:val="24"/>
          <w:szCs w:val="24"/>
        </w:rPr>
        <w:t>(</w:t>
      </w:r>
      <w:r w:rsidR="00E428E9">
        <w:rPr>
          <w:sz w:val="24"/>
          <w:szCs w:val="24"/>
        </w:rPr>
        <w:t>5</w:t>
      </w:r>
      <w:r>
        <w:rPr>
          <w:sz w:val="24"/>
          <w:szCs w:val="24"/>
        </w:rPr>
        <w:t>) provides that i</w:t>
      </w:r>
      <w:r w:rsidR="00093058" w:rsidRPr="004C09F5">
        <w:rPr>
          <w:sz w:val="24"/>
          <w:szCs w:val="24"/>
        </w:rPr>
        <w:t xml:space="preserve">f the amount worked out under subsection </w:t>
      </w:r>
      <w:r w:rsidR="001C37BA">
        <w:rPr>
          <w:sz w:val="24"/>
          <w:szCs w:val="24"/>
        </w:rPr>
        <w:t>32</w:t>
      </w:r>
      <w:r w:rsidR="00093058" w:rsidRPr="004C09F5">
        <w:rPr>
          <w:sz w:val="24"/>
          <w:szCs w:val="24"/>
        </w:rPr>
        <w:t>(</w:t>
      </w:r>
      <w:r w:rsidR="00E428E9">
        <w:rPr>
          <w:sz w:val="24"/>
          <w:szCs w:val="24"/>
        </w:rPr>
        <w:t>4</w:t>
      </w:r>
      <w:r w:rsidR="00093058" w:rsidRPr="004C09F5">
        <w:rPr>
          <w:sz w:val="24"/>
          <w:szCs w:val="24"/>
        </w:rPr>
        <w:t xml:space="preserve">) for any applicant (a </w:t>
      </w:r>
      <w:r w:rsidR="00093058" w:rsidRPr="00DB5A4D">
        <w:rPr>
          <w:i/>
          <w:sz w:val="24"/>
          <w:szCs w:val="24"/>
        </w:rPr>
        <w:t>quota-filled applicant</w:t>
      </w:r>
      <w:r w:rsidR="00093058" w:rsidRPr="004C09F5">
        <w:rPr>
          <w:sz w:val="24"/>
          <w:szCs w:val="24"/>
        </w:rPr>
        <w:t>) is more than the amount of tariff rate quota entitlement the applicant applied for, then</w:t>
      </w:r>
      <w:r w:rsidR="00CC3059" w:rsidRPr="004C09F5">
        <w:rPr>
          <w:sz w:val="24"/>
          <w:szCs w:val="24"/>
        </w:rPr>
        <w:t xml:space="preserve"> </w:t>
      </w:r>
      <w:r w:rsidR="00093058" w:rsidRPr="004C09F5">
        <w:rPr>
          <w:sz w:val="24"/>
          <w:szCs w:val="24"/>
        </w:rPr>
        <w:t xml:space="preserve">the </w:t>
      </w:r>
      <w:r w:rsidR="00E428E9">
        <w:rPr>
          <w:sz w:val="24"/>
          <w:szCs w:val="24"/>
        </w:rPr>
        <w:t>adjusted</w:t>
      </w:r>
      <w:r w:rsidR="00093058" w:rsidRPr="004C09F5">
        <w:rPr>
          <w:sz w:val="24"/>
          <w:szCs w:val="24"/>
        </w:rPr>
        <w:t xml:space="preserve"> individual entitlement of each quota-filled applicant is equal to the amount of tariff rate quota entitlement th</w:t>
      </w:r>
      <w:r w:rsidR="00E428E9">
        <w:rPr>
          <w:sz w:val="24"/>
          <w:szCs w:val="24"/>
        </w:rPr>
        <w:t>at</w:t>
      </w:r>
      <w:r w:rsidR="00093058" w:rsidRPr="004C09F5">
        <w:rPr>
          <w:sz w:val="24"/>
          <w:szCs w:val="24"/>
        </w:rPr>
        <w:t xml:space="preserve"> applicant applied for</w:t>
      </w:r>
      <w:r w:rsidR="00DB5A4D">
        <w:rPr>
          <w:sz w:val="24"/>
          <w:szCs w:val="24"/>
        </w:rPr>
        <w:t>.</w:t>
      </w:r>
      <w:r w:rsidR="00CC3059" w:rsidRPr="004C09F5">
        <w:rPr>
          <w:sz w:val="24"/>
          <w:szCs w:val="24"/>
        </w:rPr>
        <w:t xml:space="preserve"> </w:t>
      </w:r>
      <w:r w:rsidR="00DB5A4D">
        <w:rPr>
          <w:sz w:val="24"/>
          <w:szCs w:val="24"/>
        </w:rPr>
        <w:t>T</w:t>
      </w:r>
      <w:r w:rsidR="00093058" w:rsidRPr="004C09F5">
        <w:rPr>
          <w:sz w:val="24"/>
          <w:szCs w:val="24"/>
        </w:rPr>
        <w:t xml:space="preserve">he </w:t>
      </w:r>
      <w:r w:rsidR="00E428E9">
        <w:rPr>
          <w:sz w:val="24"/>
          <w:szCs w:val="24"/>
        </w:rPr>
        <w:t>adjusted</w:t>
      </w:r>
      <w:r w:rsidR="00093058" w:rsidRPr="004C09F5">
        <w:rPr>
          <w:sz w:val="24"/>
          <w:szCs w:val="24"/>
        </w:rPr>
        <w:t xml:space="preserve"> individual entitlement of each applicant to whose entitlement paragraph </w:t>
      </w:r>
      <w:r w:rsidR="001C37BA">
        <w:rPr>
          <w:sz w:val="24"/>
          <w:szCs w:val="24"/>
        </w:rPr>
        <w:t>32</w:t>
      </w:r>
      <w:r w:rsidR="00093058" w:rsidRPr="004C09F5">
        <w:rPr>
          <w:sz w:val="24"/>
          <w:szCs w:val="24"/>
        </w:rPr>
        <w:t>(</w:t>
      </w:r>
      <w:r w:rsidR="00E428E9">
        <w:rPr>
          <w:sz w:val="24"/>
          <w:szCs w:val="24"/>
        </w:rPr>
        <w:t>3</w:t>
      </w:r>
      <w:r w:rsidR="00093058" w:rsidRPr="004C09F5">
        <w:rPr>
          <w:sz w:val="24"/>
          <w:szCs w:val="24"/>
        </w:rPr>
        <w:t>)(</w:t>
      </w:r>
      <w:r w:rsidR="00E428E9">
        <w:rPr>
          <w:sz w:val="24"/>
          <w:szCs w:val="24"/>
        </w:rPr>
        <w:t>b</w:t>
      </w:r>
      <w:r w:rsidR="00093058" w:rsidRPr="004C09F5">
        <w:rPr>
          <w:sz w:val="24"/>
          <w:szCs w:val="24"/>
        </w:rPr>
        <w:t xml:space="preserve">) applies who is not a quota-filled applicant must be recalculated under subsection </w:t>
      </w:r>
      <w:r w:rsidR="001C37BA">
        <w:rPr>
          <w:sz w:val="24"/>
          <w:szCs w:val="24"/>
        </w:rPr>
        <w:t>32</w:t>
      </w:r>
      <w:r w:rsidR="00093058" w:rsidRPr="004C09F5">
        <w:rPr>
          <w:sz w:val="24"/>
          <w:szCs w:val="24"/>
        </w:rPr>
        <w:t>(</w:t>
      </w:r>
      <w:r w:rsidR="00E428E9">
        <w:rPr>
          <w:sz w:val="24"/>
          <w:szCs w:val="24"/>
        </w:rPr>
        <w:t>4</w:t>
      </w:r>
      <w:r w:rsidR="00093058" w:rsidRPr="004C09F5">
        <w:rPr>
          <w:sz w:val="24"/>
          <w:szCs w:val="24"/>
        </w:rPr>
        <w:t>) and</w:t>
      </w:r>
      <w:r w:rsidR="00CC3059" w:rsidRPr="004C09F5">
        <w:rPr>
          <w:sz w:val="24"/>
          <w:szCs w:val="24"/>
        </w:rPr>
        <w:t xml:space="preserve"> </w:t>
      </w:r>
      <w:r w:rsidR="00093058" w:rsidRPr="004C09F5">
        <w:rPr>
          <w:sz w:val="24"/>
          <w:szCs w:val="24"/>
        </w:rPr>
        <w:t>for the purposes of the recalculation, each quota-filled applicant’s initial individual entitlement is taken to have been equal to the amount of tariff rate quota entitlement th</w:t>
      </w:r>
      <w:r w:rsidR="00E428E9">
        <w:rPr>
          <w:sz w:val="24"/>
          <w:szCs w:val="24"/>
        </w:rPr>
        <w:t>at</w:t>
      </w:r>
      <w:r w:rsidR="00093058" w:rsidRPr="004C09F5">
        <w:rPr>
          <w:sz w:val="24"/>
          <w:szCs w:val="24"/>
        </w:rPr>
        <w:t xml:space="preserve"> applicant applied for.</w:t>
      </w:r>
      <w:r w:rsidR="00DB5A4D">
        <w:rPr>
          <w:sz w:val="24"/>
          <w:szCs w:val="24"/>
        </w:rPr>
        <w:t xml:space="preserve">  This has the effect of removing quota-filled applicants from further calculations, and adjusts the </w:t>
      </w:r>
      <w:r w:rsidR="00DB5A4D">
        <w:rPr>
          <w:i/>
          <w:sz w:val="24"/>
          <w:szCs w:val="24"/>
        </w:rPr>
        <w:t>all entitlement</w:t>
      </w:r>
      <w:r w:rsidR="00E428E9">
        <w:rPr>
          <w:i/>
          <w:sz w:val="24"/>
          <w:szCs w:val="24"/>
        </w:rPr>
        <w:t>s</w:t>
      </w:r>
      <w:r w:rsidR="00DB5A4D">
        <w:rPr>
          <w:sz w:val="24"/>
          <w:szCs w:val="24"/>
        </w:rPr>
        <w:t xml:space="preserve"> amount so only unallocated quota is available for further allocation.</w:t>
      </w:r>
    </w:p>
    <w:p w14:paraId="34A4B50B" w14:textId="77777777" w:rsidR="00CC3059" w:rsidRDefault="00CC3059" w:rsidP="004C09F5">
      <w:pPr>
        <w:spacing w:line="240" w:lineRule="auto"/>
        <w:rPr>
          <w:sz w:val="24"/>
          <w:szCs w:val="24"/>
        </w:rPr>
      </w:pPr>
    </w:p>
    <w:p w14:paraId="0047DC87" w14:textId="68F545B5" w:rsidR="003750E6" w:rsidRDefault="003750E6" w:rsidP="004C09F5">
      <w:pPr>
        <w:spacing w:line="240" w:lineRule="auto"/>
        <w:rPr>
          <w:sz w:val="24"/>
          <w:szCs w:val="24"/>
        </w:rPr>
      </w:pPr>
      <w:r>
        <w:rPr>
          <w:sz w:val="24"/>
          <w:szCs w:val="24"/>
        </w:rPr>
        <w:t xml:space="preserve">Subsection </w:t>
      </w:r>
      <w:r w:rsidR="001C37BA">
        <w:rPr>
          <w:sz w:val="24"/>
          <w:szCs w:val="24"/>
        </w:rPr>
        <w:t>32</w:t>
      </w:r>
      <w:r>
        <w:rPr>
          <w:sz w:val="24"/>
          <w:szCs w:val="24"/>
        </w:rPr>
        <w:t>(</w:t>
      </w:r>
      <w:r w:rsidR="00E428E9">
        <w:rPr>
          <w:sz w:val="24"/>
          <w:szCs w:val="24"/>
        </w:rPr>
        <w:t>6</w:t>
      </w:r>
      <w:r>
        <w:rPr>
          <w:sz w:val="24"/>
          <w:szCs w:val="24"/>
        </w:rPr>
        <w:t>) provides that t</w:t>
      </w:r>
      <w:r w:rsidR="00093058" w:rsidRPr="004C09F5">
        <w:rPr>
          <w:sz w:val="24"/>
          <w:szCs w:val="24"/>
        </w:rPr>
        <w:t xml:space="preserve">he recalculation mentioned in subsection </w:t>
      </w:r>
      <w:r w:rsidR="001C37BA">
        <w:rPr>
          <w:sz w:val="24"/>
          <w:szCs w:val="24"/>
        </w:rPr>
        <w:t>32</w:t>
      </w:r>
      <w:r w:rsidR="00093058" w:rsidRPr="004C09F5">
        <w:rPr>
          <w:sz w:val="24"/>
          <w:szCs w:val="24"/>
        </w:rPr>
        <w:t>(</w:t>
      </w:r>
      <w:r w:rsidR="00E428E9">
        <w:rPr>
          <w:sz w:val="24"/>
          <w:szCs w:val="24"/>
        </w:rPr>
        <w:t>5</w:t>
      </w:r>
      <w:r w:rsidR="00093058" w:rsidRPr="004C09F5">
        <w:rPr>
          <w:sz w:val="24"/>
          <w:szCs w:val="24"/>
        </w:rPr>
        <w:t xml:space="preserve">) must be repeated until subsection </w:t>
      </w:r>
      <w:r w:rsidR="001C37BA">
        <w:rPr>
          <w:sz w:val="24"/>
          <w:szCs w:val="24"/>
        </w:rPr>
        <w:t>32</w:t>
      </w:r>
      <w:r w:rsidR="00093058" w:rsidRPr="004C09F5">
        <w:rPr>
          <w:sz w:val="24"/>
          <w:szCs w:val="24"/>
        </w:rPr>
        <w:t>(</w:t>
      </w:r>
      <w:r w:rsidR="00E428E9">
        <w:rPr>
          <w:sz w:val="24"/>
          <w:szCs w:val="24"/>
        </w:rPr>
        <w:t>5</w:t>
      </w:r>
      <w:r w:rsidR="00093058" w:rsidRPr="004C09F5">
        <w:rPr>
          <w:sz w:val="24"/>
          <w:szCs w:val="24"/>
        </w:rPr>
        <w:t>) no longer applies in relation to any applicant</w:t>
      </w:r>
      <w:r w:rsidR="00F65FBF">
        <w:rPr>
          <w:sz w:val="24"/>
          <w:szCs w:val="24"/>
        </w:rPr>
        <w:t xml:space="preserve"> (that is, either all applicants reach their application amount, or there is no further quota for redistribution)</w:t>
      </w:r>
      <w:r w:rsidR="00093058" w:rsidRPr="004C09F5">
        <w:rPr>
          <w:sz w:val="24"/>
          <w:szCs w:val="24"/>
        </w:rPr>
        <w:t>.</w:t>
      </w:r>
    </w:p>
    <w:p w14:paraId="4836394B" w14:textId="77777777" w:rsidR="00E428E9" w:rsidRDefault="00E428E9" w:rsidP="004C09F5">
      <w:pPr>
        <w:spacing w:line="240" w:lineRule="auto"/>
        <w:rPr>
          <w:sz w:val="24"/>
          <w:szCs w:val="24"/>
        </w:rPr>
      </w:pPr>
    </w:p>
    <w:p w14:paraId="6340CB69" w14:textId="47C85AD4" w:rsidR="00E428E9" w:rsidRDefault="00E428E9" w:rsidP="00485178">
      <w:pPr>
        <w:keepNext/>
        <w:spacing w:line="240" w:lineRule="auto"/>
        <w:rPr>
          <w:i/>
          <w:sz w:val="24"/>
          <w:szCs w:val="24"/>
        </w:rPr>
      </w:pPr>
      <w:r>
        <w:rPr>
          <w:i/>
          <w:sz w:val="24"/>
          <w:szCs w:val="24"/>
        </w:rPr>
        <w:lastRenderedPageBreak/>
        <w:t>Application and redistribution of penalties</w:t>
      </w:r>
    </w:p>
    <w:p w14:paraId="6C514F21" w14:textId="77777777" w:rsidR="00E428E9" w:rsidRDefault="00E428E9" w:rsidP="00485178">
      <w:pPr>
        <w:keepNext/>
        <w:spacing w:line="240" w:lineRule="auto"/>
        <w:rPr>
          <w:i/>
          <w:sz w:val="24"/>
          <w:szCs w:val="24"/>
        </w:rPr>
      </w:pPr>
    </w:p>
    <w:p w14:paraId="52319FAF" w14:textId="31F3E0A2" w:rsidR="00E428E9" w:rsidRPr="004C09F5" w:rsidRDefault="00E428E9" w:rsidP="00E428E9">
      <w:pPr>
        <w:spacing w:line="240" w:lineRule="auto"/>
        <w:rPr>
          <w:sz w:val="24"/>
          <w:szCs w:val="24"/>
        </w:rPr>
      </w:pPr>
      <w:r>
        <w:rPr>
          <w:sz w:val="24"/>
          <w:szCs w:val="24"/>
        </w:rPr>
        <w:t>Paragraph 32(7)(a) provides that t</w:t>
      </w:r>
      <w:r w:rsidRPr="004C09F5">
        <w:rPr>
          <w:sz w:val="24"/>
          <w:szCs w:val="24"/>
        </w:rPr>
        <w:t xml:space="preserve">he amount of an applicant’s </w:t>
      </w:r>
      <w:r>
        <w:rPr>
          <w:i/>
          <w:sz w:val="24"/>
          <w:szCs w:val="24"/>
        </w:rPr>
        <w:t xml:space="preserve">redistributed </w:t>
      </w:r>
      <w:r w:rsidRPr="0067648A">
        <w:rPr>
          <w:i/>
          <w:sz w:val="24"/>
          <w:szCs w:val="24"/>
        </w:rPr>
        <w:t>individual entitlement</w:t>
      </w:r>
      <w:r w:rsidRPr="004C09F5">
        <w:rPr>
          <w:sz w:val="24"/>
          <w:szCs w:val="24"/>
        </w:rPr>
        <w:t xml:space="preserve"> for a quota type </w:t>
      </w:r>
      <w:r>
        <w:rPr>
          <w:sz w:val="24"/>
          <w:szCs w:val="24"/>
        </w:rPr>
        <w:t>and</w:t>
      </w:r>
      <w:r w:rsidRPr="004C09F5">
        <w:rPr>
          <w:sz w:val="24"/>
          <w:szCs w:val="24"/>
        </w:rPr>
        <w:t xml:space="preserve"> a quota year is</w:t>
      </w:r>
      <w:r>
        <w:rPr>
          <w:sz w:val="24"/>
          <w:szCs w:val="24"/>
        </w:rPr>
        <w:t>,</w:t>
      </w:r>
      <w:r w:rsidRPr="004C09F5">
        <w:rPr>
          <w:sz w:val="24"/>
          <w:szCs w:val="24"/>
        </w:rPr>
        <w:t xml:space="preserve"> if the </w:t>
      </w:r>
      <w:r w:rsidR="00523370">
        <w:rPr>
          <w:sz w:val="24"/>
          <w:szCs w:val="24"/>
        </w:rPr>
        <w:t>applicant has an allocation penalty (under section 33) for the quota type and quota year, the amount of the applicant’s adjusted individual entitlement less the amount of the allocation penalty. This is subject to subsections 32(11) to (14).</w:t>
      </w:r>
    </w:p>
    <w:p w14:paraId="54C7E3F9" w14:textId="77777777" w:rsidR="00E428E9" w:rsidRDefault="00E428E9" w:rsidP="00E428E9">
      <w:pPr>
        <w:spacing w:line="240" w:lineRule="auto"/>
      </w:pPr>
    </w:p>
    <w:p w14:paraId="33AB7852" w14:textId="5F24F923" w:rsidR="00523370" w:rsidRDefault="00A401E9" w:rsidP="00E428E9">
      <w:pPr>
        <w:spacing w:line="240" w:lineRule="auto"/>
        <w:rPr>
          <w:sz w:val="24"/>
          <w:szCs w:val="24"/>
        </w:rPr>
      </w:pPr>
      <w:r>
        <w:rPr>
          <w:sz w:val="24"/>
          <w:szCs w:val="24"/>
        </w:rPr>
        <w:t>Paragraph</w:t>
      </w:r>
      <w:r w:rsidR="00E428E9">
        <w:rPr>
          <w:sz w:val="24"/>
          <w:szCs w:val="24"/>
        </w:rPr>
        <w:t xml:space="preserve"> 32(</w:t>
      </w:r>
      <w:r w:rsidR="00523370">
        <w:rPr>
          <w:sz w:val="24"/>
          <w:szCs w:val="24"/>
        </w:rPr>
        <w:t>7</w:t>
      </w:r>
      <w:r w:rsidR="00E428E9">
        <w:rPr>
          <w:sz w:val="24"/>
          <w:szCs w:val="24"/>
        </w:rPr>
        <w:t>)(b) provides that t</w:t>
      </w:r>
      <w:r w:rsidR="00E428E9" w:rsidRPr="004C09F5">
        <w:rPr>
          <w:sz w:val="24"/>
          <w:szCs w:val="24"/>
        </w:rPr>
        <w:t xml:space="preserve">he amount of an applicant’s </w:t>
      </w:r>
      <w:r w:rsidR="00523370">
        <w:rPr>
          <w:i/>
          <w:sz w:val="24"/>
          <w:szCs w:val="24"/>
        </w:rPr>
        <w:t>redistributed</w:t>
      </w:r>
      <w:r w:rsidR="00E428E9" w:rsidRPr="0067648A">
        <w:rPr>
          <w:i/>
          <w:sz w:val="24"/>
          <w:szCs w:val="24"/>
        </w:rPr>
        <w:t xml:space="preserve"> individual entitlement</w:t>
      </w:r>
      <w:r w:rsidR="00E428E9" w:rsidRPr="004C09F5">
        <w:rPr>
          <w:sz w:val="24"/>
          <w:szCs w:val="24"/>
        </w:rPr>
        <w:t xml:space="preserve"> for a quota type </w:t>
      </w:r>
      <w:r w:rsidR="00523370">
        <w:rPr>
          <w:sz w:val="24"/>
          <w:szCs w:val="24"/>
        </w:rPr>
        <w:t>and</w:t>
      </w:r>
      <w:r w:rsidR="00E428E9" w:rsidRPr="004C09F5">
        <w:rPr>
          <w:sz w:val="24"/>
          <w:szCs w:val="24"/>
        </w:rPr>
        <w:t xml:space="preserve"> quota year is</w:t>
      </w:r>
      <w:r w:rsidR="00E428E9">
        <w:rPr>
          <w:sz w:val="24"/>
          <w:szCs w:val="24"/>
        </w:rPr>
        <w:t>,</w:t>
      </w:r>
      <w:r w:rsidR="00E428E9" w:rsidRPr="004C09F5">
        <w:rPr>
          <w:sz w:val="24"/>
          <w:szCs w:val="24"/>
        </w:rPr>
        <w:t xml:space="preserve"> if </w:t>
      </w:r>
      <w:r w:rsidR="00523370">
        <w:rPr>
          <w:sz w:val="24"/>
          <w:szCs w:val="24"/>
        </w:rPr>
        <w:t>paragraph 32(7)(a) does not apply and the applicant’s adjusted</w:t>
      </w:r>
      <w:r w:rsidR="00E428E9" w:rsidRPr="004C09F5">
        <w:rPr>
          <w:sz w:val="24"/>
          <w:szCs w:val="24"/>
        </w:rPr>
        <w:t xml:space="preserve"> individual entitlement</w:t>
      </w:r>
      <w:r w:rsidR="00E428E9">
        <w:rPr>
          <w:sz w:val="24"/>
          <w:szCs w:val="24"/>
        </w:rPr>
        <w:t xml:space="preserve"> for the quota type and quota year is </w:t>
      </w:r>
      <w:r w:rsidR="00523370">
        <w:rPr>
          <w:sz w:val="24"/>
          <w:szCs w:val="24"/>
        </w:rPr>
        <w:t xml:space="preserve">equal to </w:t>
      </w:r>
      <w:r w:rsidR="00E428E9">
        <w:rPr>
          <w:sz w:val="24"/>
          <w:szCs w:val="24"/>
        </w:rPr>
        <w:t>the amount of tariff rate quota entitlemen</w:t>
      </w:r>
      <w:r w:rsidR="00523370">
        <w:rPr>
          <w:sz w:val="24"/>
          <w:szCs w:val="24"/>
        </w:rPr>
        <w:t>t the applicant applied for, that amount</w:t>
      </w:r>
      <w:r w:rsidR="00E428E9" w:rsidRPr="004C09F5">
        <w:rPr>
          <w:sz w:val="24"/>
          <w:szCs w:val="24"/>
        </w:rPr>
        <w:t>.</w:t>
      </w:r>
    </w:p>
    <w:p w14:paraId="5433C19F" w14:textId="12FF7F83" w:rsidR="00523370" w:rsidRPr="00884C43" w:rsidRDefault="00523370" w:rsidP="00CB387C">
      <w:pPr>
        <w:spacing w:before="240" w:line="240" w:lineRule="auto"/>
        <w:rPr>
          <w:sz w:val="24"/>
          <w:szCs w:val="24"/>
        </w:rPr>
      </w:pPr>
      <w:r>
        <w:rPr>
          <w:sz w:val="24"/>
          <w:szCs w:val="24"/>
        </w:rPr>
        <w:t>Subsection 32(7)(c) provides that if neither paragraph 32</w:t>
      </w:r>
      <w:r w:rsidR="000475B8">
        <w:rPr>
          <w:sz w:val="24"/>
          <w:szCs w:val="24"/>
        </w:rPr>
        <w:t>(7)(a)</w:t>
      </w:r>
      <w:r>
        <w:rPr>
          <w:sz w:val="24"/>
          <w:szCs w:val="24"/>
        </w:rPr>
        <w:t xml:space="preserve"> </w:t>
      </w:r>
      <w:r w:rsidR="00A401E9">
        <w:rPr>
          <w:sz w:val="24"/>
          <w:szCs w:val="24"/>
        </w:rPr>
        <w:t>nor</w:t>
      </w:r>
      <w:r>
        <w:rPr>
          <w:sz w:val="24"/>
          <w:szCs w:val="24"/>
        </w:rPr>
        <w:t xml:space="preserve"> (b) applies, then the applicant’s </w:t>
      </w:r>
      <w:r>
        <w:rPr>
          <w:i/>
          <w:sz w:val="24"/>
          <w:szCs w:val="24"/>
        </w:rPr>
        <w:t>redistributed individual entitlement</w:t>
      </w:r>
      <w:r>
        <w:rPr>
          <w:sz w:val="24"/>
          <w:szCs w:val="24"/>
        </w:rPr>
        <w:t xml:space="preserve"> is the amount worked out using the formula in subsection 32(8), subject to subsections 32(9) and (10).  This subsection includes a note, directing </w:t>
      </w:r>
      <w:r w:rsidR="00A401E9">
        <w:rPr>
          <w:sz w:val="24"/>
          <w:szCs w:val="24"/>
        </w:rPr>
        <w:t xml:space="preserve">the reader </w:t>
      </w:r>
      <w:r>
        <w:rPr>
          <w:sz w:val="24"/>
          <w:szCs w:val="24"/>
        </w:rPr>
        <w:t>to see section 33 for determining whether a person has an allocation penalty, and the amount of the penalty.</w:t>
      </w:r>
    </w:p>
    <w:p w14:paraId="443D06BD" w14:textId="77777777" w:rsidR="003750E6" w:rsidRDefault="003750E6" w:rsidP="004C09F5">
      <w:pPr>
        <w:spacing w:line="240" w:lineRule="auto"/>
        <w:rPr>
          <w:sz w:val="24"/>
          <w:szCs w:val="24"/>
        </w:rPr>
      </w:pPr>
    </w:p>
    <w:p w14:paraId="1CD9A225" w14:textId="1167B7B8" w:rsidR="001B214F" w:rsidRDefault="001B214F" w:rsidP="004C09F5">
      <w:pPr>
        <w:spacing w:line="240" w:lineRule="auto"/>
        <w:rPr>
          <w:sz w:val="24"/>
          <w:szCs w:val="24"/>
        </w:rPr>
      </w:pPr>
      <w:r>
        <w:rPr>
          <w:sz w:val="24"/>
          <w:szCs w:val="24"/>
        </w:rPr>
        <w:t>Subsection 32(8) provides that for the purposes of paragraph 32(7</w:t>
      </w:r>
      <w:proofErr w:type="gramStart"/>
      <w:r>
        <w:rPr>
          <w:sz w:val="24"/>
          <w:szCs w:val="24"/>
        </w:rPr>
        <w:t>)(</w:t>
      </w:r>
      <w:proofErr w:type="gramEnd"/>
      <w:r>
        <w:rPr>
          <w:sz w:val="24"/>
          <w:szCs w:val="24"/>
        </w:rPr>
        <w:t>c) the formula is:</w:t>
      </w:r>
    </w:p>
    <w:p w14:paraId="582E1927" w14:textId="77777777" w:rsidR="001B214F" w:rsidRDefault="001B214F" w:rsidP="004C09F5">
      <w:pPr>
        <w:spacing w:line="240" w:lineRule="auto"/>
        <w:rPr>
          <w:sz w:val="24"/>
          <w:szCs w:val="24"/>
        </w:rPr>
      </w:pPr>
    </w:p>
    <w:p w14:paraId="3F24FAA1" w14:textId="77777777" w:rsidR="001B214F" w:rsidRDefault="001B214F" w:rsidP="00CB387C">
      <w:pPr>
        <w:spacing w:line="240" w:lineRule="auto"/>
        <w:ind w:left="567" w:firstLine="567"/>
        <w:rPr>
          <w:sz w:val="24"/>
          <w:szCs w:val="24"/>
        </w:rPr>
      </w:pPr>
      <w:r>
        <w:rPr>
          <w:noProof/>
          <w:position w:val="-48"/>
          <w:lang w:eastAsia="en-AU"/>
        </w:rPr>
        <w:drawing>
          <wp:inline distT="0" distB="0" distL="0" distR="0" wp14:anchorId="49F14232" wp14:editId="3E823ED3">
            <wp:extent cx="3038475" cy="666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38475" cy="666750"/>
                    </a:xfrm>
                    <a:prstGeom prst="rect">
                      <a:avLst/>
                    </a:prstGeom>
                    <a:noFill/>
                    <a:ln>
                      <a:noFill/>
                    </a:ln>
                  </pic:spPr>
                </pic:pic>
              </a:graphicData>
            </a:graphic>
          </wp:inline>
        </w:drawing>
      </w:r>
    </w:p>
    <w:p w14:paraId="26F41316" w14:textId="3BAA0D93" w:rsidR="001B214F" w:rsidRPr="00CB387C" w:rsidRDefault="001B214F" w:rsidP="001B214F">
      <w:pPr>
        <w:pStyle w:val="Definition"/>
        <w:ind w:left="567"/>
        <w:rPr>
          <w:sz w:val="24"/>
          <w:szCs w:val="24"/>
        </w:rPr>
      </w:pPr>
      <w:proofErr w:type="gramStart"/>
      <w:r w:rsidRPr="00CB387C">
        <w:rPr>
          <w:sz w:val="24"/>
          <w:szCs w:val="24"/>
        </w:rPr>
        <w:t>where</w:t>
      </w:r>
      <w:proofErr w:type="gramEnd"/>
      <w:r w:rsidRPr="00CB387C">
        <w:rPr>
          <w:sz w:val="24"/>
          <w:szCs w:val="24"/>
        </w:rPr>
        <w:t>:</w:t>
      </w:r>
    </w:p>
    <w:p w14:paraId="60358B10" w14:textId="4B87A1E5" w:rsidR="001B214F" w:rsidRPr="00CB387C" w:rsidRDefault="001B214F" w:rsidP="001B214F">
      <w:pPr>
        <w:pStyle w:val="Definition"/>
        <w:ind w:left="567"/>
        <w:rPr>
          <w:sz w:val="24"/>
          <w:szCs w:val="24"/>
        </w:rPr>
      </w:pPr>
      <w:r w:rsidRPr="00CB387C">
        <w:rPr>
          <w:b/>
          <w:i/>
          <w:sz w:val="24"/>
          <w:szCs w:val="24"/>
        </w:rPr>
        <w:t>AIE</w:t>
      </w:r>
      <w:r w:rsidRPr="00CB387C">
        <w:rPr>
          <w:sz w:val="24"/>
          <w:szCs w:val="24"/>
        </w:rPr>
        <w:t xml:space="preserve"> is the applicant’s adjusted individual entitlement.</w:t>
      </w:r>
    </w:p>
    <w:p w14:paraId="0124D489" w14:textId="1A046DDC" w:rsidR="001B214F" w:rsidRPr="00CB387C" w:rsidRDefault="001B214F" w:rsidP="001B214F">
      <w:pPr>
        <w:pStyle w:val="Definition"/>
        <w:ind w:left="567"/>
        <w:rPr>
          <w:sz w:val="24"/>
          <w:szCs w:val="24"/>
        </w:rPr>
      </w:pPr>
      <w:proofErr w:type="gramStart"/>
      <w:r w:rsidRPr="00CB387C">
        <w:rPr>
          <w:b/>
          <w:i/>
          <w:sz w:val="24"/>
          <w:szCs w:val="24"/>
        </w:rPr>
        <w:t>applicant’s</w:t>
      </w:r>
      <w:proofErr w:type="gramEnd"/>
      <w:r w:rsidRPr="00CB387C">
        <w:rPr>
          <w:b/>
          <w:i/>
          <w:sz w:val="24"/>
          <w:szCs w:val="24"/>
        </w:rPr>
        <w:t xml:space="preserve"> eligible past exports</w:t>
      </w:r>
      <w:r w:rsidRPr="00CB387C">
        <w:rPr>
          <w:sz w:val="24"/>
          <w:szCs w:val="24"/>
        </w:rPr>
        <w:t xml:space="preserve"> is the total weight of the applicant’s eligible past exports for the quota type and quota year.</w:t>
      </w:r>
      <w:r>
        <w:rPr>
          <w:sz w:val="24"/>
          <w:szCs w:val="24"/>
        </w:rPr>
        <w:t xml:space="preserve"> Eligible past exports are detailed for each respective quota type in Chapter 3.</w:t>
      </w:r>
    </w:p>
    <w:p w14:paraId="399C59BD" w14:textId="0C6E0FBE" w:rsidR="001B214F" w:rsidRPr="00CB387C" w:rsidRDefault="001B214F" w:rsidP="00CB387C">
      <w:pPr>
        <w:pStyle w:val="Definition"/>
        <w:ind w:left="567"/>
        <w:rPr>
          <w:sz w:val="24"/>
          <w:szCs w:val="24"/>
        </w:rPr>
      </w:pPr>
      <w:proofErr w:type="gramStart"/>
      <w:r w:rsidRPr="00CB387C">
        <w:rPr>
          <w:b/>
          <w:i/>
          <w:sz w:val="24"/>
          <w:szCs w:val="24"/>
        </w:rPr>
        <w:t>non-penalised</w:t>
      </w:r>
      <w:proofErr w:type="gramEnd"/>
      <w:r w:rsidRPr="00CB387C">
        <w:rPr>
          <w:b/>
          <w:i/>
          <w:sz w:val="24"/>
          <w:szCs w:val="24"/>
        </w:rPr>
        <w:t xml:space="preserve"> eligible </w:t>
      </w:r>
      <w:r w:rsidR="00CB387C">
        <w:rPr>
          <w:b/>
          <w:i/>
          <w:sz w:val="24"/>
          <w:szCs w:val="24"/>
        </w:rPr>
        <w:t xml:space="preserve">past </w:t>
      </w:r>
      <w:r w:rsidRPr="00CB387C">
        <w:rPr>
          <w:b/>
          <w:i/>
          <w:sz w:val="24"/>
          <w:szCs w:val="24"/>
        </w:rPr>
        <w:t>exports</w:t>
      </w:r>
      <w:r w:rsidRPr="00CB387C">
        <w:rPr>
          <w:sz w:val="24"/>
          <w:szCs w:val="24"/>
        </w:rPr>
        <w:t xml:space="preserve"> is the total weight of all eligible past exports, for the quota type and quota year, by all applicants to whose entitlement paragraph (7)(c) applies.</w:t>
      </w:r>
    </w:p>
    <w:p w14:paraId="7DA47C6A" w14:textId="2D5AB8BE" w:rsidR="00F65FBF" w:rsidRPr="00884C43" w:rsidRDefault="001B214F" w:rsidP="00CB387C">
      <w:pPr>
        <w:pStyle w:val="Definition"/>
        <w:ind w:left="567"/>
        <w:rPr>
          <w:sz w:val="24"/>
          <w:szCs w:val="24"/>
        </w:rPr>
      </w:pPr>
      <w:proofErr w:type="gramStart"/>
      <w:r w:rsidRPr="00CB387C">
        <w:rPr>
          <w:b/>
          <w:i/>
          <w:sz w:val="24"/>
          <w:szCs w:val="24"/>
        </w:rPr>
        <w:t>penalties</w:t>
      </w:r>
      <w:proofErr w:type="gramEnd"/>
      <w:r w:rsidRPr="00CB387C">
        <w:rPr>
          <w:sz w:val="24"/>
          <w:szCs w:val="24"/>
        </w:rPr>
        <w:t xml:space="preserve"> is the total of the amount of the allocation penalties of applicants for the quota type and quota year.</w:t>
      </w:r>
    </w:p>
    <w:p w14:paraId="68B18767" w14:textId="77777777" w:rsidR="00F65FBF" w:rsidRPr="001B214F" w:rsidRDefault="00F65FBF" w:rsidP="004C09F5">
      <w:pPr>
        <w:spacing w:line="240" w:lineRule="auto"/>
        <w:rPr>
          <w:sz w:val="24"/>
          <w:szCs w:val="24"/>
        </w:rPr>
      </w:pPr>
    </w:p>
    <w:p w14:paraId="472B3249" w14:textId="3F9B0388" w:rsidR="00915079" w:rsidRDefault="00915079" w:rsidP="004C09F5">
      <w:pPr>
        <w:spacing w:line="240" w:lineRule="auto"/>
        <w:rPr>
          <w:sz w:val="24"/>
          <w:szCs w:val="24"/>
        </w:rPr>
      </w:pPr>
      <w:r>
        <w:rPr>
          <w:sz w:val="24"/>
          <w:szCs w:val="24"/>
        </w:rPr>
        <w:t>All weights</w:t>
      </w:r>
      <w:r w:rsidR="00096FF7">
        <w:rPr>
          <w:sz w:val="24"/>
          <w:szCs w:val="24"/>
        </w:rPr>
        <w:t xml:space="preserve"> and amounts</w:t>
      </w:r>
      <w:r>
        <w:rPr>
          <w:sz w:val="24"/>
          <w:szCs w:val="24"/>
        </w:rPr>
        <w:t xml:space="preserve"> are calculated using kilograms.</w:t>
      </w:r>
    </w:p>
    <w:p w14:paraId="5F34F76E" w14:textId="77777777" w:rsidR="00915079" w:rsidRDefault="00915079" w:rsidP="004C09F5">
      <w:pPr>
        <w:spacing w:line="240" w:lineRule="auto"/>
        <w:rPr>
          <w:sz w:val="24"/>
          <w:szCs w:val="24"/>
        </w:rPr>
      </w:pPr>
    </w:p>
    <w:p w14:paraId="4CB2A1F2" w14:textId="30D3CE26" w:rsidR="00373830" w:rsidRDefault="00373830" w:rsidP="004C09F5">
      <w:pPr>
        <w:spacing w:line="240" w:lineRule="auto"/>
        <w:rPr>
          <w:sz w:val="24"/>
          <w:szCs w:val="24"/>
        </w:rPr>
      </w:pPr>
      <w:r>
        <w:rPr>
          <w:sz w:val="24"/>
          <w:szCs w:val="24"/>
        </w:rPr>
        <w:t>Subsection 32(9) provides that i</w:t>
      </w:r>
      <w:r w:rsidRPr="004C09F5">
        <w:rPr>
          <w:sz w:val="24"/>
          <w:szCs w:val="24"/>
        </w:rPr>
        <w:t xml:space="preserve">f the amount worked out under subsection </w:t>
      </w:r>
      <w:r>
        <w:rPr>
          <w:sz w:val="24"/>
          <w:szCs w:val="24"/>
        </w:rPr>
        <w:t>32</w:t>
      </w:r>
      <w:r w:rsidRPr="004C09F5">
        <w:rPr>
          <w:sz w:val="24"/>
          <w:szCs w:val="24"/>
        </w:rPr>
        <w:t>(</w:t>
      </w:r>
      <w:r>
        <w:rPr>
          <w:sz w:val="24"/>
          <w:szCs w:val="24"/>
        </w:rPr>
        <w:t>8</w:t>
      </w:r>
      <w:r w:rsidRPr="004C09F5">
        <w:rPr>
          <w:sz w:val="24"/>
          <w:szCs w:val="24"/>
        </w:rPr>
        <w:t xml:space="preserve">) for any applicant (a </w:t>
      </w:r>
      <w:r w:rsidRPr="00DB5A4D">
        <w:rPr>
          <w:i/>
          <w:sz w:val="24"/>
          <w:szCs w:val="24"/>
        </w:rPr>
        <w:t>quota-filled applicant</w:t>
      </w:r>
      <w:r w:rsidRPr="004C09F5">
        <w:rPr>
          <w:sz w:val="24"/>
          <w:szCs w:val="24"/>
        </w:rPr>
        <w:t xml:space="preserve">) is more than the amount of tariff rate quota entitlement the applicant applied for, then the </w:t>
      </w:r>
      <w:r>
        <w:rPr>
          <w:sz w:val="24"/>
          <w:szCs w:val="24"/>
        </w:rPr>
        <w:t>redistributed</w:t>
      </w:r>
      <w:r w:rsidRPr="004C09F5">
        <w:rPr>
          <w:sz w:val="24"/>
          <w:szCs w:val="24"/>
        </w:rPr>
        <w:t xml:space="preserve"> individual entitlement of each quota-filled applicant is equal to the amount of tariff rate quota entitlement th</w:t>
      </w:r>
      <w:r>
        <w:rPr>
          <w:sz w:val="24"/>
          <w:szCs w:val="24"/>
        </w:rPr>
        <w:t>at</w:t>
      </w:r>
      <w:r w:rsidRPr="004C09F5">
        <w:rPr>
          <w:sz w:val="24"/>
          <w:szCs w:val="24"/>
        </w:rPr>
        <w:t xml:space="preserve"> applicant applied for</w:t>
      </w:r>
      <w:r>
        <w:rPr>
          <w:sz w:val="24"/>
          <w:szCs w:val="24"/>
        </w:rPr>
        <w:t>.</w:t>
      </w:r>
      <w:r w:rsidRPr="004C09F5">
        <w:rPr>
          <w:sz w:val="24"/>
          <w:szCs w:val="24"/>
        </w:rPr>
        <w:t xml:space="preserve"> </w:t>
      </w:r>
      <w:r>
        <w:rPr>
          <w:sz w:val="24"/>
          <w:szCs w:val="24"/>
        </w:rPr>
        <w:t>T</w:t>
      </w:r>
      <w:r w:rsidRPr="004C09F5">
        <w:rPr>
          <w:sz w:val="24"/>
          <w:szCs w:val="24"/>
        </w:rPr>
        <w:t xml:space="preserve">he </w:t>
      </w:r>
      <w:r>
        <w:rPr>
          <w:sz w:val="24"/>
          <w:szCs w:val="24"/>
        </w:rPr>
        <w:t>redistributed</w:t>
      </w:r>
      <w:r w:rsidRPr="004C09F5">
        <w:rPr>
          <w:sz w:val="24"/>
          <w:szCs w:val="24"/>
        </w:rPr>
        <w:t xml:space="preserve"> individual entitlement of each applicant to whose entitlement paragraph </w:t>
      </w:r>
      <w:r>
        <w:rPr>
          <w:sz w:val="24"/>
          <w:szCs w:val="24"/>
        </w:rPr>
        <w:t>32</w:t>
      </w:r>
      <w:r w:rsidRPr="004C09F5">
        <w:rPr>
          <w:sz w:val="24"/>
          <w:szCs w:val="24"/>
        </w:rPr>
        <w:t>(</w:t>
      </w:r>
      <w:r>
        <w:rPr>
          <w:sz w:val="24"/>
          <w:szCs w:val="24"/>
        </w:rPr>
        <w:t>7</w:t>
      </w:r>
      <w:r w:rsidRPr="004C09F5">
        <w:rPr>
          <w:sz w:val="24"/>
          <w:szCs w:val="24"/>
        </w:rPr>
        <w:t>)(</w:t>
      </w:r>
      <w:r>
        <w:rPr>
          <w:sz w:val="24"/>
          <w:szCs w:val="24"/>
        </w:rPr>
        <w:t>c</w:t>
      </w:r>
      <w:r w:rsidRPr="004C09F5">
        <w:rPr>
          <w:sz w:val="24"/>
          <w:szCs w:val="24"/>
        </w:rPr>
        <w:t xml:space="preserve">) applies who is not a quota-filled applicant must be recalculated under subsection </w:t>
      </w:r>
      <w:r>
        <w:rPr>
          <w:sz w:val="24"/>
          <w:szCs w:val="24"/>
        </w:rPr>
        <w:t>32</w:t>
      </w:r>
      <w:r w:rsidRPr="004C09F5">
        <w:rPr>
          <w:sz w:val="24"/>
          <w:szCs w:val="24"/>
        </w:rPr>
        <w:t>(</w:t>
      </w:r>
      <w:r>
        <w:rPr>
          <w:sz w:val="24"/>
          <w:szCs w:val="24"/>
        </w:rPr>
        <w:t>8</w:t>
      </w:r>
      <w:r w:rsidRPr="004C09F5">
        <w:rPr>
          <w:sz w:val="24"/>
          <w:szCs w:val="24"/>
        </w:rPr>
        <w:t xml:space="preserve">) and for the purposes of the recalculation, each quota-filled applicant’s </w:t>
      </w:r>
      <w:r>
        <w:rPr>
          <w:sz w:val="24"/>
          <w:szCs w:val="24"/>
        </w:rPr>
        <w:t>adjusted</w:t>
      </w:r>
      <w:r w:rsidRPr="004C09F5">
        <w:rPr>
          <w:sz w:val="24"/>
          <w:szCs w:val="24"/>
        </w:rPr>
        <w:t xml:space="preserve"> individual entitlement is taken to have been equal to the amount of tariff rate quota entitlement th</w:t>
      </w:r>
      <w:r>
        <w:rPr>
          <w:sz w:val="24"/>
          <w:szCs w:val="24"/>
        </w:rPr>
        <w:t>at</w:t>
      </w:r>
      <w:r w:rsidRPr="004C09F5">
        <w:rPr>
          <w:sz w:val="24"/>
          <w:szCs w:val="24"/>
        </w:rPr>
        <w:t xml:space="preserve"> applicant applied for.</w:t>
      </w:r>
      <w:r>
        <w:rPr>
          <w:sz w:val="24"/>
          <w:szCs w:val="24"/>
        </w:rPr>
        <w:t xml:space="preserve">  This has the effect of removing quota-filled applicants from further </w:t>
      </w:r>
      <w:r>
        <w:rPr>
          <w:sz w:val="24"/>
          <w:szCs w:val="24"/>
        </w:rPr>
        <w:lastRenderedPageBreak/>
        <w:t xml:space="preserve">calculations, and adjusts the </w:t>
      </w:r>
      <w:r>
        <w:rPr>
          <w:i/>
          <w:sz w:val="24"/>
          <w:szCs w:val="24"/>
        </w:rPr>
        <w:t>penalties</w:t>
      </w:r>
      <w:r>
        <w:rPr>
          <w:sz w:val="24"/>
          <w:szCs w:val="24"/>
        </w:rPr>
        <w:t xml:space="preserve"> amount so only unallocated quota is available for further allocation.</w:t>
      </w:r>
    </w:p>
    <w:p w14:paraId="62E1AE44" w14:textId="77777777" w:rsidR="00373830" w:rsidRDefault="00373830" w:rsidP="004C09F5">
      <w:pPr>
        <w:spacing w:line="240" w:lineRule="auto"/>
        <w:rPr>
          <w:sz w:val="24"/>
          <w:szCs w:val="24"/>
        </w:rPr>
      </w:pPr>
    </w:p>
    <w:p w14:paraId="06E760EA" w14:textId="3DDA862A" w:rsidR="00373830" w:rsidRDefault="00373830" w:rsidP="004C09F5">
      <w:pPr>
        <w:spacing w:line="240" w:lineRule="auto"/>
        <w:rPr>
          <w:sz w:val="24"/>
          <w:szCs w:val="24"/>
        </w:rPr>
      </w:pPr>
      <w:r>
        <w:rPr>
          <w:sz w:val="24"/>
          <w:szCs w:val="24"/>
        </w:rPr>
        <w:t>Subsection 32(10) provides that t</w:t>
      </w:r>
      <w:r w:rsidRPr="004C09F5">
        <w:rPr>
          <w:sz w:val="24"/>
          <w:szCs w:val="24"/>
        </w:rPr>
        <w:t xml:space="preserve">he recalculation mentioned in subsection </w:t>
      </w:r>
      <w:r>
        <w:rPr>
          <w:sz w:val="24"/>
          <w:szCs w:val="24"/>
        </w:rPr>
        <w:t>32</w:t>
      </w:r>
      <w:r w:rsidRPr="004C09F5">
        <w:rPr>
          <w:sz w:val="24"/>
          <w:szCs w:val="24"/>
        </w:rPr>
        <w:t>(</w:t>
      </w:r>
      <w:r>
        <w:rPr>
          <w:sz w:val="24"/>
          <w:szCs w:val="24"/>
        </w:rPr>
        <w:t>9</w:t>
      </w:r>
      <w:r w:rsidRPr="004C09F5">
        <w:rPr>
          <w:sz w:val="24"/>
          <w:szCs w:val="24"/>
        </w:rPr>
        <w:t xml:space="preserve">) must be repeated until subsection </w:t>
      </w:r>
      <w:r>
        <w:rPr>
          <w:sz w:val="24"/>
          <w:szCs w:val="24"/>
        </w:rPr>
        <w:t>32</w:t>
      </w:r>
      <w:r w:rsidRPr="004C09F5">
        <w:rPr>
          <w:sz w:val="24"/>
          <w:szCs w:val="24"/>
        </w:rPr>
        <w:t>(</w:t>
      </w:r>
      <w:r>
        <w:rPr>
          <w:sz w:val="24"/>
          <w:szCs w:val="24"/>
        </w:rPr>
        <w:t>9</w:t>
      </w:r>
      <w:r w:rsidRPr="004C09F5">
        <w:rPr>
          <w:sz w:val="24"/>
          <w:szCs w:val="24"/>
        </w:rPr>
        <w:t>) no longer applies in relation to any applicant</w:t>
      </w:r>
      <w:r>
        <w:rPr>
          <w:sz w:val="24"/>
          <w:szCs w:val="24"/>
        </w:rPr>
        <w:t>.</w:t>
      </w:r>
    </w:p>
    <w:p w14:paraId="67A1D05F" w14:textId="77777777" w:rsidR="00373830" w:rsidRDefault="00373830" w:rsidP="004C09F5">
      <w:pPr>
        <w:spacing w:line="240" w:lineRule="auto"/>
        <w:rPr>
          <w:sz w:val="24"/>
          <w:szCs w:val="24"/>
        </w:rPr>
      </w:pPr>
    </w:p>
    <w:p w14:paraId="45C3CD50" w14:textId="03A8591F" w:rsidR="00373830" w:rsidRPr="00CB387C" w:rsidRDefault="00373830" w:rsidP="004C09F5">
      <w:pPr>
        <w:spacing w:line="240" w:lineRule="auto"/>
        <w:rPr>
          <w:i/>
          <w:sz w:val="24"/>
          <w:szCs w:val="24"/>
        </w:rPr>
      </w:pPr>
      <w:r>
        <w:rPr>
          <w:i/>
          <w:sz w:val="24"/>
          <w:szCs w:val="24"/>
        </w:rPr>
        <w:t>Partial return of penalties</w:t>
      </w:r>
    </w:p>
    <w:p w14:paraId="7BFB99ED" w14:textId="77777777" w:rsidR="00373830" w:rsidRDefault="00373830" w:rsidP="004C09F5">
      <w:pPr>
        <w:spacing w:line="240" w:lineRule="auto"/>
        <w:rPr>
          <w:sz w:val="24"/>
          <w:szCs w:val="24"/>
        </w:rPr>
      </w:pPr>
    </w:p>
    <w:p w14:paraId="302C7787" w14:textId="02B7775A" w:rsidR="00093058" w:rsidRDefault="003750E6" w:rsidP="004C09F5">
      <w:pPr>
        <w:spacing w:line="240" w:lineRule="auto"/>
        <w:rPr>
          <w:sz w:val="24"/>
          <w:szCs w:val="24"/>
        </w:rPr>
      </w:pPr>
      <w:r>
        <w:rPr>
          <w:sz w:val="24"/>
          <w:szCs w:val="24"/>
        </w:rPr>
        <w:t xml:space="preserve">Subsection </w:t>
      </w:r>
      <w:r w:rsidR="001C37BA">
        <w:rPr>
          <w:sz w:val="24"/>
          <w:szCs w:val="24"/>
        </w:rPr>
        <w:t>32</w:t>
      </w:r>
      <w:r>
        <w:rPr>
          <w:sz w:val="24"/>
          <w:szCs w:val="24"/>
        </w:rPr>
        <w:t>(</w:t>
      </w:r>
      <w:r w:rsidR="00373830">
        <w:rPr>
          <w:sz w:val="24"/>
          <w:szCs w:val="24"/>
        </w:rPr>
        <w:t>11</w:t>
      </w:r>
      <w:r>
        <w:rPr>
          <w:sz w:val="24"/>
          <w:szCs w:val="24"/>
        </w:rPr>
        <w:t>) provides that s</w:t>
      </w:r>
      <w:r w:rsidR="00093058" w:rsidRPr="004C09F5">
        <w:rPr>
          <w:sz w:val="24"/>
          <w:szCs w:val="24"/>
        </w:rPr>
        <w:t xml:space="preserve">ubsection </w:t>
      </w:r>
      <w:r w:rsidR="001C37BA">
        <w:rPr>
          <w:sz w:val="24"/>
          <w:szCs w:val="24"/>
        </w:rPr>
        <w:t>32</w:t>
      </w:r>
      <w:r w:rsidR="00093058" w:rsidRPr="004C09F5">
        <w:rPr>
          <w:sz w:val="24"/>
          <w:szCs w:val="24"/>
        </w:rPr>
        <w:t>(</w:t>
      </w:r>
      <w:r w:rsidR="00373830">
        <w:rPr>
          <w:sz w:val="24"/>
          <w:szCs w:val="24"/>
        </w:rPr>
        <w:t>12</w:t>
      </w:r>
      <w:r w:rsidR="00093058" w:rsidRPr="004C09F5">
        <w:rPr>
          <w:sz w:val="24"/>
          <w:szCs w:val="24"/>
        </w:rPr>
        <w:t>) appl</w:t>
      </w:r>
      <w:r w:rsidR="00DC7281">
        <w:rPr>
          <w:sz w:val="24"/>
          <w:szCs w:val="24"/>
        </w:rPr>
        <w:t>ies</w:t>
      </w:r>
      <w:r w:rsidR="00093058" w:rsidRPr="004C09F5">
        <w:rPr>
          <w:sz w:val="24"/>
          <w:szCs w:val="24"/>
        </w:rPr>
        <w:t xml:space="preserve"> if, after the recalculation mentioned in subsection </w:t>
      </w:r>
      <w:r w:rsidR="001C37BA">
        <w:rPr>
          <w:sz w:val="24"/>
          <w:szCs w:val="24"/>
        </w:rPr>
        <w:t>32</w:t>
      </w:r>
      <w:r w:rsidR="00093058" w:rsidRPr="004C09F5">
        <w:rPr>
          <w:sz w:val="24"/>
          <w:szCs w:val="24"/>
        </w:rPr>
        <w:t>(</w:t>
      </w:r>
      <w:r w:rsidR="00B26CCC">
        <w:rPr>
          <w:sz w:val="24"/>
          <w:szCs w:val="24"/>
        </w:rPr>
        <w:t>9</w:t>
      </w:r>
      <w:r w:rsidR="00093058" w:rsidRPr="004C09F5">
        <w:rPr>
          <w:sz w:val="24"/>
          <w:szCs w:val="24"/>
        </w:rPr>
        <w:t xml:space="preserve">) has been repeated as many times as required for applicants whose entitlement paragraph </w:t>
      </w:r>
      <w:r w:rsidR="001C37BA">
        <w:rPr>
          <w:sz w:val="24"/>
          <w:szCs w:val="24"/>
        </w:rPr>
        <w:t>32</w:t>
      </w:r>
      <w:r w:rsidR="00093058" w:rsidRPr="004C09F5">
        <w:rPr>
          <w:sz w:val="24"/>
          <w:szCs w:val="24"/>
        </w:rPr>
        <w:t>(</w:t>
      </w:r>
      <w:r w:rsidR="00B26CCC">
        <w:rPr>
          <w:sz w:val="24"/>
          <w:szCs w:val="24"/>
        </w:rPr>
        <w:t>7</w:t>
      </w:r>
      <w:proofErr w:type="gramStart"/>
      <w:r w:rsidR="00093058" w:rsidRPr="004C09F5">
        <w:rPr>
          <w:sz w:val="24"/>
          <w:szCs w:val="24"/>
        </w:rPr>
        <w:t>)(</w:t>
      </w:r>
      <w:proofErr w:type="gramEnd"/>
      <w:r w:rsidR="00093058" w:rsidRPr="004C09F5">
        <w:rPr>
          <w:sz w:val="24"/>
          <w:szCs w:val="24"/>
        </w:rPr>
        <w:t>c) applies, the total of the redistributed individual entitlements of all applicants is less than the standard access amount fo</w:t>
      </w:r>
      <w:r w:rsidR="00F65FBF">
        <w:rPr>
          <w:sz w:val="24"/>
          <w:szCs w:val="24"/>
        </w:rPr>
        <w:t>r the quota type and quota year (that is, there is standard acces</w:t>
      </w:r>
      <w:r w:rsidR="008054AA">
        <w:rPr>
          <w:sz w:val="24"/>
          <w:szCs w:val="24"/>
        </w:rPr>
        <w:t>s amount still</w:t>
      </w:r>
      <w:r w:rsidR="00F65FBF">
        <w:rPr>
          <w:sz w:val="24"/>
          <w:szCs w:val="24"/>
        </w:rPr>
        <w:t xml:space="preserve"> unallocated).</w:t>
      </w:r>
    </w:p>
    <w:p w14:paraId="05EC40EA" w14:textId="77777777" w:rsidR="003750E6" w:rsidRDefault="003750E6" w:rsidP="004C09F5">
      <w:pPr>
        <w:spacing w:line="240" w:lineRule="auto"/>
        <w:rPr>
          <w:sz w:val="24"/>
          <w:szCs w:val="24"/>
        </w:rPr>
      </w:pPr>
    </w:p>
    <w:p w14:paraId="34F247A4" w14:textId="2BCDCFEF" w:rsidR="00093058" w:rsidRPr="004C09F5" w:rsidRDefault="003750E6" w:rsidP="004C09F5">
      <w:pPr>
        <w:spacing w:line="240" w:lineRule="auto"/>
        <w:rPr>
          <w:sz w:val="24"/>
          <w:szCs w:val="24"/>
        </w:rPr>
      </w:pPr>
      <w:r>
        <w:rPr>
          <w:sz w:val="24"/>
          <w:szCs w:val="24"/>
        </w:rPr>
        <w:t xml:space="preserve">Subsection </w:t>
      </w:r>
      <w:r w:rsidR="001C37BA">
        <w:rPr>
          <w:sz w:val="24"/>
          <w:szCs w:val="24"/>
        </w:rPr>
        <w:t>32</w:t>
      </w:r>
      <w:r>
        <w:rPr>
          <w:sz w:val="24"/>
          <w:szCs w:val="24"/>
        </w:rPr>
        <w:t>(</w:t>
      </w:r>
      <w:r w:rsidR="00F77F59">
        <w:rPr>
          <w:sz w:val="24"/>
          <w:szCs w:val="24"/>
        </w:rPr>
        <w:t>12</w:t>
      </w:r>
      <w:r>
        <w:rPr>
          <w:sz w:val="24"/>
          <w:szCs w:val="24"/>
        </w:rPr>
        <w:t>) provides that i</w:t>
      </w:r>
      <w:r w:rsidR="00093058" w:rsidRPr="004C09F5">
        <w:rPr>
          <w:sz w:val="24"/>
          <w:szCs w:val="24"/>
        </w:rPr>
        <w:t xml:space="preserve">f this subsection applies, the redistributed individual entitlement of an applicant who has an allocation penalty for the quota type and quota year is the amount worked out using the following formula, subject to subsections </w:t>
      </w:r>
      <w:r w:rsidR="001C37BA">
        <w:rPr>
          <w:sz w:val="24"/>
          <w:szCs w:val="24"/>
        </w:rPr>
        <w:t>32</w:t>
      </w:r>
      <w:r w:rsidR="00093058" w:rsidRPr="004C09F5">
        <w:rPr>
          <w:sz w:val="24"/>
          <w:szCs w:val="24"/>
        </w:rPr>
        <w:t>(1</w:t>
      </w:r>
      <w:r w:rsidR="00F77F59">
        <w:rPr>
          <w:sz w:val="24"/>
          <w:szCs w:val="24"/>
        </w:rPr>
        <w:t>3</w:t>
      </w:r>
      <w:r w:rsidR="00093058" w:rsidRPr="004C09F5">
        <w:rPr>
          <w:sz w:val="24"/>
          <w:szCs w:val="24"/>
        </w:rPr>
        <w:t xml:space="preserve">) and </w:t>
      </w:r>
      <w:r w:rsidR="001C37BA">
        <w:rPr>
          <w:sz w:val="24"/>
          <w:szCs w:val="24"/>
        </w:rPr>
        <w:t>32</w:t>
      </w:r>
      <w:r w:rsidR="00093058" w:rsidRPr="004C09F5">
        <w:rPr>
          <w:sz w:val="24"/>
          <w:szCs w:val="24"/>
        </w:rPr>
        <w:t>(1</w:t>
      </w:r>
      <w:r w:rsidR="00F77F59">
        <w:rPr>
          <w:sz w:val="24"/>
          <w:szCs w:val="24"/>
        </w:rPr>
        <w:t>4</w:t>
      </w:r>
      <w:r w:rsidR="00093058" w:rsidRPr="004C09F5">
        <w:rPr>
          <w:sz w:val="24"/>
          <w:szCs w:val="24"/>
        </w:rPr>
        <w:t>):</w:t>
      </w:r>
    </w:p>
    <w:p w14:paraId="4DB33100" w14:textId="5D8206C3" w:rsidR="00093058" w:rsidRDefault="00093058" w:rsidP="00093058">
      <w:pPr>
        <w:pStyle w:val="subsection"/>
      </w:pPr>
      <w:r>
        <w:tab/>
      </w:r>
      <w:r>
        <w:tab/>
      </w:r>
      <w:r w:rsidR="00F77F59">
        <w:rPr>
          <w:noProof/>
          <w:position w:val="-38"/>
        </w:rPr>
        <w:drawing>
          <wp:inline distT="0" distB="0" distL="0" distR="0" wp14:anchorId="43A88D21" wp14:editId="7956427D">
            <wp:extent cx="4200525" cy="542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00525" cy="542925"/>
                    </a:xfrm>
                    <a:prstGeom prst="rect">
                      <a:avLst/>
                    </a:prstGeom>
                    <a:noFill/>
                    <a:ln>
                      <a:noFill/>
                    </a:ln>
                  </pic:spPr>
                </pic:pic>
              </a:graphicData>
            </a:graphic>
          </wp:inline>
        </w:drawing>
      </w:r>
    </w:p>
    <w:p w14:paraId="6E6B9F58" w14:textId="77777777" w:rsidR="00093058" w:rsidRPr="008054AA" w:rsidRDefault="00093058" w:rsidP="008054AA">
      <w:pPr>
        <w:pStyle w:val="subsection2"/>
        <w:ind w:left="567"/>
        <w:rPr>
          <w:sz w:val="24"/>
          <w:szCs w:val="24"/>
        </w:rPr>
      </w:pPr>
      <w:proofErr w:type="gramStart"/>
      <w:r w:rsidRPr="008054AA">
        <w:rPr>
          <w:sz w:val="24"/>
          <w:szCs w:val="24"/>
        </w:rPr>
        <w:t>where</w:t>
      </w:r>
      <w:proofErr w:type="gramEnd"/>
      <w:r w:rsidRPr="008054AA">
        <w:rPr>
          <w:sz w:val="24"/>
          <w:szCs w:val="24"/>
        </w:rPr>
        <w:t>:</w:t>
      </w:r>
    </w:p>
    <w:p w14:paraId="5CBE9B55" w14:textId="4B6F4CDF" w:rsidR="00F77F59" w:rsidRPr="00CB387C" w:rsidRDefault="00F77F59" w:rsidP="008054AA">
      <w:pPr>
        <w:pStyle w:val="Definition"/>
        <w:ind w:left="567"/>
        <w:rPr>
          <w:sz w:val="24"/>
          <w:szCs w:val="24"/>
        </w:rPr>
      </w:pPr>
      <w:r>
        <w:rPr>
          <w:b/>
          <w:i/>
          <w:sz w:val="24"/>
          <w:szCs w:val="24"/>
        </w:rPr>
        <w:t>AIE</w:t>
      </w:r>
      <w:r>
        <w:rPr>
          <w:sz w:val="24"/>
          <w:szCs w:val="24"/>
        </w:rPr>
        <w:t xml:space="preserve"> is the applicant’s adjusted individual entitlement.</w:t>
      </w:r>
    </w:p>
    <w:p w14:paraId="1C6EE9C5" w14:textId="6A7F28E6" w:rsidR="00093058" w:rsidRPr="008054AA" w:rsidRDefault="00093058" w:rsidP="00884C43">
      <w:pPr>
        <w:pStyle w:val="Definition"/>
        <w:ind w:left="567"/>
        <w:rPr>
          <w:sz w:val="24"/>
          <w:szCs w:val="24"/>
        </w:rPr>
      </w:pPr>
      <w:proofErr w:type="gramStart"/>
      <w:r w:rsidRPr="008054AA">
        <w:rPr>
          <w:b/>
          <w:i/>
          <w:sz w:val="24"/>
          <w:szCs w:val="24"/>
        </w:rPr>
        <w:t>applicant’s</w:t>
      </w:r>
      <w:proofErr w:type="gramEnd"/>
      <w:r w:rsidRPr="008054AA">
        <w:rPr>
          <w:b/>
          <w:i/>
          <w:sz w:val="24"/>
          <w:szCs w:val="24"/>
        </w:rPr>
        <w:t xml:space="preserve"> eligible past exports</w:t>
      </w:r>
      <w:r w:rsidRPr="008054AA">
        <w:rPr>
          <w:sz w:val="24"/>
          <w:szCs w:val="24"/>
        </w:rPr>
        <w:t xml:space="preserve"> is the total weight of the applicant’s eligible past exports for th</w:t>
      </w:r>
      <w:r w:rsidR="00F77F59">
        <w:rPr>
          <w:sz w:val="24"/>
          <w:szCs w:val="24"/>
        </w:rPr>
        <w:t>e</w:t>
      </w:r>
      <w:r w:rsidRPr="008054AA">
        <w:rPr>
          <w:sz w:val="24"/>
          <w:szCs w:val="24"/>
        </w:rPr>
        <w:t xml:space="preserve"> quota type and quota year.</w:t>
      </w:r>
    </w:p>
    <w:p w14:paraId="660AE143" w14:textId="3F93268F" w:rsidR="00093058" w:rsidRPr="008054AA" w:rsidRDefault="00093058" w:rsidP="008054AA">
      <w:pPr>
        <w:pStyle w:val="Definition"/>
        <w:ind w:left="567"/>
        <w:rPr>
          <w:sz w:val="24"/>
          <w:szCs w:val="24"/>
        </w:rPr>
      </w:pPr>
      <w:proofErr w:type="gramStart"/>
      <w:r w:rsidRPr="008054AA">
        <w:rPr>
          <w:b/>
          <w:i/>
          <w:sz w:val="24"/>
          <w:szCs w:val="24"/>
        </w:rPr>
        <w:t>penalised</w:t>
      </w:r>
      <w:proofErr w:type="gramEnd"/>
      <w:r w:rsidRPr="008054AA">
        <w:rPr>
          <w:b/>
          <w:i/>
          <w:sz w:val="24"/>
          <w:szCs w:val="24"/>
        </w:rPr>
        <w:t xml:space="preserve"> eligible past exports</w:t>
      </w:r>
      <w:r w:rsidRPr="008054AA">
        <w:rPr>
          <w:sz w:val="24"/>
          <w:szCs w:val="24"/>
        </w:rPr>
        <w:t xml:space="preserve"> is the total weight of all eligible past exports, for th</w:t>
      </w:r>
      <w:r w:rsidR="00F77F59">
        <w:rPr>
          <w:sz w:val="24"/>
          <w:szCs w:val="24"/>
        </w:rPr>
        <w:t>e</w:t>
      </w:r>
      <w:r w:rsidRPr="008054AA">
        <w:rPr>
          <w:sz w:val="24"/>
          <w:szCs w:val="24"/>
        </w:rPr>
        <w:t xml:space="preserve"> quota type and quota year, by all applicants who have an allocation penalty for th</w:t>
      </w:r>
      <w:r w:rsidR="00F77F59">
        <w:rPr>
          <w:sz w:val="24"/>
          <w:szCs w:val="24"/>
        </w:rPr>
        <w:t>e</w:t>
      </w:r>
      <w:r w:rsidRPr="008054AA">
        <w:rPr>
          <w:sz w:val="24"/>
          <w:szCs w:val="24"/>
        </w:rPr>
        <w:t xml:space="preserve"> quota type and quota year.</w:t>
      </w:r>
    </w:p>
    <w:p w14:paraId="33C0A19C" w14:textId="0B3B0E60" w:rsidR="00F77F59" w:rsidRDefault="00F77F59" w:rsidP="008054AA">
      <w:pPr>
        <w:pStyle w:val="Definition"/>
        <w:ind w:left="567"/>
        <w:rPr>
          <w:b/>
          <w:i/>
          <w:sz w:val="24"/>
          <w:szCs w:val="24"/>
        </w:rPr>
      </w:pPr>
      <w:proofErr w:type="gramStart"/>
      <w:r>
        <w:rPr>
          <w:b/>
          <w:i/>
          <w:sz w:val="24"/>
          <w:szCs w:val="24"/>
        </w:rPr>
        <w:t>penalty</w:t>
      </w:r>
      <w:proofErr w:type="gramEnd"/>
      <w:r>
        <w:rPr>
          <w:sz w:val="24"/>
          <w:szCs w:val="24"/>
        </w:rPr>
        <w:t xml:space="preserve"> is the amount of the applicant’s allocation penalty for the quota type and quota year.</w:t>
      </w:r>
    </w:p>
    <w:p w14:paraId="62967805" w14:textId="0004AAED" w:rsidR="008054AA" w:rsidRDefault="00F77F59" w:rsidP="008054AA">
      <w:pPr>
        <w:pStyle w:val="Definition"/>
        <w:ind w:left="567"/>
        <w:rPr>
          <w:sz w:val="24"/>
          <w:szCs w:val="24"/>
        </w:rPr>
      </w:pPr>
      <w:proofErr w:type="gramStart"/>
      <w:r>
        <w:rPr>
          <w:b/>
          <w:i/>
          <w:sz w:val="24"/>
          <w:szCs w:val="24"/>
        </w:rPr>
        <w:t>quota</w:t>
      </w:r>
      <w:proofErr w:type="gramEnd"/>
      <w:r w:rsidR="00093058" w:rsidRPr="008054AA">
        <w:rPr>
          <w:b/>
          <w:i/>
          <w:sz w:val="24"/>
          <w:szCs w:val="24"/>
        </w:rPr>
        <w:t xml:space="preserve"> for redistribution</w:t>
      </w:r>
      <w:r w:rsidR="008054AA">
        <w:rPr>
          <w:sz w:val="24"/>
          <w:szCs w:val="24"/>
        </w:rPr>
        <w:t xml:space="preserve"> is the difference between:</w:t>
      </w:r>
    </w:p>
    <w:p w14:paraId="354BDD57" w14:textId="77777777" w:rsidR="008054AA" w:rsidRDefault="00093058" w:rsidP="000F6D46">
      <w:pPr>
        <w:pStyle w:val="Definition"/>
        <w:numPr>
          <w:ilvl w:val="0"/>
          <w:numId w:val="37"/>
        </w:numPr>
        <w:ind w:left="993"/>
        <w:rPr>
          <w:sz w:val="24"/>
          <w:szCs w:val="24"/>
        </w:rPr>
      </w:pPr>
      <w:r w:rsidRPr="008054AA">
        <w:rPr>
          <w:sz w:val="24"/>
          <w:szCs w:val="24"/>
        </w:rPr>
        <w:t>the standard access amount for the quota type and quota year; and</w:t>
      </w:r>
    </w:p>
    <w:p w14:paraId="66BEA288" w14:textId="3A77342A" w:rsidR="00093058" w:rsidRPr="008054AA" w:rsidRDefault="00093058" w:rsidP="000F6D46">
      <w:pPr>
        <w:pStyle w:val="Definition"/>
        <w:numPr>
          <w:ilvl w:val="0"/>
          <w:numId w:val="37"/>
        </w:numPr>
        <w:ind w:left="993"/>
        <w:rPr>
          <w:sz w:val="24"/>
          <w:szCs w:val="24"/>
        </w:rPr>
      </w:pPr>
      <w:proofErr w:type="gramStart"/>
      <w:r w:rsidRPr="008054AA">
        <w:rPr>
          <w:sz w:val="24"/>
          <w:szCs w:val="24"/>
        </w:rPr>
        <w:t>the</w:t>
      </w:r>
      <w:proofErr w:type="gramEnd"/>
      <w:r w:rsidRPr="008054AA">
        <w:rPr>
          <w:sz w:val="24"/>
          <w:szCs w:val="24"/>
        </w:rPr>
        <w:t xml:space="preserve"> total of the redistributed individual entitlements of all applicants after the recalculation mentioned in subsection (6) has been repeated as many times as required.</w:t>
      </w:r>
    </w:p>
    <w:p w14:paraId="5E55749F" w14:textId="77777777" w:rsidR="00CB387C" w:rsidRDefault="00CB387C" w:rsidP="004C09F5">
      <w:pPr>
        <w:spacing w:line="240" w:lineRule="auto"/>
        <w:rPr>
          <w:sz w:val="24"/>
          <w:szCs w:val="24"/>
        </w:rPr>
      </w:pPr>
    </w:p>
    <w:p w14:paraId="501BEE3A" w14:textId="38E34030" w:rsidR="00D714EC" w:rsidRDefault="00CB387C" w:rsidP="004C09F5">
      <w:pPr>
        <w:spacing w:line="240" w:lineRule="auto"/>
        <w:rPr>
          <w:sz w:val="24"/>
          <w:szCs w:val="24"/>
        </w:rPr>
      </w:pPr>
      <w:r>
        <w:rPr>
          <w:sz w:val="24"/>
          <w:szCs w:val="24"/>
        </w:rPr>
        <w:t>All weights</w:t>
      </w:r>
      <w:r w:rsidR="00096FF7">
        <w:rPr>
          <w:sz w:val="24"/>
          <w:szCs w:val="24"/>
        </w:rPr>
        <w:t xml:space="preserve"> and amounts</w:t>
      </w:r>
      <w:r>
        <w:rPr>
          <w:sz w:val="24"/>
          <w:szCs w:val="24"/>
        </w:rPr>
        <w:t xml:space="preserve"> are calculated using kilograms.</w:t>
      </w:r>
    </w:p>
    <w:p w14:paraId="73A324DB" w14:textId="77777777" w:rsidR="00CB387C" w:rsidRDefault="00CB387C" w:rsidP="004C09F5">
      <w:pPr>
        <w:spacing w:line="240" w:lineRule="auto"/>
        <w:rPr>
          <w:sz w:val="24"/>
          <w:szCs w:val="24"/>
        </w:rPr>
      </w:pPr>
    </w:p>
    <w:p w14:paraId="510A815A" w14:textId="01B0341F" w:rsidR="00093058" w:rsidRDefault="003750E6" w:rsidP="004C09F5">
      <w:pPr>
        <w:spacing w:line="240" w:lineRule="auto"/>
        <w:rPr>
          <w:sz w:val="24"/>
          <w:szCs w:val="24"/>
        </w:rPr>
      </w:pPr>
      <w:r>
        <w:rPr>
          <w:sz w:val="24"/>
          <w:szCs w:val="24"/>
        </w:rPr>
        <w:t xml:space="preserve">Subsection </w:t>
      </w:r>
      <w:r w:rsidR="001C37BA">
        <w:rPr>
          <w:sz w:val="24"/>
          <w:szCs w:val="24"/>
        </w:rPr>
        <w:t>32</w:t>
      </w:r>
      <w:r>
        <w:rPr>
          <w:sz w:val="24"/>
          <w:szCs w:val="24"/>
        </w:rPr>
        <w:t>(1</w:t>
      </w:r>
      <w:r w:rsidR="00F77F59">
        <w:rPr>
          <w:sz w:val="24"/>
          <w:szCs w:val="24"/>
        </w:rPr>
        <w:t>3</w:t>
      </w:r>
      <w:r>
        <w:rPr>
          <w:sz w:val="24"/>
          <w:szCs w:val="24"/>
        </w:rPr>
        <w:t>) provides that i</w:t>
      </w:r>
      <w:r w:rsidR="00093058" w:rsidRPr="004C09F5">
        <w:rPr>
          <w:sz w:val="24"/>
          <w:szCs w:val="24"/>
        </w:rPr>
        <w:t xml:space="preserve">f the amount worked out under subsection </w:t>
      </w:r>
      <w:r w:rsidR="001C37BA">
        <w:rPr>
          <w:sz w:val="24"/>
          <w:szCs w:val="24"/>
        </w:rPr>
        <w:t>32</w:t>
      </w:r>
      <w:r w:rsidR="00093058" w:rsidRPr="004C09F5">
        <w:rPr>
          <w:sz w:val="24"/>
          <w:szCs w:val="24"/>
        </w:rPr>
        <w:t>(</w:t>
      </w:r>
      <w:r w:rsidR="00F77F59">
        <w:rPr>
          <w:sz w:val="24"/>
          <w:szCs w:val="24"/>
        </w:rPr>
        <w:t>12</w:t>
      </w:r>
      <w:r w:rsidR="00093058" w:rsidRPr="004C09F5">
        <w:rPr>
          <w:sz w:val="24"/>
          <w:szCs w:val="24"/>
        </w:rPr>
        <w:t xml:space="preserve">) for any applicant (a </w:t>
      </w:r>
      <w:r w:rsidR="00093058" w:rsidRPr="008054AA">
        <w:rPr>
          <w:i/>
          <w:sz w:val="24"/>
          <w:szCs w:val="24"/>
        </w:rPr>
        <w:t>quota-filled applicant</w:t>
      </w:r>
      <w:r w:rsidR="00093058" w:rsidRPr="004C09F5">
        <w:rPr>
          <w:sz w:val="24"/>
          <w:szCs w:val="24"/>
        </w:rPr>
        <w:t>) is more than the amount of tariff rate quota entitlement the applicant applied for, then</w:t>
      </w:r>
      <w:r w:rsidRPr="004C09F5">
        <w:rPr>
          <w:sz w:val="24"/>
          <w:szCs w:val="24"/>
        </w:rPr>
        <w:t xml:space="preserve"> </w:t>
      </w:r>
      <w:r w:rsidR="00093058" w:rsidRPr="004C09F5">
        <w:rPr>
          <w:sz w:val="24"/>
          <w:szCs w:val="24"/>
        </w:rPr>
        <w:t xml:space="preserve">the redistributed individual entitlement of each quota-filled applicant is </w:t>
      </w:r>
      <w:r w:rsidR="00CB387C">
        <w:rPr>
          <w:sz w:val="24"/>
          <w:szCs w:val="24"/>
        </w:rPr>
        <w:t xml:space="preserve">equal to </w:t>
      </w:r>
      <w:r w:rsidR="00093058" w:rsidRPr="004C09F5">
        <w:rPr>
          <w:sz w:val="24"/>
          <w:szCs w:val="24"/>
        </w:rPr>
        <w:t xml:space="preserve">the amount </w:t>
      </w:r>
      <w:r w:rsidR="00CB387C">
        <w:rPr>
          <w:sz w:val="24"/>
          <w:szCs w:val="24"/>
        </w:rPr>
        <w:t xml:space="preserve">of the tariff rate quota entitlement </w:t>
      </w:r>
      <w:r w:rsidR="00093058" w:rsidRPr="004C09F5">
        <w:rPr>
          <w:sz w:val="24"/>
          <w:szCs w:val="24"/>
        </w:rPr>
        <w:t>th</w:t>
      </w:r>
      <w:r w:rsidR="00F77F59">
        <w:rPr>
          <w:sz w:val="24"/>
          <w:szCs w:val="24"/>
        </w:rPr>
        <w:t>at</w:t>
      </w:r>
      <w:r w:rsidR="00CB387C">
        <w:rPr>
          <w:sz w:val="24"/>
          <w:szCs w:val="24"/>
        </w:rPr>
        <w:t xml:space="preserve"> the</w:t>
      </w:r>
      <w:r w:rsidR="00093058" w:rsidRPr="004C09F5">
        <w:rPr>
          <w:sz w:val="24"/>
          <w:szCs w:val="24"/>
        </w:rPr>
        <w:t xml:space="preserve"> applicant applied for</w:t>
      </w:r>
      <w:r w:rsidR="008054AA">
        <w:rPr>
          <w:sz w:val="24"/>
          <w:szCs w:val="24"/>
        </w:rPr>
        <w:t>.</w:t>
      </w:r>
      <w:r w:rsidRPr="004C09F5">
        <w:rPr>
          <w:sz w:val="24"/>
          <w:szCs w:val="24"/>
        </w:rPr>
        <w:t xml:space="preserve"> </w:t>
      </w:r>
      <w:r w:rsidR="008054AA">
        <w:rPr>
          <w:sz w:val="24"/>
          <w:szCs w:val="24"/>
        </w:rPr>
        <w:t>T</w:t>
      </w:r>
      <w:r w:rsidR="00093058" w:rsidRPr="004C09F5">
        <w:rPr>
          <w:sz w:val="24"/>
          <w:szCs w:val="24"/>
        </w:rPr>
        <w:t>he redistributed individual entitlement of</w:t>
      </w:r>
      <w:bookmarkStart w:id="49" w:name="BK_S3P25L16C49"/>
      <w:bookmarkEnd w:id="49"/>
      <w:r w:rsidR="00093058" w:rsidRPr="004C09F5">
        <w:rPr>
          <w:sz w:val="24"/>
          <w:szCs w:val="24"/>
        </w:rPr>
        <w:t xml:space="preserve"> each applicant with an allocation penalty for the quota type and quota year who is not a quota-filled applicant must be recalculated under </w:t>
      </w:r>
      <w:r w:rsidR="00093058" w:rsidRPr="004C09F5">
        <w:rPr>
          <w:sz w:val="24"/>
          <w:szCs w:val="24"/>
        </w:rPr>
        <w:lastRenderedPageBreak/>
        <w:t xml:space="preserve">subsection </w:t>
      </w:r>
      <w:r w:rsidR="001C37BA">
        <w:rPr>
          <w:sz w:val="24"/>
          <w:szCs w:val="24"/>
        </w:rPr>
        <w:t>32</w:t>
      </w:r>
      <w:r w:rsidR="00093058" w:rsidRPr="004C09F5">
        <w:rPr>
          <w:sz w:val="24"/>
          <w:szCs w:val="24"/>
        </w:rPr>
        <w:t>(</w:t>
      </w:r>
      <w:r w:rsidR="00F77F59">
        <w:rPr>
          <w:sz w:val="24"/>
          <w:szCs w:val="24"/>
        </w:rPr>
        <w:t>12</w:t>
      </w:r>
      <w:r w:rsidR="00093058" w:rsidRPr="004C09F5">
        <w:rPr>
          <w:sz w:val="24"/>
          <w:szCs w:val="24"/>
        </w:rPr>
        <w:t>)</w:t>
      </w:r>
      <w:r w:rsidR="00F77F59">
        <w:rPr>
          <w:sz w:val="24"/>
          <w:szCs w:val="24"/>
        </w:rPr>
        <w:t>.</w:t>
      </w:r>
      <w:r w:rsidR="00093058" w:rsidRPr="004C09F5">
        <w:rPr>
          <w:sz w:val="24"/>
          <w:szCs w:val="24"/>
        </w:rPr>
        <w:t xml:space="preserve"> </w:t>
      </w:r>
      <w:r w:rsidR="00F77F59">
        <w:rPr>
          <w:sz w:val="24"/>
          <w:szCs w:val="24"/>
        </w:rPr>
        <w:t>F</w:t>
      </w:r>
      <w:r w:rsidR="00093058" w:rsidRPr="004C09F5">
        <w:rPr>
          <w:sz w:val="24"/>
          <w:szCs w:val="24"/>
        </w:rPr>
        <w:t>or the purposes of the recalculation</w:t>
      </w:r>
      <w:r w:rsidRPr="004C09F5">
        <w:rPr>
          <w:sz w:val="24"/>
          <w:szCs w:val="24"/>
        </w:rPr>
        <w:t xml:space="preserve">, </w:t>
      </w:r>
      <w:r w:rsidR="00093058" w:rsidRPr="004C09F5">
        <w:rPr>
          <w:sz w:val="24"/>
          <w:szCs w:val="24"/>
        </w:rPr>
        <w:t>each quota-filled applicant is taken to not have an allocation penalty for the quota type and quota year</w:t>
      </w:r>
      <w:r w:rsidR="008054AA">
        <w:rPr>
          <w:sz w:val="24"/>
          <w:szCs w:val="24"/>
        </w:rPr>
        <w:t xml:space="preserve"> (</w:t>
      </w:r>
      <w:r w:rsidR="00F77F59">
        <w:rPr>
          <w:sz w:val="24"/>
          <w:szCs w:val="24"/>
        </w:rPr>
        <w:t xml:space="preserve">having the </w:t>
      </w:r>
      <w:r w:rsidR="008054AA">
        <w:rPr>
          <w:sz w:val="24"/>
          <w:szCs w:val="24"/>
        </w:rPr>
        <w:t>effective</w:t>
      </w:r>
      <w:r w:rsidR="00F77F59">
        <w:rPr>
          <w:sz w:val="24"/>
          <w:szCs w:val="24"/>
        </w:rPr>
        <w:t xml:space="preserve"> of</w:t>
      </w:r>
      <w:r w:rsidR="008054AA">
        <w:rPr>
          <w:sz w:val="24"/>
          <w:szCs w:val="24"/>
        </w:rPr>
        <w:t xml:space="preserve"> removing them from further calculations)</w:t>
      </w:r>
      <w:r w:rsidR="00093058" w:rsidRPr="004C09F5">
        <w:rPr>
          <w:sz w:val="24"/>
          <w:szCs w:val="24"/>
        </w:rPr>
        <w:t xml:space="preserve"> and</w:t>
      </w:r>
      <w:r w:rsidRPr="004C09F5">
        <w:rPr>
          <w:sz w:val="24"/>
          <w:szCs w:val="24"/>
        </w:rPr>
        <w:t xml:space="preserve"> </w:t>
      </w:r>
      <w:r w:rsidR="00093058" w:rsidRPr="004C09F5">
        <w:rPr>
          <w:sz w:val="24"/>
          <w:szCs w:val="24"/>
        </w:rPr>
        <w:t xml:space="preserve">the quota available for redistribution is taken to be reduced by the difference, for each quota-filled applicant, between the amount of </w:t>
      </w:r>
      <w:r w:rsidR="00F77F59">
        <w:rPr>
          <w:sz w:val="24"/>
          <w:szCs w:val="24"/>
        </w:rPr>
        <w:t>tariff rate quota entitlement that applicant applied for and the amount of that applicant’s redistributed individual entitlement as was worked out under paragraph (7)(a).</w:t>
      </w:r>
      <w:r w:rsidR="00F77F59" w:rsidRPr="00F77F59">
        <w:rPr>
          <w:sz w:val="24"/>
          <w:szCs w:val="24"/>
        </w:rPr>
        <w:t xml:space="preserve"> </w:t>
      </w:r>
      <w:r w:rsidR="00F77F59">
        <w:rPr>
          <w:sz w:val="24"/>
          <w:szCs w:val="24"/>
        </w:rPr>
        <w:t xml:space="preserve">This has the effect of removing quota-filled applicants from further calculations, and adjusts the </w:t>
      </w:r>
      <w:r w:rsidR="00F77F59">
        <w:rPr>
          <w:i/>
          <w:sz w:val="24"/>
          <w:szCs w:val="24"/>
        </w:rPr>
        <w:t>quota for redistribution</w:t>
      </w:r>
      <w:r w:rsidR="00F77F59">
        <w:rPr>
          <w:sz w:val="24"/>
          <w:szCs w:val="24"/>
        </w:rPr>
        <w:t xml:space="preserve"> amount so only unallocated quota is available for further allocation.</w:t>
      </w:r>
    </w:p>
    <w:p w14:paraId="048B341D" w14:textId="77777777" w:rsidR="003750E6" w:rsidRDefault="003750E6" w:rsidP="004C09F5">
      <w:pPr>
        <w:spacing w:line="240" w:lineRule="auto"/>
        <w:rPr>
          <w:sz w:val="24"/>
          <w:szCs w:val="24"/>
        </w:rPr>
      </w:pPr>
    </w:p>
    <w:p w14:paraId="48D22209" w14:textId="5C5519D3" w:rsidR="00F220DF" w:rsidRPr="00533BF5" w:rsidRDefault="003750E6" w:rsidP="00320582">
      <w:pPr>
        <w:spacing w:line="240" w:lineRule="auto"/>
        <w:rPr>
          <w:szCs w:val="24"/>
        </w:rPr>
      </w:pPr>
      <w:r>
        <w:rPr>
          <w:sz w:val="24"/>
          <w:szCs w:val="24"/>
        </w:rPr>
        <w:t xml:space="preserve">Subsection </w:t>
      </w:r>
      <w:r w:rsidR="001C37BA">
        <w:rPr>
          <w:sz w:val="24"/>
          <w:szCs w:val="24"/>
        </w:rPr>
        <w:t>32</w:t>
      </w:r>
      <w:r>
        <w:rPr>
          <w:sz w:val="24"/>
          <w:szCs w:val="24"/>
        </w:rPr>
        <w:t>(1</w:t>
      </w:r>
      <w:r w:rsidR="00F77F59">
        <w:rPr>
          <w:sz w:val="24"/>
          <w:szCs w:val="24"/>
        </w:rPr>
        <w:t>4</w:t>
      </w:r>
      <w:r>
        <w:rPr>
          <w:sz w:val="24"/>
          <w:szCs w:val="24"/>
        </w:rPr>
        <w:t>) provides that t</w:t>
      </w:r>
      <w:r w:rsidR="00093058" w:rsidRPr="004C09F5">
        <w:rPr>
          <w:sz w:val="24"/>
          <w:szCs w:val="24"/>
        </w:rPr>
        <w:t xml:space="preserve">he recalculation mentioned in subsection </w:t>
      </w:r>
      <w:r w:rsidR="001C37BA">
        <w:rPr>
          <w:sz w:val="24"/>
          <w:szCs w:val="24"/>
        </w:rPr>
        <w:t>32</w:t>
      </w:r>
      <w:r w:rsidR="00093058" w:rsidRPr="004C09F5">
        <w:rPr>
          <w:sz w:val="24"/>
          <w:szCs w:val="24"/>
        </w:rPr>
        <w:t>(1</w:t>
      </w:r>
      <w:r w:rsidR="00F77F59">
        <w:rPr>
          <w:sz w:val="24"/>
          <w:szCs w:val="24"/>
        </w:rPr>
        <w:t>3</w:t>
      </w:r>
      <w:r w:rsidR="00093058" w:rsidRPr="004C09F5">
        <w:rPr>
          <w:sz w:val="24"/>
          <w:szCs w:val="24"/>
        </w:rPr>
        <w:t xml:space="preserve">) must be repeated until subsection </w:t>
      </w:r>
      <w:r w:rsidR="001C37BA">
        <w:rPr>
          <w:sz w:val="24"/>
          <w:szCs w:val="24"/>
        </w:rPr>
        <w:t>32</w:t>
      </w:r>
      <w:r w:rsidR="00093058" w:rsidRPr="004C09F5">
        <w:rPr>
          <w:sz w:val="24"/>
          <w:szCs w:val="24"/>
        </w:rPr>
        <w:t>(</w:t>
      </w:r>
      <w:r w:rsidR="00F77F59" w:rsidRPr="004C09F5">
        <w:rPr>
          <w:sz w:val="24"/>
          <w:szCs w:val="24"/>
        </w:rPr>
        <w:t>1</w:t>
      </w:r>
      <w:r w:rsidR="00F77F59">
        <w:rPr>
          <w:sz w:val="24"/>
          <w:szCs w:val="24"/>
        </w:rPr>
        <w:t>3</w:t>
      </w:r>
      <w:r w:rsidR="00093058" w:rsidRPr="004C09F5">
        <w:rPr>
          <w:sz w:val="24"/>
          <w:szCs w:val="24"/>
        </w:rPr>
        <w:t>) no longer appli</w:t>
      </w:r>
      <w:r w:rsidR="008054AA">
        <w:rPr>
          <w:sz w:val="24"/>
          <w:szCs w:val="24"/>
        </w:rPr>
        <w:t>es in relation to any applicant</w:t>
      </w:r>
      <w:r w:rsidR="008054AA" w:rsidRPr="004C09F5">
        <w:rPr>
          <w:sz w:val="24"/>
          <w:szCs w:val="24"/>
        </w:rPr>
        <w:t>.</w:t>
      </w:r>
    </w:p>
    <w:p w14:paraId="4D82B669" w14:textId="77777777" w:rsidR="00F220DF" w:rsidRDefault="00F220DF" w:rsidP="00320582">
      <w:pPr>
        <w:spacing w:line="240" w:lineRule="auto"/>
        <w:rPr>
          <w:sz w:val="24"/>
          <w:szCs w:val="24"/>
        </w:rPr>
      </w:pPr>
    </w:p>
    <w:p w14:paraId="2B320402" w14:textId="47CCA578" w:rsidR="00FE16E3" w:rsidRDefault="00FE16E3" w:rsidP="00FE16E3">
      <w:pPr>
        <w:spacing w:line="240" w:lineRule="auto"/>
        <w:rPr>
          <w:sz w:val="24"/>
          <w:szCs w:val="24"/>
          <w:u w:val="single"/>
        </w:rPr>
      </w:pPr>
      <w:r>
        <w:rPr>
          <w:sz w:val="24"/>
          <w:szCs w:val="24"/>
          <w:u w:val="single"/>
        </w:rPr>
        <w:t xml:space="preserve">Section </w:t>
      </w:r>
      <w:r w:rsidR="00892FD1">
        <w:rPr>
          <w:sz w:val="24"/>
          <w:szCs w:val="24"/>
          <w:u w:val="single"/>
        </w:rPr>
        <w:t>33</w:t>
      </w:r>
      <w:r>
        <w:rPr>
          <w:sz w:val="24"/>
          <w:szCs w:val="24"/>
          <w:u w:val="single"/>
        </w:rPr>
        <w:t xml:space="preserve"> - Penalty on allocation for unused entitlement in previous quota year</w:t>
      </w:r>
    </w:p>
    <w:p w14:paraId="5C5B641B" w14:textId="77777777" w:rsidR="00FE16E3" w:rsidRDefault="00FE16E3" w:rsidP="00FE16E3">
      <w:pPr>
        <w:spacing w:line="240" w:lineRule="auto"/>
        <w:rPr>
          <w:sz w:val="24"/>
          <w:szCs w:val="24"/>
          <w:u w:val="single"/>
        </w:rPr>
      </w:pPr>
    </w:p>
    <w:p w14:paraId="7704FBDB" w14:textId="10F4C310" w:rsidR="00915079" w:rsidRDefault="00915079" w:rsidP="003758DC">
      <w:pPr>
        <w:spacing w:line="240" w:lineRule="auto"/>
        <w:rPr>
          <w:sz w:val="24"/>
          <w:szCs w:val="24"/>
        </w:rPr>
      </w:pPr>
      <w:r>
        <w:rPr>
          <w:sz w:val="24"/>
          <w:szCs w:val="24"/>
        </w:rPr>
        <w:t xml:space="preserve">The application of penalties in section 33 is that it ensures there is incentive for entitlement holders to only retain entitlement when they are able to use it; this is achieved through the subtraction of </w:t>
      </w:r>
      <w:r>
        <w:rPr>
          <w:i/>
          <w:sz w:val="24"/>
          <w:szCs w:val="24"/>
        </w:rPr>
        <w:t>returns</w:t>
      </w:r>
      <w:r w:rsidR="00B314D3">
        <w:rPr>
          <w:sz w:val="24"/>
          <w:szCs w:val="24"/>
        </w:rPr>
        <w:t xml:space="preserve"> in the below</w:t>
      </w:r>
      <w:r>
        <w:rPr>
          <w:sz w:val="24"/>
          <w:szCs w:val="24"/>
        </w:rPr>
        <w:t xml:space="preserve"> formula. </w:t>
      </w:r>
    </w:p>
    <w:p w14:paraId="153EE770" w14:textId="77777777" w:rsidR="00915079" w:rsidRDefault="00915079" w:rsidP="003758DC">
      <w:pPr>
        <w:spacing w:line="240" w:lineRule="auto"/>
        <w:rPr>
          <w:sz w:val="24"/>
          <w:szCs w:val="24"/>
        </w:rPr>
      </w:pPr>
    </w:p>
    <w:p w14:paraId="3D110B9C" w14:textId="18EC07D2" w:rsidR="003758DC" w:rsidRDefault="003758DC" w:rsidP="003758DC">
      <w:pPr>
        <w:spacing w:line="240" w:lineRule="auto"/>
        <w:rPr>
          <w:sz w:val="24"/>
          <w:szCs w:val="24"/>
        </w:rPr>
      </w:pPr>
      <w:r>
        <w:rPr>
          <w:sz w:val="24"/>
          <w:szCs w:val="24"/>
        </w:rPr>
        <w:t xml:space="preserve">Subsection </w:t>
      </w:r>
      <w:r w:rsidR="00892FD1">
        <w:rPr>
          <w:sz w:val="24"/>
          <w:szCs w:val="24"/>
        </w:rPr>
        <w:t>33</w:t>
      </w:r>
      <w:r>
        <w:rPr>
          <w:sz w:val="24"/>
          <w:szCs w:val="24"/>
        </w:rPr>
        <w:t xml:space="preserve">(1) provides that </w:t>
      </w:r>
      <w:r w:rsidRPr="003758DC">
        <w:rPr>
          <w:sz w:val="24"/>
          <w:szCs w:val="24"/>
        </w:rPr>
        <w:t xml:space="preserve">a person has an </w:t>
      </w:r>
      <w:r w:rsidRPr="00533BF5">
        <w:rPr>
          <w:i/>
          <w:sz w:val="24"/>
          <w:szCs w:val="24"/>
        </w:rPr>
        <w:t>allocation penalty</w:t>
      </w:r>
      <w:r w:rsidRPr="003758DC">
        <w:rPr>
          <w:b/>
          <w:i/>
          <w:sz w:val="24"/>
          <w:szCs w:val="24"/>
        </w:rPr>
        <w:t xml:space="preserve"> </w:t>
      </w:r>
      <w:r w:rsidRPr="003758DC">
        <w:rPr>
          <w:sz w:val="24"/>
          <w:szCs w:val="24"/>
        </w:rPr>
        <w:t xml:space="preserve">for a </w:t>
      </w:r>
      <w:r w:rsidR="00FE3E4B">
        <w:rPr>
          <w:sz w:val="24"/>
          <w:szCs w:val="24"/>
        </w:rPr>
        <w:t>quota type</w:t>
      </w:r>
      <w:r w:rsidRPr="003758DC">
        <w:rPr>
          <w:sz w:val="24"/>
          <w:szCs w:val="24"/>
        </w:rPr>
        <w:t xml:space="preserve"> and a quota year</w:t>
      </w:r>
      <w:bookmarkStart w:id="50" w:name="BK_S3P29L12C83"/>
      <w:bookmarkEnd w:id="50"/>
      <w:r w:rsidRPr="003758DC">
        <w:rPr>
          <w:sz w:val="24"/>
          <w:szCs w:val="24"/>
        </w:rPr>
        <w:t xml:space="preserve"> if, as at the end of the annual application day for the </w:t>
      </w:r>
      <w:r w:rsidR="00FE3E4B">
        <w:rPr>
          <w:sz w:val="24"/>
          <w:szCs w:val="24"/>
        </w:rPr>
        <w:t>quota type</w:t>
      </w:r>
      <w:r w:rsidRPr="003758DC">
        <w:rPr>
          <w:sz w:val="24"/>
          <w:szCs w:val="24"/>
        </w:rPr>
        <w:t xml:space="preserve"> and quota year, the total weight for which tariff rate quota certificates have been issued to the person in relation to consignments of that </w:t>
      </w:r>
      <w:r w:rsidR="00FE3E4B">
        <w:rPr>
          <w:sz w:val="24"/>
          <w:szCs w:val="24"/>
        </w:rPr>
        <w:t>quota type</w:t>
      </w:r>
      <w:r w:rsidRPr="003758DC">
        <w:rPr>
          <w:sz w:val="24"/>
          <w:szCs w:val="24"/>
        </w:rPr>
        <w:t xml:space="preserve"> in relation to the previous quota year is less than the amount worked out using the following formula:</w:t>
      </w:r>
    </w:p>
    <w:p w14:paraId="54AA84DE" w14:textId="77777777" w:rsidR="00533BF5" w:rsidRPr="003758DC" w:rsidRDefault="00533BF5" w:rsidP="003758DC">
      <w:pPr>
        <w:spacing w:line="240" w:lineRule="auto"/>
        <w:rPr>
          <w:sz w:val="24"/>
          <w:szCs w:val="24"/>
        </w:rPr>
      </w:pPr>
    </w:p>
    <w:p w14:paraId="51F74307" w14:textId="6640B424" w:rsidR="003758DC" w:rsidRPr="00F93A3D" w:rsidRDefault="003758DC" w:rsidP="00915079">
      <w:pPr>
        <w:pStyle w:val="paragraph"/>
        <w:ind w:left="1134"/>
      </w:pPr>
      <w:r w:rsidRPr="00F93A3D">
        <w:tab/>
      </w:r>
      <w:r w:rsidRPr="00F93A3D">
        <w:tab/>
      </w:r>
      <w:bookmarkStart w:id="51" w:name="BKCheck15B_10"/>
      <w:bookmarkEnd w:id="51"/>
      <w:r w:rsidR="00CB387C" w:rsidRPr="00D80F14">
        <w:object w:dxaOrig="7220" w:dyaOrig="580" w14:anchorId="0C6A54B7">
          <v:shape id="_x0000_i1027" type="#_x0000_t75" style="width:5in;height:28.5pt" o:ole="">
            <v:imagedata r:id="rId24" o:title=""/>
          </v:shape>
          <o:OLEObject Type="Embed" ProgID="Equation.DSMT4" ShapeID="_x0000_i1027" DrawAspect="Content" ObjectID="_1638095748" r:id="rId25"/>
        </w:object>
      </w:r>
    </w:p>
    <w:p w14:paraId="15D337D7" w14:textId="54F84CE3" w:rsidR="003758DC" w:rsidRPr="00533BF5" w:rsidRDefault="003758DC" w:rsidP="00533BF5">
      <w:pPr>
        <w:pStyle w:val="paragraph"/>
        <w:ind w:left="567"/>
        <w:rPr>
          <w:sz w:val="24"/>
          <w:szCs w:val="24"/>
        </w:rPr>
      </w:pPr>
      <w:r>
        <w:tab/>
      </w:r>
      <w:proofErr w:type="gramStart"/>
      <w:r w:rsidRPr="00533BF5">
        <w:rPr>
          <w:sz w:val="24"/>
          <w:szCs w:val="24"/>
        </w:rPr>
        <w:t>where</w:t>
      </w:r>
      <w:proofErr w:type="gramEnd"/>
      <w:r w:rsidRPr="00533BF5">
        <w:rPr>
          <w:sz w:val="24"/>
          <w:szCs w:val="24"/>
        </w:rPr>
        <w:t>:</w:t>
      </w:r>
    </w:p>
    <w:p w14:paraId="6311F3D7" w14:textId="5FB28BBA" w:rsidR="003758DC" w:rsidRPr="00533BF5" w:rsidRDefault="003758DC" w:rsidP="00533BF5">
      <w:pPr>
        <w:pStyle w:val="paragraph"/>
        <w:ind w:left="567"/>
        <w:rPr>
          <w:sz w:val="24"/>
          <w:szCs w:val="24"/>
        </w:rPr>
      </w:pPr>
      <w:r w:rsidRPr="00533BF5">
        <w:rPr>
          <w:b/>
          <w:i/>
          <w:sz w:val="24"/>
          <w:szCs w:val="24"/>
        </w:rPr>
        <w:tab/>
      </w:r>
      <w:r w:rsidRPr="00533BF5">
        <w:rPr>
          <w:b/>
          <w:i/>
          <w:sz w:val="24"/>
          <w:szCs w:val="24"/>
        </w:rPr>
        <w:tab/>
      </w:r>
      <w:proofErr w:type="gramStart"/>
      <w:r w:rsidRPr="00533BF5">
        <w:rPr>
          <w:b/>
          <w:i/>
          <w:sz w:val="24"/>
          <w:szCs w:val="24"/>
        </w:rPr>
        <w:t>allocations</w:t>
      </w:r>
      <w:proofErr w:type="gramEnd"/>
      <w:r w:rsidRPr="00533BF5">
        <w:rPr>
          <w:sz w:val="24"/>
          <w:szCs w:val="24"/>
        </w:rPr>
        <w:t xml:space="preserve"> is the sum of all of the amounts of tariff rate quota entitlement for the </w:t>
      </w:r>
      <w:r w:rsidR="00FE3E4B" w:rsidRPr="00533BF5">
        <w:rPr>
          <w:sz w:val="24"/>
          <w:szCs w:val="24"/>
        </w:rPr>
        <w:t>quota type</w:t>
      </w:r>
      <w:r w:rsidRPr="00533BF5">
        <w:rPr>
          <w:sz w:val="24"/>
          <w:szCs w:val="24"/>
        </w:rPr>
        <w:t xml:space="preserve"> and the previous quota year that the person has been allocated.</w:t>
      </w:r>
    </w:p>
    <w:p w14:paraId="42C47CE9" w14:textId="5FA75149" w:rsidR="003758DC" w:rsidRPr="00533BF5" w:rsidRDefault="003758DC" w:rsidP="00533BF5">
      <w:pPr>
        <w:pStyle w:val="paragraph"/>
        <w:ind w:left="567"/>
        <w:rPr>
          <w:sz w:val="24"/>
          <w:szCs w:val="24"/>
        </w:rPr>
      </w:pPr>
      <w:r w:rsidRPr="00533BF5">
        <w:rPr>
          <w:b/>
          <w:sz w:val="24"/>
          <w:szCs w:val="24"/>
        </w:rPr>
        <w:tab/>
      </w:r>
      <w:r w:rsidRPr="00533BF5">
        <w:rPr>
          <w:b/>
          <w:sz w:val="24"/>
          <w:szCs w:val="24"/>
        </w:rPr>
        <w:tab/>
      </w:r>
      <w:proofErr w:type="gramStart"/>
      <w:r w:rsidRPr="00533BF5">
        <w:rPr>
          <w:b/>
          <w:i/>
          <w:sz w:val="24"/>
          <w:szCs w:val="24"/>
        </w:rPr>
        <w:t>required</w:t>
      </w:r>
      <w:proofErr w:type="gramEnd"/>
      <w:r w:rsidRPr="00533BF5">
        <w:rPr>
          <w:b/>
          <w:i/>
          <w:sz w:val="24"/>
          <w:szCs w:val="24"/>
        </w:rPr>
        <w:t xml:space="preserve"> usage percentage</w:t>
      </w:r>
      <w:r w:rsidRPr="00533BF5">
        <w:rPr>
          <w:sz w:val="24"/>
          <w:szCs w:val="24"/>
        </w:rPr>
        <w:t xml:space="preserve"> is the required usage percentage for the </w:t>
      </w:r>
      <w:r w:rsidR="00FE3E4B" w:rsidRPr="00533BF5">
        <w:rPr>
          <w:sz w:val="24"/>
          <w:szCs w:val="24"/>
        </w:rPr>
        <w:t>quota type</w:t>
      </w:r>
      <w:r w:rsidRPr="00533BF5">
        <w:rPr>
          <w:sz w:val="24"/>
          <w:szCs w:val="24"/>
        </w:rPr>
        <w:t>.</w:t>
      </w:r>
    </w:p>
    <w:p w14:paraId="06F8CF83" w14:textId="30E63AE2" w:rsidR="003758DC" w:rsidRPr="00533BF5" w:rsidRDefault="003758DC" w:rsidP="00533BF5">
      <w:pPr>
        <w:pStyle w:val="paragraph"/>
        <w:ind w:left="567"/>
        <w:rPr>
          <w:sz w:val="24"/>
          <w:szCs w:val="24"/>
        </w:rPr>
      </w:pPr>
      <w:r w:rsidRPr="00533BF5">
        <w:rPr>
          <w:b/>
          <w:i/>
          <w:sz w:val="24"/>
          <w:szCs w:val="24"/>
        </w:rPr>
        <w:tab/>
      </w:r>
      <w:r w:rsidRPr="00533BF5">
        <w:rPr>
          <w:b/>
          <w:i/>
          <w:sz w:val="24"/>
          <w:szCs w:val="24"/>
        </w:rPr>
        <w:tab/>
      </w:r>
      <w:proofErr w:type="gramStart"/>
      <w:r w:rsidRPr="00533BF5">
        <w:rPr>
          <w:b/>
          <w:i/>
          <w:sz w:val="24"/>
          <w:szCs w:val="24"/>
        </w:rPr>
        <w:t>returns</w:t>
      </w:r>
      <w:proofErr w:type="gramEnd"/>
      <w:r w:rsidRPr="00533BF5">
        <w:rPr>
          <w:sz w:val="24"/>
          <w:szCs w:val="24"/>
        </w:rPr>
        <w:t xml:space="preserve"> is the sum of all of the amounts of tariff rate quota entitlement for the </w:t>
      </w:r>
      <w:r w:rsidR="00FE3E4B" w:rsidRPr="00533BF5">
        <w:rPr>
          <w:sz w:val="24"/>
          <w:szCs w:val="24"/>
        </w:rPr>
        <w:t>quota type</w:t>
      </w:r>
      <w:r w:rsidRPr="00533BF5">
        <w:rPr>
          <w:sz w:val="24"/>
          <w:szCs w:val="24"/>
        </w:rPr>
        <w:t xml:space="preserve"> and the previous quota year that the person returned on or before the reclamation day for the previous quota year.</w:t>
      </w:r>
    </w:p>
    <w:p w14:paraId="123D9867" w14:textId="0B6DB005" w:rsidR="003758DC" w:rsidRPr="00533BF5" w:rsidRDefault="003758DC" w:rsidP="00533BF5">
      <w:pPr>
        <w:pStyle w:val="paragraph"/>
        <w:ind w:left="567"/>
        <w:rPr>
          <w:sz w:val="24"/>
          <w:szCs w:val="24"/>
        </w:rPr>
      </w:pPr>
      <w:r w:rsidRPr="00533BF5">
        <w:rPr>
          <w:b/>
          <w:i/>
          <w:sz w:val="24"/>
          <w:szCs w:val="24"/>
        </w:rPr>
        <w:tab/>
      </w:r>
      <w:r w:rsidRPr="00533BF5">
        <w:rPr>
          <w:b/>
          <w:i/>
          <w:sz w:val="24"/>
          <w:szCs w:val="24"/>
        </w:rPr>
        <w:tab/>
      </w:r>
      <w:proofErr w:type="gramStart"/>
      <w:r w:rsidRPr="00533BF5">
        <w:rPr>
          <w:b/>
          <w:i/>
          <w:sz w:val="24"/>
          <w:szCs w:val="24"/>
        </w:rPr>
        <w:t>transfers</w:t>
      </w:r>
      <w:proofErr w:type="gramEnd"/>
      <w:r w:rsidRPr="00533BF5">
        <w:rPr>
          <w:b/>
          <w:i/>
          <w:sz w:val="24"/>
          <w:szCs w:val="24"/>
        </w:rPr>
        <w:t xml:space="preserve"> in</w:t>
      </w:r>
      <w:r w:rsidRPr="00533BF5">
        <w:rPr>
          <w:sz w:val="24"/>
          <w:szCs w:val="24"/>
        </w:rPr>
        <w:t xml:space="preserve"> is the sum of all of the amounts of tariff rate quota entitlement for the </w:t>
      </w:r>
      <w:r w:rsidR="00FE3E4B" w:rsidRPr="00533BF5">
        <w:rPr>
          <w:sz w:val="24"/>
          <w:szCs w:val="24"/>
        </w:rPr>
        <w:t>quota type</w:t>
      </w:r>
      <w:r w:rsidRPr="00533BF5">
        <w:rPr>
          <w:sz w:val="24"/>
          <w:szCs w:val="24"/>
        </w:rPr>
        <w:t xml:space="preserve"> and the previous quota year that have been transferred to the person.</w:t>
      </w:r>
    </w:p>
    <w:p w14:paraId="600C69A7" w14:textId="0A0660F9" w:rsidR="003758DC" w:rsidRDefault="003758DC" w:rsidP="00533BF5">
      <w:pPr>
        <w:pStyle w:val="paragraph"/>
        <w:ind w:left="567"/>
        <w:rPr>
          <w:sz w:val="24"/>
          <w:szCs w:val="24"/>
        </w:rPr>
      </w:pPr>
      <w:r w:rsidRPr="00533BF5">
        <w:rPr>
          <w:b/>
          <w:i/>
          <w:sz w:val="24"/>
          <w:szCs w:val="24"/>
        </w:rPr>
        <w:tab/>
      </w:r>
      <w:r w:rsidRPr="00533BF5">
        <w:rPr>
          <w:b/>
          <w:i/>
          <w:sz w:val="24"/>
          <w:szCs w:val="24"/>
        </w:rPr>
        <w:tab/>
      </w:r>
      <w:proofErr w:type="gramStart"/>
      <w:r w:rsidRPr="00533BF5">
        <w:rPr>
          <w:b/>
          <w:i/>
          <w:sz w:val="24"/>
          <w:szCs w:val="24"/>
        </w:rPr>
        <w:t>transfers</w:t>
      </w:r>
      <w:proofErr w:type="gramEnd"/>
      <w:r w:rsidRPr="00533BF5">
        <w:rPr>
          <w:b/>
          <w:i/>
          <w:sz w:val="24"/>
          <w:szCs w:val="24"/>
        </w:rPr>
        <w:t xml:space="preserve"> out</w:t>
      </w:r>
      <w:r w:rsidRPr="00533BF5">
        <w:rPr>
          <w:sz w:val="24"/>
          <w:szCs w:val="24"/>
        </w:rPr>
        <w:t xml:space="preserve"> is the sum of all of the amounts of tariff rate quota entitlement for the </w:t>
      </w:r>
      <w:r w:rsidR="00FE3E4B" w:rsidRPr="00533BF5">
        <w:rPr>
          <w:sz w:val="24"/>
          <w:szCs w:val="24"/>
        </w:rPr>
        <w:t>quota type</w:t>
      </w:r>
      <w:r w:rsidRPr="00533BF5">
        <w:rPr>
          <w:sz w:val="24"/>
          <w:szCs w:val="24"/>
        </w:rPr>
        <w:t xml:space="preserve"> and the previous quota year that have been transferred from the person to another person.</w:t>
      </w:r>
    </w:p>
    <w:p w14:paraId="712F0B1A" w14:textId="77777777" w:rsidR="003758DC" w:rsidRDefault="003758DC" w:rsidP="00FE16E3">
      <w:pPr>
        <w:spacing w:line="240" w:lineRule="auto"/>
        <w:rPr>
          <w:sz w:val="24"/>
          <w:szCs w:val="24"/>
        </w:rPr>
      </w:pPr>
    </w:p>
    <w:p w14:paraId="63839576" w14:textId="01224BBB" w:rsidR="00915079" w:rsidRDefault="00915079" w:rsidP="00FE16E3">
      <w:pPr>
        <w:spacing w:line="240" w:lineRule="auto"/>
        <w:rPr>
          <w:sz w:val="24"/>
          <w:szCs w:val="24"/>
        </w:rPr>
      </w:pPr>
      <w:r>
        <w:rPr>
          <w:sz w:val="24"/>
          <w:szCs w:val="24"/>
        </w:rPr>
        <w:t xml:space="preserve">All weights </w:t>
      </w:r>
      <w:r w:rsidR="00096FF7">
        <w:rPr>
          <w:sz w:val="24"/>
          <w:szCs w:val="24"/>
        </w:rPr>
        <w:t xml:space="preserve">and amounts </w:t>
      </w:r>
      <w:r>
        <w:rPr>
          <w:sz w:val="24"/>
          <w:szCs w:val="24"/>
        </w:rPr>
        <w:t>are calculated using kilograms.</w:t>
      </w:r>
    </w:p>
    <w:p w14:paraId="0EB4E2C4" w14:textId="77777777" w:rsidR="00915079" w:rsidRPr="003758DC" w:rsidRDefault="00915079" w:rsidP="00FE16E3">
      <w:pPr>
        <w:spacing w:line="240" w:lineRule="auto"/>
        <w:rPr>
          <w:sz w:val="24"/>
          <w:szCs w:val="24"/>
        </w:rPr>
      </w:pPr>
    </w:p>
    <w:p w14:paraId="2FB29A18" w14:textId="31F4AFF3" w:rsidR="002A1111" w:rsidRDefault="003758DC" w:rsidP="003758DC">
      <w:pPr>
        <w:spacing w:line="240" w:lineRule="auto"/>
        <w:rPr>
          <w:sz w:val="24"/>
          <w:szCs w:val="24"/>
        </w:rPr>
      </w:pPr>
      <w:r>
        <w:rPr>
          <w:sz w:val="24"/>
          <w:szCs w:val="24"/>
        </w:rPr>
        <w:t xml:space="preserve">Subsection </w:t>
      </w:r>
      <w:r w:rsidR="00892FD1">
        <w:rPr>
          <w:sz w:val="24"/>
          <w:szCs w:val="24"/>
        </w:rPr>
        <w:t>33</w:t>
      </w:r>
      <w:r>
        <w:rPr>
          <w:sz w:val="24"/>
          <w:szCs w:val="24"/>
        </w:rPr>
        <w:t xml:space="preserve">(2) provides that </w:t>
      </w:r>
      <w:r w:rsidRPr="003758DC">
        <w:rPr>
          <w:sz w:val="24"/>
          <w:szCs w:val="24"/>
        </w:rPr>
        <w:t xml:space="preserve">the person does not have an allocation penalty if, as at the end of the annual application day for the </w:t>
      </w:r>
      <w:r w:rsidR="00FE3E4B">
        <w:rPr>
          <w:sz w:val="24"/>
          <w:szCs w:val="24"/>
        </w:rPr>
        <w:t>quota type</w:t>
      </w:r>
      <w:r w:rsidRPr="003758DC">
        <w:rPr>
          <w:sz w:val="24"/>
          <w:szCs w:val="24"/>
        </w:rPr>
        <w:t xml:space="preserve"> and quota year</w:t>
      </w:r>
    </w:p>
    <w:p w14:paraId="25979069" w14:textId="77777777" w:rsidR="002A1111" w:rsidRDefault="002A1111" w:rsidP="000F6D46">
      <w:pPr>
        <w:pStyle w:val="ListParagraph"/>
        <w:numPr>
          <w:ilvl w:val="0"/>
          <w:numId w:val="38"/>
        </w:numPr>
        <w:spacing w:line="240" w:lineRule="auto"/>
        <w:rPr>
          <w:sz w:val="24"/>
          <w:szCs w:val="24"/>
        </w:rPr>
      </w:pPr>
      <w:r>
        <w:rPr>
          <w:sz w:val="24"/>
          <w:szCs w:val="24"/>
        </w:rPr>
        <w:t>t</w:t>
      </w:r>
      <w:r w:rsidR="003758DC" w:rsidRPr="002A1111">
        <w:rPr>
          <w:sz w:val="24"/>
          <w:szCs w:val="24"/>
        </w:rPr>
        <w:t xml:space="preserve">he person’s tariff rate quota entitlement for the </w:t>
      </w:r>
      <w:r w:rsidR="00FE3E4B" w:rsidRPr="002A1111">
        <w:rPr>
          <w:sz w:val="24"/>
          <w:szCs w:val="24"/>
        </w:rPr>
        <w:t>quota type</w:t>
      </w:r>
      <w:r w:rsidR="003758DC" w:rsidRPr="002A1111">
        <w:rPr>
          <w:sz w:val="24"/>
          <w:szCs w:val="24"/>
        </w:rPr>
        <w:t xml:space="preserve"> and the previous quota year is less than the penalty individual threshold for the </w:t>
      </w:r>
      <w:r w:rsidR="00FE3E4B" w:rsidRPr="002A1111">
        <w:rPr>
          <w:sz w:val="24"/>
          <w:szCs w:val="24"/>
        </w:rPr>
        <w:t>quota type</w:t>
      </w:r>
      <w:r w:rsidR="003758DC" w:rsidRPr="002A1111">
        <w:rPr>
          <w:sz w:val="24"/>
          <w:szCs w:val="24"/>
        </w:rPr>
        <w:t xml:space="preserve"> and the previous quota year</w:t>
      </w:r>
      <w:r>
        <w:rPr>
          <w:sz w:val="24"/>
          <w:szCs w:val="24"/>
        </w:rPr>
        <w:t>,</w:t>
      </w:r>
      <w:r w:rsidR="003758DC" w:rsidRPr="002A1111">
        <w:rPr>
          <w:sz w:val="24"/>
          <w:szCs w:val="24"/>
        </w:rPr>
        <w:t xml:space="preserve"> or </w:t>
      </w:r>
    </w:p>
    <w:p w14:paraId="350DAAF3" w14:textId="428BCA2F" w:rsidR="003758DC" w:rsidRDefault="003758DC" w:rsidP="000F6D46">
      <w:pPr>
        <w:pStyle w:val="ListParagraph"/>
        <w:numPr>
          <w:ilvl w:val="0"/>
          <w:numId w:val="38"/>
        </w:numPr>
        <w:spacing w:line="240" w:lineRule="auto"/>
        <w:rPr>
          <w:sz w:val="24"/>
          <w:szCs w:val="24"/>
        </w:rPr>
      </w:pPr>
      <w:r w:rsidRPr="002A1111">
        <w:rPr>
          <w:sz w:val="24"/>
          <w:szCs w:val="24"/>
        </w:rPr>
        <w:t xml:space="preserve">the uncommitted annual access amount for the </w:t>
      </w:r>
      <w:r w:rsidR="00FE3E4B" w:rsidRPr="002A1111">
        <w:rPr>
          <w:sz w:val="24"/>
          <w:szCs w:val="24"/>
        </w:rPr>
        <w:t>quota type</w:t>
      </w:r>
      <w:r w:rsidRPr="002A1111">
        <w:rPr>
          <w:sz w:val="24"/>
          <w:szCs w:val="24"/>
        </w:rPr>
        <w:t xml:space="preserve"> and the previous quota year, less any amounts of tariff rate quota entitlement for the previous quota year that were returned to the Secretary after the reclamation day for the previous quota year, </w:t>
      </w:r>
      <w:r w:rsidRPr="002A1111">
        <w:rPr>
          <w:sz w:val="24"/>
          <w:szCs w:val="24"/>
        </w:rPr>
        <w:lastRenderedPageBreak/>
        <w:t xml:space="preserve">is greater than the penalty pool threshold for the </w:t>
      </w:r>
      <w:r w:rsidR="00FE3E4B" w:rsidRPr="002A1111">
        <w:rPr>
          <w:sz w:val="24"/>
          <w:szCs w:val="24"/>
        </w:rPr>
        <w:t>quota type</w:t>
      </w:r>
      <w:r w:rsidRPr="002A1111">
        <w:rPr>
          <w:sz w:val="24"/>
          <w:szCs w:val="24"/>
        </w:rPr>
        <w:t xml:space="preserve"> and the previous quota year.</w:t>
      </w:r>
      <w:bookmarkStart w:id="52" w:name="BK_S3P30L16C23"/>
      <w:bookmarkEnd w:id="52"/>
    </w:p>
    <w:p w14:paraId="07D85634" w14:textId="12235004" w:rsidR="002A1111" w:rsidRDefault="002A1111" w:rsidP="002A1111">
      <w:pPr>
        <w:spacing w:line="240" w:lineRule="auto"/>
        <w:rPr>
          <w:sz w:val="24"/>
          <w:szCs w:val="24"/>
        </w:rPr>
      </w:pPr>
      <w:r>
        <w:rPr>
          <w:sz w:val="24"/>
          <w:szCs w:val="24"/>
        </w:rPr>
        <w:t xml:space="preserve">The inclusion of the penalty individual threshold </w:t>
      </w:r>
      <w:r w:rsidR="0054336E">
        <w:rPr>
          <w:sz w:val="24"/>
          <w:szCs w:val="24"/>
        </w:rPr>
        <w:t>recognises</w:t>
      </w:r>
      <w:r>
        <w:rPr>
          <w:sz w:val="24"/>
          <w:szCs w:val="24"/>
        </w:rPr>
        <w:t xml:space="preserve"> that an exporter may have an amount of entitlement remaining that is not equal to a commercially viable shipment, and that it would not be fair to penalise the exporter in those circumstance</w:t>
      </w:r>
      <w:r w:rsidR="00142D59">
        <w:rPr>
          <w:sz w:val="24"/>
          <w:szCs w:val="24"/>
        </w:rPr>
        <w:t>s</w:t>
      </w:r>
      <w:r>
        <w:rPr>
          <w:sz w:val="24"/>
          <w:szCs w:val="24"/>
        </w:rPr>
        <w:t>.</w:t>
      </w:r>
    </w:p>
    <w:p w14:paraId="02E2AF21" w14:textId="77777777" w:rsidR="002A1111" w:rsidRDefault="002A1111" w:rsidP="002A1111">
      <w:pPr>
        <w:spacing w:line="240" w:lineRule="auto"/>
        <w:rPr>
          <w:sz w:val="24"/>
          <w:szCs w:val="24"/>
        </w:rPr>
      </w:pPr>
    </w:p>
    <w:p w14:paraId="3CAA5C22" w14:textId="7E40EB82" w:rsidR="002A1111" w:rsidRPr="002A1111" w:rsidRDefault="00956F47" w:rsidP="002A1111">
      <w:pPr>
        <w:spacing w:line="240" w:lineRule="auto"/>
        <w:rPr>
          <w:sz w:val="24"/>
          <w:szCs w:val="24"/>
        </w:rPr>
      </w:pPr>
      <w:r w:rsidRPr="00C449C0">
        <w:rPr>
          <w:sz w:val="24"/>
          <w:szCs w:val="24"/>
        </w:rPr>
        <w:t>The penalty pool threshold is included so penalties are not applied in circumstance where an exporter holding unused entitlement has not disadvantaged other exporters. If there is a sufficiently large amount of uncommitted quota, exporters without entitlements can begin preparing consignments in advance of shipping, with confidence that quota will still be available at the time they apply for a certificate.</w:t>
      </w:r>
    </w:p>
    <w:p w14:paraId="2FCACF43" w14:textId="77777777" w:rsidR="003758DC" w:rsidRDefault="003758DC" w:rsidP="003758DC">
      <w:pPr>
        <w:spacing w:line="240" w:lineRule="auto"/>
        <w:rPr>
          <w:sz w:val="24"/>
          <w:szCs w:val="24"/>
        </w:rPr>
      </w:pPr>
    </w:p>
    <w:p w14:paraId="6E8CB81B" w14:textId="130EBAA6" w:rsidR="003758DC" w:rsidRDefault="003758DC" w:rsidP="003758DC">
      <w:pPr>
        <w:spacing w:line="240" w:lineRule="auto"/>
      </w:pPr>
      <w:r>
        <w:rPr>
          <w:sz w:val="24"/>
          <w:szCs w:val="24"/>
        </w:rPr>
        <w:t xml:space="preserve">Subsection </w:t>
      </w:r>
      <w:r w:rsidR="00892FD1">
        <w:rPr>
          <w:sz w:val="24"/>
          <w:szCs w:val="24"/>
        </w:rPr>
        <w:t>33</w:t>
      </w:r>
      <w:r>
        <w:rPr>
          <w:sz w:val="24"/>
          <w:szCs w:val="24"/>
        </w:rPr>
        <w:t>(3) provides that i</w:t>
      </w:r>
      <w:r w:rsidRPr="003758DC">
        <w:rPr>
          <w:sz w:val="24"/>
          <w:szCs w:val="24"/>
        </w:rPr>
        <w:t xml:space="preserve">f a person has an allocation penalty for a </w:t>
      </w:r>
      <w:r w:rsidR="00FE3E4B">
        <w:rPr>
          <w:sz w:val="24"/>
          <w:szCs w:val="24"/>
        </w:rPr>
        <w:t>quota type</w:t>
      </w:r>
      <w:r w:rsidRPr="003758DC">
        <w:rPr>
          <w:sz w:val="24"/>
          <w:szCs w:val="24"/>
        </w:rPr>
        <w:t xml:space="preserve"> and a quota year, the amount of the allocation penalty is the amount, as at the end of the annual application day for the </w:t>
      </w:r>
      <w:r w:rsidR="00FE3E4B">
        <w:rPr>
          <w:sz w:val="24"/>
          <w:szCs w:val="24"/>
        </w:rPr>
        <w:t>quota type</w:t>
      </w:r>
      <w:r w:rsidRPr="003758DC">
        <w:rPr>
          <w:sz w:val="24"/>
          <w:szCs w:val="24"/>
        </w:rPr>
        <w:t xml:space="preserve"> and quota year, of the person’s tariff rate quota entitlement for the </w:t>
      </w:r>
      <w:r w:rsidR="00FE3E4B">
        <w:rPr>
          <w:sz w:val="24"/>
          <w:szCs w:val="24"/>
        </w:rPr>
        <w:t>quota type</w:t>
      </w:r>
      <w:r w:rsidRPr="003758DC">
        <w:rPr>
          <w:sz w:val="24"/>
          <w:szCs w:val="24"/>
        </w:rPr>
        <w:t xml:space="preserve"> and the previous quota </w:t>
      </w:r>
      <w:r w:rsidRPr="006511D1">
        <w:rPr>
          <w:sz w:val="24"/>
          <w:szCs w:val="24"/>
        </w:rPr>
        <w:t>year</w:t>
      </w:r>
      <w:r w:rsidR="006511D1" w:rsidRPr="006511D1">
        <w:rPr>
          <w:sz w:val="24"/>
          <w:szCs w:val="24"/>
        </w:rPr>
        <w:t xml:space="preserve"> (being their unused entitlement).</w:t>
      </w:r>
    </w:p>
    <w:p w14:paraId="676E9D3B" w14:textId="77777777" w:rsidR="003758DC" w:rsidRDefault="003758DC" w:rsidP="003758DC">
      <w:pPr>
        <w:spacing w:line="240" w:lineRule="auto"/>
      </w:pPr>
    </w:p>
    <w:p w14:paraId="02C52368" w14:textId="0265A1C5" w:rsidR="00342358" w:rsidRDefault="00342358" w:rsidP="00342358">
      <w:pPr>
        <w:pStyle w:val="paragraph"/>
        <w:rPr>
          <w:b/>
          <w:sz w:val="24"/>
          <w:szCs w:val="24"/>
        </w:rPr>
      </w:pPr>
      <w:r>
        <w:rPr>
          <w:b/>
          <w:sz w:val="24"/>
          <w:szCs w:val="24"/>
        </w:rPr>
        <w:t>Division 3</w:t>
      </w:r>
      <w:r w:rsidRPr="0057061D">
        <w:rPr>
          <w:b/>
          <w:sz w:val="24"/>
          <w:szCs w:val="24"/>
        </w:rPr>
        <w:t xml:space="preserve"> -</w:t>
      </w:r>
      <w:r>
        <w:rPr>
          <w:b/>
          <w:sz w:val="24"/>
          <w:szCs w:val="24"/>
        </w:rPr>
        <w:t xml:space="preserve"> Tariff rate quota certificates before reclamation day</w:t>
      </w:r>
    </w:p>
    <w:p w14:paraId="5FEBFF48" w14:textId="77777777" w:rsidR="00342358" w:rsidRDefault="00342358" w:rsidP="00342358">
      <w:pPr>
        <w:pStyle w:val="paragraph"/>
        <w:rPr>
          <w:b/>
          <w:sz w:val="24"/>
          <w:szCs w:val="24"/>
        </w:rPr>
      </w:pPr>
    </w:p>
    <w:p w14:paraId="7BAD5754" w14:textId="371B1CB7" w:rsidR="00342358" w:rsidRDefault="00342358" w:rsidP="00342358">
      <w:pPr>
        <w:pStyle w:val="paragraph"/>
        <w:rPr>
          <w:sz w:val="24"/>
          <w:szCs w:val="24"/>
          <w:u w:val="single"/>
        </w:rPr>
      </w:pPr>
      <w:r w:rsidRPr="001B416F">
        <w:rPr>
          <w:sz w:val="24"/>
          <w:szCs w:val="24"/>
          <w:u w:val="single"/>
        </w:rPr>
        <w:t>Section</w:t>
      </w:r>
      <w:r>
        <w:rPr>
          <w:sz w:val="24"/>
          <w:szCs w:val="24"/>
          <w:u w:val="single"/>
        </w:rPr>
        <w:t xml:space="preserve"> </w:t>
      </w:r>
      <w:r w:rsidR="00892FD1">
        <w:rPr>
          <w:sz w:val="24"/>
          <w:szCs w:val="24"/>
          <w:u w:val="single"/>
        </w:rPr>
        <w:t>34</w:t>
      </w:r>
      <w:r>
        <w:rPr>
          <w:sz w:val="24"/>
          <w:szCs w:val="24"/>
          <w:u w:val="single"/>
        </w:rPr>
        <w:t xml:space="preserve"> Applications for </w:t>
      </w:r>
      <w:r w:rsidR="00144E0A">
        <w:rPr>
          <w:sz w:val="24"/>
          <w:szCs w:val="24"/>
          <w:u w:val="single"/>
        </w:rPr>
        <w:t>tariff rate quota certificates before reclamation day</w:t>
      </w:r>
    </w:p>
    <w:p w14:paraId="32A771DD" w14:textId="77777777" w:rsidR="00144E0A" w:rsidRDefault="00144E0A" w:rsidP="00342358">
      <w:pPr>
        <w:pStyle w:val="paragraph"/>
        <w:rPr>
          <w:sz w:val="24"/>
          <w:szCs w:val="24"/>
          <w:u w:val="single"/>
        </w:rPr>
      </w:pPr>
    </w:p>
    <w:p w14:paraId="2DF5C3EF" w14:textId="1DF9D223" w:rsidR="00144E0A" w:rsidRDefault="00144E0A" w:rsidP="006511D1">
      <w:pPr>
        <w:spacing w:line="240" w:lineRule="auto"/>
        <w:rPr>
          <w:sz w:val="24"/>
          <w:szCs w:val="24"/>
        </w:rPr>
      </w:pPr>
      <w:r>
        <w:rPr>
          <w:sz w:val="24"/>
          <w:szCs w:val="24"/>
        </w:rPr>
        <w:t xml:space="preserve">Section </w:t>
      </w:r>
      <w:r w:rsidR="00892FD1">
        <w:rPr>
          <w:sz w:val="24"/>
          <w:szCs w:val="24"/>
        </w:rPr>
        <w:t>34</w:t>
      </w:r>
      <w:r>
        <w:rPr>
          <w:sz w:val="24"/>
          <w:szCs w:val="24"/>
        </w:rPr>
        <w:t xml:space="preserve"> provides that a</w:t>
      </w:r>
      <w:r w:rsidRPr="00144E0A">
        <w:rPr>
          <w:sz w:val="24"/>
          <w:szCs w:val="24"/>
        </w:rPr>
        <w:t xml:space="preserve"> person who intends to export a consignment of a </w:t>
      </w:r>
      <w:r w:rsidR="00FE3E4B">
        <w:rPr>
          <w:sz w:val="24"/>
          <w:szCs w:val="24"/>
        </w:rPr>
        <w:t>quota type</w:t>
      </w:r>
      <w:r w:rsidRPr="00144E0A">
        <w:rPr>
          <w:sz w:val="24"/>
          <w:szCs w:val="24"/>
        </w:rPr>
        <w:t xml:space="preserve"> in a quota year may, on or before the reclamation day for the </w:t>
      </w:r>
      <w:r w:rsidR="00FE3E4B">
        <w:rPr>
          <w:sz w:val="24"/>
          <w:szCs w:val="24"/>
        </w:rPr>
        <w:t>quota type</w:t>
      </w:r>
      <w:r w:rsidRPr="00144E0A">
        <w:rPr>
          <w:sz w:val="24"/>
          <w:szCs w:val="24"/>
        </w:rPr>
        <w:t xml:space="preserve"> and quota year, apply to the Secretary under this section for a tariff rate quota c</w:t>
      </w:r>
      <w:r w:rsidR="006511D1">
        <w:rPr>
          <w:sz w:val="24"/>
          <w:szCs w:val="24"/>
        </w:rPr>
        <w:t xml:space="preserve">ertificate for the consignment. </w:t>
      </w:r>
      <w:r w:rsidRPr="00371C9B">
        <w:rPr>
          <w:sz w:val="24"/>
          <w:szCs w:val="24"/>
        </w:rPr>
        <w:t xml:space="preserve">This section includes a note which refers to section </w:t>
      </w:r>
      <w:r w:rsidR="00FF72F4">
        <w:rPr>
          <w:sz w:val="24"/>
          <w:szCs w:val="24"/>
        </w:rPr>
        <w:t>114</w:t>
      </w:r>
      <w:r w:rsidRPr="00371C9B">
        <w:rPr>
          <w:sz w:val="24"/>
          <w:szCs w:val="24"/>
        </w:rPr>
        <w:t xml:space="preserve"> for requirements and other matters relating to applications.</w:t>
      </w:r>
    </w:p>
    <w:p w14:paraId="264FBF8E" w14:textId="77777777" w:rsidR="003A0E02" w:rsidRDefault="003A0E02" w:rsidP="00144E0A">
      <w:pPr>
        <w:pStyle w:val="paragraph"/>
        <w:ind w:left="0" w:firstLine="0"/>
        <w:rPr>
          <w:sz w:val="24"/>
          <w:szCs w:val="24"/>
        </w:rPr>
      </w:pPr>
    </w:p>
    <w:p w14:paraId="770E7ACC" w14:textId="13FF4FFA" w:rsidR="003A0E02" w:rsidRDefault="003A0E02" w:rsidP="00144E0A">
      <w:pPr>
        <w:pStyle w:val="paragraph"/>
        <w:ind w:left="0" w:firstLine="0"/>
        <w:rPr>
          <w:sz w:val="24"/>
          <w:szCs w:val="24"/>
          <w:u w:val="single"/>
        </w:rPr>
      </w:pPr>
      <w:r w:rsidRPr="001B416F">
        <w:rPr>
          <w:sz w:val="24"/>
          <w:szCs w:val="24"/>
          <w:u w:val="single"/>
        </w:rPr>
        <w:t>Section</w:t>
      </w:r>
      <w:r w:rsidR="00892FD1">
        <w:rPr>
          <w:sz w:val="24"/>
          <w:szCs w:val="24"/>
          <w:u w:val="single"/>
        </w:rPr>
        <w:t xml:space="preserve"> 35</w:t>
      </w:r>
      <w:r>
        <w:rPr>
          <w:sz w:val="24"/>
          <w:szCs w:val="24"/>
          <w:u w:val="single"/>
        </w:rPr>
        <w:t xml:space="preserve"> Applications to be dealt with </w:t>
      </w:r>
      <w:r w:rsidR="00450C21">
        <w:rPr>
          <w:sz w:val="24"/>
          <w:szCs w:val="24"/>
          <w:u w:val="single"/>
        </w:rPr>
        <w:t>in order of receipt</w:t>
      </w:r>
    </w:p>
    <w:p w14:paraId="5B7CCD69" w14:textId="77777777" w:rsidR="003A0E02" w:rsidRDefault="003A0E02" w:rsidP="00144E0A">
      <w:pPr>
        <w:pStyle w:val="paragraph"/>
        <w:ind w:left="0" w:firstLine="0"/>
        <w:rPr>
          <w:sz w:val="24"/>
          <w:szCs w:val="24"/>
          <w:u w:val="single"/>
        </w:rPr>
      </w:pPr>
    </w:p>
    <w:p w14:paraId="6A2E3515" w14:textId="0ED72F7C" w:rsidR="003A0E02" w:rsidRPr="003A0E02" w:rsidRDefault="00892FD1" w:rsidP="003A0E02">
      <w:pPr>
        <w:pStyle w:val="paragraph"/>
        <w:ind w:left="0" w:firstLine="0"/>
        <w:rPr>
          <w:sz w:val="24"/>
          <w:szCs w:val="24"/>
        </w:rPr>
      </w:pPr>
      <w:r>
        <w:rPr>
          <w:sz w:val="24"/>
          <w:szCs w:val="24"/>
        </w:rPr>
        <w:t>Subsection 35</w:t>
      </w:r>
      <w:r w:rsidR="003A0E02" w:rsidRPr="003A0E02">
        <w:rPr>
          <w:sz w:val="24"/>
          <w:szCs w:val="24"/>
        </w:rPr>
        <w:t xml:space="preserve">(1) provides that the Secretary must deal with applications under section </w:t>
      </w:r>
      <w:r>
        <w:rPr>
          <w:sz w:val="24"/>
          <w:szCs w:val="24"/>
        </w:rPr>
        <w:t>34</w:t>
      </w:r>
      <w:r w:rsidR="003A0E02" w:rsidRPr="003A0E02">
        <w:rPr>
          <w:sz w:val="24"/>
          <w:szCs w:val="24"/>
        </w:rPr>
        <w:t xml:space="preserve"> in the order in which the applications are received by the Secretary.</w:t>
      </w:r>
    </w:p>
    <w:p w14:paraId="5C7484E0" w14:textId="77777777" w:rsidR="003A0E02" w:rsidRDefault="003A0E02" w:rsidP="00144E0A">
      <w:pPr>
        <w:pStyle w:val="paragraph"/>
        <w:ind w:left="0" w:firstLine="0"/>
        <w:rPr>
          <w:sz w:val="24"/>
          <w:szCs w:val="24"/>
        </w:rPr>
      </w:pPr>
    </w:p>
    <w:p w14:paraId="6403E682" w14:textId="70456616" w:rsidR="003A0E02" w:rsidRDefault="003A0E02" w:rsidP="003A0E02">
      <w:pPr>
        <w:pStyle w:val="Normal-em"/>
        <w:spacing w:after="0" w:line="240" w:lineRule="auto"/>
      </w:pPr>
      <w:r>
        <w:rPr>
          <w:color w:val="auto"/>
        </w:rPr>
        <w:t>This subsection includes a note that section</w:t>
      </w:r>
      <w:r w:rsidRPr="00F93A3D">
        <w:t xml:space="preserve"> </w:t>
      </w:r>
      <w:r w:rsidR="00FF72F4">
        <w:t>114</w:t>
      </w:r>
      <w:r w:rsidRPr="00F93A3D">
        <w:t>(8) deals with when an application is taken to be received by the Secretary</w:t>
      </w:r>
      <w:r w:rsidR="00C449C0">
        <w:t>.</w:t>
      </w:r>
    </w:p>
    <w:p w14:paraId="04AEF102" w14:textId="77777777" w:rsidR="003A0E02" w:rsidRDefault="003A0E02" w:rsidP="003A0E02">
      <w:pPr>
        <w:pStyle w:val="Normal-em"/>
        <w:spacing w:after="0" w:line="240" w:lineRule="auto"/>
      </w:pPr>
    </w:p>
    <w:p w14:paraId="3477BB43" w14:textId="3F85C1AE" w:rsidR="003A0E02" w:rsidRPr="00F93A3D" w:rsidRDefault="00892FD1" w:rsidP="003A0E02">
      <w:pPr>
        <w:pStyle w:val="Normal-em"/>
        <w:spacing w:after="0" w:line="240" w:lineRule="auto"/>
      </w:pPr>
      <w:r>
        <w:rPr>
          <w:szCs w:val="24"/>
        </w:rPr>
        <w:t>Subsection 35</w:t>
      </w:r>
      <w:r w:rsidR="003A0E02" w:rsidRPr="003A0E02">
        <w:rPr>
          <w:szCs w:val="24"/>
        </w:rPr>
        <w:t>(</w:t>
      </w:r>
      <w:r w:rsidR="003A0E02">
        <w:rPr>
          <w:szCs w:val="24"/>
        </w:rPr>
        <w:t>2</w:t>
      </w:r>
      <w:r w:rsidR="003A0E02" w:rsidRPr="003A0E02">
        <w:rPr>
          <w:szCs w:val="24"/>
        </w:rPr>
        <w:t>) provides that</w:t>
      </w:r>
      <w:r w:rsidR="003A0E02">
        <w:rPr>
          <w:szCs w:val="24"/>
        </w:rPr>
        <w:t xml:space="preserve"> i</w:t>
      </w:r>
      <w:r w:rsidR="003A0E02" w:rsidRPr="00F93A3D">
        <w:t xml:space="preserve">f the Secretary has not dealt with an application under section </w:t>
      </w:r>
      <w:r>
        <w:t>34</w:t>
      </w:r>
      <w:r w:rsidR="003A0E02" w:rsidRPr="00F93A3D">
        <w:t xml:space="preserve"> before the end of the </w:t>
      </w:r>
      <w:r w:rsidR="003A0E02">
        <w:t xml:space="preserve">reclamation day for the </w:t>
      </w:r>
      <w:r w:rsidR="00FE3E4B">
        <w:t>quota type</w:t>
      </w:r>
      <w:r w:rsidR="003A0E02">
        <w:t xml:space="preserve"> and quota year, the Secretary must deal with the application before allocating </w:t>
      </w:r>
      <w:r w:rsidR="003A0E02" w:rsidRPr="00F93A3D">
        <w:t xml:space="preserve">amounts of tariff rate quota entitlement </w:t>
      </w:r>
      <w:r w:rsidR="003A0E02">
        <w:t xml:space="preserve">for the </w:t>
      </w:r>
      <w:r w:rsidR="00FE3E4B">
        <w:t>quota type</w:t>
      </w:r>
      <w:r w:rsidR="003A0E02">
        <w:t xml:space="preserve"> and quota year in accordance with section </w:t>
      </w:r>
      <w:r w:rsidR="00E730A1">
        <w:t>42</w:t>
      </w:r>
      <w:r w:rsidR="006511D1">
        <w:t xml:space="preserve"> (being allocations after the reclamation day for new entrants).</w:t>
      </w:r>
    </w:p>
    <w:p w14:paraId="444F6237" w14:textId="77777777" w:rsidR="003A0E02" w:rsidRPr="00F93A3D" w:rsidRDefault="003A0E02" w:rsidP="003A0E02">
      <w:pPr>
        <w:pStyle w:val="Normal-em"/>
        <w:spacing w:after="0" w:line="240" w:lineRule="auto"/>
      </w:pPr>
    </w:p>
    <w:p w14:paraId="1992D0E7" w14:textId="0963FA05" w:rsidR="003758DC" w:rsidRDefault="003A0E02" w:rsidP="004839AA">
      <w:pPr>
        <w:keepNext/>
        <w:spacing w:line="240" w:lineRule="auto"/>
        <w:rPr>
          <w:sz w:val="24"/>
          <w:szCs w:val="24"/>
          <w:u w:val="single"/>
        </w:rPr>
      </w:pPr>
      <w:r w:rsidRPr="001B416F">
        <w:rPr>
          <w:sz w:val="24"/>
          <w:szCs w:val="24"/>
          <w:u w:val="single"/>
        </w:rPr>
        <w:t>Section</w:t>
      </w:r>
      <w:r>
        <w:rPr>
          <w:sz w:val="24"/>
          <w:szCs w:val="24"/>
          <w:u w:val="single"/>
        </w:rPr>
        <w:t xml:space="preserve"> </w:t>
      </w:r>
      <w:r w:rsidR="00892FD1">
        <w:rPr>
          <w:sz w:val="24"/>
          <w:szCs w:val="24"/>
          <w:u w:val="single"/>
        </w:rPr>
        <w:t>36</w:t>
      </w:r>
      <w:r>
        <w:rPr>
          <w:sz w:val="24"/>
          <w:szCs w:val="24"/>
          <w:u w:val="single"/>
        </w:rPr>
        <w:t xml:space="preserve"> Issuing tariff rate quota certificates</w:t>
      </w:r>
    </w:p>
    <w:p w14:paraId="7943830C" w14:textId="77777777" w:rsidR="003A0E02" w:rsidRDefault="003A0E02" w:rsidP="004839AA">
      <w:pPr>
        <w:keepNext/>
        <w:spacing w:line="240" w:lineRule="auto"/>
        <w:rPr>
          <w:sz w:val="24"/>
          <w:szCs w:val="24"/>
          <w:u w:val="single"/>
        </w:rPr>
      </w:pPr>
    </w:p>
    <w:p w14:paraId="47E16727" w14:textId="22A2857B" w:rsidR="003A0E02" w:rsidRPr="003A0E02" w:rsidRDefault="003A0E02" w:rsidP="003A0E02">
      <w:pPr>
        <w:pStyle w:val="Normal-em"/>
        <w:spacing w:after="0" w:line="240" w:lineRule="auto"/>
        <w:rPr>
          <w:szCs w:val="24"/>
        </w:rPr>
      </w:pPr>
      <w:r>
        <w:rPr>
          <w:szCs w:val="24"/>
        </w:rPr>
        <w:t xml:space="preserve">Subsection </w:t>
      </w:r>
      <w:r w:rsidR="00892FD1">
        <w:rPr>
          <w:szCs w:val="24"/>
        </w:rPr>
        <w:t>36</w:t>
      </w:r>
      <w:r>
        <w:rPr>
          <w:szCs w:val="24"/>
        </w:rPr>
        <w:t>(1) provides that t</w:t>
      </w:r>
      <w:r w:rsidRPr="003A0E02">
        <w:rPr>
          <w:szCs w:val="24"/>
        </w:rPr>
        <w:t xml:space="preserve">his section applies in relation to an application under section </w:t>
      </w:r>
      <w:r w:rsidR="00892FD1">
        <w:rPr>
          <w:szCs w:val="24"/>
        </w:rPr>
        <w:t>34</w:t>
      </w:r>
      <w:r w:rsidRPr="003A0E02">
        <w:rPr>
          <w:szCs w:val="24"/>
        </w:rPr>
        <w:t xml:space="preserve"> for a tariff rate quota certificate in relation to a consignment of a </w:t>
      </w:r>
      <w:r w:rsidR="00FE3E4B">
        <w:rPr>
          <w:szCs w:val="24"/>
        </w:rPr>
        <w:t>quota type</w:t>
      </w:r>
      <w:r w:rsidRPr="003A0E02">
        <w:rPr>
          <w:szCs w:val="24"/>
        </w:rPr>
        <w:t xml:space="preserve"> for export in a quota year.</w:t>
      </w:r>
    </w:p>
    <w:p w14:paraId="72778741" w14:textId="77777777" w:rsidR="003758DC" w:rsidRDefault="003758DC" w:rsidP="003758DC">
      <w:pPr>
        <w:spacing w:line="240" w:lineRule="auto"/>
        <w:rPr>
          <w:sz w:val="24"/>
          <w:szCs w:val="24"/>
        </w:rPr>
      </w:pPr>
    </w:p>
    <w:p w14:paraId="7D581A31" w14:textId="00B7B55A" w:rsidR="006511D1" w:rsidRDefault="003A0E02" w:rsidP="003A0E02">
      <w:pPr>
        <w:pStyle w:val="Normal-em"/>
        <w:spacing w:after="0" w:line="240" w:lineRule="auto"/>
        <w:rPr>
          <w:szCs w:val="24"/>
        </w:rPr>
      </w:pPr>
      <w:r>
        <w:rPr>
          <w:szCs w:val="24"/>
        </w:rPr>
        <w:lastRenderedPageBreak/>
        <w:t xml:space="preserve">Subsection </w:t>
      </w:r>
      <w:r w:rsidR="00892FD1">
        <w:rPr>
          <w:szCs w:val="24"/>
        </w:rPr>
        <w:t>36</w:t>
      </w:r>
      <w:r>
        <w:rPr>
          <w:szCs w:val="24"/>
        </w:rPr>
        <w:t>(2) provides that s</w:t>
      </w:r>
      <w:r w:rsidRPr="003A0E02">
        <w:rPr>
          <w:szCs w:val="24"/>
        </w:rPr>
        <w:t xml:space="preserve">ubject to section </w:t>
      </w:r>
      <w:r w:rsidR="00FF72F4">
        <w:rPr>
          <w:szCs w:val="24"/>
        </w:rPr>
        <w:t>115</w:t>
      </w:r>
      <w:r w:rsidRPr="003A0E02">
        <w:rPr>
          <w:szCs w:val="24"/>
        </w:rPr>
        <w:t xml:space="preserve">, the Secretary must issue a tariff rate quota certificate to the applicant in relation to the consignment if, at the time the Secretary </w:t>
      </w:r>
      <w:r w:rsidR="00190840">
        <w:rPr>
          <w:szCs w:val="24"/>
        </w:rPr>
        <w:t>deals with</w:t>
      </w:r>
      <w:r w:rsidRPr="003A0E02">
        <w:rPr>
          <w:szCs w:val="24"/>
        </w:rPr>
        <w:t xml:space="preserve"> the </w:t>
      </w:r>
      <w:r w:rsidR="00190840">
        <w:rPr>
          <w:szCs w:val="24"/>
        </w:rPr>
        <w:t>application</w:t>
      </w:r>
      <w:r w:rsidR="0026053B">
        <w:rPr>
          <w:szCs w:val="24"/>
        </w:rPr>
        <w:t>:</w:t>
      </w:r>
      <w:r w:rsidR="0026053B" w:rsidRPr="003A0E02">
        <w:rPr>
          <w:szCs w:val="24"/>
        </w:rPr>
        <w:t xml:space="preserve"> </w:t>
      </w:r>
    </w:p>
    <w:p w14:paraId="6B1A4694" w14:textId="62A95C4C" w:rsidR="006511D1" w:rsidRDefault="003A0E02" w:rsidP="000F6D46">
      <w:pPr>
        <w:pStyle w:val="Normal-em"/>
        <w:numPr>
          <w:ilvl w:val="0"/>
          <w:numId w:val="39"/>
        </w:numPr>
        <w:spacing w:after="0" w:line="240" w:lineRule="auto"/>
        <w:rPr>
          <w:szCs w:val="24"/>
        </w:rPr>
      </w:pPr>
      <w:r w:rsidRPr="003A0E02">
        <w:rPr>
          <w:szCs w:val="24"/>
        </w:rPr>
        <w:t xml:space="preserve">the applicant’s tariff rate quota entitlement for the </w:t>
      </w:r>
      <w:r w:rsidR="00FE3E4B">
        <w:rPr>
          <w:szCs w:val="24"/>
        </w:rPr>
        <w:t>quota type</w:t>
      </w:r>
      <w:r w:rsidRPr="003A0E02">
        <w:rPr>
          <w:szCs w:val="24"/>
        </w:rPr>
        <w:t xml:space="preserve"> and quota year is greater than zero</w:t>
      </w:r>
      <w:r w:rsidR="006511D1">
        <w:rPr>
          <w:szCs w:val="24"/>
        </w:rPr>
        <w:t>,</w:t>
      </w:r>
      <w:r w:rsidRPr="003A0E02">
        <w:rPr>
          <w:szCs w:val="24"/>
        </w:rPr>
        <w:t xml:space="preserve"> or</w:t>
      </w:r>
      <w:r>
        <w:rPr>
          <w:szCs w:val="24"/>
        </w:rPr>
        <w:t xml:space="preserve"> </w:t>
      </w:r>
    </w:p>
    <w:p w14:paraId="30A009C9" w14:textId="77777777" w:rsidR="006511D1" w:rsidRDefault="003A0E02" w:rsidP="000F6D46">
      <w:pPr>
        <w:pStyle w:val="Normal-em"/>
        <w:numPr>
          <w:ilvl w:val="0"/>
          <w:numId w:val="39"/>
        </w:numPr>
        <w:spacing w:after="0" w:line="240" w:lineRule="auto"/>
        <w:rPr>
          <w:szCs w:val="24"/>
        </w:rPr>
      </w:pPr>
      <w:r w:rsidRPr="003A0E02">
        <w:rPr>
          <w:szCs w:val="24"/>
        </w:rPr>
        <w:t xml:space="preserve">if the applicant is a new entrant for the </w:t>
      </w:r>
      <w:r w:rsidR="00FE3E4B">
        <w:rPr>
          <w:szCs w:val="24"/>
        </w:rPr>
        <w:t>quota type</w:t>
      </w:r>
      <w:r w:rsidRPr="003A0E02">
        <w:rPr>
          <w:szCs w:val="24"/>
        </w:rPr>
        <w:t xml:space="preserve"> and quota year, the applicant’s new entrant available amount for the </w:t>
      </w:r>
      <w:r w:rsidR="00FE3E4B">
        <w:rPr>
          <w:szCs w:val="24"/>
        </w:rPr>
        <w:t>quota type</w:t>
      </w:r>
      <w:r w:rsidRPr="003A0E02">
        <w:rPr>
          <w:szCs w:val="24"/>
        </w:rPr>
        <w:t xml:space="preserve"> and quota year is greater than zero</w:t>
      </w:r>
      <w:r w:rsidR="006511D1">
        <w:rPr>
          <w:szCs w:val="24"/>
        </w:rPr>
        <w:t>,</w:t>
      </w:r>
      <w:r w:rsidRPr="003A0E02">
        <w:rPr>
          <w:szCs w:val="24"/>
        </w:rPr>
        <w:t xml:space="preserve"> or </w:t>
      </w:r>
    </w:p>
    <w:p w14:paraId="64B2606E" w14:textId="77777777" w:rsidR="006511D1" w:rsidRDefault="003A0E02" w:rsidP="000F6D46">
      <w:pPr>
        <w:pStyle w:val="Normal-em"/>
        <w:numPr>
          <w:ilvl w:val="0"/>
          <w:numId w:val="39"/>
        </w:numPr>
        <w:spacing w:after="0" w:line="240" w:lineRule="auto"/>
        <w:rPr>
          <w:szCs w:val="24"/>
        </w:rPr>
      </w:pPr>
      <w:proofErr w:type="gramStart"/>
      <w:r w:rsidRPr="003A0E02">
        <w:rPr>
          <w:szCs w:val="24"/>
        </w:rPr>
        <w:t>the</w:t>
      </w:r>
      <w:proofErr w:type="gramEnd"/>
      <w:r w:rsidRPr="003A0E02">
        <w:rPr>
          <w:szCs w:val="24"/>
        </w:rPr>
        <w:t xml:space="preserve"> uncommitted standard access amount for the </w:t>
      </w:r>
      <w:r w:rsidR="00FE3E4B">
        <w:rPr>
          <w:szCs w:val="24"/>
        </w:rPr>
        <w:t>quota type</w:t>
      </w:r>
      <w:r w:rsidRPr="003A0E02">
        <w:rPr>
          <w:szCs w:val="24"/>
        </w:rPr>
        <w:t xml:space="preserve"> and q</w:t>
      </w:r>
      <w:r w:rsidR="006511D1">
        <w:rPr>
          <w:szCs w:val="24"/>
        </w:rPr>
        <w:t xml:space="preserve">uota year is greater than zero. </w:t>
      </w:r>
    </w:p>
    <w:p w14:paraId="43B7F6DF" w14:textId="22B4E110" w:rsidR="003A0E02" w:rsidRPr="006511D1" w:rsidRDefault="003A0E02" w:rsidP="006511D1">
      <w:pPr>
        <w:pStyle w:val="Normal-em"/>
        <w:spacing w:after="0" w:line="240" w:lineRule="auto"/>
        <w:rPr>
          <w:szCs w:val="24"/>
        </w:rPr>
      </w:pPr>
      <w:r w:rsidRPr="006511D1">
        <w:rPr>
          <w:szCs w:val="24"/>
        </w:rPr>
        <w:t xml:space="preserve">This subsection includes a note that section </w:t>
      </w:r>
      <w:r w:rsidR="00FF72F4" w:rsidRPr="006511D1">
        <w:rPr>
          <w:szCs w:val="24"/>
        </w:rPr>
        <w:t>115</w:t>
      </w:r>
      <w:r w:rsidRPr="006511D1">
        <w:rPr>
          <w:szCs w:val="24"/>
        </w:rPr>
        <w:t xml:space="preserve"> deals with when the Secretary may decide not to issue a certificate.</w:t>
      </w:r>
    </w:p>
    <w:p w14:paraId="1C79972B" w14:textId="77777777" w:rsidR="003A0E02" w:rsidRDefault="003A0E02" w:rsidP="003A0E02">
      <w:pPr>
        <w:pStyle w:val="Normal-em"/>
        <w:spacing w:after="0" w:line="240" w:lineRule="auto"/>
        <w:rPr>
          <w:szCs w:val="24"/>
        </w:rPr>
      </w:pPr>
    </w:p>
    <w:p w14:paraId="4B1680DF" w14:textId="102AF277" w:rsidR="003A0E02" w:rsidRDefault="003A0E02" w:rsidP="003A0E02">
      <w:pPr>
        <w:pStyle w:val="Normal-em"/>
        <w:spacing w:after="0" w:line="240" w:lineRule="auto"/>
        <w:rPr>
          <w:szCs w:val="24"/>
        </w:rPr>
      </w:pPr>
      <w:r>
        <w:rPr>
          <w:szCs w:val="24"/>
        </w:rPr>
        <w:t xml:space="preserve">Subsection </w:t>
      </w:r>
      <w:r w:rsidR="00892FD1">
        <w:rPr>
          <w:szCs w:val="24"/>
        </w:rPr>
        <w:t>36</w:t>
      </w:r>
      <w:r>
        <w:rPr>
          <w:szCs w:val="24"/>
        </w:rPr>
        <w:t>(3) provides that i</w:t>
      </w:r>
      <w:r w:rsidRPr="003A0E02">
        <w:rPr>
          <w:szCs w:val="24"/>
        </w:rPr>
        <w:t>f the applicant is a new entrant, the certificate must be issued for the lesser of the weight of the consignment applied for</w:t>
      </w:r>
      <w:r w:rsidR="006511D1">
        <w:rPr>
          <w:szCs w:val="24"/>
        </w:rPr>
        <w:t>,</w:t>
      </w:r>
      <w:r w:rsidRPr="003A0E02">
        <w:rPr>
          <w:szCs w:val="24"/>
        </w:rPr>
        <w:t xml:space="preserve"> and the sum of the applicant’s tariff rate quota entitlement, the applicant’s new entrant available amount and the uncommitted standard access amount at the time the Secretary </w:t>
      </w:r>
      <w:r w:rsidR="00190840">
        <w:rPr>
          <w:szCs w:val="24"/>
        </w:rPr>
        <w:t>deals with</w:t>
      </w:r>
      <w:r w:rsidRPr="003A0E02">
        <w:rPr>
          <w:szCs w:val="24"/>
        </w:rPr>
        <w:t xml:space="preserve"> the </w:t>
      </w:r>
      <w:r w:rsidR="00190840">
        <w:rPr>
          <w:szCs w:val="24"/>
        </w:rPr>
        <w:t>application</w:t>
      </w:r>
      <w:r w:rsidRPr="003A0E02">
        <w:rPr>
          <w:szCs w:val="24"/>
        </w:rPr>
        <w:t>.</w:t>
      </w:r>
      <w:r w:rsidR="006511D1">
        <w:rPr>
          <w:szCs w:val="24"/>
        </w:rPr>
        <w:t xml:space="preserve"> This ensures that a certificate cannot be issued for an amount greater than what a new entrant has access to.</w:t>
      </w:r>
    </w:p>
    <w:p w14:paraId="239A7ED1" w14:textId="77777777" w:rsidR="00450C21" w:rsidRDefault="00450C21" w:rsidP="003A0E02">
      <w:pPr>
        <w:pStyle w:val="Normal-em"/>
        <w:spacing w:after="0" w:line="240" w:lineRule="auto"/>
        <w:rPr>
          <w:szCs w:val="24"/>
        </w:rPr>
      </w:pPr>
    </w:p>
    <w:p w14:paraId="74CD9684" w14:textId="5AA4816E" w:rsidR="00450C21" w:rsidRPr="003A0E02" w:rsidRDefault="00A8189C" w:rsidP="003A0E02">
      <w:pPr>
        <w:pStyle w:val="Normal-em"/>
        <w:spacing w:after="0" w:line="240" w:lineRule="auto"/>
        <w:rPr>
          <w:szCs w:val="24"/>
        </w:rPr>
      </w:pPr>
      <w:r>
        <w:rPr>
          <w:szCs w:val="24"/>
        </w:rPr>
        <w:t>For clarity, t</w:t>
      </w:r>
      <w:r w:rsidR="00450C21">
        <w:rPr>
          <w:szCs w:val="24"/>
        </w:rPr>
        <w:t xml:space="preserve">his subsection includes a note that </w:t>
      </w:r>
      <w:r w:rsidR="00450C21">
        <w:t xml:space="preserve">a new entrant might have obtained a tariff rate quota entitlement by a transfer of entitlement under section </w:t>
      </w:r>
      <w:r w:rsidR="00892FD1">
        <w:t>37</w:t>
      </w:r>
      <w:r>
        <w:t>.</w:t>
      </w:r>
    </w:p>
    <w:p w14:paraId="4C99CF71" w14:textId="77777777" w:rsidR="003A0E02" w:rsidRDefault="003A0E02" w:rsidP="003A0E02">
      <w:pPr>
        <w:spacing w:line="240" w:lineRule="auto"/>
      </w:pPr>
    </w:p>
    <w:p w14:paraId="3123C618" w14:textId="74063203" w:rsidR="003A0E02" w:rsidRPr="003A0E02" w:rsidRDefault="003A0E02" w:rsidP="003A0E02">
      <w:pPr>
        <w:pStyle w:val="Normal-em"/>
        <w:spacing w:after="0" w:line="240" w:lineRule="auto"/>
        <w:rPr>
          <w:szCs w:val="24"/>
        </w:rPr>
      </w:pPr>
      <w:r>
        <w:rPr>
          <w:szCs w:val="24"/>
        </w:rPr>
        <w:t xml:space="preserve">Subsection </w:t>
      </w:r>
      <w:r w:rsidR="00892FD1">
        <w:rPr>
          <w:szCs w:val="24"/>
        </w:rPr>
        <w:t>36</w:t>
      </w:r>
      <w:r>
        <w:rPr>
          <w:szCs w:val="24"/>
        </w:rPr>
        <w:t>(4) provides that i</w:t>
      </w:r>
      <w:r w:rsidRPr="003A0E02">
        <w:rPr>
          <w:szCs w:val="24"/>
        </w:rPr>
        <w:t xml:space="preserve">f the applicant is not a new entrant, the certificate must be issued for the lesser of the weight of the consignment applied for and the sum of the applicant’s tariff rate quota entitlement and the uncommitted standard access amount at the time the Secretary </w:t>
      </w:r>
      <w:r w:rsidR="00190840">
        <w:rPr>
          <w:szCs w:val="24"/>
        </w:rPr>
        <w:t>deals with</w:t>
      </w:r>
      <w:r w:rsidRPr="003A0E02">
        <w:rPr>
          <w:szCs w:val="24"/>
        </w:rPr>
        <w:t xml:space="preserve"> the </w:t>
      </w:r>
      <w:r w:rsidR="00190840">
        <w:rPr>
          <w:szCs w:val="24"/>
        </w:rPr>
        <w:t>application</w:t>
      </w:r>
      <w:r w:rsidRPr="003A0E02">
        <w:rPr>
          <w:szCs w:val="24"/>
        </w:rPr>
        <w:t>.</w:t>
      </w:r>
      <w:r w:rsidR="00A8189C">
        <w:rPr>
          <w:szCs w:val="24"/>
        </w:rPr>
        <w:t xml:space="preserve"> This ensures that a certificate cannot be issued for an amount greater than what the applicant has access to.</w:t>
      </w:r>
    </w:p>
    <w:p w14:paraId="7461B75E" w14:textId="77777777" w:rsidR="003A0E02" w:rsidRDefault="003A0E02" w:rsidP="00320582">
      <w:pPr>
        <w:spacing w:line="240" w:lineRule="auto"/>
        <w:rPr>
          <w:sz w:val="24"/>
          <w:szCs w:val="24"/>
        </w:rPr>
      </w:pPr>
    </w:p>
    <w:p w14:paraId="553B49D1" w14:textId="2CB9858B" w:rsidR="003A0E02" w:rsidRPr="003A0E02" w:rsidRDefault="003A0E02" w:rsidP="003A0E02">
      <w:pPr>
        <w:pStyle w:val="Normal-em"/>
        <w:spacing w:after="0" w:line="240" w:lineRule="auto"/>
        <w:rPr>
          <w:szCs w:val="24"/>
        </w:rPr>
      </w:pPr>
      <w:r>
        <w:rPr>
          <w:szCs w:val="24"/>
        </w:rPr>
        <w:t xml:space="preserve">Subsection </w:t>
      </w:r>
      <w:r w:rsidR="00892FD1">
        <w:rPr>
          <w:szCs w:val="24"/>
        </w:rPr>
        <w:t>36</w:t>
      </w:r>
      <w:r>
        <w:rPr>
          <w:szCs w:val="24"/>
        </w:rPr>
        <w:t xml:space="preserve">(5) provides that </w:t>
      </w:r>
      <w:r w:rsidR="00F86BF2">
        <w:rPr>
          <w:szCs w:val="24"/>
        </w:rPr>
        <w:t>i</w:t>
      </w:r>
      <w:r w:rsidR="00F86BF2">
        <w:t xml:space="preserve">f the applicant’s tariff rate quota entitlement for the quota type and quota year is greater than zero at the time the Secretary </w:t>
      </w:r>
      <w:r w:rsidR="00190840">
        <w:t>deals with</w:t>
      </w:r>
      <w:r w:rsidR="00F86BF2">
        <w:t xml:space="preserve"> the </w:t>
      </w:r>
      <w:r w:rsidR="00190840">
        <w:t>application</w:t>
      </w:r>
      <w:r w:rsidR="00F86BF2">
        <w:t>, the applicant’s tariff rate quota entitlement is reduced (but not below zero) by the weight for which the tariff rate quota certificate is issued.</w:t>
      </w:r>
      <w:r w:rsidR="00A8189C">
        <w:t xml:space="preserve">  This makes clear that an entitlement is always deducted ahead of any new entrant available amount or any uncommitted standard access amount.</w:t>
      </w:r>
    </w:p>
    <w:p w14:paraId="64A169A3" w14:textId="77777777" w:rsidR="003A0E02" w:rsidRDefault="003A0E02" w:rsidP="00320582">
      <w:pPr>
        <w:spacing w:line="240" w:lineRule="auto"/>
        <w:rPr>
          <w:sz w:val="24"/>
          <w:szCs w:val="24"/>
        </w:rPr>
      </w:pPr>
    </w:p>
    <w:p w14:paraId="3BCBC27F" w14:textId="6444E110" w:rsidR="00F86BF2" w:rsidRPr="004C09F5" w:rsidRDefault="003A0E02" w:rsidP="004C09F5">
      <w:pPr>
        <w:pStyle w:val="Normal-em"/>
        <w:spacing w:after="0" w:line="240" w:lineRule="auto"/>
        <w:rPr>
          <w:szCs w:val="24"/>
        </w:rPr>
      </w:pPr>
      <w:r w:rsidRPr="00A101D9">
        <w:rPr>
          <w:szCs w:val="24"/>
        </w:rPr>
        <w:t xml:space="preserve">Subsection </w:t>
      </w:r>
      <w:r w:rsidR="00892FD1">
        <w:rPr>
          <w:szCs w:val="24"/>
        </w:rPr>
        <w:t>36</w:t>
      </w:r>
      <w:r w:rsidRPr="00A101D9">
        <w:rPr>
          <w:szCs w:val="24"/>
        </w:rPr>
        <w:t xml:space="preserve">(6) provides that </w:t>
      </w:r>
      <w:r w:rsidR="00F86BF2" w:rsidRPr="00A101D9">
        <w:rPr>
          <w:szCs w:val="24"/>
        </w:rPr>
        <w:t xml:space="preserve">if the applicant is a new entrant for the quota type and quota year, the certificate is taken to be issued </w:t>
      </w:r>
      <w:r w:rsidR="00F86BF2" w:rsidRPr="004C09F5">
        <w:rPr>
          <w:szCs w:val="24"/>
        </w:rPr>
        <w:t>using new entrant access quota</w:t>
      </w:r>
      <w:r w:rsidR="00F86BF2" w:rsidRPr="00A101D9">
        <w:rPr>
          <w:szCs w:val="24"/>
        </w:rPr>
        <w:t xml:space="preserve"> for the lesser of</w:t>
      </w:r>
      <w:r w:rsidR="0026053B">
        <w:rPr>
          <w:szCs w:val="24"/>
        </w:rPr>
        <w:t xml:space="preserve"> the following weights</w:t>
      </w:r>
      <w:r w:rsidR="00F86BF2" w:rsidRPr="00A101D9">
        <w:rPr>
          <w:szCs w:val="24"/>
        </w:rPr>
        <w:t>:</w:t>
      </w:r>
    </w:p>
    <w:p w14:paraId="12F14F8A" w14:textId="6D40E667" w:rsidR="00F86BF2" w:rsidRPr="00A101D9" w:rsidRDefault="00F86BF2" w:rsidP="00D868E2">
      <w:pPr>
        <w:pStyle w:val="Normal-em"/>
        <w:numPr>
          <w:ilvl w:val="0"/>
          <w:numId w:val="26"/>
        </w:numPr>
        <w:spacing w:after="0" w:line="240" w:lineRule="auto"/>
        <w:ind w:left="426"/>
        <w:rPr>
          <w:szCs w:val="24"/>
        </w:rPr>
      </w:pPr>
      <w:r w:rsidRPr="00A101D9">
        <w:rPr>
          <w:szCs w:val="24"/>
        </w:rPr>
        <w:t xml:space="preserve">if the applicant does not have a tariff rate quota entitlement for the quota type and quota year at the time the Secretary </w:t>
      </w:r>
      <w:r w:rsidR="00190840">
        <w:rPr>
          <w:szCs w:val="24"/>
        </w:rPr>
        <w:t>deals with</w:t>
      </w:r>
      <w:r w:rsidRPr="00A101D9">
        <w:rPr>
          <w:szCs w:val="24"/>
        </w:rPr>
        <w:t xml:space="preserve"> the </w:t>
      </w:r>
      <w:r w:rsidR="00190840">
        <w:rPr>
          <w:szCs w:val="24"/>
        </w:rPr>
        <w:t>application</w:t>
      </w:r>
      <w:r w:rsidR="00A101D9">
        <w:rPr>
          <w:szCs w:val="24"/>
        </w:rPr>
        <w:t xml:space="preserve">, </w:t>
      </w:r>
      <w:r w:rsidRPr="00A101D9">
        <w:rPr>
          <w:szCs w:val="24"/>
        </w:rPr>
        <w:t>the weight for which the tariff rate quota certificate is issued</w:t>
      </w:r>
      <w:r w:rsidR="00A8189C">
        <w:rPr>
          <w:szCs w:val="24"/>
        </w:rPr>
        <w:t>;</w:t>
      </w:r>
    </w:p>
    <w:p w14:paraId="4E852CF6" w14:textId="6DD3F108" w:rsidR="00F86BF2" w:rsidRPr="00A101D9" w:rsidRDefault="00F86BF2" w:rsidP="00D868E2">
      <w:pPr>
        <w:pStyle w:val="Normal-em"/>
        <w:numPr>
          <w:ilvl w:val="0"/>
          <w:numId w:val="26"/>
        </w:numPr>
        <w:spacing w:after="0" w:line="240" w:lineRule="auto"/>
        <w:ind w:left="426"/>
        <w:rPr>
          <w:szCs w:val="24"/>
        </w:rPr>
      </w:pPr>
      <w:r w:rsidRPr="00A101D9">
        <w:rPr>
          <w:szCs w:val="24"/>
        </w:rPr>
        <w:t>if the applicant does have such an entitlement</w:t>
      </w:r>
      <w:r w:rsidR="00A101D9">
        <w:rPr>
          <w:szCs w:val="24"/>
        </w:rPr>
        <w:t xml:space="preserve">, </w:t>
      </w:r>
      <w:r w:rsidRPr="00A101D9">
        <w:rPr>
          <w:szCs w:val="24"/>
        </w:rPr>
        <w:t>the difference between the weight for which the tariff rate quota certificate is issued and that entitlement</w:t>
      </w:r>
      <w:r w:rsidR="00A8189C">
        <w:rPr>
          <w:szCs w:val="24"/>
        </w:rPr>
        <w:t>;</w:t>
      </w:r>
    </w:p>
    <w:p w14:paraId="661AAC50" w14:textId="0949DE27" w:rsidR="00F86BF2" w:rsidRDefault="00F86BF2" w:rsidP="00D868E2">
      <w:pPr>
        <w:pStyle w:val="Normal-em"/>
        <w:numPr>
          <w:ilvl w:val="0"/>
          <w:numId w:val="26"/>
        </w:numPr>
        <w:spacing w:after="0" w:line="240" w:lineRule="auto"/>
        <w:ind w:left="426"/>
        <w:rPr>
          <w:szCs w:val="24"/>
        </w:rPr>
      </w:pPr>
      <w:proofErr w:type="gramStart"/>
      <w:r w:rsidRPr="00A101D9">
        <w:rPr>
          <w:szCs w:val="24"/>
        </w:rPr>
        <w:t>the</w:t>
      </w:r>
      <w:proofErr w:type="gramEnd"/>
      <w:r w:rsidRPr="00A101D9">
        <w:rPr>
          <w:szCs w:val="24"/>
        </w:rPr>
        <w:t xml:space="preserve"> applicant’s new entrant available amount for the quota type and quota year at the time the Secretary </w:t>
      </w:r>
      <w:r w:rsidR="00190840">
        <w:rPr>
          <w:szCs w:val="24"/>
        </w:rPr>
        <w:t>deals with</w:t>
      </w:r>
      <w:r w:rsidRPr="00A101D9">
        <w:rPr>
          <w:szCs w:val="24"/>
        </w:rPr>
        <w:t xml:space="preserve"> the </w:t>
      </w:r>
      <w:r w:rsidR="00190840">
        <w:rPr>
          <w:szCs w:val="24"/>
        </w:rPr>
        <w:t>application</w:t>
      </w:r>
      <w:r w:rsidRPr="00A101D9">
        <w:rPr>
          <w:szCs w:val="24"/>
        </w:rPr>
        <w:t>.</w:t>
      </w:r>
    </w:p>
    <w:p w14:paraId="76D2A43B" w14:textId="48BC041D" w:rsidR="00A8189C" w:rsidRPr="00A101D9" w:rsidRDefault="00A8189C" w:rsidP="00A8189C">
      <w:pPr>
        <w:pStyle w:val="Normal-em"/>
        <w:spacing w:after="0" w:line="240" w:lineRule="auto"/>
        <w:rPr>
          <w:szCs w:val="24"/>
        </w:rPr>
      </w:pPr>
      <w:r>
        <w:rPr>
          <w:szCs w:val="24"/>
        </w:rPr>
        <w:t>This ensures certificates cannot be issued for amounts greater than what is available to the new entrant.</w:t>
      </w:r>
    </w:p>
    <w:p w14:paraId="132D9DC3" w14:textId="40B00D9E" w:rsidR="003A0E02" w:rsidRPr="003B3F49" w:rsidRDefault="003A0E02" w:rsidP="003B3F49">
      <w:pPr>
        <w:pStyle w:val="Normal-em"/>
        <w:spacing w:after="0" w:line="240" w:lineRule="auto"/>
        <w:rPr>
          <w:szCs w:val="24"/>
        </w:rPr>
      </w:pPr>
    </w:p>
    <w:p w14:paraId="664F4FF0" w14:textId="417B0C29" w:rsidR="00F37DEA" w:rsidRPr="00FB5082" w:rsidRDefault="003A0E02" w:rsidP="004C09F5">
      <w:pPr>
        <w:pStyle w:val="Normal-em"/>
        <w:spacing w:after="0" w:line="240" w:lineRule="auto"/>
        <w:rPr>
          <w:szCs w:val="24"/>
        </w:rPr>
      </w:pPr>
      <w:r w:rsidRPr="00FB5082">
        <w:rPr>
          <w:szCs w:val="24"/>
        </w:rPr>
        <w:t xml:space="preserve">Subsection </w:t>
      </w:r>
      <w:r w:rsidR="00892FD1">
        <w:rPr>
          <w:szCs w:val="24"/>
        </w:rPr>
        <w:t>36</w:t>
      </w:r>
      <w:r w:rsidRPr="00FB5082">
        <w:rPr>
          <w:szCs w:val="24"/>
        </w:rPr>
        <w:t>(7) provides that</w:t>
      </w:r>
      <w:r w:rsidR="004B2AB3" w:rsidRPr="00FB5082">
        <w:rPr>
          <w:szCs w:val="24"/>
        </w:rPr>
        <w:t xml:space="preserve"> </w:t>
      </w:r>
      <w:r w:rsidR="00F37DEA" w:rsidRPr="00FB5082">
        <w:rPr>
          <w:szCs w:val="24"/>
        </w:rPr>
        <w:t xml:space="preserve">the certificate is taken to be issued </w:t>
      </w:r>
      <w:r w:rsidR="00F37DEA" w:rsidRPr="004C09F5">
        <w:rPr>
          <w:szCs w:val="24"/>
        </w:rPr>
        <w:t>using standard access quota</w:t>
      </w:r>
      <w:r w:rsidR="00F37DEA" w:rsidRPr="00FB5082">
        <w:rPr>
          <w:szCs w:val="24"/>
        </w:rPr>
        <w:t xml:space="preserve"> for the following</w:t>
      </w:r>
      <w:r w:rsidR="0026053B">
        <w:rPr>
          <w:szCs w:val="24"/>
        </w:rPr>
        <w:t xml:space="preserve"> weight</w:t>
      </w:r>
      <w:r w:rsidR="00F37DEA" w:rsidRPr="00FB5082">
        <w:rPr>
          <w:szCs w:val="24"/>
        </w:rPr>
        <w:t>:</w:t>
      </w:r>
    </w:p>
    <w:p w14:paraId="0BBA8B99" w14:textId="5D60EB6D" w:rsidR="00F37DEA" w:rsidRPr="00FB5082" w:rsidRDefault="00F37DEA" w:rsidP="00D868E2">
      <w:pPr>
        <w:pStyle w:val="Normal-em"/>
        <w:numPr>
          <w:ilvl w:val="0"/>
          <w:numId w:val="27"/>
        </w:numPr>
        <w:spacing w:after="0" w:line="240" w:lineRule="auto"/>
        <w:rPr>
          <w:szCs w:val="24"/>
        </w:rPr>
      </w:pPr>
      <w:r w:rsidRPr="00FB5082">
        <w:rPr>
          <w:szCs w:val="24"/>
        </w:rPr>
        <w:lastRenderedPageBreak/>
        <w:t>if the applicant is not a new entrant for the quota type and quota year</w:t>
      </w:r>
      <w:r w:rsidR="00FB5082" w:rsidRPr="004C09F5">
        <w:rPr>
          <w:szCs w:val="24"/>
        </w:rPr>
        <w:t xml:space="preserve">, </w:t>
      </w:r>
      <w:r w:rsidRPr="00FB5082">
        <w:rPr>
          <w:szCs w:val="24"/>
        </w:rPr>
        <w:t>the weight for which the tariff rate quota certificate is issued</w:t>
      </w:r>
    </w:p>
    <w:p w14:paraId="0E8A2528" w14:textId="17854099" w:rsidR="00F37DEA" w:rsidRDefault="00F37DEA" w:rsidP="00D868E2">
      <w:pPr>
        <w:pStyle w:val="Normal-em"/>
        <w:numPr>
          <w:ilvl w:val="0"/>
          <w:numId w:val="27"/>
        </w:numPr>
        <w:spacing w:after="0" w:line="240" w:lineRule="auto"/>
        <w:rPr>
          <w:szCs w:val="24"/>
        </w:rPr>
      </w:pPr>
      <w:r w:rsidRPr="00FB5082">
        <w:rPr>
          <w:szCs w:val="24"/>
        </w:rPr>
        <w:t>if the applicant is a new entrant</w:t>
      </w:r>
      <w:r w:rsidR="00FB5082" w:rsidRPr="004C09F5">
        <w:rPr>
          <w:szCs w:val="24"/>
        </w:rPr>
        <w:t xml:space="preserve">, </w:t>
      </w:r>
      <w:r w:rsidRPr="00FB5082">
        <w:rPr>
          <w:szCs w:val="24"/>
        </w:rPr>
        <w:t>the difference between the weight for which the tariff rate quota certificate is issued and the weight for which the certificate is taken to be issued using new entrant access quota.</w:t>
      </w:r>
    </w:p>
    <w:p w14:paraId="15EA6BCD" w14:textId="05ECAF8B" w:rsidR="00A8189C" w:rsidRPr="00FB5082" w:rsidRDefault="00A8189C" w:rsidP="00A8189C">
      <w:pPr>
        <w:pStyle w:val="Normal-em"/>
        <w:spacing w:after="0" w:line="240" w:lineRule="auto"/>
        <w:rPr>
          <w:szCs w:val="24"/>
        </w:rPr>
      </w:pPr>
      <w:r>
        <w:rPr>
          <w:szCs w:val="24"/>
        </w:rPr>
        <w:t>This ensure</w:t>
      </w:r>
      <w:r w:rsidR="0026053B">
        <w:rPr>
          <w:szCs w:val="24"/>
        </w:rPr>
        <w:t>s</w:t>
      </w:r>
      <w:r>
        <w:rPr>
          <w:szCs w:val="24"/>
        </w:rPr>
        <w:t xml:space="preserve"> certificates cannot be issued for amounts greater than what is available to the </w:t>
      </w:r>
      <w:r w:rsidR="00BB3D9D">
        <w:rPr>
          <w:szCs w:val="24"/>
        </w:rPr>
        <w:t>applicant</w:t>
      </w:r>
      <w:r>
        <w:rPr>
          <w:szCs w:val="24"/>
        </w:rPr>
        <w:t>.</w:t>
      </w:r>
    </w:p>
    <w:p w14:paraId="74A450AB" w14:textId="3D074509" w:rsidR="004B2AB3" w:rsidRPr="00F93A3D" w:rsidRDefault="004B2AB3" w:rsidP="003076E4">
      <w:pPr>
        <w:spacing w:line="240" w:lineRule="auto"/>
      </w:pPr>
    </w:p>
    <w:p w14:paraId="453B0894" w14:textId="3FD822A5" w:rsidR="00C10E9A" w:rsidRDefault="00C10E9A" w:rsidP="00C10E9A">
      <w:pPr>
        <w:spacing w:line="240" w:lineRule="auto"/>
        <w:rPr>
          <w:b/>
          <w:sz w:val="24"/>
          <w:szCs w:val="24"/>
        </w:rPr>
      </w:pPr>
      <w:r>
        <w:rPr>
          <w:b/>
          <w:sz w:val="24"/>
          <w:szCs w:val="24"/>
        </w:rPr>
        <w:t>Division 4 - Transfer or return of quota</w:t>
      </w:r>
    </w:p>
    <w:p w14:paraId="04C4E724" w14:textId="77777777" w:rsidR="00C10E9A" w:rsidRDefault="00C10E9A" w:rsidP="00C10E9A">
      <w:pPr>
        <w:spacing w:line="240" w:lineRule="auto"/>
        <w:rPr>
          <w:b/>
          <w:sz w:val="24"/>
          <w:szCs w:val="24"/>
        </w:rPr>
      </w:pPr>
    </w:p>
    <w:p w14:paraId="10E40D99" w14:textId="288E6992" w:rsidR="00C10E9A" w:rsidRDefault="00C10E9A" w:rsidP="00C10E9A">
      <w:pPr>
        <w:spacing w:line="240" w:lineRule="auto"/>
        <w:rPr>
          <w:sz w:val="24"/>
          <w:szCs w:val="24"/>
          <w:u w:val="single"/>
        </w:rPr>
      </w:pPr>
      <w:r>
        <w:rPr>
          <w:sz w:val="24"/>
          <w:szCs w:val="24"/>
          <w:u w:val="single"/>
        </w:rPr>
        <w:t xml:space="preserve">Section </w:t>
      </w:r>
      <w:r w:rsidR="00892FD1">
        <w:rPr>
          <w:sz w:val="24"/>
          <w:szCs w:val="24"/>
          <w:u w:val="single"/>
        </w:rPr>
        <w:t>37</w:t>
      </w:r>
      <w:r>
        <w:rPr>
          <w:sz w:val="24"/>
          <w:szCs w:val="24"/>
          <w:u w:val="single"/>
        </w:rPr>
        <w:t xml:space="preserve"> - Transfer of tariff rate quota entitlement</w:t>
      </w:r>
    </w:p>
    <w:p w14:paraId="17EA5EEE" w14:textId="77777777" w:rsidR="00C10E9A" w:rsidRDefault="00C10E9A" w:rsidP="00C10E9A">
      <w:pPr>
        <w:spacing w:line="240" w:lineRule="auto"/>
        <w:rPr>
          <w:sz w:val="24"/>
          <w:szCs w:val="24"/>
          <w:u w:val="single"/>
        </w:rPr>
      </w:pPr>
    </w:p>
    <w:p w14:paraId="2903057B" w14:textId="7A74D65C" w:rsidR="00140F62" w:rsidRPr="00A31E9B" w:rsidRDefault="00C10E9A" w:rsidP="00C10E9A">
      <w:pPr>
        <w:spacing w:line="240" w:lineRule="auto"/>
        <w:rPr>
          <w:sz w:val="24"/>
          <w:szCs w:val="24"/>
        </w:rPr>
      </w:pPr>
      <w:r>
        <w:rPr>
          <w:sz w:val="24"/>
          <w:szCs w:val="24"/>
        </w:rPr>
        <w:t xml:space="preserve">Subsection </w:t>
      </w:r>
      <w:r w:rsidR="00892FD1">
        <w:rPr>
          <w:sz w:val="24"/>
          <w:szCs w:val="24"/>
        </w:rPr>
        <w:t>37</w:t>
      </w:r>
      <w:r>
        <w:rPr>
          <w:sz w:val="24"/>
          <w:szCs w:val="24"/>
        </w:rPr>
        <w:t>(1) provides that a</w:t>
      </w:r>
      <w:r w:rsidRPr="00A31E9B">
        <w:rPr>
          <w:sz w:val="24"/>
          <w:szCs w:val="24"/>
        </w:rPr>
        <w:t xml:space="preserve"> person (the</w:t>
      </w:r>
      <w:r w:rsidRPr="00140F62">
        <w:rPr>
          <w:sz w:val="24"/>
          <w:szCs w:val="24"/>
        </w:rPr>
        <w:t xml:space="preserve"> </w:t>
      </w:r>
      <w:r w:rsidRPr="00140F62">
        <w:rPr>
          <w:i/>
          <w:sz w:val="24"/>
          <w:szCs w:val="24"/>
        </w:rPr>
        <w:t>transferor</w:t>
      </w:r>
      <w:r w:rsidRPr="00A31E9B">
        <w:rPr>
          <w:sz w:val="24"/>
          <w:szCs w:val="24"/>
        </w:rPr>
        <w:t xml:space="preserve">) who has an amount of tariff rate quota entitlement for an </w:t>
      </w:r>
      <w:r>
        <w:rPr>
          <w:sz w:val="24"/>
          <w:szCs w:val="24"/>
        </w:rPr>
        <w:t>quota type</w:t>
      </w:r>
      <w:r w:rsidRPr="00A31E9B">
        <w:rPr>
          <w:sz w:val="24"/>
          <w:szCs w:val="24"/>
        </w:rPr>
        <w:t xml:space="preserve"> and a quota year may, at any time on or before the reclamation day for the </w:t>
      </w:r>
      <w:r>
        <w:rPr>
          <w:sz w:val="24"/>
          <w:szCs w:val="24"/>
        </w:rPr>
        <w:t>quota type</w:t>
      </w:r>
      <w:r w:rsidRPr="00A31E9B">
        <w:rPr>
          <w:sz w:val="24"/>
          <w:szCs w:val="24"/>
        </w:rPr>
        <w:t xml:space="preserve"> and quota year, make a written request to the Secretary to transfer </w:t>
      </w:r>
      <w:r w:rsidR="00BB3D9D">
        <w:rPr>
          <w:sz w:val="24"/>
          <w:szCs w:val="24"/>
        </w:rPr>
        <w:t xml:space="preserve">all or </w:t>
      </w:r>
      <w:r w:rsidR="00140F62">
        <w:rPr>
          <w:sz w:val="24"/>
          <w:szCs w:val="24"/>
        </w:rPr>
        <w:t>any</w:t>
      </w:r>
      <w:r w:rsidR="00BB3D9D">
        <w:rPr>
          <w:sz w:val="24"/>
          <w:szCs w:val="24"/>
        </w:rPr>
        <w:t xml:space="preserve"> part of that</w:t>
      </w:r>
      <w:r w:rsidRPr="00A31E9B">
        <w:rPr>
          <w:sz w:val="24"/>
          <w:szCs w:val="24"/>
        </w:rPr>
        <w:t xml:space="preserve"> amount</w:t>
      </w:r>
      <w:r w:rsidR="00140F62">
        <w:rPr>
          <w:sz w:val="24"/>
          <w:szCs w:val="24"/>
        </w:rPr>
        <w:t xml:space="preserve"> </w:t>
      </w:r>
      <w:r w:rsidRPr="00A31E9B">
        <w:rPr>
          <w:sz w:val="24"/>
          <w:szCs w:val="24"/>
        </w:rPr>
        <w:t xml:space="preserve">to an eligible person for the </w:t>
      </w:r>
      <w:r>
        <w:rPr>
          <w:sz w:val="24"/>
          <w:szCs w:val="24"/>
        </w:rPr>
        <w:t>quota type</w:t>
      </w:r>
      <w:r w:rsidRPr="00A31E9B">
        <w:rPr>
          <w:sz w:val="24"/>
          <w:szCs w:val="24"/>
        </w:rPr>
        <w:t xml:space="preserve"> (the </w:t>
      </w:r>
      <w:r w:rsidRPr="00140F62">
        <w:rPr>
          <w:i/>
          <w:sz w:val="24"/>
          <w:szCs w:val="24"/>
        </w:rPr>
        <w:t>transferee</w:t>
      </w:r>
      <w:r w:rsidRPr="00A31E9B">
        <w:rPr>
          <w:sz w:val="24"/>
          <w:szCs w:val="24"/>
        </w:rPr>
        <w:t>). The request must include the name of the transferor, the name of the transferee and the amount, in kilograms, of the entitlement to be transferred.</w:t>
      </w:r>
      <w:r w:rsidR="00140F62">
        <w:rPr>
          <w:sz w:val="24"/>
          <w:szCs w:val="24"/>
        </w:rPr>
        <w:t xml:space="preserve">  </w:t>
      </w:r>
    </w:p>
    <w:p w14:paraId="1D64388C" w14:textId="77777777" w:rsidR="00C10E9A" w:rsidRDefault="00C10E9A" w:rsidP="00C10E9A">
      <w:pPr>
        <w:spacing w:line="240" w:lineRule="auto"/>
      </w:pPr>
    </w:p>
    <w:p w14:paraId="28DA1313" w14:textId="6F507CD5" w:rsidR="00C10E9A" w:rsidRPr="00EF4B03" w:rsidRDefault="00C10E9A" w:rsidP="00C10E9A">
      <w:pPr>
        <w:spacing w:line="240" w:lineRule="auto"/>
        <w:rPr>
          <w:sz w:val="24"/>
          <w:szCs w:val="24"/>
        </w:rPr>
      </w:pPr>
      <w:r w:rsidRPr="00EF4B03">
        <w:rPr>
          <w:sz w:val="24"/>
          <w:szCs w:val="24"/>
        </w:rPr>
        <w:t xml:space="preserve">This subsection includes a note that transferring more than a </w:t>
      </w:r>
      <w:r w:rsidR="00157B4E">
        <w:rPr>
          <w:sz w:val="24"/>
          <w:szCs w:val="24"/>
        </w:rPr>
        <w:t>certain</w:t>
      </w:r>
      <w:r w:rsidRPr="00EF4B03">
        <w:rPr>
          <w:sz w:val="24"/>
          <w:szCs w:val="24"/>
        </w:rPr>
        <w:t xml:space="preserve"> amount of entitlement for a quota year will make the person ineligible to apply for an allocation of entitlement for the following 3 </w:t>
      </w:r>
      <w:r w:rsidR="00157B4E">
        <w:rPr>
          <w:sz w:val="24"/>
          <w:szCs w:val="24"/>
        </w:rPr>
        <w:t xml:space="preserve">quota </w:t>
      </w:r>
      <w:r w:rsidRPr="00EF4B03">
        <w:rPr>
          <w:sz w:val="24"/>
          <w:szCs w:val="24"/>
        </w:rPr>
        <w:t xml:space="preserve">years as outlined in subsection </w:t>
      </w:r>
      <w:r w:rsidR="001C37BA">
        <w:rPr>
          <w:sz w:val="24"/>
          <w:szCs w:val="24"/>
        </w:rPr>
        <w:t>29</w:t>
      </w:r>
      <w:r w:rsidRPr="00EF4B03">
        <w:rPr>
          <w:sz w:val="24"/>
          <w:szCs w:val="24"/>
        </w:rPr>
        <w:t>(2).</w:t>
      </w:r>
      <w:r w:rsidR="00E03D5D">
        <w:rPr>
          <w:sz w:val="24"/>
          <w:szCs w:val="24"/>
        </w:rPr>
        <w:t xml:space="preserve">  This ensures that exporters do not engage in purely trading behaviour, which can have detrimental effects on the value of the quota.</w:t>
      </w:r>
    </w:p>
    <w:p w14:paraId="511A8CEE" w14:textId="77777777" w:rsidR="00C10E9A" w:rsidRDefault="00C10E9A" w:rsidP="00C10E9A">
      <w:pPr>
        <w:spacing w:line="240" w:lineRule="auto"/>
        <w:rPr>
          <w:sz w:val="24"/>
          <w:szCs w:val="24"/>
        </w:rPr>
      </w:pPr>
    </w:p>
    <w:p w14:paraId="029D55D0" w14:textId="7DD1E97E" w:rsidR="00C10E9A" w:rsidRDefault="00C10E9A" w:rsidP="00C10E9A">
      <w:pPr>
        <w:spacing w:line="240" w:lineRule="auto"/>
        <w:rPr>
          <w:sz w:val="24"/>
          <w:szCs w:val="24"/>
        </w:rPr>
      </w:pPr>
      <w:r>
        <w:rPr>
          <w:sz w:val="24"/>
          <w:szCs w:val="24"/>
        </w:rPr>
        <w:t xml:space="preserve">Subsection </w:t>
      </w:r>
      <w:r w:rsidR="00892FD1">
        <w:rPr>
          <w:sz w:val="24"/>
          <w:szCs w:val="24"/>
        </w:rPr>
        <w:t>37</w:t>
      </w:r>
      <w:r>
        <w:rPr>
          <w:sz w:val="24"/>
          <w:szCs w:val="24"/>
        </w:rPr>
        <w:t xml:space="preserve">(2) provides that </w:t>
      </w:r>
      <w:r w:rsidRPr="00EF4B03">
        <w:rPr>
          <w:sz w:val="24"/>
          <w:szCs w:val="24"/>
        </w:rPr>
        <w:t xml:space="preserve">a new entrant for the </w:t>
      </w:r>
      <w:r>
        <w:rPr>
          <w:sz w:val="24"/>
          <w:szCs w:val="24"/>
        </w:rPr>
        <w:t>quota type</w:t>
      </w:r>
      <w:r w:rsidRPr="00EF4B03">
        <w:rPr>
          <w:sz w:val="24"/>
          <w:szCs w:val="24"/>
        </w:rPr>
        <w:t xml:space="preserve"> and quota year is not permitted to be a transferor.</w:t>
      </w:r>
      <w:r w:rsidR="00E03D5D">
        <w:rPr>
          <w:sz w:val="24"/>
          <w:szCs w:val="24"/>
        </w:rPr>
        <w:t xml:space="preserve"> The purpose of the new </w:t>
      </w:r>
      <w:r w:rsidR="001B1449">
        <w:rPr>
          <w:sz w:val="24"/>
          <w:szCs w:val="24"/>
        </w:rPr>
        <w:t xml:space="preserve">entrant </w:t>
      </w:r>
      <w:r w:rsidR="000673D3">
        <w:rPr>
          <w:sz w:val="24"/>
          <w:szCs w:val="24"/>
        </w:rPr>
        <w:t xml:space="preserve">provisions </w:t>
      </w:r>
      <w:r w:rsidR="00E03D5D">
        <w:rPr>
          <w:sz w:val="24"/>
          <w:szCs w:val="24"/>
        </w:rPr>
        <w:t xml:space="preserve">is to provide a pathway </w:t>
      </w:r>
      <w:r w:rsidR="000673D3">
        <w:rPr>
          <w:sz w:val="24"/>
          <w:szCs w:val="24"/>
        </w:rPr>
        <w:t>for a new entrant to build</w:t>
      </w:r>
      <w:r w:rsidR="00E03D5D">
        <w:rPr>
          <w:sz w:val="24"/>
          <w:szCs w:val="24"/>
        </w:rPr>
        <w:t xml:space="preserve"> a quota entitlement; the policy intent is that a new entrant should only be seeking an entitlement if they intend to use it themselves.</w:t>
      </w:r>
    </w:p>
    <w:p w14:paraId="68F1CDBF" w14:textId="77777777" w:rsidR="00C10E9A" w:rsidRDefault="00C10E9A" w:rsidP="00C10E9A">
      <w:pPr>
        <w:spacing w:line="240" w:lineRule="auto"/>
        <w:rPr>
          <w:sz w:val="24"/>
          <w:szCs w:val="24"/>
        </w:rPr>
      </w:pPr>
    </w:p>
    <w:p w14:paraId="1F6F19A5" w14:textId="48F10E5D" w:rsidR="00C10E9A" w:rsidRDefault="00C10E9A" w:rsidP="00C10E9A">
      <w:pPr>
        <w:spacing w:line="240" w:lineRule="auto"/>
        <w:rPr>
          <w:sz w:val="24"/>
          <w:szCs w:val="24"/>
        </w:rPr>
      </w:pPr>
      <w:r>
        <w:rPr>
          <w:sz w:val="24"/>
          <w:szCs w:val="24"/>
        </w:rPr>
        <w:t xml:space="preserve">Subsection </w:t>
      </w:r>
      <w:r w:rsidR="00892FD1">
        <w:rPr>
          <w:sz w:val="24"/>
          <w:szCs w:val="24"/>
        </w:rPr>
        <w:t>37</w:t>
      </w:r>
      <w:r>
        <w:rPr>
          <w:sz w:val="24"/>
          <w:szCs w:val="24"/>
        </w:rPr>
        <w:t>(3) provides that i</w:t>
      </w:r>
      <w:r w:rsidRPr="00EF4B03">
        <w:rPr>
          <w:sz w:val="24"/>
          <w:szCs w:val="24"/>
        </w:rPr>
        <w:t xml:space="preserve">f the Secretary receives a </w:t>
      </w:r>
      <w:r w:rsidR="00AE6DCB">
        <w:rPr>
          <w:sz w:val="24"/>
          <w:szCs w:val="24"/>
        </w:rPr>
        <w:t>request</w:t>
      </w:r>
      <w:r w:rsidRPr="00EF4B03">
        <w:rPr>
          <w:sz w:val="24"/>
          <w:szCs w:val="24"/>
        </w:rPr>
        <w:t xml:space="preserve"> under subsection </w:t>
      </w:r>
      <w:r w:rsidR="00892FD1">
        <w:rPr>
          <w:sz w:val="24"/>
          <w:szCs w:val="24"/>
        </w:rPr>
        <w:t>37</w:t>
      </w:r>
      <w:r w:rsidRPr="00EF4B03">
        <w:rPr>
          <w:sz w:val="24"/>
          <w:szCs w:val="24"/>
        </w:rPr>
        <w:t>(1), the amount</w:t>
      </w:r>
      <w:r w:rsidR="00AE6DCB">
        <w:rPr>
          <w:sz w:val="24"/>
          <w:szCs w:val="24"/>
        </w:rPr>
        <w:t xml:space="preserve"> is transferred</w:t>
      </w:r>
      <w:r w:rsidRPr="00EF4B03">
        <w:rPr>
          <w:sz w:val="24"/>
          <w:szCs w:val="24"/>
        </w:rPr>
        <w:t xml:space="preserve"> in accordance with the </w:t>
      </w:r>
      <w:r w:rsidR="00AE6DCB">
        <w:rPr>
          <w:sz w:val="24"/>
          <w:szCs w:val="24"/>
        </w:rPr>
        <w:t>request</w:t>
      </w:r>
      <w:r w:rsidRPr="00EF4B03">
        <w:rPr>
          <w:sz w:val="24"/>
          <w:szCs w:val="24"/>
        </w:rPr>
        <w:t>.</w:t>
      </w:r>
      <w:r w:rsidR="00E03D5D">
        <w:rPr>
          <w:sz w:val="24"/>
          <w:szCs w:val="24"/>
        </w:rPr>
        <w:t xml:space="preserve"> This reflects that exporter’s quota accounts are managed via Department systems.</w:t>
      </w:r>
    </w:p>
    <w:p w14:paraId="437706C6" w14:textId="77777777" w:rsidR="00862B4F" w:rsidRDefault="00862B4F" w:rsidP="00C10E9A">
      <w:pPr>
        <w:spacing w:line="240" w:lineRule="auto"/>
        <w:rPr>
          <w:sz w:val="24"/>
          <w:szCs w:val="24"/>
        </w:rPr>
      </w:pPr>
    </w:p>
    <w:p w14:paraId="72926FE8" w14:textId="0562E56D" w:rsidR="00862B4F" w:rsidRDefault="00862B4F" w:rsidP="00862B4F">
      <w:pPr>
        <w:spacing w:line="240" w:lineRule="auto"/>
        <w:rPr>
          <w:sz w:val="24"/>
          <w:szCs w:val="24"/>
        </w:rPr>
      </w:pPr>
      <w:r>
        <w:rPr>
          <w:sz w:val="24"/>
          <w:szCs w:val="24"/>
        </w:rPr>
        <w:t xml:space="preserve">The policy intent in allowing transfers is to recognise that an allocation process at the start of a quota year is extremely unlikely to optimise distribution perfectly, and that during the year circumstances can change.  Transfers provide a mechanism to allow tariff rate quota entitlements to adjust to meet exporter needs; that is, an exporter who does not require as much as they were allocated can transfer </w:t>
      </w:r>
      <w:r w:rsidR="003748EB">
        <w:rPr>
          <w:sz w:val="24"/>
          <w:szCs w:val="24"/>
        </w:rPr>
        <w:t xml:space="preserve">their entitlements </w:t>
      </w:r>
      <w:r>
        <w:rPr>
          <w:sz w:val="24"/>
          <w:szCs w:val="24"/>
        </w:rPr>
        <w:t>to an exporter that requires more to meet their export needs.</w:t>
      </w:r>
    </w:p>
    <w:p w14:paraId="76DC02E0" w14:textId="77777777" w:rsidR="00862B4F" w:rsidRDefault="00862B4F" w:rsidP="00862B4F">
      <w:pPr>
        <w:spacing w:line="240" w:lineRule="auto"/>
        <w:rPr>
          <w:sz w:val="24"/>
          <w:szCs w:val="24"/>
        </w:rPr>
      </w:pPr>
    </w:p>
    <w:p w14:paraId="484BB857" w14:textId="13A65C33" w:rsidR="00862B4F" w:rsidRPr="00EF4B03" w:rsidRDefault="00862B4F" w:rsidP="00862B4F">
      <w:pPr>
        <w:spacing w:line="240" w:lineRule="auto"/>
        <w:rPr>
          <w:sz w:val="24"/>
          <w:szCs w:val="24"/>
        </w:rPr>
      </w:pPr>
      <w:r>
        <w:rPr>
          <w:sz w:val="24"/>
          <w:szCs w:val="24"/>
        </w:rPr>
        <w:t>Transfers are not permitted after the reclamation day to ensure the reclaim and reallocation processes (detailed in Division 5) are not undermined.  If transfers were still allowed after that time it would not provide the needed incentive to return amounts of entitlement an exporter is not in a position to use.</w:t>
      </w:r>
    </w:p>
    <w:p w14:paraId="04377FB9" w14:textId="77777777" w:rsidR="00C10E9A" w:rsidRPr="004E5186" w:rsidRDefault="00C10E9A" w:rsidP="00C10E9A">
      <w:pPr>
        <w:spacing w:line="240" w:lineRule="auto"/>
        <w:rPr>
          <w:sz w:val="24"/>
          <w:szCs w:val="24"/>
        </w:rPr>
      </w:pPr>
    </w:p>
    <w:p w14:paraId="602B9932" w14:textId="62C0DD3A" w:rsidR="00C10E9A" w:rsidRDefault="00C10E9A" w:rsidP="00C10E9A">
      <w:pPr>
        <w:spacing w:line="240" w:lineRule="auto"/>
        <w:rPr>
          <w:sz w:val="24"/>
          <w:szCs w:val="24"/>
          <w:u w:val="single"/>
        </w:rPr>
      </w:pPr>
      <w:r>
        <w:rPr>
          <w:sz w:val="24"/>
          <w:szCs w:val="24"/>
          <w:u w:val="single"/>
        </w:rPr>
        <w:t xml:space="preserve">Section </w:t>
      </w:r>
      <w:r w:rsidR="00892FD1">
        <w:rPr>
          <w:sz w:val="24"/>
          <w:szCs w:val="24"/>
          <w:u w:val="single"/>
        </w:rPr>
        <w:t>38</w:t>
      </w:r>
      <w:r>
        <w:rPr>
          <w:sz w:val="24"/>
          <w:szCs w:val="24"/>
          <w:u w:val="single"/>
        </w:rPr>
        <w:t xml:space="preserve"> - Return of tariff rate quota entitlement</w:t>
      </w:r>
    </w:p>
    <w:p w14:paraId="03A10DD3" w14:textId="77777777" w:rsidR="00C10E9A" w:rsidRDefault="00C10E9A" w:rsidP="00C10E9A">
      <w:pPr>
        <w:spacing w:line="240" w:lineRule="auto"/>
        <w:rPr>
          <w:sz w:val="24"/>
          <w:szCs w:val="24"/>
          <w:u w:val="single"/>
        </w:rPr>
      </w:pPr>
    </w:p>
    <w:p w14:paraId="549C1864" w14:textId="1BF3D2F0" w:rsidR="00C10E9A" w:rsidRDefault="00C10E9A" w:rsidP="00C10E9A">
      <w:pPr>
        <w:spacing w:line="240" w:lineRule="auto"/>
      </w:pPr>
      <w:r>
        <w:rPr>
          <w:sz w:val="24"/>
          <w:szCs w:val="24"/>
        </w:rPr>
        <w:t xml:space="preserve">Subsection </w:t>
      </w:r>
      <w:r w:rsidR="00892FD1">
        <w:rPr>
          <w:sz w:val="24"/>
          <w:szCs w:val="24"/>
        </w:rPr>
        <w:t>38</w:t>
      </w:r>
      <w:r>
        <w:rPr>
          <w:sz w:val="24"/>
          <w:szCs w:val="24"/>
        </w:rPr>
        <w:t>(1) provides that a</w:t>
      </w:r>
      <w:r w:rsidRPr="002D6764">
        <w:rPr>
          <w:sz w:val="24"/>
          <w:szCs w:val="24"/>
        </w:rPr>
        <w:t xml:space="preserve"> person who has an amount of tariff rate quota entitlement for a </w:t>
      </w:r>
      <w:r>
        <w:rPr>
          <w:sz w:val="24"/>
          <w:szCs w:val="24"/>
        </w:rPr>
        <w:t>quota type</w:t>
      </w:r>
      <w:r w:rsidRPr="002D6764">
        <w:rPr>
          <w:sz w:val="24"/>
          <w:szCs w:val="24"/>
        </w:rPr>
        <w:t xml:space="preserve"> and a quota year may, at any time before the end of the quota year, return all or </w:t>
      </w:r>
      <w:r w:rsidRPr="002D6764">
        <w:rPr>
          <w:sz w:val="24"/>
          <w:szCs w:val="24"/>
        </w:rPr>
        <w:lastRenderedPageBreak/>
        <w:t>part of that amount by notifying the Secretary in writing of the amount, in kilograms, of the entitlement to be returned</w:t>
      </w:r>
      <w:r w:rsidRPr="00F93A3D">
        <w:t>.</w:t>
      </w:r>
    </w:p>
    <w:p w14:paraId="03608BC6" w14:textId="77777777" w:rsidR="00C10E9A" w:rsidRDefault="00C10E9A" w:rsidP="00C10E9A">
      <w:pPr>
        <w:spacing w:line="240" w:lineRule="auto"/>
      </w:pPr>
    </w:p>
    <w:p w14:paraId="29DEDD6F" w14:textId="73F004FF" w:rsidR="00C10E9A" w:rsidRPr="002D6764" w:rsidRDefault="00C10E9A" w:rsidP="00C10E9A">
      <w:pPr>
        <w:spacing w:line="240" w:lineRule="auto"/>
        <w:rPr>
          <w:sz w:val="24"/>
          <w:szCs w:val="24"/>
        </w:rPr>
      </w:pPr>
      <w:r w:rsidRPr="002D6764">
        <w:rPr>
          <w:sz w:val="24"/>
          <w:szCs w:val="24"/>
        </w:rPr>
        <w:t xml:space="preserve">Note 1 of this subsection provides that if the notice is given after the reclamation day for the quota year, the cancelled quota will be counted in determining a penalty in relation to the following quota year under section </w:t>
      </w:r>
      <w:r w:rsidR="00892FD1">
        <w:rPr>
          <w:sz w:val="24"/>
          <w:szCs w:val="24"/>
        </w:rPr>
        <w:t>33</w:t>
      </w:r>
      <w:r w:rsidRPr="002D6764">
        <w:rPr>
          <w:sz w:val="24"/>
          <w:szCs w:val="24"/>
        </w:rPr>
        <w:t>.</w:t>
      </w:r>
      <w:r w:rsidR="00953982">
        <w:rPr>
          <w:sz w:val="24"/>
          <w:szCs w:val="24"/>
        </w:rPr>
        <w:t xml:space="preserve"> This reflects that exporters should only be retaining entitlement after the reclamation day if they are able to use it; this prevents an exporter returning entitlement just before the date at which penalties are calculated</w:t>
      </w:r>
      <w:r w:rsidR="008F72EA">
        <w:rPr>
          <w:sz w:val="24"/>
          <w:szCs w:val="24"/>
        </w:rPr>
        <w:t xml:space="preserve"> in order to avoid a penalty, but after having potentially prevented other exporters using the quota.</w:t>
      </w:r>
    </w:p>
    <w:p w14:paraId="65E1AF22" w14:textId="77777777" w:rsidR="00C10E9A" w:rsidRPr="002D6764" w:rsidRDefault="00C10E9A" w:rsidP="00C10E9A">
      <w:pPr>
        <w:spacing w:line="240" w:lineRule="auto"/>
        <w:rPr>
          <w:sz w:val="24"/>
          <w:szCs w:val="24"/>
        </w:rPr>
      </w:pPr>
    </w:p>
    <w:p w14:paraId="1E0893F4" w14:textId="59FC933C" w:rsidR="00C10E9A" w:rsidRPr="002D6764" w:rsidRDefault="00C10E9A" w:rsidP="00C10E9A">
      <w:pPr>
        <w:spacing w:line="240" w:lineRule="auto"/>
        <w:rPr>
          <w:sz w:val="24"/>
          <w:szCs w:val="24"/>
        </w:rPr>
      </w:pPr>
      <w:r w:rsidRPr="002D6764">
        <w:rPr>
          <w:sz w:val="24"/>
          <w:szCs w:val="24"/>
        </w:rPr>
        <w:t xml:space="preserve">Note 2 of this subsection provides that a person may also return </w:t>
      </w:r>
      <w:r w:rsidR="003748EB">
        <w:rPr>
          <w:sz w:val="24"/>
          <w:szCs w:val="24"/>
        </w:rPr>
        <w:t xml:space="preserve">from </w:t>
      </w:r>
      <w:r w:rsidRPr="002D6764">
        <w:rPr>
          <w:sz w:val="24"/>
          <w:szCs w:val="24"/>
        </w:rPr>
        <w:t xml:space="preserve">an amount of tariff rate quota entitlement when giving a notice under section </w:t>
      </w:r>
      <w:r w:rsidR="00892FD1">
        <w:rPr>
          <w:sz w:val="24"/>
          <w:szCs w:val="24"/>
        </w:rPr>
        <w:t>39</w:t>
      </w:r>
      <w:r w:rsidRPr="002D6764">
        <w:rPr>
          <w:sz w:val="24"/>
          <w:szCs w:val="24"/>
        </w:rPr>
        <w:t>.</w:t>
      </w:r>
    </w:p>
    <w:p w14:paraId="4A20C0FF" w14:textId="77777777" w:rsidR="00C10E9A" w:rsidRDefault="00C10E9A" w:rsidP="00C10E9A">
      <w:pPr>
        <w:spacing w:line="240" w:lineRule="auto"/>
        <w:rPr>
          <w:sz w:val="24"/>
          <w:szCs w:val="24"/>
        </w:rPr>
      </w:pPr>
    </w:p>
    <w:p w14:paraId="6598C9CE" w14:textId="001C1F21" w:rsidR="00C10E9A" w:rsidRDefault="00C10E9A" w:rsidP="00C10E9A">
      <w:pPr>
        <w:spacing w:line="240" w:lineRule="auto"/>
        <w:rPr>
          <w:sz w:val="24"/>
          <w:szCs w:val="24"/>
        </w:rPr>
      </w:pPr>
      <w:r>
        <w:rPr>
          <w:sz w:val="24"/>
          <w:szCs w:val="24"/>
        </w:rPr>
        <w:t xml:space="preserve">Subsection </w:t>
      </w:r>
      <w:r w:rsidR="00892FD1">
        <w:rPr>
          <w:sz w:val="24"/>
          <w:szCs w:val="24"/>
        </w:rPr>
        <w:t>38</w:t>
      </w:r>
      <w:r>
        <w:rPr>
          <w:sz w:val="24"/>
          <w:szCs w:val="24"/>
        </w:rPr>
        <w:t>(2) provides that i</w:t>
      </w:r>
      <w:r w:rsidRPr="002D6764">
        <w:rPr>
          <w:sz w:val="24"/>
          <w:szCs w:val="24"/>
        </w:rPr>
        <w:t>f the Secretary receives a notice under subsection </w:t>
      </w:r>
      <w:r w:rsidR="00892FD1">
        <w:rPr>
          <w:sz w:val="24"/>
          <w:szCs w:val="24"/>
        </w:rPr>
        <w:t>38</w:t>
      </w:r>
      <w:r w:rsidRPr="002D6764">
        <w:rPr>
          <w:sz w:val="24"/>
          <w:szCs w:val="24"/>
        </w:rPr>
        <w:t>(1), the amount of the person’s tariff rate quota entitlement stated in the notice</w:t>
      </w:r>
      <w:r w:rsidR="00AE6DCB">
        <w:rPr>
          <w:sz w:val="24"/>
          <w:szCs w:val="24"/>
        </w:rPr>
        <w:t xml:space="preserve"> is cancelled</w:t>
      </w:r>
      <w:r w:rsidRPr="002D6764">
        <w:rPr>
          <w:sz w:val="24"/>
          <w:szCs w:val="24"/>
        </w:rPr>
        <w:t>.</w:t>
      </w:r>
    </w:p>
    <w:p w14:paraId="25F39D74" w14:textId="77777777" w:rsidR="004B2AB3" w:rsidRPr="00C97325" w:rsidRDefault="004B2AB3" w:rsidP="00320582">
      <w:pPr>
        <w:spacing w:line="240" w:lineRule="auto"/>
        <w:rPr>
          <w:sz w:val="24"/>
          <w:szCs w:val="24"/>
        </w:rPr>
      </w:pPr>
    </w:p>
    <w:p w14:paraId="51FAEE3A" w14:textId="4C825D87" w:rsidR="00320582" w:rsidRDefault="00610829" w:rsidP="00320582">
      <w:pPr>
        <w:spacing w:line="240" w:lineRule="auto"/>
        <w:rPr>
          <w:b/>
          <w:sz w:val="24"/>
          <w:szCs w:val="24"/>
        </w:rPr>
      </w:pPr>
      <w:r>
        <w:rPr>
          <w:b/>
          <w:sz w:val="24"/>
          <w:szCs w:val="24"/>
        </w:rPr>
        <w:t xml:space="preserve">Division </w:t>
      </w:r>
      <w:r w:rsidR="00445834">
        <w:rPr>
          <w:b/>
          <w:sz w:val="24"/>
          <w:szCs w:val="24"/>
        </w:rPr>
        <w:t>5</w:t>
      </w:r>
      <w:r>
        <w:rPr>
          <w:b/>
          <w:sz w:val="24"/>
          <w:szCs w:val="24"/>
        </w:rPr>
        <w:t xml:space="preserve"> - Reclamation and reallocation of quota</w:t>
      </w:r>
    </w:p>
    <w:p w14:paraId="16C5D543" w14:textId="77777777" w:rsidR="00610829" w:rsidRDefault="00610829" w:rsidP="00320582">
      <w:pPr>
        <w:spacing w:line="240" w:lineRule="auto"/>
        <w:rPr>
          <w:b/>
          <w:sz w:val="24"/>
          <w:szCs w:val="24"/>
        </w:rPr>
      </w:pPr>
    </w:p>
    <w:p w14:paraId="3E933957" w14:textId="25657945" w:rsidR="00610829" w:rsidRDefault="00610829" w:rsidP="00320582">
      <w:pPr>
        <w:spacing w:line="240" w:lineRule="auto"/>
        <w:rPr>
          <w:b/>
          <w:sz w:val="24"/>
          <w:szCs w:val="24"/>
        </w:rPr>
      </w:pPr>
      <w:r>
        <w:rPr>
          <w:b/>
          <w:sz w:val="24"/>
          <w:szCs w:val="24"/>
        </w:rPr>
        <w:t xml:space="preserve">Subdivision </w:t>
      </w:r>
      <w:proofErr w:type="gramStart"/>
      <w:r>
        <w:rPr>
          <w:b/>
          <w:sz w:val="24"/>
          <w:szCs w:val="24"/>
        </w:rPr>
        <w:t>A</w:t>
      </w:r>
      <w:proofErr w:type="gramEnd"/>
      <w:r>
        <w:rPr>
          <w:b/>
          <w:sz w:val="24"/>
          <w:szCs w:val="24"/>
        </w:rPr>
        <w:t xml:space="preserve"> - Reclamation</w:t>
      </w:r>
    </w:p>
    <w:p w14:paraId="310B9BD1" w14:textId="77777777" w:rsidR="00610829" w:rsidRDefault="00610829" w:rsidP="00320582">
      <w:pPr>
        <w:spacing w:line="240" w:lineRule="auto"/>
        <w:rPr>
          <w:b/>
          <w:sz w:val="24"/>
          <w:szCs w:val="24"/>
        </w:rPr>
      </w:pPr>
    </w:p>
    <w:p w14:paraId="40EA0576" w14:textId="51E2D9ED" w:rsidR="00610829" w:rsidRDefault="00610829" w:rsidP="00320582">
      <w:pPr>
        <w:spacing w:line="240" w:lineRule="auto"/>
        <w:rPr>
          <w:sz w:val="24"/>
          <w:szCs w:val="24"/>
          <w:u w:val="single"/>
        </w:rPr>
      </w:pPr>
      <w:r>
        <w:rPr>
          <w:sz w:val="24"/>
          <w:szCs w:val="24"/>
          <w:u w:val="single"/>
        </w:rPr>
        <w:t xml:space="preserve">Section </w:t>
      </w:r>
      <w:r w:rsidR="00892FD1">
        <w:rPr>
          <w:sz w:val="24"/>
          <w:szCs w:val="24"/>
          <w:u w:val="single"/>
        </w:rPr>
        <w:t>39</w:t>
      </w:r>
      <w:r>
        <w:rPr>
          <w:sz w:val="24"/>
          <w:szCs w:val="24"/>
          <w:u w:val="single"/>
        </w:rPr>
        <w:t xml:space="preserve"> - Notice before reclamation day</w:t>
      </w:r>
    </w:p>
    <w:p w14:paraId="0FB15268" w14:textId="77777777" w:rsidR="00610829" w:rsidRDefault="00610829" w:rsidP="00320582">
      <w:pPr>
        <w:spacing w:line="240" w:lineRule="auto"/>
        <w:rPr>
          <w:sz w:val="24"/>
          <w:szCs w:val="24"/>
          <w:u w:val="single"/>
        </w:rPr>
      </w:pPr>
    </w:p>
    <w:p w14:paraId="15ABDB95" w14:textId="06CF47FF" w:rsidR="0011502F" w:rsidRDefault="0011502F" w:rsidP="0011502F">
      <w:pPr>
        <w:pStyle w:val="Normal-em"/>
        <w:spacing w:after="0" w:line="240" w:lineRule="auto"/>
        <w:rPr>
          <w:szCs w:val="24"/>
        </w:rPr>
      </w:pPr>
      <w:r>
        <w:rPr>
          <w:szCs w:val="24"/>
        </w:rPr>
        <w:t xml:space="preserve">Subsection </w:t>
      </w:r>
      <w:r w:rsidR="00892FD1">
        <w:rPr>
          <w:szCs w:val="24"/>
        </w:rPr>
        <w:t>39</w:t>
      </w:r>
      <w:r>
        <w:rPr>
          <w:szCs w:val="24"/>
        </w:rPr>
        <w:t>(1) provides that a</w:t>
      </w:r>
      <w:r w:rsidRPr="0011502F">
        <w:rPr>
          <w:szCs w:val="24"/>
        </w:rPr>
        <w:t xml:space="preserve"> person who has a tariff rate quota entitlement for a </w:t>
      </w:r>
      <w:r w:rsidR="00FE3E4B">
        <w:rPr>
          <w:szCs w:val="24"/>
        </w:rPr>
        <w:t>quota type</w:t>
      </w:r>
      <w:r w:rsidRPr="0011502F">
        <w:rPr>
          <w:szCs w:val="24"/>
        </w:rPr>
        <w:t xml:space="preserve"> and a quota year must give the Secretary a written notice under this section on or before the reclamation day for the </w:t>
      </w:r>
      <w:r w:rsidR="00FE3E4B">
        <w:rPr>
          <w:szCs w:val="24"/>
        </w:rPr>
        <w:t>quota type</w:t>
      </w:r>
      <w:r w:rsidRPr="0011502F">
        <w:rPr>
          <w:szCs w:val="24"/>
        </w:rPr>
        <w:t xml:space="preserve"> and quota year.</w:t>
      </w:r>
    </w:p>
    <w:p w14:paraId="7F0F569C" w14:textId="77777777" w:rsidR="0011502F" w:rsidRDefault="0011502F" w:rsidP="0011502F">
      <w:pPr>
        <w:pStyle w:val="Normal-em"/>
        <w:spacing w:after="0" w:line="240" w:lineRule="auto"/>
        <w:rPr>
          <w:szCs w:val="24"/>
        </w:rPr>
      </w:pPr>
    </w:p>
    <w:p w14:paraId="36B4D1DC" w14:textId="22C40242" w:rsidR="0011502F" w:rsidRDefault="003748EB" w:rsidP="0011502F">
      <w:pPr>
        <w:pStyle w:val="Normal-em"/>
        <w:spacing w:after="0" w:line="240" w:lineRule="auto"/>
        <w:rPr>
          <w:szCs w:val="24"/>
        </w:rPr>
      </w:pPr>
      <w:r>
        <w:rPr>
          <w:szCs w:val="24"/>
        </w:rPr>
        <w:t xml:space="preserve">Subsection </w:t>
      </w:r>
      <w:r w:rsidR="00892FD1">
        <w:rPr>
          <w:szCs w:val="24"/>
        </w:rPr>
        <w:t>39</w:t>
      </w:r>
      <w:r w:rsidR="0011502F">
        <w:rPr>
          <w:szCs w:val="24"/>
        </w:rPr>
        <w:t>(2</w:t>
      </w:r>
      <w:proofErr w:type="gramStart"/>
      <w:r w:rsidR="0011502F">
        <w:rPr>
          <w:szCs w:val="24"/>
        </w:rPr>
        <w:t>)</w:t>
      </w:r>
      <w:r w:rsidR="00AF5235">
        <w:rPr>
          <w:szCs w:val="24"/>
        </w:rPr>
        <w:t>(</w:t>
      </w:r>
      <w:proofErr w:type="gramEnd"/>
      <w:r w:rsidR="00AF5235">
        <w:rPr>
          <w:szCs w:val="24"/>
        </w:rPr>
        <w:t>a)</w:t>
      </w:r>
      <w:r w:rsidR="0011502F">
        <w:rPr>
          <w:szCs w:val="24"/>
        </w:rPr>
        <w:t xml:space="preserve"> provides that the notice given under Subsection </w:t>
      </w:r>
      <w:r w:rsidR="00892FD1">
        <w:rPr>
          <w:szCs w:val="24"/>
        </w:rPr>
        <w:t>39</w:t>
      </w:r>
      <w:r w:rsidR="0011502F">
        <w:rPr>
          <w:szCs w:val="24"/>
        </w:rPr>
        <w:t xml:space="preserve">(1) must state </w:t>
      </w:r>
      <w:r w:rsidR="0011502F" w:rsidRPr="0011502F">
        <w:rPr>
          <w:szCs w:val="24"/>
        </w:rPr>
        <w:t>the amount of tariff rate quota entitlement that the person is returning</w:t>
      </w:r>
      <w:r w:rsidR="00D80691">
        <w:rPr>
          <w:szCs w:val="24"/>
        </w:rPr>
        <w:t>; or per p</w:t>
      </w:r>
      <w:r w:rsidR="00970FF2">
        <w:rPr>
          <w:szCs w:val="24"/>
        </w:rPr>
        <w:t>aragraph</w:t>
      </w:r>
      <w:r w:rsidR="00AF5235">
        <w:rPr>
          <w:szCs w:val="24"/>
        </w:rPr>
        <w:t xml:space="preserve"> </w:t>
      </w:r>
      <w:r w:rsidR="00892FD1">
        <w:rPr>
          <w:szCs w:val="24"/>
        </w:rPr>
        <w:t>39</w:t>
      </w:r>
      <w:r w:rsidR="00AF5235">
        <w:rPr>
          <w:szCs w:val="24"/>
        </w:rPr>
        <w:t>(2)(b)</w:t>
      </w:r>
      <w:r w:rsidR="00D80691">
        <w:rPr>
          <w:szCs w:val="24"/>
        </w:rPr>
        <w:t>, must s</w:t>
      </w:r>
      <w:r w:rsidR="00AF5235">
        <w:rPr>
          <w:szCs w:val="24"/>
        </w:rPr>
        <w:t xml:space="preserve">tate </w:t>
      </w:r>
      <w:r w:rsidR="0011502F" w:rsidRPr="0011502F">
        <w:rPr>
          <w:szCs w:val="24"/>
        </w:rPr>
        <w:t>the amount of additional tariff rate quota entitlement that the person is applying</w:t>
      </w:r>
      <w:r w:rsidR="00D80691">
        <w:rPr>
          <w:szCs w:val="24"/>
        </w:rPr>
        <w:t>; or per p</w:t>
      </w:r>
      <w:r w:rsidR="00970FF2">
        <w:rPr>
          <w:szCs w:val="24"/>
        </w:rPr>
        <w:t>aragraph</w:t>
      </w:r>
      <w:r w:rsidR="00AF5235">
        <w:rPr>
          <w:szCs w:val="24"/>
        </w:rPr>
        <w:t xml:space="preserve"> </w:t>
      </w:r>
      <w:r w:rsidR="00892FD1">
        <w:rPr>
          <w:szCs w:val="24"/>
        </w:rPr>
        <w:t>39</w:t>
      </w:r>
      <w:r w:rsidR="00AF5235">
        <w:rPr>
          <w:szCs w:val="24"/>
        </w:rPr>
        <w:t xml:space="preserve">(2)(c) </w:t>
      </w:r>
      <w:r w:rsidR="00D80691">
        <w:rPr>
          <w:szCs w:val="24"/>
        </w:rPr>
        <w:t>must state that the</w:t>
      </w:r>
      <w:r w:rsidR="00AF5235">
        <w:rPr>
          <w:szCs w:val="24"/>
        </w:rPr>
        <w:t xml:space="preserve"> person </w:t>
      </w:r>
      <w:r w:rsidR="00D80691">
        <w:rPr>
          <w:szCs w:val="24"/>
        </w:rPr>
        <w:t xml:space="preserve">does not intent to </w:t>
      </w:r>
      <w:r w:rsidR="00AF5235">
        <w:rPr>
          <w:szCs w:val="24"/>
        </w:rPr>
        <w:t xml:space="preserve">return an amount of tariff rate quota entitlement or </w:t>
      </w:r>
      <w:r w:rsidR="007C1D11">
        <w:rPr>
          <w:szCs w:val="24"/>
        </w:rPr>
        <w:t xml:space="preserve">apply for </w:t>
      </w:r>
      <w:r w:rsidR="00AF5235">
        <w:rPr>
          <w:szCs w:val="24"/>
        </w:rPr>
        <w:t>additional tariff rate quota entitlement</w:t>
      </w:r>
      <w:r w:rsidR="0011502F" w:rsidRPr="0011502F">
        <w:rPr>
          <w:szCs w:val="24"/>
        </w:rPr>
        <w:t>.</w:t>
      </w:r>
    </w:p>
    <w:p w14:paraId="60C46316" w14:textId="77777777" w:rsidR="007B16BD" w:rsidRDefault="007B16BD" w:rsidP="0011502F">
      <w:pPr>
        <w:pStyle w:val="Normal-em"/>
        <w:spacing w:after="0" w:line="240" w:lineRule="auto"/>
        <w:rPr>
          <w:szCs w:val="24"/>
        </w:rPr>
      </w:pPr>
    </w:p>
    <w:p w14:paraId="4182DA46" w14:textId="549754C0" w:rsidR="007B16BD" w:rsidRDefault="007B16BD" w:rsidP="0011502F">
      <w:pPr>
        <w:pStyle w:val="Normal-em"/>
        <w:spacing w:after="0" w:line="240" w:lineRule="auto"/>
        <w:rPr>
          <w:szCs w:val="24"/>
        </w:rPr>
      </w:pPr>
      <w:r>
        <w:rPr>
          <w:szCs w:val="24"/>
        </w:rPr>
        <w:t xml:space="preserve">This subsection includes a note that section </w:t>
      </w:r>
      <w:r w:rsidR="00E730A1">
        <w:rPr>
          <w:szCs w:val="24"/>
        </w:rPr>
        <w:t>44</w:t>
      </w:r>
      <w:r>
        <w:rPr>
          <w:szCs w:val="24"/>
        </w:rPr>
        <w:t xml:space="preserve"> provides information for applications for tariff rate quota entitlement by persons who do not have entitlement.</w:t>
      </w:r>
    </w:p>
    <w:p w14:paraId="70FC487E" w14:textId="77777777" w:rsidR="0011502F" w:rsidRDefault="0011502F" w:rsidP="0011502F">
      <w:pPr>
        <w:pStyle w:val="Normal-em"/>
        <w:spacing w:after="0" w:line="240" w:lineRule="auto"/>
        <w:rPr>
          <w:szCs w:val="24"/>
        </w:rPr>
      </w:pPr>
    </w:p>
    <w:p w14:paraId="322D0CE4" w14:textId="756C5823" w:rsidR="0011502F" w:rsidRDefault="0011502F" w:rsidP="0011502F">
      <w:pPr>
        <w:pStyle w:val="Normal-em"/>
        <w:spacing w:after="0" w:line="240" w:lineRule="auto"/>
      </w:pPr>
      <w:r>
        <w:rPr>
          <w:szCs w:val="24"/>
        </w:rPr>
        <w:t xml:space="preserve">Subsection </w:t>
      </w:r>
      <w:r w:rsidR="00892FD1">
        <w:rPr>
          <w:szCs w:val="24"/>
        </w:rPr>
        <w:t>39</w:t>
      </w:r>
      <w:r>
        <w:rPr>
          <w:szCs w:val="24"/>
        </w:rPr>
        <w:t xml:space="preserve">(3) provides that the notice given under </w:t>
      </w:r>
      <w:r w:rsidR="003748EB">
        <w:rPr>
          <w:szCs w:val="24"/>
        </w:rPr>
        <w:t xml:space="preserve">subsection </w:t>
      </w:r>
      <w:r w:rsidR="00892FD1">
        <w:rPr>
          <w:szCs w:val="24"/>
        </w:rPr>
        <w:t>39</w:t>
      </w:r>
      <w:r>
        <w:rPr>
          <w:szCs w:val="24"/>
        </w:rPr>
        <w:t xml:space="preserve">(1) must </w:t>
      </w:r>
      <w:r w:rsidRPr="00F93A3D">
        <w:t>be made in a manner approved, in writing, by the Secretary</w:t>
      </w:r>
      <w:r>
        <w:t xml:space="preserve"> </w:t>
      </w:r>
      <w:r w:rsidRPr="00F93A3D">
        <w:t>and</w:t>
      </w:r>
      <w:r>
        <w:t xml:space="preserve"> </w:t>
      </w:r>
      <w:r w:rsidRPr="00F93A3D">
        <w:t xml:space="preserve">if the Secretary has approved a form for making </w:t>
      </w:r>
      <w:r>
        <w:t>the</w:t>
      </w:r>
      <w:r w:rsidRPr="00F93A3D">
        <w:t xml:space="preserve"> </w:t>
      </w:r>
      <w:r>
        <w:t xml:space="preserve">notice, </w:t>
      </w:r>
      <w:r w:rsidRPr="00F93A3D">
        <w:t>include the information required by the form and</w:t>
      </w:r>
      <w:r>
        <w:t xml:space="preserve"> </w:t>
      </w:r>
      <w:r w:rsidRPr="00F93A3D">
        <w:t>be accompanied by any documents required by the form.</w:t>
      </w:r>
    </w:p>
    <w:p w14:paraId="36C9E70A" w14:textId="77777777" w:rsidR="0011502F" w:rsidRDefault="0011502F" w:rsidP="0011502F">
      <w:pPr>
        <w:pStyle w:val="Normal-em"/>
        <w:spacing w:after="0" w:line="240" w:lineRule="auto"/>
      </w:pPr>
    </w:p>
    <w:p w14:paraId="055464B8" w14:textId="19678171" w:rsidR="0011502F" w:rsidRDefault="0011502F" w:rsidP="0011502F">
      <w:pPr>
        <w:pStyle w:val="Normal-em"/>
        <w:spacing w:after="0" w:line="240" w:lineRule="auto"/>
      </w:pPr>
      <w:r w:rsidRPr="0011502F">
        <w:t>This subsection includes a note that a person may commit an offence if the person provides false or misleading</w:t>
      </w:r>
      <w:r w:rsidRPr="00F93A3D">
        <w:t xml:space="preserve"> information or documents (see sections 137.1 and 137.2 of the </w:t>
      </w:r>
      <w:r w:rsidRPr="0011502F">
        <w:rPr>
          <w:i/>
        </w:rPr>
        <w:t>Criminal Code</w:t>
      </w:r>
      <w:r w:rsidRPr="00F93A3D">
        <w:t>).</w:t>
      </w:r>
    </w:p>
    <w:p w14:paraId="6801B5F5" w14:textId="77777777" w:rsidR="0011502F" w:rsidRDefault="0011502F" w:rsidP="0011502F">
      <w:pPr>
        <w:pStyle w:val="Normal-em"/>
        <w:spacing w:after="0" w:line="240" w:lineRule="auto"/>
      </w:pPr>
    </w:p>
    <w:p w14:paraId="7A25A853" w14:textId="7DC87EA2" w:rsidR="0011502F" w:rsidRPr="00F93A3D" w:rsidRDefault="0011502F" w:rsidP="0011502F">
      <w:pPr>
        <w:pStyle w:val="Normal-em"/>
        <w:spacing w:after="0" w:line="240" w:lineRule="auto"/>
      </w:pPr>
      <w:r w:rsidRPr="0011502F">
        <w:t xml:space="preserve">Subsection </w:t>
      </w:r>
      <w:r w:rsidR="00892FD1">
        <w:t>39</w:t>
      </w:r>
      <w:r w:rsidRPr="0011502F">
        <w:t>(4) provides that t</w:t>
      </w:r>
      <w:r w:rsidRPr="00F93A3D">
        <w:t>he Secretary may accept any information or document previously given to the Secretary under this instrument as satisfying any requirement to give that information or document under subsection </w:t>
      </w:r>
      <w:r w:rsidR="00892FD1">
        <w:t>39</w:t>
      </w:r>
      <w:r w:rsidRPr="00F93A3D">
        <w:t>(</w:t>
      </w:r>
      <w:r>
        <w:t>3</w:t>
      </w:r>
      <w:r w:rsidRPr="00F93A3D">
        <w:t>).</w:t>
      </w:r>
      <w:r w:rsidR="00D80691">
        <w:t xml:space="preserve"> This ensures an exporter does not have to provide the same information twice.</w:t>
      </w:r>
    </w:p>
    <w:p w14:paraId="5EF50DF7" w14:textId="77777777" w:rsidR="0011502F" w:rsidRDefault="0011502F" w:rsidP="0011502F">
      <w:pPr>
        <w:pStyle w:val="Normal-em"/>
        <w:spacing w:after="0" w:line="240" w:lineRule="auto"/>
        <w:rPr>
          <w:szCs w:val="24"/>
        </w:rPr>
      </w:pPr>
    </w:p>
    <w:p w14:paraId="3FC3E970" w14:textId="499D4385" w:rsidR="00421C07" w:rsidRPr="00F93A3D" w:rsidRDefault="0011502F" w:rsidP="00421C07">
      <w:pPr>
        <w:pStyle w:val="Normal-em"/>
        <w:spacing w:after="0" w:line="240" w:lineRule="auto"/>
      </w:pPr>
      <w:r w:rsidRPr="008264EE">
        <w:lastRenderedPageBreak/>
        <w:t xml:space="preserve">Subsection </w:t>
      </w:r>
      <w:r w:rsidR="00892FD1">
        <w:t>39</w:t>
      </w:r>
      <w:r w:rsidRPr="008264EE">
        <w:t xml:space="preserve">(5) provides that </w:t>
      </w:r>
      <w:r w:rsidR="00421C07" w:rsidRPr="008264EE">
        <w:t>a</w:t>
      </w:r>
      <w:r w:rsidR="00421C07">
        <w:t xml:space="preserve"> notice </w:t>
      </w:r>
      <w:r w:rsidR="00421C07" w:rsidRPr="00F93A3D">
        <w:t xml:space="preserve">is taken not to have been </w:t>
      </w:r>
      <w:r w:rsidR="00421C07">
        <w:t>given</w:t>
      </w:r>
      <w:r w:rsidR="00421C07" w:rsidRPr="00F93A3D">
        <w:t xml:space="preserve"> if the </w:t>
      </w:r>
      <w:r w:rsidR="00421C07">
        <w:t>notice</w:t>
      </w:r>
      <w:r w:rsidR="00421C07" w:rsidRPr="00F93A3D">
        <w:t xml:space="preserve"> does not comply with the requirements referred to in subsection </w:t>
      </w:r>
      <w:r w:rsidR="00892FD1">
        <w:t>39</w:t>
      </w:r>
      <w:r w:rsidR="00421C07" w:rsidRPr="00F93A3D">
        <w:t>(</w:t>
      </w:r>
      <w:r w:rsidR="00421C07">
        <w:t>3</w:t>
      </w:r>
      <w:r w:rsidR="00421C07" w:rsidRPr="00F93A3D">
        <w:t xml:space="preserve">) for the </w:t>
      </w:r>
      <w:r w:rsidR="00421C07">
        <w:t>notice</w:t>
      </w:r>
      <w:r w:rsidR="00421C07" w:rsidRPr="00F93A3D">
        <w:t>.</w:t>
      </w:r>
      <w:r w:rsidR="00D80691">
        <w:t xml:space="preserve">  This ensure</w:t>
      </w:r>
      <w:r w:rsidR="007F6E2E">
        <w:t>s</w:t>
      </w:r>
      <w:r w:rsidR="00D80691">
        <w:t xml:space="preserve"> that an application must </w:t>
      </w:r>
      <w:r w:rsidR="00D868E2">
        <w:t xml:space="preserve">be </w:t>
      </w:r>
      <w:r w:rsidR="00D80691">
        <w:t>complete in order to be actioned.</w:t>
      </w:r>
    </w:p>
    <w:p w14:paraId="059AC731" w14:textId="77777777" w:rsidR="00421C07" w:rsidRDefault="00421C07" w:rsidP="0011502F">
      <w:pPr>
        <w:pStyle w:val="Normal-em"/>
        <w:spacing w:after="0" w:line="240" w:lineRule="auto"/>
      </w:pPr>
    </w:p>
    <w:p w14:paraId="71DF1B73" w14:textId="31342048" w:rsidR="008264EE" w:rsidRDefault="00BE24BE" w:rsidP="0011502F">
      <w:pPr>
        <w:pStyle w:val="Normal-em"/>
        <w:spacing w:after="0" w:line="240" w:lineRule="auto"/>
        <w:rPr>
          <w:u w:val="single"/>
        </w:rPr>
      </w:pPr>
      <w:r>
        <w:rPr>
          <w:u w:val="single"/>
        </w:rPr>
        <w:t xml:space="preserve">Section </w:t>
      </w:r>
      <w:r w:rsidR="00892FD1">
        <w:rPr>
          <w:u w:val="single"/>
        </w:rPr>
        <w:t>40</w:t>
      </w:r>
      <w:r>
        <w:rPr>
          <w:u w:val="single"/>
        </w:rPr>
        <w:t xml:space="preserve"> - Cancellations of tariff rate quota entitlement following notice or reclamation day</w:t>
      </w:r>
    </w:p>
    <w:p w14:paraId="3A3E5036" w14:textId="77777777" w:rsidR="00BE24BE" w:rsidRDefault="00BE24BE" w:rsidP="0011502F">
      <w:pPr>
        <w:pStyle w:val="Normal-em"/>
        <w:spacing w:after="0" w:line="240" w:lineRule="auto"/>
        <w:rPr>
          <w:u w:val="single"/>
        </w:rPr>
      </w:pPr>
    </w:p>
    <w:p w14:paraId="743E2FB3" w14:textId="6FB9BFA3" w:rsidR="007457BA" w:rsidRDefault="00BE24BE" w:rsidP="0011502F">
      <w:pPr>
        <w:pStyle w:val="Normal-em"/>
        <w:spacing w:after="0" w:line="240" w:lineRule="auto"/>
      </w:pPr>
      <w:r>
        <w:t xml:space="preserve">Subsection </w:t>
      </w:r>
      <w:r w:rsidR="00892FD1">
        <w:t>40</w:t>
      </w:r>
      <w:r>
        <w:t xml:space="preserve">(1) provides that </w:t>
      </w:r>
      <w:r w:rsidR="007457BA">
        <w:t>i</w:t>
      </w:r>
      <w:r w:rsidR="007457BA" w:rsidRPr="00F93A3D">
        <w:t xml:space="preserve">f the Secretary receives a notice under section </w:t>
      </w:r>
      <w:r w:rsidR="00892FD1">
        <w:t>39</w:t>
      </w:r>
      <w:r w:rsidR="007457BA" w:rsidRPr="00F93A3D">
        <w:t xml:space="preserve"> from a person that states an amount of tariff rate quota entitlement </w:t>
      </w:r>
      <w:r w:rsidR="007457BA">
        <w:t xml:space="preserve">for a </w:t>
      </w:r>
      <w:r w:rsidR="00FE3E4B">
        <w:t>quota type</w:t>
      </w:r>
      <w:r w:rsidR="007457BA">
        <w:t xml:space="preserve"> and a quota year </w:t>
      </w:r>
      <w:r w:rsidR="007457BA" w:rsidRPr="00F93A3D">
        <w:t>that the person is returning, the amount of the person’s tariff rate quota entitlement</w:t>
      </w:r>
      <w:r w:rsidR="007457BA">
        <w:t xml:space="preserve"> </w:t>
      </w:r>
      <w:r w:rsidR="007457BA" w:rsidRPr="00F93A3D">
        <w:t>stated in the notice</w:t>
      </w:r>
      <w:r w:rsidR="00AE6DCB">
        <w:t xml:space="preserve"> is cancelled</w:t>
      </w:r>
      <w:r w:rsidR="007457BA" w:rsidRPr="00F93A3D">
        <w:t>.</w:t>
      </w:r>
    </w:p>
    <w:p w14:paraId="3D09A541" w14:textId="77777777" w:rsidR="007457BA" w:rsidRDefault="007457BA" w:rsidP="0011502F">
      <w:pPr>
        <w:pStyle w:val="Normal-em"/>
        <w:spacing w:after="0" w:line="240" w:lineRule="auto"/>
      </w:pPr>
    </w:p>
    <w:p w14:paraId="3B5B2592" w14:textId="60D774F6" w:rsidR="007457BA" w:rsidRPr="00F93A3D" w:rsidRDefault="007457BA" w:rsidP="007457BA">
      <w:pPr>
        <w:pStyle w:val="Normal-em"/>
        <w:spacing w:after="0" w:line="240" w:lineRule="auto"/>
      </w:pPr>
      <w:r>
        <w:t xml:space="preserve">Subsection </w:t>
      </w:r>
      <w:r w:rsidR="00892FD1">
        <w:t>40</w:t>
      </w:r>
      <w:r>
        <w:t>(2) provides that i</w:t>
      </w:r>
      <w:r w:rsidRPr="00F93A3D">
        <w:t xml:space="preserve">f a person who has a tariff </w:t>
      </w:r>
      <w:r>
        <w:t xml:space="preserve">rate </w:t>
      </w:r>
      <w:r w:rsidRPr="00F93A3D">
        <w:t xml:space="preserve">quota entitlement </w:t>
      </w:r>
      <w:r>
        <w:t xml:space="preserve">for a </w:t>
      </w:r>
      <w:r w:rsidR="00FE3E4B">
        <w:t>quota type</w:t>
      </w:r>
      <w:r>
        <w:t xml:space="preserve"> and a quota year</w:t>
      </w:r>
      <w:r w:rsidRPr="00F93A3D">
        <w:t xml:space="preserve"> does not give the Secretary a notice in accordance with section </w:t>
      </w:r>
      <w:r w:rsidR="00892FD1">
        <w:t>39</w:t>
      </w:r>
      <w:r>
        <w:t xml:space="preserve">, </w:t>
      </w:r>
      <w:r w:rsidRPr="00F93A3D">
        <w:t>the person’s tariff rate quota entitlement</w:t>
      </w:r>
      <w:r>
        <w:t xml:space="preserve"> </w:t>
      </w:r>
      <w:r w:rsidRPr="00F93A3D">
        <w:t xml:space="preserve">is forfeited at the start of the day after the </w:t>
      </w:r>
      <w:r>
        <w:t>reclamation day</w:t>
      </w:r>
      <w:r w:rsidRPr="00F93A3D">
        <w:t xml:space="preserve"> and</w:t>
      </w:r>
      <w:r>
        <w:t xml:space="preserve"> </w:t>
      </w:r>
      <w:r w:rsidRPr="00F93A3D">
        <w:t xml:space="preserve">the </w:t>
      </w:r>
      <w:r>
        <w:t>whole</w:t>
      </w:r>
      <w:r w:rsidRPr="00F93A3D">
        <w:t xml:space="preserve"> of th</w:t>
      </w:r>
      <w:r>
        <w:t xml:space="preserve">at </w:t>
      </w:r>
      <w:r w:rsidRPr="00F93A3D">
        <w:t>entitlement</w:t>
      </w:r>
      <w:r w:rsidR="00AE6DCB">
        <w:t xml:space="preserve"> is cancelled</w:t>
      </w:r>
      <w:r w:rsidRPr="00F93A3D">
        <w:t>.</w:t>
      </w:r>
      <w:r w:rsidR="0076386D">
        <w:t xml:space="preserve">  This ensures</w:t>
      </w:r>
      <w:r w:rsidR="00D80691">
        <w:t xml:space="preserve"> un</w:t>
      </w:r>
      <w:r w:rsidR="0076386D">
        <w:t>used quota can be available to exporters that intend to use it.</w:t>
      </w:r>
    </w:p>
    <w:p w14:paraId="13546AAA" w14:textId="77777777" w:rsidR="007457BA" w:rsidRDefault="007457BA" w:rsidP="0011502F">
      <w:pPr>
        <w:pStyle w:val="Normal-em"/>
        <w:spacing w:after="0" w:line="240" w:lineRule="auto"/>
      </w:pPr>
    </w:p>
    <w:p w14:paraId="64B27AE6" w14:textId="07803F5D" w:rsidR="0076386D" w:rsidRDefault="007457BA" w:rsidP="007457BA">
      <w:pPr>
        <w:pStyle w:val="Normal-em"/>
        <w:spacing w:after="0" w:line="240" w:lineRule="auto"/>
      </w:pPr>
      <w:r>
        <w:t xml:space="preserve">Subsection </w:t>
      </w:r>
      <w:r w:rsidR="00892FD1">
        <w:t>40</w:t>
      </w:r>
      <w:r>
        <w:t xml:space="preserve">(3) provides that subsection </w:t>
      </w:r>
      <w:r w:rsidR="00892FD1">
        <w:t>40</w:t>
      </w:r>
      <w:r>
        <w:t xml:space="preserve">(4) applies if, at the end of the reclamation day for a </w:t>
      </w:r>
      <w:r w:rsidR="00FE3E4B">
        <w:t>quota type</w:t>
      </w:r>
      <w:r>
        <w:t xml:space="preserve"> and a quota year</w:t>
      </w:r>
      <w:r w:rsidR="0076386D">
        <w:t>;</w:t>
      </w:r>
    </w:p>
    <w:p w14:paraId="2F5AC61A" w14:textId="56FAF236" w:rsidR="0076386D" w:rsidRDefault="007457BA" w:rsidP="000F6D46">
      <w:pPr>
        <w:pStyle w:val="Normal-em"/>
        <w:numPr>
          <w:ilvl w:val="0"/>
          <w:numId w:val="40"/>
        </w:numPr>
        <w:spacing w:after="0" w:line="240" w:lineRule="auto"/>
      </w:pPr>
      <w:r>
        <w:t xml:space="preserve">a person has a tariff rate quota entitlement for the </w:t>
      </w:r>
      <w:r w:rsidR="00FE3E4B">
        <w:t>quota type</w:t>
      </w:r>
      <w:r>
        <w:t xml:space="preserve"> and quota year</w:t>
      </w:r>
      <w:r w:rsidR="0076386D">
        <w:t>,</w:t>
      </w:r>
      <w:r>
        <w:t xml:space="preserve"> and </w:t>
      </w:r>
    </w:p>
    <w:p w14:paraId="23710A4F" w14:textId="486E9FF2" w:rsidR="007457BA" w:rsidRDefault="007457BA" w:rsidP="000F6D46">
      <w:pPr>
        <w:pStyle w:val="Normal-em"/>
        <w:numPr>
          <w:ilvl w:val="0"/>
          <w:numId w:val="40"/>
        </w:numPr>
        <w:spacing w:after="0" w:line="240" w:lineRule="auto"/>
      </w:pPr>
      <w:r>
        <w:t xml:space="preserve">the total weight for which tariff rate quota certificates have been issued to the person in relation to consignments of that </w:t>
      </w:r>
      <w:r w:rsidR="00FE3E4B">
        <w:t>quota type</w:t>
      </w:r>
      <w:r>
        <w:t xml:space="preserve"> in relation to the quota year is less than 25% of:</w:t>
      </w:r>
    </w:p>
    <w:p w14:paraId="42A53CF6" w14:textId="274F6FAF" w:rsidR="007457BA" w:rsidRPr="0076386D" w:rsidRDefault="007457BA" w:rsidP="007457BA">
      <w:pPr>
        <w:pStyle w:val="paragraph"/>
        <w:rPr>
          <w:sz w:val="24"/>
          <w:szCs w:val="24"/>
        </w:rPr>
      </w:pPr>
      <w:r>
        <w:tab/>
      </w:r>
      <w:r w:rsidRPr="0076386D">
        <w:rPr>
          <w:sz w:val="24"/>
          <w:szCs w:val="24"/>
        </w:rPr>
        <w:tab/>
      </w:r>
      <w:bookmarkStart w:id="53" w:name="BKCheck15B_11"/>
      <w:bookmarkEnd w:id="53"/>
      <w:r w:rsidR="00C75C89" w:rsidRPr="00062DF6">
        <w:rPr>
          <w:position w:val="-10"/>
        </w:rPr>
        <w:object w:dxaOrig="4900" w:dyaOrig="420" w14:anchorId="045E0E18">
          <v:shape id="_x0000_i1028" type="#_x0000_t75" style="width:244.5pt;height:21.75pt" o:ole="">
            <v:imagedata r:id="rId26" o:title=""/>
          </v:shape>
          <o:OLEObject Type="Embed" ProgID="Equation.DSMT4" ShapeID="_x0000_i1028" DrawAspect="Content" ObjectID="_1638095749" r:id="rId27"/>
        </w:object>
      </w:r>
    </w:p>
    <w:p w14:paraId="58206F0D" w14:textId="28050C38" w:rsidR="007457BA" w:rsidRPr="0076386D" w:rsidRDefault="0076386D" w:rsidP="0076386D">
      <w:pPr>
        <w:pStyle w:val="paragraph"/>
        <w:ind w:left="567"/>
        <w:rPr>
          <w:sz w:val="24"/>
          <w:szCs w:val="24"/>
        </w:rPr>
      </w:pPr>
      <w:r>
        <w:rPr>
          <w:sz w:val="24"/>
          <w:szCs w:val="24"/>
        </w:rPr>
        <w:tab/>
      </w:r>
      <w:proofErr w:type="gramStart"/>
      <w:r w:rsidR="007457BA" w:rsidRPr="0076386D">
        <w:rPr>
          <w:sz w:val="24"/>
          <w:szCs w:val="24"/>
        </w:rPr>
        <w:t>where</w:t>
      </w:r>
      <w:proofErr w:type="gramEnd"/>
      <w:r w:rsidR="007457BA" w:rsidRPr="0076386D">
        <w:rPr>
          <w:sz w:val="24"/>
          <w:szCs w:val="24"/>
        </w:rPr>
        <w:t>:</w:t>
      </w:r>
    </w:p>
    <w:p w14:paraId="6F511CB6" w14:textId="7B4AB2AF" w:rsidR="007457BA" w:rsidRPr="0076386D" w:rsidRDefault="007457BA" w:rsidP="0076386D">
      <w:pPr>
        <w:pStyle w:val="paragraph"/>
        <w:ind w:left="567"/>
        <w:rPr>
          <w:sz w:val="24"/>
          <w:szCs w:val="24"/>
        </w:rPr>
      </w:pPr>
      <w:r w:rsidRPr="0076386D">
        <w:rPr>
          <w:b/>
          <w:i/>
          <w:sz w:val="24"/>
          <w:szCs w:val="24"/>
        </w:rPr>
        <w:tab/>
      </w:r>
      <w:r w:rsidRPr="0076386D">
        <w:rPr>
          <w:b/>
          <w:i/>
          <w:sz w:val="24"/>
          <w:szCs w:val="24"/>
        </w:rPr>
        <w:tab/>
      </w:r>
      <w:proofErr w:type="gramStart"/>
      <w:r w:rsidRPr="0076386D">
        <w:rPr>
          <w:b/>
          <w:i/>
          <w:sz w:val="24"/>
          <w:szCs w:val="24"/>
        </w:rPr>
        <w:t>allocations</w:t>
      </w:r>
      <w:proofErr w:type="gramEnd"/>
      <w:r w:rsidRPr="0076386D">
        <w:rPr>
          <w:sz w:val="24"/>
          <w:szCs w:val="24"/>
        </w:rPr>
        <w:t xml:space="preserve"> is the sum of all of the amounts of tariff rate quota entitlement for the </w:t>
      </w:r>
      <w:r w:rsidR="00FE3E4B" w:rsidRPr="0076386D">
        <w:rPr>
          <w:sz w:val="24"/>
          <w:szCs w:val="24"/>
        </w:rPr>
        <w:t>quota type</w:t>
      </w:r>
      <w:r w:rsidRPr="0076386D">
        <w:rPr>
          <w:sz w:val="24"/>
          <w:szCs w:val="24"/>
        </w:rPr>
        <w:t xml:space="preserve"> and quota year that the person has been allocated.</w:t>
      </w:r>
    </w:p>
    <w:p w14:paraId="15C76DE7" w14:textId="7BB5DA1C" w:rsidR="007457BA" w:rsidRPr="0076386D" w:rsidRDefault="007457BA" w:rsidP="0076386D">
      <w:pPr>
        <w:pStyle w:val="paragraph"/>
        <w:ind w:left="567"/>
        <w:rPr>
          <w:sz w:val="24"/>
          <w:szCs w:val="24"/>
        </w:rPr>
      </w:pPr>
      <w:r w:rsidRPr="0076386D">
        <w:rPr>
          <w:b/>
          <w:sz w:val="24"/>
          <w:szCs w:val="24"/>
        </w:rPr>
        <w:tab/>
      </w:r>
      <w:r w:rsidRPr="0076386D">
        <w:rPr>
          <w:b/>
          <w:sz w:val="24"/>
          <w:szCs w:val="24"/>
        </w:rPr>
        <w:tab/>
      </w:r>
      <w:proofErr w:type="gramStart"/>
      <w:r w:rsidRPr="0076386D">
        <w:rPr>
          <w:b/>
          <w:i/>
          <w:sz w:val="24"/>
          <w:szCs w:val="24"/>
        </w:rPr>
        <w:t>returns</w:t>
      </w:r>
      <w:proofErr w:type="gramEnd"/>
      <w:r w:rsidRPr="0076386D">
        <w:rPr>
          <w:sz w:val="24"/>
          <w:szCs w:val="24"/>
        </w:rPr>
        <w:t xml:space="preserve"> is the sum of all of the amounts of tariff rate quota entitlement for the </w:t>
      </w:r>
      <w:r w:rsidR="00FE3E4B" w:rsidRPr="0076386D">
        <w:rPr>
          <w:sz w:val="24"/>
          <w:szCs w:val="24"/>
        </w:rPr>
        <w:t>quota type</w:t>
      </w:r>
      <w:r w:rsidRPr="0076386D">
        <w:rPr>
          <w:sz w:val="24"/>
          <w:szCs w:val="24"/>
        </w:rPr>
        <w:t xml:space="preserve"> and quota year that the person has returned.</w:t>
      </w:r>
    </w:p>
    <w:p w14:paraId="1ECFED18" w14:textId="0A7D4BCD" w:rsidR="007457BA" w:rsidRPr="0076386D" w:rsidRDefault="007457BA" w:rsidP="0076386D">
      <w:pPr>
        <w:pStyle w:val="paragraph"/>
        <w:ind w:left="567"/>
        <w:rPr>
          <w:sz w:val="24"/>
          <w:szCs w:val="24"/>
        </w:rPr>
      </w:pPr>
      <w:r w:rsidRPr="0076386D">
        <w:rPr>
          <w:b/>
          <w:i/>
          <w:sz w:val="24"/>
          <w:szCs w:val="24"/>
        </w:rPr>
        <w:tab/>
      </w:r>
      <w:r w:rsidRPr="0076386D">
        <w:rPr>
          <w:b/>
          <w:i/>
          <w:sz w:val="24"/>
          <w:szCs w:val="24"/>
        </w:rPr>
        <w:tab/>
      </w:r>
      <w:proofErr w:type="gramStart"/>
      <w:r w:rsidRPr="0076386D">
        <w:rPr>
          <w:b/>
          <w:i/>
          <w:sz w:val="24"/>
          <w:szCs w:val="24"/>
        </w:rPr>
        <w:t>transfers</w:t>
      </w:r>
      <w:proofErr w:type="gramEnd"/>
      <w:r w:rsidRPr="0076386D">
        <w:rPr>
          <w:b/>
          <w:i/>
          <w:sz w:val="24"/>
          <w:szCs w:val="24"/>
        </w:rPr>
        <w:t xml:space="preserve"> in</w:t>
      </w:r>
      <w:r w:rsidRPr="0076386D">
        <w:rPr>
          <w:sz w:val="24"/>
          <w:szCs w:val="24"/>
        </w:rPr>
        <w:t xml:space="preserve"> is the sum of all of the amounts of tariff rate quota entitlement for the </w:t>
      </w:r>
      <w:r w:rsidR="00FE3E4B" w:rsidRPr="0076386D">
        <w:rPr>
          <w:sz w:val="24"/>
          <w:szCs w:val="24"/>
        </w:rPr>
        <w:t>quota type</w:t>
      </w:r>
      <w:r w:rsidRPr="0076386D">
        <w:rPr>
          <w:sz w:val="24"/>
          <w:szCs w:val="24"/>
        </w:rPr>
        <w:t xml:space="preserve"> and quota year that have been transferred to the person.</w:t>
      </w:r>
    </w:p>
    <w:p w14:paraId="29C771B6" w14:textId="03D1B30B" w:rsidR="007457BA" w:rsidRPr="0076386D" w:rsidRDefault="007457BA" w:rsidP="0076386D">
      <w:pPr>
        <w:pStyle w:val="paragraph"/>
        <w:ind w:left="567"/>
        <w:rPr>
          <w:sz w:val="24"/>
          <w:szCs w:val="24"/>
        </w:rPr>
      </w:pPr>
      <w:r w:rsidRPr="0076386D">
        <w:rPr>
          <w:b/>
          <w:i/>
          <w:sz w:val="24"/>
          <w:szCs w:val="24"/>
        </w:rPr>
        <w:tab/>
      </w:r>
      <w:r w:rsidRPr="0076386D">
        <w:rPr>
          <w:b/>
          <w:i/>
          <w:sz w:val="24"/>
          <w:szCs w:val="24"/>
        </w:rPr>
        <w:tab/>
      </w:r>
      <w:proofErr w:type="gramStart"/>
      <w:r w:rsidRPr="0076386D">
        <w:rPr>
          <w:b/>
          <w:i/>
          <w:sz w:val="24"/>
          <w:szCs w:val="24"/>
        </w:rPr>
        <w:t>transfers</w:t>
      </w:r>
      <w:proofErr w:type="gramEnd"/>
      <w:r w:rsidRPr="0076386D">
        <w:rPr>
          <w:b/>
          <w:i/>
          <w:sz w:val="24"/>
          <w:szCs w:val="24"/>
        </w:rPr>
        <w:t xml:space="preserve"> out</w:t>
      </w:r>
      <w:r w:rsidRPr="0076386D">
        <w:rPr>
          <w:sz w:val="24"/>
          <w:szCs w:val="24"/>
        </w:rPr>
        <w:t xml:space="preserve"> is the sum of all of the amounts of tariff rate quota entitlement for the </w:t>
      </w:r>
      <w:r w:rsidR="00FE3E4B" w:rsidRPr="0076386D">
        <w:rPr>
          <w:sz w:val="24"/>
          <w:szCs w:val="24"/>
        </w:rPr>
        <w:t>quota type</w:t>
      </w:r>
      <w:r w:rsidRPr="0076386D">
        <w:rPr>
          <w:sz w:val="24"/>
          <w:szCs w:val="24"/>
        </w:rPr>
        <w:t xml:space="preserve"> and quota year that have been transferred from the person to another person.</w:t>
      </w:r>
    </w:p>
    <w:p w14:paraId="5CC2299E" w14:textId="77777777" w:rsidR="007457BA" w:rsidRDefault="007457BA" w:rsidP="0011502F">
      <w:pPr>
        <w:pStyle w:val="Normal-em"/>
        <w:spacing w:after="0" w:line="240" w:lineRule="auto"/>
      </w:pPr>
    </w:p>
    <w:p w14:paraId="742ADFA6" w14:textId="64F4A0C3" w:rsidR="0076386D" w:rsidRDefault="0076386D" w:rsidP="00D95850">
      <w:pPr>
        <w:pStyle w:val="Normal-em"/>
        <w:spacing w:after="0" w:line="240" w:lineRule="auto"/>
      </w:pPr>
      <w:r>
        <w:t>This provision is intended to prevent exporters retaining entitlements when they have only used a small amount of their entitlement during the most of the quota year (the reclamation date being at least 8 months into any given quota year). This reflects the policy of ensuring quota is made available to those in a position to use it.</w:t>
      </w:r>
    </w:p>
    <w:p w14:paraId="2BD2E1EF" w14:textId="77777777" w:rsidR="0076386D" w:rsidRDefault="0076386D" w:rsidP="00D95850">
      <w:pPr>
        <w:pStyle w:val="Normal-em"/>
        <w:spacing w:after="0" w:line="240" w:lineRule="auto"/>
      </w:pPr>
    </w:p>
    <w:p w14:paraId="03F89DC6" w14:textId="5E0B85BC" w:rsidR="00D95850" w:rsidRDefault="007457BA" w:rsidP="00D95850">
      <w:pPr>
        <w:pStyle w:val="Normal-em"/>
        <w:spacing w:after="0" w:line="240" w:lineRule="auto"/>
      </w:pPr>
      <w:r>
        <w:t xml:space="preserve">Subsection </w:t>
      </w:r>
      <w:r w:rsidR="00892FD1">
        <w:t>40</w:t>
      </w:r>
      <w:r>
        <w:t>(4) provides that</w:t>
      </w:r>
      <w:r w:rsidR="00D95850">
        <w:t xml:space="preserve"> if this subsection applies, then </w:t>
      </w:r>
      <w:r w:rsidR="00D95850" w:rsidRPr="00F93A3D">
        <w:t xml:space="preserve">the person’s tariff rate quota entitlement is forfeited at the start of the day after the </w:t>
      </w:r>
      <w:r w:rsidR="00D95850">
        <w:t>reclamation day</w:t>
      </w:r>
      <w:r w:rsidR="00D95850" w:rsidRPr="00F93A3D">
        <w:t xml:space="preserve"> and</w:t>
      </w:r>
      <w:r w:rsidR="00D95850">
        <w:t xml:space="preserve"> t</w:t>
      </w:r>
      <w:r w:rsidR="00D95850" w:rsidRPr="00F93A3D">
        <w:t xml:space="preserve">he </w:t>
      </w:r>
      <w:r w:rsidR="00D95850">
        <w:t>whole</w:t>
      </w:r>
      <w:r w:rsidR="00D95850" w:rsidRPr="00F93A3D">
        <w:t xml:space="preserve"> of th</w:t>
      </w:r>
      <w:r w:rsidR="00D95850">
        <w:t>at entitlement</w:t>
      </w:r>
      <w:r w:rsidR="00AE6DCB">
        <w:t xml:space="preserve"> is cancelled</w:t>
      </w:r>
      <w:r w:rsidR="00D95850">
        <w:t>.</w:t>
      </w:r>
    </w:p>
    <w:p w14:paraId="4A8AE117" w14:textId="77777777" w:rsidR="00D95850" w:rsidRDefault="00D95850" w:rsidP="00D95850">
      <w:pPr>
        <w:pStyle w:val="Normal-em"/>
        <w:spacing w:after="0" w:line="240" w:lineRule="auto"/>
      </w:pPr>
    </w:p>
    <w:p w14:paraId="4CE9FCE8" w14:textId="470F3142" w:rsidR="00D95850" w:rsidRDefault="00401BD8" w:rsidP="00D95850">
      <w:pPr>
        <w:pStyle w:val="Normal-em"/>
        <w:spacing w:after="0" w:line="240" w:lineRule="auto"/>
        <w:rPr>
          <w:b/>
        </w:rPr>
      </w:pPr>
      <w:r>
        <w:rPr>
          <w:b/>
        </w:rPr>
        <w:t>Subdivision B - Allocation process for new entrants</w:t>
      </w:r>
    </w:p>
    <w:p w14:paraId="2C76079F" w14:textId="77777777" w:rsidR="00401BD8" w:rsidRDefault="00401BD8" w:rsidP="00D95850">
      <w:pPr>
        <w:pStyle w:val="Normal-em"/>
        <w:spacing w:after="0" w:line="240" w:lineRule="auto"/>
        <w:rPr>
          <w:b/>
        </w:rPr>
      </w:pPr>
    </w:p>
    <w:p w14:paraId="3F2EB820" w14:textId="12F99600" w:rsidR="002716C2" w:rsidRPr="00753F76" w:rsidRDefault="002716C2" w:rsidP="00D95850">
      <w:pPr>
        <w:pStyle w:val="Normal-em"/>
        <w:spacing w:after="0" w:line="240" w:lineRule="auto"/>
      </w:pPr>
      <w:r>
        <w:t xml:space="preserve">Subdivision B provides for new entrants to apply for an allocation from the remaining new entrant access quota, and receive an </w:t>
      </w:r>
      <w:r w:rsidR="00753F76">
        <w:t>entitlement</w:t>
      </w:r>
      <w:r>
        <w:t xml:space="preserve"> where eligible.  This </w:t>
      </w:r>
      <w:r w:rsidR="007F6E2E">
        <w:t>S</w:t>
      </w:r>
      <w:r>
        <w:t xml:space="preserve">ubdivision is designed </w:t>
      </w:r>
      <w:r>
        <w:lastRenderedPageBreak/>
        <w:t>to provide a pathway for new entrants to gain certainty for the remainder of the quota year, similar to other exporters</w:t>
      </w:r>
      <w:r w:rsidR="00843860">
        <w:t xml:space="preserve"> </w:t>
      </w:r>
      <w:r w:rsidR="007F6E2E">
        <w:t>who</w:t>
      </w:r>
      <w:r>
        <w:t xml:space="preserve"> can retain or request additional allocations.</w:t>
      </w:r>
    </w:p>
    <w:p w14:paraId="7E5A839B" w14:textId="77777777" w:rsidR="002716C2" w:rsidRDefault="002716C2" w:rsidP="00D95850">
      <w:pPr>
        <w:pStyle w:val="Normal-em"/>
        <w:spacing w:after="0" w:line="240" w:lineRule="auto"/>
        <w:rPr>
          <w:u w:val="single"/>
        </w:rPr>
      </w:pPr>
    </w:p>
    <w:p w14:paraId="2CE18A4B" w14:textId="7B166AEA" w:rsidR="00401BD8" w:rsidRDefault="00401BD8" w:rsidP="00D95850">
      <w:pPr>
        <w:pStyle w:val="Normal-em"/>
        <w:spacing w:after="0" w:line="240" w:lineRule="auto"/>
        <w:rPr>
          <w:u w:val="single"/>
        </w:rPr>
      </w:pPr>
      <w:r>
        <w:rPr>
          <w:u w:val="single"/>
        </w:rPr>
        <w:t xml:space="preserve">Section </w:t>
      </w:r>
      <w:r w:rsidR="00E730A1">
        <w:rPr>
          <w:u w:val="single"/>
        </w:rPr>
        <w:t>41</w:t>
      </w:r>
      <w:r>
        <w:rPr>
          <w:u w:val="single"/>
        </w:rPr>
        <w:t xml:space="preserve"> - Application by new entrant for quota allocation after reclamation day</w:t>
      </w:r>
    </w:p>
    <w:p w14:paraId="1BA72594" w14:textId="77777777" w:rsidR="00401BD8" w:rsidRDefault="00401BD8" w:rsidP="00D95850">
      <w:pPr>
        <w:pStyle w:val="Normal-em"/>
        <w:spacing w:after="0" w:line="240" w:lineRule="auto"/>
        <w:rPr>
          <w:u w:val="single"/>
        </w:rPr>
      </w:pPr>
    </w:p>
    <w:p w14:paraId="41FDB3FF" w14:textId="2610893F" w:rsidR="00CC171B" w:rsidRDefault="00CC171B" w:rsidP="00D95850">
      <w:pPr>
        <w:pStyle w:val="Normal-em"/>
        <w:spacing w:after="0" w:line="240" w:lineRule="auto"/>
      </w:pPr>
      <w:r>
        <w:t xml:space="preserve">Subsection </w:t>
      </w:r>
      <w:r w:rsidR="00E730A1">
        <w:t>41</w:t>
      </w:r>
      <w:r>
        <w:t>(1) provides that a</w:t>
      </w:r>
      <w:r w:rsidRPr="00F93A3D">
        <w:t xml:space="preserve"> person may apply to the Secretary under this section for an allocation of an amount of </w:t>
      </w:r>
      <w:r>
        <w:t xml:space="preserve">tariff rate </w:t>
      </w:r>
      <w:r w:rsidRPr="00F93A3D">
        <w:t xml:space="preserve">quota entitlement for </w:t>
      </w:r>
      <w:r>
        <w:t xml:space="preserve">a </w:t>
      </w:r>
      <w:r w:rsidR="00FE3E4B">
        <w:t>quota type</w:t>
      </w:r>
      <w:r w:rsidRPr="00F93A3D">
        <w:t xml:space="preserve"> </w:t>
      </w:r>
      <w:r>
        <w:t xml:space="preserve">and </w:t>
      </w:r>
      <w:r w:rsidRPr="00F93A3D">
        <w:t>a quota year if</w:t>
      </w:r>
      <w:r>
        <w:t xml:space="preserve"> </w:t>
      </w:r>
      <w:r w:rsidRPr="00E52A2F">
        <w:t xml:space="preserve">the person is an eligible person for the </w:t>
      </w:r>
      <w:r w:rsidR="00FE3E4B">
        <w:t>quota type</w:t>
      </w:r>
      <w:r>
        <w:t xml:space="preserve">, </w:t>
      </w:r>
      <w:r w:rsidRPr="00F93A3D">
        <w:t xml:space="preserve">the person is a new entrant </w:t>
      </w:r>
      <w:r>
        <w:t xml:space="preserve">for the </w:t>
      </w:r>
      <w:r w:rsidR="00FE3E4B">
        <w:t>quota type</w:t>
      </w:r>
      <w:r>
        <w:t xml:space="preserve"> and quota year</w:t>
      </w:r>
      <w:r w:rsidR="00704B63">
        <w:t>,</w:t>
      </w:r>
      <w:r>
        <w:t xml:space="preserve"> and tariff rate quota certificates have been issued to the person in relation to consignments of that </w:t>
      </w:r>
      <w:r w:rsidR="00FE3E4B">
        <w:t>quota type</w:t>
      </w:r>
      <w:r>
        <w:t xml:space="preserve"> in relation to the quota year.</w:t>
      </w:r>
    </w:p>
    <w:p w14:paraId="3CEF1D19" w14:textId="77777777" w:rsidR="00CC171B" w:rsidRDefault="00CC171B" w:rsidP="00D95850">
      <w:pPr>
        <w:pStyle w:val="Normal-em"/>
        <w:spacing w:after="0" w:line="240" w:lineRule="auto"/>
      </w:pPr>
    </w:p>
    <w:p w14:paraId="6D8C8DA9" w14:textId="636E01A3" w:rsidR="00CC171B" w:rsidRPr="00F93A3D" w:rsidRDefault="00CC171B" w:rsidP="00CC171B">
      <w:pPr>
        <w:pStyle w:val="Normal-em"/>
        <w:spacing w:after="0" w:line="240" w:lineRule="auto"/>
      </w:pPr>
      <w:r>
        <w:t xml:space="preserve">Subsection </w:t>
      </w:r>
      <w:r w:rsidR="00E730A1">
        <w:t>41</w:t>
      </w:r>
      <w:r>
        <w:t>(2) provides that t</w:t>
      </w:r>
      <w:r w:rsidRPr="00F93A3D">
        <w:t xml:space="preserve">he application must be made on or before the </w:t>
      </w:r>
      <w:r>
        <w:t>reclamation day</w:t>
      </w:r>
      <w:r w:rsidRPr="00F93A3D">
        <w:t xml:space="preserve"> for the </w:t>
      </w:r>
      <w:r w:rsidR="00FE3E4B">
        <w:t>quota type</w:t>
      </w:r>
      <w:r w:rsidRPr="00F93A3D">
        <w:t xml:space="preserve"> </w:t>
      </w:r>
      <w:r>
        <w:t>and</w:t>
      </w:r>
      <w:r w:rsidR="004A1057">
        <w:t xml:space="preserve"> quota year (detailed for each respective quota type in Chapter 3).</w:t>
      </w:r>
    </w:p>
    <w:p w14:paraId="3C3C0B4B" w14:textId="77777777" w:rsidR="00CC171B" w:rsidRDefault="00CC171B" w:rsidP="00D95850">
      <w:pPr>
        <w:pStyle w:val="Normal-em"/>
        <w:spacing w:after="0" w:line="240" w:lineRule="auto"/>
        <w:rPr>
          <w:u w:val="single"/>
        </w:rPr>
      </w:pPr>
    </w:p>
    <w:p w14:paraId="3CB18D80" w14:textId="0E41BC8F" w:rsidR="004A1057" w:rsidRDefault="004A1057" w:rsidP="00FE50A1">
      <w:pPr>
        <w:pStyle w:val="Normal-em"/>
        <w:spacing w:after="0" w:line="240" w:lineRule="auto"/>
      </w:pPr>
      <w:r>
        <w:t>Subsection</w:t>
      </w:r>
      <w:r w:rsidR="00CC171B">
        <w:t xml:space="preserve"> </w:t>
      </w:r>
      <w:r w:rsidR="00E730A1">
        <w:t>41</w:t>
      </w:r>
      <w:r w:rsidR="00CC171B">
        <w:t>(3) provides that t</w:t>
      </w:r>
      <w:r w:rsidR="00CC171B" w:rsidRPr="00F93A3D">
        <w:t xml:space="preserve">he maximum amount of tariff </w:t>
      </w:r>
      <w:r w:rsidR="00CC171B">
        <w:t xml:space="preserve">rate </w:t>
      </w:r>
      <w:r w:rsidR="00CC171B" w:rsidRPr="00F93A3D">
        <w:t>quota entitlement that the person may apply for is the lesser of</w:t>
      </w:r>
      <w:r w:rsidR="00FE50A1">
        <w:t xml:space="preserve"> </w:t>
      </w:r>
    </w:p>
    <w:p w14:paraId="448092D2" w14:textId="77777777" w:rsidR="004A1057" w:rsidRDefault="00CC171B" w:rsidP="000F6D46">
      <w:pPr>
        <w:pStyle w:val="Normal-em"/>
        <w:numPr>
          <w:ilvl w:val="0"/>
          <w:numId w:val="41"/>
        </w:numPr>
        <w:spacing w:after="0" w:line="240" w:lineRule="auto"/>
      </w:pPr>
      <w:r w:rsidRPr="00F93A3D">
        <w:t xml:space="preserve">the total weight of the </w:t>
      </w:r>
      <w:r>
        <w:t xml:space="preserve">tariff rate quota certificates that have been issued to the person in relation to consignments of the </w:t>
      </w:r>
      <w:r w:rsidR="00FE3E4B">
        <w:t>quota type</w:t>
      </w:r>
      <w:r>
        <w:t xml:space="preserve"> for export in the quota year using new entrant access quota</w:t>
      </w:r>
      <w:r w:rsidR="004A1057">
        <w:t>; and</w:t>
      </w:r>
    </w:p>
    <w:p w14:paraId="33389FF6" w14:textId="0AEB7479" w:rsidR="00CC171B" w:rsidRDefault="00CC171B" w:rsidP="000F6D46">
      <w:pPr>
        <w:pStyle w:val="Normal-em"/>
        <w:numPr>
          <w:ilvl w:val="0"/>
          <w:numId w:val="41"/>
        </w:numPr>
        <w:spacing w:after="0" w:line="240" w:lineRule="auto"/>
      </w:pPr>
      <w:proofErr w:type="gramStart"/>
      <w:r w:rsidRPr="00F93A3D">
        <w:t>the</w:t>
      </w:r>
      <w:proofErr w:type="gramEnd"/>
      <w:r w:rsidRPr="00F93A3D">
        <w:t xml:space="preserve"> difference between the new entrant access cap for </w:t>
      </w:r>
      <w:r>
        <w:t xml:space="preserve">the </w:t>
      </w:r>
      <w:r w:rsidR="00FE3E4B">
        <w:t>quota type</w:t>
      </w:r>
      <w:r>
        <w:t xml:space="preserve"> and quota year and the weight mentioned in paragraph </w:t>
      </w:r>
      <w:r w:rsidR="00E730A1">
        <w:t>41</w:t>
      </w:r>
      <w:r w:rsidR="00FE50A1">
        <w:t>(3)</w:t>
      </w:r>
      <w:r>
        <w:t>(a)</w:t>
      </w:r>
      <w:r w:rsidRPr="00F93A3D">
        <w:t>.</w:t>
      </w:r>
    </w:p>
    <w:p w14:paraId="337E33DB" w14:textId="0B982E48" w:rsidR="004A1057" w:rsidRDefault="004A1057" w:rsidP="004A1057">
      <w:pPr>
        <w:pStyle w:val="Normal-em"/>
        <w:spacing w:after="0" w:line="240" w:lineRule="auto"/>
      </w:pPr>
      <w:r>
        <w:t>This means a new entrant cannot get an allocation of more than they have used during the quota year, but also still limited by the new entrant access cap to ensure fair opportunity for access across new entrants.</w:t>
      </w:r>
    </w:p>
    <w:p w14:paraId="5648317A" w14:textId="77777777" w:rsidR="00CC171B" w:rsidRDefault="00CC171B" w:rsidP="00CC171B">
      <w:pPr>
        <w:pStyle w:val="Normal-em"/>
        <w:spacing w:after="0" w:line="240" w:lineRule="auto"/>
      </w:pPr>
    </w:p>
    <w:p w14:paraId="41805166" w14:textId="05DFF41E" w:rsidR="00CC171B" w:rsidRDefault="00CC171B" w:rsidP="00CC171B">
      <w:pPr>
        <w:pStyle w:val="Normal-em"/>
        <w:spacing w:after="0" w:line="240" w:lineRule="auto"/>
      </w:pPr>
      <w:r>
        <w:t xml:space="preserve">Subsection </w:t>
      </w:r>
      <w:r w:rsidR="00E730A1">
        <w:t>41</w:t>
      </w:r>
      <w:r>
        <w:t>(4) provides that t</w:t>
      </w:r>
      <w:r w:rsidRPr="00F93A3D">
        <w:t>he application mus</w:t>
      </w:r>
      <w:r>
        <w:t>t state the amount of tariff rate quota entitlement being applied for and b</w:t>
      </w:r>
      <w:r w:rsidRPr="00F93A3D">
        <w:t>e made in a manner approved, in writing, by the Secretary</w:t>
      </w:r>
      <w:r>
        <w:t>. If</w:t>
      </w:r>
      <w:r w:rsidRPr="00F93A3D">
        <w:t xml:space="preserve"> the Secretary has approved a form for making </w:t>
      </w:r>
      <w:r>
        <w:t>the</w:t>
      </w:r>
      <w:r w:rsidRPr="00F93A3D">
        <w:t xml:space="preserve"> application</w:t>
      </w:r>
      <w:r>
        <w:t xml:space="preserve">, it must </w:t>
      </w:r>
      <w:r w:rsidRPr="00F93A3D">
        <w:t>include the information required by the form</w:t>
      </w:r>
      <w:r w:rsidR="004A1057">
        <w:t xml:space="preserve"> and</w:t>
      </w:r>
      <w:r>
        <w:t xml:space="preserve"> </w:t>
      </w:r>
      <w:r w:rsidRPr="00F93A3D">
        <w:t>be accompanied by any documents required by the form.</w:t>
      </w:r>
    </w:p>
    <w:p w14:paraId="021E2AD3" w14:textId="77777777" w:rsidR="00CC171B" w:rsidRDefault="00CC171B" w:rsidP="00CC171B">
      <w:pPr>
        <w:pStyle w:val="Normal-em"/>
        <w:spacing w:after="0" w:line="240" w:lineRule="auto"/>
      </w:pPr>
    </w:p>
    <w:p w14:paraId="634E001D" w14:textId="536A58BF" w:rsidR="00257D0C" w:rsidRDefault="00257D0C" w:rsidP="00257D0C">
      <w:pPr>
        <w:spacing w:line="240" w:lineRule="auto"/>
        <w:rPr>
          <w:sz w:val="24"/>
          <w:szCs w:val="24"/>
        </w:rPr>
      </w:pPr>
      <w:r w:rsidRPr="00320582">
        <w:rPr>
          <w:sz w:val="24"/>
          <w:szCs w:val="24"/>
        </w:rPr>
        <w:t xml:space="preserve">This subsection includes a note that a person may commit an offence if the person makes a false or misleading statement in an application or provides false or misleading information or documents (see sections 136.1, 137.1 and 137.2 of the </w:t>
      </w:r>
      <w:r w:rsidRPr="00320582">
        <w:rPr>
          <w:i/>
          <w:sz w:val="24"/>
          <w:szCs w:val="24"/>
        </w:rPr>
        <w:t>Criminal Code</w:t>
      </w:r>
      <w:r w:rsidRPr="00320582">
        <w:rPr>
          <w:sz w:val="24"/>
          <w:szCs w:val="24"/>
        </w:rPr>
        <w:t>).</w:t>
      </w:r>
    </w:p>
    <w:p w14:paraId="0ED8D675" w14:textId="77777777" w:rsidR="00CC171B" w:rsidRDefault="00CC171B" w:rsidP="00CC171B">
      <w:pPr>
        <w:pStyle w:val="Normal-em"/>
        <w:spacing w:after="0" w:line="240" w:lineRule="auto"/>
      </w:pPr>
    </w:p>
    <w:p w14:paraId="6D7AA6E4" w14:textId="7D1FF9C9" w:rsidR="00CC171B" w:rsidRDefault="00CC171B" w:rsidP="00CC171B">
      <w:pPr>
        <w:pStyle w:val="Normal-em"/>
        <w:spacing w:after="0" w:line="240" w:lineRule="auto"/>
      </w:pPr>
      <w:r>
        <w:t xml:space="preserve">Subsection </w:t>
      </w:r>
      <w:r w:rsidR="00E730A1">
        <w:t>41</w:t>
      </w:r>
      <w:r>
        <w:t>(5) provides that</w:t>
      </w:r>
      <w:r w:rsidR="00257D0C">
        <w:t xml:space="preserve"> t</w:t>
      </w:r>
      <w:r w:rsidR="00257D0C" w:rsidRPr="00F93A3D">
        <w:t>he Secretary may accept any information or document previously given to the Secretary in connection with an application made under this instrument as satisfying any requirement to give that information or document under subsection </w:t>
      </w:r>
      <w:r w:rsidR="00E730A1">
        <w:t>41</w:t>
      </w:r>
      <w:r w:rsidR="00257D0C" w:rsidRPr="00F93A3D">
        <w:t>(4).</w:t>
      </w:r>
    </w:p>
    <w:p w14:paraId="06703A02" w14:textId="77777777" w:rsidR="00CC171B" w:rsidRDefault="00CC171B" w:rsidP="00CC171B">
      <w:pPr>
        <w:pStyle w:val="Normal-em"/>
        <w:spacing w:after="0" w:line="240" w:lineRule="auto"/>
      </w:pPr>
    </w:p>
    <w:p w14:paraId="4796E60D" w14:textId="00549FF1" w:rsidR="00257D0C" w:rsidRPr="00F93A3D" w:rsidRDefault="00CC171B" w:rsidP="00257D0C">
      <w:pPr>
        <w:pStyle w:val="Normal-em"/>
        <w:spacing w:after="0" w:line="240" w:lineRule="auto"/>
      </w:pPr>
      <w:r>
        <w:t xml:space="preserve">Subsection </w:t>
      </w:r>
      <w:r w:rsidR="00E730A1">
        <w:t>41</w:t>
      </w:r>
      <w:r>
        <w:t>(6) provides that</w:t>
      </w:r>
      <w:r w:rsidR="00257D0C">
        <w:t xml:space="preserve"> </w:t>
      </w:r>
      <w:r w:rsidR="0054573C">
        <w:t>a</w:t>
      </w:r>
      <w:r w:rsidR="00257D0C" w:rsidRPr="00F93A3D">
        <w:t>n application is taken not to have been made if the application does not comply with the requirements referred to in subsection </w:t>
      </w:r>
      <w:r w:rsidR="00E730A1">
        <w:t>41</w:t>
      </w:r>
      <w:r w:rsidR="00257D0C" w:rsidRPr="00F93A3D">
        <w:t>(4</w:t>
      </w:r>
      <w:r w:rsidR="00257D0C">
        <w:t>) for the application.</w:t>
      </w:r>
      <w:r w:rsidR="00121F99">
        <w:t xml:space="preserve"> This is to ensure that an application must </w:t>
      </w:r>
      <w:r w:rsidR="00D868E2">
        <w:t xml:space="preserve">be </w:t>
      </w:r>
      <w:r w:rsidR="00121F99">
        <w:t>complete in order to be actioned.</w:t>
      </w:r>
    </w:p>
    <w:p w14:paraId="2FA7EF1E" w14:textId="77777777" w:rsidR="00CC171B" w:rsidRPr="00401BD8" w:rsidRDefault="00CC171B" w:rsidP="00CC171B">
      <w:pPr>
        <w:pStyle w:val="Normal-em"/>
        <w:spacing w:after="0" w:line="240" w:lineRule="auto"/>
        <w:rPr>
          <w:u w:val="single"/>
        </w:rPr>
      </w:pPr>
    </w:p>
    <w:p w14:paraId="00D3E2F0" w14:textId="49888A10" w:rsidR="00CC171B" w:rsidRDefault="0054573C" w:rsidP="00CC171B">
      <w:pPr>
        <w:pStyle w:val="Normal-em"/>
        <w:spacing w:after="0" w:line="240" w:lineRule="auto"/>
      </w:pPr>
      <w:r>
        <w:rPr>
          <w:u w:val="single"/>
        </w:rPr>
        <w:t xml:space="preserve">Section </w:t>
      </w:r>
      <w:r w:rsidR="00E730A1">
        <w:rPr>
          <w:u w:val="single"/>
        </w:rPr>
        <w:t>42</w:t>
      </w:r>
      <w:r>
        <w:rPr>
          <w:u w:val="single"/>
        </w:rPr>
        <w:t xml:space="preserve"> - Allocation of quota after reclamation day - new entrants</w:t>
      </w:r>
    </w:p>
    <w:p w14:paraId="75DCA52D" w14:textId="77777777" w:rsidR="0054573C" w:rsidRDefault="0054573C" w:rsidP="00CC171B">
      <w:pPr>
        <w:pStyle w:val="Normal-em"/>
        <w:spacing w:after="0" w:line="240" w:lineRule="auto"/>
      </w:pPr>
    </w:p>
    <w:p w14:paraId="1BE89806" w14:textId="30FDFC4D" w:rsidR="0054573C" w:rsidRDefault="0054573C" w:rsidP="0054573C">
      <w:pPr>
        <w:pStyle w:val="Normal-em"/>
        <w:spacing w:after="0" w:line="240" w:lineRule="auto"/>
      </w:pPr>
      <w:r>
        <w:t xml:space="preserve">Subsection </w:t>
      </w:r>
      <w:r w:rsidR="00E730A1">
        <w:t>42</w:t>
      </w:r>
      <w:r>
        <w:t>(1) provides that t</w:t>
      </w:r>
      <w:r w:rsidRPr="00F93A3D">
        <w:t xml:space="preserve">he Secretary must, as soon as practicable after the </w:t>
      </w:r>
      <w:r>
        <w:t>reclamation day</w:t>
      </w:r>
      <w:r w:rsidRPr="00F93A3D">
        <w:t xml:space="preserve"> for a</w:t>
      </w:r>
      <w:r>
        <w:t xml:space="preserve"> </w:t>
      </w:r>
      <w:r w:rsidR="00FE3E4B">
        <w:t>quota type</w:t>
      </w:r>
      <w:r>
        <w:t xml:space="preserve"> and</w:t>
      </w:r>
      <w:r w:rsidRPr="00F93A3D">
        <w:t xml:space="preserve"> </w:t>
      </w:r>
      <w:r>
        <w:t xml:space="preserve">a </w:t>
      </w:r>
      <w:r w:rsidRPr="00F93A3D">
        <w:t xml:space="preserve">quota year, allocate </w:t>
      </w:r>
      <w:r>
        <w:t xml:space="preserve">amounts of tariff rate quota entitlement for the </w:t>
      </w:r>
      <w:r w:rsidR="00FE3E4B">
        <w:t>quota type</w:t>
      </w:r>
      <w:r>
        <w:t xml:space="preserve"> and quota year </w:t>
      </w:r>
      <w:r w:rsidRPr="00F93A3D">
        <w:t xml:space="preserve">to applicants under section </w:t>
      </w:r>
      <w:r w:rsidR="00E730A1">
        <w:t>41</w:t>
      </w:r>
      <w:bookmarkStart w:id="54" w:name="BK_S3P30L32C75"/>
      <w:bookmarkEnd w:id="54"/>
      <w:r>
        <w:t xml:space="preserve"> </w:t>
      </w:r>
      <w:r w:rsidRPr="00F93A3D">
        <w:t>in accordance with this section.</w:t>
      </w:r>
    </w:p>
    <w:p w14:paraId="030305B3" w14:textId="77777777" w:rsidR="0054573C" w:rsidRDefault="0054573C" w:rsidP="0054573C">
      <w:pPr>
        <w:pStyle w:val="Normal-em"/>
        <w:spacing w:after="0" w:line="240" w:lineRule="auto"/>
      </w:pPr>
    </w:p>
    <w:p w14:paraId="451CD973" w14:textId="1AC4D3F1" w:rsidR="0054573C" w:rsidRPr="003E1D4F" w:rsidRDefault="0054573C" w:rsidP="009115B9">
      <w:pPr>
        <w:pStyle w:val="Normal-em"/>
        <w:spacing w:after="0" w:line="240" w:lineRule="auto"/>
      </w:pPr>
      <w:r>
        <w:t xml:space="preserve">This subsection includes </w:t>
      </w:r>
      <w:r w:rsidR="009115B9">
        <w:t>a note that t</w:t>
      </w:r>
      <w:r>
        <w:t xml:space="preserve">he Secretary must deal with all applications for tariff rate quota certificates made under section </w:t>
      </w:r>
      <w:r w:rsidR="00892FD1">
        <w:t>34</w:t>
      </w:r>
      <w:r>
        <w:t xml:space="preserve"> before allocating entitlements in accordance with this section. </w:t>
      </w:r>
    </w:p>
    <w:p w14:paraId="3758F249" w14:textId="77777777" w:rsidR="0054573C" w:rsidRDefault="0054573C" w:rsidP="00D95850">
      <w:pPr>
        <w:pStyle w:val="Normal-em"/>
        <w:spacing w:after="0" w:line="240" w:lineRule="auto"/>
        <w:rPr>
          <w:u w:val="single"/>
        </w:rPr>
      </w:pPr>
    </w:p>
    <w:p w14:paraId="24F01114" w14:textId="0C038059" w:rsidR="00B7007B" w:rsidRDefault="0054573C" w:rsidP="009115B9">
      <w:pPr>
        <w:pStyle w:val="Normal-em"/>
        <w:spacing w:after="0" w:line="240" w:lineRule="auto"/>
      </w:pPr>
      <w:r>
        <w:t xml:space="preserve">Subsection </w:t>
      </w:r>
      <w:r w:rsidR="00E730A1">
        <w:t>42</w:t>
      </w:r>
      <w:r>
        <w:t>(2) provides that</w:t>
      </w:r>
      <w:r w:rsidR="009115B9">
        <w:t xml:space="preserve"> t</w:t>
      </w:r>
      <w:r w:rsidR="009115B9" w:rsidRPr="00F93A3D">
        <w:t xml:space="preserve">he </w:t>
      </w:r>
      <w:r w:rsidR="009115B9">
        <w:t xml:space="preserve">amount of tariff rate </w:t>
      </w:r>
      <w:r w:rsidR="009115B9" w:rsidRPr="00F93A3D">
        <w:t xml:space="preserve">quota entitlement </w:t>
      </w:r>
      <w:r w:rsidR="009115B9">
        <w:t>to be allocated to</w:t>
      </w:r>
      <w:r w:rsidR="009115B9" w:rsidRPr="00F93A3D">
        <w:t xml:space="preserve"> </w:t>
      </w:r>
      <w:r w:rsidR="009115B9">
        <w:t>an</w:t>
      </w:r>
      <w:r w:rsidR="009115B9" w:rsidRPr="00F93A3D">
        <w:t xml:space="preserve"> applicant</w:t>
      </w:r>
      <w:bookmarkStart w:id="55" w:name="BK_S3P40L31C81"/>
      <w:bookmarkEnd w:id="55"/>
      <w:r w:rsidR="009115B9" w:rsidRPr="00F93A3D">
        <w:t xml:space="preserve"> is</w:t>
      </w:r>
      <w:r w:rsidR="00B7007B">
        <w:t>;</w:t>
      </w:r>
    </w:p>
    <w:p w14:paraId="38B7D52C" w14:textId="3ADFF9FC" w:rsidR="00B7007B" w:rsidRDefault="009115B9" w:rsidP="000F6D46">
      <w:pPr>
        <w:pStyle w:val="Normal-em"/>
        <w:numPr>
          <w:ilvl w:val="0"/>
          <w:numId w:val="42"/>
        </w:numPr>
        <w:spacing w:after="0" w:line="240" w:lineRule="auto"/>
      </w:pPr>
      <w:r w:rsidRPr="00F93A3D">
        <w:t xml:space="preserve">if the total amount applied for in all applications is less than or equal to the uncommitted new entrant access amount </w:t>
      </w:r>
      <w:r>
        <w:t xml:space="preserve">for the </w:t>
      </w:r>
      <w:r w:rsidR="00FE3E4B">
        <w:t>quota type</w:t>
      </w:r>
      <w:r>
        <w:t xml:space="preserve"> and quota year</w:t>
      </w:r>
      <w:r w:rsidRPr="00F93A3D">
        <w:t xml:space="preserve"> as at </w:t>
      </w:r>
      <w:r>
        <w:t xml:space="preserve">the time the Secretary makes the allocation, </w:t>
      </w:r>
      <w:r w:rsidRPr="00F93A3D">
        <w:t>th</w:t>
      </w:r>
      <w:r w:rsidR="00B7007B">
        <w:t>e amount the person applied for. This reflects that there is sufficient quota available to meet each exporters</w:t>
      </w:r>
      <w:r w:rsidR="00D868E2">
        <w:t>’</w:t>
      </w:r>
      <w:r w:rsidR="00B7007B">
        <w:t xml:space="preserve"> request.</w:t>
      </w:r>
    </w:p>
    <w:p w14:paraId="617B3E6C" w14:textId="7D5F87DB" w:rsidR="009115B9" w:rsidRDefault="00B7007B" w:rsidP="000F6D46">
      <w:pPr>
        <w:pStyle w:val="Normal-em"/>
        <w:numPr>
          <w:ilvl w:val="0"/>
          <w:numId w:val="42"/>
        </w:numPr>
        <w:spacing w:after="0" w:line="240" w:lineRule="auto"/>
      </w:pPr>
      <w:r>
        <w:t>O</w:t>
      </w:r>
      <w:r w:rsidR="009115B9" w:rsidRPr="00F93A3D">
        <w:t>r</w:t>
      </w:r>
      <w:r>
        <w:t>,</w:t>
      </w:r>
      <w:r w:rsidR="009115B9">
        <w:t xml:space="preserve"> i</w:t>
      </w:r>
      <w:r w:rsidR="009115B9" w:rsidRPr="00F93A3D">
        <w:t xml:space="preserve">f the total amount </w:t>
      </w:r>
      <w:r w:rsidR="009115B9">
        <w:t>applied for in</w:t>
      </w:r>
      <w:r w:rsidR="009115B9" w:rsidRPr="00F93A3D">
        <w:t xml:space="preserve"> all applications is more than the uncommitted new entrant access amount </w:t>
      </w:r>
      <w:r w:rsidR="009115B9">
        <w:t xml:space="preserve">for the </w:t>
      </w:r>
      <w:r w:rsidR="00FE3E4B">
        <w:t>quota type</w:t>
      </w:r>
      <w:r w:rsidR="009115B9">
        <w:t xml:space="preserve"> and quota year</w:t>
      </w:r>
      <w:r w:rsidR="009115B9" w:rsidRPr="00F93A3D">
        <w:t xml:space="preserve"> as at the </w:t>
      </w:r>
      <w:r w:rsidR="009115B9">
        <w:t xml:space="preserve">time the Secretary makes the allocation, </w:t>
      </w:r>
      <w:r w:rsidR="009115B9" w:rsidRPr="00F93A3D">
        <w:t xml:space="preserve">the amount worked out under section </w:t>
      </w:r>
      <w:r w:rsidR="00E730A1">
        <w:t>43</w:t>
      </w:r>
      <w:r w:rsidR="009115B9" w:rsidRPr="00F93A3D">
        <w:t>.</w:t>
      </w:r>
    </w:p>
    <w:p w14:paraId="5D3A215F" w14:textId="77777777" w:rsidR="009115B9" w:rsidRDefault="009115B9" w:rsidP="0054573C">
      <w:pPr>
        <w:pStyle w:val="Normal-em"/>
        <w:spacing w:after="0" w:line="240" w:lineRule="auto"/>
      </w:pPr>
    </w:p>
    <w:p w14:paraId="5A0F0A4B" w14:textId="54EBDF3C" w:rsidR="009115B9" w:rsidRDefault="003217AC" w:rsidP="0054573C">
      <w:pPr>
        <w:pStyle w:val="Normal-em"/>
        <w:spacing w:after="0" w:line="240" w:lineRule="auto"/>
      </w:pPr>
      <w:r>
        <w:rPr>
          <w:u w:val="single"/>
        </w:rPr>
        <w:t xml:space="preserve">Section </w:t>
      </w:r>
      <w:r w:rsidR="00E730A1">
        <w:rPr>
          <w:u w:val="single"/>
        </w:rPr>
        <w:t>43</w:t>
      </w:r>
      <w:r>
        <w:rPr>
          <w:u w:val="single"/>
        </w:rPr>
        <w:t xml:space="preserve"> - Calculation of tariff rate quota entitlement for new entrants</w:t>
      </w:r>
    </w:p>
    <w:p w14:paraId="2EE25383" w14:textId="77777777" w:rsidR="003217AC" w:rsidRDefault="003217AC" w:rsidP="0054573C">
      <w:pPr>
        <w:pStyle w:val="Normal-em"/>
        <w:spacing w:after="0" w:line="240" w:lineRule="auto"/>
      </w:pPr>
    </w:p>
    <w:p w14:paraId="1B1B5DB7" w14:textId="48D03A40" w:rsidR="00174EE3" w:rsidRDefault="003217AC" w:rsidP="00174EE3">
      <w:pPr>
        <w:pStyle w:val="Normal-em"/>
        <w:spacing w:after="0" w:line="240" w:lineRule="auto"/>
      </w:pPr>
      <w:r>
        <w:t xml:space="preserve">Subsection </w:t>
      </w:r>
      <w:r w:rsidR="00E730A1">
        <w:t>43</w:t>
      </w:r>
      <w:r>
        <w:t xml:space="preserve">(1) provides that </w:t>
      </w:r>
      <w:r w:rsidR="001162A4">
        <w:t>for the purposes of paragraph 42(2</w:t>
      </w:r>
      <w:proofErr w:type="gramStart"/>
      <w:r w:rsidR="001162A4">
        <w:t>)(</w:t>
      </w:r>
      <w:proofErr w:type="gramEnd"/>
      <w:r w:rsidR="001162A4">
        <w:t xml:space="preserve">b) and </w:t>
      </w:r>
      <w:r w:rsidR="00174EE3">
        <w:t xml:space="preserve">subject to this section, the amount of tariff rate quota entitlement to be allocated to an applicant </w:t>
      </w:r>
      <w:r w:rsidR="00174EE3" w:rsidRPr="00F93A3D">
        <w:t xml:space="preserve">for </w:t>
      </w:r>
      <w:r w:rsidR="00174EE3">
        <w:t xml:space="preserve">a </w:t>
      </w:r>
      <w:r w:rsidR="00FE3E4B">
        <w:t>quota type</w:t>
      </w:r>
      <w:r w:rsidR="00174EE3">
        <w:t xml:space="preserve"> and</w:t>
      </w:r>
      <w:r w:rsidR="00174EE3" w:rsidRPr="00F93A3D">
        <w:t xml:space="preserve"> a quota year</w:t>
      </w:r>
      <w:r w:rsidR="00174EE3">
        <w:t xml:space="preserve"> is the uncommitted new entrant access amount for the </w:t>
      </w:r>
      <w:r w:rsidR="00FE3E4B">
        <w:t>quota type</w:t>
      </w:r>
      <w:r w:rsidR="00174EE3">
        <w:t xml:space="preserve"> and quota year at the time the Secretary makes the allocation, divided by the number of applicants.</w:t>
      </w:r>
      <w:r w:rsidR="00B7007B">
        <w:t xml:space="preserve">  This reflects that, as new entrants, no exporter is deemed to be entitled to a greater proportion than any other new entrant, subject to </w:t>
      </w:r>
      <w:r w:rsidR="004A42BC">
        <w:t xml:space="preserve">amounts </w:t>
      </w:r>
      <w:r w:rsidR="00B7007B">
        <w:t>request</w:t>
      </w:r>
      <w:r w:rsidR="004A42BC">
        <w:t>ed in subsection 41(3)</w:t>
      </w:r>
      <w:r w:rsidR="00B7007B">
        <w:t xml:space="preserve"> being satisfied.</w:t>
      </w:r>
    </w:p>
    <w:p w14:paraId="6A45466D" w14:textId="77777777" w:rsidR="003217AC" w:rsidRDefault="003217AC" w:rsidP="0054573C">
      <w:pPr>
        <w:pStyle w:val="Normal-em"/>
        <w:spacing w:after="0" w:line="240" w:lineRule="auto"/>
      </w:pPr>
    </w:p>
    <w:p w14:paraId="25D2DE25" w14:textId="731BFD39" w:rsidR="00B7007B" w:rsidRDefault="003217AC" w:rsidP="00060E8F">
      <w:pPr>
        <w:pStyle w:val="Normal-em"/>
        <w:spacing w:after="0" w:line="240" w:lineRule="auto"/>
      </w:pPr>
      <w:r>
        <w:t xml:space="preserve">Subsection </w:t>
      </w:r>
      <w:r w:rsidR="00E730A1">
        <w:t>43</w:t>
      </w:r>
      <w:r>
        <w:t xml:space="preserve">(2) provides that </w:t>
      </w:r>
      <w:r w:rsidR="00174EE3">
        <w:t xml:space="preserve">if the </w:t>
      </w:r>
      <w:r w:rsidR="00174EE3" w:rsidRPr="00F93A3D">
        <w:t>amount worked out under subsection </w:t>
      </w:r>
      <w:r w:rsidR="00E730A1">
        <w:t>43</w:t>
      </w:r>
      <w:r w:rsidR="00174EE3" w:rsidRPr="00F93A3D">
        <w:t xml:space="preserve">(1) for </w:t>
      </w:r>
      <w:r w:rsidR="00174EE3">
        <w:t>any applicant</w:t>
      </w:r>
      <w:r w:rsidR="00174EE3" w:rsidRPr="00F93A3D">
        <w:t xml:space="preserve"> (</w:t>
      </w:r>
      <w:r w:rsidR="00174EE3">
        <w:t xml:space="preserve">a </w:t>
      </w:r>
      <w:r w:rsidR="00174EE3" w:rsidRPr="00B7007B">
        <w:rPr>
          <w:i/>
        </w:rPr>
        <w:t>quota-filled applicant</w:t>
      </w:r>
      <w:r w:rsidR="00174EE3" w:rsidRPr="00F93A3D">
        <w:t>)</w:t>
      </w:r>
      <w:r w:rsidR="00174EE3">
        <w:t xml:space="preserve"> </w:t>
      </w:r>
      <w:r w:rsidR="00174EE3" w:rsidRPr="00F93A3D">
        <w:t>is more than the amount of tariff rate quota entitlement the applicant applied for</w:t>
      </w:r>
      <w:r w:rsidR="00B7007B">
        <w:t>:</w:t>
      </w:r>
      <w:r w:rsidR="006F172B">
        <w:t xml:space="preserve"> </w:t>
      </w:r>
    </w:p>
    <w:p w14:paraId="42AA7028" w14:textId="415DB32D" w:rsidR="00FB5E89" w:rsidRDefault="00174EE3" w:rsidP="000F6D46">
      <w:pPr>
        <w:pStyle w:val="Normal-em"/>
        <w:numPr>
          <w:ilvl w:val="0"/>
          <w:numId w:val="43"/>
        </w:numPr>
        <w:spacing w:after="0" w:line="240" w:lineRule="auto"/>
      </w:pPr>
      <w:r>
        <w:t>the</w:t>
      </w:r>
      <w:r w:rsidRPr="00F93A3D">
        <w:t xml:space="preserve"> </w:t>
      </w:r>
      <w:r>
        <w:t xml:space="preserve">amount of tariff rate </w:t>
      </w:r>
      <w:r w:rsidRPr="00F93A3D">
        <w:t>quota entitlement</w:t>
      </w:r>
      <w:r>
        <w:t xml:space="preserve"> to be allocated to each quota-filled applicant</w:t>
      </w:r>
      <w:r w:rsidRPr="00F93A3D">
        <w:t xml:space="preserve"> is</w:t>
      </w:r>
      <w:r>
        <w:t xml:space="preserve"> equal to</w:t>
      </w:r>
      <w:r w:rsidRPr="00F93A3D">
        <w:t xml:space="preserve"> the amount of </w:t>
      </w:r>
      <w:r>
        <w:t xml:space="preserve">tariff rate </w:t>
      </w:r>
      <w:r w:rsidRPr="00F93A3D">
        <w:t>quota entitlement th</w:t>
      </w:r>
      <w:r w:rsidR="007F4B7E">
        <w:t>at</w:t>
      </w:r>
      <w:r w:rsidRPr="00F93A3D">
        <w:t xml:space="preserve"> </w:t>
      </w:r>
      <w:r>
        <w:t>applicant</w:t>
      </w:r>
      <w:r w:rsidRPr="00F93A3D">
        <w:t xml:space="preserve"> appl</w:t>
      </w:r>
      <w:r>
        <w:t>ied for</w:t>
      </w:r>
      <w:r w:rsidR="00FB5E89">
        <w:t>,</w:t>
      </w:r>
      <w:r>
        <w:t xml:space="preserve"> and</w:t>
      </w:r>
      <w:r w:rsidR="006F172B">
        <w:t xml:space="preserve"> </w:t>
      </w:r>
    </w:p>
    <w:p w14:paraId="5ADC1570" w14:textId="13CE6CDE" w:rsidR="00FB5E89" w:rsidRDefault="00174EE3" w:rsidP="000F6D46">
      <w:pPr>
        <w:pStyle w:val="Normal-em"/>
        <w:numPr>
          <w:ilvl w:val="0"/>
          <w:numId w:val="43"/>
        </w:numPr>
        <w:spacing w:after="0" w:line="240" w:lineRule="auto"/>
      </w:pPr>
      <w:r w:rsidRPr="00F93A3D">
        <w:t xml:space="preserve">the </w:t>
      </w:r>
      <w:r>
        <w:t xml:space="preserve">amount of </w:t>
      </w:r>
      <w:r w:rsidRPr="00F93A3D">
        <w:t xml:space="preserve">tariff rate quota entitlement </w:t>
      </w:r>
      <w:r>
        <w:t>to be allocated to</w:t>
      </w:r>
      <w:r w:rsidRPr="00F93A3D">
        <w:t xml:space="preserve"> each applicant who is not a quota</w:t>
      </w:r>
      <w:r>
        <w:noBreakHyphen/>
      </w:r>
      <w:r w:rsidRPr="00F93A3D">
        <w:t>filled applicant must be recalculated under subsection </w:t>
      </w:r>
      <w:r w:rsidR="00E730A1">
        <w:t>43</w:t>
      </w:r>
      <w:r w:rsidRPr="00F93A3D">
        <w:t>(1)</w:t>
      </w:r>
      <w:r w:rsidR="00FB5E89">
        <w:t>,</w:t>
      </w:r>
      <w:r w:rsidRPr="00F93A3D">
        <w:t xml:space="preserve"> and</w:t>
      </w:r>
      <w:r w:rsidR="006F172B">
        <w:t xml:space="preserve"> </w:t>
      </w:r>
    </w:p>
    <w:p w14:paraId="1AFBB121" w14:textId="482F6133" w:rsidR="00174EE3" w:rsidRDefault="00174EE3" w:rsidP="000F6D46">
      <w:pPr>
        <w:pStyle w:val="Normal-em"/>
        <w:numPr>
          <w:ilvl w:val="0"/>
          <w:numId w:val="43"/>
        </w:numPr>
        <w:spacing w:after="0" w:line="240" w:lineRule="auto"/>
      </w:pPr>
      <w:proofErr w:type="gramStart"/>
      <w:r w:rsidRPr="00F93A3D">
        <w:t>for</w:t>
      </w:r>
      <w:proofErr w:type="gramEnd"/>
      <w:r w:rsidRPr="00F93A3D">
        <w:t xml:space="preserve"> the purposes of the recalculation</w:t>
      </w:r>
      <w:r w:rsidR="00060E8F">
        <w:t xml:space="preserve">, </w:t>
      </w:r>
      <w:r w:rsidRPr="00F93A3D">
        <w:t>each quota</w:t>
      </w:r>
      <w:r>
        <w:noBreakHyphen/>
      </w:r>
      <w:r w:rsidRPr="00F93A3D">
        <w:t>filled applicant is taken not to be an applicant and</w:t>
      </w:r>
      <w:r w:rsidR="00060E8F">
        <w:t xml:space="preserve"> </w:t>
      </w:r>
      <w:r w:rsidRPr="00F93A3D">
        <w:t xml:space="preserve">the uncommitted </w:t>
      </w:r>
      <w:r>
        <w:t xml:space="preserve">new entrant </w:t>
      </w:r>
      <w:r w:rsidRPr="00F93A3D">
        <w:t xml:space="preserve">access amount is taken to be reduced by the </w:t>
      </w:r>
      <w:r>
        <w:t xml:space="preserve">total </w:t>
      </w:r>
      <w:r w:rsidRPr="00F93A3D">
        <w:t xml:space="preserve">amount of </w:t>
      </w:r>
      <w:r>
        <w:t xml:space="preserve">tariff rate quota entitlement to be allocated to </w:t>
      </w:r>
      <w:r w:rsidRPr="00F93A3D">
        <w:t>quota</w:t>
      </w:r>
      <w:r>
        <w:noBreakHyphen/>
      </w:r>
      <w:r w:rsidRPr="00F93A3D">
        <w:t>filled applicant</w:t>
      </w:r>
      <w:r>
        <w:t>s</w:t>
      </w:r>
      <w:r w:rsidRPr="00F93A3D">
        <w:t>.</w:t>
      </w:r>
    </w:p>
    <w:p w14:paraId="5CB0B080" w14:textId="422C1588" w:rsidR="00FB5E89" w:rsidRDefault="00FB5E89" w:rsidP="00FB5E89">
      <w:pPr>
        <w:pStyle w:val="Normal-em"/>
        <w:spacing w:after="0" w:line="240" w:lineRule="auto"/>
      </w:pPr>
      <w:r>
        <w:t>This ensures all new entrants are allocated an equal amount, subject to their request amount.</w:t>
      </w:r>
    </w:p>
    <w:p w14:paraId="7D67BF31" w14:textId="77777777" w:rsidR="003217AC" w:rsidRDefault="003217AC" w:rsidP="0054573C">
      <w:pPr>
        <w:pStyle w:val="Normal-em"/>
        <w:spacing w:after="0" w:line="240" w:lineRule="auto"/>
      </w:pPr>
    </w:p>
    <w:p w14:paraId="2B17F20E" w14:textId="310F7DFC" w:rsidR="00174EE3" w:rsidRDefault="003217AC" w:rsidP="00174EE3">
      <w:pPr>
        <w:pStyle w:val="Normal-em"/>
        <w:spacing w:after="0" w:line="240" w:lineRule="auto"/>
      </w:pPr>
      <w:r>
        <w:t xml:space="preserve">Subsection </w:t>
      </w:r>
      <w:r w:rsidR="00E730A1">
        <w:t>43</w:t>
      </w:r>
      <w:r>
        <w:t xml:space="preserve">(3) provides that </w:t>
      </w:r>
      <w:r w:rsidR="00174EE3">
        <w:t xml:space="preserve">the recalculation mentioned in subsection </w:t>
      </w:r>
      <w:r w:rsidR="00E730A1">
        <w:t>43</w:t>
      </w:r>
      <w:r w:rsidR="00174EE3">
        <w:t xml:space="preserve">(2) must be repeated until subsection </w:t>
      </w:r>
      <w:r w:rsidR="00E730A1">
        <w:t>43</w:t>
      </w:r>
      <w:r w:rsidR="00174EE3">
        <w:t>(2) no longer applies in relation to any applicant.</w:t>
      </w:r>
      <w:r w:rsidR="00FB5E89">
        <w:t xml:space="preserve"> That is, no applicant has received more than they had applied for.</w:t>
      </w:r>
    </w:p>
    <w:p w14:paraId="395EB4D8" w14:textId="77777777" w:rsidR="003217AC" w:rsidRDefault="003217AC" w:rsidP="0054573C">
      <w:pPr>
        <w:pStyle w:val="Normal-em"/>
        <w:spacing w:after="0" w:line="240" w:lineRule="auto"/>
      </w:pPr>
    </w:p>
    <w:p w14:paraId="6E77CD62" w14:textId="53FE5E63" w:rsidR="00174EE3" w:rsidRDefault="003217AC" w:rsidP="00174EE3">
      <w:pPr>
        <w:pStyle w:val="Normal-em"/>
        <w:spacing w:after="0" w:line="240" w:lineRule="auto"/>
      </w:pPr>
      <w:r>
        <w:t xml:space="preserve">Subsection </w:t>
      </w:r>
      <w:r w:rsidR="00E730A1">
        <w:t>43</w:t>
      </w:r>
      <w:r>
        <w:t xml:space="preserve">(4) provides that </w:t>
      </w:r>
      <w:r w:rsidR="00174EE3">
        <w:t xml:space="preserve">the amount of tariff rate quota entitlement to be allocated to each applicant, as calculated under subsections </w:t>
      </w:r>
      <w:r w:rsidR="00E730A1">
        <w:t>43</w:t>
      </w:r>
      <w:r w:rsidR="00174EE3">
        <w:t xml:space="preserve">(1) to </w:t>
      </w:r>
      <w:r w:rsidR="00E730A1">
        <w:t>43</w:t>
      </w:r>
      <w:r w:rsidR="00174EE3">
        <w:t>(3), must be rounded to the nearest kilogram with 0.5 of a kilogram to be rounded up.</w:t>
      </w:r>
      <w:bookmarkStart w:id="56" w:name="BK_S3P31L33C42"/>
      <w:bookmarkEnd w:id="56"/>
    </w:p>
    <w:p w14:paraId="39ACAA30" w14:textId="77777777" w:rsidR="003217AC" w:rsidRDefault="003217AC" w:rsidP="0054573C">
      <w:pPr>
        <w:pStyle w:val="Normal-em"/>
        <w:spacing w:after="0" w:line="240" w:lineRule="auto"/>
      </w:pPr>
    </w:p>
    <w:p w14:paraId="04D339A9" w14:textId="6077D7E6" w:rsidR="00194641" w:rsidRDefault="003217AC" w:rsidP="00194641">
      <w:pPr>
        <w:pStyle w:val="Normal-em"/>
        <w:spacing w:after="0" w:line="240" w:lineRule="auto"/>
      </w:pPr>
      <w:r>
        <w:t xml:space="preserve">Subsection </w:t>
      </w:r>
      <w:r w:rsidR="00E730A1">
        <w:t>43</w:t>
      </w:r>
      <w:r>
        <w:t xml:space="preserve">(5) provides that </w:t>
      </w:r>
      <w:r w:rsidR="00194641">
        <w:t xml:space="preserve">if the sum of the tariff rate quota entitlements to be allocated exceeds the uncommitted new entrant access amount for the </w:t>
      </w:r>
      <w:r w:rsidR="00FE3E4B">
        <w:t>quota type</w:t>
      </w:r>
      <w:r w:rsidR="00194641">
        <w:t xml:space="preserve"> and quota year at the time the Secretary makes the allocation, the amount of tariff rate quota entitlement to be allocated to each applicant must be rounded down to the nearest kilogram instead.</w:t>
      </w:r>
      <w:r w:rsidR="00FB5E89">
        <w:t xml:space="preserve">  This ensure</w:t>
      </w:r>
      <w:r w:rsidR="001162A4">
        <w:t>s</w:t>
      </w:r>
      <w:r w:rsidR="00FB5E89">
        <w:t xml:space="preserve"> the allocations cannot exceed the uncommitted new entrant access amount.</w:t>
      </w:r>
    </w:p>
    <w:p w14:paraId="6A5399FB" w14:textId="77777777" w:rsidR="0054573C" w:rsidRPr="00401BD8" w:rsidRDefault="0054573C" w:rsidP="00D95850">
      <w:pPr>
        <w:pStyle w:val="Normal-em"/>
        <w:spacing w:after="0" w:line="240" w:lineRule="auto"/>
        <w:rPr>
          <w:u w:val="single"/>
        </w:rPr>
      </w:pPr>
    </w:p>
    <w:p w14:paraId="22D39696" w14:textId="09132A18" w:rsidR="00D95850" w:rsidRDefault="00E126E2" w:rsidP="0011502F">
      <w:pPr>
        <w:pStyle w:val="Normal-em"/>
        <w:spacing w:after="0" w:line="240" w:lineRule="auto"/>
        <w:rPr>
          <w:b/>
          <w:szCs w:val="24"/>
        </w:rPr>
      </w:pPr>
      <w:r>
        <w:rPr>
          <w:b/>
          <w:szCs w:val="24"/>
        </w:rPr>
        <w:t>Subdivision C - Allocation process for persons other than new entrants</w:t>
      </w:r>
    </w:p>
    <w:p w14:paraId="6F57743D" w14:textId="77777777" w:rsidR="00E126E2" w:rsidRDefault="00E126E2" w:rsidP="0011502F">
      <w:pPr>
        <w:pStyle w:val="Normal-em"/>
        <w:spacing w:after="0" w:line="240" w:lineRule="auto"/>
        <w:rPr>
          <w:b/>
          <w:szCs w:val="24"/>
        </w:rPr>
      </w:pPr>
    </w:p>
    <w:p w14:paraId="3F429DC8" w14:textId="70A28DE2" w:rsidR="00E126E2" w:rsidRDefault="00E126E2" w:rsidP="0011502F">
      <w:pPr>
        <w:pStyle w:val="Normal-em"/>
        <w:spacing w:after="0" w:line="240" w:lineRule="auto"/>
        <w:rPr>
          <w:szCs w:val="24"/>
          <w:u w:val="single"/>
        </w:rPr>
      </w:pPr>
      <w:r>
        <w:rPr>
          <w:szCs w:val="24"/>
          <w:u w:val="single"/>
        </w:rPr>
        <w:t xml:space="preserve">Section </w:t>
      </w:r>
      <w:r w:rsidR="00E730A1">
        <w:rPr>
          <w:szCs w:val="24"/>
          <w:u w:val="single"/>
        </w:rPr>
        <w:t>44</w:t>
      </w:r>
      <w:r>
        <w:rPr>
          <w:szCs w:val="24"/>
          <w:u w:val="single"/>
        </w:rPr>
        <w:t xml:space="preserve"> - Application by person who is not new entrant for quota allocation after reclamation day</w:t>
      </w:r>
    </w:p>
    <w:p w14:paraId="79ABCAEF" w14:textId="77777777" w:rsidR="00E126E2" w:rsidRDefault="00E126E2" w:rsidP="0011502F">
      <w:pPr>
        <w:pStyle w:val="Normal-em"/>
        <w:spacing w:after="0" w:line="240" w:lineRule="auto"/>
        <w:rPr>
          <w:szCs w:val="24"/>
          <w:u w:val="single"/>
        </w:rPr>
      </w:pPr>
    </w:p>
    <w:p w14:paraId="4D007C68" w14:textId="14B01E61" w:rsidR="001D167C" w:rsidRDefault="00E126E2" w:rsidP="004C09F5">
      <w:pPr>
        <w:pStyle w:val="Normal-em"/>
        <w:spacing w:after="0" w:line="240" w:lineRule="auto"/>
      </w:pPr>
      <w:r w:rsidRPr="00F246C2">
        <w:rPr>
          <w:szCs w:val="24"/>
        </w:rPr>
        <w:t xml:space="preserve">Subsection </w:t>
      </w:r>
      <w:r w:rsidR="00E730A1">
        <w:rPr>
          <w:szCs w:val="24"/>
        </w:rPr>
        <w:t>44</w:t>
      </w:r>
      <w:r w:rsidRPr="00F246C2">
        <w:rPr>
          <w:szCs w:val="24"/>
        </w:rPr>
        <w:t>(1) provides that</w:t>
      </w:r>
      <w:r w:rsidR="00F246C2" w:rsidRPr="00F246C2">
        <w:t xml:space="preserve"> subject</w:t>
      </w:r>
      <w:r w:rsidR="00F246C2" w:rsidRPr="00EF2820">
        <w:t xml:space="preserve"> to subsection </w:t>
      </w:r>
      <w:r w:rsidR="00E730A1">
        <w:t>44</w:t>
      </w:r>
      <w:r w:rsidR="00F246C2" w:rsidRPr="00EF2820">
        <w:t xml:space="preserve">(2), a person may apply </w:t>
      </w:r>
      <w:r w:rsidR="00F246C2" w:rsidRPr="00F93A3D">
        <w:t xml:space="preserve">to the Secretary under this section for an allocation of an amount of </w:t>
      </w:r>
      <w:r w:rsidR="00F246C2">
        <w:t xml:space="preserve">tariff rate </w:t>
      </w:r>
      <w:r w:rsidR="00F246C2" w:rsidRPr="00F93A3D">
        <w:t xml:space="preserve">quota entitlement for </w:t>
      </w:r>
      <w:r w:rsidR="00F246C2">
        <w:t>a quota type</w:t>
      </w:r>
      <w:r w:rsidR="00F246C2" w:rsidRPr="00F93A3D">
        <w:t xml:space="preserve"> </w:t>
      </w:r>
      <w:r w:rsidR="00F246C2">
        <w:t xml:space="preserve">and </w:t>
      </w:r>
      <w:r w:rsidR="00F246C2" w:rsidRPr="00F93A3D">
        <w:t>a quota year if</w:t>
      </w:r>
      <w:r w:rsidR="001D167C">
        <w:t>:</w:t>
      </w:r>
    </w:p>
    <w:p w14:paraId="29D8EE4D" w14:textId="77777777" w:rsidR="001D167C" w:rsidRDefault="00F246C2" w:rsidP="000F6D46">
      <w:pPr>
        <w:pStyle w:val="Normal-em"/>
        <w:numPr>
          <w:ilvl w:val="0"/>
          <w:numId w:val="44"/>
        </w:numPr>
        <w:spacing w:after="0" w:line="240" w:lineRule="auto"/>
      </w:pPr>
      <w:r w:rsidRPr="00E52A2F">
        <w:t xml:space="preserve">the person is an eligible person for the </w:t>
      </w:r>
      <w:r>
        <w:t xml:space="preserve">quota type, </w:t>
      </w:r>
    </w:p>
    <w:p w14:paraId="0803388E" w14:textId="77777777" w:rsidR="001D167C" w:rsidRDefault="00F246C2" w:rsidP="000F6D46">
      <w:pPr>
        <w:pStyle w:val="Normal-em"/>
        <w:numPr>
          <w:ilvl w:val="0"/>
          <w:numId w:val="44"/>
        </w:numPr>
        <w:spacing w:after="0" w:line="240" w:lineRule="auto"/>
      </w:pPr>
      <w:r w:rsidRPr="00F93A3D">
        <w:t>the person is</w:t>
      </w:r>
      <w:r>
        <w:t xml:space="preserve"> not</w:t>
      </w:r>
      <w:r w:rsidRPr="00F93A3D">
        <w:t xml:space="preserve"> a new entrant </w:t>
      </w:r>
      <w:r>
        <w:t>for the quota type and</w:t>
      </w:r>
      <w:r w:rsidRPr="00F93A3D">
        <w:t xml:space="preserve"> quota year</w:t>
      </w:r>
      <w:r w:rsidR="001D167C">
        <w:t>,</w:t>
      </w:r>
      <w:r w:rsidRPr="00F93A3D">
        <w:t xml:space="preserve"> and</w:t>
      </w:r>
      <w:r>
        <w:t xml:space="preserve"> </w:t>
      </w:r>
    </w:p>
    <w:p w14:paraId="6BD4445F" w14:textId="7E9D4AAB" w:rsidR="00F246C2" w:rsidRDefault="00F246C2" w:rsidP="000F6D46">
      <w:pPr>
        <w:pStyle w:val="Normal-em"/>
        <w:numPr>
          <w:ilvl w:val="0"/>
          <w:numId w:val="44"/>
        </w:numPr>
        <w:spacing w:after="0" w:line="240" w:lineRule="auto"/>
      </w:pPr>
      <w:proofErr w:type="gramStart"/>
      <w:r>
        <w:t>the</w:t>
      </w:r>
      <w:proofErr w:type="gramEnd"/>
      <w:r>
        <w:t xml:space="preserve"> person does not, at the time of the application, have a tariff rate quota entitlement</w:t>
      </w:r>
      <w:bookmarkStart w:id="57" w:name="BK_S3P32L10C12"/>
      <w:bookmarkEnd w:id="57"/>
      <w:r w:rsidRPr="00F93A3D">
        <w:t xml:space="preserve"> </w:t>
      </w:r>
      <w:r>
        <w:t>for the quota type and quota year.</w:t>
      </w:r>
    </w:p>
    <w:p w14:paraId="105CD58E" w14:textId="77777777" w:rsidR="00C85815" w:rsidRDefault="00C85815" w:rsidP="004C09F5">
      <w:pPr>
        <w:pStyle w:val="Normal-em"/>
        <w:spacing w:after="0" w:line="240" w:lineRule="auto"/>
      </w:pPr>
    </w:p>
    <w:p w14:paraId="494FE6AC" w14:textId="438A2C15" w:rsidR="00F246C2" w:rsidRPr="00C85815" w:rsidRDefault="00C85815" w:rsidP="004C09F5">
      <w:pPr>
        <w:pStyle w:val="Normal-em"/>
        <w:spacing w:after="0" w:line="240" w:lineRule="auto"/>
        <w:rPr>
          <w:szCs w:val="24"/>
        </w:rPr>
      </w:pPr>
      <w:r w:rsidRPr="00C85815">
        <w:rPr>
          <w:szCs w:val="24"/>
        </w:rPr>
        <w:t>Note 1 of this subsection provides that a</w:t>
      </w:r>
      <w:r w:rsidR="00F246C2" w:rsidRPr="00C85815">
        <w:rPr>
          <w:szCs w:val="24"/>
        </w:rPr>
        <w:t xml:space="preserve"> person who </w:t>
      </w:r>
      <w:r w:rsidR="00811077">
        <w:rPr>
          <w:szCs w:val="24"/>
        </w:rPr>
        <w:t xml:space="preserve">has </w:t>
      </w:r>
      <w:r w:rsidR="00F246C2" w:rsidRPr="00C85815">
        <w:rPr>
          <w:szCs w:val="24"/>
        </w:rPr>
        <w:t xml:space="preserve">a tariff rate quota entitlement is required to give the Secretary a notice under section </w:t>
      </w:r>
      <w:r w:rsidR="00892FD1">
        <w:rPr>
          <w:szCs w:val="24"/>
        </w:rPr>
        <w:t>39</w:t>
      </w:r>
      <w:r w:rsidR="00F246C2" w:rsidRPr="00C85815">
        <w:rPr>
          <w:szCs w:val="24"/>
        </w:rPr>
        <w:t>, and may as part of that notice apply for an amount of additional tariff rate quota entitlement.</w:t>
      </w:r>
    </w:p>
    <w:p w14:paraId="79DA3D22" w14:textId="77777777" w:rsidR="00C85815" w:rsidRDefault="00C85815" w:rsidP="004C09F5">
      <w:pPr>
        <w:pStyle w:val="Normal-em"/>
        <w:spacing w:after="0" w:line="240" w:lineRule="auto"/>
      </w:pPr>
    </w:p>
    <w:p w14:paraId="49ED09DB" w14:textId="2AD59DE4" w:rsidR="00F246C2" w:rsidRPr="00C85815" w:rsidRDefault="00C85815" w:rsidP="004C09F5">
      <w:pPr>
        <w:pStyle w:val="Normal-em"/>
        <w:spacing w:after="0" w:line="240" w:lineRule="auto"/>
        <w:rPr>
          <w:szCs w:val="24"/>
        </w:rPr>
      </w:pPr>
      <w:r w:rsidRPr="00C85815">
        <w:rPr>
          <w:szCs w:val="24"/>
        </w:rPr>
        <w:t>Note 2 of this subsection provides that a</w:t>
      </w:r>
      <w:r w:rsidR="00F246C2" w:rsidRPr="00C85815">
        <w:rPr>
          <w:szCs w:val="24"/>
        </w:rPr>
        <w:t xml:space="preserve"> person who is allocated an amount of tariff rate quota entitlement for a quota type and a quota year under section </w:t>
      </w:r>
      <w:r w:rsidR="00E730A1">
        <w:rPr>
          <w:szCs w:val="24"/>
        </w:rPr>
        <w:t>45</w:t>
      </w:r>
      <w:r w:rsidR="00F246C2" w:rsidRPr="00C85815">
        <w:rPr>
          <w:szCs w:val="24"/>
        </w:rPr>
        <w:t xml:space="preserve"> cannot qualify as a new entrant for the quota type for </w:t>
      </w:r>
      <w:r w:rsidR="00DC7281">
        <w:rPr>
          <w:szCs w:val="24"/>
        </w:rPr>
        <w:t>the next</w:t>
      </w:r>
      <w:r w:rsidR="00F246C2" w:rsidRPr="00C85815">
        <w:rPr>
          <w:szCs w:val="24"/>
        </w:rPr>
        <w:t xml:space="preserve"> 3 quota years</w:t>
      </w:r>
      <w:r w:rsidRPr="00C85815">
        <w:rPr>
          <w:szCs w:val="24"/>
        </w:rPr>
        <w:t xml:space="preserve">, </w:t>
      </w:r>
      <w:r>
        <w:rPr>
          <w:szCs w:val="24"/>
        </w:rPr>
        <w:t xml:space="preserve">as defined in </w:t>
      </w:r>
      <w:r w:rsidR="00F246C2" w:rsidRPr="00C85815">
        <w:rPr>
          <w:szCs w:val="24"/>
        </w:rPr>
        <w:t xml:space="preserve">section </w:t>
      </w:r>
      <w:r w:rsidR="00343FFB">
        <w:rPr>
          <w:szCs w:val="24"/>
        </w:rPr>
        <w:t>28</w:t>
      </w:r>
      <w:r w:rsidR="00F246C2" w:rsidRPr="00C85815">
        <w:rPr>
          <w:szCs w:val="24"/>
        </w:rPr>
        <w:t>.</w:t>
      </w:r>
      <w:r w:rsidR="001D167C">
        <w:rPr>
          <w:szCs w:val="24"/>
        </w:rPr>
        <w:t xml:space="preserve">  </w:t>
      </w:r>
    </w:p>
    <w:p w14:paraId="7E1A8C31" w14:textId="77777777" w:rsidR="00E126E2" w:rsidRDefault="00E126E2" w:rsidP="0011502F">
      <w:pPr>
        <w:pStyle w:val="Normal-em"/>
        <w:spacing w:after="0" w:line="240" w:lineRule="auto"/>
        <w:rPr>
          <w:szCs w:val="24"/>
        </w:rPr>
      </w:pPr>
    </w:p>
    <w:p w14:paraId="71FD632C" w14:textId="60170A85" w:rsidR="00872B29" w:rsidRDefault="00872B29" w:rsidP="004C09F5">
      <w:pPr>
        <w:pStyle w:val="Normal-em"/>
        <w:spacing w:after="0" w:line="240" w:lineRule="auto"/>
      </w:pPr>
      <w:r w:rsidRPr="00872B29">
        <w:rPr>
          <w:szCs w:val="24"/>
        </w:rPr>
        <w:t xml:space="preserve">Subsection </w:t>
      </w:r>
      <w:r w:rsidR="00E730A1">
        <w:rPr>
          <w:szCs w:val="24"/>
        </w:rPr>
        <w:t>44</w:t>
      </w:r>
      <w:r w:rsidRPr="00872B29">
        <w:rPr>
          <w:szCs w:val="24"/>
        </w:rPr>
        <w:t>(2) provides that</w:t>
      </w:r>
      <w:r>
        <w:rPr>
          <w:szCs w:val="24"/>
        </w:rPr>
        <w:t xml:space="preserve"> a</w:t>
      </w:r>
      <w:r w:rsidRPr="00872B29">
        <w:rPr>
          <w:szCs w:val="24"/>
        </w:rPr>
        <w:t xml:space="preserve"> person is not eligible to apply for an allocation for a quota type and a quota year if, in relation to any of the 3 previous quota years</w:t>
      </w:r>
      <w:r>
        <w:rPr>
          <w:szCs w:val="24"/>
        </w:rPr>
        <w:t xml:space="preserve">, </w:t>
      </w:r>
      <w:r w:rsidRPr="00F93A3D">
        <w:t xml:space="preserve">the </w:t>
      </w:r>
      <w:r>
        <w:t>person transferred one or more amounts of tariff rate quota entitlement for the quota type and quota year</w:t>
      </w:r>
      <w:r w:rsidR="001D167C">
        <w:t>,</w:t>
      </w:r>
      <w:r>
        <w:t xml:space="preserve"> and the total of the amounts that the person transferred </w:t>
      </w:r>
      <w:r w:rsidRPr="00F93A3D">
        <w:t>was more than</w:t>
      </w:r>
      <w:r>
        <w:t xml:space="preserve"> the amount worked out using the following formula:</w:t>
      </w:r>
    </w:p>
    <w:p w14:paraId="20D2939C" w14:textId="3F88A0E9" w:rsidR="00872B29" w:rsidRDefault="00872B29" w:rsidP="00872B29">
      <w:pPr>
        <w:pStyle w:val="paragraph"/>
      </w:pPr>
      <w:r>
        <w:tab/>
      </w:r>
      <w:r>
        <w:tab/>
      </w:r>
      <w:r w:rsidR="003B1CF3" w:rsidRPr="00062DF6">
        <w:rPr>
          <w:position w:val="-24"/>
        </w:rPr>
        <w:object w:dxaOrig="5160" w:dyaOrig="580" w14:anchorId="73B8E013">
          <v:shape id="_x0000_i1029" type="#_x0000_t75" style="width:259.5pt;height:28.5pt" o:ole="">
            <v:imagedata r:id="rId28" o:title=""/>
          </v:shape>
          <o:OLEObject Type="Embed" ProgID="Equation.DSMT4" ShapeID="_x0000_i1029" DrawAspect="Content" ObjectID="_1638095750" r:id="rId29"/>
        </w:object>
      </w:r>
    </w:p>
    <w:p w14:paraId="49758EA1" w14:textId="20C90FBB" w:rsidR="00872B29" w:rsidRPr="001D167C" w:rsidRDefault="00872B29" w:rsidP="001D167C">
      <w:pPr>
        <w:pStyle w:val="paragraph"/>
        <w:ind w:left="567"/>
        <w:rPr>
          <w:sz w:val="24"/>
          <w:szCs w:val="24"/>
        </w:rPr>
      </w:pPr>
      <w:r>
        <w:tab/>
      </w:r>
      <w:proofErr w:type="gramStart"/>
      <w:r w:rsidRPr="001D167C">
        <w:rPr>
          <w:sz w:val="24"/>
          <w:szCs w:val="24"/>
        </w:rPr>
        <w:t>where</w:t>
      </w:r>
      <w:proofErr w:type="gramEnd"/>
      <w:r w:rsidRPr="001D167C">
        <w:rPr>
          <w:sz w:val="24"/>
          <w:szCs w:val="24"/>
        </w:rPr>
        <w:t>:</w:t>
      </w:r>
    </w:p>
    <w:p w14:paraId="3DED90DA" w14:textId="77777777" w:rsidR="00872B29" w:rsidRPr="001D167C" w:rsidRDefault="00872B29" w:rsidP="001D167C">
      <w:pPr>
        <w:pStyle w:val="paragraph"/>
        <w:ind w:left="567"/>
        <w:rPr>
          <w:sz w:val="24"/>
          <w:szCs w:val="24"/>
        </w:rPr>
      </w:pPr>
      <w:r w:rsidRPr="001D167C">
        <w:rPr>
          <w:sz w:val="24"/>
          <w:szCs w:val="24"/>
        </w:rPr>
        <w:tab/>
      </w:r>
      <w:r w:rsidRPr="001D167C">
        <w:rPr>
          <w:sz w:val="24"/>
          <w:szCs w:val="24"/>
        </w:rPr>
        <w:tab/>
      </w:r>
      <w:proofErr w:type="gramStart"/>
      <w:r w:rsidRPr="001D167C">
        <w:rPr>
          <w:b/>
          <w:i/>
          <w:sz w:val="24"/>
          <w:szCs w:val="24"/>
        </w:rPr>
        <w:t>allocations</w:t>
      </w:r>
      <w:proofErr w:type="gramEnd"/>
      <w:r w:rsidRPr="001D167C">
        <w:rPr>
          <w:sz w:val="24"/>
          <w:szCs w:val="24"/>
        </w:rPr>
        <w:t xml:space="preserve"> is the sum of all of the amounts of tariff rate quota entitlement for the quota type and quota year that the person has been allocated.</w:t>
      </w:r>
    </w:p>
    <w:p w14:paraId="5DDAD748" w14:textId="77777777" w:rsidR="00872B29" w:rsidRPr="001D167C" w:rsidRDefault="00872B29" w:rsidP="001D167C">
      <w:pPr>
        <w:pStyle w:val="paragraph"/>
        <w:ind w:left="567"/>
        <w:rPr>
          <w:sz w:val="24"/>
          <w:szCs w:val="24"/>
        </w:rPr>
      </w:pPr>
      <w:r w:rsidRPr="001D167C">
        <w:rPr>
          <w:b/>
          <w:sz w:val="24"/>
          <w:szCs w:val="24"/>
        </w:rPr>
        <w:tab/>
      </w:r>
      <w:r w:rsidRPr="001D167C">
        <w:rPr>
          <w:b/>
          <w:sz w:val="24"/>
          <w:szCs w:val="24"/>
        </w:rPr>
        <w:tab/>
      </w:r>
      <w:proofErr w:type="gramStart"/>
      <w:r w:rsidRPr="001D167C">
        <w:rPr>
          <w:b/>
          <w:i/>
          <w:sz w:val="24"/>
          <w:szCs w:val="24"/>
        </w:rPr>
        <w:t>maximum</w:t>
      </w:r>
      <w:proofErr w:type="gramEnd"/>
      <w:r w:rsidRPr="001D167C">
        <w:rPr>
          <w:b/>
          <w:i/>
          <w:sz w:val="24"/>
          <w:szCs w:val="24"/>
        </w:rPr>
        <w:t xml:space="preserve"> transfer percentage</w:t>
      </w:r>
      <w:r w:rsidRPr="001D167C">
        <w:rPr>
          <w:sz w:val="24"/>
          <w:szCs w:val="24"/>
        </w:rPr>
        <w:t xml:space="preserve"> is the maximum transfer percentage for the quota type.</w:t>
      </w:r>
    </w:p>
    <w:p w14:paraId="2F81C810" w14:textId="77777777" w:rsidR="00872B29" w:rsidRPr="001D167C" w:rsidRDefault="00872B29" w:rsidP="001D167C">
      <w:pPr>
        <w:pStyle w:val="paragraph"/>
        <w:ind w:left="567"/>
        <w:rPr>
          <w:sz w:val="24"/>
          <w:szCs w:val="24"/>
        </w:rPr>
      </w:pPr>
      <w:r w:rsidRPr="001D167C">
        <w:rPr>
          <w:b/>
          <w:i/>
          <w:sz w:val="24"/>
          <w:szCs w:val="24"/>
        </w:rPr>
        <w:tab/>
      </w:r>
      <w:r w:rsidRPr="001D167C">
        <w:rPr>
          <w:b/>
          <w:i/>
          <w:sz w:val="24"/>
          <w:szCs w:val="24"/>
        </w:rPr>
        <w:tab/>
      </w:r>
      <w:proofErr w:type="gramStart"/>
      <w:r w:rsidRPr="001D167C">
        <w:rPr>
          <w:b/>
          <w:i/>
          <w:sz w:val="24"/>
          <w:szCs w:val="24"/>
        </w:rPr>
        <w:t>transfers</w:t>
      </w:r>
      <w:proofErr w:type="gramEnd"/>
      <w:r w:rsidRPr="001D167C">
        <w:rPr>
          <w:b/>
          <w:i/>
          <w:sz w:val="24"/>
          <w:szCs w:val="24"/>
        </w:rPr>
        <w:t xml:space="preserve"> in</w:t>
      </w:r>
      <w:r w:rsidRPr="001D167C">
        <w:rPr>
          <w:sz w:val="24"/>
          <w:szCs w:val="24"/>
        </w:rPr>
        <w:t xml:space="preserve"> is the sum of all of the amounts of tariff rate quota entitlement for the quota type and quota year that have been transferred to the person.</w:t>
      </w:r>
    </w:p>
    <w:p w14:paraId="0BE4A36B" w14:textId="77777777" w:rsidR="00F246C2" w:rsidRDefault="00F246C2" w:rsidP="0011502F">
      <w:pPr>
        <w:spacing w:line="240" w:lineRule="auto"/>
        <w:rPr>
          <w:sz w:val="24"/>
          <w:szCs w:val="24"/>
        </w:rPr>
      </w:pPr>
    </w:p>
    <w:p w14:paraId="0917A48F" w14:textId="00ED3744" w:rsidR="00C95CAA" w:rsidRDefault="00C95CAA" w:rsidP="00E126E2">
      <w:pPr>
        <w:pStyle w:val="Normal-em"/>
        <w:spacing w:after="0" w:line="240" w:lineRule="auto"/>
        <w:rPr>
          <w:szCs w:val="24"/>
        </w:rPr>
      </w:pPr>
      <w:r>
        <w:rPr>
          <w:szCs w:val="24"/>
        </w:rPr>
        <w:t>All amounts are calculated using kilograms.</w:t>
      </w:r>
    </w:p>
    <w:p w14:paraId="6B10C60F" w14:textId="77777777" w:rsidR="00C95CAA" w:rsidRDefault="00C95CAA" w:rsidP="00E126E2">
      <w:pPr>
        <w:pStyle w:val="Normal-em"/>
        <w:spacing w:after="0" w:line="240" w:lineRule="auto"/>
        <w:rPr>
          <w:szCs w:val="24"/>
        </w:rPr>
      </w:pPr>
    </w:p>
    <w:p w14:paraId="4C0FF6DC" w14:textId="6EFB7039" w:rsidR="00371E3D" w:rsidRDefault="00371E3D" w:rsidP="00E126E2">
      <w:pPr>
        <w:pStyle w:val="Normal-em"/>
        <w:spacing w:after="0" w:line="240" w:lineRule="auto"/>
        <w:rPr>
          <w:szCs w:val="24"/>
        </w:rPr>
      </w:pPr>
      <w:r>
        <w:rPr>
          <w:szCs w:val="24"/>
        </w:rPr>
        <w:t>This is the same requirement as set out in section 29(2) regarding applying for an allocation at the beginning of a quota year.</w:t>
      </w:r>
    </w:p>
    <w:p w14:paraId="1B7E4199" w14:textId="77777777" w:rsidR="00371E3D" w:rsidRDefault="00371E3D" w:rsidP="00E126E2">
      <w:pPr>
        <w:pStyle w:val="Normal-em"/>
        <w:spacing w:after="0" w:line="240" w:lineRule="auto"/>
        <w:rPr>
          <w:szCs w:val="24"/>
        </w:rPr>
      </w:pPr>
    </w:p>
    <w:p w14:paraId="1D031A86" w14:textId="3F0D27BA" w:rsidR="00E126E2" w:rsidRPr="00E126E2" w:rsidRDefault="00E126E2" w:rsidP="00E126E2">
      <w:pPr>
        <w:pStyle w:val="Normal-em"/>
        <w:spacing w:after="0" w:line="240" w:lineRule="auto"/>
        <w:rPr>
          <w:szCs w:val="24"/>
        </w:rPr>
      </w:pPr>
      <w:r>
        <w:rPr>
          <w:szCs w:val="24"/>
        </w:rPr>
        <w:t xml:space="preserve">Subsection </w:t>
      </w:r>
      <w:r w:rsidR="00E730A1">
        <w:rPr>
          <w:szCs w:val="24"/>
        </w:rPr>
        <w:t>44</w:t>
      </w:r>
      <w:r>
        <w:rPr>
          <w:szCs w:val="24"/>
        </w:rPr>
        <w:t>(</w:t>
      </w:r>
      <w:r w:rsidR="00F246C2">
        <w:rPr>
          <w:szCs w:val="24"/>
        </w:rPr>
        <w:t>3</w:t>
      </w:r>
      <w:r>
        <w:rPr>
          <w:szCs w:val="24"/>
        </w:rPr>
        <w:t>) provides that t</w:t>
      </w:r>
      <w:r w:rsidRPr="00F93A3D">
        <w:t xml:space="preserve">he application must be made on or before the </w:t>
      </w:r>
      <w:r>
        <w:t>reclamation day</w:t>
      </w:r>
      <w:r w:rsidRPr="00F93A3D">
        <w:t xml:space="preserve"> for the </w:t>
      </w:r>
      <w:r w:rsidR="00FE3E4B">
        <w:t>quota type</w:t>
      </w:r>
      <w:r w:rsidRPr="00F93A3D">
        <w:t xml:space="preserve"> </w:t>
      </w:r>
      <w:r>
        <w:t>and</w:t>
      </w:r>
      <w:r w:rsidR="00371E3D">
        <w:t xml:space="preserve"> quota year, as detailed for each respective quota type in Chapter 3.</w:t>
      </w:r>
    </w:p>
    <w:p w14:paraId="5ECE98D4" w14:textId="77777777" w:rsidR="0011502F" w:rsidRDefault="0011502F" w:rsidP="0011502F">
      <w:pPr>
        <w:spacing w:line="240" w:lineRule="auto"/>
        <w:rPr>
          <w:sz w:val="24"/>
          <w:szCs w:val="24"/>
        </w:rPr>
      </w:pPr>
    </w:p>
    <w:p w14:paraId="53F459EA" w14:textId="76B9EF7F" w:rsidR="00E126E2" w:rsidRDefault="00E126E2" w:rsidP="00E126E2">
      <w:pPr>
        <w:pStyle w:val="Normal-em"/>
        <w:spacing w:after="0" w:line="240" w:lineRule="auto"/>
      </w:pPr>
      <w:r>
        <w:rPr>
          <w:szCs w:val="24"/>
        </w:rPr>
        <w:t xml:space="preserve">Subsection </w:t>
      </w:r>
      <w:r w:rsidR="00E730A1">
        <w:rPr>
          <w:szCs w:val="24"/>
        </w:rPr>
        <w:t>44</w:t>
      </w:r>
      <w:r>
        <w:rPr>
          <w:szCs w:val="24"/>
        </w:rPr>
        <w:t>(</w:t>
      </w:r>
      <w:r w:rsidR="00872B29">
        <w:rPr>
          <w:szCs w:val="24"/>
        </w:rPr>
        <w:t>4</w:t>
      </w:r>
      <w:r>
        <w:rPr>
          <w:szCs w:val="24"/>
        </w:rPr>
        <w:t>) provides that t</w:t>
      </w:r>
      <w:r w:rsidRPr="00F93A3D">
        <w:t>he application must</w:t>
      </w:r>
      <w:r>
        <w:t xml:space="preserve"> state the amount of tariff rate quota entitlement being applied for and </w:t>
      </w:r>
      <w:r w:rsidRPr="00F93A3D">
        <w:t>be made in a manner approved, in writing, by the Secretary</w:t>
      </w:r>
      <w:r>
        <w:t>. I</w:t>
      </w:r>
      <w:r w:rsidRPr="00F93A3D">
        <w:t xml:space="preserve">f the Secretary has approved a form for making </w:t>
      </w:r>
      <w:r>
        <w:t>the</w:t>
      </w:r>
      <w:r w:rsidRPr="00F93A3D">
        <w:t xml:space="preserve"> application</w:t>
      </w:r>
      <w:r>
        <w:t xml:space="preserve">, it must </w:t>
      </w:r>
      <w:r w:rsidRPr="00F93A3D">
        <w:t>include the information required by the form</w:t>
      </w:r>
      <w:r>
        <w:t xml:space="preserve"> </w:t>
      </w:r>
      <w:r w:rsidRPr="00F93A3D">
        <w:t>and</w:t>
      </w:r>
      <w:r>
        <w:t xml:space="preserve"> </w:t>
      </w:r>
      <w:r w:rsidRPr="00F93A3D">
        <w:t>be accompanied by any documents required by the form.</w:t>
      </w:r>
    </w:p>
    <w:p w14:paraId="7FFA02C5" w14:textId="77777777" w:rsidR="00E126E2" w:rsidRPr="00371E3D" w:rsidRDefault="00E126E2" w:rsidP="00E126E2">
      <w:pPr>
        <w:pStyle w:val="Normal-em"/>
        <w:spacing w:after="0" w:line="240" w:lineRule="auto"/>
        <w:rPr>
          <w:szCs w:val="24"/>
        </w:rPr>
      </w:pPr>
    </w:p>
    <w:p w14:paraId="402125C3" w14:textId="4831E92F" w:rsidR="00E126E2" w:rsidRPr="00371E3D" w:rsidRDefault="00E126E2" w:rsidP="00E126E2">
      <w:pPr>
        <w:spacing w:line="240" w:lineRule="auto"/>
        <w:rPr>
          <w:sz w:val="24"/>
          <w:szCs w:val="24"/>
        </w:rPr>
      </w:pPr>
      <w:r w:rsidRPr="00371E3D">
        <w:rPr>
          <w:sz w:val="24"/>
          <w:szCs w:val="24"/>
        </w:rPr>
        <w:t xml:space="preserve">This subsection includes a note that a person may commit an offence if the person makes a false or misleading statement in an application or provides false or misleading information or documents (see sections 136.1, 137.1 and 137.2 of the </w:t>
      </w:r>
      <w:r w:rsidRPr="00371E3D">
        <w:rPr>
          <w:i/>
          <w:sz w:val="24"/>
          <w:szCs w:val="24"/>
        </w:rPr>
        <w:t>Criminal Code</w:t>
      </w:r>
      <w:r w:rsidRPr="00371E3D">
        <w:rPr>
          <w:sz w:val="24"/>
          <w:szCs w:val="24"/>
        </w:rPr>
        <w:t>).</w:t>
      </w:r>
    </w:p>
    <w:p w14:paraId="354947B6" w14:textId="2ECF1ED9" w:rsidR="00E126E2" w:rsidRPr="00371E3D" w:rsidRDefault="00E126E2" w:rsidP="00E126E2">
      <w:pPr>
        <w:pStyle w:val="Normal-em"/>
        <w:spacing w:after="0" w:line="240" w:lineRule="auto"/>
        <w:rPr>
          <w:szCs w:val="24"/>
        </w:rPr>
      </w:pPr>
    </w:p>
    <w:p w14:paraId="0FE50AC1" w14:textId="0376A04A" w:rsidR="00E126E2" w:rsidRDefault="00E126E2" w:rsidP="00E126E2">
      <w:pPr>
        <w:pStyle w:val="Normal-em"/>
        <w:spacing w:after="0" w:line="240" w:lineRule="auto"/>
      </w:pPr>
      <w:r>
        <w:rPr>
          <w:szCs w:val="24"/>
        </w:rPr>
        <w:t xml:space="preserve">Subsection </w:t>
      </w:r>
      <w:r w:rsidR="00E730A1">
        <w:rPr>
          <w:szCs w:val="24"/>
        </w:rPr>
        <w:t>44</w:t>
      </w:r>
      <w:r>
        <w:rPr>
          <w:szCs w:val="24"/>
        </w:rPr>
        <w:t>(</w:t>
      </w:r>
      <w:r w:rsidR="00872B29">
        <w:rPr>
          <w:szCs w:val="24"/>
        </w:rPr>
        <w:t>5</w:t>
      </w:r>
      <w:r>
        <w:rPr>
          <w:szCs w:val="24"/>
        </w:rPr>
        <w:t>) provides that t</w:t>
      </w:r>
      <w:r w:rsidRPr="00F93A3D">
        <w:t>he Secretary may accept any information or document previously given to the Secretary in connection with an application made under this instrument as satisfying any requirement to give that information or document under subsection </w:t>
      </w:r>
      <w:r w:rsidR="00E730A1">
        <w:t>44</w:t>
      </w:r>
      <w:r w:rsidRPr="00F93A3D">
        <w:t>(</w:t>
      </w:r>
      <w:r w:rsidR="00872B29">
        <w:t>4</w:t>
      </w:r>
      <w:r w:rsidRPr="00F93A3D">
        <w:t>).</w:t>
      </w:r>
    </w:p>
    <w:p w14:paraId="339C86CA" w14:textId="77777777" w:rsidR="00E126E2" w:rsidRDefault="00E126E2" w:rsidP="00E126E2">
      <w:pPr>
        <w:pStyle w:val="Normal-em"/>
        <w:spacing w:after="0" w:line="240" w:lineRule="auto"/>
      </w:pPr>
    </w:p>
    <w:p w14:paraId="51309D35" w14:textId="24275DD1" w:rsidR="00E126E2" w:rsidRDefault="00E126E2" w:rsidP="00E126E2">
      <w:pPr>
        <w:pStyle w:val="Normal-em"/>
        <w:spacing w:after="0" w:line="240" w:lineRule="auto"/>
      </w:pPr>
      <w:r>
        <w:rPr>
          <w:szCs w:val="24"/>
        </w:rPr>
        <w:t xml:space="preserve">Subsection </w:t>
      </w:r>
      <w:r w:rsidR="00E730A1">
        <w:rPr>
          <w:szCs w:val="24"/>
        </w:rPr>
        <w:t>44</w:t>
      </w:r>
      <w:r>
        <w:rPr>
          <w:szCs w:val="24"/>
        </w:rPr>
        <w:t>(</w:t>
      </w:r>
      <w:r w:rsidR="00872B29">
        <w:rPr>
          <w:szCs w:val="24"/>
        </w:rPr>
        <w:t>6</w:t>
      </w:r>
      <w:r>
        <w:rPr>
          <w:szCs w:val="24"/>
        </w:rPr>
        <w:t>) provides that a</w:t>
      </w:r>
      <w:r w:rsidRPr="00F93A3D">
        <w:t>n application is taken not to have been made if the application does not comply with the requirements referred to in subsection </w:t>
      </w:r>
      <w:r w:rsidR="00E730A1">
        <w:t>44</w:t>
      </w:r>
      <w:r w:rsidRPr="00F93A3D">
        <w:t>(</w:t>
      </w:r>
      <w:r w:rsidR="00872B29">
        <w:t>4</w:t>
      </w:r>
      <w:r w:rsidRPr="00F93A3D">
        <w:t>) for the application.</w:t>
      </w:r>
      <w:r w:rsidR="00D868E2">
        <w:t xml:space="preserve"> This </w:t>
      </w:r>
      <w:r w:rsidR="00D7721D">
        <w:t>ensures</w:t>
      </w:r>
      <w:r w:rsidR="00D868E2">
        <w:t xml:space="preserve"> that an application must be complete in order to be actioned.</w:t>
      </w:r>
    </w:p>
    <w:p w14:paraId="5E154BE6" w14:textId="77777777" w:rsidR="00E126E2" w:rsidRDefault="00E126E2" w:rsidP="00E126E2">
      <w:pPr>
        <w:pStyle w:val="Normal-em"/>
        <w:spacing w:after="0" w:line="240" w:lineRule="auto"/>
      </w:pPr>
    </w:p>
    <w:p w14:paraId="720D9184" w14:textId="1546D4D9" w:rsidR="00E126E2" w:rsidRPr="00E411C9" w:rsidRDefault="00E411C9" w:rsidP="00E126E2">
      <w:pPr>
        <w:pStyle w:val="Normal-em"/>
        <w:spacing w:after="0" w:line="240" w:lineRule="auto"/>
        <w:rPr>
          <w:u w:val="single"/>
        </w:rPr>
      </w:pPr>
      <w:r>
        <w:rPr>
          <w:u w:val="single"/>
        </w:rPr>
        <w:t xml:space="preserve">Section </w:t>
      </w:r>
      <w:r w:rsidR="00E730A1">
        <w:rPr>
          <w:u w:val="single"/>
        </w:rPr>
        <w:t>45</w:t>
      </w:r>
      <w:r>
        <w:rPr>
          <w:u w:val="single"/>
        </w:rPr>
        <w:t xml:space="preserve"> - Allocation of quota after reclamation day </w:t>
      </w:r>
      <w:r w:rsidR="007309F5">
        <w:rPr>
          <w:u w:val="single"/>
        </w:rPr>
        <w:t>- applicants who are not new entrants</w:t>
      </w:r>
    </w:p>
    <w:p w14:paraId="1D82761D" w14:textId="77777777" w:rsidR="00E126E2" w:rsidRDefault="00E126E2" w:rsidP="0011502F">
      <w:pPr>
        <w:spacing w:line="240" w:lineRule="auto"/>
        <w:rPr>
          <w:sz w:val="24"/>
          <w:szCs w:val="24"/>
        </w:rPr>
      </w:pPr>
    </w:p>
    <w:p w14:paraId="0BEE6813" w14:textId="2057AD0D" w:rsidR="00D868E2" w:rsidRDefault="00E411C9" w:rsidP="00E411C9">
      <w:pPr>
        <w:pStyle w:val="Normal-em"/>
        <w:spacing w:after="0" w:line="240" w:lineRule="auto"/>
      </w:pPr>
      <w:r>
        <w:rPr>
          <w:szCs w:val="24"/>
        </w:rPr>
        <w:t xml:space="preserve">Subsection </w:t>
      </w:r>
      <w:r w:rsidR="00E730A1">
        <w:rPr>
          <w:szCs w:val="24"/>
        </w:rPr>
        <w:t>45</w:t>
      </w:r>
      <w:r>
        <w:rPr>
          <w:szCs w:val="24"/>
        </w:rPr>
        <w:t>(1) provides that t</w:t>
      </w:r>
      <w:r w:rsidRPr="00F93A3D">
        <w:t xml:space="preserve">he Secretary must allocate amounts of tariff rate quota entitlement </w:t>
      </w:r>
      <w:r>
        <w:t xml:space="preserve">for a </w:t>
      </w:r>
      <w:r w:rsidR="00FE3E4B">
        <w:t>quota type</w:t>
      </w:r>
      <w:r>
        <w:t xml:space="preserve"> and a quota year </w:t>
      </w:r>
      <w:r w:rsidRPr="00F93A3D">
        <w:t xml:space="preserve">to persons who applied for entitlement in accordance with paragraph </w:t>
      </w:r>
      <w:r w:rsidR="00892FD1">
        <w:t>39</w:t>
      </w:r>
      <w:r w:rsidRPr="00F93A3D">
        <w:t>(2</w:t>
      </w:r>
      <w:proofErr w:type="gramStart"/>
      <w:r w:rsidRPr="00F93A3D">
        <w:t>)(</w:t>
      </w:r>
      <w:proofErr w:type="gramEnd"/>
      <w:r w:rsidRPr="00F93A3D">
        <w:t xml:space="preserve">b) </w:t>
      </w:r>
      <w:r>
        <w:t xml:space="preserve">or under section </w:t>
      </w:r>
      <w:r w:rsidR="00E730A1">
        <w:t>44</w:t>
      </w:r>
      <w:r>
        <w:t xml:space="preserve"> </w:t>
      </w:r>
      <w:r w:rsidRPr="00F93A3D">
        <w:t>as soon as practicable after</w:t>
      </w:r>
      <w:r w:rsidR="00D868E2">
        <w:t>:</w:t>
      </w:r>
    </w:p>
    <w:p w14:paraId="61A828F9" w14:textId="5E969B85" w:rsidR="00D868E2" w:rsidRDefault="00E411C9" w:rsidP="000F6D46">
      <w:pPr>
        <w:pStyle w:val="Normal-em"/>
        <w:numPr>
          <w:ilvl w:val="0"/>
          <w:numId w:val="45"/>
        </w:numPr>
        <w:spacing w:after="0" w:line="240" w:lineRule="auto"/>
      </w:pPr>
      <w:r w:rsidRPr="00F93A3D">
        <w:t xml:space="preserve">all </w:t>
      </w:r>
      <w:r w:rsidR="00CB022C">
        <w:t xml:space="preserve">relevant </w:t>
      </w:r>
      <w:r w:rsidRPr="00F93A3D">
        <w:t xml:space="preserve">amounts of </w:t>
      </w:r>
      <w:r>
        <w:t xml:space="preserve">tariff rate quota </w:t>
      </w:r>
      <w:r w:rsidRPr="00F93A3D">
        <w:t xml:space="preserve">entitlement </w:t>
      </w:r>
      <w:r>
        <w:t xml:space="preserve">for the </w:t>
      </w:r>
      <w:r w:rsidR="00FE3E4B">
        <w:t>quota type</w:t>
      </w:r>
      <w:r>
        <w:t xml:space="preserve"> and quota year</w:t>
      </w:r>
      <w:r w:rsidR="00CB022C">
        <w:t xml:space="preserve"> have been cancelled</w:t>
      </w:r>
      <w:r w:rsidRPr="00F93A3D">
        <w:t xml:space="preserve"> under section </w:t>
      </w:r>
      <w:r w:rsidR="00892FD1">
        <w:t>40</w:t>
      </w:r>
      <w:r w:rsidR="00D868E2">
        <w:t>,</w:t>
      </w:r>
      <w:r w:rsidRPr="00F93A3D">
        <w:t xml:space="preserve"> and</w:t>
      </w:r>
      <w:r>
        <w:t xml:space="preserve"> </w:t>
      </w:r>
    </w:p>
    <w:p w14:paraId="3165CE5D" w14:textId="52D92850" w:rsidR="00E411C9" w:rsidRPr="00F93A3D" w:rsidRDefault="00CB022C" w:rsidP="000F6D46">
      <w:pPr>
        <w:pStyle w:val="Normal-em"/>
        <w:numPr>
          <w:ilvl w:val="0"/>
          <w:numId w:val="45"/>
        </w:numPr>
        <w:spacing w:after="0" w:line="240" w:lineRule="auto"/>
      </w:pPr>
      <w:proofErr w:type="gramStart"/>
      <w:r>
        <w:t>the</w:t>
      </w:r>
      <w:proofErr w:type="gramEnd"/>
      <w:r>
        <w:t xml:space="preserve"> Secretary has </w:t>
      </w:r>
      <w:r w:rsidR="00E411C9" w:rsidRPr="00F93A3D">
        <w:t xml:space="preserve">allocated amounts of </w:t>
      </w:r>
      <w:r w:rsidR="00E411C9">
        <w:t xml:space="preserve">tariff rate quota </w:t>
      </w:r>
      <w:r w:rsidR="00E411C9" w:rsidRPr="00F93A3D">
        <w:t xml:space="preserve">entitlement </w:t>
      </w:r>
      <w:r w:rsidR="00E411C9">
        <w:t xml:space="preserve">for the </w:t>
      </w:r>
      <w:r w:rsidR="00FE3E4B">
        <w:t>quota type</w:t>
      </w:r>
      <w:r w:rsidR="00E411C9">
        <w:t xml:space="preserve"> and quota year </w:t>
      </w:r>
      <w:r w:rsidR="00E411C9" w:rsidRPr="00F93A3D">
        <w:t xml:space="preserve">under section </w:t>
      </w:r>
      <w:r w:rsidR="00E730A1">
        <w:t>42</w:t>
      </w:r>
      <w:r w:rsidR="00E411C9" w:rsidRPr="00F93A3D">
        <w:t>.</w:t>
      </w:r>
    </w:p>
    <w:p w14:paraId="244DD7B4" w14:textId="77777777" w:rsidR="00E411C9" w:rsidRDefault="00E411C9" w:rsidP="0011502F">
      <w:pPr>
        <w:pStyle w:val="Normal-em"/>
        <w:spacing w:after="0" w:line="240" w:lineRule="auto"/>
        <w:rPr>
          <w:szCs w:val="24"/>
        </w:rPr>
      </w:pPr>
    </w:p>
    <w:p w14:paraId="1D7B0CFA" w14:textId="6FEC6D96" w:rsidR="00D868E2" w:rsidRDefault="00E411C9" w:rsidP="005C681B">
      <w:pPr>
        <w:pStyle w:val="Normal-em"/>
        <w:spacing w:after="0" w:line="240" w:lineRule="auto"/>
      </w:pPr>
      <w:r>
        <w:rPr>
          <w:szCs w:val="24"/>
        </w:rPr>
        <w:t xml:space="preserve">Subsection </w:t>
      </w:r>
      <w:r w:rsidR="00E730A1">
        <w:rPr>
          <w:szCs w:val="24"/>
        </w:rPr>
        <w:t>45</w:t>
      </w:r>
      <w:r>
        <w:rPr>
          <w:szCs w:val="24"/>
        </w:rPr>
        <w:t>(2) provides that</w:t>
      </w:r>
      <w:r w:rsidR="005C681B">
        <w:rPr>
          <w:szCs w:val="24"/>
        </w:rPr>
        <w:t xml:space="preserve"> t</w:t>
      </w:r>
      <w:r w:rsidRPr="00F93A3D">
        <w:t xml:space="preserve">he </w:t>
      </w:r>
      <w:r>
        <w:t xml:space="preserve">amount of tariff rate </w:t>
      </w:r>
      <w:r w:rsidRPr="00F93A3D">
        <w:t xml:space="preserve">quota entitlement </w:t>
      </w:r>
      <w:r>
        <w:t>to be allocated to</w:t>
      </w:r>
      <w:r w:rsidRPr="00F93A3D">
        <w:t xml:space="preserve"> </w:t>
      </w:r>
      <w:r>
        <w:t>an</w:t>
      </w:r>
      <w:r w:rsidRPr="00F93A3D">
        <w:t xml:space="preserve"> applicant is</w:t>
      </w:r>
      <w:r w:rsidR="00D868E2">
        <w:t>:</w:t>
      </w:r>
    </w:p>
    <w:p w14:paraId="1DEC38B9" w14:textId="0E4F2DAB" w:rsidR="00D868E2" w:rsidRDefault="00E411C9" w:rsidP="000F6D46">
      <w:pPr>
        <w:pStyle w:val="Normal-em"/>
        <w:numPr>
          <w:ilvl w:val="0"/>
          <w:numId w:val="46"/>
        </w:numPr>
        <w:spacing w:after="0" w:line="240" w:lineRule="auto"/>
      </w:pPr>
      <w:r w:rsidRPr="00F93A3D">
        <w:t xml:space="preserve">if the total amount applied for in all applications is less than or equal to the uncommitted </w:t>
      </w:r>
      <w:r>
        <w:t xml:space="preserve">annual </w:t>
      </w:r>
      <w:r w:rsidRPr="00F93A3D">
        <w:t xml:space="preserve">access amount </w:t>
      </w:r>
      <w:r>
        <w:t xml:space="preserve">for the </w:t>
      </w:r>
      <w:r w:rsidR="00FE3E4B">
        <w:t>quota type</w:t>
      </w:r>
      <w:r>
        <w:t xml:space="preserve"> and quota year</w:t>
      </w:r>
      <w:r w:rsidRPr="00F93A3D">
        <w:rPr>
          <w:i/>
        </w:rPr>
        <w:t xml:space="preserve"> </w:t>
      </w:r>
      <w:r w:rsidRPr="00F93A3D">
        <w:t xml:space="preserve">as at </w:t>
      </w:r>
      <w:r>
        <w:t>the time the Secretary makes the allocation</w:t>
      </w:r>
      <w:r w:rsidR="005C681B">
        <w:t xml:space="preserve">, </w:t>
      </w:r>
      <w:r w:rsidRPr="00F93A3D">
        <w:t>the amount the person applied fo</w:t>
      </w:r>
      <w:r w:rsidR="005C681B">
        <w:t>r</w:t>
      </w:r>
      <w:r w:rsidR="00D868E2">
        <w:t>. This reflects that there is sufficient quota available to meet each exporters’ requests.</w:t>
      </w:r>
    </w:p>
    <w:p w14:paraId="5D763308" w14:textId="5C34FC3E" w:rsidR="00E411C9" w:rsidRDefault="00D868E2" w:rsidP="000F6D46">
      <w:pPr>
        <w:pStyle w:val="Normal-em"/>
        <w:numPr>
          <w:ilvl w:val="0"/>
          <w:numId w:val="46"/>
        </w:numPr>
        <w:spacing w:after="0" w:line="240" w:lineRule="auto"/>
      </w:pPr>
      <w:r>
        <w:t xml:space="preserve">Or, </w:t>
      </w:r>
      <w:r w:rsidR="00E411C9" w:rsidRPr="00F93A3D">
        <w:t xml:space="preserve">if the total amount </w:t>
      </w:r>
      <w:r w:rsidR="00E411C9">
        <w:t>applied for in</w:t>
      </w:r>
      <w:r w:rsidR="00E411C9" w:rsidRPr="00F93A3D">
        <w:t xml:space="preserve"> all applications is more than the uncommitted </w:t>
      </w:r>
      <w:r w:rsidR="00E411C9">
        <w:t xml:space="preserve">annual </w:t>
      </w:r>
      <w:r w:rsidR="00E411C9" w:rsidRPr="00F93A3D">
        <w:t xml:space="preserve">access amount </w:t>
      </w:r>
      <w:r w:rsidR="00E411C9">
        <w:t xml:space="preserve">for the </w:t>
      </w:r>
      <w:r w:rsidR="00FE3E4B">
        <w:t>quota type</w:t>
      </w:r>
      <w:r w:rsidR="00E411C9">
        <w:t xml:space="preserve"> and quota year</w:t>
      </w:r>
      <w:r w:rsidR="00E411C9" w:rsidRPr="00F93A3D">
        <w:t xml:space="preserve"> as </w:t>
      </w:r>
      <w:r w:rsidR="00E411C9">
        <w:t>at the time the Secretary makes the allocation</w:t>
      </w:r>
      <w:r w:rsidR="005C681B">
        <w:t xml:space="preserve">, </w:t>
      </w:r>
      <w:r w:rsidR="00E411C9" w:rsidRPr="00F93A3D">
        <w:t xml:space="preserve">the amount worked out under section </w:t>
      </w:r>
      <w:r w:rsidR="00E730A1">
        <w:t>46</w:t>
      </w:r>
      <w:r w:rsidR="00E411C9" w:rsidRPr="00F93A3D">
        <w:t>.</w:t>
      </w:r>
    </w:p>
    <w:p w14:paraId="0055BECB" w14:textId="77777777" w:rsidR="005C681B" w:rsidRDefault="005C681B" w:rsidP="005C681B">
      <w:pPr>
        <w:pStyle w:val="Normal-em"/>
        <w:spacing w:after="0" w:line="240" w:lineRule="auto"/>
      </w:pPr>
    </w:p>
    <w:p w14:paraId="1A908F07" w14:textId="77BDADF6" w:rsidR="00E411C9" w:rsidRDefault="005C681B" w:rsidP="005C681B">
      <w:pPr>
        <w:pStyle w:val="Normal-em"/>
        <w:spacing w:after="0" w:line="240" w:lineRule="auto"/>
      </w:pPr>
      <w:r>
        <w:t>This subsection includes a note that t</w:t>
      </w:r>
      <w:r w:rsidR="00E411C9">
        <w:t xml:space="preserve">he uncommitted annual access amount is not available for the purposes of issuing tariff rate quota certificates until this allocation process is carried out: see subsection </w:t>
      </w:r>
      <w:r w:rsidR="00BD0DCB">
        <w:t>49</w:t>
      </w:r>
      <w:r w:rsidR="00E411C9">
        <w:t>(5).</w:t>
      </w:r>
    </w:p>
    <w:p w14:paraId="491097C6" w14:textId="77777777" w:rsidR="005C681B" w:rsidRDefault="005C681B" w:rsidP="005C681B">
      <w:pPr>
        <w:pStyle w:val="Normal-em"/>
        <w:spacing w:after="0" w:line="240" w:lineRule="auto"/>
      </w:pPr>
    </w:p>
    <w:p w14:paraId="1C9B59BA" w14:textId="42C7B598" w:rsidR="005C681B" w:rsidRDefault="009E4659" w:rsidP="004839AA">
      <w:pPr>
        <w:pStyle w:val="Normal-em"/>
        <w:keepNext/>
        <w:spacing w:after="0" w:line="240" w:lineRule="auto"/>
      </w:pPr>
      <w:r>
        <w:rPr>
          <w:u w:val="single"/>
        </w:rPr>
        <w:t xml:space="preserve">Section </w:t>
      </w:r>
      <w:r w:rsidR="00E730A1">
        <w:rPr>
          <w:u w:val="single"/>
        </w:rPr>
        <w:t>46</w:t>
      </w:r>
      <w:r>
        <w:rPr>
          <w:u w:val="single"/>
        </w:rPr>
        <w:t xml:space="preserve"> - Calculation of tariff rate quota entitlement after reclamation day</w:t>
      </w:r>
    </w:p>
    <w:p w14:paraId="163BEF9F" w14:textId="77777777" w:rsidR="009E4659" w:rsidRDefault="009E4659" w:rsidP="004839AA">
      <w:pPr>
        <w:pStyle w:val="Normal-em"/>
        <w:keepNext/>
        <w:spacing w:after="0" w:line="240" w:lineRule="auto"/>
      </w:pPr>
    </w:p>
    <w:p w14:paraId="1A29A94E" w14:textId="2DCD0EAC" w:rsidR="009E4659" w:rsidRPr="00F93A3D" w:rsidRDefault="009E4659" w:rsidP="009E4659">
      <w:pPr>
        <w:pStyle w:val="Normal-em"/>
        <w:spacing w:after="0" w:line="240" w:lineRule="auto"/>
      </w:pPr>
      <w:r>
        <w:t xml:space="preserve">Subsection </w:t>
      </w:r>
      <w:r w:rsidR="00E730A1">
        <w:rPr>
          <w:szCs w:val="24"/>
        </w:rPr>
        <w:t>46</w:t>
      </w:r>
      <w:r>
        <w:rPr>
          <w:szCs w:val="24"/>
        </w:rPr>
        <w:t xml:space="preserve">(1) provides that </w:t>
      </w:r>
      <w:r w:rsidR="001162A4">
        <w:rPr>
          <w:szCs w:val="24"/>
        </w:rPr>
        <w:t>for the purposes of paragraph 45(2)(</w:t>
      </w:r>
      <w:r w:rsidR="00FD3CE6">
        <w:rPr>
          <w:szCs w:val="24"/>
        </w:rPr>
        <w:t>b) and</w:t>
      </w:r>
      <w:r w:rsidR="001162A4">
        <w:rPr>
          <w:szCs w:val="24"/>
        </w:rPr>
        <w:t xml:space="preserve"> </w:t>
      </w:r>
      <w:r>
        <w:rPr>
          <w:szCs w:val="24"/>
        </w:rPr>
        <w:t>s</w:t>
      </w:r>
      <w:r w:rsidRPr="00F93A3D">
        <w:t xml:space="preserve">ubject to </w:t>
      </w:r>
      <w:r>
        <w:t>this section</w:t>
      </w:r>
      <w:r w:rsidRPr="00F93A3D">
        <w:t xml:space="preserve">, the </w:t>
      </w:r>
      <w:r>
        <w:t xml:space="preserve">amount of </w:t>
      </w:r>
      <w:r w:rsidRPr="00F93A3D">
        <w:t xml:space="preserve">tariff rate quota entitlement </w:t>
      </w:r>
      <w:r>
        <w:t xml:space="preserve">to be allocated to an applicant </w:t>
      </w:r>
      <w:r w:rsidRPr="00F93A3D">
        <w:t xml:space="preserve">for </w:t>
      </w:r>
      <w:r>
        <w:t xml:space="preserve">a </w:t>
      </w:r>
      <w:r w:rsidR="00FE3E4B">
        <w:t>quota type</w:t>
      </w:r>
      <w:r>
        <w:t xml:space="preserve"> and</w:t>
      </w:r>
      <w:r w:rsidRPr="00F93A3D">
        <w:t xml:space="preserve"> a quota year is </w:t>
      </w:r>
      <w:r>
        <w:t xml:space="preserve">the amount </w:t>
      </w:r>
      <w:r w:rsidRPr="00F93A3D">
        <w:t>worked out using the following formula:</w:t>
      </w:r>
    </w:p>
    <w:bookmarkStart w:id="58" w:name="BKCheck15B_12"/>
    <w:bookmarkEnd w:id="58"/>
    <w:p w14:paraId="4B50D254" w14:textId="15722EDE" w:rsidR="009E4659" w:rsidRPr="00F93A3D" w:rsidRDefault="00B30511" w:rsidP="009E4659">
      <w:pPr>
        <w:pStyle w:val="subsection2"/>
      </w:pPr>
      <w:r w:rsidRPr="00062DF6">
        <w:rPr>
          <w:position w:val="-38"/>
        </w:rPr>
        <w:object w:dxaOrig="5840" w:dyaOrig="840" w14:anchorId="7DA09B49">
          <v:shape id="_x0000_i1030" type="#_x0000_t75" style="width:295.5pt;height:43.5pt" o:ole="">
            <v:imagedata r:id="rId30" o:title=""/>
          </v:shape>
          <o:OLEObject Type="Embed" ProgID="Equation.DSMT4" ShapeID="_x0000_i1030" DrawAspect="Content" ObjectID="_1638095751" r:id="rId31"/>
        </w:object>
      </w:r>
    </w:p>
    <w:p w14:paraId="76A1B4CF" w14:textId="77777777" w:rsidR="009E4659" w:rsidRPr="00D868E2" w:rsidRDefault="009E4659" w:rsidP="00D868E2">
      <w:pPr>
        <w:pStyle w:val="subsection2"/>
        <w:ind w:left="426"/>
        <w:rPr>
          <w:sz w:val="24"/>
          <w:szCs w:val="24"/>
        </w:rPr>
      </w:pPr>
      <w:proofErr w:type="gramStart"/>
      <w:r w:rsidRPr="00D868E2">
        <w:rPr>
          <w:sz w:val="24"/>
          <w:szCs w:val="24"/>
        </w:rPr>
        <w:t>where</w:t>
      </w:r>
      <w:proofErr w:type="gramEnd"/>
      <w:r w:rsidRPr="00D868E2">
        <w:rPr>
          <w:sz w:val="24"/>
          <w:szCs w:val="24"/>
        </w:rPr>
        <w:t>:</w:t>
      </w:r>
    </w:p>
    <w:p w14:paraId="34A2504D" w14:textId="09F040A7" w:rsidR="009E4659" w:rsidRPr="00D868E2" w:rsidRDefault="009E4659" w:rsidP="00D868E2">
      <w:pPr>
        <w:pStyle w:val="Definition"/>
        <w:ind w:left="426"/>
        <w:rPr>
          <w:sz w:val="24"/>
          <w:szCs w:val="24"/>
        </w:rPr>
      </w:pPr>
      <w:proofErr w:type="gramStart"/>
      <w:r w:rsidRPr="00D868E2">
        <w:rPr>
          <w:b/>
          <w:i/>
          <w:sz w:val="24"/>
          <w:szCs w:val="24"/>
        </w:rPr>
        <w:t>all</w:t>
      </w:r>
      <w:proofErr w:type="gramEnd"/>
      <w:r w:rsidRPr="00D868E2">
        <w:rPr>
          <w:b/>
          <w:i/>
          <w:sz w:val="24"/>
          <w:szCs w:val="24"/>
        </w:rPr>
        <w:t xml:space="preserve"> eligible past exports</w:t>
      </w:r>
      <w:r w:rsidRPr="00D868E2">
        <w:rPr>
          <w:sz w:val="24"/>
          <w:szCs w:val="24"/>
        </w:rPr>
        <w:t xml:space="preserve"> is the total weight of all eligible past exports by all applicants for th</w:t>
      </w:r>
      <w:r w:rsidR="007F4B7E">
        <w:rPr>
          <w:sz w:val="24"/>
          <w:szCs w:val="24"/>
        </w:rPr>
        <w:t>e</w:t>
      </w:r>
      <w:r w:rsidRPr="00D868E2">
        <w:rPr>
          <w:sz w:val="24"/>
          <w:szCs w:val="24"/>
        </w:rPr>
        <w:t xml:space="preserve"> </w:t>
      </w:r>
      <w:r w:rsidR="00FE3E4B" w:rsidRPr="00D868E2">
        <w:rPr>
          <w:sz w:val="24"/>
          <w:szCs w:val="24"/>
        </w:rPr>
        <w:t>quota type</w:t>
      </w:r>
      <w:r w:rsidRPr="00D868E2">
        <w:rPr>
          <w:sz w:val="24"/>
          <w:szCs w:val="24"/>
        </w:rPr>
        <w:t xml:space="preserve"> and that quota year.</w:t>
      </w:r>
    </w:p>
    <w:p w14:paraId="51EF716A" w14:textId="7F36A43F" w:rsidR="009E4659" w:rsidRPr="00D868E2" w:rsidRDefault="009E4659" w:rsidP="00D868E2">
      <w:pPr>
        <w:pStyle w:val="Definition"/>
        <w:ind w:left="426"/>
        <w:rPr>
          <w:sz w:val="24"/>
          <w:szCs w:val="24"/>
        </w:rPr>
      </w:pPr>
      <w:proofErr w:type="gramStart"/>
      <w:r w:rsidRPr="00D868E2">
        <w:rPr>
          <w:b/>
          <w:i/>
          <w:sz w:val="24"/>
          <w:szCs w:val="24"/>
        </w:rPr>
        <w:lastRenderedPageBreak/>
        <w:t>applicant’s</w:t>
      </w:r>
      <w:proofErr w:type="gramEnd"/>
      <w:r w:rsidRPr="00D868E2">
        <w:rPr>
          <w:b/>
          <w:i/>
          <w:sz w:val="24"/>
          <w:szCs w:val="24"/>
        </w:rPr>
        <w:t xml:space="preserve"> eligible past exports</w:t>
      </w:r>
      <w:r w:rsidRPr="00D868E2">
        <w:rPr>
          <w:sz w:val="24"/>
          <w:szCs w:val="24"/>
        </w:rPr>
        <w:t xml:space="preserve"> is the total weight of the applicant’s eligible past exports for th</w:t>
      </w:r>
      <w:r w:rsidR="007F4B7E">
        <w:rPr>
          <w:sz w:val="24"/>
          <w:szCs w:val="24"/>
        </w:rPr>
        <w:t>e</w:t>
      </w:r>
      <w:r w:rsidRPr="00D868E2">
        <w:rPr>
          <w:sz w:val="24"/>
          <w:szCs w:val="24"/>
        </w:rPr>
        <w:t xml:space="preserve"> </w:t>
      </w:r>
      <w:r w:rsidR="00FE3E4B" w:rsidRPr="00D868E2">
        <w:rPr>
          <w:sz w:val="24"/>
          <w:szCs w:val="24"/>
        </w:rPr>
        <w:t>quota type</w:t>
      </w:r>
      <w:r w:rsidRPr="00D868E2">
        <w:rPr>
          <w:sz w:val="24"/>
          <w:szCs w:val="24"/>
        </w:rPr>
        <w:t xml:space="preserve"> and quota year.</w:t>
      </w:r>
    </w:p>
    <w:p w14:paraId="69DEC85F" w14:textId="5F29B87C" w:rsidR="009E4659" w:rsidRPr="00D868E2" w:rsidRDefault="009E4659" w:rsidP="00D868E2">
      <w:pPr>
        <w:pStyle w:val="Definition"/>
        <w:ind w:left="426"/>
        <w:rPr>
          <w:sz w:val="24"/>
          <w:szCs w:val="24"/>
        </w:rPr>
      </w:pPr>
      <w:proofErr w:type="gramStart"/>
      <w:r w:rsidRPr="00D868E2">
        <w:rPr>
          <w:b/>
          <w:i/>
          <w:sz w:val="24"/>
          <w:szCs w:val="24"/>
        </w:rPr>
        <w:t>uncommitted</w:t>
      </w:r>
      <w:proofErr w:type="gramEnd"/>
      <w:r w:rsidRPr="00D868E2">
        <w:rPr>
          <w:b/>
          <w:i/>
          <w:sz w:val="24"/>
          <w:szCs w:val="24"/>
        </w:rPr>
        <w:t xml:space="preserve"> annual access amount</w:t>
      </w:r>
      <w:r w:rsidRPr="00D868E2">
        <w:rPr>
          <w:sz w:val="24"/>
          <w:szCs w:val="24"/>
        </w:rPr>
        <w:t xml:space="preserve"> is the uncommitted annual access amount for the </w:t>
      </w:r>
      <w:r w:rsidR="00FE3E4B" w:rsidRPr="00D868E2">
        <w:rPr>
          <w:sz w:val="24"/>
          <w:szCs w:val="24"/>
        </w:rPr>
        <w:t>quota type</w:t>
      </w:r>
      <w:r w:rsidRPr="00D868E2">
        <w:rPr>
          <w:sz w:val="24"/>
          <w:szCs w:val="24"/>
        </w:rPr>
        <w:t xml:space="preserve"> and quota year at the time the Secretary makes the allocation.</w:t>
      </w:r>
    </w:p>
    <w:p w14:paraId="256263D5" w14:textId="77777777" w:rsidR="009E4659" w:rsidRDefault="009E4659" w:rsidP="0011502F">
      <w:pPr>
        <w:pStyle w:val="Normal-em"/>
        <w:spacing w:after="0" w:line="240" w:lineRule="auto"/>
        <w:rPr>
          <w:szCs w:val="24"/>
        </w:rPr>
      </w:pPr>
    </w:p>
    <w:p w14:paraId="3A6FF329" w14:textId="56514B7A" w:rsidR="00161BDF" w:rsidRDefault="00161BDF" w:rsidP="0011502F">
      <w:pPr>
        <w:pStyle w:val="Normal-em"/>
        <w:spacing w:after="0" w:line="240" w:lineRule="auto"/>
      </w:pPr>
      <w:r>
        <w:rPr>
          <w:szCs w:val="24"/>
        </w:rPr>
        <w:t>All weights are calculated using kilograms.</w:t>
      </w:r>
    </w:p>
    <w:p w14:paraId="73D04CED" w14:textId="77777777" w:rsidR="00161BDF" w:rsidRDefault="00161BDF" w:rsidP="0011502F">
      <w:pPr>
        <w:pStyle w:val="Normal-em"/>
        <w:spacing w:after="0" w:line="240" w:lineRule="auto"/>
      </w:pPr>
    </w:p>
    <w:p w14:paraId="4F8CC036" w14:textId="7B82E180" w:rsidR="00D868E2" w:rsidRDefault="009E4659" w:rsidP="0011502F">
      <w:pPr>
        <w:pStyle w:val="Normal-em"/>
        <w:spacing w:after="0" w:line="240" w:lineRule="auto"/>
      </w:pPr>
      <w:r>
        <w:t xml:space="preserve">Subsection </w:t>
      </w:r>
      <w:r w:rsidR="00E730A1">
        <w:rPr>
          <w:szCs w:val="24"/>
        </w:rPr>
        <w:t>46</w:t>
      </w:r>
      <w:r>
        <w:rPr>
          <w:szCs w:val="24"/>
        </w:rPr>
        <w:t>(2) provides that i</w:t>
      </w:r>
      <w:r w:rsidRPr="00F93A3D">
        <w:t>f the amount worked out under subsection </w:t>
      </w:r>
      <w:r w:rsidR="00E730A1">
        <w:t>46</w:t>
      </w:r>
      <w:r w:rsidRPr="00F93A3D">
        <w:t xml:space="preserve">(1) for </w:t>
      </w:r>
      <w:r>
        <w:t>any applicant</w:t>
      </w:r>
      <w:r w:rsidRPr="00F93A3D">
        <w:t xml:space="preserve"> (</w:t>
      </w:r>
      <w:r>
        <w:t xml:space="preserve">a </w:t>
      </w:r>
      <w:r w:rsidRPr="00D868E2">
        <w:rPr>
          <w:i/>
        </w:rPr>
        <w:t>quota-filled applicant</w:t>
      </w:r>
      <w:r w:rsidRPr="00F93A3D">
        <w:t>)</w:t>
      </w:r>
      <w:r>
        <w:t xml:space="preserve"> </w:t>
      </w:r>
      <w:r w:rsidRPr="00F93A3D">
        <w:t>is more than the amount of tariff rate quota entitlement the applicant applied for</w:t>
      </w:r>
      <w:r w:rsidR="00D868E2">
        <w:t>:</w:t>
      </w:r>
    </w:p>
    <w:p w14:paraId="51356D3C" w14:textId="07C97864" w:rsidR="00D868E2" w:rsidRPr="00D868E2" w:rsidRDefault="009E4659" w:rsidP="000F6D46">
      <w:pPr>
        <w:pStyle w:val="Normal-em"/>
        <w:numPr>
          <w:ilvl w:val="0"/>
          <w:numId w:val="47"/>
        </w:numPr>
        <w:spacing w:after="0" w:line="240" w:lineRule="auto"/>
        <w:rPr>
          <w:szCs w:val="24"/>
        </w:rPr>
      </w:pPr>
      <w:r>
        <w:t>the</w:t>
      </w:r>
      <w:r w:rsidRPr="00F93A3D">
        <w:t xml:space="preserve"> </w:t>
      </w:r>
      <w:r>
        <w:t xml:space="preserve">amount of tariff rate </w:t>
      </w:r>
      <w:r w:rsidRPr="00F93A3D">
        <w:t>quota entitlement</w:t>
      </w:r>
      <w:r>
        <w:t xml:space="preserve"> to be allocated to each quota-filled applicant</w:t>
      </w:r>
      <w:r w:rsidRPr="00F93A3D">
        <w:t xml:space="preserve"> is</w:t>
      </w:r>
      <w:r>
        <w:t xml:space="preserve"> equal to</w:t>
      </w:r>
      <w:r w:rsidRPr="00F93A3D">
        <w:t xml:space="preserve"> the amount of </w:t>
      </w:r>
      <w:r>
        <w:t xml:space="preserve">tariff rate </w:t>
      </w:r>
      <w:r w:rsidRPr="00F93A3D">
        <w:t>quota entitlement th</w:t>
      </w:r>
      <w:r w:rsidR="007F4B7E">
        <w:t>at</w:t>
      </w:r>
      <w:r w:rsidRPr="00F93A3D">
        <w:t xml:space="preserve"> </w:t>
      </w:r>
      <w:r>
        <w:t>applicant</w:t>
      </w:r>
      <w:r w:rsidRPr="00F93A3D">
        <w:t xml:space="preserve"> appl</w:t>
      </w:r>
      <w:r>
        <w:t>ied for</w:t>
      </w:r>
      <w:r w:rsidR="00D868E2">
        <w:t>;</w:t>
      </w:r>
      <w:r>
        <w:t xml:space="preserve"> and </w:t>
      </w:r>
    </w:p>
    <w:p w14:paraId="3B49B946" w14:textId="6711F36B" w:rsidR="00D868E2" w:rsidRPr="00D868E2" w:rsidRDefault="009E4659" w:rsidP="000F6D46">
      <w:pPr>
        <w:pStyle w:val="Normal-em"/>
        <w:numPr>
          <w:ilvl w:val="0"/>
          <w:numId w:val="47"/>
        </w:numPr>
        <w:spacing w:after="0" w:line="240" w:lineRule="auto"/>
        <w:rPr>
          <w:szCs w:val="24"/>
        </w:rPr>
      </w:pPr>
      <w:r w:rsidRPr="00F93A3D">
        <w:t xml:space="preserve">the </w:t>
      </w:r>
      <w:r>
        <w:t xml:space="preserve">amount of </w:t>
      </w:r>
      <w:r w:rsidRPr="00F93A3D">
        <w:t xml:space="preserve">tariff rate quota entitlement </w:t>
      </w:r>
      <w:r>
        <w:t>to be allocated to</w:t>
      </w:r>
      <w:r w:rsidRPr="00F93A3D">
        <w:t xml:space="preserve"> each applicant who is not a quota</w:t>
      </w:r>
      <w:r>
        <w:noBreakHyphen/>
      </w:r>
      <w:r w:rsidRPr="00F93A3D">
        <w:t>filled applicant must be recalculated under subsection </w:t>
      </w:r>
      <w:r w:rsidR="00E730A1">
        <w:t>46</w:t>
      </w:r>
      <w:r w:rsidRPr="00F93A3D">
        <w:t>(1)</w:t>
      </w:r>
      <w:r w:rsidR="005C2158">
        <w:t>,</w:t>
      </w:r>
      <w:r w:rsidRPr="00F93A3D">
        <w:t xml:space="preserve"> and</w:t>
      </w:r>
      <w:r>
        <w:t xml:space="preserve"> </w:t>
      </w:r>
    </w:p>
    <w:p w14:paraId="692CD92B" w14:textId="65F04A83" w:rsidR="00D868E2" w:rsidRPr="00D868E2" w:rsidRDefault="009E4659" w:rsidP="000F6D46">
      <w:pPr>
        <w:pStyle w:val="Normal-em"/>
        <w:numPr>
          <w:ilvl w:val="0"/>
          <w:numId w:val="47"/>
        </w:numPr>
        <w:spacing w:after="0" w:line="240" w:lineRule="auto"/>
        <w:rPr>
          <w:szCs w:val="24"/>
        </w:rPr>
      </w:pPr>
      <w:proofErr w:type="gramStart"/>
      <w:r w:rsidRPr="00F93A3D">
        <w:t>for</w:t>
      </w:r>
      <w:proofErr w:type="gramEnd"/>
      <w:r w:rsidRPr="00F93A3D">
        <w:t xml:space="preserve"> the purposes of the recalculation</w:t>
      </w:r>
      <w:r>
        <w:t>, e</w:t>
      </w:r>
      <w:r w:rsidRPr="00F93A3D">
        <w:t>ach quota</w:t>
      </w:r>
      <w:r>
        <w:noBreakHyphen/>
      </w:r>
      <w:r w:rsidRPr="00F93A3D">
        <w:t>filled applicant is taken not to be an applicant and</w:t>
      </w:r>
      <w:r>
        <w:t xml:space="preserve"> t</w:t>
      </w:r>
      <w:r w:rsidRPr="00F93A3D">
        <w:t xml:space="preserve">he uncommitted </w:t>
      </w:r>
      <w:r>
        <w:t xml:space="preserve">annual </w:t>
      </w:r>
      <w:r w:rsidRPr="00F93A3D">
        <w:t xml:space="preserve">access amount is taken to be reduced by the </w:t>
      </w:r>
      <w:r>
        <w:t xml:space="preserve">total </w:t>
      </w:r>
      <w:r w:rsidRPr="00F93A3D">
        <w:t xml:space="preserve">amount of </w:t>
      </w:r>
      <w:r>
        <w:t xml:space="preserve">tariff rate quota entitlement to be allocated to </w:t>
      </w:r>
      <w:r w:rsidRPr="00F93A3D">
        <w:t>quota</w:t>
      </w:r>
      <w:r>
        <w:noBreakHyphen/>
      </w:r>
      <w:r w:rsidRPr="00F93A3D">
        <w:t>filled applicant</w:t>
      </w:r>
      <w:r>
        <w:t>s</w:t>
      </w:r>
      <w:r w:rsidRPr="00F93A3D">
        <w:t>.</w:t>
      </w:r>
    </w:p>
    <w:p w14:paraId="72D241D5" w14:textId="77777777" w:rsidR="009E4659" w:rsidRDefault="009E4659" w:rsidP="0011502F">
      <w:pPr>
        <w:pStyle w:val="Normal-em"/>
        <w:spacing w:after="0" w:line="240" w:lineRule="auto"/>
        <w:rPr>
          <w:szCs w:val="24"/>
        </w:rPr>
      </w:pPr>
    </w:p>
    <w:p w14:paraId="54B1F2E2" w14:textId="3B90DBAF" w:rsidR="005C2158" w:rsidRDefault="009E4659" w:rsidP="005C2158">
      <w:pPr>
        <w:pStyle w:val="Normal-em"/>
        <w:spacing w:after="0" w:line="240" w:lineRule="auto"/>
      </w:pPr>
      <w:r>
        <w:t xml:space="preserve">Subsection </w:t>
      </w:r>
      <w:r w:rsidR="00E730A1">
        <w:rPr>
          <w:szCs w:val="24"/>
        </w:rPr>
        <w:t>46</w:t>
      </w:r>
      <w:r>
        <w:rPr>
          <w:szCs w:val="24"/>
        </w:rPr>
        <w:t>(3) provides that</w:t>
      </w:r>
      <w:r w:rsidR="005C2158">
        <w:rPr>
          <w:szCs w:val="24"/>
        </w:rPr>
        <w:t xml:space="preserve"> t</w:t>
      </w:r>
      <w:r w:rsidR="005C2158">
        <w:t xml:space="preserve">he recalculation mentioned in subsection </w:t>
      </w:r>
      <w:r w:rsidR="00E730A1">
        <w:t>46</w:t>
      </w:r>
      <w:r w:rsidR="005C2158">
        <w:t>(2) must be repeated until subsection (2) no longer applies in relation to any applicant.</w:t>
      </w:r>
      <w:r w:rsidR="00D868E2">
        <w:t xml:space="preserve">  That is, no applicant has an allocation greater than the amount they applied for.</w:t>
      </w:r>
    </w:p>
    <w:p w14:paraId="52567093" w14:textId="77777777" w:rsidR="009E4659" w:rsidRDefault="009E4659" w:rsidP="0011502F">
      <w:pPr>
        <w:pStyle w:val="Normal-em"/>
        <w:spacing w:after="0" w:line="240" w:lineRule="auto"/>
        <w:rPr>
          <w:szCs w:val="24"/>
        </w:rPr>
      </w:pPr>
    </w:p>
    <w:p w14:paraId="59298627" w14:textId="08C9F4C0" w:rsidR="009E4659" w:rsidRDefault="009E4659" w:rsidP="0011502F">
      <w:pPr>
        <w:pStyle w:val="Normal-em"/>
        <w:spacing w:after="0" w:line="240" w:lineRule="auto"/>
        <w:rPr>
          <w:szCs w:val="24"/>
        </w:rPr>
      </w:pPr>
      <w:r>
        <w:t xml:space="preserve">Subsection </w:t>
      </w:r>
      <w:r w:rsidR="00E730A1">
        <w:rPr>
          <w:szCs w:val="24"/>
        </w:rPr>
        <w:t>46</w:t>
      </w:r>
      <w:r>
        <w:rPr>
          <w:szCs w:val="24"/>
        </w:rPr>
        <w:t>(4) provides that</w:t>
      </w:r>
      <w:r w:rsidR="005C2158">
        <w:rPr>
          <w:szCs w:val="24"/>
        </w:rPr>
        <w:t xml:space="preserve"> t</w:t>
      </w:r>
      <w:r w:rsidR="005C2158">
        <w:t xml:space="preserve">he amount of tariff rate quota entitlement to be allocated to each applicant, as calculated under subsections </w:t>
      </w:r>
      <w:r w:rsidR="00E730A1">
        <w:t>46</w:t>
      </w:r>
      <w:r w:rsidR="005C2158">
        <w:t xml:space="preserve">(1) to </w:t>
      </w:r>
      <w:r w:rsidR="00E730A1">
        <w:t>46</w:t>
      </w:r>
      <w:r w:rsidR="005C2158">
        <w:t xml:space="preserve"> (3), must be rounded to the nearest kilogram with 0.5 of a kilogram to be rounded up.</w:t>
      </w:r>
      <w:bookmarkStart w:id="59" w:name="BK_S3P34L9C42"/>
      <w:bookmarkEnd w:id="59"/>
    </w:p>
    <w:p w14:paraId="5A3F24BC" w14:textId="77777777" w:rsidR="009E4659" w:rsidRDefault="009E4659" w:rsidP="0011502F">
      <w:pPr>
        <w:pStyle w:val="Normal-em"/>
        <w:spacing w:after="0" w:line="240" w:lineRule="auto"/>
        <w:rPr>
          <w:szCs w:val="24"/>
        </w:rPr>
      </w:pPr>
    </w:p>
    <w:p w14:paraId="408F3BF5" w14:textId="46BF228C" w:rsidR="005C2158" w:rsidRPr="002029BB" w:rsidRDefault="009E4659" w:rsidP="005C2158">
      <w:pPr>
        <w:pStyle w:val="Normal-em"/>
        <w:spacing w:after="0" w:line="240" w:lineRule="auto"/>
      </w:pPr>
      <w:r>
        <w:t xml:space="preserve">Subsection </w:t>
      </w:r>
      <w:r w:rsidR="00E730A1">
        <w:rPr>
          <w:szCs w:val="24"/>
        </w:rPr>
        <w:t>46</w:t>
      </w:r>
      <w:r>
        <w:rPr>
          <w:szCs w:val="24"/>
        </w:rPr>
        <w:t>(5) provides that</w:t>
      </w:r>
      <w:r w:rsidR="005C2158">
        <w:t xml:space="preserve"> if the sum of the tariff rate quota entitlements to be allocated exceeds the uncommitted annual access amount for the </w:t>
      </w:r>
      <w:r w:rsidR="00FE3E4B">
        <w:t>quota type</w:t>
      </w:r>
      <w:r w:rsidR="005C2158">
        <w:t xml:space="preserve"> and quota year at the time the Secretary makes the allocation, the amount of tariff rate quota entitlement to be allocated to each applicant must be rounded down to the nearest kilogram instead.</w:t>
      </w:r>
      <w:r w:rsidR="0043582E">
        <w:t xml:space="preserve">  This ensure</w:t>
      </w:r>
      <w:r w:rsidR="00D7721D">
        <w:t>s</w:t>
      </w:r>
      <w:r w:rsidR="0043582E">
        <w:t xml:space="preserve"> allocations cannot be made for more than the uncommitted annual access amount.</w:t>
      </w:r>
    </w:p>
    <w:p w14:paraId="185BD29F" w14:textId="77777777" w:rsidR="0011502F" w:rsidRPr="00610829" w:rsidRDefault="0011502F" w:rsidP="00320582">
      <w:pPr>
        <w:spacing w:line="240" w:lineRule="auto"/>
        <w:rPr>
          <w:sz w:val="24"/>
          <w:szCs w:val="24"/>
        </w:rPr>
      </w:pPr>
    </w:p>
    <w:p w14:paraId="017AF0C9" w14:textId="6C521690" w:rsidR="00320582" w:rsidRDefault="00C24396" w:rsidP="004839AA">
      <w:pPr>
        <w:keepNext/>
        <w:spacing w:line="240" w:lineRule="auto"/>
        <w:rPr>
          <w:b/>
          <w:sz w:val="24"/>
          <w:szCs w:val="24"/>
        </w:rPr>
      </w:pPr>
      <w:r>
        <w:rPr>
          <w:b/>
          <w:sz w:val="24"/>
          <w:szCs w:val="24"/>
        </w:rPr>
        <w:t xml:space="preserve">Division </w:t>
      </w:r>
      <w:r w:rsidR="004408CC">
        <w:rPr>
          <w:b/>
          <w:sz w:val="24"/>
          <w:szCs w:val="24"/>
        </w:rPr>
        <w:t>6</w:t>
      </w:r>
      <w:r>
        <w:rPr>
          <w:b/>
          <w:sz w:val="24"/>
          <w:szCs w:val="24"/>
        </w:rPr>
        <w:t xml:space="preserve"> - Tariff rate quota certificates after reclamation day</w:t>
      </w:r>
    </w:p>
    <w:p w14:paraId="22DB43A0" w14:textId="77777777" w:rsidR="00C24396" w:rsidRDefault="00C24396" w:rsidP="004839AA">
      <w:pPr>
        <w:keepNext/>
        <w:spacing w:line="240" w:lineRule="auto"/>
        <w:rPr>
          <w:b/>
          <w:sz w:val="24"/>
          <w:szCs w:val="24"/>
        </w:rPr>
      </w:pPr>
    </w:p>
    <w:p w14:paraId="25BA8E7F" w14:textId="2D9D2290" w:rsidR="00C24396" w:rsidRDefault="00C24396" w:rsidP="004839AA">
      <w:pPr>
        <w:keepNext/>
        <w:spacing w:line="240" w:lineRule="auto"/>
        <w:rPr>
          <w:sz w:val="24"/>
          <w:szCs w:val="24"/>
          <w:u w:val="single"/>
        </w:rPr>
      </w:pPr>
      <w:r>
        <w:rPr>
          <w:sz w:val="24"/>
          <w:szCs w:val="24"/>
          <w:u w:val="single"/>
        </w:rPr>
        <w:t xml:space="preserve">Section </w:t>
      </w:r>
      <w:r w:rsidR="00E730A1">
        <w:rPr>
          <w:sz w:val="24"/>
          <w:szCs w:val="24"/>
          <w:u w:val="single"/>
        </w:rPr>
        <w:t>47</w:t>
      </w:r>
      <w:r>
        <w:rPr>
          <w:sz w:val="24"/>
          <w:szCs w:val="24"/>
          <w:u w:val="single"/>
        </w:rPr>
        <w:t xml:space="preserve"> - Applications for tariff rate quota certificates after reclamation day</w:t>
      </w:r>
    </w:p>
    <w:p w14:paraId="0FD8487B" w14:textId="77777777" w:rsidR="00C24396" w:rsidRDefault="00C24396" w:rsidP="004839AA">
      <w:pPr>
        <w:keepNext/>
        <w:spacing w:line="240" w:lineRule="auto"/>
        <w:rPr>
          <w:sz w:val="24"/>
          <w:szCs w:val="24"/>
          <w:u w:val="single"/>
        </w:rPr>
      </w:pPr>
    </w:p>
    <w:p w14:paraId="5ACE4CA1" w14:textId="0043AFA7" w:rsidR="00C24396" w:rsidRPr="000D321F" w:rsidRDefault="00C24396" w:rsidP="00C24396">
      <w:pPr>
        <w:spacing w:line="240" w:lineRule="auto"/>
        <w:rPr>
          <w:sz w:val="24"/>
          <w:szCs w:val="24"/>
        </w:rPr>
      </w:pPr>
      <w:r w:rsidRPr="000D321F">
        <w:rPr>
          <w:sz w:val="24"/>
          <w:szCs w:val="24"/>
        </w:rPr>
        <w:t xml:space="preserve">Section </w:t>
      </w:r>
      <w:r w:rsidR="00E730A1" w:rsidRPr="000D321F">
        <w:rPr>
          <w:sz w:val="24"/>
          <w:szCs w:val="24"/>
        </w:rPr>
        <w:t>47</w:t>
      </w:r>
      <w:r w:rsidRPr="000D321F">
        <w:rPr>
          <w:sz w:val="24"/>
          <w:szCs w:val="24"/>
        </w:rPr>
        <w:t xml:space="preserve"> provides that a person who intends to export a consignment of a </w:t>
      </w:r>
      <w:r w:rsidR="00FE3E4B" w:rsidRPr="000D321F">
        <w:rPr>
          <w:sz w:val="24"/>
          <w:szCs w:val="24"/>
        </w:rPr>
        <w:t>quota type</w:t>
      </w:r>
      <w:r w:rsidRPr="000D321F">
        <w:rPr>
          <w:sz w:val="24"/>
          <w:szCs w:val="24"/>
        </w:rPr>
        <w:t xml:space="preserve"> in a quota year may, after the reclamation day</w:t>
      </w:r>
      <w:r w:rsidRPr="000D321F">
        <w:rPr>
          <w:i/>
          <w:sz w:val="24"/>
          <w:szCs w:val="24"/>
        </w:rPr>
        <w:t xml:space="preserve"> </w:t>
      </w:r>
      <w:r w:rsidRPr="000D321F">
        <w:rPr>
          <w:sz w:val="24"/>
          <w:szCs w:val="24"/>
        </w:rPr>
        <w:t xml:space="preserve">for the </w:t>
      </w:r>
      <w:r w:rsidR="00FE3E4B" w:rsidRPr="000D321F">
        <w:rPr>
          <w:sz w:val="24"/>
          <w:szCs w:val="24"/>
        </w:rPr>
        <w:t>quota type</w:t>
      </w:r>
      <w:r w:rsidRPr="000D321F">
        <w:rPr>
          <w:sz w:val="24"/>
          <w:szCs w:val="24"/>
        </w:rPr>
        <w:t xml:space="preserve"> and quota year, apply to the Secretary under this section</w:t>
      </w:r>
      <w:r w:rsidRPr="000D321F">
        <w:rPr>
          <w:i/>
          <w:sz w:val="24"/>
          <w:szCs w:val="24"/>
        </w:rPr>
        <w:t xml:space="preserve"> </w:t>
      </w:r>
      <w:r w:rsidRPr="000D321F">
        <w:rPr>
          <w:sz w:val="24"/>
          <w:szCs w:val="24"/>
        </w:rPr>
        <w:t>for a tariff rate quota certificate in relation to the consignment.</w:t>
      </w:r>
    </w:p>
    <w:p w14:paraId="3976C1D4" w14:textId="77777777" w:rsidR="00C24396" w:rsidRPr="000D321F" w:rsidRDefault="00C24396" w:rsidP="00C24396">
      <w:pPr>
        <w:spacing w:line="240" w:lineRule="auto"/>
        <w:rPr>
          <w:sz w:val="24"/>
          <w:szCs w:val="24"/>
        </w:rPr>
      </w:pPr>
    </w:p>
    <w:p w14:paraId="69231183" w14:textId="3FB65C21" w:rsidR="00C24396" w:rsidRPr="000D321F" w:rsidRDefault="00C24396" w:rsidP="00C24396">
      <w:pPr>
        <w:pStyle w:val="paragraph"/>
        <w:ind w:left="0" w:firstLine="0"/>
        <w:rPr>
          <w:sz w:val="24"/>
          <w:szCs w:val="24"/>
        </w:rPr>
      </w:pPr>
      <w:r w:rsidRPr="000D321F">
        <w:rPr>
          <w:sz w:val="24"/>
          <w:szCs w:val="24"/>
        </w:rPr>
        <w:t xml:space="preserve">This section includes a note which refers to section </w:t>
      </w:r>
      <w:r w:rsidR="00FF72F4" w:rsidRPr="000D321F">
        <w:rPr>
          <w:sz w:val="24"/>
          <w:szCs w:val="24"/>
        </w:rPr>
        <w:t>114</w:t>
      </w:r>
      <w:r w:rsidRPr="000D321F">
        <w:rPr>
          <w:sz w:val="24"/>
          <w:szCs w:val="24"/>
        </w:rPr>
        <w:t xml:space="preserve"> for requirements and other matters relating to applications.</w:t>
      </w:r>
    </w:p>
    <w:p w14:paraId="57A37509" w14:textId="77777777" w:rsidR="00320582" w:rsidRPr="000D321F" w:rsidRDefault="00320582" w:rsidP="00320582">
      <w:pPr>
        <w:spacing w:line="240" w:lineRule="auto"/>
        <w:rPr>
          <w:sz w:val="24"/>
          <w:szCs w:val="24"/>
        </w:rPr>
      </w:pPr>
    </w:p>
    <w:p w14:paraId="0163B95E" w14:textId="51F93C40" w:rsidR="00C24396" w:rsidRPr="000D321F" w:rsidRDefault="006F117B" w:rsidP="00320582">
      <w:pPr>
        <w:spacing w:line="240" w:lineRule="auto"/>
        <w:rPr>
          <w:sz w:val="24"/>
          <w:szCs w:val="24"/>
          <w:u w:val="single"/>
        </w:rPr>
      </w:pPr>
      <w:r w:rsidRPr="000D321F">
        <w:rPr>
          <w:sz w:val="24"/>
          <w:szCs w:val="24"/>
          <w:u w:val="single"/>
        </w:rPr>
        <w:t>Section</w:t>
      </w:r>
      <w:r w:rsidR="00E730A1" w:rsidRPr="000D321F">
        <w:rPr>
          <w:sz w:val="24"/>
          <w:szCs w:val="24"/>
          <w:u w:val="single"/>
        </w:rPr>
        <w:t xml:space="preserve"> 48</w:t>
      </w:r>
      <w:r w:rsidRPr="000D321F">
        <w:rPr>
          <w:sz w:val="24"/>
          <w:szCs w:val="24"/>
          <w:u w:val="single"/>
        </w:rPr>
        <w:t xml:space="preserve"> - Applications to be dealt with </w:t>
      </w:r>
      <w:r w:rsidR="004408CC" w:rsidRPr="000D321F">
        <w:rPr>
          <w:sz w:val="24"/>
          <w:szCs w:val="24"/>
          <w:u w:val="single"/>
        </w:rPr>
        <w:t>in order of receipt</w:t>
      </w:r>
    </w:p>
    <w:p w14:paraId="470E5082" w14:textId="77777777" w:rsidR="006F117B" w:rsidRPr="000D321F" w:rsidRDefault="006F117B" w:rsidP="00320582">
      <w:pPr>
        <w:spacing w:line="240" w:lineRule="auto"/>
        <w:rPr>
          <w:sz w:val="24"/>
          <w:szCs w:val="24"/>
          <w:u w:val="single"/>
        </w:rPr>
      </w:pPr>
    </w:p>
    <w:p w14:paraId="3FA1E574" w14:textId="61893871" w:rsidR="006F117B" w:rsidRPr="000D321F" w:rsidRDefault="006F117B" w:rsidP="006F117B">
      <w:pPr>
        <w:spacing w:line="240" w:lineRule="auto"/>
        <w:rPr>
          <w:sz w:val="24"/>
          <w:szCs w:val="24"/>
        </w:rPr>
      </w:pPr>
      <w:r w:rsidRPr="000D321F">
        <w:rPr>
          <w:sz w:val="24"/>
          <w:szCs w:val="24"/>
        </w:rPr>
        <w:t xml:space="preserve">This section provides that the Secretary must deal with applications under section </w:t>
      </w:r>
      <w:r w:rsidR="00E730A1" w:rsidRPr="000D321F">
        <w:rPr>
          <w:sz w:val="24"/>
          <w:szCs w:val="24"/>
        </w:rPr>
        <w:t>47</w:t>
      </w:r>
      <w:r w:rsidRPr="000D321F">
        <w:rPr>
          <w:sz w:val="24"/>
          <w:szCs w:val="24"/>
        </w:rPr>
        <w:t xml:space="preserve"> in the order in which the applications are received by the Secretary.</w:t>
      </w:r>
      <w:r w:rsidR="000D321F">
        <w:rPr>
          <w:sz w:val="24"/>
          <w:szCs w:val="24"/>
        </w:rPr>
        <w:t xml:space="preserve"> This is required for the purposes of exporters accessing any uncommitted access amount.</w:t>
      </w:r>
    </w:p>
    <w:p w14:paraId="43AE8441" w14:textId="77777777" w:rsidR="006F117B" w:rsidRPr="000D321F" w:rsidRDefault="006F117B" w:rsidP="006F117B">
      <w:pPr>
        <w:spacing w:line="240" w:lineRule="auto"/>
        <w:rPr>
          <w:sz w:val="24"/>
          <w:szCs w:val="24"/>
        </w:rPr>
      </w:pPr>
    </w:p>
    <w:p w14:paraId="7419C0AD" w14:textId="6847350B" w:rsidR="006F117B" w:rsidRPr="000D321F" w:rsidRDefault="006F117B" w:rsidP="006F117B">
      <w:pPr>
        <w:pStyle w:val="Normal-em"/>
        <w:spacing w:after="0" w:line="240" w:lineRule="auto"/>
        <w:rPr>
          <w:szCs w:val="24"/>
        </w:rPr>
      </w:pPr>
      <w:r w:rsidRPr="000D321F">
        <w:rPr>
          <w:color w:val="auto"/>
          <w:szCs w:val="24"/>
        </w:rPr>
        <w:lastRenderedPageBreak/>
        <w:t>This section includes a note that section</w:t>
      </w:r>
      <w:r w:rsidRPr="000D321F">
        <w:rPr>
          <w:szCs w:val="24"/>
        </w:rPr>
        <w:t xml:space="preserve"> </w:t>
      </w:r>
      <w:r w:rsidR="00FF72F4" w:rsidRPr="000D321F">
        <w:rPr>
          <w:szCs w:val="24"/>
        </w:rPr>
        <w:t>114</w:t>
      </w:r>
      <w:r w:rsidRPr="000D321F">
        <w:rPr>
          <w:szCs w:val="24"/>
        </w:rPr>
        <w:t>(8) deals with when an application is taken to be received by the Secretary.</w:t>
      </w:r>
    </w:p>
    <w:p w14:paraId="1914981E" w14:textId="77777777" w:rsidR="006F117B" w:rsidRPr="000D321F" w:rsidRDefault="006F117B" w:rsidP="006F117B">
      <w:pPr>
        <w:spacing w:line="240" w:lineRule="auto"/>
        <w:rPr>
          <w:sz w:val="24"/>
          <w:szCs w:val="24"/>
        </w:rPr>
      </w:pPr>
    </w:p>
    <w:p w14:paraId="07937952" w14:textId="0ECAD9B7" w:rsidR="006F117B" w:rsidRPr="000D321F" w:rsidRDefault="00E46852" w:rsidP="00320582">
      <w:pPr>
        <w:spacing w:line="240" w:lineRule="auto"/>
        <w:rPr>
          <w:sz w:val="24"/>
          <w:szCs w:val="24"/>
          <w:u w:val="single"/>
        </w:rPr>
      </w:pPr>
      <w:r w:rsidRPr="000D321F">
        <w:rPr>
          <w:sz w:val="24"/>
          <w:szCs w:val="24"/>
          <w:u w:val="single"/>
        </w:rPr>
        <w:t xml:space="preserve">Section </w:t>
      </w:r>
      <w:r w:rsidR="00E730A1" w:rsidRPr="000D321F">
        <w:rPr>
          <w:sz w:val="24"/>
          <w:szCs w:val="24"/>
          <w:u w:val="single"/>
        </w:rPr>
        <w:t>49</w:t>
      </w:r>
      <w:r w:rsidRPr="000D321F">
        <w:rPr>
          <w:sz w:val="24"/>
          <w:szCs w:val="24"/>
          <w:u w:val="single"/>
        </w:rPr>
        <w:t xml:space="preserve"> - Issuing tariff rate quota certificate</w:t>
      </w:r>
      <w:r w:rsidR="00D7721D">
        <w:rPr>
          <w:sz w:val="24"/>
          <w:szCs w:val="24"/>
          <w:u w:val="single"/>
        </w:rPr>
        <w:t>s</w:t>
      </w:r>
    </w:p>
    <w:p w14:paraId="478E8C6C" w14:textId="77777777" w:rsidR="00E46852" w:rsidRPr="000D321F" w:rsidRDefault="00E46852" w:rsidP="00320582">
      <w:pPr>
        <w:spacing w:line="240" w:lineRule="auto"/>
        <w:rPr>
          <w:sz w:val="24"/>
          <w:szCs w:val="24"/>
          <w:u w:val="single"/>
        </w:rPr>
      </w:pPr>
    </w:p>
    <w:p w14:paraId="1C89AD4A" w14:textId="345F4699" w:rsidR="00E46852" w:rsidRPr="000D321F" w:rsidRDefault="00E46852" w:rsidP="00E46852">
      <w:pPr>
        <w:spacing w:line="240" w:lineRule="auto"/>
        <w:rPr>
          <w:sz w:val="24"/>
          <w:szCs w:val="24"/>
        </w:rPr>
      </w:pPr>
      <w:r w:rsidRPr="000D321F">
        <w:rPr>
          <w:sz w:val="24"/>
          <w:szCs w:val="24"/>
        </w:rPr>
        <w:t xml:space="preserve">Section </w:t>
      </w:r>
      <w:r w:rsidR="00E730A1" w:rsidRPr="000D321F">
        <w:rPr>
          <w:sz w:val="24"/>
          <w:szCs w:val="24"/>
        </w:rPr>
        <w:t>49</w:t>
      </w:r>
      <w:r w:rsidRPr="000D321F">
        <w:rPr>
          <w:sz w:val="24"/>
          <w:szCs w:val="24"/>
        </w:rPr>
        <w:t xml:space="preserve">(1) provides that this section applies in relation to an application under section </w:t>
      </w:r>
      <w:r w:rsidR="00E730A1" w:rsidRPr="000D321F">
        <w:rPr>
          <w:sz w:val="24"/>
          <w:szCs w:val="24"/>
        </w:rPr>
        <w:t>47</w:t>
      </w:r>
      <w:r w:rsidRPr="000D321F">
        <w:rPr>
          <w:sz w:val="24"/>
          <w:szCs w:val="24"/>
        </w:rPr>
        <w:t xml:space="preserve"> for a tariff rate quota certificate in relation to a consignment of a </w:t>
      </w:r>
      <w:r w:rsidR="00FE3E4B" w:rsidRPr="000D321F">
        <w:rPr>
          <w:sz w:val="24"/>
          <w:szCs w:val="24"/>
        </w:rPr>
        <w:t>quota type</w:t>
      </w:r>
      <w:r w:rsidRPr="000D321F">
        <w:rPr>
          <w:sz w:val="24"/>
          <w:szCs w:val="24"/>
        </w:rPr>
        <w:t xml:space="preserve"> for export in a quota year.</w:t>
      </w:r>
    </w:p>
    <w:p w14:paraId="52DD34B3" w14:textId="77777777" w:rsidR="00E46852" w:rsidRDefault="00E46852" w:rsidP="00320582">
      <w:pPr>
        <w:spacing w:line="240" w:lineRule="auto"/>
        <w:rPr>
          <w:sz w:val="24"/>
          <w:szCs w:val="24"/>
        </w:rPr>
      </w:pPr>
    </w:p>
    <w:p w14:paraId="4D803E5A" w14:textId="40C0680F" w:rsidR="00E46852" w:rsidRPr="00DC593A" w:rsidRDefault="00E46852" w:rsidP="00B92FE0">
      <w:pPr>
        <w:spacing w:line="240" w:lineRule="auto"/>
        <w:rPr>
          <w:sz w:val="24"/>
          <w:szCs w:val="24"/>
        </w:rPr>
      </w:pPr>
      <w:r>
        <w:rPr>
          <w:sz w:val="24"/>
          <w:szCs w:val="24"/>
        </w:rPr>
        <w:t xml:space="preserve">Section </w:t>
      </w:r>
      <w:r w:rsidR="00E730A1">
        <w:rPr>
          <w:sz w:val="24"/>
          <w:szCs w:val="24"/>
        </w:rPr>
        <w:t>49</w:t>
      </w:r>
      <w:r>
        <w:rPr>
          <w:sz w:val="24"/>
          <w:szCs w:val="24"/>
        </w:rPr>
        <w:t>(2) provides that s</w:t>
      </w:r>
      <w:r w:rsidRPr="00DC593A">
        <w:rPr>
          <w:sz w:val="24"/>
          <w:szCs w:val="24"/>
        </w:rPr>
        <w:t xml:space="preserve">ubject to subsection </w:t>
      </w:r>
      <w:r w:rsidR="000D321F">
        <w:rPr>
          <w:sz w:val="24"/>
          <w:szCs w:val="24"/>
        </w:rPr>
        <w:t>49</w:t>
      </w:r>
      <w:r w:rsidRPr="00DC593A">
        <w:rPr>
          <w:sz w:val="24"/>
          <w:szCs w:val="24"/>
        </w:rPr>
        <w:t xml:space="preserve">(5) and section </w:t>
      </w:r>
      <w:r w:rsidR="00FF72F4">
        <w:rPr>
          <w:sz w:val="24"/>
          <w:szCs w:val="24"/>
        </w:rPr>
        <w:t>115</w:t>
      </w:r>
      <w:r w:rsidRPr="00DC593A">
        <w:rPr>
          <w:sz w:val="24"/>
          <w:szCs w:val="24"/>
        </w:rPr>
        <w:t xml:space="preserve">, the Secretary must issue a tariff rate quota certificate to the applicant in relation to the consignment if, at the time the Secretary </w:t>
      </w:r>
      <w:r w:rsidR="00CC2ACF">
        <w:rPr>
          <w:sz w:val="24"/>
          <w:szCs w:val="24"/>
        </w:rPr>
        <w:t>deals with</w:t>
      </w:r>
      <w:r w:rsidRPr="00DC593A">
        <w:rPr>
          <w:sz w:val="24"/>
          <w:szCs w:val="24"/>
        </w:rPr>
        <w:t xml:space="preserve"> the </w:t>
      </w:r>
      <w:r w:rsidR="00CC2ACF">
        <w:rPr>
          <w:sz w:val="24"/>
          <w:szCs w:val="24"/>
        </w:rPr>
        <w:t>application,</w:t>
      </w:r>
      <w:r w:rsidR="00B92FE0" w:rsidRPr="00DC593A">
        <w:rPr>
          <w:sz w:val="24"/>
          <w:szCs w:val="24"/>
        </w:rPr>
        <w:t xml:space="preserve"> </w:t>
      </w:r>
      <w:r w:rsidRPr="00DC593A">
        <w:rPr>
          <w:sz w:val="24"/>
          <w:szCs w:val="24"/>
        </w:rPr>
        <w:t xml:space="preserve">the applicant’s tariff rate quota entitlement for the </w:t>
      </w:r>
      <w:r w:rsidR="00FE3E4B">
        <w:rPr>
          <w:sz w:val="24"/>
          <w:szCs w:val="24"/>
        </w:rPr>
        <w:t>quota type</w:t>
      </w:r>
      <w:r w:rsidRPr="00DC593A">
        <w:rPr>
          <w:sz w:val="24"/>
          <w:szCs w:val="24"/>
        </w:rPr>
        <w:t xml:space="preserve"> and quota year is greater than zero</w:t>
      </w:r>
      <w:r w:rsidR="000D321F">
        <w:rPr>
          <w:sz w:val="24"/>
          <w:szCs w:val="24"/>
        </w:rPr>
        <w:t>,</w:t>
      </w:r>
      <w:r w:rsidRPr="00DC593A">
        <w:rPr>
          <w:sz w:val="24"/>
          <w:szCs w:val="24"/>
        </w:rPr>
        <w:t xml:space="preserve"> or</w:t>
      </w:r>
      <w:r w:rsidR="00B92FE0" w:rsidRPr="00DC593A">
        <w:rPr>
          <w:sz w:val="24"/>
          <w:szCs w:val="24"/>
        </w:rPr>
        <w:t xml:space="preserve"> </w:t>
      </w:r>
      <w:r w:rsidRPr="00DC593A">
        <w:rPr>
          <w:sz w:val="24"/>
          <w:szCs w:val="24"/>
        </w:rPr>
        <w:t xml:space="preserve">the uncommitted annual access amount for the </w:t>
      </w:r>
      <w:r w:rsidR="00FE3E4B">
        <w:rPr>
          <w:sz w:val="24"/>
          <w:szCs w:val="24"/>
        </w:rPr>
        <w:t>quota type</w:t>
      </w:r>
      <w:r w:rsidRPr="00DC593A">
        <w:rPr>
          <w:sz w:val="24"/>
          <w:szCs w:val="24"/>
        </w:rPr>
        <w:t xml:space="preserve"> and quota year is greater than zero.</w:t>
      </w:r>
      <w:r w:rsidR="000D321F">
        <w:rPr>
          <w:sz w:val="24"/>
          <w:szCs w:val="24"/>
        </w:rPr>
        <w:t xml:space="preserve">  </w:t>
      </w:r>
    </w:p>
    <w:p w14:paraId="7EA1BD4C" w14:textId="77777777" w:rsidR="00B92FE0" w:rsidRDefault="00B92FE0" w:rsidP="00B92FE0">
      <w:pPr>
        <w:spacing w:line="240" w:lineRule="auto"/>
      </w:pPr>
    </w:p>
    <w:p w14:paraId="66FCF58F" w14:textId="3064F093" w:rsidR="00B92FE0" w:rsidRDefault="00B92FE0" w:rsidP="00B92FE0">
      <w:pPr>
        <w:pStyle w:val="Normal-em"/>
        <w:spacing w:after="0" w:line="240" w:lineRule="auto"/>
        <w:rPr>
          <w:szCs w:val="24"/>
        </w:rPr>
      </w:pPr>
      <w:r>
        <w:rPr>
          <w:szCs w:val="24"/>
        </w:rPr>
        <w:t xml:space="preserve">This subsection includes a note that section </w:t>
      </w:r>
      <w:r w:rsidR="00FF72F4">
        <w:rPr>
          <w:szCs w:val="24"/>
        </w:rPr>
        <w:t>115</w:t>
      </w:r>
      <w:r>
        <w:rPr>
          <w:szCs w:val="24"/>
        </w:rPr>
        <w:t xml:space="preserve"> deals with when the Secretary may decide not to issue a certificate.</w:t>
      </w:r>
    </w:p>
    <w:p w14:paraId="7F4A206A" w14:textId="77777777" w:rsidR="00E46852" w:rsidRDefault="00E46852" w:rsidP="00320582">
      <w:pPr>
        <w:spacing w:line="240" w:lineRule="auto"/>
        <w:rPr>
          <w:sz w:val="24"/>
          <w:szCs w:val="24"/>
        </w:rPr>
      </w:pPr>
    </w:p>
    <w:p w14:paraId="5D6E352F" w14:textId="2B6E0B2C" w:rsidR="00DC593A" w:rsidRPr="00DC593A" w:rsidRDefault="00E46852" w:rsidP="00DC593A">
      <w:pPr>
        <w:spacing w:line="240" w:lineRule="auto"/>
        <w:rPr>
          <w:sz w:val="24"/>
          <w:szCs w:val="24"/>
        </w:rPr>
      </w:pPr>
      <w:r>
        <w:rPr>
          <w:sz w:val="24"/>
          <w:szCs w:val="24"/>
        </w:rPr>
        <w:t xml:space="preserve">Section </w:t>
      </w:r>
      <w:r w:rsidR="00E730A1">
        <w:rPr>
          <w:sz w:val="24"/>
          <w:szCs w:val="24"/>
        </w:rPr>
        <w:t>49</w:t>
      </w:r>
      <w:r>
        <w:rPr>
          <w:sz w:val="24"/>
          <w:szCs w:val="24"/>
        </w:rPr>
        <w:t>(3) provides that</w:t>
      </w:r>
      <w:r w:rsidR="00B92FE0">
        <w:rPr>
          <w:sz w:val="24"/>
          <w:szCs w:val="24"/>
        </w:rPr>
        <w:t xml:space="preserve"> </w:t>
      </w:r>
      <w:r w:rsidR="00DC593A">
        <w:rPr>
          <w:sz w:val="24"/>
          <w:szCs w:val="24"/>
        </w:rPr>
        <w:t>t</w:t>
      </w:r>
      <w:r w:rsidR="00DC593A" w:rsidRPr="00DC593A">
        <w:rPr>
          <w:sz w:val="24"/>
          <w:szCs w:val="24"/>
        </w:rPr>
        <w:t xml:space="preserve">he certificate must be issued for the lesser of the weight of the consignment applied for and the sum of the applicant’s tariff rate quota entitlement and the uncommitted annual access amount at the time the Secretary </w:t>
      </w:r>
      <w:r w:rsidR="00CC2ACF">
        <w:rPr>
          <w:sz w:val="24"/>
          <w:szCs w:val="24"/>
        </w:rPr>
        <w:t>deals with</w:t>
      </w:r>
      <w:r w:rsidR="00DC593A" w:rsidRPr="00DC593A">
        <w:rPr>
          <w:sz w:val="24"/>
          <w:szCs w:val="24"/>
        </w:rPr>
        <w:t xml:space="preserve"> the </w:t>
      </w:r>
      <w:r w:rsidR="00CC2ACF">
        <w:rPr>
          <w:sz w:val="24"/>
          <w:szCs w:val="24"/>
        </w:rPr>
        <w:t>application</w:t>
      </w:r>
      <w:r w:rsidR="00DC593A" w:rsidRPr="00DC593A">
        <w:rPr>
          <w:sz w:val="24"/>
          <w:szCs w:val="24"/>
        </w:rPr>
        <w:t>.</w:t>
      </w:r>
      <w:r w:rsidR="000D321F">
        <w:rPr>
          <w:sz w:val="24"/>
          <w:szCs w:val="24"/>
        </w:rPr>
        <w:t xml:space="preserve"> This ensures a certificate cannot be issued for an amount greater than the exporter has access to.</w:t>
      </w:r>
    </w:p>
    <w:p w14:paraId="59CA6D48" w14:textId="77777777" w:rsidR="00E46852" w:rsidRDefault="00E46852" w:rsidP="00320582">
      <w:pPr>
        <w:spacing w:line="240" w:lineRule="auto"/>
        <w:rPr>
          <w:sz w:val="24"/>
          <w:szCs w:val="24"/>
        </w:rPr>
      </w:pPr>
    </w:p>
    <w:p w14:paraId="2063ABB3" w14:textId="37AF73AC" w:rsidR="00DC593A" w:rsidRPr="00DC593A" w:rsidRDefault="00E46852" w:rsidP="00DC593A">
      <w:pPr>
        <w:spacing w:line="240" w:lineRule="auto"/>
        <w:rPr>
          <w:sz w:val="24"/>
          <w:szCs w:val="24"/>
        </w:rPr>
      </w:pPr>
      <w:r>
        <w:rPr>
          <w:sz w:val="24"/>
          <w:szCs w:val="24"/>
        </w:rPr>
        <w:t xml:space="preserve">Section </w:t>
      </w:r>
      <w:r w:rsidR="00E730A1">
        <w:rPr>
          <w:sz w:val="24"/>
          <w:szCs w:val="24"/>
        </w:rPr>
        <w:t>49</w:t>
      </w:r>
      <w:r>
        <w:rPr>
          <w:sz w:val="24"/>
          <w:szCs w:val="24"/>
        </w:rPr>
        <w:t>(4) provides that</w:t>
      </w:r>
      <w:r w:rsidR="00DC593A">
        <w:rPr>
          <w:sz w:val="24"/>
          <w:szCs w:val="24"/>
        </w:rPr>
        <w:t xml:space="preserve"> i</w:t>
      </w:r>
      <w:r w:rsidR="00DC593A" w:rsidRPr="00DC593A">
        <w:rPr>
          <w:sz w:val="24"/>
          <w:szCs w:val="24"/>
        </w:rPr>
        <w:t xml:space="preserve">f the applicant’s tariff rate quota entitlement is greater than zero at the time the Secretary </w:t>
      </w:r>
      <w:r w:rsidR="00CC2ACF">
        <w:rPr>
          <w:sz w:val="24"/>
          <w:szCs w:val="24"/>
        </w:rPr>
        <w:t>deals with</w:t>
      </w:r>
      <w:r w:rsidR="00DC593A" w:rsidRPr="00DC593A">
        <w:rPr>
          <w:sz w:val="24"/>
          <w:szCs w:val="24"/>
        </w:rPr>
        <w:t xml:space="preserve"> the </w:t>
      </w:r>
      <w:r w:rsidR="00CC2ACF">
        <w:rPr>
          <w:sz w:val="24"/>
          <w:szCs w:val="24"/>
        </w:rPr>
        <w:t>application</w:t>
      </w:r>
      <w:r w:rsidR="00DC593A" w:rsidRPr="00DC593A">
        <w:rPr>
          <w:sz w:val="24"/>
          <w:szCs w:val="24"/>
        </w:rPr>
        <w:t>, the applicant’s tariff rate quota entitlement is reduced (but not below zero) by the weight for which the tariff rate quota certificate is issued.</w:t>
      </w:r>
      <w:bookmarkStart w:id="60" w:name="BK_S3P40L4C24"/>
      <w:bookmarkEnd w:id="60"/>
      <w:r w:rsidR="000D321F">
        <w:rPr>
          <w:sz w:val="24"/>
          <w:szCs w:val="24"/>
        </w:rPr>
        <w:t xml:space="preserve"> </w:t>
      </w:r>
      <w:r w:rsidR="00BD0DCB" w:rsidRPr="00BD0DCB">
        <w:rPr>
          <w:sz w:val="24"/>
          <w:szCs w:val="24"/>
        </w:rPr>
        <w:t>This makes clear that an entitlement is always d</w:t>
      </w:r>
      <w:r w:rsidR="00BD0DCB">
        <w:rPr>
          <w:sz w:val="24"/>
          <w:szCs w:val="24"/>
        </w:rPr>
        <w:t xml:space="preserve">educted ahead of </w:t>
      </w:r>
      <w:r w:rsidR="00BD0DCB" w:rsidRPr="00BD0DCB">
        <w:rPr>
          <w:sz w:val="24"/>
          <w:szCs w:val="24"/>
        </w:rPr>
        <w:t>any uncommitted standard access amount.</w:t>
      </w:r>
    </w:p>
    <w:p w14:paraId="329342C0" w14:textId="77777777" w:rsidR="00E46852" w:rsidRDefault="00E46852" w:rsidP="00320582">
      <w:pPr>
        <w:spacing w:line="240" w:lineRule="auto"/>
        <w:rPr>
          <w:sz w:val="24"/>
          <w:szCs w:val="24"/>
        </w:rPr>
      </w:pPr>
    </w:p>
    <w:p w14:paraId="710D6CDC" w14:textId="74B447FA" w:rsidR="00DC593A" w:rsidRDefault="00E46852" w:rsidP="00DC593A">
      <w:pPr>
        <w:spacing w:line="240" w:lineRule="auto"/>
        <w:rPr>
          <w:sz w:val="24"/>
          <w:szCs w:val="24"/>
        </w:rPr>
      </w:pPr>
      <w:r>
        <w:rPr>
          <w:sz w:val="24"/>
          <w:szCs w:val="24"/>
        </w:rPr>
        <w:t xml:space="preserve">Section </w:t>
      </w:r>
      <w:r w:rsidR="00E730A1">
        <w:rPr>
          <w:sz w:val="24"/>
          <w:szCs w:val="24"/>
        </w:rPr>
        <w:t>49</w:t>
      </w:r>
      <w:r>
        <w:rPr>
          <w:sz w:val="24"/>
          <w:szCs w:val="24"/>
        </w:rPr>
        <w:t>(5) provides that</w:t>
      </w:r>
      <w:r w:rsidR="00DC593A">
        <w:rPr>
          <w:sz w:val="24"/>
          <w:szCs w:val="24"/>
        </w:rPr>
        <w:t xml:space="preserve"> f</w:t>
      </w:r>
      <w:r w:rsidR="00BD0DCB">
        <w:rPr>
          <w:sz w:val="24"/>
          <w:szCs w:val="24"/>
        </w:rPr>
        <w:t>or the purposes of</w:t>
      </w:r>
      <w:r w:rsidR="00DC593A" w:rsidRPr="00DC593A">
        <w:rPr>
          <w:sz w:val="24"/>
          <w:szCs w:val="24"/>
        </w:rPr>
        <w:t xml:space="preserve"> section</w:t>
      </w:r>
      <w:r w:rsidR="00BD0DCB">
        <w:rPr>
          <w:sz w:val="24"/>
          <w:szCs w:val="24"/>
        </w:rPr>
        <w:t xml:space="preserve"> 49</w:t>
      </w:r>
      <w:r w:rsidR="00DC593A" w:rsidRPr="00DC593A">
        <w:rPr>
          <w:sz w:val="24"/>
          <w:szCs w:val="24"/>
        </w:rPr>
        <w:t xml:space="preserve">, the uncommitted annual access amount for a </w:t>
      </w:r>
      <w:r w:rsidR="00FE3E4B">
        <w:rPr>
          <w:sz w:val="24"/>
          <w:szCs w:val="24"/>
        </w:rPr>
        <w:t>quota type</w:t>
      </w:r>
      <w:r w:rsidR="00DC593A" w:rsidRPr="00DC593A">
        <w:rPr>
          <w:sz w:val="24"/>
          <w:szCs w:val="24"/>
        </w:rPr>
        <w:t xml:space="preserve"> and a quota year is taken to be zero during the period beginning at the start of the day after the reclamation day for the </w:t>
      </w:r>
      <w:r w:rsidR="00FE3E4B">
        <w:rPr>
          <w:sz w:val="24"/>
          <w:szCs w:val="24"/>
        </w:rPr>
        <w:t>quota type</w:t>
      </w:r>
      <w:r w:rsidR="00DC593A" w:rsidRPr="00DC593A">
        <w:rPr>
          <w:sz w:val="24"/>
          <w:szCs w:val="24"/>
        </w:rPr>
        <w:t xml:space="preserve"> and quota year and ending when the Secretary has allocated amounts of tariff rate quota entitlement for the </w:t>
      </w:r>
      <w:r w:rsidR="00FE3E4B">
        <w:rPr>
          <w:sz w:val="24"/>
          <w:szCs w:val="24"/>
        </w:rPr>
        <w:t>quota type</w:t>
      </w:r>
      <w:r w:rsidR="00DC593A" w:rsidRPr="00DC593A">
        <w:rPr>
          <w:sz w:val="24"/>
          <w:szCs w:val="24"/>
        </w:rPr>
        <w:t xml:space="preserve"> and quota year to persons in accordance with section </w:t>
      </w:r>
      <w:r w:rsidR="00E730A1">
        <w:rPr>
          <w:sz w:val="24"/>
          <w:szCs w:val="24"/>
        </w:rPr>
        <w:t>45</w:t>
      </w:r>
      <w:r w:rsidR="00DC593A" w:rsidRPr="00DC593A">
        <w:rPr>
          <w:sz w:val="24"/>
          <w:szCs w:val="24"/>
        </w:rPr>
        <w:t>.</w:t>
      </w:r>
      <w:r w:rsidR="00BD0DCB">
        <w:rPr>
          <w:sz w:val="24"/>
          <w:szCs w:val="24"/>
        </w:rPr>
        <w:t xml:space="preserve"> This enables certificates to continue to be issued during this period for exporters that retain entitlements, but does not impact on the uncommitted standard access amount while calculations for the purposes of section 45 are being completed.</w:t>
      </w:r>
    </w:p>
    <w:p w14:paraId="3B78EF5E" w14:textId="4854150D" w:rsidR="002D6764" w:rsidRDefault="002D6764" w:rsidP="002D6764">
      <w:pPr>
        <w:spacing w:line="240" w:lineRule="auto"/>
        <w:rPr>
          <w:sz w:val="24"/>
          <w:szCs w:val="24"/>
        </w:rPr>
      </w:pPr>
    </w:p>
    <w:p w14:paraId="2983B534" w14:textId="209DB2BD" w:rsidR="002D6764" w:rsidRDefault="00FE3AA5" w:rsidP="002D6764">
      <w:pPr>
        <w:spacing w:line="240" w:lineRule="auto"/>
        <w:rPr>
          <w:b/>
          <w:sz w:val="24"/>
          <w:szCs w:val="24"/>
        </w:rPr>
      </w:pPr>
      <w:r>
        <w:rPr>
          <w:b/>
          <w:sz w:val="24"/>
          <w:szCs w:val="24"/>
        </w:rPr>
        <w:t>Part 4 - Certification method</w:t>
      </w:r>
    </w:p>
    <w:p w14:paraId="7B26F54E" w14:textId="77777777" w:rsidR="00FE3AA5" w:rsidRDefault="00FE3AA5" w:rsidP="002D6764">
      <w:pPr>
        <w:spacing w:line="240" w:lineRule="auto"/>
        <w:rPr>
          <w:b/>
          <w:sz w:val="24"/>
          <w:szCs w:val="24"/>
        </w:rPr>
      </w:pPr>
    </w:p>
    <w:p w14:paraId="5CDECACF" w14:textId="433A4ACA" w:rsidR="00FE3AA5" w:rsidRDefault="00E730A1" w:rsidP="002D6764">
      <w:pPr>
        <w:spacing w:line="240" w:lineRule="auto"/>
        <w:rPr>
          <w:sz w:val="24"/>
          <w:szCs w:val="24"/>
          <w:u w:val="single"/>
        </w:rPr>
      </w:pPr>
      <w:r>
        <w:rPr>
          <w:sz w:val="24"/>
          <w:szCs w:val="24"/>
          <w:u w:val="single"/>
        </w:rPr>
        <w:t>Section 50</w:t>
      </w:r>
      <w:r w:rsidR="00FE3AA5">
        <w:rPr>
          <w:sz w:val="24"/>
          <w:szCs w:val="24"/>
          <w:u w:val="single"/>
        </w:rPr>
        <w:t xml:space="preserve"> - Application of this part</w:t>
      </w:r>
    </w:p>
    <w:p w14:paraId="6A175258" w14:textId="77777777" w:rsidR="00FE3AA5" w:rsidRDefault="00FE3AA5" w:rsidP="002D6764">
      <w:pPr>
        <w:spacing w:line="240" w:lineRule="auto"/>
        <w:rPr>
          <w:sz w:val="24"/>
          <w:szCs w:val="24"/>
          <w:u w:val="single"/>
        </w:rPr>
      </w:pPr>
    </w:p>
    <w:p w14:paraId="3BB8E2A7" w14:textId="2E5402B9" w:rsidR="00FE3AA5" w:rsidRDefault="00E730A1" w:rsidP="00FE3AA5">
      <w:pPr>
        <w:spacing w:line="240" w:lineRule="auto"/>
        <w:rPr>
          <w:sz w:val="24"/>
          <w:szCs w:val="24"/>
        </w:rPr>
      </w:pPr>
      <w:r>
        <w:rPr>
          <w:sz w:val="24"/>
          <w:szCs w:val="24"/>
        </w:rPr>
        <w:t>Section 50</w:t>
      </w:r>
      <w:r w:rsidR="00FE3AA5">
        <w:rPr>
          <w:sz w:val="24"/>
          <w:szCs w:val="24"/>
        </w:rPr>
        <w:t xml:space="preserve"> provides that i</w:t>
      </w:r>
      <w:r w:rsidR="00FE3AA5" w:rsidRPr="00FE3AA5">
        <w:rPr>
          <w:sz w:val="24"/>
          <w:szCs w:val="24"/>
        </w:rPr>
        <w:t xml:space="preserve">f a provision of Chapter 3 provides that the </w:t>
      </w:r>
      <w:r w:rsidR="00FE3AA5" w:rsidRPr="009B2325">
        <w:rPr>
          <w:sz w:val="24"/>
          <w:szCs w:val="24"/>
        </w:rPr>
        <w:t>certification method</w:t>
      </w:r>
      <w:r w:rsidR="00FE3AA5" w:rsidRPr="00FE3AA5">
        <w:rPr>
          <w:sz w:val="24"/>
          <w:szCs w:val="24"/>
        </w:rPr>
        <w:t xml:space="preserve"> applies for the purposes of issuing a tariff rate quota certificate in relation to a consignment of a </w:t>
      </w:r>
      <w:r w:rsidR="00FE3E4B">
        <w:rPr>
          <w:sz w:val="24"/>
          <w:szCs w:val="24"/>
        </w:rPr>
        <w:t>quota type</w:t>
      </w:r>
      <w:r w:rsidR="00FE3AA5" w:rsidRPr="00FE3AA5">
        <w:rPr>
          <w:sz w:val="24"/>
          <w:szCs w:val="24"/>
        </w:rPr>
        <w:t xml:space="preserve"> </w:t>
      </w:r>
      <w:r w:rsidR="00CC2ACF">
        <w:rPr>
          <w:sz w:val="24"/>
          <w:szCs w:val="24"/>
        </w:rPr>
        <w:t xml:space="preserve">for export </w:t>
      </w:r>
      <w:r w:rsidR="00FE3AA5" w:rsidRPr="00FE3AA5">
        <w:rPr>
          <w:sz w:val="24"/>
          <w:szCs w:val="24"/>
        </w:rPr>
        <w:t>in a quota year, then this Part applies for the purposes of issuing a tariff rate quota certificate in relation to such a consignment.</w:t>
      </w:r>
      <w:r w:rsidR="009B2325">
        <w:rPr>
          <w:sz w:val="24"/>
          <w:szCs w:val="24"/>
        </w:rPr>
        <w:t xml:space="preserve"> This applies where the Australian Government is only responsible for issuing tariff rate quota certificates and not managing the access amount.</w:t>
      </w:r>
    </w:p>
    <w:p w14:paraId="1B7C7816" w14:textId="77777777" w:rsidR="00FE3AA5" w:rsidRDefault="00FE3AA5" w:rsidP="00FE3AA5">
      <w:pPr>
        <w:spacing w:line="240" w:lineRule="auto"/>
        <w:rPr>
          <w:sz w:val="24"/>
          <w:szCs w:val="24"/>
        </w:rPr>
      </w:pPr>
    </w:p>
    <w:p w14:paraId="1117B478" w14:textId="67F936CA" w:rsidR="00FE3AA5" w:rsidRDefault="009D79A8" w:rsidP="00485178">
      <w:pPr>
        <w:keepNext/>
        <w:spacing w:line="240" w:lineRule="auto"/>
        <w:rPr>
          <w:sz w:val="24"/>
          <w:szCs w:val="24"/>
          <w:u w:val="single"/>
        </w:rPr>
      </w:pPr>
      <w:r>
        <w:rPr>
          <w:sz w:val="24"/>
          <w:szCs w:val="24"/>
          <w:u w:val="single"/>
        </w:rPr>
        <w:lastRenderedPageBreak/>
        <w:t>Section 51</w:t>
      </w:r>
      <w:r w:rsidR="00FE3AA5">
        <w:rPr>
          <w:sz w:val="24"/>
          <w:szCs w:val="24"/>
          <w:u w:val="single"/>
        </w:rPr>
        <w:t xml:space="preserve"> - Applications for tariff rate quota certificates</w:t>
      </w:r>
    </w:p>
    <w:p w14:paraId="55731637" w14:textId="77777777" w:rsidR="00FE3AA5" w:rsidRDefault="00FE3AA5" w:rsidP="00485178">
      <w:pPr>
        <w:keepNext/>
        <w:spacing w:line="240" w:lineRule="auto"/>
        <w:rPr>
          <w:sz w:val="24"/>
          <w:szCs w:val="24"/>
          <w:u w:val="single"/>
        </w:rPr>
      </w:pPr>
    </w:p>
    <w:p w14:paraId="06932D87" w14:textId="5EB7DD70" w:rsidR="00FE3AA5" w:rsidRPr="00FE3AA5" w:rsidRDefault="009D79A8" w:rsidP="00FE3AA5">
      <w:pPr>
        <w:spacing w:line="240" w:lineRule="auto"/>
        <w:rPr>
          <w:sz w:val="24"/>
          <w:szCs w:val="24"/>
        </w:rPr>
      </w:pPr>
      <w:r>
        <w:rPr>
          <w:sz w:val="24"/>
          <w:szCs w:val="24"/>
        </w:rPr>
        <w:t>Section 51</w:t>
      </w:r>
      <w:r w:rsidR="00FE3AA5" w:rsidRPr="00FE3AA5">
        <w:rPr>
          <w:sz w:val="24"/>
          <w:szCs w:val="24"/>
        </w:rPr>
        <w:t xml:space="preserve"> provides that a person who intends to export a consignment of a </w:t>
      </w:r>
      <w:r w:rsidR="00FE3E4B">
        <w:rPr>
          <w:sz w:val="24"/>
          <w:szCs w:val="24"/>
        </w:rPr>
        <w:t>quota type</w:t>
      </w:r>
      <w:r w:rsidR="00FE3AA5" w:rsidRPr="00FE3AA5">
        <w:rPr>
          <w:sz w:val="24"/>
          <w:szCs w:val="24"/>
        </w:rPr>
        <w:t xml:space="preserve"> in a quota year may apply to the Secretary for a tariff rate quota certificate in relation to the consignment.</w:t>
      </w:r>
    </w:p>
    <w:p w14:paraId="6DDC348A" w14:textId="77777777" w:rsidR="00FE3AA5" w:rsidRPr="00FE3AA5" w:rsidRDefault="00FE3AA5" w:rsidP="00FE3AA5">
      <w:pPr>
        <w:spacing w:line="240" w:lineRule="auto"/>
        <w:rPr>
          <w:sz w:val="24"/>
          <w:szCs w:val="24"/>
        </w:rPr>
      </w:pPr>
    </w:p>
    <w:p w14:paraId="60C5B284" w14:textId="4EB70DC5" w:rsidR="00FE3AA5" w:rsidRPr="00FE3AA5" w:rsidRDefault="00FE3AA5" w:rsidP="00FE3AA5">
      <w:pPr>
        <w:pStyle w:val="paragraph"/>
        <w:ind w:left="0" w:firstLine="0"/>
        <w:rPr>
          <w:sz w:val="24"/>
          <w:szCs w:val="24"/>
          <w:lang w:eastAsia="en-US"/>
        </w:rPr>
      </w:pPr>
      <w:r w:rsidRPr="00FE3AA5">
        <w:rPr>
          <w:sz w:val="24"/>
          <w:szCs w:val="24"/>
        </w:rPr>
        <w:t xml:space="preserve">This section includes a note which refers to section </w:t>
      </w:r>
      <w:r w:rsidR="00FF72F4">
        <w:rPr>
          <w:sz w:val="24"/>
          <w:szCs w:val="24"/>
        </w:rPr>
        <w:t>114</w:t>
      </w:r>
      <w:r w:rsidRPr="00FE3AA5">
        <w:rPr>
          <w:sz w:val="24"/>
          <w:szCs w:val="24"/>
        </w:rPr>
        <w:t xml:space="preserve"> for requirements and other matters relating to applications.</w:t>
      </w:r>
    </w:p>
    <w:p w14:paraId="33D871D1" w14:textId="77777777" w:rsidR="00FE3AA5" w:rsidRPr="00F93A3D" w:rsidRDefault="00FE3AA5" w:rsidP="00FE3AA5">
      <w:pPr>
        <w:spacing w:line="240" w:lineRule="auto"/>
      </w:pPr>
    </w:p>
    <w:p w14:paraId="3F3DD9EC" w14:textId="5F98109C" w:rsidR="00FE3AA5" w:rsidRDefault="009D79A8" w:rsidP="00FE3AA5">
      <w:pPr>
        <w:spacing w:line="240" w:lineRule="auto"/>
        <w:rPr>
          <w:sz w:val="24"/>
          <w:szCs w:val="24"/>
          <w:u w:val="single"/>
        </w:rPr>
      </w:pPr>
      <w:r>
        <w:rPr>
          <w:sz w:val="24"/>
          <w:szCs w:val="24"/>
          <w:u w:val="single"/>
        </w:rPr>
        <w:t>Section 52</w:t>
      </w:r>
      <w:r w:rsidR="00FE3AA5">
        <w:rPr>
          <w:sz w:val="24"/>
          <w:szCs w:val="24"/>
          <w:u w:val="single"/>
        </w:rPr>
        <w:t xml:space="preserve"> - Issuing tariff rate quota certificates</w:t>
      </w:r>
    </w:p>
    <w:p w14:paraId="42DDF918" w14:textId="77777777" w:rsidR="00FE3AA5" w:rsidRDefault="00FE3AA5" w:rsidP="00FE3AA5">
      <w:pPr>
        <w:spacing w:line="240" w:lineRule="auto"/>
        <w:rPr>
          <w:sz w:val="24"/>
          <w:szCs w:val="24"/>
          <w:u w:val="single"/>
        </w:rPr>
      </w:pPr>
    </w:p>
    <w:p w14:paraId="64D4CD71" w14:textId="2DEE608C" w:rsidR="00FE3AA5" w:rsidRPr="00FE3AA5" w:rsidRDefault="009D79A8" w:rsidP="00FE3AA5">
      <w:pPr>
        <w:spacing w:line="240" w:lineRule="auto"/>
        <w:rPr>
          <w:sz w:val="24"/>
          <w:szCs w:val="24"/>
        </w:rPr>
      </w:pPr>
      <w:r>
        <w:rPr>
          <w:sz w:val="24"/>
          <w:szCs w:val="24"/>
        </w:rPr>
        <w:t>Section 52</w:t>
      </w:r>
      <w:r w:rsidR="00FE3AA5" w:rsidRPr="00FE3AA5">
        <w:rPr>
          <w:sz w:val="24"/>
          <w:szCs w:val="24"/>
        </w:rPr>
        <w:t xml:space="preserve"> provides that if the Secretary receives </w:t>
      </w:r>
      <w:r>
        <w:rPr>
          <w:sz w:val="24"/>
          <w:szCs w:val="24"/>
        </w:rPr>
        <w:t>an application under section 51</w:t>
      </w:r>
      <w:r w:rsidR="00FE3AA5" w:rsidRPr="00FE3AA5">
        <w:rPr>
          <w:sz w:val="24"/>
          <w:szCs w:val="24"/>
        </w:rPr>
        <w:t xml:space="preserve">, the Secretary must, subject to section </w:t>
      </w:r>
      <w:r w:rsidR="00FF72F4">
        <w:rPr>
          <w:sz w:val="24"/>
          <w:szCs w:val="24"/>
        </w:rPr>
        <w:t>115</w:t>
      </w:r>
      <w:r w:rsidR="00FE3AA5" w:rsidRPr="00FE3AA5">
        <w:rPr>
          <w:sz w:val="24"/>
          <w:szCs w:val="24"/>
        </w:rPr>
        <w:t>, issue a tariff rate quota certificate to the applicant in relation to the consignment.</w:t>
      </w:r>
    </w:p>
    <w:p w14:paraId="3CFFBB26" w14:textId="77777777" w:rsidR="00FE3AA5" w:rsidRPr="00FE3AA5" w:rsidRDefault="00FE3AA5">
      <w:pPr>
        <w:spacing w:line="240" w:lineRule="auto"/>
        <w:rPr>
          <w:sz w:val="24"/>
          <w:szCs w:val="24"/>
        </w:rPr>
      </w:pPr>
    </w:p>
    <w:p w14:paraId="39EF801B" w14:textId="2CFA953B" w:rsidR="00FE3AA5" w:rsidRDefault="00FE3AA5" w:rsidP="00FE3AA5">
      <w:pPr>
        <w:spacing w:line="240" w:lineRule="auto"/>
        <w:rPr>
          <w:sz w:val="24"/>
          <w:szCs w:val="24"/>
        </w:rPr>
      </w:pPr>
      <w:r w:rsidRPr="00FE3AA5">
        <w:rPr>
          <w:sz w:val="24"/>
          <w:szCs w:val="24"/>
        </w:rPr>
        <w:t xml:space="preserve">This subsection includes a note that section </w:t>
      </w:r>
      <w:r w:rsidR="00FF72F4">
        <w:rPr>
          <w:sz w:val="24"/>
          <w:szCs w:val="24"/>
        </w:rPr>
        <w:t>115</w:t>
      </w:r>
      <w:r w:rsidRPr="00FE3AA5">
        <w:rPr>
          <w:sz w:val="24"/>
          <w:szCs w:val="24"/>
        </w:rPr>
        <w:t xml:space="preserve"> deals with when the Secretary may decide not to issue a certificate.</w:t>
      </w:r>
    </w:p>
    <w:p w14:paraId="239BD0AC" w14:textId="77777777" w:rsidR="00FE3AA5" w:rsidRDefault="00FE3AA5" w:rsidP="00FE3AA5">
      <w:pPr>
        <w:spacing w:line="240" w:lineRule="auto"/>
        <w:rPr>
          <w:sz w:val="24"/>
          <w:szCs w:val="24"/>
        </w:rPr>
      </w:pPr>
    </w:p>
    <w:p w14:paraId="2BA116C6" w14:textId="4BE5B7F8" w:rsidR="00FE3AA5" w:rsidRDefault="00453254" w:rsidP="00FE3AA5">
      <w:pPr>
        <w:spacing w:line="240" w:lineRule="auto"/>
        <w:rPr>
          <w:b/>
          <w:sz w:val="28"/>
          <w:szCs w:val="28"/>
        </w:rPr>
      </w:pPr>
      <w:r>
        <w:rPr>
          <w:b/>
          <w:sz w:val="28"/>
          <w:szCs w:val="28"/>
        </w:rPr>
        <w:t>Chapter 3 - Exports covered by tariff rate quotas</w:t>
      </w:r>
    </w:p>
    <w:p w14:paraId="013E3E39" w14:textId="77777777" w:rsidR="00453254" w:rsidRDefault="00453254" w:rsidP="00FE3AA5">
      <w:pPr>
        <w:spacing w:line="240" w:lineRule="auto"/>
        <w:rPr>
          <w:b/>
          <w:sz w:val="28"/>
          <w:szCs w:val="28"/>
        </w:rPr>
      </w:pPr>
    </w:p>
    <w:p w14:paraId="46CF85D4" w14:textId="3CFEBF1E" w:rsidR="00453254" w:rsidRDefault="00453254" w:rsidP="00FE3AA5">
      <w:pPr>
        <w:spacing w:line="240" w:lineRule="auto"/>
        <w:rPr>
          <w:b/>
          <w:sz w:val="24"/>
          <w:szCs w:val="24"/>
        </w:rPr>
      </w:pPr>
      <w:r>
        <w:rPr>
          <w:b/>
          <w:sz w:val="24"/>
          <w:szCs w:val="24"/>
        </w:rPr>
        <w:t>Part 1 - Exports to the European Union</w:t>
      </w:r>
    </w:p>
    <w:p w14:paraId="03966DCB" w14:textId="77777777" w:rsidR="00453254" w:rsidRDefault="00453254" w:rsidP="00FE3AA5">
      <w:pPr>
        <w:spacing w:line="240" w:lineRule="auto"/>
        <w:rPr>
          <w:b/>
          <w:sz w:val="24"/>
          <w:szCs w:val="24"/>
        </w:rPr>
      </w:pPr>
    </w:p>
    <w:p w14:paraId="13F6A87C" w14:textId="397B2F5E" w:rsidR="00453254" w:rsidRDefault="00453254" w:rsidP="00FE3AA5">
      <w:pPr>
        <w:spacing w:line="240" w:lineRule="auto"/>
        <w:rPr>
          <w:b/>
          <w:sz w:val="24"/>
          <w:szCs w:val="24"/>
        </w:rPr>
      </w:pPr>
      <w:r>
        <w:rPr>
          <w:b/>
          <w:sz w:val="24"/>
          <w:szCs w:val="24"/>
        </w:rPr>
        <w:t>Division 1 - EU buffalo meat</w:t>
      </w:r>
    </w:p>
    <w:p w14:paraId="78AA5491" w14:textId="77777777" w:rsidR="00453254" w:rsidRDefault="00453254" w:rsidP="00FE3AA5">
      <w:pPr>
        <w:spacing w:line="240" w:lineRule="auto"/>
        <w:rPr>
          <w:b/>
          <w:sz w:val="24"/>
          <w:szCs w:val="24"/>
        </w:rPr>
      </w:pPr>
    </w:p>
    <w:p w14:paraId="45D50A2E" w14:textId="243BBF05" w:rsidR="00453254" w:rsidRDefault="009D79A8" w:rsidP="00FE3AA5">
      <w:pPr>
        <w:spacing w:line="240" w:lineRule="auto"/>
        <w:rPr>
          <w:sz w:val="24"/>
          <w:szCs w:val="24"/>
          <w:u w:val="single"/>
        </w:rPr>
      </w:pPr>
      <w:r>
        <w:rPr>
          <w:sz w:val="24"/>
          <w:szCs w:val="24"/>
          <w:u w:val="single"/>
        </w:rPr>
        <w:t>Section 53</w:t>
      </w:r>
      <w:r w:rsidR="00453254">
        <w:rPr>
          <w:sz w:val="24"/>
          <w:szCs w:val="24"/>
          <w:u w:val="single"/>
        </w:rPr>
        <w:t xml:space="preserve"> - EU buffalo meat</w:t>
      </w:r>
    </w:p>
    <w:p w14:paraId="2CD10602" w14:textId="77777777" w:rsidR="00453254" w:rsidRDefault="00453254" w:rsidP="00FE3AA5">
      <w:pPr>
        <w:spacing w:line="240" w:lineRule="auto"/>
        <w:rPr>
          <w:sz w:val="24"/>
          <w:szCs w:val="24"/>
          <w:u w:val="single"/>
        </w:rPr>
      </w:pPr>
    </w:p>
    <w:p w14:paraId="63524A21" w14:textId="7E9405EE" w:rsidR="00453254" w:rsidRPr="00FF26CB" w:rsidRDefault="009D79A8" w:rsidP="00453254">
      <w:pPr>
        <w:spacing w:line="240" w:lineRule="auto"/>
      </w:pPr>
      <w:r>
        <w:rPr>
          <w:sz w:val="24"/>
          <w:szCs w:val="24"/>
        </w:rPr>
        <w:t>Section 53</w:t>
      </w:r>
      <w:r w:rsidR="00453254">
        <w:rPr>
          <w:sz w:val="24"/>
          <w:szCs w:val="24"/>
        </w:rPr>
        <w:t xml:space="preserve"> provides that </w:t>
      </w:r>
      <w:r w:rsidR="00453254" w:rsidRPr="00FF26CB">
        <w:rPr>
          <w:i/>
          <w:sz w:val="24"/>
        </w:rPr>
        <w:t>EU buffalo meat</w:t>
      </w:r>
      <w:r w:rsidR="00453254" w:rsidRPr="00FF26CB">
        <w:rPr>
          <w:b/>
          <w:i/>
        </w:rPr>
        <w:t xml:space="preserve"> </w:t>
      </w:r>
      <w:r w:rsidR="00453254" w:rsidRPr="00FF26CB">
        <w:rPr>
          <w:sz w:val="24"/>
        </w:rPr>
        <w:t>is</w:t>
      </w:r>
      <w:r w:rsidR="00453254" w:rsidRPr="00FF26CB">
        <w:t xml:space="preserve"> frozen boneless buffalo meat of the kind referred to in </w:t>
      </w:r>
      <w:r w:rsidR="00453254" w:rsidRPr="00453254">
        <w:rPr>
          <w:sz w:val="24"/>
          <w:szCs w:val="24"/>
        </w:rPr>
        <w:t>Article</w:t>
      </w:r>
      <w:r w:rsidR="00453254" w:rsidRPr="00FF26CB">
        <w:t xml:space="preserve"> 1(1</w:t>
      </w:r>
      <w:proofErr w:type="gramStart"/>
      <w:r w:rsidR="00453254" w:rsidRPr="00FF26CB">
        <w:t>)(</w:t>
      </w:r>
      <w:proofErr w:type="gramEnd"/>
      <w:r w:rsidR="00453254" w:rsidRPr="00FF26CB">
        <w:t>b) of the</w:t>
      </w:r>
      <w:r w:rsidR="005E7248" w:rsidRPr="00FF26CB">
        <w:rPr>
          <w:sz w:val="24"/>
        </w:rPr>
        <w:t xml:space="preserve"> EU Beef and Buffalo Regulation, as detailed in section 6.</w:t>
      </w:r>
    </w:p>
    <w:p w14:paraId="39942144" w14:textId="77777777" w:rsidR="00453254" w:rsidRDefault="00453254">
      <w:pPr>
        <w:spacing w:line="240" w:lineRule="auto"/>
        <w:rPr>
          <w:sz w:val="24"/>
          <w:szCs w:val="24"/>
        </w:rPr>
      </w:pPr>
    </w:p>
    <w:p w14:paraId="72A31586" w14:textId="0FB482DC" w:rsidR="00453254" w:rsidRDefault="009D79A8">
      <w:pPr>
        <w:spacing w:line="240" w:lineRule="auto"/>
        <w:rPr>
          <w:sz w:val="24"/>
          <w:szCs w:val="24"/>
          <w:u w:val="single"/>
        </w:rPr>
      </w:pPr>
      <w:r>
        <w:rPr>
          <w:sz w:val="24"/>
          <w:szCs w:val="24"/>
          <w:u w:val="single"/>
        </w:rPr>
        <w:t>Section 54</w:t>
      </w:r>
      <w:r w:rsidR="00453254">
        <w:rPr>
          <w:sz w:val="24"/>
          <w:szCs w:val="24"/>
          <w:u w:val="single"/>
        </w:rPr>
        <w:t xml:space="preserve"> - Quota year</w:t>
      </w:r>
    </w:p>
    <w:p w14:paraId="6F8CD551" w14:textId="77777777" w:rsidR="00453254" w:rsidRDefault="00453254">
      <w:pPr>
        <w:spacing w:line="240" w:lineRule="auto"/>
        <w:rPr>
          <w:sz w:val="24"/>
          <w:szCs w:val="24"/>
          <w:u w:val="single"/>
        </w:rPr>
      </w:pPr>
    </w:p>
    <w:p w14:paraId="1CC32A3D" w14:textId="1B0CEE18" w:rsidR="00453254" w:rsidRDefault="009D79A8" w:rsidP="00453254">
      <w:pPr>
        <w:spacing w:line="240" w:lineRule="auto"/>
        <w:rPr>
          <w:sz w:val="24"/>
          <w:szCs w:val="24"/>
        </w:rPr>
      </w:pPr>
      <w:r>
        <w:rPr>
          <w:sz w:val="24"/>
          <w:szCs w:val="24"/>
        </w:rPr>
        <w:t>Section 54</w:t>
      </w:r>
      <w:r w:rsidR="00453254">
        <w:rPr>
          <w:sz w:val="24"/>
          <w:szCs w:val="24"/>
        </w:rPr>
        <w:t xml:space="preserve"> provides that a</w:t>
      </w:r>
      <w:r w:rsidR="00453254" w:rsidRPr="00453254">
        <w:rPr>
          <w:sz w:val="24"/>
          <w:szCs w:val="24"/>
        </w:rPr>
        <w:t xml:space="preserve"> quota year for EU buffalo meat for export to the European Union is a period of 12 months beginning on 1 July.</w:t>
      </w:r>
    </w:p>
    <w:p w14:paraId="241D0CAB" w14:textId="77777777" w:rsidR="00453254" w:rsidRDefault="00453254" w:rsidP="00453254">
      <w:pPr>
        <w:spacing w:line="240" w:lineRule="auto"/>
        <w:rPr>
          <w:sz w:val="24"/>
          <w:szCs w:val="24"/>
        </w:rPr>
      </w:pPr>
    </w:p>
    <w:p w14:paraId="097BB1B3" w14:textId="5A16BCB9" w:rsidR="00453254" w:rsidRDefault="009D79A8" w:rsidP="00453254">
      <w:pPr>
        <w:spacing w:line="240" w:lineRule="auto"/>
        <w:rPr>
          <w:sz w:val="24"/>
          <w:szCs w:val="24"/>
          <w:u w:val="single"/>
        </w:rPr>
      </w:pPr>
      <w:r>
        <w:rPr>
          <w:sz w:val="24"/>
          <w:szCs w:val="24"/>
          <w:u w:val="single"/>
        </w:rPr>
        <w:t>Section 55</w:t>
      </w:r>
      <w:r w:rsidR="00453254">
        <w:rPr>
          <w:sz w:val="24"/>
          <w:szCs w:val="24"/>
          <w:u w:val="single"/>
        </w:rPr>
        <w:t xml:space="preserve"> - Method for issuing tariff rate quota certificates</w:t>
      </w:r>
    </w:p>
    <w:p w14:paraId="695CCEA1" w14:textId="77777777" w:rsidR="00453254" w:rsidRDefault="00453254" w:rsidP="00453254">
      <w:pPr>
        <w:spacing w:line="240" w:lineRule="auto"/>
        <w:rPr>
          <w:sz w:val="24"/>
          <w:szCs w:val="24"/>
          <w:u w:val="single"/>
        </w:rPr>
      </w:pPr>
    </w:p>
    <w:p w14:paraId="01BBE81B" w14:textId="3552F347" w:rsidR="00453254" w:rsidRDefault="009D79A8" w:rsidP="00453254">
      <w:pPr>
        <w:spacing w:line="240" w:lineRule="auto"/>
        <w:rPr>
          <w:sz w:val="24"/>
          <w:szCs w:val="24"/>
        </w:rPr>
      </w:pPr>
      <w:r>
        <w:rPr>
          <w:sz w:val="24"/>
          <w:szCs w:val="24"/>
        </w:rPr>
        <w:t>Section 55</w:t>
      </w:r>
      <w:r w:rsidR="00453254">
        <w:rPr>
          <w:sz w:val="24"/>
          <w:szCs w:val="24"/>
        </w:rPr>
        <w:t xml:space="preserve"> provides that t</w:t>
      </w:r>
      <w:r w:rsidR="00453254" w:rsidRPr="00453254">
        <w:rPr>
          <w:sz w:val="24"/>
          <w:szCs w:val="24"/>
        </w:rPr>
        <w:t>he first come, first served method</w:t>
      </w:r>
      <w:r w:rsidR="005E7248">
        <w:rPr>
          <w:sz w:val="24"/>
          <w:szCs w:val="24"/>
        </w:rPr>
        <w:t xml:space="preserve"> </w:t>
      </w:r>
      <w:r w:rsidR="00453254" w:rsidRPr="00453254">
        <w:rPr>
          <w:sz w:val="24"/>
          <w:szCs w:val="24"/>
        </w:rPr>
        <w:t>applies for the purposes of issuing a tariff rate quota certificate in relation to a consignment of EU buffalo meat for export to the European Union in a quota year beginning on or after 1 July 2020.</w:t>
      </w:r>
      <w:r w:rsidR="001C5B67">
        <w:rPr>
          <w:sz w:val="24"/>
          <w:szCs w:val="24"/>
        </w:rPr>
        <w:t xml:space="preserve"> The note to this section provides that the first come, first served method is set out in Part 1 of Chapter 2. </w:t>
      </w:r>
    </w:p>
    <w:p w14:paraId="76BB1F64" w14:textId="77777777" w:rsidR="00453254" w:rsidRDefault="00453254" w:rsidP="00453254">
      <w:pPr>
        <w:spacing w:line="240" w:lineRule="auto"/>
        <w:rPr>
          <w:i/>
        </w:rPr>
      </w:pPr>
    </w:p>
    <w:p w14:paraId="03B03E8F" w14:textId="4A4BBE1D" w:rsidR="00453254" w:rsidRPr="00AE6E0D" w:rsidRDefault="009D79A8" w:rsidP="00453254">
      <w:pPr>
        <w:spacing w:line="240" w:lineRule="auto"/>
        <w:rPr>
          <w:sz w:val="24"/>
          <w:szCs w:val="24"/>
          <w:u w:val="single"/>
        </w:rPr>
      </w:pPr>
      <w:r>
        <w:rPr>
          <w:sz w:val="24"/>
          <w:szCs w:val="24"/>
          <w:u w:val="single"/>
        </w:rPr>
        <w:t>Section 56</w:t>
      </w:r>
      <w:r w:rsidR="00AE6E0D" w:rsidRPr="00AE6E0D">
        <w:rPr>
          <w:sz w:val="24"/>
          <w:szCs w:val="24"/>
          <w:u w:val="single"/>
        </w:rPr>
        <w:t xml:space="preserve"> Annual access amount</w:t>
      </w:r>
    </w:p>
    <w:p w14:paraId="3D5E13DF" w14:textId="77777777" w:rsidR="00AE6E0D" w:rsidRPr="00AE6E0D" w:rsidRDefault="00AE6E0D" w:rsidP="00453254">
      <w:pPr>
        <w:spacing w:line="240" w:lineRule="auto"/>
        <w:rPr>
          <w:sz w:val="24"/>
          <w:szCs w:val="24"/>
          <w:u w:val="single"/>
        </w:rPr>
      </w:pPr>
    </w:p>
    <w:p w14:paraId="0D627D41" w14:textId="006D8D96" w:rsidR="00AE6E0D" w:rsidRDefault="009D79A8" w:rsidP="00AE6E0D">
      <w:pPr>
        <w:spacing w:line="240" w:lineRule="auto"/>
        <w:rPr>
          <w:sz w:val="24"/>
          <w:szCs w:val="24"/>
        </w:rPr>
      </w:pPr>
      <w:r>
        <w:rPr>
          <w:sz w:val="24"/>
          <w:szCs w:val="24"/>
        </w:rPr>
        <w:t>Section 56</w:t>
      </w:r>
      <w:r w:rsidR="00AE6E0D" w:rsidRPr="00AE6E0D">
        <w:rPr>
          <w:sz w:val="24"/>
          <w:szCs w:val="24"/>
        </w:rPr>
        <w:t xml:space="preserve"> provides that</w:t>
      </w:r>
      <w:r w:rsidR="00AE6E0D">
        <w:rPr>
          <w:sz w:val="24"/>
          <w:szCs w:val="24"/>
        </w:rPr>
        <w:t xml:space="preserve"> t</w:t>
      </w:r>
      <w:r w:rsidR="00AE6E0D" w:rsidRPr="00AE6E0D">
        <w:rPr>
          <w:sz w:val="24"/>
          <w:szCs w:val="24"/>
        </w:rPr>
        <w:t xml:space="preserve">he annual access amount for EU buffalo meat for export to the European Union in relation to a quota year is the weight of EU buffalo meat that may, under </w:t>
      </w:r>
      <w:r w:rsidR="00D7721D">
        <w:rPr>
          <w:sz w:val="24"/>
          <w:szCs w:val="24"/>
        </w:rPr>
        <w:t>Article 1(3)</w:t>
      </w:r>
      <w:r w:rsidR="00AE6E0D" w:rsidRPr="00AE6E0D">
        <w:rPr>
          <w:sz w:val="24"/>
          <w:szCs w:val="24"/>
        </w:rPr>
        <w:t xml:space="preserve"> of the EU Beef and Buffalo Regulation</w:t>
      </w:r>
      <w:r w:rsidR="005E7248">
        <w:rPr>
          <w:sz w:val="24"/>
          <w:szCs w:val="24"/>
        </w:rPr>
        <w:t xml:space="preserve"> (detailed in section 6)</w:t>
      </w:r>
      <w:r w:rsidR="00AE6E0D" w:rsidRPr="00AE6E0D">
        <w:rPr>
          <w:sz w:val="24"/>
          <w:szCs w:val="24"/>
        </w:rPr>
        <w:t xml:space="preserve">, be exported from Australia to the European Union in the quota year at the </w:t>
      </w:r>
      <w:r w:rsidR="00AE6E0D" w:rsidRPr="00563D45">
        <w:rPr>
          <w:i/>
          <w:sz w:val="24"/>
        </w:rPr>
        <w:t>ad valorem</w:t>
      </w:r>
      <w:r w:rsidR="00AE6E0D" w:rsidRPr="00AE6E0D">
        <w:rPr>
          <w:sz w:val="24"/>
          <w:szCs w:val="24"/>
        </w:rPr>
        <w:t xml:space="preserve"> customs duty set out in Article 1(3) of that Regulation</w:t>
      </w:r>
      <w:r w:rsidR="00FF26CB">
        <w:rPr>
          <w:sz w:val="24"/>
          <w:szCs w:val="24"/>
        </w:rPr>
        <w:t xml:space="preserve"> (</w:t>
      </w:r>
      <w:r w:rsidR="00FF26CB">
        <w:rPr>
          <w:i/>
          <w:sz w:val="24"/>
          <w:szCs w:val="24"/>
        </w:rPr>
        <w:t>ad valorem</w:t>
      </w:r>
      <w:r w:rsidR="008B42E5">
        <w:rPr>
          <w:sz w:val="24"/>
          <w:szCs w:val="24"/>
        </w:rPr>
        <w:t xml:space="preserve"> meaning ‘according to value’; it is the amount in proportion to the estimated value of the goods</w:t>
      </w:r>
      <w:r w:rsidR="00FF26CB">
        <w:rPr>
          <w:sz w:val="24"/>
          <w:szCs w:val="24"/>
        </w:rPr>
        <w:t>)</w:t>
      </w:r>
      <w:r w:rsidR="00AE6E0D" w:rsidRPr="00AE6E0D">
        <w:rPr>
          <w:sz w:val="24"/>
          <w:szCs w:val="24"/>
        </w:rPr>
        <w:t>.</w:t>
      </w:r>
      <w:bookmarkStart w:id="61" w:name="BK_S3P49L15C34"/>
      <w:bookmarkEnd w:id="61"/>
    </w:p>
    <w:p w14:paraId="76A6DFF5" w14:textId="77777777" w:rsidR="00AE6E0D" w:rsidRDefault="00AE6E0D" w:rsidP="00AE6E0D">
      <w:pPr>
        <w:spacing w:line="240" w:lineRule="auto"/>
        <w:rPr>
          <w:sz w:val="24"/>
          <w:szCs w:val="24"/>
        </w:rPr>
      </w:pPr>
    </w:p>
    <w:p w14:paraId="061CADCA" w14:textId="2514BFD8" w:rsidR="00AE6E0D" w:rsidRDefault="00AD4B75" w:rsidP="00AE6E0D">
      <w:pPr>
        <w:spacing w:line="240" w:lineRule="auto"/>
        <w:rPr>
          <w:b/>
          <w:sz w:val="24"/>
          <w:szCs w:val="24"/>
        </w:rPr>
      </w:pPr>
      <w:r>
        <w:rPr>
          <w:b/>
          <w:sz w:val="24"/>
          <w:szCs w:val="24"/>
        </w:rPr>
        <w:lastRenderedPageBreak/>
        <w:t>Division 2 - EU grain fed beef</w:t>
      </w:r>
    </w:p>
    <w:p w14:paraId="0ADEEC1D" w14:textId="77777777" w:rsidR="00AD4B75" w:rsidRDefault="00AD4B75" w:rsidP="00AE6E0D">
      <w:pPr>
        <w:spacing w:line="240" w:lineRule="auto"/>
        <w:rPr>
          <w:b/>
          <w:sz w:val="24"/>
          <w:szCs w:val="24"/>
        </w:rPr>
      </w:pPr>
    </w:p>
    <w:p w14:paraId="28109ADC" w14:textId="05DD6121" w:rsidR="00AD4B75" w:rsidRDefault="009D79A8" w:rsidP="00AE6E0D">
      <w:pPr>
        <w:spacing w:line="240" w:lineRule="auto"/>
        <w:rPr>
          <w:sz w:val="24"/>
          <w:szCs w:val="24"/>
          <w:u w:val="single"/>
        </w:rPr>
      </w:pPr>
      <w:r>
        <w:rPr>
          <w:sz w:val="24"/>
          <w:szCs w:val="24"/>
          <w:u w:val="single"/>
        </w:rPr>
        <w:t>Section 57</w:t>
      </w:r>
      <w:r w:rsidR="00AD4B75">
        <w:rPr>
          <w:sz w:val="24"/>
          <w:szCs w:val="24"/>
          <w:u w:val="single"/>
        </w:rPr>
        <w:t xml:space="preserve"> - EU grain fed beef</w:t>
      </w:r>
    </w:p>
    <w:p w14:paraId="2011B826" w14:textId="77777777" w:rsidR="00AD4B75" w:rsidRDefault="00AD4B75" w:rsidP="00AE6E0D">
      <w:pPr>
        <w:spacing w:line="240" w:lineRule="auto"/>
        <w:rPr>
          <w:sz w:val="24"/>
          <w:szCs w:val="24"/>
          <w:u w:val="single"/>
        </w:rPr>
      </w:pPr>
    </w:p>
    <w:p w14:paraId="63925CB4" w14:textId="7743459D" w:rsidR="00D714EC" w:rsidRPr="00D77DD1" w:rsidRDefault="009D79A8" w:rsidP="00D714EC">
      <w:pPr>
        <w:spacing w:line="240" w:lineRule="auto"/>
        <w:rPr>
          <w:sz w:val="24"/>
        </w:rPr>
      </w:pPr>
      <w:r>
        <w:rPr>
          <w:sz w:val="24"/>
          <w:szCs w:val="24"/>
        </w:rPr>
        <w:t>Section 57</w:t>
      </w:r>
      <w:r w:rsidR="00D001EF">
        <w:rPr>
          <w:sz w:val="24"/>
          <w:szCs w:val="24"/>
        </w:rPr>
        <w:t xml:space="preserve"> provides that </w:t>
      </w:r>
      <w:r w:rsidR="00D714EC" w:rsidRPr="00D77DD1">
        <w:rPr>
          <w:i/>
          <w:sz w:val="24"/>
        </w:rPr>
        <w:t>EU grain fed beef</w:t>
      </w:r>
      <w:r w:rsidR="00D714EC" w:rsidRPr="00D77DD1">
        <w:rPr>
          <w:sz w:val="24"/>
        </w:rPr>
        <w:t xml:space="preserve"> is beef of the kind referred to in Article 1(2) of the EU Grain Fed Beef Regulation</w:t>
      </w:r>
      <w:r w:rsidR="005E7248" w:rsidRPr="00D77DD1">
        <w:rPr>
          <w:sz w:val="24"/>
        </w:rPr>
        <w:t xml:space="preserve"> (detailed in section 6)</w:t>
      </w:r>
      <w:r w:rsidR="00D714EC" w:rsidRPr="00D77DD1">
        <w:rPr>
          <w:sz w:val="24"/>
        </w:rPr>
        <w:t>.</w:t>
      </w:r>
    </w:p>
    <w:p w14:paraId="3A291AED" w14:textId="1F8A5893" w:rsidR="00AD4B75" w:rsidRDefault="00AD4B75" w:rsidP="00AE6E0D">
      <w:pPr>
        <w:spacing w:line="240" w:lineRule="auto"/>
        <w:rPr>
          <w:sz w:val="24"/>
          <w:szCs w:val="24"/>
        </w:rPr>
      </w:pPr>
    </w:p>
    <w:p w14:paraId="1683E9DA" w14:textId="6AD29CC9" w:rsidR="00D001EF" w:rsidRDefault="009D79A8" w:rsidP="00AE6E0D">
      <w:pPr>
        <w:spacing w:line="240" w:lineRule="auto"/>
        <w:rPr>
          <w:sz w:val="24"/>
          <w:szCs w:val="24"/>
          <w:u w:val="single"/>
        </w:rPr>
      </w:pPr>
      <w:r>
        <w:rPr>
          <w:sz w:val="24"/>
          <w:szCs w:val="24"/>
          <w:u w:val="single"/>
        </w:rPr>
        <w:t>Section 58</w:t>
      </w:r>
      <w:r w:rsidR="00D001EF">
        <w:rPr>
          <w:sz w:val="24"/>
          <w:szCs w:val="24"/>
          <w:u w:val="single"/>
        </w:rPr>
        <w:t xml:space="preserve"> - Quota year</w:t>
      </w:r>
    </w:p>
    <w:p w14:paraId="5DAF0F5C" w14:textId="77777777" w:rsidR="00D001EF" w:rsidRDefault="00D001EF" w:rsidP="00AE6E0D">
      <w:pPr>
        <w:spacing w:line="240" w:lineRule="auto"/>
        <w:rPr>
          <w:sz w:val="24"/>
          <w:szCs w:val="24"/>
          <w:u w:val="single"/>
        </w:rPr>
      </w:pPr>
    </w:p>
    <w:p w14:paraId="684D70B7" w14:textId="2CD5CE12" w:rsidR="00D001EF" w:rsidRDefault="009D79A8" w:rsidP="00D001EF">
      <w:pPr>
        <w:spacing w:line="240" w:lineRule="auto"/>
        <w:rPr>
          <w:sz w:val="24"/>
          <w:szCs w:val="24"/>
        </w:rPr>
      </w:pPr>
      <w:r>
        <w:rPr>
          <w:sz w:val="24"/>
          <w:szCs w:val="24"/>
        </w:rPr>
        <w:t>Section 58</w:t>
      </w:r>
      <w:r w:rsidR="00D001EF">
        <w:rPr>
          <w:sz w:val="24"/>
          <w:szCs w:val="24"/>
        </w:rPr>
        <w:t xml:space="preserve"> provides that a</w:t>
      </w:r>
      <w:r w:rsidR="00D001EF" w:rsidRPr="00D001EF">
        <w:rPr>
          <w:sz w:val="24"/>
          <w:szCs w:val="24"/>
        </w:rPr>
        <w:t xml:space="preserve"> quota year for EU grain fed beef for export to the European Union is a period of 12 months beginning on 1 July.</w:t>
      </w:r>
    </w:p>
    <w:p w14:paraId="0D819040" w14:textId="77777777" w:rsidR="00D001EF" w:rsidRDefault="00D001EF" w:rsidP="00D001EF">
      <w:pPr>
        <w:spacing w:line="240" w:lineRule="auto"/>
        <w:rPr>
          <w:sz w:val="24"/>
          <w:szCs w:val="24"/>
        </w:rPr>
      </w:pPr>
    </w:p>
    <w:p w14:paraId="3E8792B5" w14:textId="214F568B" w:rsidR="00D001EF" w:rsidRDefault="009D79A8" w:rsidP="00D001EF">
      <w:pPr>
        <w:spacing w:line="240" w:lineRule="auto"/>
        <w:rPr>
          <w:sz w:val="24"/>
          <w:szCs w:val="24"/>
          <w:u w:val="single"/>
        </w:rPr>
      </w:pPr>
      <w:r>
        <w:rPr>
          <w:sz w:val="24"/>
          <w:szCs w:val="24"/>
          <w:u w:val="single"/>
        </w:rPr>
        <w:t>Section 59</w:t>
      </w:r>
      <w:r w:rsidR="00D001EF">
        <w:rPr>
          <w:sz w:val="24"/>
          <w:szCs w:val="24"/>
          <w:u w:val="single"/>
        </w:rPr>
        <w:t xml:space="preserve"> - Method for issuing tariff rate quota certificates</w:t>
      </w:r>
    </w:p>
    <w:p w14:paraId="06E0189E" w14:textId="77777777" w:rsidR="00D001EF" w:rsidRDefault="00D001EF" w:rsidP="00D001EF">
      <w:pPr>
        <w:spacing w:line="240" w:lineRule="auto"/>
        <w:rPr>
          <w:sz w:val="24"/>
          <w:szCs w:val="24"/>
          <w:u w:val="single"/>
        </w:rPr>
      </w:pPr>
    </w:p>
    <w:p w14:paraId="5E827CD8" w14:textId="7BB7C957" w:rsidR="00D001EF" w:rsidRPr="00D001EF" w:rsidRDefault="009D79A8" w:rsidP="00D001EF">
      <w:pPr>
        <w:spacing w:line="240" w:lineRule="auto"/>
        <w:rPr>
          <w:sz w:val="24"/>
          <w:szCs w:val="24"/>
        </w:rPr>
      </w:pPr>
      <w:r>
        <w:rPr>
          <w:sz w:val="24"/>
          <w:szCs w:val="24"/>
        </w:rPr>
        <w:t>Section 59</w:t>
      </w:r>
      <w:r w:rsidR="00D001EF">
        <w:rPr>
          <w:sz w:val="24"/>
          <w:szCs w:val="24"/>
        </w:rPr>
        <w:t xml:space="preserve"> provides that t</w:t>
      </w:r>
      <w:r w:rsidR="00D001EF" w:rsidRPr="00D001EF">
        <w:rPr>
          <w:sz w:val="24"/>
          <w:szCs w:val="24"/>
        </w:rPr>
        <w:t>he certification method</w:t>
      </w:r>
      <w:r w:rsidR="005E7248">
        <w:rPr>
          <w:sz w:val="24"/>
          <w:szCs w:val="24"/>
        </w:rPr>
        <w:t xml:space="preserve"> </w:t>
      </w:r>
      <w:r w:rsidR="00D001EF" w:rsidRPr="00D001EF">
        <w:rPr>
          <w:sz w:val="24"/>
          <w:szCs w:val="24"/>
        </w:rPr>
        <w:t>applies for the purposes of issuing a tariff rate quota certificate in relation to a consignment of EU grain fed beef for export to the European Union in a quota year beginning on or after 1 July 2020.</w:t>
      </w:r>
      <w:r w:rsidR="00AD01C7">
        <w:rPr>
          <w:sz w:val="24"/>
          <w:szCs w:val="24"/>
        </w:rPr>
        <w:t xml:space="preserve"> The note to this section provides that the certification method is set out in Part 4 of Chapter 2.</w:t>
      </w:r>
    </w:p>
    <w:p w14:paraId="5B7D991D" w14:textId="77777777" w:rsidR="00D001EF" w:rsidRDefault="00D001EF" w:rsidP="00D001EF">
      <w:pPr>
        <w:spacing w:line="240" w:lineRule="auto"/>
        <w:rPr>
          <w:sz w:val="24"/>
          <w:szCs w:val="24"/>
        </w:rPr>
      </w:pPr>
    </w:p>
    <w:p w14:paraId="7C67D9F4" w14:textId="145EAEA1" w:rsidR="00D001EF" w:rsidRDefault="00F53C0F" w:rsidP="00D001EF">
      <w:pPr>
        <w:spacing w:line="240" w:lineRule="auto"/>
        <w:rPr>
          <w:b/>
          <w:sz w:val="24"/>
          <w:szCs w:val="24"/>
        </w:rPr>
      </w:pPr>
      <w:r>
        <w:rPr>
          <w:b/>
          <w:sz w:val="24"/>
          <w:szCs w:val="24"/>
        </w:rPr>
        <w:t>Division 3 - EU high quality beef</w:t>
      </w:r>
    </w:p>
    <w:p w14:paraId="5759354D" w14:textId="77777777" w:rsidR="00F53C0F" w:rsidRDefault="00F53C0F" w:rsidP="00D001EF">
      <w:pPr>
        <w:spacing w:line="240" w:lineRule="auto"/>
        <w:rPr>
          <w:b/>
          <w:sz w:val="24"/>
          <w:szCs w:val="24"/>
        </w:rPr>
      </w:pPr>
    </w:p>
    <w:p w14:paraId="0F5E204C" w14:textId="54B40D4F" w:rsidR="00F53C0F" w:rsidRDefault="009D79A8" w:rsidP="00D001EF">
      <w:pPr>
        <w:spacing w:line="240" w:lineRule="auto"/>
        <w:rPr>
          <w:sz w:val="24"/>
          <w:szCs w:val="24"/>
          <w:u w:val="single"/>
        </w:rPr>
      </w:pPr>
      <w:r>
        <w:rPr>
          <w:sz w:val="24"/>
          <w:szCs w:val="24"/>
          <w:u w:val="single"/>
        </w:rPr>
        <w:t>Section 60</w:t>
      </w:r>
      <w:r w:rsidR="00F53C0F">
        <w:rPr>
          <w:sz w:val="24"/>
          <w:szCs w:val="24"/>
          <w:u w:val="single"/>
        </w:rPr>
        <w:t xml:space="preserve"> - EU high quality beef</w:t>
      </w:r>
    </w:p>
    <w:p w14:paraId="3C36C1D9" w14:textId="77777777" w:rsidR="00F53C0F" w:rsidRDefault="00F53C0F" w:rsidP="00D001EF">
      <w:pPr>
        <w:spacing w:line="240" w:lineRule="auto"/>
        <w:rPr>
          <w:sz w:val="24"/>
          <w:szCs w:val="24"/>
          <w:u w:val="single"/>
        </w:rPr>
      </w:pPr>
    </w:p>
    <w:p w14:paraId="397965C4" w14:textId="40169A75" w:rsidR="00F53C0F" w:rsidRDefault="009D79A8" w:rsidP="00F53C0F">
      <w:pPr>
        <w:spacing w:line="240" w:lineRule="auto"/>
        <w:rPr>
          <w:sz w:val="24"/>
          <w:szCs w:val="24"/>
        </w:rPr>
      </w:pPr>
      <w:r>
        <w:rPr>
          <w:sz w:val="24"/>
          <w:szCs w:val="24"/>
        </w:rPr>
        <w:t>Section 60</w:t>
      </w:r>
      <w:r w:rsidR="00F53C0F">
        <w:rPr>
          <w:sz w:val="24"/>
          <w:szCs w:val="24"/>
        </w:rPr>
        <w:t xml:space="preserve"> provides that </w:t>
      </w:r>
      <w:r w:rsidR="00F53C0F" w:rsidRPr="005E7248">
        <w:rPr>
          <w:i/>
          <w:sz w:val="24"/>
          <w:szCs w:val="24"/>
        </w:rPr>
        <w:t>EU high quality beef</w:t>
      </w:r>
      <w:r w:rsidR="00F53C0F" w:rsidRPr="00F53C0F">
        <w:rPr>
          <w:sz w:val="24"/>
          <w:szCs w:val="24"/>
        </w:rPr>
        <w:t xml:space="preserve"> is beef of the kind referred to in Article 2(b) of the EU Beef and Buffalo Regulation</w:t>
      </w:r>
      <w:r w:rsidR="005E7248">
        <w:rPr>
          <w:sz w:val="24"/>
          <w:szCs w:val="24"/>
        </w:rPr>
        <w:t xml:space="preserve"> (detailed in section 6)</w:t>
      </w:r>
      <w:r w:rsidR="00F53C0F" w:rsidRPr="00F53C0F">
        <w:rPr>
          <w:sz w:val="24"/>
          <w:szCs w:val="24"/>
        </w:rPr>
        <w:t>.</w:t>
      </w:r>
    </w:p>
    <w:p w14:paraId="081F8FE9" w14:textId="77777777" w:rsidR="00D479CA" w:rsidRDefault="00D479CA" w:rsidP="00F53C0F">
      <w:pPr>
        <w:spacing w:line="240" w:lineRule="auto"/>
        <w:rPr>
          <w:sz w:val="24"/>
          <w:szCs w:val="24"/>
        </w:rPr>
      </w:pPr>
    </w:p>
    <w:p w14:paraId="49EDD4AD" w14:textId="3E30637B" w:rsidR="00D479CA" w:rsidRDefault="009D79A8" w:rsidP="00D479CA">
      <w:pPr>
        <w:spacing w:line="240" w:lineRule="auto"/>
        <w:rPr>
          <w:sz w:val="24"/>
          <w:szCs w:val="24"/>
          <w:u w:val="single"/>
        </w:rPr>
      </w:pPr>
      <w:r>
        <w:rPr>
          <w:sz w:val="24"/>
          <w:szCs w:val="24"/>
          <w:u w:val="single"/>
        </w:rPr>
        <w:t>Section 61</w:t>
      </w:r>
      <w:r w:rsidR="00D479CA">
        <w:rPr>
          <w:sz w:val="24"/>
          <w:szCs w:val="24"/>
          <w:u w:val="single"/>
        </w:rPr>
        <w:t xml:space="preserve"> - Quota year</w:t>
      </w:r>
    </w:p>
    <w:p w14:paraId="74522D73" w14:textId="77777777" w:rsidR="00D479CA" w:rsidRDefault="00D479CA" w:rsidP="00D479CA">
      <w:pPr>
        <w:spacing w:line="240" w:lineRule="auto"/>
        <w:rPr>
          <w:sz w:val="24"/>
          <w:szCs w:val="24"/>
          <w:u w:val="single"/>
        </w:rPr>
      </w:pPr>
    </w:p>
    <w:p w14:paraId="64B586DC" w14:textId="61652B84" w:rsidR="00D479CA" w:rsidRDefault="009D79A8" w:rsidP="00D479CA">
      <w:pPr>
        <w:spacing w:line="240" w:lineRule="auto"/>
        <w:rPr>
          <w:sz w:val="24"/>
          <w:szCs w:val="24"/>
        </w:rPr>
      </w:pPr>
      <w:r>
        <w:rPr>
          <w:sz w:val="24"/>
          <w:szCs w:val="24"/>
        </w:rPr>
        <w:t>Section 61</w:t>
      </w:r>
      <w:r w:rsidR="00D479CA">
        <w:rPr>
          <w:sz w:val="24"/>
          <w:szCs w:val="24"/>
        </w:rPr>
        <w:t xml:space="preserve"> provides that a</w:t>
      </w:r>
      <w:r w:rsidR="00D479CA" w:rsidRPr="00D479CA">
        <w:rPr>
          <w:sz w:val="24"/>
          <w:szCs w:val="24"/>
        </w:rPr>
        <w:t xml:space="preserve"> quota year for EU high quality beef for export to the European Union is a period of 12 months beginning on 1 July.</w:t>
      </w:r>
    </w:p>
    <w:p w14:paraId="6BC5BD33" w14:textId="77777777" w:rsidR="00D479CA" w:rsidRDefault="00D479CA" w:rsidP="00D479CA">
      <w:pPr>
        <w:spacing w:line="240" w:lineRule="auto"/>
        <w:rPr>
          <w:sz w:val="24"/>
          <w:szCs w:val="24"/>
        </w:rPr>
      </w:pPr>
    </w:p>
    <w:p w14:paraId="012D8E26" w14:textId="01434BE3" w:rsidR="00D479CA" w:rsidRDefault="009D79A8" w:rsidP="004839AA">
      <w:pPr>
        <w:keepNext/>
        <w:spacing w:line="240" w:lineRule="auto"/>
        <w:rPr>
          <w:sz w:val="24"/>
          <w:szCs w:val="24"/>
          <w:u w:val="single"/>
        </w:rPr>
      </w:pPr>
      <w:r>
        <w:rPr>
          <w:sz w:val="24"/>
          <w:szCs w:val="24"/>
          <w:u w:val="single"/>
        </w:rPr>
        <w:t>Section 62</w:t>
      </w:r>
      <w:r w:rsidR="00D479CA">
        <w:rPr>
          <w:sz w:val="24"/>
          <w:szCs w:val="24"/>
          <w:u w:val="single"/>
        </w:rPr>
        <w:t xml:space="preserve"> - Method for issuing tariff rate quota certificates</w:t>
      </w:r>
    </w:p>
    <w:p w14:paraId="4BB2FF7A" w14:textId="77777777" w:rsidR="00D479CA" w:rsidRDefault="00D479CA" w:rsidP="004839AA">
      <w:pPr>
        <w:keepNext/>
        <w:spacing w:line="240" w:lineRule="auto"/>
        <w:rPr>
          <w:sz w:val="24"/>
          <w:szCs w:val="24"/>
          <w:u w:val="single"/>
        </w:rPr>
      </w:pPr>
    </w:p>
    <w:p w14:paraId="3B6D6BAB" w14:textId="0DC2EA48" w:rsidR="00D479CA" w:rsidRPr="00D479CA" w:rsidRDefault="009D79A8" w:rsidP="00D479CA">
      <w:pPr>
        <w:spacing w:line="240" w:lineRule="auto"/>
        <w:rPr>
          <w:sz w:val="24"/>
          <w:szCs w:val="24"/>
        </w:rPr>
      </w:pPr>
      <w:r>
        <w:rPr>
          <w:sz w:val="24"/>
          <w:szCs w:val="24"/>
        </w:rPr>
        <w:t>Section 62</w:t>
      </w:r>
      <w:r w:rsidR="00D479CA">
        <w:rPr>
          <w:sz w:val="24"/>
          <w:szCs w:val="24"/>
        </w:rPr>
        <w:t xml:space="preserve"> provides that t</w:t>
      </w:r>
      <w:r w:rsidR="00D479CA" w:rsidRPr="00D479CA">
        <w:rPr>
          <w:sz w:val="24"/>
          <w:szCs w:val="24"/>
        </w:rPr>
        <w:t>he allocation method</w:t>
      </w:r>
      <w:r w:rsidR="005E7248">
        <w:rPr>
          <w:sz w:val="24"/>
          <w:szCs w:val="24"/>
        </w:rPr>
        <w:t xml:space="preserve"> </w:t>
      </w:r>
      <w:r w:rsidR="00D479CA" w:rsidRPr="00D479CA">
        <w:rPr>
          <w:sz w:val="24"/>
          <w:szCs w:val="24"/>
        </w:rPr>
        <w:t>applies for the purposes of issuing a tariff rate quota certificate in relation to a consignment of EU high quality beef for export to the European Union in a quota year beginning on or after 1 July 2020.</w:t>
      </w:r>
      <w:r w:rsidR="00AD01C7">
        <w:rPr>
          <w:sz w:val="24"/>
          <w:szCs w:val="24"/>
        </w:rPr>
        <w:t xml:space="preserve"> The note to this section provides that the allocation method is set out in Part 3 of Chapter 2.</w:t>
      </w:r>
    </w:p>
    <w:p w14:paraId="3607C590" w14:textId="77777777" w:rsidR="00D479CA" w:rsidRDefault="00D479CA" w:rsidP="00D479CA">
      <w:pPr>
        <w:spacing w:line="240" w:lineRule="auto"/>
        <w:rPr>
          <w:sz w:val="24"/>
          <w:szCs w:val="24"/>
        </w:rPr>
      </w:pPr>
    </w:p>
    <w:p w14:paraId="43254F20" w14:textId="09A28315" w:rsidR="006745D7" w:rsidRDefault="009D79A8" w:rsidP="006745D7">
      <w:pPr>
        <w:spacing w:line="240" w:lineRule="auto"/>
        <w:rPr>
          <w:sz w:val="24"/>
          <w:szCs w:val="24"/>
          <w:u w:val="single"/>
        </w:rPr>
      </w:pPr>
      <w:r>
        <w:rPr>
          <w:sz w:val="24"/>
          <w:szCs w:val="24"/>
          <w:u w:val="single"/>
        </w:rPr>
        <w:t>Section 63</w:t>
      </w:r>
      <w:r w:rsidR="006745D7">
        <w:rPr>
          <w:sz w:val="24"/>
          <w:szCs w:val="24"/>
          <w:u w:val="single"/>
        </w:rPr>
        <w:t xml:space="preserve"> - Annual access amount</w:t>
      </w:r>
    </w:p>
    <w:p w14:paraId="09595ADE" w14:textId="77777777" w:rsidR="006745D7" w:rsidRDefault="006745D7" w:rsidP="006745D7">
      <w:pPr>
        <w:spacing w:line="240" w:lineRule="auto"/>
        <w:rPr>
          <w:sz w:val="24"/>
          <w:szCs w:val="24"/>
          <w:u w:val="single"/>
        </w:rPr>
      </w:pPr>
    </w:p>
    <w:p w14:paraId="756BCC1D" w14:textId="14E3A031" w:rsidR="006745D7" w:rsidRDefault="009D79A8" w:rsidP="006745D7">
      <w:pPr>
        <w:spacing w:line="240" w:lineRule="auto"/>
        <w:rPr>
          <w:sz w:val="24"/>
          <w:szCs w:val="24"/>
        </w:rPr>
      </w:pPr>
      <w:r>
        <w:rPr>
          <w:sz w:val="24"/>
          <w:szCs w:val="24"/>
        </w:rPr>
        <w:t>Section 6</w:t>
      </w:r>
      <w:r w:rsidR="006745D7">
        <w:rPr>
          <w:sz w:val="24"/>
          <w:szCs w:val="24"/>
        </w:rPr>
        <w:t>3 provides that t</w:t>
      </w:r>
      <w:r w:rsidR="006745D7" w:rsidRPr="006745D7">
        <w:rPr>
          <w:sz w:val="24"/>
          <w:szCs w:val="24"/>
        </w:rPr>
        <w:t xml:space="preserve">he annual access amount for EU high quality beef for export to the European Union in relation to a quota year is the weight of EU high quality beef that may, under </w:t>
      </w:r>
      <w:r w:rsidR="00F46416">
        <w:rPr>
          <w:sz w:val="24"/>
          <w:szCs w:val="24"/>
        </w:rPr>
        <w:t>Article</w:t>
      </w:r>
      <w:r w:rsidR="00F46416" w:rsidRPr="006745D7">
        <w:rPr>
          <w:sz w:val="24"/>
          <w:szCs w:val="24"/>
        </w:rPr>
        <w:t xml:space="preserve"> </w:t>
      </w:r>
      <w:r w:rsidR="006745D7" w:rsidRPr="006745D7">
        <w:rPr>
          <w:sz w:val="24"/>
          <w:szCs w:val="24"/>
        </w:rPr>
        <w:t>2(b) of the EU Beef and Buffalo Regulation</w:t>
      </w:r>
      <w:r w:rsidR="005E7248">
        <w:rPr>
          <w:sz w:val="24"/>
          <w:szCs w:val="24"/>
        </w:rPr>
        <w:t xml:space="preserve"> (detailed in section 6)</w:t>
      </w:r>
      <w:r w:rsidR="006745D7" w:rsidRPr="006745D7">
        <w:rPr>
          <w:sz w:val="24"/>
          <w:szCs w:val="24"/>
        </w:rPr>
        <w:t xml:space="preserve">, be exported from Australia to the European Union in the quota year at the </w:t>
      </w:r>
      <w:r w:rsidR="006745D7" w:rsidRPr="00D77DD1">
        <w:rPr>
          <w:i/>
          <w:sz w:val="24"/>
        </w:rPr>
        <w:t xml:space="preserve">ad valorem </w:t>
      </w:r>
      <w:r w:rsidR="006745D7" w:rsidRPr="006745D7">
        <w:rPr>
          <w:sz w:val="24"/>
          <w:szCs w:val="24"/>
        </w:rPr>
        <w:t>customs duty set out in Article 1(3) of that Regulation</w:t>
      </w:r>
      <w:r w:rsidR="003D5906">
        <w:rPr>
          <w:sz w:val="24"/>
          <w:szCs w:val="24"/>
        </w:rPr>
        <w:t xml:space="preserve"> (</w:t>
      </w:r>
      <w:r w:rsidR="003D5906">
        <w:rPr>
          <w:i/>
          <w:sz w:val="24"/>
          <w:szCs w:val="24"/>
        </w:rPr>
        <w:t>ad valorem</w:t>
      </w:r>
      <w:r w:rsidR="003D5906">
        <w:rPr>
          <w:sz w:val="24"/>
          <w:szCs w:val="24"/>
        </w:rPr>
        <w:t xml:space="preserve"> meaning ‘according to value’; it is the amount in proportion to the estimated value of the goods)</w:t>
      </w:r>
      <w:r w:rsidR="006745D7" w:rsidRPr="006745D7">
        <w:rPr>
          <w:sz w:val="24"/>
          <w:szCs w:val="24"/>
        </w:rPr>
        <w:t>.</w:t>
      </w:r>
    </w:p>
    <w:p w14:paraId="1ED6A2B5" w14:textId="77777777" w:rsidR="006745D7" w:rsidRDefault="006745D7" w:rsidP="006745D7">
      <w:pPr>
        <w:spacing w:line="240" w:lineRule="auto"/>
        <w:rPr>
          <w:sz w:val="24"/>
          <w:szCs w:val="24"/>
        </w:rPr>
      </w:pPr>
    </w:p>
    <w:p w14:paraId="0C7CD61B" w14:textId="7B853158" w:rsidR="006745D7" w:rsidRDefault="009D79A8" w:rsidP="00485178">
      <w:pPr>
        <w:keepNext/>
        <w:spacing w:line="240" w:lineRule="auto"/>
        <w:rPr>
          <w:sz w:val="24"/>
          <w:szCs w:val="24"/>
          <w:u w:val="single"/>
        </w:rPr>
      </w:pPr>
      <w:r>
        <w:rPr>
          <w:sz w:val="24"/>
          <w:szCs w:val="24"/>
          <w:u w:val="single"/>
        </w:rPr>
        <w:lastRenderedPageBreak/>
        <w:t>Section 6</w:t>
      </w:r>
      <w:r w:rsidR="006745D7">
        <w:rPr>
          <w:sz w:val="24"/>
          <w:szCs w:val="24"/>
          <w:u w:val="single"/>
        </w:rPr>
        <w:t>4 - Application and reclamation days</w:t>
      </w:r>
    </w:p>
    <w:p w14:paraId="2C2E76FE" w14:textId="77777777" w:rsidR="006745D7" w:rsidRDefault="006745D7" w:rsidP="00485178">
      <w:pPr>
        <w:keepNext/>
        <w:spacing w:line="240" w:lineRule="auto"/>
        <w:rPr>
          <w:sz w:val="24"/>
          <w:szCs w:val="24"/>
          <w:u w:val="single"/>
        </w:rPr>
      </w:pPr>
    </w:p>
    <w:p w14:paraId="35DCB2EA" w14:textId="339773D7" w:rsidR="006745D7" w:rsidRPr="006745D7" w:rsidRDefault="009D79A8" w:rsidP="006745D7">
      <w:pPr>
        <w:spacing w:line="240" w:lineRule="auto"/>
        <w:rPr>
          <w:sz w:val="24"/>
          <w:szCs w:val="24"/>
        </w:rPr>
      </w:pPr>
      <w:r>
        <w:rPr>
          <w:sz w:val="24"/>
          <w:szCs w:val="24"/>
        </w:rPr>
        <w:t>Subsection 6</w:t>
      </w:r>
      <w:r w:rsidR="006745D7">
        <w:rPr>
          <w:sz w:val="24"/>
          <w:szCs w:val="24"/>
        </w:rPr>
        <w:t>4(1) provides that t</w:t>
      </w:r>
      <w:r w:rsidR="006745D7" w:rsidRPr="006745D7">
        <w:rPr>
          <w:sz w:val="24"/>
          <w:szCs w:val="24"/>
        </w:rPr>
        <w:t>he annual application day</w:t>
      </w:r>
      <w:r w:rsidR="005E7248">
        <w:rPr>
          <w:sz w:val="24"/>
          <w:szCs w:val="24"/>
        </w:rPr>
        <w:t xml:space="preserve"> (defined in section 27)</w:t>
      </w:r>
      <w:r w:rsidR="006745D7" w:rsidRPr="006745D7">
        <w:rPr>
          <w:sz w:val="24"/>
          <w:szCs w:val="24"/>
        </w:rPr>
        <w:t xml:space="preserve"> for EU high quality beef for export to the European Union for a quota year is 16 May in the </w:t>
      </w:r>
      <w:r w:rsidR="0033789D">
        <w:rPr>
          <w:sz w:val="24"/>
          <w:szCs w:val="24"/>
        </w:rPr>
        <w:t>calendar year in which the</w:t>
      </w:r>
      <w:r w:rsidR="006745D7" w:rsidRPr="006745D7">
        <w:rPr>
          <w:sz w:val="24"/>
          <w:szCs w:val="24"/>
        </w:rPr>
        <w:t xml:space="preserve"> quota year</w:t>
      </w:r>
      <w:r w:rsidR="0033789D">
        <w:rPr>
          <w:sz w:val="24"/>
          <w:szCs w:val="24"/>
        </w:rPr>
        <w:t xml:space="preserve"> starts</w:t>
      </w:r>
      <w:r w:rsidR="006745D7" w:rsidRPr="006745D7">
        <w:rPr>
          <w:sz w:val="24"/>
          <w:szCs w:val="24"/>
        </w:rPr>
        <w:t>.</w:t>
      </w:r>
    </w:p>
    <w:p w14:paraId="07F0CB29" w14:textId="77777777" w:rsidR="006745D7" w:rsidRDefault="006745D7" w:rsidP="006745D7">
      <w:pPr>
        <w:spacing w:line="240" w:lineRule="auto"/>
        <w:rPr>
          <w:sz w:val="24"/>
          <w:szCs w:val="24"/>
        </w:rPr>
      </w:pPr>
    </w:p>
    <w:p w14:paraId="1A446CED" w14:textId="4800C371" w:rsidR="006745D7" w:rsidRDefault="009D79A8" w:rsidP="006745D7">
      <w:pPr>
        <w:spacing w:line="240" w:lineRule="auto"/>
        <w:rPr>
          <w:sz w:val="24"/>
          <w:szCs w:val="24"/>
        </w:rPr>
      </w:pPr>
      <w:r>
        <w:rPr>
          <w:sz w:val="24"/>
          <w:szCs w:val="24"/>
        </w:rPr>
        <w:t>Subsection 6</w:t>
      </w:r>
      <w:r w:rsidR="006745D7">
        <w:rPr>
          <w:sz w:val="24"/>
          <w:szCs w:val="24"/>
        </w:rPr>
        <w:t>4(2) provides that t</w:t>
      </w:r>
      <w:r w:rsidR="006745D7" w:rsidRPr="006745D7">
        <w:rPr>
          <w:sz w:val="24"/>
          <w:szCs w:val="24"/>
        </w:rPr>
        <w:t>he reclamation day</w:t>
      </w:r>
      <w:r w:rsidR="005E7248">
        <w:rPr>
          <w:sz w:val="24"/>
          <w:szCs w:val="24"/>
        </w:rPr>
        <w:t xml:space="preserve"> (defined in section 27)</w:t>
      </w:r>
      <w:r w:rsidR="006745D7" w:rsidRPr="006745D7">
        <w:rPr>
          <w:sz w:val="24"/>
          <w:szCs w:val="24"/>
        </w:rPr>
        <w:t xml:space="preserve"> for EU high quality beef for export to the European Union for a quota year is 15 February in the quota year.</w:t>
      </w:r>
    </w:p>
    <w:p w14:paraId="709495C7" w14:textId="77777777" w:rsidR="006745D7" w:rsidRDefault="006745D7" w:rsidP="006745D7">
      <w:pPr>
        <w:spacing w:line="240" w:lineRule="auto"/>
        <w:rPr>
          <w:sz w:val="24"/>
          <w:szCs w:val="24"/>
        </w:rPr>
      </w:pPr>
    </w:p>
    <w:p w14:paraId="0F42F3A6" w14:textId="6056A55C" w:rsidR="006745D7" w:rsidRDefault="009D79A8" w:rsidP="006745D7">
      <w:pPr>
        <w:spacing w:line="240" w:lineRule="auto"/>
        <w:rPr>
          <w:sz w:val="24"/>
          <w:szCs w:val="24"/>
          <w:u w:val="single"/>
        </w:rPr>
      </w:pPr>
      <w:r>
        <w:rPr>
          <w:sz w:val="24"/>
          <w:szCs w:val="24"/>
          <w:u w:val="single"/>
        </w:rPr>
        <w:t>Section 6</w:t>
      </w:r>
      <w:r w:rsidR="00E702BE">
        <w:rPr>
          <w:sz w:val="24"/>
          <w:szCs w:val="24"/>
          <w:u w:val="single"/>
        </w:rPr>
        <w:t>5 - Eligible person</w:t>
      </w:r>
    </w:p>
    <w:p w14:paraId="4C3D2ED3" w14:textId="77777777" w:rsidR="00E702BE" w:rsidRDefault="00E702BE" w:rsidP="006745D7">
      <w:pPr>
        <w:spacing w:line="240" w:lineRule="auto"/>
        <w:rPr>
          <w:sz w:val="24"/>
          <w:szCs w:val="24"/>
          <w:u w:val="single"/>
        </w:rPr>
      </w:pPr>
    </w:p>
    <w:p w14:paraId="33D80CA1" w14:textId="7712960E" w:rsidR="00E702BE" w:rsidRDefault="009D79A8" w:rsidP="00E702BE">
      <w:pPr>
        <w:spacing w:line="240" w:lineRule="auto"/>
        <w:rPr>
          <w:sz w:val="24"/>
          <w:szCs w:val="24"/>
        </w:rPr>
      </w:pPr>
      <w:r>
        <w:rPr>
          <w:sz w:val="24"/>
          <w:szCs w:val="24"/>
        </w:rPr>
        <w:t>Section 6</w:t>
      </w:r>
      <w:r w:rsidR="00E702BE">
        <w:rPr>
          <w:sz w:val="24"/>
          <w:szCs w:val="24"/>
        </w:rPr>
        <w:t>5 provides that a</w:t>
      </w:r>
      <w:r w:rsidR="00E702BE" w:rsidRPr="00E702BE">
        <w:rPr>
          <w:sz w:val="24"/>
          <w:szCs w:val="24"/>
        </w:rPr>
        <w:t xml:space="preserve">n eligible person for EU high quality beef for export to the European Union </w:t>
      </w:r>
      <w:r w:rsidR="00477396">
        <w:rPr>
          <w:sz w:val="24"/>
          <w:szCs w:val="24"/>
        </w:rPr>
        <w:t>is a person who holds a licence</w:t>
      </w:r>
      <w:r w:rsidR="00443C2E">
        <w:rPr>
          <w:sz w:val="24"/>
          <w:szCs w:val="24"/>
        </w:rPr>
        <w:t xml:space="preserve"> granted under</w:t>
      </w:r>
      <w:r w:rsidR="00E702BE" w:rsidRPr="00E702BE">
        <w:rPr>
          <w:sz w:val="24"/>
          <w:szCs w:val="24"/>
        </w:rPr>
        <w:t xml:space="preserve"> section 10 of the </w:t>
      </w:r>
      <w:r w:rsidR="00E702BE" w:rsidRPr="00E702BE">
        <w:rPr>
          <w:i/>
          <w:sz w:val="24"/>
          <w:szCs w:val="24"/>
        </w:rPr>
        <w:t>Australian Meat and Live-stock Industry Act 1997</w:t>
      </w:r>
      <w:r w:rsidR="00E702BE" w:rsidRPr="00E702BE">
        <w:rPr>
          <w:sz w:val="24"/>
          <w:szCs w:val="24"/>
        </w:rPr>
        <w:t xml:space="preserve"> allowing the holder to export EU high quality beef to the European Union.</w:t>
      </w:r>
    </w:p>
    <w:p w14:paraId="641B9E37" w14:textId="77777777" w:rsidR="00E702BE" w:rsidRDefault="00E702BE" w:rsidP="00E702BE">
      <w:pPr>
        <w:spacing w:line="240" w:lineRule="auto"/>
        <w:rPr>
          <w:sz w:val="24"/>
          <w:szCs w:val="24"/>
        </w:rPr>
      </w:pPr>
    </w:p>
    <w:p w14:paraId="542D4B56" w14:textId="1F139CE9" w:rsidR="000B759A" w:rsidRDefault="009D79A8" w:rsidP="000B759A">
      <w:pPr>
        <w:spacing w:line="240" w:lineRule="auto"/>
        <w:rPr>
          <w:sz w:val="24"/>
          <w:szCs w:val="24"/>
          <w:u w:val="single"/>
        </w:rPr>
      </w:pPr>
      <w:r>
        <w:rPr>
          <w:sz w:val="24"/>
          <w:szCs w:val="24"/>
          <w:u w:val="single"/>
        </w:rPr>
        <w:t>Section 6</w:t>
      </w:r>
      <w:r w:rsidR="000B759A">
        <w:rPr>
          <w:sz w:val="24"/>
          <w:szCs w:val="24"/>
          <w:u w:val="single"/>
        </w:rPr>
        <w:t>6 - Eligible past exports</w:t>
      </w:r>
    </w:p>
    <w:p w14:paraId="68AFFD0E" w14:textId="77777777" w:rsidR="000B759A" w:rsidRDefault="000B759A" w:rsidP="000B759A">
      <w:pPr>
        <w:spacing w:line="240" w:lineRule="auto"/>
        <w:rPr>
          <w:sz w:val="24"/>
          <w:szCs w:val="24"/>
          <w:u w:val="single"/>
        </w:rPr>
      </w:pPr>
    </w:p>
    <w:p w14:paraId="095CADF0" w14:textId="4E775A01" w:rsidR="005E7248" w:rsidRDefault="009D79A8" w:rsidP="000B759A">
      <w:pPr>
        <w:spacing w:line="240" w:lineRule="auto"/>
        <w:rPr>
          <w:sz w:val="24"/>
          <w:szCs w:val="24"/>
        </w:rPr>
      </w:pPr>
      <w:r>
        <w:rPr>
          <w:sz w:val="24"/>
          <w:szCs w:val="24"/>
        </w:rPr>
        <w:t>Section 6</w:t>
      </w:r>
      <w:r w:rsidR="000B759A">
        <w:rPr>
          <w:sz w:val="24"/>
          <w:szCs w:val="24"/>
        </w:rPr>
        <w:t>6 provides that a</w:t>
      </w:r>
      <w:r w:rsidR="000B759A" w:rsidRPr="000B759A">
        <w:rPr>
          <w:sz w:val="24"/>
          <w:szCs w:val="24"/>
        </w:rPr>
        <w:t xml:space="preserve"> consignment is an eligible past export </w:t>
      </w:r>
      <w:r w:rsidR="0033789D">
        <w:rPr>
          <w:sz w:val="24"/>
          <w:szCs w:val="24"/>
        </w:rPr>
        <w:t>fo</w:t>
      </w:r>
      <w:r w:rsidR="004D7ED8">
        <w:rPr>
          <w:sz w:val="24"/>
          <w:szCs w:val="24"/>
        </w:rPr>
        <w:t>r</w:t>
      </w:r>
      <w:r w:rsidR="0033789D">
        <w:rPr>
          <w:sz w:val="24"/>
          <w:szCs w:val="24"/>
        </w:rPr>
        <w:t xml:space="preserve"> EU high quality beef exported to the European Union </w:t>
      </w:r>
      <w:r w:rsidR="000B759A" w:rsidRPr="000B759A">
        <w:rPr>
          <w:sz w:val="24"/>
          <w:szCs w:val="24"/>
        </w:rPr>
        <w:t>in relation to a quota year if</w:t>
      </w:r>
      <w:r w:rsidR="005E7248">
        <w:rPr>
          <w:sz w:val="24"/>
          <w:szCs w:val="24"/>
        </w:rPr>
        <w:t>:</w:t>
      </w:r>
    </w:p>
    <w:p w14:paraId="1BDC76DA" w14:textId="53C4BD84" w:rsidR="00E67F54" w:rsidRDefault="0033789D" w:rsidP="000F6D46">
      <w:pPr>
        <w:pStyle w:val="ListParagraph"/>
        <w:numPr>
          <w:ilvl w:val="0"/>
          <w:numId w:val="48"/>
        </w:numPr>
        <w:spacing w:line="240" w:lineRule="auto"/>
        <w:rPr>
          <w:sz w:val="24"/>
          <w:szCs w:val="24"/>
        </w:rPr>
      </w:pPr>
      <w:r w:rsidRPr="005E7248">
        <w:rPr>
          <w:sz w:val="24"/>
          <w:szCs w:val="24"/>
        </w:rPr>
        <w:t>it is a consignment of EU high quality beef</w:t>
      </w:r>
      <w:r w:rsidR="00E67F54">
        <w:rPr>
          <w:sz w:val="24"/>
          <w:szCs w:val="24"/>
        </w:rPr>
        <w:t xml:space="preserve"> (defined in section 60)</w:t>
      </w:r>
      <w:r w:rsidRPr="005E7248">
        <w:rPr>
          <w:sz w:val="24"/>
          <w:szCs w:val="24"/>
        </w:rPr>
        <w:t xml:space="preserve"> exported to the European Union</w:t>
      </w:r>
      <w:r w:rsidR="00E67F54">
        <w:rPr>
          <w:sz w:val="24"/>
          <w:szCs w:val="24"/>
        </w:rPr>
        <w:t>;</w:t>
      </w:r>
      <w:r w:rsidRPr="005E7248">
        <w:rPr>
          <w:sz w:val="24"/>
          <w:szCs w:val="24"/>
        </w:rPr>
        <w:t xml:space="preserve"> and </w:t>
      </w:r>
    </w:p>
    <w:p w14:paraId="709124EF" w14:textId="6881EBDD" w:rsidR="00E67F54" w:rsidRDefault="000B759A" w:rsidP="000F6D46">
      <w:pPr>
        <w:pStyle w:val="ListParagraph"/>
        <w:numPr>
          <w:ilvl w:val="0"/>
          <w:numId w:val="48"/>
        </w:numPr>
        <w:spacing w:line="240" w:lineRule="auto"/>
        <w:rPr>
          <w:sz w:val="24"/>
          <w:szCs w:val="24"/>
        </w:rPr>
      </w:pPr>
      <w:proofErr w:type="gramStart"/>
      <w:r w:rsidRPr="005E7248">
        <w:rPr>
          <w:sz w:val="24"/>
          <w:szCs w:val="24"/>
        </w:rPr>
        <w:t>a</w:t>
      </w:r>
      <w:proofErr w:type="gramEnd"/>
      <w:r w:rsidRPr="005E7248">
        <w:rPr>
          <w:sz w:val="24"/>
          <w:szCs w:val="24"/>
        </w:rPr>
        <w:t xml:space="preserve"> tariff rate quota certificate was issued in relation to the consignment</w:t>
      </w:r>
      <w:r w:rsidR="00E67F54">
        <w:rPr>
          <w:sz w:val="24"/>
          <w:szCs w:val="24"/>
        </w:rPr>
        <w:t xml:space="preserve"> in</w:t>
      </w:r>
      <w:r w:rsidRPr="005E7248">
        <w:rPr>
          <w:sz w:val="24"/>
          <w:szCs w:val="24"/>
        </w:rPr>
        <w:t xml:space="preserve"> the period beginning on the 1 May that is 38 months before the start of the quota year and ending on 30 April of the calendar year in which the quota year starts.</w:t>
      </w:r>
      <w:r w:rsidR="00E67F54">
        <w:rPr>
          <w:sz w:val="24"/>
          <w:szCs w:val="24"/>
        </w:rPr>
        <w:t xml:space="preserve"> </w:t>
      </w:r>
    </w:p>
    <w:p w14:paraId="1FC1376A" w14:textId="7A0938B1" w:rsidR="00FB7F4E" w:rsidRPr="00FB7F4E" w:rsidRDefault="00FB7F4E" w:rsidP="00FB7F4E">
      <w:pPr>
        <w:spacing w:line="240" w:lineRule="auto"/>
        <w:rPr>
          <w:sz w:val="24"/>
          <w:szCs w:val="24"/>
        </w:rPr>
      </w:pPr>
      <w:r>
        <w:rPr>
          <w:sz w:val="24"/>
          <w:szCs w:val="24"/>
        </w:rPr>
        <w:t>For example, in calculating the 2020-2021 quota year entitlements, the eligible past export range is 1 May 2017 to 30 April 2020.</w:t>
      </w:r>
    </w:p>
    <w:p w14:paraId="3BAEA036" w14:textId="77777777" w:rsidR="006745D7" w:rsidRDefault="006745D7" w:rsidP="006745D7">
      <w:pPr>
        <w:spacing w:line="240" w:lineRule="auto"/>
        <w:rPr>
          <w:sz w:val="24"/>
          <w:szCs w:val="24"/>
        </w:rPr>
      </w:pPr>
    </w:p>
    <w:p w14:paraId="0E5B1FD7" w14:textId="3DA75309" w:rsidR="00334C51" w:rsidRDefault="009D79A8" w:rsidP="00334C51">
      <w:pPr>
        <w:spacing w:line="240" w:lineRule="auto"/>
        <w:rPr>
          <w:sz w:val="24"/>
          <w:szCs w:val="24"/>
          <w:u w:val="single"/>
        </w:rPr>
      </w:pPr>
      <w:r>
        <w:rPr>
          <w:sz w:val="24"/>
          <w:szCs w:val="24"/>
          <w:u w:val="single"/>
        </w:rPr>
        <w:t>Section 6</w:t>
      </w:r>
      <w:r w:rsidR="00334C51">
        <w:rPr>
          <w:sz w:val="24"/>
          <w:szCs w:val="24"/>
          <w:u w:val="single"/>
        </w:rPr>
        <w:t>7 - Minimum quota allocation</w:t>
      </w:r>
    </w:p>
    <w:p w14:paraId="58E12E94" w14:textId="77777777" w:rsidR="00334C51" w:rsidRDefault="00334C51" w:rsidP="00334C51">
      <w:pPr>
        <w:spacing w:line="240" w:lineRule="auto"/>
        <w:rPr>
          <w:sz w:val="24"/>
          <w:szCs w:val="24"/>
          <w:u w:val="single"/>
        </w:rPr>
      </w:pPr>
    </w:p>
    <w:p w14:paraId="60DF09CA" w14:textId="57295131" w:rsidR="00334C51" w:rsidRDefault="009D79A8" w:rsidP="00334C51">
      <w:pPr>
        <w:spacing w:line="240" w:lineRule="auto"/>
        <w:rPr>
          <w:sz w:val="24"/>
          <w:szCs w:val="24"/>
        </w:rPr>
      </w:pPr>
      <w:r>
        <w:rPr>
          <w:sz w:val="24"/>
          <w:szCs w:val="24"/>
        </w:rPr>
        <w:t>Section 6</w:t>
      </w:r>
      <w:r w:rsidR="00334C51">
        <w:rPr>
          <w:sz w:val="24"/>
          <w:szCs w:val="24"/>
        </w:rPr>
        <w:t>7 provides that t</w:t>
      </w:r>
      <w:r w:rsidR="00334C51" w:rsidRPr="00334C51">
        <w:rPr>
          <w:sz w:val="24"/>
          <w:szCs w:val="24"/>
        </w:rPr>
        <w:t>he minimum quota allocation for EU high quality beef for export to the European Union in relation to a quota year is 1 tonne.</w:t>
      </w:r>
    </w:p>
    <w:p w14:paraId="2C31C6F3" w14:textId="77777777" w:rsidR="00334C51" w:rsidRDefault="00334C51" w:rsidP="00334C51">
      <w:pPr>
        <w:spacing w:line="240" w:lineRule="auto"/>
        <w:rPr>
          <w:sz w:val="24"/>
          <w:szCs w:val="24"/>
        </w:rPr>
      </w:pPr>
    </w:p>
    <w:p w14:paraId="447BD3FE" w14:textId="671CA53B" w:rsidR="00996112" w:rsidRDefault="009D79A8" w:rsidP="00996112">
      <w:pPr>
        <w:spacing w:line="240" w:lineRule="auto"/>
        <w:rPr>
          <w:sz w:val="24"/>
          <w:szCs w:val="24"/>
          <w:u w:val="single"/>
        </w:rPr>
      </w:pPr>
      <w:r>
        <w:rPr>
          <w:sz w:val="24"/>
          <w:szCs w:val="24"/>
          <w:u w:val="single"/>
        </w:rPr>
        <w:t>Section 6</w:t>
      </w:r>
      <w:r w:rsidR="00996112">
        <w:rPr>
          <w:sz w:val="24"/>
          <w:szCs w:val="24"/>
          <w:u w:val="single"/>
        </w:rPr>
        <w:t>8 - Penalties</w:t>
      </w:r>
    </w:p>
    <w:p w14:paraId="5D8081AD" w14:textId="77777777" w:rsidR="00996112" w:rsidRDefault="00996112" w:rsidP="00996112">
      <w:pPr>
        <w:spacing w:line="240" w:lineRule="auto"/>
        <w:rPr>
          <w:sz w:val="24"/>
          <w:szCs w:val="24"/>
          <w:u w:val="single"/>
        </w:rPr>
      </w:pPr>
    </w:p>
    <w:p w14:paraId="0CAA3138" w14:textId="50FBBFDE" w:rsidR="00334C51" w:rsidRPr="00996112" w:rsidRDefault="009D79A8" w:rsidP="00996112">
      <w:pPr>
        <w:spacing w:line="240" w:lineRule="auto"/>
        <w:rPr>
          <w:sz w:val="24"/>
          <w:szCs w:val="24"/>
        </w:rPr>
      </w:pPr>
      <w:r>
        <w:rPr>
          <w:sz w:val="24"/>
          <w:szCs w:val="24"/>
        </w:rPr>
        <w:t>Subsection 6</w:t>
      </w:r>
      <w:r w:rsidR="00996112" w:rsidRPr="00996112">
        <w:rPr>
          <w:sz w:val="24"/>
          <w:szCs w:val="24"/>
        </w:rPr>
        <w:t>8(1) provides that the required usage percentage for EU high quality beef for export to the European Union is 90 per cent.</w:t>
      </w:r>
      <w:r w:rsidR="00FE44F7">
        <w:rPr>
          <w:sz w:val="24"/>
          <w:szCs w:val="24"/>
        </w:rPr>
        <w:t xml:space="preserve">  </w:t>
      </w:r>
    </w:p>
    <w:p w14:paraId="55033F10" w14:textId="77777777" w:rsidR="00996112" w:rsidRPr="00996112" w:rsidRDefault="00996112" w:rsidP="00996112">
      <w:pPr>
        <w:spacing w:line="240" w:lineRule="auto"/>
        <w:rPr>
          <w:sz w:val="24"/>
          <w:szCs w:val="24"/>
        </w:rPr>
      </w:pPr>
    </w:p>
    <w:p w14:paraId="17342DE5" w14:textId="64FC9604" w:rsidR="00996112" w:rsidRPr="00996112" w:rsidRDefault="009D79A8" w:rsidP="00996112">
      <w:pPr>
        <w:spacing w:line="240" w:lineRule="auto"/>
        <w:rPr>
          <w:sz w:val="24"/>
          <w:szCs w:val="24"/>
        </w:rPr>
      </w:pPr>
      <w:r>
        <w:rPr>
          <w:sz w:val="24"/>
          <w:szCs w:val="24"/>
        </w:rPr>
        <w:t>Subsection 6</w:t>
      </w:r>
      <w:r w:rsidR="00996112" w:rsidRPr="00996112">
        <w:rPr>
          <w:sz w:val="24"/>
          <w:szCs w:val="24"/>
        </w:rPr>
        <w:t>8(2) provides that the penalty individual threshold for EU high quality beef for export to the European Union in relation to a quota year is 10 tonnes.</w:t>
      </w:r>
    </w:p>
    <w:p w14:paraId="702E4DE7" w14:textId="77777777" w:rsidR="00996112" w:rsidRPr="00996112" w:rsidRDefault="00996112" w:rsidP="00996112">
      <w:pPr>
        <w:spacing w:line="240" w:lineRule="auto"/>
        <w:rPr>
          <w:sz w:val="24"/>
          <w:szCs w:val="24"/>
        </w:rPr>
      </w:pPr>
    </w:p>
    <w:p w14:paraId="5B8679EB" w14:textId="491406A5" w:rsidR="00996112" w:rsidRDefault="009D79A8" w:rsidP="00996112">
      <w:pPr>
        <w:spacing w:line="240" w:lineRule="auto"/>
        <w:rPr>
          <w:sz w:val="24"/>
          <w:szCs w:val="24"/>
        </w:rPr>
      </w:pPr>
      <w:r>
        <w:rPr>
          <w:sz w:val="24"/>
          <w:szCs w:val="24"/>
        </w:rPr>
        <w:t>Subsection 6</w:t>
      </w:r>
      <w:r w:rsidR="00996112" w:rsidRPr="00996112">
        <w:rPr>
          <w:sz w:val="24"/>
          <w:szCs w:val="24"/>
        </w:rPr>
        <w:t xml:space="preserve">8(3) provides that the penalty pool threshold for EU high quality beef for export to the European Union in relation to a quota year is </w:t>
      </w:r>
      <w:r w:rsidR="004D7ED8">
        <w:rPr>
          <w:sz w:val="24"/>
          <w:szCs w:val="24"/>
        </w:rPr>
        <w:t>3</w:t>
      </w:r>
      <w:r w:rsidR="00996112" w:rsidRPr="00996112">
        <w:rPr>
          <w:sz w:val="24"/>
          <w:szCs w:val="24"/>
        </w:rPr>
        <w:t>00 tonnes.</w:t>
      </w:r>
    </w:p>
    <w:p w14:paraId="2F1058CF" w14:textId="77777777" w:rsidR="00FE44F7" w:rsidRDefault="00FE44F7" w:rsidP="00996112">
      <w:pPr>
        <w:spacing w:line="240" w:lineRule="auto"/>
        <w:rPr>
          <w:sz w:val="24"/>
          <w:szCs w:val="24"/>
        </w:rPr>
      </w:pPr>
    </w:p>
    <w:p w14:paraId="212BCF2C" w14:textId="31FA429A" w:rsidR="00FE44F7" w:rsidRPr="00996112" w:rsidRDefault="00FE44F7" w:rsidP="00996112">
      <w:pPr>
        <w:spacing w:line="240" w:lineRule="auto"/>
        <w:rPr>
          <w:sz w:val="24"/>
          <w:szCs w:val="24"/>
        </w:rPr>
      </w:pPr>
      <w:r>
        <w:rPr>
          <w:sz w:val="24"/>
          <w:szCs w:val="24"/>
        </w:rPr>
        <w:t>Each of the values in section 68 relate to the application of penalties in section 33.</w:t>
      </w:r>
    </w:p>
    <w:p w14:paraId="7EAAB196" w14:textId="77777777" w:rsidR="006745D7" w:rsidRPr="00996112" w:rsidRDefault="006745D7" w:rsidP="006745D7">
      <w:pPr>
        <w:spacing w:line="240" w:lineRule="auto"/>
        <w:rPr>
          <w:sz w:val="24"/>
          <w:szCs w:val="24"/>
        </w:rPr>
      </w:pPr>
    </w:p>
    <w:p w14:paraId="22D43F7C" w14:textId="68D9D3DA" w:rsidR="00103409" w:rsidRDefault="009D79A8" w:rsidP="00485178">
      <w:pPr>
        <w:keepNext/>
        <w:spacing w:line="240" w:lineRule="auto"/>
        <w:rPr>
          <w:sz w:val="24"/>
          <w:szCs w:val="24"/>
          <w:u w:val="single"/>
        </w:rPr>
      </w:pPr>
      <w:r>
        <w:rPr>
          <w:sz w:val="24"/>
          <w:szCs w:val="24"/>
          <w:u w:val="single"/>
        </w:rPr>
        <w:lastRenderedPageBreak/>
        <w:t>Section 69</w:t>
      </w:r>
      <w:r w:rsidR="00103409">
        <w:rPr>
          <w:sz w:val="24"/>
          <w:szCs w:val="24"/>
          <w:u w:val="single"/>
        </w:rPr>
        <w:t xml:space="preserve"> - Maximum transfer percentage</w:t>
      </w:r>
    </w:p>
    <w:p w14:paraId="43943B68" w14:textId="77777777" w:rsidR="00103409" w:rsidRDefault="00103409" w:rsidP="00485178">
      <w:pPr>
        <w:keepNext/>
        <w:spacing w:line="240" w:lineRule="auto"/>
        <w:rPr>
          <w:sz w:val="24"/>
          <w:szCs w:val="24"/>
          <w:u w:val="single"/>
        </w:rPr>
      </w:pPr>
    </w:p>
    <w:p w14:paraId="5B101A61" w14:textId="4FD7E7C6" w:rsidR="00103409" w:rsidRDefault="009D79A8" w:rsidP="00103409">
      <w:pPr>
        <w:spacing w:line="240" w:lineRule="auto"/>
        <w:rPr>
          <w:sz w:val="24"/>
          <w:szCs w:val="24"/>
        </w:rPr>
      </w:pPr>
      <w:r>
        <w:rPr>
          <w:sz w:val="24"/>
          <w:szCs w:val="24"/>
        </w:rPr>
        <w:t>Section 69</w:t>
      </w:r>
      <w:r w:rsidR="00103409" w:rsidRPr="00996112">
        <w:rPr>
          <w:sz w:val="24"/>
          <w:szCs w:val="24"/>
        </w:rPr>
        <w:t xml:space="preserve"> provides that </w:t>
      </w:r>
      <w:r w:rsidR="00103409">
        <w:rPr>
          <w:sz w:val="24"/>
          <w:szCs w:val="24"/>
        </w:rPr>
        <w:t>t</w:t>
      </w:r>
      <w:r w:rsidR="00103409" w:rsidRPr="00103409">
        <w:rPr>
          <w:sz w:val="24"/>
          <w:szCs w:val="24"/>
        </w:rPr>
        <w:t>he maximum transfer percentage for EU high quality beef for export to th</w:t>
      </w:r>
      <w:r w:rsidR="00FE44F7">
        <w:rPr>
          <w:sz w:val="24"/>
          <w:szCs w:val="24"/>
        </w:rPr>
        <w:t xml:space="preserve">e European Union is 50 per cent, relating to eligibility requirements </w:t>
      </w:r>
      <w:r w:rsidR="003C4779">
        <w:rPr>
          <w:sz w:val="24"/>
          <w:szCs w:val="24"/>
        </w:rPr>
        <w:t xml:space="preserve">for allocation of quota as the beginning of quota year </w:t>
      </w:r>
      <w:r w:rsidR="00FE44F7">
        <w:rPr>
          <w:sz w:val="24"/>
          <w:szCs w:val="24"/>
        </w:rPr>
        <w:t>in section 29.</w:t>
      </w:r>
    </w:p>
    <w:p w14:paraId="3A047642" w14:textId="77777777" w:rsidR="00103409" w:rsidRDefault="00103409" w:rsidP="00103409">
      <w:pPr>
        <w:spacing w:line="240" w:lineRule="auto"/>
        <w:rPr>
          <w:sz w:val="24"/>
          <w:szCs w:val="24"/>
        </w:rPr>
      </w:pPr>
    </w:p>
    <w:p w14:paraId="77E2CCCA" w14:textId="28E37497" w:rsidR="005A5CB5" w:rsidRDefault="009D79A8" w:rsidP="005A5CB5">
      <w:pPr>
        <w:spacing w:line="240" w:lineRule="auto"/>
        <w:rPr>
          <w:sz w:val="24"/>
          <w:szCs w:val="24"/>
          <w:u w:val="single"/>
        </w:rPr>
      </w:pPr>
      <w:r>
        <w:rPr>
          <w:sz w:val="24"/>
          <w:szCs w:val="24"/>
          <w:u w:val="single"/>
        </w:rPr>
        <w:t>Section 70</w:t>
      </w:r>
      <w:r w:rsidR="005A5CB5">
        <w:rPr>
          <w:sz w:val="24"/>
          <w:szCs w:val="24"/>
          <w:u w:val="single"/>
        </w:rPr>
        <w:t xml:space="preserve"> - New entrant amounts</w:t>
      </w:r>
    </w:p>
    <w:p w14:paraId="52D75D9D" w14:textId="77777777" w:rsidR="005A5CB5" w:rsidRDefault="005A5CB5" w:rsidP="005A5CB5">
      <w:pPr>
        <w:spacing w:line="240" w:lineRule="auto"/>
        <w:rPr>
          <w:sz w:val="24"/>
          <w:szCs w:val="24"/>
          <w:u w:val="single"/>
        </w:rPr>
      </w:pPr>
    </w:p>
    <w:p w14:paraId="491330A8" w14:textId="38FCA0A5" w:rsidR="005A5CB5" w:rsidRPr="005A5CB5" w:rsidRDefault="005A5CB5" w:rsidP="005A5CB5">
      <w:pPr>
        <w:spacing w:line="240" w:lineRule="auto"/>
        <w:rPr>
          <w:sz w:val="24"/>
          <w:szCs w:val="24"/>
        </w:rPr>
      </w:pPr>
      <w:r w:rsidRPr="00996112">
        <w:rPr>
          <w:sz w:val="24"/>
          <w:szCs w:val="24"/>
        </w:rPr>
        <w:t>S</w:t>
      </w:r>
      <w:r>
        <w:rPr>
          <w:sz w:val="24"/>
          <w:szCs w:val="24"/>
        </w:rPr>
        <w:t>ubs</w:t>
      </w:r>
      <w:r w:rsidR="009D79A8">
        <w:rPr>
          <w:sz w:val="24"/>
          <w:szCs w:val="24"/>
        </w:rPr>
        <w:t>ection 70</w:t>
      </w:r>
      <w:r>
        <w:rPr>
          <w:sz w:val="24"/>
          <w:szCs w:val="24"/>
        </w:rPr>
        <w:t>(1)</w:t>
      </w:r>
      <w:r w:rsidRPr="00996112">
        <w:rPr>
          <w:sz w:val="24"/>
          <w:szCs w:val="24"/>
        </w:rPr>
        <w:t xml:space="preserve"> provides that </w:t>
      </w:r>
      <w:r>
        <w:rPr>
          <w:sz w:val="24"/>
          <w:szCs w:val="24"/>
        </w:rPr>
        <w:t>t</w:t>
      </w:r>
      <w:r w:rsidRPr="005A5CB5">
        <w:rPr>
          <w:sz w:val="24"/>
          <w:szCs w:val="24"/>
        </w:rPr>
        <w:t>he new entrant access amount for EU high quality beef for export to the European Union in relation to a quota year is 500 tonnes.</w:t>
      </w:r>
    </w:p>
    <w:p w14:paraId="7DD75635" w14:textId="77777777" w:rsidR="005A5CB5" w:rsidRDefault="005A5CB5" w:rsidP="005A5CB5">
      <w:pPr>
        <w:spacing w:line="240" w:lineRule="auto"/>
        <w:rPr>
          <w:sz w:val="24"/>
          <w:szCs w:val="24"/>
        </w:rPr>
      </w:pPr>
    </w:p>
    <w:p w14:paraId="52869CF4" w14:textId="4EABA0F9" w:rsidR="005A5CB5" w:rsidRPr="005A5CB5" w:rsidRDefault="005A5CB5" w:rsidP="005A5CB5">
      <w:pPr>
        <w:spacing w:line="240" w:lineRule="auto"/>
        <w:rPr>
          <w:sz w:val="24"/>
          <w:szCs w:val="24"/>
        </w:rPr>
      </w:pPr>
      <w:r w:rsidRPr="00996112">
        <w:rPr>
          <w:sz w:val="24"/>
          <w:szCs w:val="24"/>
        </w:rPr>
        <w:t>S</w:t>
      </w:r>
      <w:r>
        <w:rPr>
          <w:sz w:val="24"/>
          <w:szCs w:val="24"/>
        </w:rPr>
        <w:t>ubs</w:t>
      </w:r>
      <w:r w:rsidR="009D79A8">
        <w:rPr>
          <w:sz w:val="24"/>
          <w:szCs w:val="24"/>
        </w:rPr>
        <w:t>ection 70</w:t>
      </w:r>
      <w:r>
        <w:rPr>
          <w:sz w:val="24"/>
          <w:szCs w:val="24"/>
        </w:rPr>
        <w:t>(2)</w:t>
      </w:r>
      <w:r w:rsidRPr="00996112">
        <w:rPr>
          <w:sz w:val="24"/>
          <w:szCs w:val="24"/>
        </w:rPr>
        <w:t xml:space="preserve"> provides that </w:t>
      </w:r>
      <w:r>
        <w:rPr>
          <w:sz w:val="24"/>
          <w:szCs w:val="24"/>
        </w:rPr>
        <w:t>t</w:t>
      </w:r>
      <w:r w:rsidRPr="005A5CB5">
        <w:rPr>
          <w:sz w:val="24"/>
          <w:szCs w:val="24"/>
        </w:rPr>
        <w:t xml:space="preserve">he new entrant access cap for EU high quality beef for export to the European Union in </w:t>
      </w:r>
      <w:r w:rsidR="00DC7281">
        <w:rPr>
          <w:sz w:val="24"/>
          <w:szCs w:val="24"/>
        </w:rPr>
        <w:t xml:space="preserve">relation to </w:t>
      </w:r>
      <w:r w:rsidRPr="005A5CB5">
        <w:rPr>
          <w:sz w:val="24"/>
          <w:szCs w:val="24"/>
        </w:rPr>
        <w:t>a quota year is 100 tonnes.</w:t>
      </w:r>
      <w:bookmarkStart w:id="62" w:name="BK_S3P46L18C1"/>
      <w:bookmarkStart w:id="63" w:name="BK_S3P46L20C1"/>
      <w:bookmarkEnd w:id="62"/>
      <w:bookmarkEnd w:id="63"/>
    </w:p>
    <w:p w14:paraId="7EDE0145" w14:textId="77777777" w:rsidR="005A5CB5" w:rsidRDefault="005A5CB5" w:rsidP="005A5CB5">
      <w:pPr>
        <w:spacing w:line="240" w:lineRule="auto"/>
        <w:rPr>
          <w:sz w:val="24"/>
          <w:szCs w:val="24"/>
        </w:rPr>
      </w:pPr>
    </w:p>
    <w:p w14:paraId="58399EA9" w14:textId="7B26B7A0" w:rsidR="00103409" w:rsidRDefault="002B23ED" w:rsidP="00103409">
      <w:pPr>
        <w:spacing w:line="240" w:lineRule="auto"/>
        <w:rPr>
          <w:b/>
          <w:sz w:val="24"/>
          <w:szCs w:val="24"/>
        </w:rPr>
      </w:pPr>
      <w:r>
        <w:rPr>
          <w:b/>
          <w:sz w:val="24"/>
          <w:szCs w:val="24"/>
        </w:rPr>
        <w:t>Division 4 - EU WTO dairy goods</w:t>
      </w:r>
    </w:p>
    <w:p w14:paraId="175F66DE" w14:textId="77777777" w:rsidR="002B23ED" w:rsidRDefault="002B23ED" w:rsidP="00103409">
      <w:pPr>
        <w:spacing w:line="240" w:lineRule="auto"/>
        <w:rPr>
          <w:b/>
          <w:sz w:val="24"/>
          <w:szCs w:val="24"/>
        </w:rPr>
      </w:pPr>
    </w:p>
    <w:p w14:paraId="09C3A463" w14:textId="294B51CA" w:rsidR="002B23ED" w:rsidRDefault="002B23ED" w:rsidP="002B23ED">
      <w:pPr>
        <w:spacing w:line="240" w:lineRule="auto"/>
        <w:rPr>
          <w:sz w:val="24"/>
          <w:szCs w:val="24"/>
          <w:u w:val="single"/>
        </w:rPr>
      </w:pPr>
      <w:r>
        <w:rPr>
          <w:sz w:val="24"/>
          <w:szCs w:val="24"/>
          <w:u w:val="single"/>
        </w:rPr>
        <w:t>Section</w:t>
      </w:r>
      <w:r w:rsidR="00AA00BE">
        <w:rPr>
          <w:sz w:val="24"/>
          <w:szCs w:val="24"/>
          <w:u w:val="single"/>
        </w:rPr>
        <w:t xml:space="preserve"> 71</w:t>
      </w:r>
      <w:r>
        <w:rPr>
          <w:sz w:val="24"/>
          <w:szCs w:val="24"/>
          <w:u w:val="single"/>
        </w:rPr>
        <w:t xml:space="preserve"> - EU WTO dairy goods</w:t>
      </w:r>
    </w:p>
    <w:p w14:paraId="0357B061" w14:textId="77777777" w:rsidR="002B23ED" w:rsidRDefault="002B23ED" w:rsidP="002B23ED">
      <w:pPr>
        <w:spacing w:line="240" w:lineRule="auto"/>
        <w:rPr>
          <w:sz w:val="24"/>
          <w:szCs w:val="24"/>
          <w:u w:val="single"/>
        </w:rPr>
      </w:pPr>
    </w:p>
    <w:p w14:paraId="647DC49D" w14:textId="31862C21" w:rsidR="002B23ED" w:rsidRPr="002B23ED" w:rsidRDefault="002B23ED" w:rsidP="002B23ED">
      <w:pPr>
        <w:spacing w:line="240" w:lineRule="auto"/>
        <w:rPr>
          <w:sz w:val="24"/>
          <w:szCs w:val="24"/>
          <w:u w:val="single"/>
        </w:rPr>
      </w:pPr>
      <w:r w:rsidRPr="00F93A3D">
        <w:t>Goods referred to in column 2 of an item in the following</w:t>
      </w:r>
      <w:bookmarkStart w:id="64" w:name="BK_S3P47L3C60"/>
      <w:bookmarkStart w:id="65" w:name="BK_S3P43L3C60"/>
      <w:bookmarkStart w:id="66" w:name="BK_S3P45L3C60"/>
      <w:bookmarkEnd w:id="64"/>
      <w:bookmarkEnd w:id="65"/>
      <w:bookmarkEnd w:id="66"/>
      <w:r w:rsidRPr="00F93A3D">
        <w:t xml:space="preserve"> table:</w:t>
      </w:r>
    </w:p>
    <w:p w14:paraId="47ECAC54" w14:textId="77777777" w:rsidR="002B23ED" w:rsidRPr="00F93A3D" w:rsidRDefault="002B23ED" w:rsidP="002B23ED">
      <w:pPr>
        <w:pStyle w:val="paragraph"/>
      </w:pPr>
      <w:r w:rsidRPr="00F93A3D">
        <w:tab/>
        <w:t>(a)</w:t>
      </w:r>
      <w:r w:rsidRPr="00F93A3D">
        <w:tab/>
      </w:r>
      <w:proofErr w:type="gramStart"/>
      <w:r w:rsidRPr="00F93A3D">
        <w:t>are</w:t>
      </w:r>
      <w:proofErr w:type="gramEnd"/>
      <w:r w:rsidRPr="00F93A3D">
        <w:rPr>
          <w:b/>
          <w:i/>
        </w:rPr>
        <w:t xml:space="preserve"> </w:t>
      </w:r>
      <w:r w:rsidRPr="00FE44F7">
        <w:rPr>
          <w:i/>
        </w:rPr>
        <w:t>EU WTO dairy goods</w:t>
      </w:r>
      <w:r w:rsidRPr="00F93A3D">
        <w:t>; and</w:t>
      </w:r>
    </w:p>
    <w:p w14:paraId="5D9BDE91" w14:textId="77777777" w:rsidR="002B23ED" w:rsidRPr="00F93A3D" w:rsidRDefault="002B23ED" w:rsidP="002B23ED">
      <w:pPr>
        <w:pStyle w:val="paragraph"/>
      </w:pPr>
      <w:r w:rsidRPr="00F93A3D">
        <w:tab/>
        <w:t>(b)</w:t>
      </w:r>
      <w:r w:rsidRPr="00F93A3D">
        <w:tab/>
      </w:r>
      <w:proofErr w:type="gramStart"/>
      <w:r w:rsidRPr="00F93A3D">
        <w:t>are</w:t>
      </w:r>
      <w:proofErr w:type="gramEnd"/>
      <w:r w:rsidRPr="00F93A3D">
        <w:t xml:space="preserve"> of the kind of EU WTO dairy goods referred to in column 1 of that item.</w:t>
      </w:r>
    </w:p>
    <w:p w14:paraId="3FB64887" w14:textId="77777777" w:rsidR="002B23ED" w:rsidRPr="00F93A3D" w:rsidRDefault="002B23ED" w:rsidP="002B23ED">
      <w:pPr>
        <w:pStyle w:val="Tabletext0"/>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258"/>
        <w:gridCol w:w="5340"/>
      </w:tblGrid>
      <w:tr w:rsidR="002B23ED" w:rsidRPr="00F93A3D" w14:paraId="2F074C12" w14:textId="77777777" w:rsidTr="00B36BEA">
        <w:trPr>
          <w:tblHeader/>
        </w:trPr>
        <w:tc>
          <w:tcPr>
            <w:tcW w:w="8312" w:type="dxa"/>
            <w:gridSpan w:val="3"/>
            <w:tcBorders>
              <w:top w:val="single" w:sz="12" w:space="0" w:color="auto"/>
              <w:bottom w:val="single" w:sz="6" w:space="0" w:color="auto"/>
            </w:tcBorders>
            <w:shd w:val="clear" w:color="auto" w:fill="auto"/>
          </w:tcPr>
          <w:p w14:paraId="4F093371" w14:textId="77777777" w:rsidR="002B23ED" w:rsidRPr="00F93A3D" w:rsidRDefault="002B23ED" w:rsidP="00B36BEA">
            <w:pPr>
              <w:pStyle w:val="TableHeading0"/>
            </w:pPr>
            <w:r w:rsidRPr="00F93A3D">
              <w:t>EU WTO dairy goods</w:t>
            </w:r>
          </w:p>
        </w:tc>
      </w:tr>
      <w:tr w:rsidR="002B23ED" w:rsidRPr="00F93A3D" w14:paraId="60C4CDB5" w14:textId="77777777" w:rsidTr="00B36BEA">
        <w:trPr>
          <w:tblHeader/>
        </w:trPr>
        <w:tc>
          <w:tcPr>
            <w:tcW w:w="714" w:type="dxa"/>
            <w:tcBorders>
              <w:top w:val="single" w:sz="6" w:space="0" w:color="auto"/>
              <w:bottom w:val="single" w:sz="12" w:space="0" w:color="auto"/>
            </w:tcBorders>
            <w:shd w:val="clear" w:color="auto" w:fill="auto"/>
          </w:tcPr>
          <w:p w14:paraId="45FE1618" w14:textId="77777777" w:rsidR="002B23ED" w:rsidRPr="00F93A3D" w:rsidRDefault="002B23ED" w:rsidP="00B36BEA">
            <w:pPr>
              <w:pStyle w:val="TableHeading0"/>
            </w:pPr>
            <w:r w:rsidRPr="00F93A3D">
              <w:t>Item</w:t>
            </w:r>
          </w:p>
        </w:tc>
        <w:tc>
          <w:tcPr>
            <w:tcW w:w="2258" w:type="dxa"/>
            <w:tcBorders>
              <w:top w:val="single" w:sz="6" w:space="0" w:color="auto"/>
              <w:bottom w:val="single" w:sz="12" w:space="0" w:color="auto"/>
            </w:tcBorders>
            <w:shd w:val="clear" w:color="auto" w:fill="auto"/>
          </w:tcPr>
          <w:p w14:paraId="3FA28277" w14:textId="77777777" w:rsidR="002B23ED" w:rsidRPr="00F93A3D" w:rsidRDefault="002B23ED" w:rsidP="00B36BEA">
            <w:pPr>
              <w:pStyle w:val="TableHeading0"/>
            </w:pPr>
            <w:r w:rsidRPr="00F93A3D">
              <w:t>Column 1</w:t>
            </w:r>
          </w:p>
          <w:p w14:paraId="5873F0B6" w14:textId="77777777" w:rsidR="002B23ED" w:rsidRPr="00F93A3D" w:rsidRDefault="002B23ED" w:rsidP="00B36BEA">
            <w:pPr>
              <w:pStyle w:val="TableHeading0"/>
            </w:pPr>
            <w:r w:rsidRPr="00F93A3D">
              <w:t>Kind of EU WTO dairy goods</w:t>
            </w:r>
          </w:p>
        </w:tc>
        <w:tc>
          <w:tcPr>
            <w:tcW w:w="5340" w:type="dxa"/>
            <w:tcBorders>
              <w:top w:val="single" w:sz="6" w:space="0" w:color="auto"/>
              <w:bottom w:val="single" w:sz="12" w:space="0" w:color="auto"/>
            </w:tcBorders>
            <w:shd w:val="clear" w:color="auto" w:fill="auto"/>
          </w:tcPr>
          <w:p w14:paraId="72E65C04" w14:textId="77777777" w:rsidR="002B23ED" w:rsidRPr="00F93A3D" w:rsidRDefault="002B23ED" w:rsidP="00B36BEA">
            <w:pPr>
              <w:pStyle w:val="TableHeading0"/>
            </w:pPr>
            <w:r w:rsidRPr="00F93A3D">
              <w:t>Column 2</w:t>
            </w:r>
          </w:p>
          <w:p w14:paraId="0A6506DC" w14:textId="77777777" w:rsidR="002B23ED" w:rsidRPr="00F93A3D" w:rsidRDefault="002B23ED" w:rsidP="00B36BEA">
            <w:pPr>
              <w:pStyle w:val="TableHeading0"/>
            </w:pPr>
            <w:r w:rsidRPr="00F93A3D">
              <w:t>Goods</w:t>
            </w:r>
          </w:p>
        </w:tc>
      </w:tr>
      <w:tr w:rsidR="002B23ED" w:rsidRPr="00F93A3D" w14:paraId="3A417747" w14:textId="77777777" w:rsidTr="00B36BEA">
        <w:tc>
          <w:tcPr>
            <w:tcW w:w="714" w:type="dxa"/>
            <w:tcBorders>
              <w:top w:val="single" w:sz="12" w:space="0" w:color="auto"/>
              <w:bottom w:val="single" w:sz="2" w:space="0" w:color="auto"/>
            </w:tcBorders>
            <w:shd w:val="clear" w:color="auto" w:fill="auto"/>
          </w:tcPr>
          <w:p w14:paraId="791483E6" w14:textId="77777777" w:rsidR="002B23ED" w:rsidRPr="00F93A3D" w:rsidRDefault="002B23ED" w:rsidP="00B36BEA">
            <w:pPr>
              <w:pStyle w:val="Tabletext0"/>
            </w:pPr>
            <w:r w:rsidRPr="00F93A3D">
              <w:t>1</w:t>
            </w:r>
          </w:p>
        </w:tc>
        <w:tc>
          <w:tcPr>
            <w:tcW w:w="2258" w:type="dxa"/>
            <w:tcBorders>
              <w:top w:val="single" w:sz="12" w:space="0" w:color="auto"/>
              <w:bottom w:val="single" w:sz="2" w:space="0" w:color="auto"/>
            </w:tcBorders>
            <w:shd w:val="clear" w:color="auto" w:fill="auto"/>
          </w:tcPr>
          <w:p w14:paraId="23150505" w14:textId="77777777" w:rsidR="002B23ED" w:rsidRPr="00F93A3D" w:rsidRDefault="002B23ED" w:rsidP="00B36BEA">
            <w:pPr>
              <w:pStyle w:val="Tabletext0"/>
            </w:pPr>
            <w:r w:rsidRPr="00F93A3D">
              <w:t>Cheese for processing</w:t>
            </w:r>
          </w:p>
        </w:tc>
        <w:tc>
          <w:tcPr>
            <w:tcW w:w="5340" w:type="dxa"/>
            <w:tcBorders>
              <w:top w:val="single" w:sz="12" w:space="0" w:color="auto"/>
              <w:bottom w:val="single" w:sz="2" w:space="0" w:color="auto"/>
            </w:tcBorders>
            <w:shd w:val="clear" w:color="auto" w:fill="auto"/>
          </w:tcPr>
          <w:p w14:paraId="786E4B08" w14:textId="2A9CDFA7" w:rsidR="002B23ED" w:rsidRPr="00F93A3D" w:rsidRDefault="002B23ED" w:rsidP="003C4779">
            <w:pPr>
              <w:pStyle w:val="Tabletext0"/>
            </w:pPr>
            <w:r w:rsidRPr="00F93A3D">
              <w:t>Goods described under quota number 09.4522 in Annex III</w:t>
            </w:r>
            <w:r w:rsidR="003C4779">
              <w:t>(</w:t>
            </w:r>
            <w:r w:rsidRPr="00F93A3D">
              <w:t>A</w:t>
            </w:r>
            <w:r w:rsidR="003C4779">
              <w:t>)</w:t>
            </w:r>
            <w:r w:rsidRPr="00F93A3D">
              <w:t xml:space="preserve"> </w:t>
            </w:r>
            <w:r w:rsidR="003C4779">
              <w:t>to</w:t>
            </w:r>
            <w:r w:rsidR="003C4779" w:rsidRPr="00F93A3D">
              <w:t xml:space="preserve"> </w:t>
            </w:r>
            <w:r w:rsidRPr="00F93A3D">
              <w:t>the EU Dairy Regulation</w:t>
            </w:r>
          </w:p>
        </w:tc>
      </w:tr>
      <w:tr w:rsidR="002B23ED" w:rsidRPr="00F93A3D" w14:paraId="3F8B87C2" w14:textId="77777777" w:rsidTr="00B36BEA">
        <w:tc>
          <w:tcPr>
            <w:tcW w:w="714" w:type="dxa"/>
            <w:tcBorders>
              <w:top w:val="single" w:sz="2" w:space="0" w:color="auto"/>
              <w:bottom w:val="single" w:sz="12" w:space="0" w:color="auto"/>
            </w:tcBorders>
            <w:shd w:val="clear" w:color="auto" w:fill="auto"/>
          </w:tcPr>
          <w:p w14:paraId="7C89C4EB" w14:textId="77777777" w:rsidR="002B23ED" w:rsidRPr="00F93A3D" w:rsidRDefault="002B23ED" w:rsidP="00B36BEA">
            <w:pPr>
              <w:pStyle w:val="Tabletext0"/>
            </w:pPr>
            <w:r w:rsidRPr="00F93A3D">
              <w:t>2</w:t>
            </w:r>
          </w:p>
        </w:tc>
        <w:tc>
          <w:tcPr>
            <w:tcW w:w="2258" w:type="dxa"/>
            <w:tcBorders>
              <w:top w:val="single" w:sz="2" w:space="0" w:color="auto"/>
              <w:bottom w:val="single" w:sz="12" w:space="0" w:color="auto"/>
            </w:tcBorders>
            <w:shd w:val="clear" w:color="auto" w:fill="auto"/>
          </w:tcPr>
          <w:p w14:paraId="4C545B50" w14:textId="77777777" w:rsidR="002B23ED" w:rsidRPr="00F93A3D" w:rsidRDefault="002B23ED" w:rsidP="00B36BEA">
            <w:pPr>
              <w:pStyle w:val="Tabletext0"/>
            </w:pPr>
            <w:r w:rsidRPr="00F93A3D">
              <w:t>Whole cheddar cheese</w:t>
            </w:r>
          </w:p>
        </w:tc>
        <w:tc>
          <w:tcPr>
            <w:tcW w:w="5340" w:type="dxa"/>
            <w:tcBorders>
              <w:top w:val="single" w:sz="2" w:space="0" w:color="auto"/>
              <w:bottom w:val="single" w:sz="12" w:space="0" w:color="auto"/>
            </w:tcBorders>
            <w:shd w:val="clear" w:color="auto" w:fill="auto"/>
          </w:tcPr>
          <w:p w14:paraId="5B3FF449" w14:textId="3CEE0F8A" w:rsidR="002B23ED" w:rsidRPr="00F93A3D" w:rsidRDefault="002B23ED" w:rsidP="003C4779">
            <w:pPr>
              <w:pStyle w:val="Tabletext0"/>
            </w:pPr>
            <w:r w:rsidRPr="00F93A3D">
              <w:t>Goods described under quota number 09.4521 in Annex III</w:t>
            </w:r>
            <w:r w:rsidR="003C4779">
              <w:t>(</w:t>
            </w:r>
            <w:r w:rsidRPr="00F93A3D">
              <w:t>A</w:t>
            </w:r>
            <w:r w:rsidR="003C4779">
              <w:t>)</w:t>
            </w:r>
            <w:r w:rsidRPr="00F93A3D">
              <w:t xml:space="preserve"> </w:t>
            </w:r>
            <w:r w:rsidR="003C4779">
              <w:t>to</w:t>
            </w:r>
            <w:r w:rsidR="003C4779" w:rsidRPr="00F93A3D">
              <w:t xml:space="preserve"> </w:t>
            </w:r>
            <w:r w:rsidRPr="00F93A3D">
              <w:t>the EU Dairy Regulation</w:t>
            </w:r>
          </w:p>
        </w:tc>
      </w:tr>
    </w:tbl>
    <w:p w14:paraId="594E2677" w14:textId="77777777" w:rsidR="002B23ED" w:rsidRDefault="002B23ED" w:rsidP="00103409">
      <w:pPr>
        <w:spacing w:line="240" w:lineRule="auto"/>
        <w:rPr>
          <w:sz w:val="24"/>
          <w:szCs w:val="24"/>
        </w:rPr>
      </w:pPr>
    </w:p>
    <w:p w14:paraId="66E40540" w14:textId="498D8A59" w:rsidR="002B23ED" w:rsidRDefault="00AA00BE" w:rsidP="00103409">
      <w:pPr>
        <w:spacing w:line="240" w:lineRule="auto"/>
        <w:rPr>
          <w:sz w:val="24"/>
          <w:szCs w:val="24"/>
          <w:u w:val="single"/>
        </w:rPr>
      </w:pPr>
      <w:r>
        <w:rPr>
          <w:sz w:val="24"/>
          <w:szCs w:val="24"/>
          <w:u w:val="single"/>
        </w:rPr>
        <w:t>Section 72</w:t>
      </w:r>
      <w:r w:rsidR="002B23ED">
        <w:rPr>
          <w:sz w:val="24"/>
          <w:szCs w:val="24"/>
          <w:u w:val="single"/>
        </w:rPr>
        <w:t xml:space="preserve"> - Quota year</w:t>
      </w:r>
    </w:p>
    <w:p w14:paraId="54AA580B" w14:textId="77777777" w:rsidR="002B23ED" w:rsidRDefault="002B23ED" w:rsidP="00103409">
      <w:pPr>
        <w:spacing w:line="240" w:lineRule="auto"/>
        <w:rPr>
          <w:sz w:val="24"/>
          <w:szCs w:val="24"/>
          <w:u w:val="single"/>
        </w:rPr>
      </w:pPr>
    </w:p>
    <w:p w14:paraId="3D1F83A4" w14:textId="56015B9C" w:rsidR="002B23ED" w:rsidRDefault="00AA00BE" w:rsidP="002B23ED">
      <w:pPr>
        <w:spacing w:line="240" w:lineRule="auto"/>
        <w:rPr>
          <w:sz w:val="24"/>
          <w:szCs w:val="24"/>
        </w:rPr>
      </w:pPr>
      <w:r>
        <w:rPr>
          <w:sz w:val="24"/>
          <w:szCs w:val="24"/>
        </w:rPr>
        <w:t>Section 72</w:t>
      </w:r>
      <w:r w:rsidR="002B23ED">
        <w:rPr>
          <w:sz w:val="24"/>
          <w:szCs w:val="24"/>
        </w:rPr>
        <w:t xml:space="preserve"> provides that a</w:t>
      </w:r>
      <w:r w:rsidR="002B23ED" w:rsidRPr="002B23ED">
        <w:rPr>
          <w:sz w:val="24"/>
          <w:szCs w:val="24"/>
        </w:rPr>
        <w:t xml:space="preserve"> quota year for a kind of EU WTO dairy goods for export to the European Union is a period of 12 months beginning on 1 January.</w:t>
      </w:r>
    </w:p>
    <w:p w14:paraId="56162A2A" w14:textId="77777777" w:rsidR="002B23ED" w:rsidRDefault="002B23ED" w:rsidP="002B23ED">
      <w:pPr>
        <w:spacing w:line="240" w:lineRule="auto"/>
        <w:rPr>
          <w:sz w:val="24"/>
          <w:szCs w:val="24"/>
        </w:rPr>
      </w:pPr>
    </w:p>
    <w:p w14:paraId="4D4C8BE7" w14:textId="0D24635D" w:rsidR="00A273F8" w:rsidRPr="00A273F8" w:rsidRDefault="009B08B1" w:rsidP="00A273F8">
      <w:pPr>
        <w:spacing w:line="240" w:lineRule="auto"/>
        <w:rPr>
          <w:sz w:val="24"/>
          <w:szCs w:val="24"/>
          <w:u w:val="single"/>
        </w:rPr>
      </w:pPr>
      <w:bookmarkStart w:id="67" w:name="_Toc22827002"/>
      <w:r>
        <w:rPr>
          <w:sz w:val="24"/>
          <w:szCs w:val="24"/>
          <w:u w:val="single"/>
        </w:rPr>
        <w:t xml:space="preserve">Section </w:t>
      </w:r>
      <w:r w:rsidR="00AA00BE">
        <w:rPr>
          <w:sz w:val="24"/>
          <w:szCs w:val="24"/>
          <w:u w:val="single"/>
        </w:rPr>
        <w:t>7</w:t>
      </w:r>
      <w:r w:rsidR="003C4779">
        <w:rPr>
          <w:sz w:val="24"/>
          <w:szCs w:val="24"/>
          <w:u w:val="single"/>
        </w:rPr>
        <w:t>3</w:t>
      </w:r>
      <w:r w:rsidR="00A273F8" w:rsidRPr="00A273F8">
        <w:rPr>
          <w:sz w:val="24"/>
          <w:szCs w:val="24"/>
          <w:u w:val="single"/>
        </w:rPr>
        <w:t xml:space="preserve"> </w:t>
      </w:r>
      <w:r w:rsidR="00A273F8">
        <w:rPr>
          <w:sz w:val="24"/>
          <w:szCs w:val="24"/>
          <w:u w:val="single"/>
        </w:rPr>
        <w:t>-</w:t>
      </w:r>
      <w:r w:rsidR="00A273F8" w:rsidRPr="00A273F8">
        <w:rPr>
          <w:sz w:val="24"/>
          <w:szCs w:val="24"/>
          <w:u w:val="single"/>
        </w:rPr>
        <w:t xml:space="preserve"> Method for issuing tariff rate quota certificates</w:t>
      </w:r>
      <w:bookmarkEnd w:id="67"/>
    </w:p>
    <w:p w14:paraId="52221631" w14:textId="77777777" w:rsidR="00A273F8" w:rsidRDefault="00A273F8" w:rsidP="00A273F8">
      <w:pPr>
        <w:spacing w:line="240" w:lineRule="auto"/>
        <w:rPr>
          <w:sz w:val="24"/>
          <w:szCs w:val="24"/>
        </w:rPr>
      </w:pPr>
    </w:p>
    <w:p w14:paraId="0CA0017A" w14:textId="79CD41DF" w:rsidR="00A273F8" w:rsidRDefault="00AA00BE" w:rsidP="00A273F8">
      <w:pPr>
        <w:spacing w:line="240" w:lineRule="auto"/>
        <w:rPr>
          <w:sz w:val="24"/>
          <w:szCs w:val="24"/>
        </w:rPr>
      </w:pPr>
      <w:r>
        <w:rPr>
          <w:sz w:val="24"/>
          <w:szCs w:val="24"/>
        </w:rPr>
        <w:t>Section 73</w:t>
      </w:r>
      <w:r w:rsidR="00A273F8" w:rsidRPr="00A273F8">
        <w:rPr>
          <w:sz w:val="24"/>
          <w:szCs w:val="24"/>
        </w:rPr>
        <w:t xml:space="preserve"> provides that the first come, first served method</w:t>
      </w:r>
      <w:r w:rsidR="00FE44F7">
        <w:rPr>
          <w:sz w:val="24"/>
          <w:szCs w:val="24"/>
        </w:rPr>
        <w:t xml:space="preserve"> </w:t>
      </w:r>
      <w:r w:rsidR="00A273F8" w:rsidRPr="00A273F8">
        <w:rPr>
          <w:sz w:val="24"/>
          <w:szCs w:val="24"/>
        </w:rPr>
        <w:t>applies for the purposes of issuing a tariff rate quota certificate in relation to a consignment of a kind of EU WTO dairy goods for export to the European Union in a quota year beginning on or after 1 January 2020.</w:t>
      </w:r>
      <w:r w:rsidR="00AD01C7">
        <w:rPr>
          <w:sz w:val="24"/>
          <w:szCs w:val="24"/>
        </w:rPr>
        <w:t xml:space="preserve"> The note to this section provides that the first come, first served method is set out in Part 1 of Chapter 2.</w:t>
      </w:r>
    </w:p>
    <w:p w14:paraId="07D641F3" w14:textId="77777777" w:rsidR="00A273F8" w:rsidRDefault="00A273F8" w:rsidP="00A273F8">
      <w:pPr>
        <w:spacing w:line="240" w:lineRule="auto"/>
        <w:rPr>
          <w:sz w:val="24"/>
          <w:szCs w:val="24"/>
        </w:rPr>
      </w:pPr>
    </w:p>
    <w:p w14:paraId="785BC25D" w14:textId="52650537" w:rsidR="00B36BEA" w:rsidRPr="00B36BEA" w:rsidRDefault="009B08B1" w:rsidP="00B36BEA">
      <w:pPr>
        <w:spacing w:line="240" w:lineRule="auto"/>
        <w:rPr>
          <w:sz w:val="24"/>
          <w:szCs w:val="24"/>
          <w:u w:val="single"/>
        </w:rPr>
      </w:pPr>
      <w:bookmarkStart w:id="68" w:name="_Toc22827003"/>
      <w:r>
        <w:rPr>
          <w:sz w:val="24"/>
          <w:szCs w:val="24"/>
          <w:u w:val="single"/>
        </w:rPr>
        <w:t xml:space="preserve">Section </w:t>
      </w:r>
      <w:r w:rsidR="00AA00BE">
        <w:rPr>
          <w:sz w:val="24"/>
          <w:szCs w:val="24"/>
          <w:u w:val="single"/>
        </w:rPr>
        <w:t>74</w:t>
      </w:r>
      <w:r w:rsidR="00B36BEA" w:rsidRPr="00B36BEA">
        <w:rPr>
          <w:sz w:val="24"/>
          <w:szCs w:val="24"/>
          <w:u w:val="single"/>
        </w:rPr>
        <w:t xml:space="preserve"> </w:t>
      </w:r>
      <w:r w:rsidR="00B36BEA">
        <w:rPr>
          <w:sz w:val="24"/>
          <w:szCs w:val="24"/>
          <w:u w:val="single"/>
        </w:rPr>
        <w:t>-</w:t>
      </w:r>
      <w:r w:rsidR="00B36BEA" w:rsidRPr="00B36BEA">
        <w:rPr>
          <w:sz w:val="24"/>
          <w:szCs w:val="24"/>
          <w:u w:val="single"/>
        </w:rPr>
        <w:t xml:space="preserve"> Annual access amount</w:t>
      </w:r>
      <w:bookmarkEnd w:id="68"/>
    </w:p>
    <w:p w14:paraId="04EFDB6D" w14:textId="77777777" w:rsidR="000808B7" w:rsidRDefault="000808B7" w:rsidP="00B36BEA">
      <w:pPr>
        <w:spacing w:line="240" w:lineRule="auto"/>
        <w:rPr>
          <w:sz w:val="24"/>
          <w:szCs w:val="24"/>
        </w:rPr>
      </w:pPr>
    </w:p>
    <w:p w14:paraId="733C62A4" w14:textId="7418C258" w:rsidR="00B36BEA" w:rsidRDefault="00AA00BE" w:rsidP="00B36BEA">
      <w:pPr>
        <w:spacing w:line="240" w:lineRule="auto"/>
        <w:rPr>
          <w:sz w:val="24"/>
          <w:szCs w:val="24"/>
        </w:rPr>
      </w:pPr>
      <w:r>
        <w:rPr>
          <w:sz w:val="24"/>
          <w:szCs w:val="24"/>
        </w:rPr>
        <w:t>Section 74</w:t>
      </w:r>
      <w:r w:rsidR="00B36BEA" w:rsidRPr="00B36BEA">
        <w:rPr>
          <w:sz w:val="24"/>
          <w:szCs w:val="24"/>
        </w:rPr>
        <w:t xml:space="preserve"> provides that the annual access amount for a kind of EU WTO dairy goods for export to the European Union in relation to a quota year is the weight of goods of that kind </w:t>
      </w:r>
      <w:r w:rsidR="00B36BEA" w:rsidRPr="00B36BEA">
        <w:rPr>
          <w:sz w:val="24"/>
          <w:szCs w:val="24"/>
        </w:rPr>
        <w:lastRenderedPageBreak/>
        <w:t>that may, under the EU Dairy Regulation</w:t>
      </w:r>
      <w:r w:rsidR="00FE44F7">
        <w:rPr>
          <w:sz w:val="24"/>
          <w:szCs w:val="24"/>
        </w:rPr>
        <w:t xml:space="preserve"> (</w:t>
      </w:r>
      <w:r w:rsidR="003C4779">
        <w:rPr>
          <w:sz w:val="24"/>
          <w:szCs w:val="24"/>
        </w:rPr>
        <w:t xml:space="preserve">defined </w:t>
      </w:r>
      <w:r w:rsidR="00FE44F7">
        <w:rPr>
          <w:sz w:val="24"/>
          <w:szCs w:val="24"/>
        </w:rPr>
        <w:t>in section 6)</w:t>
      </w:r>
      <w:r w:rsidR="00B36BEA" w:rsidRPr="00B36BEA">
        <w:rPr>
          <w:sz w:val="24"/>
          <w:szCs w:val="24"/>
        </w:rPr>
        <w:t>, be exported from Australia to the European Union in the quota year at a reduced tariff rate.</w:t>
      </w:r>
    </w:p>
    <w:p w14:paraId="00C187BE" w14:textId="77777777" w:rsidR="000808B7" w:rsidRDefault="000808B7" w:rsidP="00B36BEA">
      <w:pPr>
        <w:spacing w:line="240" w:lineRule="auto"/>
        <w:rPr>
          <w:sz w:val="24"/>
          <w:szCs w:val="24"/>
        </w:rPr>
      </w:pPr>
    </w:p>
    <w:p w14:paraId="059FF928" w14:textId="4072363E" w:rsidR="004D7ED8" w:rsidRDefault="004D7ED8" w:rsidP="00B36BEA">
      <w:pPr>
        <w:spacing w:line="240" w:lineRule="auto"/>
        <w:rPr>
          <w:b/>
          <w:sz w:val="24"/>
          <w:szCs w:val="24"/>
        </w:rPr>
      </w:pPr>
      <w:r>
        <w:rPr>
          <w:b/>
          <w:sz w:val="24"/>
          <w:szCs w:val="24"/>
        </w:rPr>
        <w:t>Part 2 - Exports to Indonesia</w:t>
      </w:r>
    </w:p>
    <w:p w14:paraId="08F4EF71" w14:textId="77777777" w:rsidR="004D7ED8" w:rsidRDefault="004D7ED8" w:rsidP="00B36BEA">
      <w:pPr>
        <w:spacing w:line="240" w:lineRule="auto"/>
        <w:rPr>
          <w:b/>
          <w:sz w:val="24"/>
          <w:szCs w:val="24"/>
        </w:rPr>
      </w:pPr>
    </w:p>
    <w:p w14:paraId="7827CDC7" w14:textId="74E48E25" w:rsidR="00E477D5" w:rsidRDefault="00E477D5" w:rsidP="00E477D5">
      <w:pPr>
        <w:spacing w:line="240" w:lineRule="auto"/>
        <w:rPr>
          <w:sz w:val="24"/>
          <w:szCs w:val="24"/>
          <w:u w:val="single"/>
        </w:rPr>
      </w:pPr>
      <w:r>
        <w:rPr>
          <w:sz w:val="24"/>
          <w:szCs w:val="24"/>
          <w:u w:val="single"/>
        </w:rPr>
        <w:t xml:space="preserve">Section </w:t>
      </w:r>
      <w:r w:rsidR="00AA00BE">
        <w:rPr>
          <w:sz w:val="24"/>
          <w:szCs w:val="24"/>
          <w:u w:val="single"/>
        </w:rPr>
        <w:t>75</w:t>
      </w:r>
      <w:r>
        <w:rPr>
          <w:sz w:val="24"/>
          <w:szCs w:val="24"/>
          <w:u w:val="single"/>
        </w:rPr>
        <w:t xml:space="preserve"> - Indonesia</w:t>
      </w:r>
      <w:r w:rsidRPr="009B08B1">
        <w:rPr>
          <w:sz w:val="24"/>
          <w:szCs w:val="24"/>
          <w:u w:val="single"/>
        </w:rPr>
        <w:t xml:space="preserve"> quota goods</w:t>
      </w:r>
    </w:p>
    <w:p w14:paraId="60EC79FD" w14:textId="77777777" w:rsidR="00E477D5" w:rsidRDefault="00E477D5" w:rsidP="00E477D5">
      <w:pPr>
        <w:spacing w:line="240" w:lineRule="auto"/>
        <w:rPr>
          <w:sz w:val="24"/>
          <w:szCs w:val="24"/>
          <w:u w:val="single"/>
        </w:rPr>
      </w:pPr>
    </w:p>
    <w:p w14:paraId="157A7AC4" w14:textId="7F2E1C18" w:rsidR="00E477D5" w:rsidRDefault="00E477D5" w:rsidP="00E477D5">
      <w:pPr>
        <w:spacing w:line="240" w:lineRule="auto"/>
        <w:rPr>
          <w:sz w:val="24"/>
          <w:szCs w:val="24"/>
        </w:rPr>
      </w:pPr>
      <w:r>
        <w:rPr>
          <w:sz w:val="24"/>
          <w:szCs w:val="24"/>
        </w:rPr>
        <w:t xml:space="preserve">Section </w:t>
      </w:r>
      <w:r w:rsidR="00AA00BE">
        <w:rPr>
          <w:sz w:val="24"/>
          <w:szCs w:val="24"/>
        </w:rPr>
        <w:t>75</w:t>
      </w:r>
      <w:r>
        <w:rPr>
          <w:sz w:val="24"/>
          <w:szCs w:val="24"/>
        </w:rPr>
        <w:t xml:space="preserve"> provides definitions of terms used within this part.</w:t>
      </w:r>
    </w:p>
    <w:p w14:paraId="6A585BC3" w14:textId="43E63267" w:rsidR="00E477D5" w:rsidRPr="00671655" w:rsidRDefault="00E477D5" w:rsidP="00E477D5">
      <w:pPr>
        <w:pStyle w:val="subsection"/>
        <w:rPr>
          <w:sz w:val="24"/>
          <w:szCs w:val="24"/>
        </w:rPr>
      </w:pPr>
      <w:r>
        <w:tab/>
      </w:r>
      <w:r w:rsidRPr="00671655">
        <w:rPr>
          <w:i/>
          <w:sz w:val="24"/>
          <w:szCs w:val="24"/>
        </w:rPr>
        <w:t>Indonesia quota goods</w:t>
      </w:r>
      <w:r w:rsidRPr="00671655">
        <w:rPr>
          <w:b/>
          <w:i/>
          <w:sz w:val="24"/>
          <w:szCs w:val="24"/>
        </w:rPr>
        <w:t xml:space="preserve"> </w:t>
      </w:r>
      <w:r w:rsidRPr="00671655">
        <w:rPr>
          <w:sz w:val="24"/>
          <w:szCs w:val="24"/>
        </w:rPr>
        <w:t>are goods of any of the following kinds:</w:t>
      </w:r>
    </w:p>
    <w:p w14:paraId="5AC52593" w14:textId="74B550E4" w:rsidR="00E477D5" w:rsidRPr="00671655" w:rsidRDefault="00E477D5" w:rsidP="00B27148">
      <w:pPr>
        <w:pStyle w:val="paragraph"/>
        <w:numPr>
          <w:ilvl w:val="0"/>
          <w:numId w:val="25"/>
        </w:numPr>
        <w:ind w:left="851"/>
        <w:rPr>
          <w:sz w:val="24"/>
          <w:szCs w:val="24"/>
        </w:rPr>
      </w:pPr>
      <w:r w:rsidRPr="00671655">
        <w:rPr>
          <w:sz w:val="24"/>
          <w:szCs w:val="24"/>
        </w:rPr>
        <w:t>carrots;</w:t>
      </w:r>
    </w:p>
    <w:p w14:paraId="583F5B28" w14:textId="335F96AE" w:rsidR="00E477D5" w:rsidRPr="00671655" w:rsidRDefault="00E477D5" w:rsidP="00B27148">
      <w:pPr>
        <w:pStyle w:val="paragraph"/>
        <w:numPr>
          <w:ilvl w:val="0"/>
          <w:numId w:val="25"/>
        </w:numPr>
        <w:ind w:left="851"/>
        <w:rPr>
          <w:sz w:val="24"/>
          <w:szCs w:val="24"/>
        </w:rPr>
      </w:pPr>
      <w:r w:rsidRPr="00671655">
        <w:rPr>
          <w:sz w:val="24"/>
          <w:szCs w:val="24"/>
        </w:rPr>
        <w:t>lemons and limes;</w:t>
      </w:r>
    </w:p>
    <w:p w14:paraId="1198F6CF" w14:textId="1142A25D" w:rsidR="00E477D5" w:rsidRPr="00671655" w:rsidRDefault="00E477D5" w:rsidP="00B27148">
      <w:pPr>
        <w:pStyle w:val="paragraph"/>
        <w:numPr>
          <w:ilvl w:val="0"/>
          <w:numId w:val="25"/>
        </w:numPr>
        <w:ind w:left="851"/>
        <w:rPr>
          <w:sz w:val="24"/>
          <w:szCs w:val="24"/>
        </w:rPr>
      </w:pPr>
      <w:r w:rsidRPr="00671655">
        <w:rPr>
          <w:sz w:val="24"/>
          <w:szCs w:val="24"/>
        </w:rPr>
        <w:t>live male cattle;</w:t>
      </w:r>
    </w:p>
    <w:p w14:paraId="34411E8B" w14:textId="05A4BC39" w:rsidR="00E477D5" w:rsidRPr="00671655" w:rsidRDefault="00E477D5" w:rsidP="00B27148">
      <w:pPr>
        <w:pStyle w:val="paragraph"/>
        <w:numPr>
          <w:ilvl w:val="0"/>
          <w:numId w:val="25"/>
        </w:numPr>
        <w:ind w:left="851"/>
        <w:rPr>
          <w:sz w:val="24"/>
          <w:szCs w:val="24"/>
        </w:rPr>
      </w:pPr>
      <w:r w:rsidRPr="00671655">
        <w:rPr>
          <w:sz w:val="24"/>
          <w:szCs w:val="24"/>
        </w:rPr>
        <w:t>mandarins;</w:t>
      </w:r>
    </w:p>
    <w:p w14:paraId="413D8EF1" w14:textId="685153B2" w:rsidR="00E477D5" w:rsidRPr="00671655" w:rsidRDefault="00E477D5" w:rsidP="00B27148">
      <w:pPr>
        <w:pStyle w:val="paragraph"/>
        <w:numPr>
          <w:ilvl w:val="0"/>
          <w:numId w:val="25"/>
        </w:numPr>
        <w:ind w:left="851"/>
        <w:rPr>
          <w:sz w:val="24"/>
          <w:szCs w:val="24"/>
        </w:rPr>
      </w:pPr>
      <w:r w:rsidRPr="00671655">
        <w:rPr>
          <w:sz w:val="24"/>
          <w:szCs w:val="24"/>
        </w:rPr>
        <w:t>oranges;</w:t>
      </w:r>
    </w:p>
    <w:p w14:paraId="71A18239" w14:textId="37BFE5AC" w:rsidR="00E477D5" w:rsidRPr="00671655" w:rsidRDefault="00E477D5" w:rsidP="00B27148">
      <w:pPr>
        <w:pStyle w:val="paragraph"/>
        <w:numPr>
          <w:ilvl w:val="0"/>
          <w:numId w:val="25"/>
        </w:numPr>
        <w:ind w:left="851"/>
        <w:rPr>
          <w:sz w:val="24"/>
          <w:szCs w:val="24"/>
        </w:rPr>
      </w:pPr>
      <w:proofErr w:type="gramStart"/>
      <w:r w:rsidRPr="00671655">
        <w:rPr>
          <w:sz w:val="24"/>
          <w:szCs w:val="24"/>
        </w:rPr>
        <w:t>potatoes</w:t>
      </w:r>
      <w:proofErr w:type="gramEnd"/>
      <w:r w:rsidRPr="00671655">
        <w:rPr>
          <w:sz w:val="24"/>
          <w:szCs w:val="24"/>
        </w:rPr>
        <w:t>.</w:t>
      </w:r>
    </w:p>
    <w:p w14:paraId="5C0DBA45" w14:textId="352E5B6E" w:rsidR="00E477D5" w:rsidRPr="00671655" w:rsidRDefault="00B27148" w:rsidP="00E477D5">
      <w:pPr>
        <w:pStyle w:val="subsection"/>
        <w:rPr>
          <w:sz w:val="24"/>
          <w:szCs w:val="24"/>
        </w:rPr>
      </w:pPr>
      <w:r>
        <w:rPr>
          <w:sz w:val="24"/>
          <w:szCs w:val="24"/>
        </w:rPr>
        <w:tab/>
      </w:r>
      <w:r w:rsidR="00E477D5" w:rsidRPr="00671655">
        <w:rPr>
          <w:sz w:val="24"/>
          <w:szCs w:val="24"/>
        </w:rPr>
        <w:t>For the purposes of this Part:</w:t>
      </w:r>
    </w:p>
    <w:p w14:paraId="15AFC2C2" w14:textId="77777777" w:rsidR="00E477D5" w:rsidRPr="00671655" w:rsidRDefault="00E477D5" w:rsidP="00B27148">
      <w:pPr>
        <w:pStyle w:val="Definition"/>
        <w:ind w:left="567"/>
        <w:rPr>
          <w:sz w:val="24"/>
          <w:szCs w:val="24"/>
        </w:rPr>
      </w:pPr>
      <w:proofErr w:type="gramStart"/>
      <w:r w:rsidRPr="00671655">
        <w:rPr>
          <w:b/>
          <w:i/>
          <w:sz w:val="24"/>
          <w:szCs w:val="24"/>
        </w:rPr>
        <w:t>carrots</w:t>
      </w:r>
      <w:proofErr w:type="gramEnd"/>
      <w:r w:rsidRPr="00671655">
        <w:rPr>
          <w:sz w:val="24"/>
          <w:szCs w:val="24"/>
        </w:rPr>
        <w:t xml:space="preserve"> means carrots of a kind that may be exported from Australia to Indonesia at a reduced tariff rate under the Indonesia-Australia Comprehensive Economic Partnership Agreement.</w:t>
      </w:r>
    </w:p>
    <w:p w14:paraId="36450940" w14:textId="77777777" w:rsidR="00E477D5" w:rsidRPr="00671655" w:rsidRDefault="00E477D5" w:rsidP="00B27148">
      <w:pPr>
        <w:pStyle w:val="Definition"/>
        <w:ind w:left="567"/>
        <w:rPr>
          <w:sz w:val="24"/>
          <w:szCs w:val="24"/>
        </w:rPr>
      </w:pPr>
      <w:proofErr w:type="gramStart"/>
      <w:r w:rsidRPr="00671655">
        <w:rPr>
          <w:b/>
          <w:i/>
          <w:sz w:val="24"/>
          <w:szCs w:val="24"/>
        </w:rPr>
        <w:t>lemons</w:t>
      </w:r>
      <w:proofErr w:type="gramEnd"/>
      <w:r w:rsidRPr="00671655">
        <w:rPr>
          <w:b/>
          <w:i/>
          <w:sz w:val="24"/>
          <w:szCs w:val="24"/>
        </w:rPr>
        <w:t xml:space="preserve"> and limes</w:t>
      </w:r>
      <w:r w:rsidRPr="00671655">
        <w:rPr>
          <w:sz w:val="24"/>
          <w:szCs w:val="24"/>
        </w:rPr>
        <w:t xml:space="preserve"> means lemons and limes of a kind that may be exported from Australia to Indonesia at a reduced tariff rate under the Indonesia-Australia Comprehensive Economic Partnership Agreement.</w:t>
      </w:r>
    </w:p>
    <w:p w14:paraId="0FFC175F" w14:textId="77777777" w:rsidR="00E477D5" w:rsidRPr="00671655" w:rsidRDefault="00E477D5" w:rsidP="00B27148">
      <w:pPr>
        <w:pStyle w:val="Definition"/>
        <w:ind w:left="567"/>
        <w:rPr>
          <w:sz w:val="24"/>
          <w:szCs w:val="24"/>
        </w:rPr>
      </w:pPr>
      <w:proofErr w:type="gramStart"/>
      <w:r w:rsidRPr="00671655">
        <w:rPr>
          <w:b/>
          <w:i/>
          <w:sz w:val="24"/>
          <w:szCs w:val="24"/>
        </w:rPr>
        <w:t>live</w:t>
      </w:r>
      <w:proofErr w:type="gramEnd"/>
      <w:r w:rsidRPr="00671655">
        <w:rPr>
          <w:b/>
          <w:i/>
          <w:sz w:val="24"/>
          <w:szCs w:val="24"/>
        </w:rPr>
        <w:t xml:space="preserve"> male cattle</w:t>
      </w:r>
      <w:r w:rsidRPr="00671655">
        <w:rPr>
          <w:sz w:val="24"/>
          <w:szCs w:val="24"/>
        </w:rPr>
        <w:t xml:space="preserve"> means live male cattle of a kind that may be exported from Australia to Indonesia at a reduced tariff rate under the Indonesia-Australia Comprehensive Economic Partnership Agreement.</w:t>
      </w:r>
    </w:p>
    <w:p w14:paraId="55193FF9" w14:textId="77777777" w:rsidR="00E477D5" w:rsidRPr="00671655" w:rsidRDefault="00E477D5" w:rsidP="00B27148">
      <w:pPr>
        <w:pStyle w:val="Definition"/>
        <w:ind w:left="567"/>
        <w:rPr>
          <w:sz w:val="24"/>
          <w:szCs w:val="24"/>
        </w:rPr>
      </w:pPr>
      <w:proofErr w:type="gramStart"/>
      <w:r w:rsidRPr="00671655">
        <w:rPr>
          <w:b/>
          <w:i/>
          <w:sz w:val="24"/>
          <w:szCs w:val="24"/>
        </w:rPr>
        <w:t>mandarins</w:t>
      </w:r>
      <w:proofErr w:type="gramEnd"/>
      <w:r w:rsidRPr="00671655">
        <w:rPr>
          <w:sz w:val="24"/>
          <w:szCs w:val="24"/>
        </w:rPr>
        <w:t xml:space="preserve"> means mandarins of a kind that may be exported from Australia to Indonesia at a reduced tariff rate under the Indonesia-Australia Comprehensive Economic Partnership Agreement.</w:t>
      </w:r>
    </w:p>
    <w:p w14:paraId="44B81098" w14:textId="77777777" w:rsidR="00E477D5" w:rsidRPr="00671655" w:rsidRDefault="00E477D5" w:rsidP="00B27148">
      <w:pPr>
        <w:pStyle w:val="Definition"/>
        <w:ind w:left="567"/>
        <w:rPr>
          <w:sz w:val="24"/>
          <w:szCs w:val="24"/>
        </w:rPr>
      </w:pPr>
      <w:proofErr w:type="gramStart"/>
      <w:r w:rsidRPr="00671655">
        <w:rPr>
          <w:b/>
          <w:i/>
          <w:sz w:val="24"/>
          <w:szCs w:val="24"/>
        </w:rPr>
        <w:t>oranges</w:t>
      </w:r>
      <w:proofErr w:type="gramEnd"/>
      <w:r w:rsidRPr="00671655">
        <w:rPr>
          <w:sz w:val="24"/>
          <w:szCs w:val="24"/>
        </w:rPr>
        <w:t xml:space="preserve"> means oranges of a kind that may be exported from Australia to Indonesia at a reduced tariff rate under the Indonesia-Australia Comprehensive Economic Partnership Agreement.</w:t>
      </w:r>
    </w:p>
    <w:p w14:paraId="64616897" w14:textId="77777777" w:rsidR="00E477D5" w:rsidRPr="00671655" w:rsidRDefault="00E477D5" w:rsidP="00B27148">
      <w:pPr>
        <w:pStyle w:val="Definition"/>
        <w:ind w:left="567"/>
        <w:rPr>
          <w:sz w:val="24"/>
          <w:szCs w:val="24"/>
        </w:rPr>
      </w:pPr>
      <w:proofErr w:type="gramStart"/>
      <w:r w:rsidRPr="00671655">
        <w:rPr>
          <w:b/>
          <w:i/>
          <w:sz w:val="24"/>
          <w:szCs w:val="24"/>
        </w:rPr>
        <w:t>potatoes</w:t>
      </w:r>
      <w:proofErr w:type="gramEnd"/>
      <w:r w:rsidRPr="00671655">
        <w:rPr>
          <w:sz w:val="24"/>
          <w:szCs w:val="24"/>
        </w:rPr>
        <w:t xml:space="preserve"> means potatoes of a kind that may be exported from Australia to Indonesia at a reduced tariff rate under the Indonesia-Australia Comprehensive Economic Partnership Agreement.</w:t>
      </w:r>
    </w:p>
    <w:p w14:paraId="44F1C6B7" w14:textId="77777777" w:rsidR="00E477D5" w:rsidRPr="00671655" w:rsidRDefault="00E477D5" w:rsidP="00E477D5">
      <w:pPr>
        <w:spacing w:line="240" w:lineRule="auto"/>
        <w:rPr>
          <w:sz w:val="24"/>
          <w:szCs w:val="24"/>
        </w:rPr>
      </w:pPr>
    </w:p>
    <w:p w14:paraId="7D465C96" w14:textId="26F8D243" w:rsidR="006A275E" w:rsidRPr="00671655" w:rsidRDefault="006A275E" w:rsidP="00FF72F4">
      <w:pPr>
        <w:spacing w:line="240" w:lineRule="auto"/>
        <w:rPr>
          <w:sz w:val="24"/>
          <w:szCs w:val="24"/>
          <w:u w:val="single"/>
        </w:rPr>
      </w:pPr>
      <w:bookmarkStart w:id="69" w:name="_Toc23863282"/>
      <w:r w:rsidRPr="00671655">
        <w:rPr>
          <w:sz w:val="24"/>
          <w:szCs w:val="24"/>
          <w:u w:val="single"/>
        </w:rPr>
        <w:t xml:space="preserve">Section </w:t>
      </w:r>
      <w:r w:rsidR="00AA00BE" w:rsidRPr="00671655">
        <w:rPr>
          <w:sz w:val="24"/>
          <w:szCs w:val="24"/>
          <w:u w:val="single"/>
        </w:rPr>
        <w:t>76</w:t>
      </w:r>
      <w:r w:rsidRPr="00671655">
        <w:rPr>
          <w:sz w:val="24"/>
          <w:szCs w:val="24"/>
          <w:u w:val="single"/>
        </w:rPr>
        <w:t xml:space="preserve"> - Quota year</w:t>
      </w:r>
      <w:bookmarkEnd w:id="69"/>
    </w:p>
    <w:p w14:paraId="1D831EDE" w14:textId="77777777" w:rsidR="00D14534" w:rsidRPr="00671655" w:rsidRDefault="00D14534" w:rsidP="00FF72F4">
      <w:pPr>
        <w:spacing w:line="240" w:lineRule="auto"/>
        <w:rPr>
          <w:sz w:val="24"/>
          <w:szCs w:val="24"/>
        </w:rPr>
      </w:pPr>
    </w:p>
    <w:p w14:paraId="0F5ADE28" w14:textId="446AF034" w:rsidR="006A275E" w:rsidRPr="00671655" w:rsidRDefault="00064D51" w:rsidP="00FF72F4">
      <w:pPr>
        <w:spacing w:line="240" w:lineRule="auto"/>
        <w:rPr>
          <w:sz w:val="24"/>
          <w:szCs w:val="24"/>
        </w:rPr>
      </w:pPr>
      <w:r w:rsidRPr="00671655">
        <w:rPr>
          <w:sz w:val="24"/>
          <w:szCs w:val="24"/>
        </w:rPr>
        <w:t xml:space="preserve">Subsection </w:t>
      </w:r>
      <w:r w:rsidR="00AA00BE" w:rsidRPr="00671655">
        <w:rPr>
          <w:sz w:val="24"/>
          <w:szCs w:val="24"/>
        </w:rPr>
        <w:t>76</w:t>
      </w:r>
      <w:r w:rsidR="006A275E" w:rsidRPr="00671655">
        <w:rPr>
          <w:sz w:val="24"/>
          <w:szCs w:val="24"/>
        </w:rPr>
        <w:t>(1)</w:t>
      </w:r>
      <w:r w:rsidRPr="00671655">
        <w:rPr>
          <w:sz w:val="24"/>
          <w:szCs w:val="24"/>
        </w:rPr>
        <w:t xml:space="preserve"> provides that a</w:t>
      </w:r>
      <w:r w:rsidR="006A275E" w:rsidRPr="00671655">
        <w:rPr>
          <w:sz w:val="24"/>
          <w:szCs w:val="24"/>
        </w:rPr>
        <w:t xml:space="preserve"> quota year for a kind of Indonesia quota goods for export to Indonesia is a period of 12 months beginning on 1 January.</w:t>
      </w:r>
    </w:p>
    <w:p w14:paraId="66210E68" w14:textId="77777777" w:rsidR="00D14534" w:rsidRPr="00671655" w:rsidRDefault="00D14534" w:rsidP="00FF72F4">
      <w:pPr>
        <w:spacing w:line="240" w:lineRule="auto"/>
        <w:rPr>
          <w:sz w:val="24"/>
          <w:szCs w:val="24"/>
        </w:rPr>
      </w:pPr>
    </w:p>
    <w:p w14:paraId="2C095B28" w14:textId="558DE1B1" w:rsidR="006A275E" w:rsidRPr="00671655" w:rsidRDefault="00D14534" w:rsidP="00FF72F4">
      <w:pPr>
        <w:spacing w:line="240" w:lineRule="auto"/>
        <w:rPr>
          <w:sz w:val="24"/>
          <w:szCs w:val="24"/>
        </w:rPr>
      </w:pPr>
      <w:r w:rsidRPr="00671655">
        <w:rPr>
          <w:sz w:val="24"/>
          <w:szCs w:val="24"/>
        </w:rPr>
        <w:t xml:space="preserve">Subsection </w:t>
      </w:r>
      <w:r w:rsidR="00AA00BE" w:rsidRPr="00671655">
        <w:rPr>
          <w:sz w:val="24"/>
          <w:szCs w:val="24"/>
        </w:rPr>
        <w:t>76</w:t>
      </w:r>
      <w:r w:rsidRPr="00671655">
        <w:rPr>
          <w:sz w:val="24"/>
          <w:szCs w:val="24"/>
        </w:rPr>
        <w:t>(</w:t>
      </w:r>
      <w:r w:rsidR="003C4779">
        <w:rPr>
          <w:sz w:val="24"/>
          <w:szCs w:val="24"/>
        </w:rPr>
        <w:t>2</w:t>
      </w:r>
      <w:r w:rsidRPr="00671655">
        <w:rPr>
          <w:sz w:val="24"/>
          <w:szCs w:val="24"/>
        </w:rPr>
        <w:t>) provides that f</w:t>
      </w:r>
      <w:r w:rsidR="006A275E" w:rsidRPr="00671655">
        <w:rPr>
          <w:sz w:val="24"/>
          <w:szCs w:val="24"/>
        </w:rPr>
        <w:t xml:space="preserve">or the purposes of this Part, the </w:t>
      </w:r>
      <w:r w:rsidR="006A275E" w:rsidRPr="00671655">
        <w:rPr>
          <w:i/>
          <w:sz w:val="24"/>
          <w:szCs w:val="24"/>
        </w:rPr>
        <w:t>initial quota year</w:t>
      </w:r>
      <w:r w:rsidR="006A275E" w:rsidRPr="00671655">
        <w:rPr>
          <w:sz w:val="24"/>
          <w:szCs w:val="24"/>
        </w:rPr>
        <w:t xml:space="preserve"> is the quota year in which the Indonesia-Australia Comprehensive Economic Partnership Agreement comes into force.</w:t>
      </w:r>
      <w:r w:rsidR="00FE44F7" w:rsidRPr="00671655">
        <w:rPr>
          <w:sz w:val="24"/>
          <w:szCs w:val="24"/>
        </w:rPr>
        <w:t xml:space="preserve"> </w:t>
      </w:r>
    </w:p>
    <w:p w14:paraId="2B75E045" w14:textId="77777777" w:rsidR="00D14534" w:rsidRPr="00671655" w:rsidRDefault="00D14534" w:rsidP="00FF72F4">
      <w:pPr>
        <w:spacing w:line="240" w:lineRule="auto"/>
        <w:rPr>
          <w:sz w:val="24"/>
          <w:szCs w:val="24"/>
          <w:u w:val="single"/>
        </w:rPr>
      </w:pPr>
      <w:bookmarkStart w:id="70" w:name="_Toc23863283"/>
    </w:p>
    <w:p w14:paraId="7DFAD0F7" w14:textId="3F18253C" w:rsidR="006A275E" w:rsidRPr="00671655" w:rsidRDefault="00D14534" w:rsidP="00FF72F4">
      <w:pPr>
        <w:spacing w:line="240" w:lineRule="auto"/>
        <w:rPr>
          <w:sz w:val="24"/>
          <w:szCs w:val="24"/>
          <w:u w:val="single"/>
        </w:rPr>
      </w:pPr>
      <w:r w:rsidRPr="00671655">
        <w:rPr>
          <w:sz w:val="24"/>
          <w:szCs w:val="24"/>
          <w:u w:val="single"/>
        </w:rPr>
        <w:lastRenderedPageBreak/>
        <w:t xml:space="preserve">Section </w:t>
      </w:r>
      <w:r w:rsidR="00AA00BE" w:rsidRPr="00671655">
        <w:rPr>
          <w:sz w:val="24"/>
          <w:szCs w:val="24"/>
          <w:u w:val="single"/>
        </w:rPr>
        <w:t>77</w:t>
      </w:r>
      <w:r w:rsidR="006A275E" w:rsidRPr="00671655">
        <w:rPr>
          <w:sz w:val="24"/>
          <w:szCs w:val="24"/>
          <w:u w:val="single"/>
        </w:rPr>
        <w:t xml:space="preserve"> </w:t>
      </w:r>
      <w:r w:rsidRPr="00671655">
        <w:rPr>
          <w:sz w:val="24"/>
          <w:szCs w:val="24"/>
          <w:u w:val="single"/>
        </w:rPr>
        <w:t>-</w:t>
      </w:r>
      <w:r w:rsidR="006A275E" w:rsidRPr="00671655">
        <w:rPr>
          <w:sz w:val="24"/>
          <w:szCs w:val="24"/>
          <w:u w:val="single"/>
        </w:rPr>
        <w:t xml:space="preserve"> Method for issuing tariff rate quota certificates</w:t>
      </w:r>
      <w:bookmarkEnd w:id="70"/>
    </w:p>
    <w:p w14:paraId="5235815A" w14:textId="77777777" w:rsidR="00D14534" w:rsidRPr="00671655" w:rsidRDefault="00D14534" w:rsidP="00FF72F4">
      <w:pPr>
        <w:spacing w:line="240" w:lineRule="auto"/>
        <w:rPr>
          <w:sz w:val="24"/>
          <w:szCs w:val="24"/>
        </w:rPr>
      </w:pPr>
    </w:p>
    <w:p w14:paraId="2B48AC3B" w14:textId="79B1993A" w:rsidR="006A275E" w:rsidRPr="00671655" w:rsidRDefault="00D14534" w:rsidP="00FF72F4">
      <w:pPr>
        <w:spacing w:line="240" w:lineRule="auto"/>
        <w:rPr>
          <w:sz w:val="24"/>
          <w:szCs w:val="24"/>
        </w:rPr>
      </w:pPr>
      <w:r w:rsidRPr="00671655">
        <w:rPr>
          <w:sz w:val="24"/>
          <w:szCs w:val="24"/>
        </w:rPr>
        <w:t xml:space="preserve">Subsection </w:t>
      </w:r>
      <w:r w:rsidR="00AA00BE" w:rsidRPr="00671655">
        <w:rPr>
          <w:sz w:val="24"/>
          <w:szCs w:val="24"/>
        </w:rPr>
        <w:t>77</w:t>
      </w:r>
      <w:r w:rsidRPr="00671655">
        <w:rPr>
          <w:sz w:val="24"/>
          <w:szCs w:val="24"/>
        </w:rPr>
        <w:t>(1) provides that t</w:t>
      </w:r>
      <w:r w:rsidR="006A275E" w:rsidRPr="00671655">
        <w:rPr>
          <w:sz w:val="24"/>
          <w:szCs w:val="24"/>
        </w:rPr>
        <w:t>he first come, first served method</w:t>
      </w:r>
      <w:r w:rsidR="00FE44F7" w:rsidRPr="00671655">
        <w:rPr>
          <w:sz w:val="24"/>
          <w:szCs w:val="24"/>
        </w:rPr>
        <w:t xml:space="preserve"> (Part 1 of Chapter 2)</w:t>
      </w:r>
      <w:r w:rsidR="006A275E" w:rsidRPr="00671655">
        <w:rPr>
          <w:sz w:val="24"/>
          <w:szCs w:val="24"/>
        </w:rPr>
        <w:t xml:space="preserve"> applies for the purposes of issuing a tariff rate quota certificate in relation to a consignment of a kind of Indonesia quota goods (other than a consignment of carrots or potatoes) for export to the Indonesia in the initial quota year </w:t>
      </w:r>
      <w:r w:rsidR="00CC2ACF" w:rsidRPr="00671655">
        <w:rPr>
          <w:sz w:val="24"/>
          <w:szCs w:val="24"/>
        </w:rPr>
        <w:t xml:space="preserve">or a </w:t>
      </w:r>
      <w:r w:rsidR="006A275E" w:rsidRPr="00671655">
        <w:rPr>
          <w:sz w:val="24"/>
          <w:szCs w:val="24"/>
        </w:rPr>
        <w:t>later quota year.</w:t>
      </w:r>
    </w:p>
    <w:p w14:paraId="2D880BA6" w14:textId="77777777" w:rsidR="00D14534" w:rsidRPr="00671655" w:rsidRDefault="00D14534" w:rsidP="00FF72F4">
      <w:pPr>
        <w:spacing w:line="240" w:lineRule="auto"/>
        <w:rPr>
          <w:sz w:val="24"/>
          <w:szCs w:val="24"/>
        </w:rPr>
      </w:pPr>
    </w:p>
    <w:p w14:paraId="15FC1722" w14:textId="219B733F" w:rsidR="006A275E" w:rsidRPr="00671655" w:rsidRDefault="00D14534" w:rsidP="00FF72F4">
      <w:pPr>
        <w:spacing w:line="240" w:lineRule="auto"/>
        <w:rPr>
          <w:sz w:val="24"/>
          <w:szCs w:val="24"/>
        </w:rPr>
      </w:pPr>
      <w:r w:rsidRPr="00671655">
        <w:rPr>
          <w:sz w:val="24"/>
          <w:szCs w:val="24"/>
        </w:rPr>
        <w:t xml:space="preserve">Subsection </w:t>
      </w:r>
      <w:r w:rsidR="00AA00BE" w:rsidRPr="00671655">
        <w:rPr>
          <w:sz w:val="24"/>
          <w:szCs w:val="24"/>
        </w:rPr>
        <w:t>77</w:t>
      </w:r>
      <w:r w:rsidRPr="00671655">
        <w:rPr>
          <w:sz w:val="24"/>
          <w:szCs w:val="24"/>
        </w:rPr>
        <w:t xml:space="preserve">(2) provides that </w:t>
      </w:r>
      <w:r w:rsidR="00CC2ACF" w:rsidRPr="00671655">
        <w:rPr>
          <w:sz w:val="24"/>
          <w:szCs w:val="24"/>
        </w:rPr>
        <w:t xml:space="preserve">subject to subsections </w:t>
      </w:r>
      <w:r w:rsidR="00AA00BE" w:rsidRPr="00671655">
        <w:rPr>
          <w:sz w:val="24"/>
          <w:szCs w:val="24"/>
        </w:rPr>
        <w:t>77</w:t>
      </w:r>
      <w:r w:rsidR="00CC2ACF" w:rsidRPr="00671655">
        <w:rPr>
          <w:sz w:val="24"/>
          <w:szCs w:val="24"/>
        </w:rPr>
        <w:t xml:space="preserve">(3) </w:t>
      </w:r>
      <w:r w:rsidR="00EC6234">
        <w:rPr>
          <w:sz w:val="24"/>
          <w:szCs w:val="24"/>
        </w:rPr>
        <w:t>and</w:t>
      </w:r>
      <w:r w:rsidR="00AD01C7">
        <w:rPr>
          <w:sz w:val="24"/>
          <w:szCs w:val="24"/>
        </w:rPr>
        <w:t xml:space="preserve"> </w:t>
      </w:r>
      <w:r w:rsidR="00AA00BE" w:rsidRPr="00671655">
        <w:rPr>
          <w:sz w:val="24"/>
          <w:szCs w:val="24"/>
        </w:rPr>
        <w:t>77</w:t>
      </w:r>
      <w:r w:rsidR="00CC2ACF" w:rsidRPr="00671655">
        <w:rPr>
          <w:sz w:val="24"/>
          <w:szCs w:val="24"/>
        </w:rPr>
        <w:t>(</w:t>
      </w:r>
      <w:r w:rsidR="00AD01C7">
        <w:rPr>
          <w:sz w:val="24"/>
          <w:szCs w:val="24"/>
        </w:rPr>
        <w:t>4)</w:t>
      </w:r>
      <w:r w:rsidR="00CC2ACF" w:rsidRPr="00671655">
        <w:rPr>
          <w:sz w:val="24"/>
          <w:szCs w:val="24"/>
        </w:rPr>
        <w:t xml:space="preserve">, </w:t>
      </w:r>
      <w:r w:rsidRPr="00671655">
        <w:rPr>
          <w:sz w:val="24"/>
          <w:szCs w:val="24"/>
        </w:rPr>
        <w:t>t</w:t>
      </w:r>
      <w:r w:rsidR="006A275E" w:rsidRPr="00671655">
        <w:rPr>
          <w:sz w:val="24"/>
          <w:szCs w:val="24"/>
        </w:rPr>
        <w:t>he allocation method</w:t>
      </w:r>
      <w:r w:rsidR="00FE44F7" w:rsidRPr="00671655">
        <w:rPr>
          <w:sz w:val="24"/>
          <w:szCs w:val="24"/>
        </w:rPr>
        <w:t xml:space="preserve"> </w:t>
      </w:r>
      <w:r w:rsidR="006A275E" w:rsidRPr="00671655">
        <w:rPr>
          <w:sz w:val="24"/>
          <w:szCs w:val="24"/>
        </w:rPr>
        <w:t xml:space="preserve">applies for the purposes of issuing a tariff rate quota certificate in relation to a consignment of carrots or a consignment of potatoes for export to Indonesia in the initial quota year </w:t>
      </w:r>
      <w:r w:rsidR="00EC6234">
        <w:rPr>
          <w:sz w:val="24"/>
          <w:szCs w:val="24"/>
        </w:rPr>
        <w:t xml:space="preserve">or a </w:t>
      </w:r>
      <w:r w:rsidR="006A275E" w:rsidRPr="00671655">
        <w:rPr>
          <w:sz w:val="24"/>
          <w:szCs w:val="24"/>
        </w:rPr>
        <w:t>later quota year.</w:t>
      </w:r>
      <w:r w:rsidR="00AD01C7">
        <w:rPr>
          <w:sz w:val="24"/>
          <w:szCs w:val="24"/>
        </w:rPr>
        <w:t xml:space="preserve"> The note to this section provides that the allocation method is set out in Part 3 of Chapter 2.</w:t>
      </w:r>
    </w:p>
    <w:p w14:paraId="39D917EE" w14:textId="77777777" w:rsidR="00D14534" w:rsidRPr="00671655" w:rsidRDefault="00D14534" w:rsidP="00FF72F4">
      <w:pPr>
        <w:spacing w:line="240" w:lineRule="auto"/>
        <w:rPr>
          <w:sz w:val="24"/>
          <w:szCs w:val="24"/>
        </w:rPr>
      </w:pPr>
    </w:p>
    <w:p w14:paraId="33AEA7D8" w14:textId="5DBC4306" w:rsidR="006A275E" w:rsidRPr="00671655" w:rsidRDefault="00D14534" w:rsidP="00FF72F4">
      <w:pPr>
        <w:spacing w:line="240" w:lineRule="auto"/>
        <w:rPr>
          <w:sz w:val="24"/>
          <w:szCs w:val="24"/>
        </w:rPr>
      </w:pPr>
      <w:r w:rsidRPr="00671655">
        <w:rPr>
          <w:sz w:val="24"/>
          <w:szCs w:val="24"/>
        </w:rPr>
        <w:t xml:space="preserve">Subsection </w:t>
      </w:r>
      <w:r w:rsidR="00AA00BE" w:rsidRPr="00671655">
        <w:rPr>
          <w:sz w:val="24"/>
          <w:szCs w:val="24"/>
        </w:rPr>
        <w:t>77</w:t>
      </w:r>
      <w:r w:rsidRPr="00671655">
        <w:rPr>
          <w:sz w:val="24"/>
          <w:szCs w:val="24"/>
        </w:rPr>
        <w:t>(3) provides that f</w:t>
      </w:r>
      <w:r w:rsidR="006A275E" w:rsidRPr="00671655">
        <w:rPr>
          <w:sz w:val="24"/>
          <w:szCs w:val="24"/>
        </w:rPr>
        <w:t>or the initial quota year</w:t>
      </w:r>
      <w:r w:rsidRPr="00671655">
        <w:rPr>
          <w:sz w:val="24"/>
          <w:szCs w:val="24"/>
        </w:rPr>
        <w:t xml:space="preserve">, </w:t>
      </w:r>
      <w:r w:rsidR="006A275E" w:rsidRPr="00671655">
        <w:rPr>
          <w:sz w:val="24"/>
          <w:szCs w:val="24"/>
        </w:rPr>
        <w:t>subsection</w:t>
      </w:r>
      <w:r w:rsidR="004927F7" w:rsidRPr="00671655">
        <w:rPr>
          <w:sz w:val="24"/>
          <w:szCs w:val="24"/>
        </w:rPr>
        <w:t>s</w:t>
      </w:r>
      <w:r w:rsidR="006A275E" w:rsidRPr="00671655">
        <w:rPr>
          <w:sz w:val="24"/>
          <w:szCs w:val="24"/>
        </w:rPr>
        <w:t xml:space="preserve"> </w:t>
      </w:r>
      <w:r w:rsidR="00892FD1" w:rsidRPr="00671655">
        <w:rPr>
          <w:sz w:val="24"/>
          <w:szCs w:val="24"/>
        </w:rPr>
        <w:t>40</w:t>
      </w:r>
      <w:r w:rsidR="006A275E" w:rsidRPr="00671655">
        <w:rPr>
          <w:sz w:val="24"/>
          <w:szCs w:val="24"/>
        </w:rPr>
        <w:t xml:space="preserve">(3) </w:t>
      </w:r>
      <w:r w:rsidR="004927F7" w:rsidRPr="00671655">
        <w:rPr>
          <w:sz w:val="24"/>
          <w:szCs w:val="24"/>
        </w:rPr>
        <w:t>and (4)</w:t>
      </w:r>
      <w:r w:rsidR="00671655" w:rsidRPr="00671655">
        <w:rPr>
          <w:sz w:val="24"/>
          <w:szCs w:val="24"/>
        </w:rPr>
        <w:t xml:space="preserve"> (cancellation if less than 25% of an entitlement is used)</w:t>
      </w:r>
      <w:r w:rsidR="004927F7" w:rsidRPr="00671655">
        <w:rPr>
          <w:sz w:val="24"/>
          <w:szCs w:val="24"/>
        </w:rPr>
        <w:t xml:space="preserve"> </w:t>
      </w:r>
      <w:r w:rsidR="006A275E" w:rsidRPr="00671655">
        <w:rPr>
          <w:sz w:val="24"/>
          <w:szCs w:val="24"/>
        </w:rPr>
        <w:t>do not apply and</w:t>
      </w:r>
      <w:r w:rsidRPr="00671655">
        <w:rPr>
          <w:sz w:val="24"/>
          <w:szCs w:val="24"/>
        </w:rPr>
        <w:t xml:space="preserve"> </w:t>
      </w:r>
      <w:r w:rsidR="006A275E" w:rsidRPr="00671655">
        <w:rPr>
          <w:sz w:val="24"/>
          <w:szCs w:val="24"/>
        </w:rPr>
        <w:t xml:space="preserve">if the allocation of tariff rate quota entitlement under section </w:t>
      </w:r>
      <w:r w:rsidR="001C37BA" w:rsidRPr="00671655">
        <w:rPr>
          <w:sz w:val="24"/>
          <w:szCs w:val="24"/>
        </w:rPr>
        <w:t>30</w:t>
      </w:r>
      <w:r w:rsidR="006A275E" w:rsidRPr="00671655">
        <w:rPr>
          <w:sz w:val="24"/>
          <w:szCs w:val="24"/>
        </w:rPr>
        <w:t xml:space="preserve"> does not occur before 1 </w:t>
      </w:r>
      <w:r w:rsidR="004927F7" w:rsidRPr="00671655">
        <w:rPr>
          <w:sz w:val="24"/>
          <w:szCs w:val="24"/>
        </w:rPr>
        <w:t>July</w:t>
      </w:r>
      <w:r w:rsidR="006A275E" w:rsidRPr="00671655">
        <w:rPr>
          <w:sz w:val="24"/>
          <w:szCs w:val="24"/>
        </w:rPr>
        <w:t xml:space="preserve"> in the initial quota year</w:t>
      </w:r>
      <w:r w:rsidR="00477396">
        <w:rPr>
          <w:sz w:val="24"/>
          <w:szCs w:val="24"/>
        </w:rPr>
        <w:t>,</w:t>
      </w:r>
      <w:r w:rsidR="004927F7" w:rsidRPr="00671655">
        <w:rPr>
          <w:sz w:val="24"/>
          <w:szCs w:val="24"/>
        </w:rPr>
        <w:t xml:space="preserve"> Divisions 5 and 6 of Part 3 of Chapter 2 do not apply</w:t>
      </w:r>
      <w:r w:rsidR="006A275E" w:rsidRPr="00671655">
        <w:rPr>
          <w:sz w:val="24"/>
          <w:szCs w:val="24"/>
        </w:rPr>
        <w:t>.</w:t>
      </w:r>
      <w:r w:rsidR="00671655">
        <w:rPr>
          <w:sz w:val="24"/>
          <w:szCs w:val="24"/>
        </w:rPr>
        <w:t xml:space="preserve"> This reflects that if initial allocations were made on or after 1 July it would not be </w:t>
      </w:r>
      <w:r w:rsidR="004A097B">
        <w:rPr>
          <w:sz w:val="24"/>
          <w:szCs w:val="24"/>
        </w:rPr>
        <w:t xml:space="preserve">appropriate </w:t>
      </w:r>
      <w:r w:rsidR="00671655">
        <w:rPr>
          <w:sz w:val="24"/>
          <w:szCs w:val="24"/>
        </w:rPr>
        <w:t>to apply a reclaim and reallocation process in that initial quota year</w:t>
      </w:r>
      <w:r w:rsidR="004A097B">
        <w:rPr>
          <w:sz w:val="24"/>
          <w:szCs w:val="24"/>
        </w:rPr>
        <w:t xml:space="preserve"> so soon after initial allocations</w:t>
      </w:r>
      <w:r w:rsidR="00671655">
        <w:rPr>
          <w:sz w:val="24"/>
          <w:szCs w:val="24"/>
        </w:rPr>
        <w:t>.</w:t>
      </w:r>
    </w:p>
    <w:p w14:paraId="2422F36F" w14:textId="77777777" w:rsidR="00D14534" w:rsidRPr="00671655" w:rsidRDefault="00D14534" w:rsidP="00FF72F4">
      <w:pPr>
        <w:spacing w:line="240" w:lineRule="auto"/>
        <w:rPr>
          <w:sz w:val="24"/>
          <w:szCs w:val="24"/>
        </w:rPr>
      </w:pPr>
    </w:p>
    <w:p w14:paraId="49E13662" w14:textId="1A6417FF" w:rsidR="004D0D0B" w:rsidRPr="00671655" w:rsidRDefault="00D14534">
      <w:pPr>
        <w:spacing w:line="240" w:lineRule="auto"/>
        <w:rPr>
          <w:sz w:val="24"/>
          <w:szCs w:val="24"/>
        </w:rPr>
      </w:pPr>
      <w:r w:rsidRPr="00671655">
        <w:rPr>
          <w:sz w:val="24"/>
          <w:szCs w:val="24"/>
        </w:rPr>
        <w:t xml:space="preserve">Subsection </w:t>
      </w:r>
      <w:r w:rsidR="00AA00BE" w:rsidRPr="00671655">
        <w:rPr>
          <w:sz w:val="24"/>
          <w:szCs w:val="24"/>
        </w:rPr>
        <w:t>77</w:t>
      </w:r>
      <w:r w:rsidRPr="00671655">
        <w:rPr>
          <w:sz w:val="24"/>
          <w:szCs w:val="24"/>
        </w:rPr>
        <w:t>(4) provides that f</w:t>
      </w:r>
      <w:r w:rsidR="006A275E" w:rsidRPr="00671655">
        <w:rPr>
          <w:sz w:val="24"/>
          <w:szCs w:val="24"/>
        </w:rPr>
        <w:t>or the quota year after the initial quota year, no person has an allocation penalty.</w:t>
      </w:r>
      <w:r w:rsidR="00671655">
        <w:rPr>
          <w:sz w:val="24"/>
          <w:szCs w:val="24"/>
        </w:rPr>
        <w:t xml:space="preserve">  This ensures that if the initial quota year were to begin late in the calendar year, no exporter can be penalised for conditions outside of their control.</w:t>
      </w:r>
    </w:p>
    <w:p w14:paraId="631AB975" w14:textId="77777777" w:rsidR="00CF1E82" w:rsidRPr="00671655" w:rsidRDefault="00CF1E82" w:rsidP="00FF72F4">
      <w:pPr>
        <w:spacing w:line="240" w:lineRule="auto"/>
        <w:rPr>
          <w:sz w:val="24"/>
          <w:szCs w:val="24"/>
        </w:rPr>
      </w:pPr>
    </w:p>
    <w:p w14:paraId="5108681F" w14:textId="0CF94ACF" w:rsidR="006A275E" w:rsidRPr="00671655" w:rsidRDefault="00CF1E82" w:rsidP="00FF72F4">
      <w:pPr>
        <w:spacing w:line="240" w:lineRule="auto"/>
        <w:rPr>
          <w:sz w:val="24"/>
          <w:szCs w:val="24"/>
          <w:u w:val="single"/>
        </w:rPr>
      </w:pPr>
      <w:bookmarkStart w:id="71" w:name="_Toc23863284"/>
      <w:r w:rsidRPr="00671655">
        <w:rPr>
          <w:sz w:val="24"/>
          <w:szCs w:val="24"/>
          <w:u w:val="single"/>
        </w:rPr>
        <w:t xml:space="preserve">Section </w:t>
      </w:r>
      <w:r w:rsidR="00AA00BE" w:rsidRPr="00671655">
        <w:rPr>
          <w:sz w:val="24"/>
          <w:szCs w:val="24"/>
          <w:u w:val="single"/>
        </w:rPr>
        <w:t>78</w:t>
      </w:r>
      <w:r w:rsidR="006A275E" w:rsidRPr="00671655">
        <w:rPr>
          <w:sz w:val="24"/>
          <w:szCs w:val="24"/>
          <w:u w:val="single"/>
        </w:rPr>
        <w:t xml:space="preserve"> </w:t>
      </w:r>
      <w:r w:rsidRPr="00671655">
        <w:rPr>
          <w:sz w:val="24"/>
          <w:szCs w:val="24"/>
          <w:u w:val="single"/>
        </w:rPr>
        <w:t>-</w:t>
      </w:r>
      <w:r w:rsidR="006A275E" w:rsidRPr="00671655">
        <w:rPr>
          <w:sz w:val="24"/>
          <w:szCs w:val="24"/>
          <w:u w:val="single"/>
        </w:rPr>
        <w:t xml:space="preserve"> Annual access amount</w:t>
      </w:r>
      <w:bookmarkEnd w:id="71"/>
    </w:p>
    <w:p w14:paraId="16D23F10" w14:textId="77777777" w:rsidR="00CF1E82" w:rsidRPr="00671655" w:rsidRDefault="00CF1E82" w:rsidP="00FF72F4">
      <w:pPr>
        <w:spacing w:line="240" w:lineRule="auto"/>
        <w:rPr>
          <w:sz w:val="24"/>
          <w:szCs w:val="24"/>
        </w:rPr>
      </w:pPr>
    </w:p>
    <w:p w14:paraId="4A8F47B3" w14:textId="068C63D2" w:rsidR="006A275E" w:rsidRPr="00FF72F4" w:rsidRDefault="00CF1E82" w:rsidP="00FF72F4">
      <w:pPr>
        <w:spacing w:line="240" w:lineRule="auto"/>
        <w:rPr>
          <w:sz w:val="24"/>
          <w:szCs w:val="24"/>
        </w:rPr>
      </w:pPr>
      <w:r w:rsidRPr="00FF72F4">
        <w:rPr>
          <w:sz w:val="24"/>
          <w:szCs w:val="24"/>
        </w:rPr>
        <w:t xml:space="preserve">Section </w:t>
      </w:r>
      <w:r w:rsidR="00AA00BE">
        <w:rPr>
          <w:sz w:val="24"/>
          <w:szCs w:val="24"/>
        </w:rPr>
        <w:t>78</w:t>
      </w:r>
      <w:r w:rsidRPr="00FF72F4">
        <w:rPr>
          <w:sz w:val="24"/>
          <w:szCs w:val="24"/>
        </w:rPr>
        <w:t xml:space="preserve"> provides that t</w:t>
      </w:r>
      <w:r w:rsidR="006A275E" w:rsidRPr="00FF72F4">
        <w:rPr>
          <w:sz w:val="24"/>
          <w:szCs w:val="24"/>
        </w:rPr>
        <w:t>he annual access amount for a kind of Indonesia quota goods for export to Indonesia in relation to a quota year is the weight of goods of that kind that may, under the Indonesia-Australia Comprehensive Economic Partnership Agreement</w:t>
      </w:r>
      <w:r w:rsidR="00671655">
        <w:rPr>
          <w:sz w:val="24"/>
          <w:szCs w:val="24"/>
        </w:rPr>
        <w:t xml:space="preserve"> (</w:t>
      </w:r>
      <w:r w:rsidR="00382432">
        <w:rPr>
          <w:sz w:val="24"/>
          <w:szCs w:val="24"/>
        </w:rPr>
        <w:t xml:space="preserve">defined </w:t>
      </w:r>
      <w:r w:rsidR="00671655">
        <w:rPr>
          <w:sz w:val="24"/>
          <w:szCs w:val="24"/>
        </w:rPr>
        <w:t>in section 6)</w:t>
      </w:r>
      <w:r w:rsidR="006A275E" w:rsidRPr="00FF72F4">
        <w:rPr>
          <w:sz w:val="24"/>
          <w:szCs w:val="24"/>
        </w:rPr>
        <w:t>, be exported from Australia to Indonesia in the quota year at a reduced tariff rate.</w:t>
      </w:r>
    </w:p>
    <w:p w14:paraId="70AAC34C" w14:textId="77777777" w:rsidR="00CF1E82" w:rsidRDefault="00CF1E82" w:rsidP="00FF72F4">
      <w:pPr>
        <w:spacing w:line="240" w:lineRule="auto"/>
        <w:rPr>
          <w:szCs w:val="24"/>
          <w:u w:val="single"/>
        </w:rPr>
      </w:pPr>
      <w:bookmarkStart w:id="72" w:name="_Toc23863285"/>
    </w:p>
    <w:p w14:paraId="286AE16A" w14:textId="52DE21F1" w:rsidR="006A275E" w:rsidRPr="00FF72F4" w:rsidRDefault="00CF1E82" w:rsidP="00FF72F4">
      <w:pPr>
        <w:spacing w:line="240" w:lineRule="auto"/>
        <w:rPr>
          <w:szCs w:val="24"/>
          <w:u w:val="single"/>
        </w:rPr>
      </w:pPr>
      <w:r w:rsidRPr="00FF72F4">
        <w:rPr>
          <w:szCs w:val="24"/>
          <w:u w:val="single"/>
        </w:rPr>
        <w:t xml:space="preserve">Section </w:t>
      </w:r>
      <w:r w:rsidR="004D42BE">
        <w:rPr>
          <w:szCs w:val="24"/>
          <w:u w:val="single"/>
        </w:rPr>
        <w:t>79</w:t>
      </w:r>
      <w:r w:rsidR="006A275E" w:rsidRPr="00FF72F4">
        <w:rPr>
          <w:sz w:val="24"/>
          <w:szCs w:val="24"/>
          <w:u w:val="single"/>
        </w:rPr>
        <w:t xml:space="preserve"> </w:t>
      </w:r>
      <w:r w:rsidRPr="00FF72F4">
        <w:rPr>
          <w:sz w:val="24"/>
          <w:szCs w:val="24"/>
          <w:u w:val="single"/>
        </w:rPr>
        <w:t>-</w:t>
      </w:r>
      <w:r w:rsidR="006A275E" w:rsidRPr="00FF72F4">
        <w:rPr>
          <w:sz w:val="24"/>
          <w:szCs w:val="24"/>
          <w:u w:val="single"/>
        </w:rPr>
        <w:t xml:space="preserve"> Application and reclamation days</w:t>
      </w:r>
      <w:bookmarkEnd w:id="72"/>
    </w:p>
    <w:p w14:paraId="720037AB" w14:textId="77777777" w:rsidR="00CF1E82" w:rsidRDefault="00CF1E82" w:rsidP="00FF72F4">
      <w:pPr>
        <w:spacing w:line="240" w:lineRule="auto"/>
        <w:rPr>
          <w:sz w:val="24"/>
          <w:szCs w:val="24"/>
        </w:rPr>
      </w:pPr>
    </w:p>
    <w:p w14:paraId="06F81FD7" w14:textId="23F9D594" w:rsidR="00671655" w:rsidRDefault="00CF1E82" w:rsidP="00FF72F4">
      <w:pPr>
        <w:spacing w:line="240" w:lineRule="auto"/>
        <w:rPr>
          <w:sz w:val="24"/>
          <w:szCs w:val="24"/>
        </w:rPr>
      </w:pPr>
      <w:r w:rsidRPr="00FF72F4">
        <w:rPr>
          <w:sz w:val="24"/>
          <w:szCs w:val="24"/>
        </w:rPr>
        <w:t xml:space="preserve">Subsection </w:t>
      </w:r>
      <w:r w:rsidR="004D42BE">
        <w:rPr>
          <w:sz w:val="24"/>
          <w:szCs w:val="24"/>
        </w:rPr>
        <w:t>79</w:t>
      </w:r>
      <w:r w:rsidRPr="00FF72F4">
        <w:rPr>
          <w:sz w:val="24"/>
          <w:szCs w:val="24"/>
        </w:rPr>
        <w:t>(1) provides that th</w:t>
      </w:r>
      <w:r w:rsidR="006A275E" w:rsidRPr="00FF72F4">
        <w:rPr>
          <w:sz w:val="24"/>
          <w:szCs w:val="24"/>
        </w:rPr>
        <w:t>e annual application day</w:t>
      </w:r>
      <w:r w:rsidR="00777CC5">
        <w:rPr>
          <w:sz w:val="24"/>
          <w:szCs w:val="24"/>
        </w:rPr>
        <w:t xml:space="preserve"> (defined in section 27)</w:t>
      </w:r>
      <w:r w:rsidR="006A275E" w:rsidRPr="00FF72F4">
        <w:rPr>
          <w:sz w:val="24"/>
          <w:szCs w:val="24"/>
        </w:rPr>
        <w:t xml:space="preserve"> for carrots and for potatoes for export to Indonesia is</w:t>
      </w:r>
      <w:r w:rsidR="00671655">
        <w:rPr>
          <w:sz w:val="24"/>
          <w:szCs w:val="24"/>
        </w:rPr>
        <w:t>:</w:t>
      </w:r>
    </w:p>
    <w:p w14:paraId="44AD06AA" w14:textId="77777777" w:rsidR="00671655" w:rsidRDefault="006A275E" w:rsidP="000F6D46">
      <w:pPr>
        <w:pStyle w:val="ListParagraph"/>
        <w:numPr>
          <w:ilvl w:val="0"/>
          <w:numId w:val="49"/>
        </w:numPr>
        <w:spacing w:line="240" w:lineRule="auto"/>
        <w:rPr>
          <w:sz w:val="24"/>
          <w:szCs w:val="24"/>
        </w:rPr>
      </w:pPr>
      <w:r w:rsidRPr="00671655">
        <w:rPr>
          <w:sz w:val="24"/>
          <w:szCs w:val="24"/>
        </w:rPr>
        <w:t>for the initial quota year</w:t>
      </w:r>
      <w:r w:rsidR="00CF1E82" w:rsidRPr="00671655">
        <w:rPr>
          <w:sz w:val="24"/>
          <w:szCs w:val="24"/>
        </w:rPr>
        <w:t xml:space="preserve">, </w:t>
      </w:r>
      <w:r w:rsidRPr="00671655">
        <w:rPr>
          <w:sz w:val="24"/>
          <w:szCs w:val="24"/>
        </w:rPr>
        <w:t>the day specified by the Secretary</w:t>
      </w:r>
      <w:r w:rsidR="00671655">
        <w:rPr>
          <w:sz w:val="24"/>
          <w:szCs w:val="24"/>
        </w:rPr>
        <w:t>,</w:t>
      </w:r>
      <w:r w:rsidRPr="00671655">
        <w:rPr>
          <w:sz w:val="24"/>
          <w:szCs w:val="24"/>
        </w:rPr>
        <w:t xml:space="preserve"> and</w:t>
      </w:r>
      <w:r w:rsidR="00CF1E82" w:rsidRPr="00671655">
        <w:rPr>
          <w:sz w:val="24"/>
          <w:szCs w:val="24"/>
        </w:rPr>
        <w:t xml:space="preserve"> </w:t>
      </w:r>
    </w:p>
    <w:p w14:paraId="3B5C6138" w14:textId="3CE579F4" w:rsidR="006A275E" w:rsidRPr="00671655" w:rsidRDefault="006A275E" w:rsidP="000F6D46">
      <w:pPr>
        <w:pStyle w:val="ListParagraph"/>
        <w:numPr>
          <w:ilvl w:val="0"/>
          <w:numId w:val="49"/>
        </w:numPr>
        <w:spacing w:line="240" w:lineRule="auto"/>
        <w:rPr>
          <w:sz w:val="24"/>
          <w:szCs w:val="24"/>
        </w:rPr>
      </w:pPr>
      <w:proofErr w:type="gramStart"/>
      <w:r w:rsidRPr="00671655">
        <w:rPr>
          <w:sz w:val="24"/>
          <w:szCs w:val="24"/>
        </w:rPr>
        <w:t>for</w:t>
      </w:r>
      <w:proofErr w:type="gramEnd"/>
      <w:r w:rsidRPr="00671655">
        <w:rPr>
          <w:sz w:val="24"/>
          <w:szCs w:val="24"/>
        </w:rPr>
        <w:t xml:space="preserve"> </w:t>
      </w:r>
      <w:r w:rsidR="005138C8" w:rsidRPr="00671655">
        <w:rPr>
          <w:sz w:val="24"/>
          <w:szCs w:val="24"/>
        </w:rPr>
        <w:t xml:space="preserve">a </w:t>
      </w:r>
      <w:r w:rsidRPr="00671655">
        <w:rPr>
          <w:sz w:val="24"/>
          <w:szCs w:val="24"/>
        </w:rPr>
        <w:t>later quota year</w:t>
      </w:r>
      <w:r w:rsidR="00CF1E82" w:rsidRPr="00671655">
        <w:rPr>
          <w:sz w:val="24"/>
          <w:szCs w:val="24"/>
        </w:rPr>
        <w:t xml:space="preserve">, </w:t>
      </w:r>
      <w:r w:rsidRPr="00671655">
        <w:rPr>
          <w:sz w:val="24"/>
          <w:szCs w:val="24"/>
        </w:rPr>
        <w:t>18 November in the calendar year immediately before the quota year.</w:t>
      </w:r>
    </w:p>
    <w:p w14:paraId="4BF8D5BE" w14:textId="77777777" w:rsidR="00CF1E82" w:rsidRDefault="00CF1E82" w:rsidP="00FF72F4">
      <w:pPr>
        <w:spacing w:line="240" w:lineRule="auto"/>
        <w:rPr>
          <w:sz w:val="24"/>
          <w:szCs w:val="24"/>
        </w:rPr>
      </w:pPr>
    </w:p>
    <w:p w14:paraId="620A6B39" w14:textId="45DDD927" w:rsidR="006A275E" w:rsidRDefault="00CF1E82" w:rsidP="00FF72F4">
      <w:pPr>
        <w:spacing w:line="240" w:lineRule="auto"/>
        <w:rPr>
          <w:sz w:val="24"/>
          <w:szCs w:val="24"/>
        </w:rPr>
      </w:pPr>
      <w:r w:rsidRPr="00132889">
        <w:rPr>
          <w:sz w:val="24"/>
          <w:szCs w:val="24"/>
        </w:rPr>
        <w:t xml:space="preserve">Subsection </w:t>
      </w:r>
      <w:r w:rsidR="004D42BE">
        <w:rPr>
          <w:sz w:val="24"/>
          <w:szCs w:val="24"/>
        </w:rPr>
        <w:t>79</w:t>
      </w:r>
      <w:r w:rsidRPr="00132889">
        <w:rPr>
          <w:sz w:val="24"/>
          <w:szCs w:val="24"/>
        </w:rPr>
        <w:t>(</w:t>
      </w:r>
      <w:r>
        <w:rPr>
          <w:sz w:val="24"/>
          <w:szCs w:val="24"/>
        </w:rPr>
        <w:t>2</w:t>
      </w:r>
      <w:r w:rsidRPr="00132889">
        <w:rPr>
          <w:sz w:val="24"/>
          <w:szCs w:val="24"/>
        </w:rPr>
        <w:t>) provides that</w:t>
      </w:r>
      <w:r>
        <w:rPr>
          <w:sz w:val="24"/>
          <w:szCs w:val="24"/>
        </w:rPr>
        <w:t xml:space="preserve"> t</w:t>
      </w:r>
      <w:r w:rsidR="006A275E" w:rsidRPr="00FF72F4">
        <w:rPr>
          <w:sz w:val="24"/>
          <w:szCs w:val="24"/>
        </w:rPr>
        <w:t>he reclamation day</w:t>
      </w:r>
      <w:r w:rsidR="00777CC5">
        <w:rPr>
          <w:sz w:val="24"/>
          <w:szCs w:val="24"/>
        </w:rPr>
        <w:t xml:space="preserve"> (defined in section 27)</w:t>
      </w:r>
      <w:r w:rsidR="006A275E" w:rsidRPr="00FF72F4">
        <w:rPr>
          <w:sz w:val="24"/>
          <w:szCs w:val="24"/>
        </w:rPr>
        <w:t xml:space="preserve"> for carrots and for potatoes for export to Indonesia for a quota year is 31 August in the quota year.</w:t>
      </w:r>
      <w:bookmarkStart w:id="73" w:name="BK_S3P46L4C44"/>
      <w:bookmarkEnd w:id="73"/>
    </w:p>
    <w:p w14:paraId="5144BB5E" w14:textId="77777777" w:rsidR="00CF1E82" w:rsidRDefault="00CF1E82" w:rsidP="00FF72F4">
      <w:pPr>
        <w:spacing w:line="240" w:lineRule="auto"/>
        <w:rPr>
          <w:sz w:val="24"/>
          <w:szCs w:val="24"/>
        </w:rPr>
      </w:pPr>
    </w:p>
    <w:p w14:paraId="44C0474B" w14:textId="2C716B7C" w:rsidR="006A275E" w:rsidRDefault="00CF1E82" w:rsidP="00FF72F4">
      <w:pPr>
        <w:spacing w:line="240" w:lineRule="auto"/>
        <w:rPr>
          <w:sz w:val="24"/>
          <w:szCs w:val="24"/>
        </w:rPr>
      </w:pPr>
      <w:r>
        <w:rPr>
          <w:sz w:val="24"/>
          <w:szCs w:val="24"/>
        </w:rPr>
        <w:t xml:space="preserve">Subsection </w:t>
      </w:r>
      <w:r w:rsidR="004D42BE">
        <w:rPr>
          <w:sz w:val="24"/>
          <w:szCs w:val="24"/>
        </w:rPr>
        <w:t>79</w:t>
      </w:r>
      <w:r>
        <w:rPr>
          <w:sz w:val="24"/>
          <w:szCs w:val="24"/>
        </w:rPr>
        <w:t>(</w:t>
      </w:r>
      <w:r w:rsidR="005138C8">
        <w:rPr>
          <w:sz w:val="24"/>
          <w:szCs w:val="24"/>
        </w:rPr>
        <w:t>3</w:t>
      </w:r>
      <w:r w:rsidRPr="00132889">
        <w:rPr>
          <w:sz w:val="24"/>
          <w:szCs w:val="24"/>
        </w:rPr>
        <w:t>) provides that</w:t>
      </w:r>
      <w:r>
        <w:rPr>
          <w:sz w:val="24"/>
          <w:szCs w:val="24"/>
        </w:rPr>
        <w:t xml:space="preserve"> </w:t>
      </w:r>
      <w:r w:rsidR="006A275E" w:rsidRPr="00FF72F4">
        <w:rPr>
          <w:sz w:val="24"/>
          <w:szCs w:val="24"/>
        </w:rPr>
        <w:t xml:space="preserve">for the initial quota year, if the allocation of tariff rate quota entitlement under section </w:t>
      </w:r>
      <w:r w:rsidR="001C37BA">
        <w:rPr>
          <w:sz w:val="24"/>
          <w:szCs w:val="24"/>
        </w:rPr>
        <w:t>30</w:t>
      </w:r>
      <w:r w:rsidR="006A275E" w:rsidRPr="00FF72F4">
        <w:rPr>
          <w:sz w:val="24"/>
          <w:szCs w:val="24"/>
        </w:rPr>
        <w:t xml:space="preserve"> does not occur before 1 </w:t>
      </w:r>
      <w:r w:rsidR="005138C8">
        <w:rPr>
          <w:sz w:val="24"/>
          <w:szCs w:val="24"/>
        </w:rPr>
        <w:t>July in the quota year</w:t>
      </w:r>
      <w:r w:rsidR="006A275E" w:rsidRPr="00FF72F4">
        <w:rPr>
          <w:sz w:val="24"/>
          <w:szCs w:val="24"/>
        </w:rPr>
        <w:t>, the reclamation day is 31 December</w:t>
      </w:r>
      <w:r w:rsidR="005138C8">
        <w:rPr>
          <w:sz w:val="24"/>
          <w:szCs w:val="24"/>
        </w:rPr>
        <w:t xml:space="preserve"> in the quota year</w:t>
      </w:r>
      <w:r w:rsidR="006A275E" w:rsidRPr="00FF72F4">
        <w:rPr>
          <w:sz w:val="24"/>
          <w:szCs w:val="24"/>
        </w:rPr>
        <w:t>.</w:t>
      </w:r>
      <w:bookmarkStart w:id="74" w:name="BK_S3P46L7C33"/>
      <w:bookmarkEnd w:id="74"/>
      <w:r w:rsidR="00671655">
        <w:rPr>
          <w:sz w:val="24"/>
          <w:szCs w:val="24"/>
        </w:rPr>
        <w:t xml:space="preserve"> This change is to allow transfers to continue to operate for the remainder of the quota year (see section 37).</w:t>
      </w:r>
    </w:p>
    <w:p w14:paraId="163814FB" w14:textId="77777777" w:rsidR="00CF1E82" w:rsidRDefault="00CF1E82" w:rsidP="00FF72F4">
      <w:pPr>
        <w:spacing w:line="240" w:lineRule="auto"/>
        <w:rPr>
          <w:sz w:val="24"/>
          <w:szCs w:val="24"/>
        </w:rPr>
      </w:pPr>
    </w:p>
    <w:p w14:paraId="1476339E" w14:textId="10EF2935" w:rsidR="00120943" w:rsidRPr="00FF72F4" w:rsidRDefault="00CF1E82" w:rsidP="00FF72F4">
      <w:pPr>
        <w:spacing w:line="240" w:lineRule="auto"/>
        <w:rPr>
          <w:sz w:val="24"/>
          <w:szCs w:val="24"/>
        </w:rPr>
      </w:pPr>
      <w:r>
        <w:rPr>
          <w:sz w:val="24"/>
          <w:szCs w:val="24"/>
        </w:rPr>
        <w:t xml:space="preserve">This subsection includes a note </w:t>
      </w:r>
      <w:r w:rsidR="00120943">
        <w:rPr>
          <w:sz w:val="24"/>
          <w:szCs w:val="24"/>
        </w:rPr>
        <w:t xml:space="preserve">referring to </w:t>
      </w:r>
      <w:r w:rsidR="00382432">
        <w:rPr>
          <w:sz w:val="24"/>
          <w:szCs w:val="24"/>
        </w:rPr>
        <w:t xml:space="preserve">paragraph </w:t>
      </w:r>
      <w:r w:rsidR="00AA00BE">
        <w:rPr>
          <w:sz w:val="24"/>
          <w:szCs w:val="24"/>
        </w:rPr>
        <w:t>77</w:t>
      </w:r>
      <w:r w:rsidR="00120943">
        <w:rPr>
          <w:sz w:val="24"/>
          <w:szCs w:val="24"/>
        </w:rPr>
        <w:t xml:space="preserve">(3)(b) which provides that </w:t>
      </w:r>
      <w:r w:rsidR="00120943" w:rsidRPr="00FF72F4">
        <w:rPr>
          <w:sz w:val="24"/>
          <w:szCs w:val="24"/>
        </w:rPr>
        <w:t xml:space="preserve">Divisions 5 and 6 of Part 3 of Chapter 2 do not apply if the allocation of tariff rate quota entitlement under section </w:t>
      </w:r>
      <w:r w:rsidR="001C37BA">
        <w:rPr>
          <w:sz w:val="24"/>
          <w:szCs w:val="24"/>
        </w:rPr>
        <w:t>30</w:t>
      </w:r>
      <w:r w:rsidR="00120943" w:rsidRPr="00FF72F4">
        <w:rPr>
          <w:sz w:val="24"/>
          <w:szCs w:val="24"/>
        </w:rPr>
        <w:t xml:space="preserve"> does not occur before </w:t>
      </w:r>
      <w:r w:rsidR="00382432">
        <w:rPr>
          <w:sz w:val="24"/>
          <w:szCs w:val="24"/>
        </w:rPr>
        <w:t>1 July</w:t>
      </w:r>
      <w:r w:rsidR="00120943" w:rsidRPr="00FF72F4">
        <w:rPr>
          <w:sz w:val="24"/>
          <w:szCs w:val="24"/>
        </w:rPr>
        <w:t xml:space="preserve"> in the initial quota year.</w:t>
      </w:r>
    </w:p>
    <w:p w14:paraId="0A60845E" w14:textId="77777777" w:rsidR="00120943" w:rsidRDefault="00120943" w:rsidP="00FF72F4">
      <w:pPr>
        <w:spacing w:line="240" w:lineRule="auto"/>
        <w:rPr>
          <w:szCs w:val="24"/>
          <w:u w:val="single"/>
        </w:rPr>
      </w:pPr>
      <w:bookmarkStart w:id="75" w:name="_Toc23863286"/>
    </w:p>
    <w:p w14:paraId="43FF9779" w14:textId="420C9232" w:rsidR="006A275E" w:rsidRPr="00FF72F4" w:rsidRDefault="00120943" w:rsidP="00FF72F4">
      <w:pPr>
        <w:spacing w:line="240" w:lineRule="auto"/>
        <w:rPr>
          <w:szCs w:val="24"/>
          <w:u w:val="single"/>
        </w:rPr>
      </w:pPr>
      <w:r>
        <w:rPr>
          <w:sz w:val="24"/>
          <w:szCs w:val="24"/>
          <w:u w:val="single"/>
        </w:rPr>
        <w:t xml:space="preserve">Section </w:t>
      </w:r>
      <w:r w:rsidR="006A275E" w:rsidRPr="00FF72F4">
        <w:rPr>
          <w:szCs w:val="24"/>
          <w:u w:val="single"/>
        </w:rPr>
        <w:t>80</w:t>
      </w:r>
      <w:r w:rsidR="006A275E" w:rsidRPr="00FF72F4">
        <w:rPr>
          <w:sz w:val="24"/>
          <w:szCs w:val="24"/>
          <w:u w:val="single"/>
        </w:rPr>
        <w:t xml:space="preserve"> </w:t>
      </w:r>
      <w:r>
        <w:rPr>
          <w:sz w:val="24"/>
          <w:szCs w:val="24"/>
          <w:u w:val="single"/>
        </w:rPr>
        <w:t>-</w:t>
      </w:r>
      <w:r w:rsidR="006A275E" w:rsidRPr="00FF72F4">
        <w:rPr>
          <w:sz w:val="24"/>
          <w:szCs w:val="24"/>
          <w:u w:val="single"/>
        </w:rPr>
        <w:t xml:space="preserve"> Eligible person</w:t>
      </w:r>
      <w:bookmarkEnd w:id="75"/>
    </w:p>
    <w:p w14:paraId="4DEC4FFA" w14:textId="77777777" w:rsidR="00120943" w:rsidRDefault="00120943" w:rsidP="00FF72F4">
      <w:pPr>
        <w:spacing w:line="240" w:lineRule="auto"/>
        <w:rPr>
          <w:sz w:val="24"/>
          <w:szCs w:val="24"/>
        </w:rPr>
      </w:pPr>
    </w:p>
    <w:p w14:paraId="12BAEC04" w14:textId="21E72756" w:rsidR="00671655" w:rsidRDefault="00120943" w:rsidP="00FF72F4">
      <w:pPr>
        <w:spacing w:line="240" w:lineRule="auto"/>
        <w:rPr>
          <w:sz w:val="24"/>
          <w:szCs w:val="24"/>
        </w:rPr>
      </w:pPr>
      <w:r w:rsidRPr="00FF72F4">
        <w:rPr>
          <w:sz w:val="24"/>
          <w:szCs w:val="24"/>
        </w:rPr>
        <w:t>Section 80 provides that a</w:t>
      </w:r>
      <w:r w:rsidR="006A275E" w:rsidRPr="00FF72F4">
        <w:rPr>
          <w:sz w:val="24"/>
          <w:szCs w:val="24"/>
        </w:rPr>
        <w:t>ny person is an eligible person for carrots or for potatoes for export to Indonesia.</w:t>
      </w:r>
    </w:p>
    <w:p w14:paraId="0898B7D9" w14:textId="77777777" w:rsidR="00B31137" w:rsidRPr="00FF72F4" w:rsidRDefault="00B31137" w:rsidP="00FF72F4">
      <w:pPr>
        <w:spacing w:line="240" w:lineRule="auto"/>
        <w:rPr>
          <w:sz w:val="24"/>
          <w:szCs w:val="24"/>
        </w:rPr>
      </w:pPr>
    </w:p>
    <w:p w14:paraId="4E1C1EAD" w14:textId="3BDCDD5E" w:rsidR="006A275E" w:rsidRPr="00FF72F4" w:rsidRDefault="00B31137" w:rsidP="00FF72F4">
      <w:pPr>
        <w:spacing w:line="240" w:lineRule="auto"/>
        <w:rPr>
          <w:szCs w:val="24"/>
          <w:u w:val="single"/>
        </w:rPr>
      </w:pPr>
      <w:bookmarkStart w:id="76" w:name="_Toc23863287"/>
      <w:r w:rsidRPr="00FF72F4">
        <w:rPr>
          <w:szCs w:val="24"/>
          <w:u w:val="single"/>
        </w:rPr>
        <w:t xml:space="preserve">Section </w:t>
      </w:r>
      <w:r w:rsidR="004D42BE">
        <w:rPr>
          <w:szCs w:val="24"/>
          <w:u w:val="single"/>
        </w:rPr>
        <w:t>81</w:t>
      </w:r>
      <w:r w:rsidR="006A275E" w:rsidRPr="00FF72F4">
        <w:rPr>
          <w:sz w:val="24"/>
          <w:szCs w:val="24"/>
          <w:u w:val="single"/>
        </w:rPr>
        <w:t xml:space="preserve"> </w:t>
      </w:r>
      <w:r w:rsidRPr="00FF72F4">
        <w:rPr>
          <w:sz w:val="24"/>
          <w:szCs w:val="24"/>
          <w:u w:val="single"/>
        </w:rPr>
        <w:t>-</w:t>
      </w:r>
      <w:r w:rsidR="006A275E" w:rsidRPr="00FF72F4">
        <w:rPr>
          <w:sz w:val="24"/>
          <w:szCs w:val="24"/>
          <w:u w:val="single"/>
        </w:rPr>
        <w:t xml:space="preserve"> Eligible past exports</w:t>
      </w:r>
      <w:bookmarkEnd w:id="76"/>
    </w:p>
    <w:p w14:paraId="3A0C278B" w14:textId="77777777" w:rsidR="00B31137" w:rsidRDefault="00B31137" w:rsidP="00FF72F4">
      <w:pPr>
        <w:spacing w:line="240" w:lineRule="auto"/>
        <w:rPr>
          <w:sz w:val="24"/>
          <w:szCs w:val="24"/>
        </w:rPr>
      </w:pPr>
      <w:bookmarkStart w:id="77" w:name="BK_S3P46L16C1"/>
      <w:bookmarkEnd w:id="77"/>
    </w:p>
    <w:p w14:paraId="35D8E59F" w14:textId="2574DCD4" w:rsidR="006A275E" w:rsidRDefault="00B31137" w:rsidP="00FF72F4">
      <w:pPr>
        <w:spacing w:line="240" w:lineRule="auto"/>
        <w:rPr>
          <w:sz w:val="24"/>
          <w:szCs w:val="24"/>
        </w:rPr>
      </w:pPr>
      <w:r w:rsidRPr="00FF72F4">
        <w:rPr>
          <w:sz w:val="24"/>
          <w:szCs w:val="24"/>
        </w:rPr>
        <w:t xml:space="preserve">Subsection </w:t>
      </w:r>
      <w:r w:rsidR="004D42BE">
        <w:rPr>
          <w:sz w:val="24"/>
          <w:szCs w:val="24"/>
        </w:rPr>
        <w:t>81</w:t>
      </w:r>
      <w:r w:rsidR="006A275E" w:rsidRPr="00FF72F4">
        <w:rPr>
          <w:sz w:val="24"/>
          <w:szCs w:val="24"/>
        </w:rPr>
        <w:t>(1)</w:t>
      </w:r>
      <w:r w:rsidRPr="00FF72F4">
        <w:rPr>
          <w:sz w:val="24"/>
          <w:szCs w:val="24"/>
        </w:rPr>
        <w:t xml:space="preserve"> provides that a</w:t>
      </w:r>
      <w:r w:rsidR="006A275E" w:rsidRPr="00FF72F4">
        <w:rPr>
          <w:sz w:val="24"/>
          <w:szCs w:val="24"/>
        </w:rPr>
        <w:t xml:space="preserve"> consignment is an eligible past export for carrots for export to Indonesia in relation to the initial quota year or </w:t>
      </w:r>
      <w:r w:rsidR="00F061B0">
        <w:rPr>
          <w:sz w:val="24"/>
          <w:szCs w:val="24"/>
        </w:rPr>
        <w:t xml:space="preserve">either of </w:t>
      </w:r>
      <w:r w:rsidR="006A275E" w:rsidRPr="00FF72F4">
        <w:rPr>
          <w:sz w:val="24"/>
          <w:szCs w:val="24"/>
        </w:rPr>
        <w:t>the next 2 quota years if it is a consignment of carrots exported to any country in the period</w:t>
      </w:r>
      <w:r w:rsidRPr="00FF72F4">
        <w:rPr>
          <w:sz w:val="24"/>
          <w:szCs w:val="24"/>
        </w:rPr>
        <w:t xml:space="preserve"> </w:t>
      </w:r>
      <w:r w:rsidR="006A275E" w:rsidRPr="00FF72F4">
        <w:rPr>
          <w:sz w:val="24"/>
          <w:szCs w:val="24"/>
        </w:rPr>
        <w:t>beginning on the 19 November that is between 25 and 26 months before the start of th</w:t>
      </w:r>
      <w:r w:rsidR="00F061B0">
        <w:rPr>
          <w:sz w:val="24"/>
          <w:szCs w:val="24"/>
        </w:rPr>
        <w:t>at</w:t>
      </w:r>
      <w:r w:rsidR="00FF72F4">
        <w:rPr>
          <w:sz w:val="24"/>
          <w:szCs w:val="24"/>
        </w:rPr>
        <w:t xml:space="preserve"> quota year and </w:t>
      </w:r>
      <w:r w:rsidR="00671655">
        <w:rPr>
          <w:sz w:val="24"/>
          <w:szCs w:val="24"/>
        </w:rPr>
        <w:t>ending on 18 </w:t>
      </w:r>
      <w:r w:rsidR="006A275E" w:rsidRPr="00FF72F4">
        <w:rPr>
          <w:sz w:val="24"/>
          <w:szCs w:val="24"/>
        </w:rPr>
        <w:t>November of the calendar year before th</w:t>
      </w:r>
      <w:r w:rsidR="00F061B0">
        <w:rPr>
          <w:sz w:val="24"/>
          <w:szCs w:val="24"/>
        </w:rPr>
        <w:t>at</w:t>
      </w:r>
      <w:r w:rsidR="006A275E" w:rsidRPr="00FF72F4">
        <w:rPr>
          <w:sz w:val="24"/>
          <w:szCs w:val="24"/>
        </w:rPr>
        <w:t xml:space="preserve"> quota year starts.</w:t>
      </w:r>
      <w:r w:rsidR="00671655">
        <w:rPr>
          <w:sz w:val="24"/>
          <w:szCs w:val="24"/>
        </w:rPr>
        <w:t xml:space="preserve"> </w:t>
      </w:r>
      <w:r w:rsidR="00501254">
        <w:rPr>
          <w:sz w:val="24"/>
          <w:szCs w:val="24"/>
        </w:rPr>
        <w:t>(For example, in calculating the 2020 quota year entitlements, the eligible past export range is 19 November 2017 to 18 November 2019).</w:t>
      </w:r>
    </w:p>
    <w:p w14:paraId="30E1F950" w14:textId="77777777" w:rsidR="00B31137" w:rsidRDefault="00B31137" w:rsidP="00FF72F4">
      <w:pPr>
        <w:spacing w:line="240" w:lineRule="auto"/>
        <w:rPr>
          <w:sz w:val="24"/>
          <w:szCs w:val="24"/>
        </w:rPr>
      </w:pPr>
    </w:p>
    <w:p w14:paraId="380160A8" w14:textId="686C1A1F" w:rsidR="006A275E" w:rsidRDefault="00B31137" w:rsidP="00FF72F4">
      <w:pPr>
        <w:spacing w:line="240" w:lineRule="auto"/>
        <w:rPr>
          <w:sz w:val="24"/>
          <w:szCs w:val="24"/>
        </w:rPr>
      </w:pPr>
      <w:r w:rsidRPr="00132889">
        <w:rPr>
          <w:sz w:val="24"/>
          <w:szCs w:val="24"/>
        </w:rPr>
        <w:t xml:space="preserve">Subsection </w:t>
      </w:r>
      <w:r w:rsidR="004D42BE">
        <w:rPr>
          <w:sz w:val="24"/>
          <w:szCs w:val="24"/>
        </w:rPr>
        <w:t>81</w:t>
      </w:r>
      <w:r w:rsidRPr="00132889">
        <w:rPr>
          <w:sz w:val="24"/>
          <w:szCs w:val="24"/>
        </w:rPr>
        <w:t>(</w:t>
      </w:r>
      <w:r>
        <w:rPr>
          <w:sz w:val="24"/>
          <w:szCs w:val="24"/>
        </w:rPr>
        <w:t>2</w:t>
      </w:r>
      <w:r w:rsidRPr="00132889">
        <w:rPr>
          <w:sz w:val="24"/>
          <w:szCs w:val="24"/>
        </w:rPr>
        <w:t>) provides that</w:t>
      </w:r>
      <w:r>
        <w:rPr>
          <w:sz w:val="24"/>
          <w:szCs w:val="24"/>
        </w:rPr>
        <w:t xml:space="preserve"> a</w:t>
      </w:r>
      <w:r w:rsidR="006A275E" w:rsidRPr="00FF72F4">
        <w:rPr>
          <w:sz w:val="24"/>
          <w:szCs w:val="24"/>
        </w:rPr>
        <w:t xml:space="preserve"> consignment is an eligible past export for carrots for export to Indonesia in relation to a quota year (</w:t>
      </w:r>
      <w:r w:rsidR="00F061B0">
        <w:rPr>
          <w:sz w:val="24"/>
          <w:szCs w:val="24"/>
        </w:rPr>
        <w:t xml:space="preserve">other </w:t>
      </w:r>
      <w:r w:rsidR="006A275E" w:rsidRPr="00FF72F4">
        <w:rPr>
          <w:sz w:val="24"/>
          <w:szCs w:val="24"/>
        </w:rPr>
        <w:t>th</w:t>
      </w:r>
      <w:r w:rsidR="00F061B0">
        <w:rPr>
          <w:sz w:val="24"/>
          <w:szCs w:val="24"/>
        </w:rPr>
        <w:t>an a</w:t>
      </w:r>
      <w:r w:rsidR="006A275E" w:rsidRPr="00FF72F4">
        <w:rPr>
          <w:sz w:val="24"/>
          <w:szCs w:val="24"/>
        </w:rPr>
        <w:t xml:space="preserve"> quota year to which subsection </w:t>
      </w:r>
      <w:r w:rsidR="004D42BE">
        <w:rPr>
          <w:sz w:val="24"/>
          <w:szCs w:val="24"/>
        </w:rPr>
        <w:t>81</w:t>
      </w:r>
      <w:r w:rsidRPr="00FF72F4">
        <w:rPr>
          <w:sz w:val="24"/>
          <w:szCs w:val="24"/>
        </w:rPr>
        <w:t>(1) applies) if i</w:t>
      </w:r>
      <w:r w:rsidR="006A275E" w:rsidRPr="00FF72F4">
        <w:rPr>
          <w:sz w:val="24"/>
          <w:szCs w:val="24"/>
        </w:rPr>
        <w:t>t is a consignment of carrots exported to Indonesia and</w:t>
      </w:r>
      <w:r w:rsidRPr="00FF72F4">
        <w:rPr>
          <w:sz w:val="24"/>
          <w:szCs w:val="24"/>
        </w:rPr>
        <w:t xml:space="preserve"> </w:t>
      </w:r>
      <w:r w:rsidR="006A275E" w:rsidRPr="00FF72F4">
        <w:rPr>
          <w:sz w:val="24"/>
          <w:szCs w:val="24"/>
        </w:rPr>
        <w:t>a tariff rate quota certificate was issued in relation to the consignment in the period</w:t>
      </w:r>
      <w:r w:rsidRPr="00FF72F4">
        <w:rPr>
          <w:sz w:val="24"/>
          <w:szCs w:val="24"/>
        </w:rPr>
        <w:t xml:space="preserve"> b</w:t>
      </w:r>
      <w:r w:rsidR="00671655">
        <w:rPr>
          <w:sz w:val="24"/>
          <w:szCs w:val="24"/>
        </w:rPr>
        <w:t>eginning on the 19 </w:t>
      </w:r>
      <w:r w:rsidR="006A275E" w:rsidRPr="00FF72F4">
        <w:rPr>
          <w:sz w:val="24"/>
          <w:szCs w:val="24"/>
        </w:rPr>
        <w:t>November that is between 25 and 26 months before the start of th</w:t>
      </w:r>
      <w:r w:rsidR="00F061B0">
        <w:rPr>
          <w:sz w:val="24"/>
          <w:szCs w:val="24"/>
        </w:rPr>
        <w:t>at</w:t>
      </w:r>
      <w:r w:rsidR="006A275E" w:rsidRPr="00FF72F4">
        <w:rPr>
          <w:sz w:val="24"/>
          <w:szCs w:val="24"/>
        </w:rPr>
        <w:t xml:space="preserve"> quota year and</w:t>
      </w:r>
      <w:r w:rsidRPr="00FF72F4">
        <w:rPr>
          <w:sz w:val="24"/>
          <w:szCs w:val="24"/>
        </w:rPr>
        <w:t xml:space="preserve"> </w:t>
      </w:r>
      <w:r w:rsidR="006A275E" w:rsidRPr="00FF72F4">
        <w:rPr>
          <w:sz w:val="24"/>
          <w:szCs w:val="24"/>
        </w:rPr>
        <w:t>ending on 18 November of the calendar year before th</w:t>
      </w:r>
      <w:r w:rsidR="00F061B0">
        <w:rPr>
          <w:sz w:val="24"/>
          <w:szCs w:val="24"/>
        </w:rPr>
        <w:t>at</w:t>
      </w:r>
      <w:r w:rsidR="006A275E" w:rsidRPr="00FF72F4">
        <w:rPr>
          <w:sz w:val="24"/>
          <w:szCs w:val="24"/>
        </w:rPr>
        <w:t xml:space="preserve"> quota year starts.</w:t>
      </w:r>
    </w:p>
    <w:p w14:paraId="076EBC70" w14:textId="77777777" w:rsidR="00671655" w:rsidRDefault="00671655" w:rsidP="00FF72F4">
      <w:pPr>
        <w:spacing w:line="240" w:lineRule="auto"/>
        <w:rPr>
          <w:sz w:val="24"/>
          <w:szCs w:val="24"/>
        </w:rPr>
      </w:pPr>
    </w:p>
    <w:p w14:paraId="3E3FB98D" w14:textId="40A7E6F2" w:rsidR="00671655" w:rsidRDefault="00671655" w:rsidP="00FF72F4">
      <w:pPr>
        <w:spacing w:line="240" w:lineRule="auto"/>
        <w:rPr>
          <w:sz w:val="24"/>
          <w:szCs w:val="24"/>
        </w:rPr>
      </w:pPr>
      <w:r>
        <w:rPr>
          <w:sz w:val="24"/>
          <w:szCs w:val="24"/>
        </w:rPr>
        <w:t xml:space="preserve">Subsection 81(1) </w:t>
      </w:r>
      <w:r w:rsidR="004A6992">
        <w:rPr>
          <w:sz w:val="24"/>
          <w:szCs w:val="24"/>
        </w:rPr>
        <w:t>specifies the use of</w:t>
      </w:r>
      <w:r>
        <w:rPr>
          <w:sz w:val="24"/>
          <w:szCs w:val="24"/>
        </w:rPr>
        <w:t xml:space="preserve"> global export history as there is no quota history to utilise initially. Once two full quota years have operated there is sufficient quota history to adjust the eligible past exports as set out in subsection 81(2).</w:t>
      </w:r>
    </w:p>
    <w:p w14:paraId="5D19144D" w14:textId="77777777" w:rsidR="00B31137" w:rsidRDefault="00B31137" w:rsidP="00FF72F4">
      <w:pPr>
        <w:spacing w:line="240" w:lineRule="auto"/>
        <w:rPr>
          <w:sz w:val="24"/>
          <w:szCs w:val="24"/>
        </w:rPr>
      </w:pPr>
    </w:p>
    <w:p w14:paraId="388BCA32" w14:textId="0453B293" w:rsidR="006A275E" w:rsidRDefault="00B31137" w:rsidP="00FF72F4">
      <w:pPr>
        <w:spacing w:line="240" w:lineRule="auto"/>
        <w:rPr>
          <w:sz w:val="24"/>
          <w:szCs w:val="24"/>
        </w:rPr>
      </w:pPr>
      <w:r w:rsidRPr="00132889">
        <w:rPr>
          <w:sz w:val="24"/>
          <w:szCs w:val="24"/>
        </w:rPr>
        <w:t xml:space="preserve">Subsection </w:t>
      </w:r>
      <w:r w:rsidR="004D42BE">
        <w:rPr>
          <w:sz w:val="24"/>
          <w:szCs w:val="24"/>
        </w:rPr>
        <w:t>81</w:t>
      </w:r>
      <w:r w:rsidRPr="00132889">
        <w:rPr>
          <w:sz w:val="24"/>
          <w:szCs w:val="24"/>
        </w:rPr>
        <w:t>(</w:t>
      </w:r>
      <w:r>
        <w:rPr>
          <w:sz w:val="24"/>
          <w:szCs w:val="24"/>
        </w:rPr>
        <w:t>3</w:t>
      </w:r>
      <w:r w:rsidRPr="00132889">
        <w:rPr>
          <w:sz w:val="24"/>
          <w:szCs w:val="24"/>
        </w:rPr>
        <w:t>) provides that</w:t>
      </w:r>
      <w:r>
        <w:rPr>
          <w:sz w:val="24"/>
          <w:szCs w:val="24"/>
        </w:rPr>
        <w:t xml:space="preserve"> a</w:t>
      </w:r>
      <w:r w:rsidR="006A275E" w:rsidRPr="00FF72F4">
        <w:rPr>
          <w:sz w:val="24"/>
          <w:szCs w:val="24"/>
        </w:rPr>
        <w:t xml:space="preserve"> consignment is an eligible past export for potatoes for export to Indonesia in relation to the initial quota year or </w:t>
      </w:r>
      <w:r w:rsidR="00F061B0">
        <w:rPr>
          <w:sz w:val="24"/>
          <w:szCs w:val="24"/>
        </w:rPr>
        <w:t xml:space="preserve">either of </w:t>
      </w:r>
      <w:r w:rsidR="006A275E" w:rsidRPr="00FF72F4">
        <w:rPr>
          <w:sz w:val="24"/>
          <w:szCs w:val="24"/>
        </w:rPr>
        <w:t>the next 2 quota years if it is a consignment of potatoes exported to any country in the period</w:t>
      </w:r>
      <w:r w:rsidRPr="00FF72F4">
        <w:rPr>
          <w:sz w:val="24"/>
          <w:szCs w:val="24"/>
        </w:rPr>
        <w:t xml:space="preserve"> </w:t>
      </w:r>
      <w:r w:rsidR="006A275E" w:rsidRPr="00FF72F4">
        <w:rPr>
          <w:sz w:val="24"/>
          <w:szCs w:val="24"/>
        </w:rPr>
        <w:t>beginning on the 19 November that is between 25 and 26 months before the start of th</w:t>
      </w:r>
      <w:r w:rsidR="00F061B0">
        <w:rPr>
          <w:sz w:val="24"/>
          <w:szCs w:val="24"/>
        </w:rPr>
        <w:t>at</w:t>
      </w:r>
      <w:r w:rsidR="006A275E" w:rsidRPr="00FF72F4">
        <w:rPr>
          <w:sz w:val="24"/>
          <w:szCs w:val="24"/>
        </w:rPr>
        <w:t xml:space="preserve"> quota year and</w:t>
      </w:r>
      <w:r w:rsidRPr="00FF72F4">
        <w:rPr>
          <w:sz w:val="24"/>
          <w:szCs w:val="24"/>
        </w:rPr>
        <w:t xml:space="preserve"> </w:t>
      </w:r>
      <w:r w:rsidR="006A275E" w:rsidRPr="00FF72F4">
        <w:rPr>
          <w:sz w:val="24"/>
          <w:szCs w:val="24"/>
        </w:rPr>
        <w:t>ending on 18 November of the calendar year before th</w:t>
      </w:r>
      <w:r w:rsidR="00F061B0">
        <w:rPr>
          <w:sz w:val="24"/>
          <w:szCs w:val="24"/>
        </w:rPr>
        <w:t>at</w:t>
      </w:r>
      <w:r w:rsidR="006A275E" w:rsidRPr="00FF72F4">
        <w:rPr>
          <w:sz w:val="24"/>
          <w:szCs w:val="24"/>
        </w:rPr>
        <w:t xml:space="preserve"> quota year starts.</w:t>
      </w:r>
      <w:r w:rsidR="00501254">
        <w:rPr>
          <w:sz w:val="24"/>
          <w:szCs w:val="24"/>
        </w:rPr>
        <w:t xml:space="preserve"> (For example, in calculating the 2020 quota year entitlements, the eligible past export range is 19 November 2017 to 18 November 2019).</w:t>
      </w:r>
    </w:p>
    <w:p w14:paraId="4849E38D" w14:textId="77777777" w:rsidR="00B31137" w:rsidRDefault="00B31137" w:rsidP="00FF72F4">
      <w:pPr>
        <w:spacing w:line="240" w:lineRule="auto"/>
        <w:rPr>
          <w:sz w:val="24"/>
          <w:szCs w:val="24"/>
        </w:rPr>
      </w:pPr>
    </w:p>
    <w:p w14:paraId="3FE80E66" w14:textId="1E5A8876" w:rsidR="006A275E" w:rsidRDefault="00B31137" w:rsidP="00FF72F4">
      <w:pPr>
        <w:spacing w:line="240" w:lineRule="auto"/>
        <w:rPr>
          <w:sz w:val="24"/>
          <w:szCs w:val="24"/>
        </w:rPr>
      </w:pPr>
      <w:r w:rsidRPr="00132889">
        <w:rPr>
          <w:sz w:val="24"/>
          <w:szCs w:val="24"/>
        </w:rPr>
        <w:t xml:space="preserve">Subsection </w:t>
      </w:r>
      <w:r w:rsidR="004D42BE">
        <w:rPr>
          <w:sz w:val="24"/>
          <w:szCs w:val="24"/>
        </w:rPr>
        <w:t>81</w:t>
      </w:r>
      <w:r w:rsidRPr="00132889">
        <w:rPr>
          <w:sz w:val="24"/>
          <w:szCs w:val="24"/>
        </w:rPr>
        <w:t>(</w:t>
      </w:r>
      <w:r>
        <w:rPr>
          <w:sz w:val="24"/>
          <w:szCs w:val="24"/>
        </w:rPr>
        <w:t>4</w:t>
      </w:r>
      <w:r w:rsidRPr="00132889">
        <w:rPr>
          <w:sz w:val="24"/>
          <w:szCs w:val="24"/>
        </w:rPr>
        <w:t>) provides that</w:t>
      </w:r>
      <w:r>
        <w:rPr>
          <w:sz w:val="24"/>
          <w:szCs w:val="24"/>
        </w:rPr>
        <w:t xml:space="preserve"> a</w:t>
      </w:r>
      <w:r w:rsidR="006A275E" w:rsidRPr="00FF72F4">
        <w:rPr>
          <w:sz w:val="24"/>
          <w:szCs w:val="24"/>
        </w:rPr>
        <w:t xml:space="preserve"> consignment is an eligible past export for potatoes for export to Indonesia in relation to a later quota year (</w:t>
      </w:r>
      <w:r w:rsidR="00F061B0">
        <w:rPr>
          <w:sz w:val="24"/>
          <w:szCs w:val="24"/>
        </w:rPr>
        <w:t xml:space="preserve">other than </w:t>
      </w:r>
      <w:r w:rsidR="00382432">
        <w:rPr>
          <w:sz w:val="24"/>
          <w:szCs w:val="24"/>
        </w:rPr>
        <w:t>a</w:t>
      </w:r>
      <w:r w:rsidR="00382432" w:rsidRPr="00FF72F4">
        <w:rPr>
          <w:sz w:val="24"/>
          <w:szCs w:val="24"/>
        </w:rPr>
        <w:t xml:space="preserve"> </w:t>
      </w:r>
      <w:r w:rsidR="006A275E" w:rsidRPr="00FF72F4">
        <w:rPr>
          <w:sz w:val="24"/>
          <w:szCs w:val="24"/>
        </w:rPr>
        <w:t xml:space="preserve">quota year to which subsection </w:t>
      </w:r>
      <w:r w:rsidR="004D42BE">
        <w:rPr>
          <w:sz w:val="24"/>
          <w:szCs w:val="24"/>
        </w:rPr>
        <w:t>81</w:t>
      </w:r>
      <w:r w:rsidR="006A275E" w:rsidRPr="00FF72F4">
        <w:rPr>
          <w:sz w:val="24"/>
          <w:szCs w:val="24"/>
        </w:rPr>
        <w:t>(3) ap</w:t>
      </w:r>
      <w:r w:rsidRPr="00FF72F4">
        <w:rPr>
          <w:sz w:val="24"/>
          <w:szCs w:val="24"/>
        </w:rPr>
        <w:t xml:space="preserve">plies) if </w:t>
      </w:r>
      <w:r w:rsidR="006A275E" w:rsidRPr="00FF72F4">
        <w:rPr>
          <w:sz w:val="24"/>
          <w:szCs w:val="24"/>
        </w:rPr>
        <w:t>it is a consignment of potatoes exported to Indonesia and</w:t>
      </w:r>
      <w:r w:rsidRPr="00FF72F4">
        <w:rPr>
          <w:sz w:val="24"/>
          <w:szCs w:val="24"/>
        </w:rPr>
        <w:t xml:space="preserve"> </w:t>
      </w:r>
      <w:r w:rsidR="006A275E" w:rsidRPr="00FF72F4">
        <w:rPr>
          <w:sz w:val="24"/>
          <w:szCs w:val="24"/>
        </w:rPr>
        <w:t>a tariff rate quota certificate was issued in relation to the consignment in the period</w:t>
      </w:r>
      <w:r w:rsidRPr="00FF72F4">
        <w:rPr>
          <w:sz w:val="24"/>
          <w:szCs w:val="24"/>
        </w:rPr>
        <w:t xml:space="preserve"> </w:t>
      </w:r>
      <w:r w:rsidR="006A275E" w:rsidRPr="00FF72F4">
        <w:rPr>
          <w:sz w:val="24"/>
          <w:szCs w:val="24"/>
        </w:rPr>
        <w:t>beginning on the 19 November that is between 25 and 26 months before the start of th</w:t>
      </w:r>
      <w:r w:rsidR="00F061B0">
        <w:rPr>
          <w:sz w:val="24"/>
          <w:szCs w:val="24"/>
        </w:rPr>
        <w:t>at</w:t>
      </w:r>
      <w:r w:rsidR="006A275E" w:rsidRPr="00FF72F4">
        <w:rPr>
          <w:sz w:val="24"/>
          <w:szCs w:val="24"/>
        </w:rPr>
        <w:t xml:space="preserve"> quota year and</w:t>
      </w:r>
      <w:r w:rsidRPr="00FF72F4">
        <w:rPr>
          <w:sz w:val="24"/>
          <w:szCs w:val="24"/>
        </w:rPr>
        <w:t xml:space="preserve"> </w:t>
      </w:r>
      <w:r w:rsidR="006A275E" w:rsidRPr="00FF72F4">
        <w:rPr>
          <w:sz w:val="24"/>
          <w:szCs w:val="24"/>
        </w:rPr>
        <w:t>ending on 18 November of the calendar year before th</w:t>
      </w:r>
      <w:r w:rsidR="00F061B0">
        <w:rPr>
          <w:sz w:val="24"/>
          <w:szCs w:val="24"/>
        </w:rPr>
        <w:t>at</w:t>
      </w:r>
      <w:r w:rsidR="006A275E" w:rsidRPr="00FF72F4">
        <w:rPr>
          <w:sz w:val="24"/>
          <w:szCs w:val="24"/>
        </w:rPr>
        <w:t xml:space="preserve"> quota year starts.</w:t>
      </w:r>
    </w:p>
    <w:p w14:paraId="2BFEEEEB" w14:textId="77777777" w:rsidR="00671655" w:rsidRDefault="00671655" w:rsidP="00FF72F4">
      <w:pPr>
        <w:spacing w:line="240" w:lineRule="auto"/>
        <w:rPr>
          <w:sz w:val="24"/>
          <w:szCs w:val="24"/>
        </w:rPr>
      </w:pPr>
    </w:p>
    <w:p w14:paraId="6ED66C78" w14:textId="1E8ABCD8" w:rsidR="00671655" w:rsidRDefault="00671655" w:rsidP="00671655">
      <w:pPr>
        <w:spacing w:line="240" w:lineRule="auto"/>
        <w:rPr>
          <w:sz w:val="24"/>
          <w:szCs w:val="24"/>
        </w:rPr>
      </w:pPr>
      <w:r>
        <w:rPr>
          <w:sz w:val="24"/>
          <w:szCs w:val="24"/>
        </w:rPr>
        <w:t xml:space="preserve">Subsections 81(3) </w:t>
      </w:r>
      <w:r w:rsidR="004A6992">
        <w:rPr>
          <w:sz w:val="24"/>
          <w:szCs w:val="24"/>
        </w:rPr>
        <w:t>specifies the use of</w:t>
      </w:r>
      <w:r>
        <w:rPr>
          <w:sz w:val="24"/>
          <w:szCs w:val="24"/>
        </w:rPr>
        <w:t xml:space="preserve"> global export history as there is no quota history to utilise initially. Once two full quota years have operated there is sufficient quota history to adjust the eligible past exports as set out in subsection 81(4).</w:t>
      </w:r>
    </w:p>
    <w:p w14:paraId="4F89C4DC" w14:textId="77777777" w:rsidR="00D54A72" w:rsidRDefault="00D54A72" w:rsidP="00FF72F4">
      <w:pPr>
        <w:spacing w:line="240" w:lineRule="auto"/>
        <w:rPr>
          <w:szCs w:val="24"/>
          <w:u w:val="single"/>
        </w:rPr>
      </w:pPr>
      <w:bookmarkStart w:id="78" w:name="_Toc23863288"/>
    </w:p>
    <w:p w14:paraId="447D23FD" w14:textId="4B7B7B2B" w:rsidR="006A275E" w:rsidRPr="00FF72F4" w:rsidRDefault="00D54A72" w:rsidP="00FF72F4">
      <w:pPr>
        <w:spacing w:line="240" w:lineRule="auto"/>
        <w:rPr>
          <w:szCs w:val="24"/>
          <w:u w:val="single"/>
        </w:rPr>
      </w:pPr>
      <w:r w:rsidRPr="00FF72F4">
        <w:rPr>
          <w:szCs w:val="24"/>
          <w:u w:val="single"/>
        </w:rPr>
        <w:t xml:space="preserve">Section </w:t>
      </w:r>
      <w:r w:rsidR="006A275E" w:rsidRPr="00FF72F4">
        <w:rPr>
          <w:szCs w:val="24"/>
          <w:u w:val="single"/>
        </w:rPr>
        <w:t>8</w:t>
      </w:r>
      <w:r w:rsidR="004D42BE">
        <w:rPr>
          <w:szCs w:val="24"/>
          <w:u w:val="single"/>
        </w:rPr>
        <w:t>2</w:t>
      </w:r>
      <w:r w:rsidR="006A275E" w:rsidRPr="00FF72F4">
        <w:rPr>
          <w:sz w:val="24"/>
          <w:szCs w:val="24"/>
          <w:u w:val="single"/>
        </w:rPr>
        <w:t xml:space="preserve"> </w:t>
      </w:r>
      <w:r w:rsidRPr="00FF72F4">
        <w:rPr>
          <w:sz w:val="24"/>
          <w:szCs w:val="24"/>
          <w:u w:val="single"/>
        </w:rPr>
        <w:t>-</w:t>
      </w:r>
      <w:r w:rsidR="006A275E" w:rsidRPr="00FF72F4">
        <w:rPr>
          <w:sz w:val="24"/>
          <w:szCs w:val="24"/>
          <w:u w:val="single"/>
        </w:rPr>
        <w:t xml:space="preserve"> Minimum quota allocation</w:t>
      </w:r>
      <w:bookmarkEnd w:id="78"/>
    </w:p>
    <w:p w14:paraId="35822177" w14:textId="77777777" w:rsidR="00D54A72" w:rsidRDefault="00D54A72" w:rsidP="00FF72F4">
      <w:pPr>
        <w:spacing w:line="240" w:lineRule="auto"/>
        <w:rPr>
          <w:sz w:val="24"/>
          <w:szCs w:val="24"/>
        </w:rPr>
      </w:pPr>
    </w:p>
    <w:p w14:paraId="0FDA7EF3" w14:textId="6FDB535F" w:rsidR="006A275E" w:rsidRDefault="00D54A72" w:rsidP="00FF72F4">
      <w:pPr>
        <w:spacing w:line="240" w:lineRule="auto"/>
      </w:pPr>
      <w:r w:rsidRPr="00FF72F4">
        <w:rPr>
          <w:sz w:val="24"/>
          <w:szCs w:val="24"/>
        </w:rPr>
        <w:t>Section 8</w:t>
      </w:r>
      <w:r w:rsidR="004D42BE">
        <w:rPr>
          <w:sz w:val="24"/>
          <w:szCs w:val="24"/>
        </w:rPr>
        <w:t>2</w:t>
      </w:r>
      <w:r w:rsidRPr="00FF72F4">
        <w:rPr>
          <w:sz w:val="24"/>
          <w:szCs w:val="24"/>
        </w:rPr>
        <w:t xml:space="preserve"> provides that t</w:t>
      </w:r>
      <w:r w:rsidR="006A275E" w:rsidRPr="00FF72F4">
        <w:rPr>
          <w:sz w:val="24"/>
          <w:szCs w:val="24"/>
        </w:rPr>
        <w:t>he minimum quota allocation for carrots and for potatoes for export to Indonesia in relation to a quota year is 1 tonne</w:t>
      </w:r>
      <w:r w:rsidR="006A275E">
        <w:t>.</w:t>
      </w:r>
    </w:p>
    <w:p w14:paraId="4ACC6CBF" w14:textId="77777777" w:rsidR="00D54A72" w:rsidRDefault="00D54A72" w:rsidP="00FF72F4">
      <w:pPr>
        <w:spacing w:line="240" w:lineRule="auto"/>
        <w:rPr>
          <w:szCs w:val="24"/>
          <w:u w:val="single"/>
        </w:rPr>
      </w:pPr>
      <w:bookmarkStart w:id="79" w:name="_Toc23863289"/>
    </w:p>
    <w:p w14:paraId="4C44E22E" w14:textId="4C1A44C5" w:rsidR="006A275E" w:rsidRPr="00FF72F4" w:rsidRDefault="00D54A72" w:rsidP="00FF72F4">
      <w:pPr>
        <w:spacing w:line="240" w:lineRule="auto"/>
        <w:rPr>
          <w:szCs w:val="24"/>
          <w:u w:val="single"/>
        </w:rPr>
      </w:pPr>
      <w:r w:rsidRPr="00FF72F4">
        <w:rPr>
          <w:szCs w:val="24"/>
          <w:u w:val="single"/>
        </w:rPr>
        <w:t xml:space="preserve">Section </w:t>
      </w:r>
      <w:r w:rsidR="004D42BE">
        <w:rPr>
          <w:szCs w:val="24"/>
          <w:u w:val="single"/>
        </w:rPr>
        <w:t>83</w:t>
      </w:r>
      <w:r w:rsidR="006A275E" w:rsidRPr="00FF72F4">
        <w:rPr>
          <w:sz w:val="24"/>
          <w:szCs w:val="24"/>
          <w:u w:val="single"/>
        </w:rPr>
        <w:t xml:space="preserve"> </w:t>
      </w:r>
      <w:r w:rsidRPr="00FF72F4">
        <w:rPr>
          <w:sz w:val="24"/>
          <w:szCs w:val="24"/>
          <w:u w:val="single"/>
        </w:rPr>
        <w:t>-</w:t>
      </w:r>
      <w:r w:rsidR="006A275E" w:rsidRPr="00FF72F4">
        <w:rPr>
          <w:sz w:val="24"/>
          <w:szCs w:val="24"/>
          <w:u w:val="single"/>
        </w:rPr>
        <w:t xml:space="preserve"> Penalties</w:t>
      </w:r>
      <w:bookmarkEnd w:id="79"/>
    </w:p>
    <w:p w14:paraId="5A0E9811" w14:textId="77777777" w:rsidR="00D54A72" w:rsidRDefault="00D54A72" w:rsidP="00FF72F4">
      <w:pPr>
        <w:spacing w:line="240" w:lineRule="auto"/>
      </w:pPr>
    </w:p>
    <w:p w14:paraId="09A5D781" w14:textId="30AE67CD" w:rsidR="006A275E" w:rsidRDefault="00D54A72" w:rsidP="00FF72F4">
      <w:pPr>
        <w:spacing w:line="240" w:lineRule="auto"/>
        <w:rPr>
          <w:sz w:val="24"/>
          <w:szCs w:val="24"/>
        </w:rPr>
      </w:pPr>
      <w:r w:rsidRPr="00FF72F4">
        <w:rPr>
          <w:sz w:val="24"/>
          <w:szCs w:val="24"/>
        </w:rPr>
        <w:t xml:space="preserve">Subsection </w:t>
      </w:r>
      <w:r w:rsidR="004D42BE">
        <w:rPr>
          <w:sz w:val="24"/>
          <w:szCs w:val="24"/>
        </w:rPr>
        <w:t>83</w:t>
      </w:r>
      <w:r w:rsidR="006A275E" w:rsidRPr="00FF72F4">
        <w:rPr>
          <w:sz w:val="24"/>
          <w:szCs w:val="24"/>
        </w:rPr>
        <w:t>(1)</w:t>
      </w:r>
      <w:r w:rsidRPr="00FF72F4">
        <w:rPr>
          <w:sz w:val="24"/>
          <w:szCs w:val="24"/>
        </w:rPr>
        <w:t xml:space="preserve"> provides that t</w:t>
      </w:r>
      <w:r w:rsidR="006A275E" w:rsidRPr="00FF72F4">
        <w:rPr>
          <w:sz w:val="24"/>
          <w:szCs w:val="24"/>
        </w:rPr>
        <w:t>he require</w:t>
      </w:r>
      <w:r w:rsidRPr="00FF72F4">
        <w:rPr>
          <w:sz w:val="24"/>
          <w:szCs w:val="24"/>
        </w:rPr>
        <w:t>d</w:t>
      </w:r>
      <w:r w:rsidR="006A275E" w:rsidRPr="00FF72F4">
        <w:rPr>
          <w:sz w:val="24"/>
          <w:szCs w:val="24"/>
        </w:rPr>
        <w:t xml:space="preserve"> usage percentage for carrots and for potatoes for export to Indonesia is 90 per cent.</w:t>
      </w:r>
    </w:p>
    <w:p w14:paraId="40C68D2A" w14:textId="77777777" w:rsidR="00D54A72" w:rsidRDefault="00D54A72" w:rsidP="00FF72F4">
      <w:pPr>
        <w:spacing w:line="240" w:lineRule="auto"/>
        <w:rPr>
          <w:sz w:val="24"/>
          <w:szCs w:val="24"/>
        </w:rPr>
      </w:pPr>
    </w:p>
    <w:p w14:paraId="3A492CB5" w14:textId="2DD0FB24" w:rsidR="006A275E" w:rsidRDefault="00D54A72" w:rsidP="00FF72F4">
      <w:pPr>
        <w:spacing w:line="240" w:lineRule="auto"/>
        <w:rPr>
          <w:sz w:val="24"/>
          <w:szCs w:val="24"/>
        </w:rPr>
      </w:pPr>
      <w:r w:rsidRPr="00132889">
        <w:rPr>
          <w:sz w:val="24"/>
          <w:szCs w:val="24"/>
        </w:rPr>
        <w:t xml:space="preserve">Subsection </w:t>
      </w:r>
      <w:r w:rsidR="004D42BE">
        <w:rPr>
          <w:sz w:val="24"/>
          <w:szCs w:val="24"/>
        </w:rPr>
        <w:t>83</w:t>
      </w:r>
      <w:r w:rsidRPr="00132889">
        <w:rPr>
          <w:sz w:val="24"/>
          <w:szCs w:val="24"/>
        </w:rPr>
        <w:t>(</w:t>
      </w:r>
      <w:r>
        <w:rPr>
          <w:sz w:val="24"/>
          <w:szCs w:val="24"/>
        </w:rPr>
        <w:t>2</w:t>
      </w:r>
      <w:r w:rsidRPr="00132889">
        <w:rPr>
          <w:sz w:val="24"/>
          <w:szCs w:val="24"/>
        </w:rPr>
        <w:t>) provides that</w:t>
      </w:r>
      <w:r>
        <w:rPr>
          <w:sz w:val="24"/>
          <w:szCs w:val="24"/>
        </w:rPr>
        <w:t xml:space="preserve"> t</w:t>
      </w:r>
      <w:r w:rsidR="006A275E" w:rsidRPr="00FF72F4">
        <w:rPr>
          <w:sz w:val="24"/>
          <w:szCs w:val="24"/>
        </w:rPr>
        <w:t>he penalty individual threshold for carrots and for potatoes for export to Indonesia in relation to a quota year is 10 tonnes.</w:t>
      </w:r>
    </w:p>
    <w:p w14:paraId="4A46BE74" w14:textId="77777777" w:rsidR="00D54A72" w:rsidRDefault="00D54A72" w:rsidP="00FF72F4">
      <w:pPr>
        <w:spacing w:line="240" w:lineRule="auto"/>
        <w:rPr>
          <w:sz w:val="24"/>
          <w:szCs w:val="24"/>
        </w:rPr>
      </w:pPr>
    </w:p>
    <w:p w14:paraId="2444E21D" w14:textId="453F5B7C" w:rsidR="006A275E" w:rsidRDefault="00D54A72" w:rsidP="00FF72F4">
      <w:pPr>
        <w:spacing w:line="240" w:lineRule="auto"/>
        <w:rPr>
          <w:sz w:val="24"/>
          <w:szCs w:val="24"/>
        </w:rPr>
      </w:pPr>
      <w:r w:rsidRPr="00132889">
        <w:rPr>
          <w:sz w:val="24"/>
          <w:szCs w:val="24"/>
        </w:rPr>
        <w:t xml:space="preserve">Subsection </w:t>
      </w:r>
      <w:r w:rsidR="004D42BE">
        <w:rPr>
          <w:sz w:val="24"/>
          <w:szCs w:val="24"/>
        </w:rPr>
        <w:t>83</w:t>
      </w:r>
      <w:r w:rsidRPr="00132889">
        <w:rPr>
          <w:sz w:val="24"/>
          <w:szCs w:val="24"/>
        </w:rPr>
        <w:t>(</w:t>
      </w:r>
      <w:r>
        <w:rPr>
          <w:sz w:val="24"/>
          <w:szCs w:val="24"/>
        </w:rPr>
        <w:t>3</w:t>
      </w:r>
      <w:r w:rsidRPr="00132889">
        <w:rPr>
          <w:sz w:val="24"/>
          <w:szCs w:val="24"/>
        </w:rPr>
        <w:t>) provides that</w:t>
      </w:r>
      <w:r>
        <w:rPr>
          <w:sz w:val="24"/>
          <w:szCs w:val="24"/>
        </w:rPr>
        <w:t xml:space="preserve"> t</w:t>
      </w:r>
      <w:r w:rsidR="006A275E" w:rsidRPr="00FF72F4">
        <w:rPr>
          <w:sz w:val="24"/>
          <w:szCs w:val="24"/>
        </w:rPr>
        <w:t>he penalty pool threshold for carrots and for potatoes for export to Indonesia in relation to a quota year is 300 tonnes.</w:t>
      </w:r>
    </w:p>
    <w:p w14:paraId="1C1A165F" w14:textId="77777777" w:rsidR="00671655" w:rsidRDefault="00671655" w:rsidP="00FF72F4">
      <w:pPr>
        <w:spacing w:line="240" w:lineRule="auto"/>
        <w:rPr>
          <w:sz w:val="24"/>
          <w:szCs w:val="24"/>
        </w:rPr>
      </w:pPr>
    </w:p>
    <w:p w14:paraId="734A2120" w14:textId="2A739849" w:rsidR="00671655" w:rsidRPr="00FF72F4" w:rsidRDefault="00671655" w:rsidP="00FF72F4">
      <w:pPr>
        <w:spacing w:line="240" w:lineRule="auto"/>
        <w:rPr>
          <w:sz w:val="24"/>
          <w:szCs w:val="24"/>
        </w:rPr>
      </w:pPr>
      <w:r>
        <w:rPr>
          <w:sz w:val="24"/>
          <w:szCs w:val="24"/>
        </w:rPr>
        <w:t>Each of the values in section 83 relate to the application of penalties in section 33.</w:t>
      </w:r>
    </w:p>
    <w:p w14:paraId="542F8EF3" w14:textId="77777777" w:rsidR="00D54A72" w:rsidRDefault="00D54A72" w:rsidP="00FF72F4">
      <w:pPr>
        <w:spacing w:line="240" w:lineRule="auto"/>
        <w:rPr>
          <w:szCs w:val="24"/>
          <w:u w:val="single"/>
        </w:rPr>
      </w:pPr>
      <w:bookmarkStart w:id="80" w:name="_Toc23863290"/>
    </w:p>
    <w:p w14:paraId="01A33B85" w14:textId="2FA5E750" w:rsidR="006A275E" w:rsidRPr="00FF72F4" w:rsidRDefault="00D54A72" w:rsidP="00FF72F4">
      <w:pPr>
        <w:spacing w:line="240" w:lineRule="auto"/>
        <w:rPr>
          <w:szCs w:val="24"/>
          <w:u w:val="single"/>
        </w:rPr>
      </w:pPr>
      <w:r w:rsidRPr="00FF72F4">
        <w:rPr>
          <w:szCs w:val="24"/>
          <w:u w:val="single"/>
        </w:rPr>
        <w:t xml:space="preserve">Section </w:t>
      </w:r>
      <w:r w:rsidR="004D42BE">
        <w:rPr>
          <w:szCs w:val="24"/>
          <w:u w:val="single"/>
        </w:rPr>
        <w:t>84</w:t>
      </w:r>
      <w:r w:rsidR="006A275E" w:rsidRPr="00FF72F4">
        <w:rPr>
          <w:sz w:val="24"/>
          <w:szCs w:val="24"/>
          <w:u w:val="single"/>
        </w:rPr>
        <w:t xml:space="preserve"> </w:t>
      </w:r>
      <w:r w:rsidRPr="00FF72F4">
        <w:rPr>
          <w:sz w:val="24"/>
          <w:szCs w:val="24"/>
          <w:u w:val="single"/>
        </w:rPr>
        <w:t>-</w:t>
      </w:r>
      <w:r w:rsidR="006A275E" w:rsidRPr="00FF72F4">
        <w:rPr>
          <w:sz w:val="24"/>
          <w:szCs w:val="24"/>
          <w:u w:val="single"/>
        </w:rPr>
        <w:t xml:space="preserve"> Maximum transfer percentage</w:t>
      </w:r>
      <w:bookmarkEnd w:id="80"/>
    </w:p>
    <w:p w14:paraId="7BBECFB8" w14:textId="77777777" w:rsidR="00D54A72" w:rsidRDefault="00D54A72" w:rsidP="00FF72F4">
      <w:pPr>
        <w:spacing w:line="240" w:lineRule="auto"/>
        <w:rPr>
          <w:sz w:val="24"/>
          <w:szCs w:val="24"/>
        </w:rPr>
      </w:pPr>
    </w:p>
    <w:p w14:paraId="6E2F0DA5" w14:textId="421B5AF4" w:rsidR="006A275E" w:rsidRDefault="00D54A72" w:rsidP="00FF72F4">
      <w:pPr>
        <w:spacing w:line="240" w:lineRule="auto"/>
      </w:pPr>
      <w:r w:rsidRPr="00FF72F4">
        <w:rPr>
          <w:sz w:val="24"/>
          <w:szCs w:val="24"/>
        </w:rPr>
        <w:t>Section 8</w:t>
      </w:r>
      <w:r w:rsidR="004D42BE">
        <w:rPr>
          <w:sz w:val="24"/>
          <w:szCs w:val="24"/>
        </w:rPr>
        <w:t>4</w:t>
      </w:r>
      <w:r w:rsidRPr="00FF72F4">
        <w:rPr>
          <w:sz w:val="24"/>
          <w:szCs w:val="24"/>
        </w:rPr>
        <w:t xml:space="preserve"> provides that t</w:t>
      </w:r>
      <w:r w:rsidR="006A275E" w:rsidRPr="00FF72F4">
        <w:rPr>
          <w:sz w:val="24"/>
          <w:szCs w:val="24"/>
        </w:rPr>
        <w:t>he maximum transfer percentage for carrots and for potatoes for export to Indonesia is 50 per cent</w:t>
      </w:r>
      <w:r w:rsidR="006A275E">
        <w:t>.</w:t>
      </w:r>
    </w:p>
    <w:p w14:paraId="36EC0B40" w14:textId="77777777" w:rsidR="00D54A72" w:rsidRDefault="00D54A72" w:rsidP="00FF72F4">
      <w:pPr>
        <w:spacing w:line="240" w:lineRule="auto"/>
        <w:rPr>
          <w:szCs w:val="24"/>
          <w:u w:val="single"/>
        </w:rPr>
      </w:pPr>
      <w:bookmarkStart w:id="81" w:name="_Toc23863291"/>
    </w:p>
    <w:p w14:paraId="1E2B52DA" w14:textId="2E7D0B79" w:rsidR="006A275E" w:rsidRPr="00FF72F4" w:rsidRDefault="00D54A72" w:rsidP="00FF72F4">
      <w:pPr>
        <w:spacing w:line="240" w:lineRule="auto"/>
        <w:rPr>
          <w:szCs w:val="24"/>
          <w:u w:val="single"/>
        </w:rPr>
      </w:pPr>
      <w:r w:rsidRPr="00FF72F4">
        <w:rPr>
          <w:szCs w:val="24"/>
          <w:u w:val="single"/>
        </w:rPr>
        <w:t xml:space="preserve">Section </w:t>
      </w:r>
      <w:r w:rsidR="004D42BE">
        <w:rPr>
          <w:szCs w:val="24"/>
          <w:u w:val="single"/>
        </w:rPr>
        <w:t>85</w:t>
      </w:r>
      <w:r w:rsidR="006A275E" w:rsidRPr="00FF72F4">
        <w:rPr>
          <w:sz w:val="24"/>
          <w:szCs w:val="24"/>
          <w:u w:val="single"/>
        </w:rPr>
        <w:t xml:space="preserve"> </w:t>
      </w:r>
      <w:r w:rsidRPr="00FF72F4">
        <w:rPr>
          <w:sz w:val="24"/>
          <w:szCs w:val="24"/>
          <w:u w:val="single"/>
        </w:rPr>
        <w:t>-</w:t>
      </w:r>
      <w:r w:rsidR="006A275E" w:rsidRPr="00FF72F4">
        <w:rPr>
          <w:sz w:val="24"/>
          <w:szCs w:val="24"/>
          <w:u w:val="single"/>
        </w:rPr>
        <w:t xml:space="preserve"> New entrant amounts</w:t>
      </w:r>
      <w:bookmarkEnd w:id="81"/>
    </w:p>
    <w:p w14:paraId="6F8F816A" w14:textId="77777777" w:rsidR="00160CB1" w:rsidRDefault="00160CB1" w:rsidP="00FF72F4">
      <w:pPr>
        <w:spacing w:line="240" w:lineRule="auto"/>
        <w:rPr>
          <w:sz w:val="24"/>
          <w:szCs w:val="24"/>
        </w:rPr>
      </w:pPr>
    </w:p>
    <w:p w14:paraId="5E47B79C" w14:textId="2C06531D" w:rsidR="00671655" w:rsidRDefault="00160CB1" w:rsidP="00FF72F4">
      <w:pPr>
        <w:spacing w:line="240" w:lineRule="auto"/>
        <w:rPr>
          <w:sz w:val="24"/>
          <w:szCs w:val="24"/>
        </w:rPr>
      </w:pPr>
      <w:r w:rsidRPr="00FF72F4">
        <w:rPr>
          <w:sz w:val="24"/>
          <w:szCs w:val="24"/>
        </w:rPr>
        <w:t xml:space="preserve">Subsection </w:t>
      </w:r>
      <w:r w:rsidR="004D42BE">
        <w:rPr>
          <w:sz w:val="24"/>
          <w:szCs w:val="24"/>
        </w:rPr>
        <w:t>85</w:t>
      </w:r>
      <w:r w:rsidR="006A275E" w:rsidRPr="00FF72F4">
        <w:rPr>
          <w:sz w:val="24"/>
          <w:szCs w:val="24"/>
        </w:rPr>
        <w:t>(1)</w:t>
      </w:r>
      <w:r w:rsidRPr="00FF72F4">
        <w:rPr>
          <w:sz w:val="24"/>
          <w:szCs w:val="24"/>
        </w:rPr>
        <w:t xml:space="preserve"> provides that th</w:t>
      </w:r>
      <w:r w:rsidR="006A275E" w:rsidRPr="00FF72F4">
        <w:rPr>
          <w:sz w:val="24"/>
          <w:szCs w:val="24"/>
        </w:rPr>
        <w:t>e new entrant access amount for carrots for export to Indonesia is</w:t>
      </w:r>
      <w:r w:rsidR="00671655">
        <w:rPr>
          <w:sz w:val="24"/>
          <w:szCs w:val="24"/>
        </w:rPr>
        <w:t>:</w:t>
      </w:r>
    </w:p>
    <w:p w14:paraId="1FE8E498" w14:textId="77777777" w:rsidR="00671655" w:rsidRDefault="006A275E" w:rsidP="000F6D46">
      <w:pPr>
        <w:pStyle w:val="ListParagraph"/>
        <w:numPr>
          <w:ilvl w:val="0"/>
          <w:numId w:val="50"/>
        </w:numPr>
        <w:spacing w:line="240" w:lineRule="auto"/>
        <w:rPr>
          <w:sz w:val="24"/>
          <w:szCs w:val="24"/>
        </w:rPr>
      </w:pPr>
      <w:r w:rsidRPr="00671655">
        <w:rPr>
          <w:sz w:val="24"/>
          <w:szCs w:val="24"/>
        </w:rPr>
        <w:t>in relatio</w:t>
      </w:r>
      <w:r w:rsidR="00C77F88" w:rsidRPr="00671655">
        <w:rPr>
          <w:sz w:val="24"/>
          <w:szCs w:val="24"/>
        </w:rPr>
        <w:t xml:space="preserve">n to the initial quota year or either of </w:t>
      </w:r>
      <w:r w:rsidRPr="00671655">
        <w:rPr>
          <w:sz w:val="24"/>
          <w:szCs w:val="24"/>
        </w:rPr>
        <w:t>the next 2 quota years</w:t>
      </w:r>
      <w:r w:rsidR="00160CB1" w:rsidRPr="00671655">
        <w:rPr>
          <w:sz w:val="24"/>
          <w:szCs w:val="24"/>
        </w:rPr>
        <w:t xml:space="preserve">, </w:t>
      </w:r>
      <w:r w:rsidRPr="00671655">
        <w:rPr>
          <w:sz w:val="24"/>
          <w:szCs w:val="24"/>
        </w:rPr>
        <w:t>zero</w:t>
      </w:r>
      <w:r w:rsidR="00671655">
        <w:rPr>
          <w:sz w:val="24"/>
          <w:szCs w:val="24"/>
        </w:rPr>
        <w:t>,</w:t>
      </w:r>
      <w:r w:rsidRPr="00671655">
        <w:rPr>
          <w:sz w:val="24"/>
          <w:szCs w:val="24"/>
        </w:rPr>
        <w:t xml:space="preserve"> and</w:t>
      </w:r>
      <w:r w:rsidR="00160CB1" w:rsidRPr="00671655">
        <w:rPr>
          <w:sz w:val="24"/>
          <w:szCs w:val="24"/>
        </w:rPr>
        <w:t xml:space="preserve"> </w:t>
      </w:r>
    </w:p>
    <w:p w14:paraId="7F5EDA17" w14:textId="44966732" w:rsidR="006A275E" w:rsidRDefault="006A275E" w:rsidP="000F6D46">
      <w:pPr>
        <w:pStyle w:val="ListParagraph"/>
        <w:numPr>
          <w:ilvl w:val="0"/>
          <w:numId w:val="50"/>
        </w:numPr>
        <w:spacing w:line="240" w:lineRule="auto"/>
        <w:rPr>
          <w:sz w:val="24"/>
          <w:szCs w:val="24"/>
        </w:rPr>
      </w:pPr>
      <w:proofErr w:type="gramStart"/>
      <w:r w:rsidRPr="00671655">
        <w:rPr>
          <w:sz w:val="24"/>
          <w:szCs w:val="24"/>
        </w:rPr>
        <w:t>in</w:t>
      </w:r>
      <w:proofErr w:type="gramEnd"/>
      <w:r w:rsidRPr="00671655">
        <w:rPr>
          <w:sz w:val="24"/>
          <w:szCs w:val="24"/>
        </w:rPr>
        <w:t xml:space="preserve"> relation to </w:t>
      </w:r>
      <w:r w:rsidR="009C0282" w:rsidRPr="00671655">
        <w:rPr>
          <w:sz w:val="24"/>
          <w:szCs w:val="24"/>
        </w:rPr>
        <w:t xml:space="preserve">a </w:t>
      </w:r>
      <w:r w:rsidRPr="00671655">
        <w:rPr>
          <w:sz w:val="24"/>
          <w:szCs w:val="24"/>
        </w:rPr>
        <w:t>later quota year</w:t>
      </w:r>
      <w:r w:rsidR="00160CB1" w:rsidRPr="00671655">
        <w:rPr>
          <w:sz w:val="24"/>
          <w:szCs w:val="24"/>
        </w:rPr>
        <w:t xml:space="preserve">, </w:t>
      </w:r>
      <w:r w:rsidRPr="00671655">
        <w:rPr>
          <w:sz w:val="24"/>
          <w:szCs w:val="24"/>
        </w:rPr>
        <w:t>400 tonnes.</w:t>
      </w:r>
    </w:p>
    <w:p w14:paraId="5E566E0B" w14:textId="77777777" w:rsidR="00671655" w:rsidRPr="00671655" w:rsidRDefault="00671655" w:rsidP="00671655">
      <w:pPr>
        <w:spacing w:line="240" w:lineRule="auto"/>
        <w:rPr>
          <w:sz w:val="24"/>
          <w:szCs w:val="24"/>
        </w:rPr>
      </w:pPr>
    </w:p>
    <w:p w14:paraId="5901CA0C" w14:textId="09AF5D33" w:rsidR="00671655" w:rsidRDefault="00160CB1" w:rsidP="00FF72F4">
      <w:pPr>
        <w:spacing w:line="240" w:lineRule="auto"/>
        <w:rPr>
          <w:sz w:val="24"/>
          <w:szCs w:val="24"/>
        </w:rPr>
      </w:pPr>
      <w:r w:rsidRPr="00132889">
        <w:rPr>
          <w:sz w:val="24"/>
          <w:szCs w:val="24"/>
        </w:rPr>
        <w:t xml:space="preserve">Subsection </w:t>
      </w:r>
      <w:r w:rsidR="004D42BE">
        <w:rPr>
          <w:sz w:val="24"/>
          <w:szCs w:val="24"/>
        </w:rPr>
        <w:t>85</w:t>
      </w:r>
      <w:r w:rsidRPr="00132889">
        <w:rPr>
          <w:sz w:val="24"/>
          <w:szCs w:val="24"/>
        </w:rPr>
        <w:t>(</w:t>
      </w:r>
      <w:r>
        <w:rPr>
          <w:sz w:val="24"/>
          <w:szCs w:val="24"/>
        </w:rPr>
        <w:t>2</w:t>
      </w:r>
      <w:r w:rsidRPr="00132889">
        <w:rPr>
          <w:sz w:val="24"/>
          <w:szCs w:val="24"/>
        </w:rPr>
        <w:t>) provides that</w:t>
      </w:r>
      <w:r>
        <w:rPr>
          <w:sz w:val="24"/>
          <w:szCs w:val="24"/>
        </w:rPr>
        <w:t xml:space="preserve"> t</w:t>
      </w:r>
      <w:r w:rsidR="006A275E" w:rsidRPr="00FF72F4">
        <w:rPr>
          <w:sz w:val="24"/>
          <w:szCs w:val="24"/>
        </w:rPr>
        <w:t>he new entrant access cap for carrots for export to Indonesia is</w:t>
      </w:r>
      <w:r w:rsidR="00671655">
        <w:rPr>
          <w:sz w:val="24"/>
          <w:szCs w:val="24"/>
        </w:rPr>
        <w:t>:</w:t>
      </w:r>
    </w:p>
    <w:p w14:paraId="7B1D97EB" w14:textId="77777777" w:rsidR="00671655" w:rsidRDefault="006A275E" w:rsidP="000F6D46">
      <w:pPr>
        <w:pStyle w:val="ListParagraph"/>
        <w:numPr>
          <w:ilvl w:val="0"/>
          <w:numId w:val="51"/>
        </w:numPr>
        <w:spacing w:line="240" w:lineRule="auto"/>
        <w:rPr>
          <w:sz w:val="24"/>
          <w:szCs w:val="24"/>
        </w:rPr>
      </w:pPr>
      <w:r w:rsidRPr="00671655">
        <w:rPr>
          <w:sz w:val="24"/>
          <w:szCs w:val="24"/>
        </w:rPr>
        <w:t xml:space="preserve">in </w:t>
      </w:r>
      <w:r w:rsidR="009C0282" w:rsidRPr="00671655">
        <w:rPr>
          <w:sz w:val="24"/>
          <w:szCs w:val="24"/>
        </w:rPr>
        <w:t xml:space="preserve">relation to </w:t>
      </w:r>
      <w:r w:rsidRPr="00671655">
        <w:rPr>
          <w:sz w:val="24"/>
          <w:szCs w:val="24"/>
        </w:rPr>
        <w:t xml:space="preserve">the initial quota year </w:t>
      </w:r>
      <w:r w:rsidR="00C77F88" w:rsidRPr="00671655">
        <w:rPr>
          <w:sz w:val="24"/>
          <w:szCs w:val="24"/>
        </w:rPr>
        <w:t>or either of</w:t>
      </w:r>
      <w:r w:rsidRPr="00671655">
        <w:rPr>
          <w:sz w:val="24"/>
          <w:szCs w:val="24"/>
        </w:rPr>
        <w:t xml:space="preserve"> the next 2 quota years</w:t>
      </w:r>
      <w:r w:rsidR="00160CB1" w:rsidRPr="00671655">
        <w:rPr>
          <w:sz w:val="24"/>
          <w:szCs w:val="24"/>
        </w:rPr>
        <w:t xml:space="preserve">, </w:t>
      </w:r>
      <w:r w:rsidRPr="00671655">
        <w:rPr>
          <w:sz w:val="24"/>
          <w:szCs w:val="24"/>
        </w:rPr>
        <w:t>zero</w:t>
      </w:r>
      <w:r w:rsidR="00671655">
        <w:rPr>
          <w:sz w:val="24"/>
          <w:szCs w:val="24"/>
        </w:rPr>
        <w:t>,</w:t>
      </w:r>
      <w:r w:rsidRPr="00671655">
        <w:rPr>
          <w:sz w:val="24"/>
          <w:szCs w:val="24"/>
        </w:rPr>
        <w:t xml:space="preserve"> and</w:t>
      </w:r>
    </w:p>
    <w:p w14:paraId="66A36050" w14:textId="4FA701CD" w:rsidR="006A275E" w:rsidRPr="00671655" w:rsidRDefault="006A275E" w:rsidP="000F6D46">
      <w:pPr>
        <w:pStyle w:val="ListParagraph"/>
        <w:numPr>
          <w:ilvl w:val="0"/>
          <w:numId w:val="51"/>
        </w:numPr>
        <w:spacing w:line="240" w:lineRule="auto"/>
        <w:rPr>
          <w:sz w:val="24"/>
          <w:szCs w:val="24"/>
        </w:rPr>
      </w:pPr>
      <w:proofErr w:type="gramStart"/>
      <w:r w:rsidRPr="00671655">
        <w:rPr>
          <w:sz w:val="24"/>
          <w:szCs w:val="24"/>
        </w:rPr>
        <w:t>in</w:t>
      </w:r>
      <w:proofErr w:type="gramEnd"/>
      <w:r w:rsidRPr="00671655">
        <w:rPr>
          <w:sz w:val="24"/>
          <w:szCs w:val="24"/>
        </w:rPr>
        <w:t xml:space="preserve"> </w:t>
      </w:r>
      <w:r w:rsidR="009C0282" w:rsidRPr="00671655">
        <w:rPr>
          <w:sz w:val="24"/>
          <w:szCs w:val="24"/>
        </w:rPr>
        <w:t xml:space="preserve">relation to a </w:t>
      </w:r>
      <w:r w:rsidRPr="00671655">
        <w:rPr>
          <w:sz w:val="24"/>
          <w:szCs w:val="24"/>
        </w:rPr>
        <w:t>later quota year</w:t>
      </w:r>
      <w:r w:rsidR="00160CB1" w:rsidRPr="00671655">
        <w:rPr>
          <w:sz w:val="24"/>
          <w:szCs w:val="24"/>
        </w:rPr>
        <w:t xml:space="preserve">, </w:t>
      </w:r>
      <w:r w:rsidRPr="00671655">
        <w:rPr>
          <w:sz w:val="24"/>
          <w:szCs w:val="24"/>
        </w:rPr>
        <w:t>250 tonnes.</w:t>
      </w:r>
    </w:p>
    <w:p w14:paraId="05512CEB" w14:textId="77777777" w:rsidR="00160CB1" w:rsidRDefault="00160CB1" w:rsidP="00FF72F4">
      <w:pPr>
        <w:spacing w:line="240" w:lineRule="auto"/>
        <w:rPr>
          <w:sz w:val="24"/>
          <w:szCs w:val="24"/>
        </w:rPr>
      </w:pPr>
    </w:p>
    <w:p w14:paraId="54FCF5D4" w14:textId="279722F4" w:rsidR="00671655" w:rsidRDefault="00160CB1" w:rsidP="00FF72F4">
      <w:pPr>
        <w:spacing w:line="240" w:lineRule="auto"/>
        <w:rPr>
          <w:sz w:val="24"/>
          <w:szCs w:val="24"/>
        </w:rPr>
      </w:pPr>
      <w:r w:rsidRPr="00132889">
        <w:rPr>
          <w:sz w:val="24"/>
          <w:szCs w:val="24"/>
        </w:rPr>
        <w:t xml:space="preserve">Subsection </w:t>
      </w:r>
      <w:r w:rsidR="004D42BE">
        <w:rPr>
          <w:sz w:val="24"/>
          <w:szCs w:val="24"/>
        </w:rPr>
        <w:t>85</w:t>
      </w:r>
      <w:r w:rsidRPr="00132889">
        <w:rPr>
          <w:sz w:val="24"/>
          <w:szCs w:val="24"/>
        </w:rPr>
        <w:t>(</w:t>
      </w:r>
      <w:r>
        <w:rPr>
          <w:sz w:val="24"/>
          <w:szCs w:val="24"/>
        </w:rPr>
        <w:t>3</w:t>
      </w:r>
      <w:r w:rsidRPr="00132889">
        <w:rPr>
          <w:sz w:val="24"/>
          <w:szCs w:val="24"/>
        </w:rPr>
        <w:t>) provides that</w:t>
      </w:r>
      <w:r>
        <w:rPr>
          <w:sz w:val="24"/>
          <w:szCs w:val="24"/>
        </w:rPr>
        <w:t xml:space="preserve"> t</w:t>
      </w:r>
      <w:r w:rsidR="006A275E" w:rsidRPr="00FF72F4">
        <w:rPr>
          <w:sz w:val="24"/>
          <w:szCs w:val="24"/>
        </w:rPr>
        <w:t>he new entrant access amount for potatoes for export to Indonesia is</w:t>
      </w:r>
      <w:r w:rsidR="00671655">
        <w:rPr>
          <w:sz w:val="24"/>
          <w:szCs w:val="24"/>
        </w:rPr>
        <w:t>:</w:t>
      </w:r>
    </w:p>
    <w:p w14:paraId="19C6101E" w14:textId="77777777" w:rsidR="00671655" w:rsidRDefault="006A275E" w:rsidP="000F6D46">
      <w:pPr>
        <w:pStyle w:val="ListParagraph"/>
        <w:numPr>
          <w:ilvl w:val="0"/>
          <w:numId w:val="51"/>
        </w:numPr>
        <w:spacing w:line="240" w:lineRule="auto"/>
        <w:rPr>
          <w:sz w:val="24"/>
          <w:szCs w:val="24"/>
        </w:rPr>
      </w:pPr>
      <w:r w:rsidRPr="00FF72F4">
        <w:rPr>
          <w:sz w:val="24"/>
          <w:szCs w:val="24"/>
        </w:rPr>
        <w:t xml:space="preserve">in relation to the initial quota year </w:t>
      </w:r>
      <w:r w:rsidR="00C77F88">
        <w:rPr>
          <w:sz w:val="24"/>
          <w:szCs w:val="24"/>
        </w:rPr>
        <w:t>or either of</w:t>
      </w:r>
      <w:r w:rsidRPr="00FF72F4">
        <w:rPr>
          <w:sz w:val="24"/>
          <w:szCs w:val="24"/>
        </w:rPr>
        <w:t xml:space="preserve"> the next 2 quota years</w:t>
      </w:r>
      <w:r w:rsidR="00160CB1" w:rsidRPr="00FF72F4">
        <w:rPr>
          <w:sz w:val="24"/>
          <w:szCs w:val="24"/>
        </w:rPr>
        <w:t xml:space="preserve">, </w:t>
      </w:r>
      <w:r w:rsidRPr="00FF72F4">
        <w:rPr>
          <w:sz w:val="24"/>
          <w:szCs w:val="24"/>
        </w:rPr>
        <w:t>zero</w:t>
      </w:r>
      <w:r w:rsidR="00671655">
        <w:rPr>
          <w:sz w:val="24"/>
          <w:szCs w:val="24"/>
        </w:rPr>
        <w:t>,</w:t>
      </w:r>
      <w:r w:rsidRPr="00FF72F4">
        <w:rPr>
          <w:sz w:val="24"/>
          <w:szCs w:val="24"/>
        </w:rPr>
        <w:t xml:space="preserve"> and</w:t>
      </w:r>
    </w:p>
    <w:p w14:paraId="36B8E454" w14:textId="6394B47E" w:rsidR="006A275E" w:rsidRDefault="00160CB1" w:rsidP="000F6D46">
      <w:pPr>
        <w:pStyle w:val="ListParagraph"/>
        <w:numPr>
          <w:ilvl w:val="0"/>
          <w:numId w:val="51"/>
        </w:numPr>
        <w:spacing w:line="240" w:lineRule="auto"/>
        <w:rPr>
          <w:sz w:val="24"/>
          <w:szCs w:val="24"/>
        </w:rPr>
      </w:pPr>
      <w:proofErr w:type="gramStart"/>
      <w:r w:rsidRPr="00FF72F4">
        <w:rPr>
          <w:sz w:val="24"/>
          <w:szCs w:val="24"/>
        </w:rPr>
        <w:t>i</w:t>
      </w:r>
      <w:r w:rsidR="006A275E" w:rsidRPr="00FF72F4">
        <w:rPr>
          <w:sz w:val="24"/>
          <w:szCs w:val="24"/>
        </w:rPr>
        <w:t>n</w:t>
      </w:r>
      <w:proofErr w:type="gramEnd"/>
      <w:r w:rsidR="006A275E" w:rsidRPr="00FF72F4">
        <w:rPr>
          <w:sz w:val="24"/>
          <w:szCs w:val="24"/>
        </w:rPr>
        <w:t xml:space="preserve"> relation to later quota years</w:t>
      </w:r>
      <w:r w:rsidRPr="00FF72F4">
        <w:rPr>
          <w:sz w:val="24"/>
          <w:szCs w:val="24"/>
        </w:rPr>
        <w:t xml:space="preserve">, </w:t>
      </w:r>
      <w:r w:rsidR="006A275E" w:rsidRPr="00FF72F4">
        <w:rPr>
          <w:sz w:val="24"/>
          <w:szCs w:val="24"/>
        </w:rPr>
        <w:t>600 tonnes.</w:t>
      </w:r>
    </w:p>
    <w:p w14:paraId="261E5F03" w14:textId="77777777" w:rsidR="00160CB1" w:rsidRDefault="00160CB1" w:rsidP="00FF72F4">
      <w:pPr>
        <w:spacing w:line="240" w:lineRule="auto"/>
        <w:rPr>
          <w:sz w:val="24"/>
          <w:szCs w:val="24"/>
        </w:rPr>
      </w:pPr>
    </w:p>
    <w:p w14:paraId="1FD92C1A" w14:textId="6C24B1AC" w:rsidR="00671655" w:rsidRDefault="00160CB1" w:rsidP="00FF72F4">
      <w:pPr>
        <w:spacing w:line="240" w:lineRule="auto"/>
        <w:rPr>
          <w:sz w:val="24"/>
          <w:szCs w:val="24"/>
        </w:rPr>
      </w:pPr>
      <w:r w:rsidRPr="00132889">
        <w:rPr>
          <w:sz w:val="24"/>
          <w:szCs w:val="24"/>
        </w:rPr>
        <w:t xml:space="preserve">Subsection </w:t>
      </w:r>
      <w:r w:rsidR="004D42BE">
        <w:rPr>
          <w:sz w:val="24"/>
          <w:szCs w:val="24"/>
        </w:rPr>
        <w:t>85</w:t>
      </w:r>
      <w:r w:rsidRPr="00132889">
        <w:rPr>
          <w:sz w:val="24"/>
          <w:szCs w:val="24"/>
        </w:rPr>
        <w:t>(</w:t>
      </w:r>
      <w:r>
        <w:rPr>
          <w:sz w:val="24"/>
          <w:szCs w:val="24"/>
        </w:rPr>
        <w:t>4</w:t>
      </w:r>
      <w:r w:rsidRPr="00132889">
        <w:rPr>
          <w:sz w:val="24"/>
          <w:szCs w:val="24"/>
        </w:rPr>
        <w:t>) provides that</w:t>
      </w:r>
      <w:r>
        <w:rPr>
          <w:sz w:val="24"/>
          <w:szCs w:val="24"/>
        </w:rPr>
        <w:t xml:space="preserve"> t</w:t>
      </w:r>
      <w:r w:rsidR="006A275E" w:rsidRPr="00FF72F4">
        <w:rPr>
          <w:sz w:val="24"/>
          <w:szCs w:val="24"/>
        </w:rPr>
        <w:t>he new entrant access cap for potatoes for export to Indonesia i</w:t>
      </w:r>
      <w:r w:rsidRPr="00FF72F4">
        <w:rPr>
          <w:sz w:val="24"/>
          <w:szCs w:val="24"/>
        </w:rPr>
        <w:t>s</w:t>
      </w:r>
      <w:r w:rsidR="00671655">
        <w:rPr>
          <w:sz w:val="24"/>
          <w:szCs w:val="24"/>
        </w:rPr>
        <w:t>:</w:t>
      </w:r>
    </w:p>
    <w:p w14:paraId="1B8D484E" w14:textId="77777777" w:rsidR="00671655" w:rsidRDefault="006A275E" w:rsidP="000F6D46">
      <w:pPr>
        <w:pStyle w:val="ListParagraph"/>
        <w:numPr>
          <w:ilvl w:val="0"/>
          <w:numId w:val="51"/>
        </w:numPr>
        <w:spacing w:line="240" w:lineRule="auto"/>
        <w:rPr>
          <w:sz w:val="24"/>
          <w:szCs w:val="24"/>
        </w:rPr>
      </w:pPr>
      <w:r w:rsidRPr="00FF72F4">
        <w:rPr>
          <w:sz w:val="24"/>
          <w:szCs w:val="24"/>
        </w:rPr>
        <w:t xml:space="preserve">in </w:t>
      </w:r>
      <w:r w:rsidR="00354B82">
        <w:rPr>
          <w:sz w:val="24"/>
          <w:szCs w:val="24"/>
        </w:rPr>
        <w:t xml:space="preserve">relation to </w:t>
      </w:r>
      <w:r w:rsidRPr="00FF72F4">
        <w:rPr>
          <w:sz w:val="24"/>
          <w:szCs w:val="24"/>
        </w:rPr>
        <w:t xml:space="preserve">the initial quota year </w:t>
      </w:r>
      <w:r w:rsidR="00C77F88">
        <w:rPr>
          <w:sz w:val="24"/>
          <w:szCs w:val="24"/>
        </w:rPr>
        <w:t>or either of</w:t>
      </w:r>
      <w:r w:rsidRPr="00FF72F4">
        <w:rPr>
          <w:sz w:val="24"/>
          <w:szCs w:val="24"/>
        </w:rPr>
        <w:t xml:space="preserve"> the next 2 quota years</w:t>
      </w:r>
      <w:r w:rsidR="00160CB1" w:rsidRPr="00FF72F4">
        <w:rPr>
          <w:sz w:val="24"/>
          <w:szCs w:val="24"/>
        </w:rPr>
        <w:t xml:space="preserve">, </w:t>
      </w:r>
      <w:r w:rsidRPr="00FF72F4">
        <w:rPr>
          <w:sz w:val="24"/>
          <w:szCs w:val="24"/>
        </w:rPr>
        <w:t>zero</w:t>
      </w:r>
      <w:r w:rsidR="00671655">
        <w:rPr>
          <w:sz w:val="24"/>
          <w:szCs w:val="24"/>
        </w:rPr>
        <w:t>,</w:t>
      </w:r>
      <w:r w:rsidR="00160CB1" w:rsidRPr="00FF72F4">
        <w:rPr>
          <w:sz w:val="24"/>
          <w:szCs w:val="24"/>
        </w:rPr>
        <w:t xml:space="preserve"> </w:t>
      </w:r>
      <w:r w:rsidRPr="00FF72F4">
        <w:rPr>
          <w:sz w:val="24"/>
          <w:szCs w:val="24"/>
        </w:rPr>
        <w:t>and</w:t>
      </w:r>
    </w:p>
    <w:p w14:paraId="30B330C0" w14:textId="3B7EA8D6" w:rsidR="006A275E" w:rsidRPr="00FF72F4" w:rsidRDefault="006A275E" w:rsidP="000F6D46">
      <w:pPr>
        <w:pStyle w:val="ListParagraph"/>
        <w:numPr>
          <w:ilvl w:val="0"/>
          <w:numId w:val="51"/>
        </w:numPr>
        <w:spacing w:line="240" w:lineRule="auto"/>
        <w:rPr>
          <w:sz w:val="24"/>
          <w:szCs w:val="24"/>
        </w:rPr>
      </w:pPr>
      <w:proofErr w:type="gramStart"/>
      <w:r w:rsidRPr="00FF72F4">
        <w:rPr>
          <w:sz w:val="24"/>
          <w:szCs w:val="24"/>
        </w:rPr>
        <w:t>in</w:t>
      </w:r>
      <w:proofErr w:type="gramEnd"/>
      <w:r w:rsidRPr="00FF72F4">
        <w:rPr>
          <w:sz w:val="24"/>
          <w:szCs w:val="24"/>
        </w:rPr>
        <w:t xml:space="preserve"> </w:t>
      </w:r>
      <w:r w:rsidR="00354B82">
        <w:rPr>
          <w:sz w:val="24"/>
          <w:szCs w:val="24"/>
        </w:rPr>
        <w:t xml:space="preserve">relation to a </w:t>
      </w:r>
      <w:r w:rsidRPr="00FF72F4">
        <w:rPr>
          <w:sz w:val="24"/>
          <w:szCs w:val="24"/>
        </w:rPr>
        <w:t>later quota year</w:t>
      </w:r>
      <w:r w:rsidR="00160CB1" w:rsidRPr="00FF72F4">
        <w:rPr>
          <w:sz w:val="24"/>
          <w:szCs w:val="24"/>
        </w:rPr>
        <w:t xml:space="preserve">, </w:t>
      </w:r>
      <w:r w:rsidRPr="00FF72F4">
        <w:rPr>
          <w:sz w:val="24"/>
          <w:szCs w:val="24"/>
        </w:rPr>
        <w:t>300 tonnes.</w:t>
      </w:r>
    </w:p>
    <w:p w14:paraId="616276DD" w14:textId="77777777" w:rsidR="004D7ED8" w:rsidRDefault="004D7ED8" w:rsidP="00B36BEA">
      <w:pPr>
        <w:spacing w:line="240" w:lineRule="auto"/>
        <w:rPr>
          <w:b/>
          <w:sz w:val="24"/>
          <w:szCs w:val="24"/>
        </w:rPr>
      </w:pPr>
    </w:p>
    <w:p w14:paraId="21297295" w14:textId="56C0F4D1" w:rsidR="00671655" w:rsidRDefault="00671655" w:rsidP="00B36BEA">
      <w:pPr>
        <w:spacing w:line="240" w:lineRule="auto"/>
        <w:rPr>
          <w:b/>
          <w:sz w:val="24"/>
          <w:szCs w:val="24"/>
        </w:rPr>
      </w:pPr>
      <w:r>
        <w:rPr>
          <w:sz w:val="24"/>
          <w:szCs w:val="24"/>
        </w:rPr>
        <w:t>Section 85 recognises that, given the quota has not operated before, no exporters should be considered new entrant for the first 2 full quota years, so the values have been set to zero in that time.</w:t>
      </w:r>
    </w:p>
    <w:p w14:paraId="6AAE9952" w14:textId="77777777" w:rsidR="004D7ED8" w:rsidRDefault="004D7ED8" w:rsidP="00B36BEA">
      <w:pPr>
        <w:spacing w:line="240" w:lineRule="auto"/>
        <w:rPr>
          <w:b/>
          <w:sz w:val="24"/>
          <w:szCs w:val="24"/>
        </w:rPr>
      </w:pPr>
    </w:p>
    <w:p w14:paraId="1B813EC5" w14:textId="03CB4FA1" w:rsidR="000808B7" w:rsidRDefault="009B08B1" w:rsidP="00B36BEA">
      <w:pPr>
        <w:spacing w:line="240" w:lineRule="auto"/>
        <w:rPr>
          <w:b/>
          <w:sz w:val="24"/>
          <w:szCs w:val="24"/>
        </w:rPr>
      </w:pPr>
      <w:r>
        <w:rPr>
          <w:b/>
          <w:sz w:val="24"/>
          <w:szCs w:val="24"/>
        </w:rPr>
        <w:t xml:space="preserve">Part </w:t>
      </w:r>
      <w:r w:rsidR="004D7ED8">
        <w:rPr>
          <w:b/>
          <w:sz w:val="24"/>
          <w:szCs w:val="24"/>
        </w:rPr>
        <w:t>3</w:t>
      </w:r>
      <w:r>
        <w:rPr>
          <w:b/>
          <w:sz w:val="24"/>
          <w:szCs w:val="24"/>
        </w:rPr>
        <w:t xml:space="preserve"> - Exports to Japan</w:t>
      </w:r>
    </w:p>
    <w:p w14:paraId="7A1B9FAA" w14:textId="77777777" w:rsidR="009B08B1" w:rsidRDefault="009B08B1" w:rsidP="009B08B1">
      <w:pPr>
        <w:spacing w:line="240" w:lineRule="auto"/>
        <w:rPr>
          <w:sz w:val="24"/>
          <w:szCs w:val="24"/>
          <w:u w:val="single"/>
        </w:rPr>
      </w:pPr>
      <w:bookmarkStart w:id="82" w:name="_Toc22827005"/>
    </w:p>
    <w:p w14:paraId="46D07DA3" w14:textId="437CCDF7" w:rsidR="009B08B1" w:rsidRDefault="004D42BE" w:rsidP="009B08B1">
      <w:pPr>
        <w:spacing w:line="240" w:lineRule="auto"/>
        <w:rPr>
          <w:sz w:val="24"/>
          <w:szCs w:val="24"/>
          <w:u w:val="single"/>
        </w:rPr>
      </w:pPr>
      <w:r>
        <w:rPr>
          <w:sz w:val="24"/>
          <w:szCs w:val="24"/>
          <w:u w:val="single"/>
        </w:rPr>
        <w:t>Section 86</w:t>
      </w:r>
      <w:r w:rsidR="009B08B1" w:rsidRPr="009B08B1">
        <w:rPr>
          <w:sz w:val="24"/>
          <w:szCs w:val="24"/>
          <w:u w:val="single"/>
        </w:rPr>
        <w:t xml:space="preserve"> - Japan quota goods</w:t>
      </w:r>
      <w:bookmarkEnd w:id="82"/>
    </w:p>
    <w:p w14:paraId="10C933AC" w14:textId="77777777" w:rsidR="009B08B1" w:rsidRDefault="009B08B1" w:rsidP="009B08B1">
      <w:pPr>
        <w:spacing w:line="240" w:lineRule="auto"/>
        <w:rPr>
          <w:sz w:val="24"/>
          <w:szCs w:val="24"/>
          <w:u w:val="single"/>
        </w:rPr>
      </w:pPr>
    </w:p>
    <w:p w14:paraId="128BDB27" w14:textId="321DF7B4" w:rsidR="00586ABA" w:rsidRPr="00B27148" w:rsidRDefault="00586ABA" w:rsidP="009B08B1">
      <w:pPr>
        <w:spacing w:line="240" w:lineRule="auto"/>
        <w:rPr>
          <w:sz w:val="24"/>
          <w:szCs w:val="24"/>
        </w:rPr>
      </w:pPr>
      <w:r w:rsidRPr="00B27148">
        <w:rPr>
          <w:sz w:val="24"/>
          <w:szCs w:val="24"/>
        </w:rPr>
        <w:t>S</w:t>
      </w:r>
      <w:r w:rsidR="004D42BE" w:rsidRPr="00B27148">
        <w:rPr>
          <w:sz w:val="24"/>
          <w:szCs w:val="24"/>
        </w:rPr>
        <w:t>ection 86</w:t>
      </w:r>
      <w:r w:rsidR="009B08B1" w:rsidRPr="00B27148">
        <w:rPr>
          <w:sz w:val="24"/>
          <w:szCs w:val="24"/>
        </w:rPr>
        <w:t xml:space="preserve"> provides</w:t>
      </w:r>
      <w:r w:rsidRPr="00B27148">
        <w:rPr>
          <w:sz w:val="24"/>
          <w:szCs w:val="24"/>
        </w:rPr>
        <w:t xml:space="preserve"> definitions of terms used within this Part.</w:t>
      </w:r>
    </w:p>
    <w:p w14:paraId="4770A843" w14:textId="5F54866A" w:rsidR="009B08B1" w:rsidRPr="00B27148" w:rsidRDefault="00B27148" w:rsidP="009B08B1">
      <w:pPr>
        <w:pStyle w:val="subsection"/>
        <w:rPr>
          <w:sz w:val="24"/>
          <w:szCs w:val="24"/>
        </w:rPr>
      </w:pPr>
      <w:r>
        <w:rPr>
          <w:sz w:val="24"/>
          <w:szCs w:val="24"/>
        </w:rPr>
        <w:lastRenderedPageBreak/>
        <w:tab/>
      </w:r>
      <w:r w:rsidR="009B08B1" w:rsidRPr="00B27148">
        <w:rPr>
          <w:i/>
          <w:sz w:val="24"/>
          <w:szCs w:val="24"/>
        </w:rPr>
        <w:t>Japan quota goods</w:t>
      </w:r>
      <w:r w:rsidR="009B08B1" w:rsidRPr="00B27148">
        <w:rPr>
          <w:sz w:val="24"/>
          <w:szCs w:val="24"/>
        </w:rPr>
        <w:t xml:space="preserve"> are goods of any of the following kinds:</w:t>
      </w:r>
    </w:p>
    <w:p w14:paraId="47F3E835" w14:textId="213A70B8" w:rsidR="009B08B1" w:rsidRPr="00B27148" w:rsidRDefault="009B08B1" w:rsidP="00B27148">
      <w:pPr>
        <w:pStyle w:val="paragraph"/>
        <w:numPr>
          <w:ilvl w:val="0"/>
          <w:numId w:val="15"/>
        </w:numPr>
        <w:ind w:left="851"/>
        <w:rPr>
          <w:sz w:val="24"/>
          <w:szCs w:val="24"/>
        </w:rPr>
      </w:pPr>
      <w:r w:rsidRPr="00B27148">
        <w:rPr>
          <w:sz w:val="24"/>
          <w:szCs w:val="24"/>
        </w:rPr>
        <w:t>apple juice;</w:t>
      </w:r>
    </w:p>
    <w:p w14:paraId="7320193C" w14:textId="5EF92F74" w:rsidR="009B08B1" w:rsidRPr="00B27148" w:rsidRDefault="009B08B1" w:rsidP="00B27148">
      <w:pPr>
        <w:pStyle w:val="paragraph"/>
        <w:numPr>
          <w:ilvl w:val="0"/>
          <w:numId w:val="15"/>
        </w:numPr>
        <w:ind w:left="851"/>
        <w:rPr>
          <w:sz w:val="24"/>
          <w:szCs w:val="24"/>
        </w:rPr>
      </w:pPr>
      <w:r w:rsidRPr="00B27148">
        <w:rPr>
          <w:sz w:val="24"/>
          <w:szCs w:val="24"/>
        </w:rPr>
        <w:t>bovine offal;</w:t>
      </w:r>
    </w:p>
    <w:p w14:paraId="317506C9" w14:textId="0E202FA6" w:rsidR="009B08B1" w:rsidRPr="00B27148" w:rsidRDefault="009B08B1" w:rsidP="00B27148">
      <w:pPr>
        <w:pStyle w:val="paragraph"/>
        <w:numPr>
          <w:ilvl w:val="0"/>
          <w:numId w:val="15"/>
        </w:numPr>
        <w:ind w:left="851"/>
        <w:rPr>
          <w:sz w:val="24"/>
          <w:szCs w:val="24"/>
        </w:rPr>
      </w:pPr>
      <w:r w:rsidRPr="00B27148">
        <w:rPr>
          <w:sz w:val="24"/>
          <w:szCs w:val="24"/>
        </w:rPr>
        <w:t>honey;</w:t>
      </w:r>
    </w:p>
    <w:p w14:paraId="71922DC0" w14:textId="78BD3FC1" w:rsidR="009B08B1" w:rsidRPr="00B27148" w:rsidRDefault="009B08B1" w:rsidP="00B27148">
      <w:pPr>
        <w:pStyle w:val="paragraph"/>
        <w:numPr>
          <w:ilvl w:val="0"/>
          <w:numId w:val="15"/>
        </w:numPr>
        <w:ind w:left="851"/>
        <w:rPr>
          <w:sz w:val="24"/>
          <w:szCs w:val="24"/>
        </w:rPr>
      </w:pPr>
      <w:r w:rsidRPr="00B27148">
        <w:rPr>
          <w:sz w:val="24"/>
          <w:szCs w:val="24"/>
        </w:rPr>
        <w:t>orange juice;</w:t>
      </w:r>
    </w:p>
    <w:p w14:paraId="0FF20BB3" w14:textId="3508441C" w:rsidR="009B08B1" w:rsidRPr="00B27148" w:rsidRDefault="009B08B1" w:rsidP="00B27148">
      <w:pPr>
        <w:pStyle w:val="paragraph"/>
        <w:numPr>
          <w:ilvl w:val="0"/>
          <w:numId w:val="15"/>
        </w:numPr>
        <w:ind w:left="851"/>
        <w:rPr>
          <w:sz w:val="24"/>
          <w:szCs w:val="24"/>
        </w:rPr>
      </w:pPr>
      <w:r w:rsidRPr="00B27148">
        <w:rPr>
          <w:sz w:val="24"/>
          <w:szCs w:val="24"/>
        </w:rPr>
        <w:t>pork;</w:t>
      </w:r>
    </w:p>
    <w:p w14:paraId="53B789B3" w14:textId="6E1D4E46" w:rsidR="009B08B1" w:rsidRPr="00B27148" w:rsidRDefault="009B08B1" w:rsidP="00B27148">
      <w:pPr>
        <w:pStyle w:val="paragraph"/>
        <w:numPr>
          <w:ilvl w:val="0"/>
          <w:numId w:val="15"/>
        </w:numPr>
        <w:ind w:left="851"/>
        <w:rPr>
          <w:sz w:val="24"/>
          <w:szCs w:val="24"/>
        </w:rPr>
      </w:pPr>
      <w:r w:rsidRPr="00B27148">
        <w:rPr>
          <w:sz w:val="24"/>
          <w:szCs w:val="24"/>
        </w:rPr>
        <w:t>poultry;</w:t>
      </w:r>
    </w:p>
    <w:p w14:paraId="432A704B" w14:textId="35C8C292" w:rsidR="009B08B1" w:rsidRPr="00B27148" w:rsidRDefault="009B08B1" w:rsidP="00B27148">
      <w:pPr>
        <w:pStyle w:val="paragraph"/>
        <w:numPr>
          <w:ilvl w:val="0"/>
          <w:numId w:val="15"/>
        </w:numPr>
        <w:ind w:left="851"/>
        <w:rPr>
          <w:sz w:val="24"/>
          <w:szCs w:val="24"/>
        </w:rPr>
      </w:pPr>
      <w:r w:rsidRPr="00B27148">
        <w:rPr>
          <w:sz w:val="24"/>
          <w:szCs w:val="24"/>
        </w:rPr>
        <w:t>preserved meats (other);</w:t>
      </w:r>
    </w:p>
    <w:p w14:paraId="4E22C609" w14:textId="4ED7E6AF" w:rsidR="009B08B1" w:rsidRPr="00B27148" w:rsidRDefault="009B08B1" w:rsidP="00B27148">
      <w:pPr>
        <w:pStyle w:val="paragraph"/>
        <w:numPr>
          <w:ilvl w:val="0"/>
          <w:numId w:val="15"/>
        </w:numPr>
        <w:ind w:left="851"/>
        <w:rPr>
          <w:sz w:val="24"/>
          <w:szCs w:val="24"/>
        </w:rPr>
      </w:pPr>
      <w:proofErr w:type="gramStart"/>
      <w:r w:rsidRPr="00B27148">
        <w:rPr>
          <w:sz w:val="24"/>
          <w:szCs w:val="24"/>
        </w:rPr>
        <w:t>preserved</w:t>
      </w:r>
      <w:proofErr w:type="gramEnd"/>
      <w:r w:rsidRPr="00B27148">
        <w:rPr>
          <w:sz w:val="24"/>
          <w:szCs w:val="24"/>
        </w:rPr>
        <w:t xml:space="preserve"> meats (sausage).</w:t>
      </w:r>
    </w:p>
    <w:p w14:paraId="27142A7A" w14:textId="6A469CED" w:rsidR="009B08B1" w:rsidRPr="00B27148" w:rsidRDefault="00B27148" w:rsidP="009B08B1">
      <w:pPr>
        <w:pStyle w:val="subsection"/>
        <w:rPr>
          <w:sz w:val="24"/>
          <w:szCs w:val="24"/>
        </w:rPr>
      </w:pPr>
      <w:r>
        <w:rPr>
          <w:sz w:val="24"/>
          <w:szCs w:val="24"/>
        </w:rPr>
        <w:tab/>
      </w:r>
      <w:r w:rsidR="009B08B1" w:rsidRPr="00B27148">
        <w:rPr>
          <w:sz w:val="24"/>
          <w:szCs w:val="24"/>
        </w:rPr>
        <w:t>For the purposes of this Part:</w:t>
      </w:r>
    </w:p>
    <w:p w14:paraId="4BAE50AD" w14:textId="77777777" w:rsidR="009B08B1" w:rsidRPr="00B27148" w:rsidRDefault="009B08B1" w:rsidP="00B27148">
      <w:pPr>
        <w:pStyle w:val="Definition"/>
        <w:ind w:left="851"/>
        <w:rPr>
          <w:sz w:val="24"/>
          <w:szCs w:val="24"/>
        </w:rPr>
      </w:pPr>
      <w:proofErr w:type="gramStart"/>
      <w:r w:rsidRPr="00B27148">
        <w:rPr>
          <w:b/>
          <w:i/>
          <w:sz w:val="24"/>
          <w:szCs w:val="24"/>
        </w:rPr>
        <w:t>apple</w:t>
      </w:r>
      <w:proofErr w:type="gramEnd"/>
      <w:r w:rsidRPr="00B27148">
        <w:rPr>
          <w:b/>
          <w:i/>
          <w:sz w:val="24"/>
          <w:szCs w:val="24"/>
        </w:rPr>
        <w:t xml:space="preserve"> juice</w:t>
      </w:r>
      <w:r w:rsidRPr="00B27148">
        <w:rPr>
          <w:sz w:val="24"/>
          <w:szCs w:val="24"/>
        </w:rPr>
        <w:t xml:space="preserve"> means apple juice of a kind that may be exported from Australia to Japan at a reduced tariff rate under the Japan</w:t>
      </w:r>
      <w:r w:rsidRPr="00B27148">
        <w:rPr>
          <w:sz w:val="24"/>
          <w:szCs w:val="24"/>
        </w:rPr>
        <w:noBreakHyphen/>
        <w:t>Australia Economic Partnership Agreement.</w:t>
      </w:r>
    </w:p>
    <w:p w14:paraId="7959EC30" w14:textId="77777777" w:rsidR="009B08B1" w:rsidRPr="00B27148" w:rsidRDefault="009B08B1" w:rsidP="00B27148">
      <w:pPr>
        <w:pStyle w:val="Definition"/>
        <w:ind w:left="851"/>
        <w:rPr>
          <w:sz w:val="24"/>
          <w:szCs w:val="24"/>
        </w:rPr>
      </w:pPr>
      <w:proofErr w:type="gramStart"/>
      <w:r w:rsidRPr="00B27148">
        <w:rPr>
          <w:b/>
          <w:i/>
          <w:sz w:val="24"/>
          <w:szCs w:val="24"/>
        </w:rPr>
        <w:t>bovine</w:t>
      </w:r>
      <w:proofErr w:type="gramEnd"/>
      <w:r w:rsidRPr="00B27148">
        <w:rPr>
          <w:b/>
          <w:i/>
          <w:sz w:val="24"/>
          <w:szCs w:val="24"/>
        </w:rPr>
        <w:t xml:space="preserve"> offal</w:t>
      </w:r>
      <w:r w:rsidRPr="00B27148">
        <w:rPr>
          <w:i/>
          <w:sz w:val="24"/>
          <w:szCs w:val="24"/>
        </w:rPr>
        <w:t xml:space="preserve"> </w:t>
      </w:r>
      <w:r w:rsidRPr="00B27148">
        <w:rPr>
          <w:sz w:val="24"/>
          <w:szCs w:val="24"/>
        </w:rPr>
        <w:t>means edible offal of bovine animals that may be exported from Australia to Japan at a reduced tariff rate under the Japan</w:t>
      </w:r>
      <w:r w:rsidRPr="00B27148">
        <w:rPr>
          <w:sz w:val="24"/>
          <w:szCs w:val="24"/>
        </w:rPr>
        <w:noBreakHyphen/>
        <w:t>Australia Economic Partnership Agreement.</w:t>
      </w:r>
    </w:p>
    <w:p w14:paraId="09C6EA7F" w14:textId="77777777" w:rsidR="009B08B1" w:rsidRPr="00B27148" w:rsidRDefault="009B08B1" w:rsidP="00B27148">
      <w:pPr>
        <w:pStyle w:val="Definition"/>
        <w:ind w:left="851"/>
        <w:rPr>
          <w:sz w:val="24"/>
          <w:szCs w:val="24"/>
        </w:rPr>
      </w:pPr>
      <w:proofErr w:type="gramStart"/>
      <w:r w:rsidRPr="00B27148">
        <w:rPr>
          <w:b/>
          <w:i/>
          <w:sz w:val="24"/>
          <w:szCs w:val="24"/>
        </w:rPr>
        <w:t>honey</w:t>
      </w:r>
      <w:proofErr w:type="gramEnd"/>
      <w:r w:rsidRPr="00B27148">
        <w:rPr>
          <w:sz w:val="24"/>
          <w:szCs w:val="24"/>
        </w:rPr>
        <w:t xml:space="preserve"> means honey that may be exported from Australia to Japan at a reduced tariff rate under the Japan</w:t>
      </w:r>
      <w:r w:rsidRPr="00B27148">
        <w:rPr>
          <w:sz w:val="24"/>
          <w:szCs w:val="24"/>
        </w:rPr>
        <w:noBreakHyphen/>
        <w:t>Australia Economic Partnership Agreement.</w:t>
      </w:r>
    </w:p>
    <w:p w14:paraId="2F1EC3C2" w14:textId="77777777" w:rsidR="009B08B1" w:rsidRPr="00B27148" w:rsidRDefault="009B08B1" w:rsidP="00B27148">
      <w:pPr>
        <w:pStyle w:val="Definition"/>
        <w:ind w:left="851"/>
        <w:rPr>
          <w:sz w:val="24"/>
          <w:szCs w:val="24"/>
        </w:rPr>
      </w:pPr>
      <w:proofErr w:type="gramStart"/>
      <w:r w:rsidRPr="00B27148">
        <w:rPr>
          <w:b/>
          <w:i/>
          <w:sz w:val="24"/>
          <w:szCs w:val="24"/>
        </w:rPr>
        <w:t>orange</w:t>
      </w:r>
      <w:proofErr w:type="gramEnd"/>
      <w:r w:rsidRPr="00B27148">
        <w:rPr>
          <w:b/>
          <w:i/>
          <w:sz w:val="24"/>
          <w:szCs w:val="24"/>
        </w:rPr>
        <w:t xml:space="preserve"> juice</w:t>
      </w:r>
      <w:r w:rsidRPr="00B27148">
        <w:rPr>
          <w:sz w:val="24"/>
          <w:szCs w:val="24"/>
        </w:rPr>
        <w:t xml:space="preserve"> means orange juice of a kind that may be exported from Australia to Japan at a reduced tariff rate under the Japan</w:t>
      </w:r>
      <w:r w:rsidRPr="00B27148">
        <w:rPr>
          <w:sz w:val="24"/>
          <w:szCs w:val="24"/>
        </w:rPr>
        <w:noBreakHyphen/>
        <w:t>Australia Economic Partnership Agreement.</w:t>
      </w:r>
    </w:p>
    <w:p w14:paraId="4A48B71A" w14:textId="77777777" w:rsidR="009B08B1" w:rsidRPr="00B27148" w:rsidRDefault="009B08B1" w:rsidP="00B27148">
      <w:pPr>
        <w:pStyle w:val="Definition"/>
        <w:ind w:left="851"/>
        <w:rPr>
          <w:sz w:val="24"/>
          <w:szCs w:val="24"/>
        </w:rPr>
      </w:pPr>
      <w:proofErr w:type="gramStart"/>
      <w:r w:rsidRPr="00B27148">
        <w:rPr>
          <w:b/>
          <w:i/>
          <w:sz w:val="24"/>
          <w:szCs w:val="24"/>
        </w:rPr>
        <w:t>pork</w:t>
      </w:r>
      <w:proofErr w:type="gramEnd"/>
      <w:r w:rsidRPr="00B27148">
        <w:rPr>
          <w:sz w:val="24"/>
          <w:szCs w:val="24"/>
        </w:rPr>
        <w:t xml:space="preserve"> means meat, internal organs or preparations of swine that may be exported from Australia to Japan at a reduced tariff rate under the Japan</w:t>
      </w:r>
      <w:r w:rsidRPr="00B27148">
        <w:rPr>
          <w:sz w:val="24"/>
          <w:szCs w:val="24"/>
        </w:rPr>
        <w:noBreakHyphen/>
        <w:t>Australia Economic Partnership Agreement.</w:t>
      </w:r>
    </w:p>
    <w:p w14:paraId="62A5412D" w14:textId="77777777" w:rsidR="009B08B1" w:rsidRPr="00B27148" w:rsidRDefault="009B08B1" w:rsidP="00B27148">
      <w:pPr>
        <w:pStyle w:val="Definition"/>
        <w:ind w:left="851"/>
        <w:rPr>
          <w:sz w:val="24"/>
          <w:szCs w:val="24"/>
        </w:rPr>
      </w:pPr>
      <w:proofErr w:type="gramStart"/>
      <w:r w:rsidRPr="00B27148">
        <w:rPr>
          <w:b/>
          <w:i/>
          <w:sz w:val="24"/>
          <w:szCs w:val="24"/>
        </w:rPr>
        <w:t>poultry</w:t>
      </w:r>
      <w:proofErr w:type="gramEnd"/>
      <w:r w:rsidRPr="00B27148">
        <w:rPr>
          <w:b/>
          <w:i/>
          <w:sz w:val="24"/>
          <w:szCs w:val="24"/>
        </w:rPr>
        <w:t xml:space="preserve"> </w:t>
      </w:r>
      <w:r w:rsidRPr="00B27148">
        <w:rPr>
          <w:sz w:val="24"/>
          <w:szCs w:val="24"/>
        </w:rPr>
        <w:t>means meat or preparations of poultry that may be exported from Australia to Japan at a reduced tariff rate under the Japan</w:t>
      </w:r>
      <w:r w:rsidRPr="00B27148">
        <w:rPr>
          <w:sz w:val="24"/>
          <w:szCs w:val="24"/>
        </w:rPr>
        <w:noBreakHyphen/>
        <w:t>Australia Economic Partnership Agreement.</w:t>
      </w:r>
    </w:p>
    <w:p w14:paraId="78C2484A" w14:textId="77777777" w:rsidR="009B08B1" w:rsidRPr="00B27148" w:rsidRDefault="009B08B1" w:rsidP="00B27148">
      <w:pPr>
        <w:pStyle w:val="Definition"/>
        <w:ind w:left="851"/>
        <w:rPr>
          <w:sz w:val="24"/>
          <w:szCs w:val="24"/>
        </w:rPr>
      </w:pPr>
      <w:proofErr w:type="gramStart"/>
      <w:r w:rsidRPr="00B27148">
        <w:rPr>
          <w:b/>
          <w:i/>
          <w:sz w:val="24"/>
          <w:szCs w:val="24"/>
        </w:rPr>
        <w:t>preserved</w:t>
      </w:r>
      <w:proofErr w:type="gramEnd"/>
      <w:r w:rsidRPr="00B27148">
        <w:rPr>
          <w:b/>
          <w:i/>
          <w:sz w:val="24"/>
          <w:szCs w:val="24"/>
        </w:rPr>
        <w:t xml:space="preserve"> meats (other) </w:t>
      </w:r>
      <w:r w:rsidRPr="00B27148">
        <w:rPr>
          <w:sz w:val="24"/>
          <w:szCs w:val="24"/>
        </w:rPr>
        <w:t>means preparations of bovine animals (including beef jerky, but not including goods that are preserved meats (sausage)) that may be exported from Australia to Japan at a reduced tariff rate under the Japan</w:t>
      </w:r>
      <w:r w:rsidRPr="00B27148">
        <w:rPr>
          <w:sz w:val="24"/>
          <w:szCs w:val="24"/>
        </w:rPr>
        <w:noBreakHyphen/>
        <w:t>Australia Economic Partnership Agreement.</w:t>
      </w:r>
    </w:p>
    <w:p w14:paraId="505C4321" w14:textId="77777777" w:rsidR="009B08B1" w:rsidRPr="00B27148" w:rsidRDefault="009B08B1" w:rsidP="00B27148">
      <w:pPr>
        <w:pStyle w:val="Definition"/>
        <w:ind w:left="851"/>
        <w:rPr>
          <w:sz w:val="24"/>
          <w:szCs w:val="24"/>
        </w:rPr>
      </w:pPr>
      <w:proofErr w:type="gramStart"/>
      <w:r w:rsidRPr="00B27148">
        <w:rPr>
          <w:b/>
          <w:i/>
          <w:sz w:val="24"/>
          <w:szCs w:val="24"/>
        </w:rPr>
        <w:t>preserved</w:t>
      </w:r>
      <w:proofErr w:type="gramEnd"/>
      <w:r w:rsidRPr="00B27148">
        <w:rPr>
          <w:b/>
          <w:i/>
          <w:sz w:val="24"/>
          <w:szCs w:val="24"/>
        </w:rPr>
        <w:t xml:space="preserve"> meats (sausage) </w:t>
      </w:r>
      <w:r w:rsidRPr="00B27148">
        <w:rPr>
          <w:sz w:val="24"/>
          <w:szCs w:val="24"/>
        </w:rPr>
        <w:t>means any of the following goods made from bovine animals or swine that may be exported from Australia to Japan at a reduced tariff rate under the Japan</w:t>
      </w:r>
      <w:r w:rsidRPr="00B27148">
        <w:rPr>
          <w:sz w:val="24"/>
          <w:szCs w:val="24"/>
        </w:rPr>
        <w:noBreakHyphen/>
        <w:t>Australia Economic Partnership Agreement:</w:t>
      </w:r>
    </w:p>
    <w:p w14:paraId="7E8839C0" w14:textId="3DE298AD" w:rsidR="009B08B1" w:rsidRPr="00B27148" w:rsidRDefault="009B08B1" w:rsidP="00B27148">
      <w:pPr>
        <w:pStyle w:val="paragraph"/>
        <w:numPr>
          <w:ilvl w:val="0"/>
          <w:numId w:val="16"/>
        </w:numPr>
        <w:ind w:left="1276"/>
        <w:rPr>
          <w:sz w:val="24"/>
          <w:szCs w:val="24"/>
        </w:rPr>
      </w:pPr>
      <w:r w:rsidRPr="00B27148">
        <w:rPr>
          <w:sz w:val="24"/>
          <w:szCs w:val="24"/>
        </w:rPr>
        <w:t>sausages;</w:t>
      </w:r>
    </w:p>
    <w:p w14:paraId="4B1C891D" w14:textId="5BFFB125" w:rsidR="009B08B1" w:rsidRPr="00B27148" w:rsidRDefault="009B08B1" w:rsidP="00B27148">
      <w:pPr>
        <w:pStyle w:val="paragraph"/>
        <w:numPr>
          <w:ilvl w:val="0"/>
          <w:numId w:val="16"/>
        </w:numPr>
        <w:ind w:left="1276"/>
        <w:rPr>
          <w:sz w:val="24"/>
          <w:szCs w:val="24"/>
        </w:rPr>
      </w:pPr>
      <w:r w:rsidRPr="00B27148">
        <w:rPr>
          <w:sz w:val="24"/>
          <w:szCs w:val="24"/>
        </w:rPr>
        <w:t>homogenised preparations;</w:t>
      </w:r>
    </w:p>
    <w:p w14:paraId="20C4FBDF" w14:textId="40B6E8D8" w:rsidR="009B08B1" w:rsidRPr="00B27148" w:rsidRDefault="009B08B1" w:rsidP="00B27148">
      <w:pPr>
        <w:pStyle w:val="paragraph"/>
        <w:numPr>
          <w:ilvl w:val="0"/>
          <w:numId w:val="16"/>
        </w:numPr>
        <w:ind w:left="1276"/>
        <w:rPr>
          <w:sz w:val="24"/>
          <w:szCs w:val="24"/>
        </w:rPr>
      </w:pPr>
      <w:proofErr w:type="gramStart"/>
      <w:r w:rsidRPr="00B27148">
        <w:rPr>
          <w:sz w:val="24"/>
          <w:szCs w:val="24"/>
        </w:rPr>
        <w:t>liver</w:t>
      </w:r>
      <w:proofErr w:type="gramEnd"/>
      <w:r w:rsidRPr="00B27148">
        <w:rPr>
          <w:sz w:val="24"/>
          <w:szCs w:val="24"/>
        </w:rPr>
        <w:t xml:space="preserve"> paste.</w:t>
      </w:r>
    </w:p>
    <w:p w14:paraId="7C6CBF15" w14:textId="77777777" w:rsidR="006A275E" w:rsidRPr="00B27148" w:rsidRDefault="006A275E" w:rsidP="00B27148">
      <w:pPr>
        <w:spacing w:line="240" w:lineRule="auto"/>
        <w:ind w:left="851"/>
        <w:rPr>
          <w:sz w:val="24"/>
          <w:szCs w:val="24"/>
          <w:u w:val="single"/>
        </w:rPr>
      </w:pPr>
      <w:bookmarkStart w:id="83" w:name="_Toc22827006"/>
    </w:p>
    <w:p w14:paraId="18D6F0E7" w14:textId="42B48EAE" w:rsidR="00762C24" w:rsidRPr="00B27148" w:rsidRDefault="004D42BE" w:rsidP="00AF1BDB">
      <w:pPr>
        <w:spacing w:line="240" w:lineRule="auto"/>
        <w:rPr>
          <w:sz w:val="24"/>
          <w:szCs w:val="24"/>
          <w:u w:val="single"/>
        </w:rPr>
      </w:pPr>
      <w:r w:rsidRPr="00B27148">
        <w:rPr>
          <w:sz w:val="24"/>
          <w:szCs w:val="24"/>
          <w:u w:val="single"/>
        </w:rPr>
        <w:t>Section 87</w:t>
      </w:r>
      <w:r w:rsidR="00762C24" w:rsidRPr="00B27148">
        <w:rPr>
          <w:sz w:val="24"/>
          <w:szCs w:val="24"/>
          <w:u w:val="single"/>
        </w:rPr>
        <w:t xml:space="preserve"> - Quota year and quarter of quota year</w:t>
      </w:r>
      <w:bookmarkEnd w:id="83"/>
    </w:p>
    <w:p w14:paraId="5DF220DE" w14:textId="77777777" w:rsidR="00762C24" w:rsidRPr="00B27148" w:rsidRDefault="00762C24" w:rsidP="00762C24">
      <w:pPr>
        <w:spacing w:line="240" w:lineRule="auto"/>
        <w:rPr>
          <w:sz w:val="24"/>
          <w:szCs w:val="24"/>
          <w:u w:val="single"/>
        </w:rPr>
      </w:pPr>
    </w:p>
    <w:p w14:paraId="08E489A4" w14:textId="10768711" w:rsidR="00762C24" w:rsidRPr="00B27148" w:rsidRDefault="00762C24" w:rsidP="00762C24">
      <w:pPr>
        <w:spacing w:line="240" w:lineRule="auto"/>
        <w:rPr>
          <w:sz w:val="24"/>
          <w:szCs w:val="24"/>
        </w:rPr>
      </w:pPr>
      <w:r w:rsidRPr="00B27148">
        <w:rPr>
          <w:sz w:val="24"/>
          <w:szCs w:val="24"/>
        </w:rPr>
        <w:t xml:space="preserve">Subsection </w:t>
      </w:r>
      <w:r w:rsidR="004D42BE" w:rsidRPr="00B27148">
        <w:rPr>
          <w:sz w:val="24"/>
          <w:szCs w:val="24"/>
        </w:rPr>
        <w:t>87</w:t>
      </w:r>
      <w:r w:rsidRPr="00B27148">
        <w:rPr>
          <w:sz w:val="24"/>
          <w:szCs w:val="24"/>
        </w:rPr>
        <w:t>(1) provides that a quota year for a kind of Japan quota goods for export to Japan is a period of 12 months beginning on 1 April.</w:t>
      </w:r>
    </w:p>
    <w:p w14:paraId="47CCD971" w14:textId="77777777" w:rsidR="00762C24" w:rsidRPr="00B27148" w:rsidRDefault="00762C24" w:rsidP="00762C24">
      <w:pPr>
        <w:spacing w:line="240" w:lineRule="auto"/>
        <w:rPr>
          <w:sz w:val="24"/>
          <w:szCs w:val="24"/>
        </w:rPr>
      </w:pPr>
    </w:p>
    <w:p w14:paraId="6AE48D82" w14:textId="2E285CEF" w:rsidR="00AF1398" w:rsidRPr="00B27148" w:rsidRDefault="004D42BE" w:rsidP="00AF1398">
      <w:pPr>
        <w:spacing w:line="240" w:lineRule="auto"/>
        <w:rPr>
          <w:sz w:val="24"/>
          <w:szCs w:val="24"/>
        </w:rPr>
      </w:pPr>
      <w:r w:rsidRPr="00B27148">
        <w:rPr>
          <w:sz w:val="24"/>
          <w:szCs w:val="24"/>
        </w:rPr>
        <w:lastRenderedPageBreak/>
        <w:t>Subsection 87</w:t>
      </w:r>
      <w:r w:rsidR="00762C24" w:rsidRPr="00B27148">
        <w:rPr>
          <w:sz w:val="24"/>
          <w:szCs w:val="24"/>
        </w:rPr>
        <w:t>(2) provides that a quarter of a quota year for a kind of Japan quota goods for export to Japan is a period of 3 months beginning on 1 April, 1 July, 1 October or 1 January.</w:t>
      </w:r>
      <w:bookmarkStart w:id="84" w:name="_Toc22827007"/>
      <w:r w:rsidR="00B27148">
        <w:rPr>
          <w:sz w:val="24"/>
          <w:szCs w:val="24"/>
        </w:rPr>
        <w:t xml:space="preserve"> </w:t>
      </w:r>
    </w:p>
    <w:p w14:paraId="4BF060A4" w14:textId="77777777" w:rsidR="00AF1BDB" w:rsidRPr="00B27148" w:rsidRDefault="00AF1BDB" w:rsidP="00AF1BDB">
      <w:pPr>
        <w:spacing w:line="240" w:lineRule="auto"/>
        <w:rPr>
          <w:sz w:val="24"/>
          <w:szCs w:val="24"/>
        </w:rPr>
      </w:pPr>
    </w:p>
    <w:p w14:paraId="1E451EE3" w14:textId="5D821AC8" w:rsidR="00AF1398" w:rsidRPr="00B27148" w:rsidRDefault="004D42BE" w:rsidP="00AF1BDB">
      <w:pPr>
        <w:spacing w:line="240" w:lineRule="auto"/>
        <w:rPr>
          <w:sz w:val="24"/>
          <w:szCs w:val="24"/>
          <w:u w:val="single"/>
        </w:rPr>
      </w:pPr>
      <w:r w:rsidRPr="00B27148">
        <w:rPr>
          <w:sz w:val="24"/>
          <w:szCs w:val="24"/>
          <w:u w:val="single"/>
        </w:rPr>
        <w:t>Section 88</w:t>
      </w:r>
      <w:r w:rsidR="00AF1398" w:rsidRPr="00B27148">
        <w:rPr>
          <w:sz w:val="24"/>
          <w:szCs w:val="24"/>
          <w:u w:val="single"/>
        </w:rPr>
        <w:t xml:space="preserve"> - Method for issuing tariff rate quota certificates</w:t>
      </w:r>
      <w:bookmarkEnd w:id="84"/>
    </w:p>
    <w:p w14:paraId="18BDCCB7" w14:textId="77777777" w:rsidR="00AF1398" w:rsidRPr="00B27148" w:rsidRDefault="00AF1398" w:rsidP="00AF1398">
      <w:pPr>
        <w:spacing w:line="240" w:lineRule="auto"/>
        <w:rPr>
          <w:b/>
          <w:sz w:val="24"/>
          <w:szCs w:val="24"/>
          <w:u w:val="single"/>
        </w:rPr>
      </w:pPr>
    </w:p>
    <w:p w14:paraId="7E56FD68" w14:textId="16F4283F" w:rsidR="00AF1398" w:rsidRPr="00B27148" w:rsidRDefault="004D42BE" w:rsidP="00AF1398">
      <w:pPr>
        <w:spacing w:line="240" w:lineRule="auto"/>
        <w:rPr>
          <w:sz w:val="24"/>
          <w:szCs w:val="24"/>
        </w:rPr>
      </w:pPr>
      <w:r w:rsidRPr="00B27148">
        <w:rPr>
          <w:sz w:val="24"/>
          <w:szCs w:val="24"/>
        </w:rPr>
        <w:t>Section 88</w:t>
      </w:r>
      <w:r w:rsidR="00AF1398" w:rsidRPr="00B27148">
        <w:rPr>
          <w:sz w:val="24"/>
          <w:szCs w:val="24"/>
        </w:rPr>
        <w:t xml:space="preserve"> provides that the first come, first served method</w:t>
      </w:r>
      <w:r w:rsidR="00B27148">
        <w:rPr>
          <w:sz w:val="24"/>
          <w:szCs w:val="24"/>
        </w:rPr>
        <w:t xml:space="preserve"> </w:t>
      </w:r>
      <w:r w:rsidR="00AF1398" w:rsidRPr="00B27148">
        <w:rPr>
          <w:sz w:val="24"/>
          <w:szCs w:val="24"/>
        </w:rPr>
        <w:t>applies for the purposes of issuing a tariff rate quota certificate in relation to a consignment of a kind of Japan quota goods for export to Japan in a quota year beginning on or after 1 April 2020.</w:t>
      </w:r>
      <w:r w:rsidR="004A0E15">
        <w:rPr>
          <w:sz w:val="24"/>
          <w:szCs w:val="24"/>
        </w:rPr>
        <w:t xml:space="preserve"> The note to this section provides that the first come, first served method is set out in Part 1 of Chapter 2.</w:t>
      </w:r>
    </w:p>
    <w:p w14:paraId="0869F332" w14:textId="77777777" w:rsidR="00AF1BDB" w:rsidRPr="00B27148" w:rsidRDefault="00AF1BDB" w:rsidP="00AF1BDB">
      <w:pPr>
        <w:spacing w:line="240" w:lineRule="auto"/>
        <w:rPr>
          <w:sz w:val="24"/>
          <w:szCs w:val="24"/>
        </w:rPr>
      </w:pPr>
      <w:bookmarkStart w:id="85" w:name="_Toc22827008"/>
    </w:p>
    <w:p w14:paraId="166B1F28" w14:textId="2FB8A758" w:rsidR="00AF1BDB" w:rsidRPr="00B27148" w:rsidRDefault="00AF1BDB" w:rsidP="00AF1BDB">
      <w:pPr>
        <w:spacing w:line="240" w:lineRule="auto"/>
        <w:rPr>
          <w:sz w:val="24"/>
          <w:szCs w:val="24"/>
          <w:u w:val="single"/>
        </w:rPr>
      </w:pPr>
      <w:r w:rsidRPr="00B27148">
        <w:rPr>
          <w:sz w:val="24"/>
          <w:szCs w:val="24"/>
          <w:u w:val="single"/>
        </w:rPr>
        <w:t xml:space="preserve">Section </w:t>
      </w:r>
      <w:r w:rsidR="004D42BE" w:rsidRPr="00B27148">
        <w:rPr>
          <w:sz w:val="24"/>
          <w:szCs w:val="24"/>
          <w:u w:val="single"/>
        </w:rPr>
        <w:t>89</w:t>
      </w:r>
      <w:r w:rsidRPr="00B27148">
        <w:rPr>
          <w:sz w:val="24"/>
          <w:szCs w:val="24"/>
          <w:u w:val="single"/>
        </w:rPr>
        <w:t xml:space="preserve"> - Access amounts</w:t>
      </w:r>
      <w:bookmarkEnd w:id="85"/>
    </w:p>
    <w:p w14:paraId="1BF4BFF3" w14:textId="77777777" w:rsidR="00AF1BDB" w:rsidRPr="00B27148" w:rsidRDefault="00AF1BDB" w:rsidP="00AF1BDB">
      <w:pPr>
        <w:spacing w:line="240" w:lineRule="auto"/>
        <w:rPr>
          <w:sz w:val="24"/>
          <w:szCs w:val="24"/>
          <w:u w:val="single"/>
        </w:rPr>
      </w:pPr>
    </w:p>
    <w:p w14:paraId="0B475C9D" w14:textId="7B5A505E" w:rsidR="00AF1BDB" w:rsidRPr="00AF1BDB" w:rsidRDefault="00AF1BDB" w:rsidP="00AF1BDB">
      <w:pPr>
        <w:spacing w:line="240" w:lineRule="auto"/>
        <w:rPr>
          <w:sz w:val="24"/>
          <w:szCs w:val="24"/>
        </w:rPr>
      </w:pPr>
      <w:r w:rsidRPr="00B27148">
        <w:rPr>
          <w:sz w:val="24"/>
          <w:szCs w:val="24"/>
        </w:rPr>
        <w:t xml:space="preserve">Subsection </w:t>
      </w:r>
      <w:r w:rsidR="004D42BE" w:rsidRPr="00B27148">
        <w:rPr>
          <w:sz w:val="24"/>
          <w:szCs w:val="24"/>
        </w:rPr>
        <w:t>89</w:t>
      </w:r>
      <w:r w:rsidRPr="00B27148">
        <w:rPr>
          <w:sz w:val="24"/>
          <w:szCs w:val="24"/>
        </w:rPr>
        <w:t>(1) provides that the annual access amount for a kind of Japan quota goods for export to Japan in relation to a quota year is the weight of goods of that kind that may, under the Japan</w:t>
      </w:r>
      <w:r w:rsidRPr="00B27148">
        <w:rPr>
          <w:sz w:val="24"/>
          <w:szCs w:val="24"/>
        </w:rPr>
        <w:noBreakHyphen/>
        <w:t>Australia Economic Partnership Agreement, be exported from Australia</w:t>
      </w:r>
      <w:r w:rsidRPr="00AF1BDB">
        <w:rPr>
          <w:sz w:val="24"/>
          <w:szCs w:val="24"/>
        </w:rPr>
        <w:t xml:space="preserve"> to Japan in the quota year at a reduced tariff rate.</w:t>
      </w:r>
    </w:p>
    <w:p w14:paraId="0980A981" w14:textId="77777777" w:rsidR="00AF1BDB" w:rsidRPr="00AF1BDB" w:rsidRDefault="00AF1BDB" w:rsidP="00AF1BDB">
      <w:pPr>
        <w:spacing w:line="240" w:lineRule="auto"/>
        <w:rPr>
          <w:sz w:val="24"/>
          <w:szCs w:val="24"/>
        </w:rPr>
      </w:pPr>
    </w:p>
    <w:p w14:paraId="065FDB30" w14:textId="52CA22FA" w:rsidR="00AF1BDB" w:rsidRPr="00AF1BDB" w:rsidRDefault="00AF1BDB" w:rsidP="00AF1BDB">
      <w:pPr>
        <w:spacing w:line="240" w:lineRule="auto"/>
        <w:rPr>
          <w:sz w:val="24"/>
          <w:szCs w:val="24"/>
        </w:rPr>
      </w:pPr>
      <w:r w:rsidRPr="00AF1BDB">
        <w:rPr>
          <w:sz w:val="24"/>
          <w:szCs w:val="24"/>
        </w:rPr>
        <w:t>S</w:t>
      </w:r>
      <w:r>
        <w:rPr>
          <w:sz w:val="24"/>
          <w:szCs w:val="24"/>
        </w:rPr>
        <w:t>ubs</w:t>
      </w:r>
      <w:r w:rsidRPr="00AF1BDB">
        <w:rPr>
          <w:sz w:val="24"/>
          <w:szCs w:val="24"/>
        </w:rPr>
        <w:t>ection</w:t>
      </w:r>
      <w:r>
        <w:rPr>
          <w:sz w:val="24"/>
          <w:szCs w:val="24"/>
        </w:rPr>
        <w:t xml:space="preserve"> </w:t>
      </w:r>
      <w:r w:rsidR="004D42BE">
        <w:rPr>
          <w:sz w:val="24"/>
          <w:szCs w:val="24"/>
        </w:rPr>
        <w:t>89</w:t>
      </w:r>
      <w:r>
        <w:rPr>
          <w:sz w:val="24"/>
          <w:szCs w:val="24"/>
        </w:rPr>
        <w:t>(</w:t>
      </w:r>
      <w:r w:rsidR="00467C53">
        <w:rPr>
          <w:sz w:val="24"/>
          <w:szCs w:val="24"/>
        </w:rPr>
        <w:t>2</w:t>
      </w:r>
      <w:r>
        <w:rPr>
          <w:sz w:val="24"/>
          <w:szCs w:val="24"/>
        </w:rPr>
        <w:t>) provides that th</w:t>
      </w:r>
      <w:r w:rsidRPr="00AF1BDB">
        <w:rPr>
          <w:sz w:val="24"/>
          <w:szCs w:val="24"/>
        </w:rPr>
        <w:t>ere is a quarterly access amount for bovine offal for export to Japan.</w:t>
      </w:r>
    </w:p>
    <w:p w14:paraId="32B4F57A" w14:textId="77777777" w:rsidR="00C51220" w:rsidRDefault="00C51220" w:rsidP="00AF1398">
      <w:pPr>
        <w:spacing w:line="240" w:lineRule="auto"/>
        <w:rPr>
          <w:sz w:val="24"/>
          <w:szCs w:val="24"/>
        </w:rPr>
      </w:pPr>
    </w:p>
    <w:p w14:paraId="1925A503" w14:textId="73852726" w:rsidR="009421C1" w:rsidRDefault="009421C1" w:rsidP="00AF1398">
      <w:pPr>
        <w:spacing w:line="240" w:lineRule="auto"/>
        <w:rPr>
          <w:b/>
          <w:sz w:val="24"/>
          <w:szCs w:val="24"/>
        </w:rPr>
      </w:pPr>
      <w:r>
        <w:rPr>
          <w:b/>
          <w:sz w:val="24"/>
          <w:szCs w:val="24"/>
        </w:rPr>
        <w:t xml:space="preserve">Part </w:t>
      </w:r>
      <w:r w:rsidR="00244AE1">
        <w:rPr>
          <w:b/>
          <w:sz w:val="24"/>
          <w:szCs w:val="24"/>
        </w:rPr>
        <w:t>4</w:t>
      </w:r>
      <w:r>
        <w:rPr>
          <w:b/>
          <w:sz w:val="24"/>
          <w:szCs w:val="24"/>
        </w:rPr>
        <w:t xml:space="preserve"> - Exports to the United States of America</w:t>
      </w:r>
    </w:p>
    <w:p w14:paraId="54382DF8" w14:textId="77777777" w:rsidR="009421C1" w:rsidRDefault="009421C1" w:rsidP="00AF1398">
      <w:pPr>
        <w:spacing w:line="240" w:lineRule="auto"/>
        <w:rPr>
          <w:b/>
          <w:sz w:val="24"/>
          <w:szCs w:val="24"/>
        </w:rPr>
      </w:pPr>
    </w:p>
    <w:p w14:paraId="15B1C808" w14:textId="04166E69" w:rsidR="009421C1" w:rsidRDefault="009421C1" w:rsidP="00AF1398">
      <w:pPr>
        <w:spacing w:line="240" w:lineRule="auto"/>
        <w:rPr>
          <w:b/>
          <w:sz w:val="24"/>
          <w:szCs w:val="24"/>
        </w:rPr>
      </w:pPr>
      <w:r>
        <w:rPr>
          <w:b/>
          <w:sz w:val="24"/>
          <w:szCs w:val="24"/>
        </w:rPr>
        <w:t>Division 1 - US beef</w:t>
      </w:r>
    </w:p>
    <w:p w14:paraId="6053A60F" w14:textId="77777777" w:rsidR="009421C1" w:rsidRDefault="009421C1" w:rsidP="00AF1398">
      <w:pPr>
        <w:spacing w:line="240" w:lineRule="auto"/>
        <w:rPr>
          <w:b/>
          <w:sz w:val="24"/>
          <w:szCs w:val="24"/>
        </w:rPr>
      </w:pPr>
    </w:p>
    <w:p w14:paraId="6B966744" w14:textId="2FACC257" w:rsidR="009421C1" w:rsidRDefault="004D42BE" w:rsidP="00AF1398">
      <w:pPr>
        <w:spacing w:line="240" w:lineRule="auto"/>
        <w:rPr>
          <w:sz w:val="24"/>
          <w:szCs w:val="24"/>
        </w:rPr>
      </w:pPr>
      <w:r>
        <w:rPr>
          <w:sz w:val="24"/>
          <w:szCs w:val="24"/>
          <w:u w:val="single"/>
        </w:rPr>
        <w:t>Section 90</w:t>
      </w:r>
      <w:r w:rsidR="009421C1">
        <w:rPr>
          <w:sz w:val="24"/>
          <w:szCs w:val="24"/>
          <w:u w:val="single"/>
        </w:rPr>
        <w:t xml:space="preserve"> - US beef</w:t>
      </w:r>
    </w:p>
    <w:p w14:paraId="3E9ED34F" w14:textId="77777777" w:rsidR="009421C1" w:rsidRDefault="009421C1" w:rsidP="00AF1398">
      <w:pPr>
        <w:spacing w:line="240" w:lineRule="auto"/>
        <w:rPr>
          <w:sz w:val="24"/>
          <w:szCs w:val="24"/>
        </w:rPr>
      </w:pPr>
    </w:p>
    <w:p w14:paraId="737A881D" w14:textId="11A83E34" w:rsidR="009421C1" w:rsidRDefault="004D42BE" w:rsidP="009421C1">
      <w:pPr>
        <w:spacing w:line="240" w:lineRule="auto"/>
        <w:rPr>
          <w:sz w:val="24"/>
          <w:szCs w:val="24"/>
        </w:rPr>
      </w:pPr>
      <w:r>
        <w:rPr>
          <w:sz w:val="24"/>
          <w:szCs w:val="24"/>
        </w:rPr>
        <w:t>Section 90</w:t>
      </w:r>
      <w:r w:rsidR="009421C1">
        <w:rPr>
          <w:sz w:val="24"/>
          <w:szCs w:val="24"/>
        </w:rPr>
        <w:t xml:space="preserve"> provides</w:t>
      </w:r>
      <w:r w:rsidR="009421C1" w:rsidRPr="00586ABA">
        <w:rPr>
          <w:sz w:val="24"/>
          <w:szCs w:val="24"/>
        </w:rPr>
        <w:t xml:space="preserve"> definitions of terms used within this Part.</w:t>
      </w:r>
    </w:p>
    <w:p w14:paraId="57E4C3D3" w14:textId="7E670603" w:rsidR="009421C1" w:rsidRPr="00DB701A" w:rsidRDefault="009421C1" w:rsidP="00B27148">
      <w:pPr>
        <w:pStyle w:val="subsection"/>
        <w:tabs>
          <w:tab w:val="clear" w:pos="1021"/>
          <w:tab w:val="right" w:pos="851"/>
        </w:tabs>
        <w:ind w:left="0" w:firstLine="0"/>
      </w:pPr>
      <w:r w:rsidRPr="00DB701A">
        <w:rPr>
          <w:sz w:val="24"/>
        </w:rPr>
        <w:tab/>
      </w:r>
      <w:r w:rsidRPr="00DB701A">
        <w:rPr>
          <w:i/>
          <w:sz w:val="24"/>
        </w:rPr>
        <w:t>US beef</w:t>
      </w:r>
      <w:r w:rsidRPr="00DB701A">
        <w:t xml:space="preserve"> is fresh, chilled or frozen meat derived from cattle that is described in any of the following subheadings of the US Harmonized Tariff Schedule</w:t>
      </w:r>
      <w:r w:rsidR="00B27148" w:rsidRPr="00DB701A">
        <w:rPr>
          <w:sz w:val="24"/>
        </w:rPr>
        <w:t xml:space="preserve"> (</w:t>
      </w:r>
      <w:r w:rsidR="00467C53">
        <w:t xml:space="preserve">defined </w:t>
      </w:r>
      <w:r w:rsidR="00B27148" w:rsidRPr="00DB701A">
        <w:rPr>
          <w:sz w:val="24"/>
        </w:rPr>
        <w:t>in section 6)</w:t>
      </w:r>
      <w:r w:rsidRPr="00DB701A">
        <w:t>:</w:t>
      </w:r>
    </w:p>
    <w:p w14:paraId="7E39637E" w14:textId="3F021452" w:rsidR="009421C1" w:rsidRPr="00DB701A" w:rsidRDefault="009421C1" w:rsidP="00B27148">
      <w:pPr>
        <w:pStyle w:val="paragraph"/>
        <w:numPr>
          <w:ilvl w:val="0"/>
          <w:numId w:val="17"/>
        </w:numPr>
        <w:ind w:left="993"/>
      </w:pPr>
      <w:r w:rsidRPr="00DB701A">
        <w:t>0201.10.10</w:t>
      </w:r>
    </w:p>
    <w:p w14:paraId="7AAAE3E9" w14:textId="4DD26574" w:rsidR="009421C1" w:rsidRPr="00DB701A" w:rsidRDefault="009421C1" w:rsidP="00B27148">
      <w:pPr>
        <w:pStyle w:val="paragraph"/>
        <w:numPr>
          <w:ilvl w:val="0"/>
          <w:numId w:val="17"/>
        </w:numPr>
        <w:ind w:left="993"/>
      </w:pPr>
      <w:r w:rsidRPr="00DB701A">
        <w:t>0201.20.10</w:t>
      </w:r>
    </w:p>
    <w:p w14:paraId="08F66DB0" w14:textId="1B8B00EA" w:rsidR="009421C1" w:rsidRPr="00DB701A" w:rsidRDefault="009421C1" w:rsidP="00B27148">
      <w:pPr>
        <w:pStyle w:val="paragraph"/>
        <w:numPr>
          <w:ilvl w:val="0"/>
          <w:numId w:val="17"/>
        </w:numPr>
        <w:ind w:left="993"/>
      </w:pPr>
      <w:r w:rsidRPr="00DB701A">
        <w:t>0201.20.30</w:t>
      </w:r>
    </w:p>
    <w:p w14:paraId="70DABF25" w14:textId="3EAEC875" w:rsidR="009421C1" w:rsidRPr="00DB701A" w:rsidRDefault="009421C1" w:rsidP="00B27148">
      <w:pPr>
        <w:pStyle w:val="paragraph"/>
        <w:numPr>
          <w:ilvl w:val="0"/>
          <w:numId w:val="17"/>
        </w:numPr>
        <w:ind w:left="993"/>
      </w:pPr>
      <w:r w:rsidRPr="00DB701A">
        <w:t>0201.20.50</w:t>
      </w:r>
    </w:p>
    <w:p w14:paraId="12E3CFDA" w14:textId="524CF3DD" w:rsidR="009421C1" w:rsidRPr="00DB701A" w:rsidRDefault="009421C1" w:rsidP="00B27148">
      <w:pPr>
        <w:pStyle w:val="paragraph"/>
        <w:numPr>
          <w:ilvl w:val="0"/>
          <w:numId w:val="17"/>
        </w:numPr>
        <w:ind w:left="993"/>
      </w:pPr>
      <w:r w:rsidRPr="00DB701A">
        <w:t>0201.30.10</w:t>
      </w:r>
    </w:p>
    <w:p w14:paraId="48A996C4" w14:textId="6D344A70" w:rsidR="009421C1" w:rsidRPr="00DB701A" w:rsidRDefault="009421C1" w:rsidP="00B27148">
      <w:pPr>
        <w:pStyle w:val="paragraph"/>
        <w:numPr>
          <w:ilvl w:val="0"/>
          <w:numId w:val="17"/>
        </w:numPr>
        <w:ind w:left="993"/>
      </w:pPr>
      <w:r w:rsidRPr="00DB701A">
        <w:t>0201.30.30</w:t>
      </w:r>
    </w:p>
    <w:p w14:paraId="2D09BC5D" w14:textId="0A188CC6" w:rsidR="009421C1" w:rsidRPr="00DB701A" w:rsidRDefault="009421C1" w:rsidP="00B27148">
      <w:pPr>
        <w:pStyle w:val="paragraph"/>
        <w:numPr>
          <w:ilvl w:val="0"/>
          <w:numId w:val="17"/>
        </w:numPr>
        <w:ind w:left="993"/>
      </w:pPr>
      <w:r w:rsidRPr="00DB701A">
        <w:t>0201.30.50</w:t>
      </w:r>
    </w:p>
    <w:p w14:paraId="698C097C" w14:textId="6ADD3290" w:rsidR="009421C1" w:rsidRPr="00DB701A" w:rsidRDefault="009421C1" w:rsidP="00B27148">
      <w:pPr>
        <w:pStyle w:val="paragraph"/>
        <w:numPr>
          <w:ilvl w:val="0"/>
          <w:numId w:val="17"/>
        </w:numPr>
        <w:ind w:left="993"/>
      </w:pPr>
      <w:r w:rsidRPr="00DB701A">
        <w:t>0202.10.10</w:t>
      </w:r>
    </w:p>
    <w:p w14:paraId="3C54C1C0" w14:textId="42E9A5B7" w:rsidR="009421C1" w:rsidRPr="00DB701A" w:rsidRDefault="009421C1" w:rsidP="00B27148">
      <w:pPr>
        <w:pStyle w:val="paragraph"/>
        <w:numPr>
          <w:ilvl w:val="0"/>
          <w:numId w:val="17"/>
        </w:numPr>
        <w:ind w:left="993"/>
      </w:pPr>
      <w:r w:rsidRPr="00DB701A">
        <w:t>0202.20.10</w:t>
      </w:r>
    </w:p>
    <w:p w14:paraId="1A99A537" w14:textId="18872A6F" w:rsidR="009421C1" w:rsidRPr="00DB701A" w:rsidRDefault="009421C1" w:rsidP="00B27148">
      <w:pPr>
        <w:pStyle w:val="paragraph"/>
        <w:numPr>
          <w:ilvl w:val="0"/>
          <w:numId w:val="17"/>
        </w:numPr>
        <w:ind w:left="993"/>
      </w:pPr>
      <w:r w:rsidRPr="00DB701A">
        <w:t>0202.20.30</w:t>
      </w:r>
    </w:p>
    <w:p w14:paraId="1363E6E1" w14:textId="1473ACB5" w:rsidR="009421C1" w:rsidRPr="00DB701A" w:rsidRDefault="009421C1" w:rsidP="00B27148">
      <w:pPr>
        <w:pStyle w:val="paragraph"/>
        <w:numPr>
          <w:ilvl w:val="0"/>
          <w:numId w:val="17"/>
        </w:numPr>
        <w:ind w:left="993"/>
      </w:pPr>
      <w:r w:rsidRPr="00DB701A">
        <w:t>0202.20.50</w:t>
      </w:r>
    </w:p>
    <w:p w14:paraId="7A9D0C8B" w14:textId="34B56110" w:rsidR="009421C1" w:rsidRPr="00DB701A" w:rsidRDefault="009421C1" w:rsidP="00B27148">
      <w:pPr>
        <w:pStyle w:val="paragraph"/>
        <w:numPr>
          <w:ilvl w:val="0"/>
          <w:numId w:val="17"/>
        </w:numPr>
        <w:ind w:left="993"/>
      </w:pPr>
      <w:r w:rsidRPr="00DB701A">
        <w:t>0202.30.10</w:t>
      </w:r>
    </w:p>
    <w:p w14:paraId="75F72349" w14:textId="2D597D54" w:rsidR="009421C1" w:rsidRPr="00DB701A" w:rsidRDefault="009421C1" w:rsidP="00B27148">
      <w:pPr>
        <w:pStyle w:val="paragraph"/>
        <w:numPr>
          <w:ilvl w:val="0"/>
          <w:numId w:val="17"/>
        </w:numPr>
        <w:ind w:left="993"/>
      </w:pPr>
      <w:r w:rsidRPr="00DB701A">
        <w:t>0202.30.30</w:t>
      </w:r>
    </w:p>
    <w:p w14:paraId="25118BDA" w14:textId="5D29C32D" w:rsidR="009421C1" w:rsidRPr="00DB701A" w:rsidRDefault="009421C1" w:rsidP="00B27148">
      <w:pPr>
        <w:pStyle w:val="paragraph"/>
        <w:numPr>
          <w:ilvl w:val="0"/>
          <w:numId w:val="17"/>
        </w:numPr>
        <w:ind w:left="993"/>
      </w:pPr>
      <w:r w:rsidRPr="00DB701A">
        <w:t>0202.30.50</w:t>
      </w:r>
    </w:p>
    <w:p w14:paraId="2D2EE611" w14:textId="26317003" w:rsidR="009421C1" w:rsidRPr="00DB701A" w:rsidRDefault="009421C1" w:rsidP="00B27148">
      <w:pPr>
        <w:pStyle w:val="paragraph"/>
        <w:numPr>
          <w:ilvl w:val="0"/>
          <w:numId w:val="17"/>
        </w:numPr>
        <w:ind w:left="993"/>
      </w:pPr>
      <w:r w:rsidRPr="00DB701A">
        <w:t>9913.02.05</w:t>
      </w:r>
    </w:p>
    <w:p w14:paraId="7B3CD2AB" w14:textId="77777777" w:rsidR="009421C1" w:rsidRPr="00DB701A" w:rsidRDefault="009421C1" w:rsidP="00B27148">
      <w:pPr>
        <w:pStyle w:val="subsection2"/>
        <w:ind w:left="0"/>
      </w:pPr>
      <w:proofErr w:type="gramStart"/>
      <w:r w:rsidRPr="00DB701A">
        <w:t>but</w:t>
      </w:r>
      <w:proofErr w:type="gramEnd"/>
      <w:r w:rsidRPr="00DB701A">
        <w:t xml:space="preserve"> does not include any of the following:</w:t>
      </w:r>
    </w:p>
    <w:p w14:paraId="676AE8AC" w14:textId="5C0B9F69" w:rsidR="009421C1" w:rsidRPr="00DB701A" w:rsidRDefault="009421C1" w:rsidP="00B27148">
      <w:pPr>
        <w:pStyle w:val="paragraph"/>
        <w:numPr>
          <w:ilvl w:val="0"/>
          <w:numId w:val="17"/>
        </w:numPr>
        <w:ind w:left="993"/>
      </w:pPr>
      <w:r w:rsidRPr="00DB701A">
        <w:t>edible offal</w:t>
      </w:r>
    </w:p>
    <w:p w14:paraId="0B6D06BF" w14:textId="269F4822" w:rsidR="009421C1" w:rsidRPr="00DB701A" w:rsidRDefault="009421C1" w:rsidP="00B27148">
      <w:pPr>
        <w:pStyle w:val="paragraph"/>
        <w:numPr>
          <w:ilvl w:val="0"/>
          <w:numId w:val="17"/>
        </w:numPr>
        <w:ind w:left="993"/>
      </w:pPr>
      <w:r w:rsidRPr="00DB701A">
        <w:t>canned or processed mea</w:t>
      </w:r>
      <w:r w:rsidR="00B35DAD" w:rsidRPr="00DB701A">
        <w:rPr>
          <w:sz w:val="24"/>
        </w:rPr>
        <w:t>t</w:t>
      </w:r>
    </w:p>
    <w:p w14:paraId="70A89551" w14:textId="70B6C833" w:rsidR="009421C1" w:rsidRPr="00DB701A" w:rsidRDefault="009421C1" w:rsidP="00B27148">
      <w:pPr>
        <w:pStyle w:val="paragraph"/>
        <w:numPr>
          <w:ilvl w:val="0"/>
          <w:numId w:val="17"/>
        </w:numPr>
        <w:ind w:left="993"/>
      </w:pPr>
      <w:proofErr w:type="gramStart"/>
      <w:r w:rsidRPr="00DB701A">
        <w:lastRenderedPageBreak/>
        <w:t>meat</w:t>
      </w:r>
      <w:proofErr w:type="gramEnd"/>
      <w:r w:rsidRPr="00DB701A">
        <w:t xml:space="preserve"> loaded onto a ship as part of the ship’s stores.</w:t>
      </w:r>
    </w:p>
    <w:p w14:paraId="0E752CA8" w14:textId="515E98F9" w:rsidR="009421C1" w:rsidRPr="00DB701A" w:rsidRDefault="00B27148" w:rsidP="00B27148">
      <w:pPr>
        <w:pStyle w:val="subsection"/>
        <w:tabs>
          <w:tab w:val="clear" w:pos="1021"/>
          <w:tab w:val="right" w:pos="851"/>
        </w:tabs>
        <w:ind w:left="0"/>
      </w:pPr>
      <w:r w:rsidRPr="00DB701A">
        <w:rPr>
          <w:sz w:val="24"/>
        </w:rPr>
        <w:tab/>
      </w:r>
      <w:r w:rsidR="009421C1" w:rsidRPr="00DB701A">
        <w:t>For the purposes of subsection </w:t>
      </w:r>
      <w:r w:rsidR="004D42BE" w:rsidRPr="00DB701A">
        <w:rPr>
          <w:sz w:val="24"/>
        </w:rPr>
        <w:t>90</w:t>
      </w:r>
      <w:r w:rsidR="009421C1" w:rsidRPr="00DB701A">
        <w:t xml:space="preserve">(1), </w:t>
      </w:r>
      <w:r w:rsidR="009421C1" w:rsidRPr="00DB701A">
        <w:rPr>
          <w:i/>
          <w:sz w:val="24"/>
        </w:rPr>
        <w:t>processed meat</w:t>
      </w:r>
      <w:r w:rsidR="009421C1" w:rsidRPr="00DB701A">
        <w:t xml:space="preserve"> has the same meaning as in the US Harmonized Tariff Schedule.</w:t>
      </w:r>
    </w:p>
    <w:p w14:paraId="41ACCB16" w14:textId="77777777" w:rsidR="00A273F8" w:rsidRDefault="00A273F8" w:rsidP="00A273F8">
      <w:pPr>
        <w:spacing w:line="240" w:lineRule="auto"/>
        <w:rPr>
          <w:sz w:val="24"/>
          <w:szCs w:val="24"/>
        </w:rPr>
      </w:pPr>
    </w:p>
    <w:p w14:paraId="4432E3F0" w14:textId="351F7A46" w:rsidR="009421C1" w:rsidRPr="00AF1BDB" w:rsidRDefault="004D42BE" w:rsidP="009421C1">
      <w:pPr>
        <w:spacing w:line="240" w:lineRule="auto"/>
        <w:rPr>
          <w:sz w:val="24"/>
          <w:szCs w:val="24"/>
          <w:u w:val="single"/>
        </w:rPr>
      </w:pPr>
      <w:r>
        <w:rPr>
          <w:sz w:val="24"/>
          <w:szCs w:val="24"/>
          <w:u w:val="single"/>
        </w:rPr>
        <w:t>Section 91</w:t>
      </w:r>
      <w:r w:rsidR="009421C1" w:rsidRPr="00AF1BDB">
        <w:rPr>
          <w:sz w:val="24"/>
          <w:szCs w:val="24"/>
          <w:u w:val="single"/>
        </w:rPr>
        <w:t xml:space="preserve"> -</w:t>
      </w:r>
      <w:r w:rsidR="009421C1">
        <w:rPr>
          <w:sz w:val="24"/>
          <w:szCs w:val="24"/>
          <w:u w:val="single"/>
        </w:rPr>
        <w:t xml:space="preserve"> Quota year</w:t>
      </w:r>
    </w:p>
    <w:p w14:paraId="6F5F39D3" w14:textId="77777777" w:rsidR="009421C1" w:rsidRPr="00AF1BDB" w:rsidRDefault="009421C1" w:rsidP="009421C1">
      <w:pPr>
        <w:spacing w:line="240" w:lineRule="auto"/>
        <w:rPr>
          <w:sz w:val="24"/>
          <w:szCs w:val="24"/>
          <w:u w:val="single"/>
        </w:rPr>
      </w:pPr>
    </w:p>
    <w:p w14:paraId="23682659" w14:textId="13A2A5E6" w:rsidR="009421C1" w:rsidRPr="00AF1BDB" w:rsidRDefault="009421C1" w:rsidP="009421C1">
      <w:pPr>
        <w:spacing w:line="240" w:lineRule="auto"/>
        <w:rPr>
          <w:sz w:val="24"/>
          <w:szCs w:val="24"/>
        </w:rPr>
      </w:pPr>
      <w:r w:rsidRPr="00AF1BDB">
        <w:rPr>
          <w:sz w:val="24"/>
          <w:szCs w:val="24"/>
        </w:rPr>
        <w:t xml:space="preserve">Section </w:t>
      </w:r>
      <w:r w:rsidR="004D42BE">
        <w:rPr>
          <w:sz w:val="24"/>
          <w:szCs w:val="24"/>
        </w:rPr>
        <w:t>91</w:t>
      </w:r>
      <w:r w:rsidRPr="00AF1BDB">
        <w:rPr>
          <w:sz w:val="24"/>
          <w:szCs w:val="24"/>
        </w:rPr>
        <w:t xml:space="preserve"> provides that a </w:t>
      </w:r>
      <w:r w:rsidRPr="009421C1">
        <w:rPr>
          <w:sz w:val="24"/>
          <w:szCs w:val="24"/>
        </w:rPr>
        <w:t>quota year for US beef for export to the United States of America is a period of 12 months beginning on 1 January.</w:t>
      </w:r>
    </w:p>
    <w:p w14:paraId="42502CAB" w14:textId="77777777" w:rsidR="009421C1" w:rsidRDefault="009421C1" w:rsidP="009421C1">
      <w:pPr>
        <w:spacing w:line="240" w:lineRule="auto"/>
        <w:rPr>
          <w:sz w:val="24"/>
          <w:szCs w:val="24"/>
        </w:rPr>
      </w:pPr>
    </w:p>
    <w:p w14:paraId="18CE7570" w14:textId="61C3338E" w:rsidR="009421C1" w:rsidRPr="00AF1BDB" w:rsidRDefault="004D42BE" w:rsidP="009421C1">
      <w:pPr>
        <w:spacing w:line="240" w:lineRule="auto"/>
        <w:rPr>
          <w:sz w:val="24"/>
          <w:szCs w:val="24"/>
          <w:u w:val="single"/>
        </w:rPr>
      </w:pPr>
      <w:r>
        <w:rPr>
          <w:sz w:val="24"/>
          <w:szCs w:val="24"/>
          <w:u w:val="single"/>
        </w:rPr>
        <w:t>Section 92</w:t>
      </w:r>
      <w:r w:rsidR="009421C1" w:rsidRPr="00AF1BDB">
        <w:rPr>
          <w:sz w:val="24"/>
          <w:szCs w:val="24"/>
          <w:u w:val="single"/>
        </w:rPr>
        <w:t xml:space="preserve"> - Method for issuing tariff rate quota certificates</w:t>
      </w:r>
    </w:p>
    <w:p w14:paraId="437C10F2" w14:textId="77777777" w:rsidR="009421C1" w:rsidRDefault="009421C1" w:rsidP="009421C1">
      <w:pPr>
        <w:spacing w:line="240" w:lineRule="auto"/>
        <w:rPr>
          <w:b/>
          <w:u w:val="single"/>
        </w:rPr>
      </w:pPr>
    </w:p>
    <w:p w14:paraId="10978BE6" w14:textId="189DC7F9" w:rsidR="009421C1" w:rsidRPr="009421C1" w:rsidRDefault="004D42BE" w:rsidP="009421C1">
      <w:pPr>
        <w:spacing w:line="240" w:lineRule="auto"/>
        <w:rPr>
          <w:sz w:val="24"/>
          <w:szCs w:val="24"/>
        </w:rPr>
      </w:pPr>
      <w:r>
        <w:rPr>
          <w:sz w:val="24"/>
          <w:szCs w:val="24"/>
        </w:rPr>
        <w:t>Section 92</w:t>
      </w:r>
      <w:r w:rsidR="009421C1" w:rsidRPr="00AF1398">
        <w:rPr>
          <w:sz w:val="24"/>
          <w:szCs w:val="24"/>
        </w:rPr>
        <w:t xml:space="preserve"> provides that </w:t>
      </w:r>
      <w:r w:rsidR="009421C1">
        <w:rPr>
          <w:sz w:val="24"/>
          <w:szCs w:val="24"/>
        </w:rPr>
        <w:t>t</w:t>
      </w:r>
      <w:r w:rsidR="009421C1" w:rsidRPr="009421C1">
        <w:rPr>
          <w:sz w:val="24"/>
          <w:szCs w:val="24"/>
        </w:rPr>
        <w:t>he high</w:t>
      </w:r>
      <w:r w:rsidR="009421C1" w:rsidRPr="009421C1">
        <w:rPr>
          <w:sz w:val="24"/>
          <w:szCs w:val="24"/>
        </w:rPr>
        <w:noBreakHyphen/>
        <w:t>fill trigger method</w:t>
      </w:r>
      <w:r w:rsidR="00B27148">
        <w:rPr>
          <w:sz w:val="24"/>
          <w:szCs w:val="24"/>
        </w:rPr>
        <w:t xml:space="preserve"> </w:t>
      </w:r>
      <w:r w:rsidR="009421C1" w:rsidRPr="009421C1">
        <w:rPr>
          <w:sz w:val="24"/>
          <w:szCs w:val="24"/>
        </w:rPr>
        <w:t>applies for the purposes of issuing</w:t>
      </w:r>
      <w:bookmarkStart w:id="86" w:name="BK_S3P51L4C8"/>
      <w:bookmarkEnd w:id="86"/>
      <w:r w:rsidR="009421C1" w:rsidRPr="009421C1">
        <w:rPr>
          <w:sz w:val="24"/>
          <w:szCs w:val="24"/>
        </w:rPr>
        <w:t xml:space="preserve"> a tariff rate quota certificate in relation to a consignment of US beef for export to the United States of America in a quota year beginning on or after 1 January 2020.</w:t>
      </w:r>
      <w:r w:rsidR="004A0E15">
        <w:rPr>
          <w:sz w:val="24"/>
          <w:szCs w:val="24"/>
        </w:rPr>
        <w:t xml:space="preserve"> The note to this section provides that the high-fill trigger method is set out in Part 2 of Chapter 2.</w:t>
      </w:r>
    </w:p>
    <w:p w14:paraId="63E6BAC1" w14:textId="77777777" w:rsidR="00B27148" w:rsidRDefault="00B27148" w:rsidP="009421C1">
      <w:pPr>
        <w:spacing w:line="240" w:lineRule="auto"/>
        <w:rPr>
          <w:sz w:val="24"/>
          <w:szCs w:val="24"/>
        </w:rPr>
      </w:pPr>
    </w:p>
    <w:p w14:paraId="4B112C30" w14:textId="780D58D2" w:rsidR="009421C1" w:rsidRPr="00A771C7" w:rsidRDefault="004D42BE" w:rsidP="009421C1">
      <w:pPr>
        <w:spacing w:line="240" w:lineRule="auto"/>
        <w:rPr>
          <w:sz w:val="24"/>
          <w:u w:val="single"/>
        </w:rPr>
      </w:pPr>
      <w:r w:rsidRPr="000F37A3">
        <w:rPr>
          <w:sz w:val="24"/>
          <w:u w:val="single"/>
        </w:rPr>
        <w:t>Section 93</w:t>
      </w:r>
      <w:r w:rsidR="009421C1" w:rsidRPr="0031093E">
        <w:rPr>
          <w:sz w:val="24"/>
          <w:u w:val="single"/>
        </w:rPr>
        <w:t xml:space="preserve"> - Annual access amounts</w:t>
      </w:r>
    </w:p>
    <w:p w14:paraId="173C7A9E" w14:textId="77777777" w:rsidR="00AF1398" w:rsidRPr="00A771C7" w:rsidRDefault="00AF1398" w:rsidP="00A273F8">
      <w:pPr>
        <w:spacing w:line="240" w:lineRule="auto"/>
        <w:rPr>
          <w:sz w:val="24"/>
        </w:rPr>
      </w:pPr>
    </w:p>
    <w:p w14:paraId="3F0275A1" w14:textId="3315676D" w:rsidR="009421C1" w:rsidRPr="00DB701A" w:rsidRDefault="004D42BE" w:rsidP="009421C1">
      <w:pPr>
        <w:spacing w:line="240" w:lineRule="auto"/>
      </w:pPr>
      <w:r w:rsidRPr="00A771C7">
        <w:rPr>
          <w:sz w:val="24"/>
        </w:rPr>
        <w:t>Section 93</w:t>
      </w:r>
      <w:r w:rsidR="009421C1" w:rsidRPr="00A771C7">
        <w:rPr>
          <w:sz w:val="24"/>
        </w:rPr>
        <w:t xml:space="preserve"> provides that t</w:t>
      </w:r>
      <w:r w:rsidR="009421C1" w:rsidRPr="00DB701A">
        <w:t xml:space="preserve">he annual access amount for US beef for export to the United States of America in </w:t>
      </w:r>
      <w:r w:rsidR="009421C1" w:rsidRPr="00DB701A">
        <w:rPr>
          <w:sz w:val="24"/>
        </w:rPr>
        <w:t xml:space="preserve">relation to </w:t>
      </w:r>
      <w:r w:rsidR="009421C1" w:rsidRPr="00DB701A">
        <w:t>a quota year is as follows:</w:t>
      </w:r>
    </w:p>
    <w:p w14:paraId="080D218A" w14:textId="1C081C5A" w:rsidR="009421C1" w:rsidRPr="00DB701A" w:rsidRDefault="009421C1" w:rsidP="00B27148">
      <w:pPr>
        <w:pStyle w:val="paragraph"/>
        <w:numPr>
          <w:ilvl w:val="0"/>
          <w:numId w:val="18"/>
        </w:numPr>
        <w:tabs>
          <w:tab w:val="clear" w:pos="1531"/>
          <w:tab w:val="right" w:pos="1134"/>
        </w:tabs>
        <w:ind w:left="709"/>
        <w:rPr>
          <w:sz w:val="24"/>
          <w:szCs w:val="24"/>
        </w:rPr>
      </w:pPr>
      <w:bookmarkStart w:id="87" w:name="BK_S3P50L33C77"/>
      <w:bookmarkStart w:id="88" w:name="BK_S3P46L33C77"/>
      <w:bookmarkStart w:id="89" w:name="BK_S3P49L4C77"/>
      <w:bookmarkEnd w:id="87"/>
      <w:bookmarkEnd w:id="88"/>
      <w:bookmarkEnd w:id="89"/>
      <w:r w:rsidRPr="00DB701A">
        <w:rPr>
          <w:sz w:val="24"/>
          <w:szCs w:val="24"/>
        </w:rPr>
        <w:t>for the quota year starting on 1 January 2020—433,214,000 kilograms;</w:t>
      </w:r>
    </w:p>
    <w:p w14:paraId="7ACC4E92" w14:textId="3DE95CB2" w:rsidR="009421C1" w:rsidRPr="00DB701A" w:rsidRDefault="009421C1" w:rsidP="00B27148">
      <w:pPr>
        <w:pStyle w:val="paragraph"/>
        <w:numPr>
          <w:ilvl w:val="0"/>
          <w:numId w:val="18"/>
        </w:numPr>
        <w:tabs>
          <w:tab w:val="clear" w:pos="1531"/>
          <w:tab w:val="right" w:pos="1134"/>
        </w:tabs>
        <w:ind w:left="709"/>
        <w:rPr>
          <w:sz w:val="24"/>
          <w:szCs w:val="24"/>
        </w:rPr>
      </w:pPr>
      <w:r w:rsidRPr="00DB701A">
        <w:rPr>
          <w:sz w:val="24"/>
          <w:szCs w:val="24"/>
        </w:rPr>
        <w:t>for the quota year starting on 1 January 2021—438,214,000 kilograms;</w:t>
      </w:r>
    </w:p>
    <w:p w14:paraId="0AEF3406" w14:textId="5F6E1191" w:rsidR="009421C1" w:rsidRPr="00DB701A" w:rsidRDefault="009421C1" w:rsidP="00B27148">
      <w:pPr>
        <w:pStyle w:val="paragraph"/>
        <w:numPr>
          <w:ilvl w:val="0"/>
          <w:numId w:val="18"/>
        </w:numPr>
        <w:tabs>
          <w:tab w:val="clear" w:pos="1531"/>
          <w:tab w:val="right" w:pos="1134"/>
        </w:tabs>
        <w:ind w:left="709"/>
        <w:rPr>
          <w:sz w:val="24"/>
          <w:szCs w:val="24"/>
        </w:rPr>
      </w:pPr>
      <w:proofErr w:type="gramStart"/>
      <w:r w:rsidRPr="00DB701A">
        <w:rPr>
          <w:sz w:val="24"/>
          <w:szCs w:val="24"/>
        </w:rPr>
        <w:t>for</w:t>
      </w:r>
      <w:proofErr w:type="gramEnd"/>
      <w:r w:rsidRPr="00DB701A">
        <w:rPr>
          <w:sz w:val="24"/>
          <w:szCs w:val="24"/>
        </w:rPr>
        <w:t xml:space="preserve"> the quota year starting on 1 January 2022—448,214,000 kilograms.</w:t>
      </w:r>
    </w:p>
    <w:p w14:paraId="57D5C564" w14:textId="77777777" w:rsidR="009421C1" w:rsidRPr="002B23ED" w:rsidRDefault="009421C1" w:rsidP="002B23ED">
      <w:pPr>
        <w:spacing w:line="240" w:lineRule="auto"/>
        <w:rPr>
          <w:sz w:val="24"/>
          <w:szCs w:val="24"/>
        </w:rPr>
      </w:pPr>
    </w:p>
    <w:p w14:paraId="6F2F5E6E" w14:textId="572D933E" w:rsidR="003F3DCB" w:rsidRDefault="003F3DCB" w:rsidP="003F3DCB">
      <w:pPr>
        <w:spacing w:line="240" w:lineRule="auto"/>
        <w:rPr>
          <w:sz w:val="24"/>
          <w:szCs w:val="24"/>
          <w:u w:val="single"/>
        </w:rPr>
      </w:pPr>
      <w:bookmarkStart w:id="90" w:name="_Toc22827015"/>
      <w:r>
        <w:rPr>
          <w:sz w:val="24"/>
          <w:szCs w:val="24"/>
          <w:u w:val="single"/>
        </w:rPr>
        <w:t xml:space="preserve">Section </w:t>
      </w:r>
      <w:r w:rsidR="00BC2DB4">
        <w:rPr>
          <w:sz w:val="24"/>
          <w:szCs w:val="24"/>
          <w:u w:val="single"/>
        </w:rPr>
        <w:t>94</w:t>
      </w:r>
      <w:r w:rsidRPr="003F3DCB">
        <w:rPr>
          <w:sz w:val="24"/>
          <w:szCs w:val="24"/>
          <w:u w:val="single"/>
        </w:rPr>
        <w:t xml:space="preserve"> </w:t>
      </w:r>
      <w:r>
        <w:rPr>
          <w:sz w:val="24"/>
          <w:szCs w:val="24"/>
          <w:u w:val="single"/>
        </w:rPr>
        <w:t>-</w:t>
      </w:r>
      <w:r w:rsidRPr="003F3DCB">
        <w:rPr>
          <w:sz w:val="24"/>
          <w:szCs w:val="24"/>
          <w:u w:val="single"/>
        </w:rPr>
        <w:t xml:space="preserve"> Trigger amount and trigger deadline</w:t>
      </w:r>
      <w:bookmarkEnd w:id="90"/>
    </w:p>
    <w:p w14:paraId="67FC833D" w14:textId="77777777" w:rsidR="003F3DCB" w:rsidRPr="003F3DCB" w:rsidRDefault="003F3DCB" w:rsidP="003F3DCB">
      <w:pPr>
        <w:spacing w:line="240" w:lineRule="auto"/>
        <w:rPr>
          <w:sz w:val="24"/>
          <w:szCs w:val="24"/>
          <w:u w:val="single"/>
        </w:rPr>
      </w:pPr>
    </w:p>
    <w:p w14:paraId="07469B46" w14:textId="51C52EAD" w:rsidR="003F3DCB" w:rsidRPr="003F3DCB" w:rsidRDefault="003F3DCB" w:rsidP="003F3DCB">
      <w:pPr>
        <w:spacing w:line="240" w:lineRule="auto"/>
        <w:rPr>
          <w:sz w:val="24"/>
          <w:szCs w:val="24"/>
        </w:rPr>
      </w:pPr>
      <w:r>
        <w:rPr>
          <w:sz w:val="24"/>
          <w:szCs w:val="24"/>
        </w:rPr>
        <w:t xml:space="preserve">Subsection </w:t>
      </w:r>
      <w:r w:rsidR="00BC2DB4">
        <w:rPr>
          <w:sz w:val="24"/>
          <w:szCs w:val="24"/>
        </w:rPr>
        <w:t>94</w:t>
      </w:r>
      <w:r>
        <w:rPr>
          <w:sz w:val="24"/>
          <w:szCs w:val="24"/>
        </w:rPr>
        <w:t>(1) provides that t</w:t>
      </w:r>
      <w:r w:rsidRPr="003F3DCB">
        <w:rPr>
          <w:sz w:val="24"/>
          <w:szCs w:val="24"/>
        </w:rPr>
        <w:t>he trigger amount for US beef for export to the United States of America in relation to a quota year is 85% of the annual access amount for US beef for export to the United States of America in relation to that quota year.</w:t>
      </w:r>
    </w:p>
    <w:p w14:paraId="1A91485D" w14:textId="77777777" w:rsidR="003F3DCB" w:rsidRPr="003F3DCB" w:rsidRDefault="003F3DCB" w:rsidP="003F3DCB">
      <w:pPr>
        <w:spacing w:line="240" w:lineRule="auto"/>
        <w:rPr>
          <w:sz w:val="24"/>
          <w:szCs w:val="24"/>
        </w:rPr>
      </w:pPr>
    </w:p>
    <w:p w14:paraId="3ABF82E7" w14:textId="149C86A8" w:rsidR="003F3DCB" w:rsidRDefault="00BC2DB4" w:rsidP="003F3DCB">
      <w:pPr>
        <w:spacing w:line="240" w:lineRule="auto"/>
        <w:rPr>
          <w:sz w:val="24"/>
          <w:szCs w:val="24"/>
        </w:rPr>
      </w:pPr>
      <w:r>
        <w:rPr>
          <w:sz w:val="24"/>
          <w:szCs w:val="24"/>
        </w:rPr>
        <w:t>Subsection 94</w:t>
      </w:r>
      <w:r w:rsidR="003F3DCB" w:rsidRPr="003F3DCB">
        <w:rPr>
          <w:sz w:val="24"/>
          <w:szCs w:val="24"/>
        </w:rPr>
        <w:t>(2)</w:t>
      </w:r>
      <w:r w:rsidR="003F3DCB">
        <w:rPr>
          <w:sz w:val="24"/>
          <w:szCs w:val="24"/>
        </w:rPr>
        <w:t xml:space="preserve"> provides that t</w:t>
      </w:r>
      <w:r w:rsidR="003F3DCB" w:rsidRPr="003F3DCB">
        <w:rPr>
          <w:sz w:val="24"/>
          <w:szCs w:val="24"/>
        </w:rPr>
        <w:t>he trigger deadline for US beef for export to the United States of America in a quota year is 31 September in the quota year.</w:t>
      </w:r>
    </w:p>
    <w:p w14:paraId="5F4AA45B" w14:textId="77777777" w:rsidR="003F3DCB" w:rsidRDefault="003F3DCB" w:rsidP="003F3DCB">
      <w:pPr>
        <w:spacing w:line="240" w:lineRule="auto"/>
        <w:rPr>
          <w:sz w:val="24"/>
          <w:szCs w:val="24"/>
        </w:rPr>
      </w:pPr>
    </w:p>
    <w:p w14:paraId="4C4854CB" w14:textId="53E68C68" w:rsidR="00ED4983" w:rsidRDefault="00ED4983" w:rsidP="00ED4983">
      <w:pPr>
        <w:spacing w:line="240" w:lineRule="auto"/>
        <w:rPr>
          <w:sz w:val="24"/>
          <w:szCs w:val="24"/>
          <w:u w:val="single"/>
        </w:rPr>
      </w:pPr>
      <w:bookmarkStart w:id="91" w:name="_Toc22827016"/>
      <w:r>
        <w:rPr>
          <w:sz w:val="24"/>
          <w:szCs w:val="24"/>
          <w:u w:val="single"/>
        </w:rPr>
        <w:t xml:space="preserve">Section </w:t>
      </w:r>
      <w:r w:rsidR="00BC2DB4">
        <w:rPr>
          <w:sz w:val="24"/>
          <w:szCs w:val="24"/>
          <w:u w:val="single"/>
        </w:rPr>
        <w:t>95</w:t>
      </w:r>
      <w:r w:rsidRPr="00ED4983">
        <w:rPr>
          <w:sz w:val="24"/>
          <w:szCs w:val="24"/>
          <w:u w:val="single"/>
        </w:rPr>
        <w:t xml:space="preserve"> </w:t>
      </w:r>
      <w:r>
        <w:rPr>
          <w:sz w:val="24"/>
          <w:szCs w:val="24"/>
          <w:u w:val="single"/>
        </w:rPr>
        <w:t>-</w:t>
      </w:r>
      <w:r w:rsidRPr="00ED4983">
        <w:rPr>
          <w:sz w:val="24"/>
          <w:szCs w:val="24"/>
          <w:u w:val="single"/>
        </w:rPr>
        <w:t xml:space="preserve"> Eligible person</w:t>
      </w:r>
      <w:bookmarkEnd w:id="91"/>
    </w:p>
    <w:p w14:paraId="1F8650ED" w14:textId="77777777" w:rsidR="00ED4983" w:rsidRPr="00ED4983" w:rsidRDefault="00ED4983" w:rsidP="00ED4983">
      <w:pPr>
        <w:spacing w:line="240" w:lineRule="auto"/>
        <w:rPr>
          <w:sz w:val="24"/>
          <w:szCs w:val="24"/>
          <w:u w:val="single"/>
        </w:rPr>
      </w:pPr>
    </w:p>
    <w:p w14:paraId="0DE9D25B" w14:textId="4DA209FA" w:rsidR="00ED4983" w:rsidRDefault="00BC2DB4" w:rsidP="00ED4983">
      <w:pPr>
        <w:spacing w:line="240" w:lineRule="auto"/>
        <w:rPr>
          <w:sz w:val="24"/>
          <w:szCs w:val="24"/>
        </w:rPr>
      </w:pPr>
      <w:r>
        <w:rPr>
          <w:sz w:val="24"/>
          <w:szCs w:val="24"/>
        </w:rPr>
        <w:t>Section 95</w:t>
      </w:r>
      <w:r w:rsidR="00ED4983">
        <w:rPr>
          <w:sz w:val="24"/>
          <w:szCs w:val="24"/>
        </w:rPr>
        <w:t xml:space="preserve"> provides that a</w:t>
      </w:r>
      <w:r w:rsidR="00ED4983" w:rsidRPr="00ED4983">
        <w:rPr>
          <w:sz w:val="24"/>
          <w:szCs w:val="24"/>
        </w:rPr>
        <w:t xml:space="preserve">n eligible person for US beef for export to the United States of America is a person who holds a licence </w:t>
      </w:r>
      <w:r w:rsidR="00443C2E">
        <w:rPr>
          <w:sz w:val="24"/>
          <w:szCs w:val="24"/>
        </w:rPr>
        <w:t>granted</w:t>
      </w:r>
      <w:r w:rsidR="00ED4983" w:rsidRPr="00ED4983">
        <w:rPr>
          <w:sz w:val="24"/>
          <w:szCs w:val="24"/>
        </w:rPr>
        <w:t xml:space="preserve"> </w:t>
      </w:r>
      <w:r w:rsidR="00CE67BC">
        <w:rPr>
          <w:sz w:val="24"/>
          <w:szCs w:val="24"/>
        </w:rPr>
        <w:t>under</w:t>
      </w:r>
      <w:r w:rsidR="00ED4983" w:rsidRPr="00ED4983">
        <w:rPr>
          <w:sz w:val="24"/>
          <w:szCs w:val="24"/>
        </w:rPr>
        <w:t xml:space="preserve"> section 10 of the </w:t>
      </w:r>
      <w:r w:rsidR="00ED4983" w:rsidRPr="00DB701A">
        <w:rPr>
          <w:i/>
          <w:sz w:val="24"/>
          <w:szCs w:val="24"/>
        </w:rPr>
        <w:t>Australian Meat and Live-stock Industry Act 1997</w:t>
      </w:r>
      <w:r w:rsidR="00ED4983" w:rsidRPr="00DB701A">
        <w:rPr>
          <w:i/>
          <w:sz w:val="24"/>
        </w:rPr>
        <w:t xml:space="preserve"> </w:t>
      </w:r>
      <w:r w:rsidR="00ED4983" w:rsidRPr="00ED4983">
        <w:rPr>
          <w:sz w:val="24"/>
          <w:szCs w:val="24"/>
        </w:rPr>
        <w:t>allowing the holder to export US beef to the United States of America.</w:t>
      </w:r>
    </w:p>
    <w:p w14:paraId="0D4B21F8" w14:textId="77777777" w:rsidR="00ED4983" w:rsidRDefault="00ED4983" w:rsidP="00ED4983">
      <w:pPr>
        <w:spacing w:line="240" w:lineRule="auto"/>
        <w:rPr>
          <w:sz w:val="24"/>
          <w:szCs w:val="24"/>
        </w:rPr>
      </w:pPr>
    </w:p>
    <w:p w14:paraId="5D6CFE00" w14:textId="5C658E9D" w:rsidR="00ED4983" w:rsidRDefault="00ED4983" w:rsidP="00ED4983">
      <w:pPr>
        <w:spacing w:line="240" w:lineRule="auto"/>
        <w:rPr>
          <w:sz w:val="24"/>
          <w:szCs w:val="24"/>
          <w:u w:val="single"/>
        </w:rPr>
      </w:pPr>
      <w:bookmarkStart w:id="92" w:name="_Toc22827017"/>
      <w:r>
        <w:rPr>
          <w:sz w:val="24"/>
          <w:szCs w:val="24"/>
          <w:u w:val="single"/>
        </w:rPr>
        <w:t xml:space="preserve">Section </w:t>
      </w:r>
      <w:r w:rsidR="00BC2DB4">
        <w:rPr>
          <w:sz w:val="24"/>
          <w:szCs w:val="24"/>
          <w:u w:val="single"/>
        </w:rPr>
        <w:t>96</w:t>
      </w:r>
      <w:r w:rsidRPr="00ED4983">
        <w:rPr>
          <w:sz w:val="24"/>
          <w:szCs w:val="24"/>
          <w:u w:val="single"/>
        </w:rPr>
        <w:t xml:space="preserve"> </w:t>
      </w:r>
      <w:r>
        <w:rPr>
          <w:sz w:val="24"/>
          <w:szCs w:val="24"/>
          <w:u w:val="single"/>
        </w:rPr>
        <w:t>-</w:t>
      </w:r>
      <w:r w:rsidRPr="00ED4983">
        <w:rPr>
          <w:sz w:val="24"/>
          <w:szCs w:val="24"/>
          <w:u w:val="single"/>
        </w:rPr>
        <w:t xml:space="preserve"> Eligible past exports</w:t>
      </w:r>
      <w:bookmarkEnd w:id="92"/>
    </w:p>
    <w:p w14:paraId="40F4E953" w14:textId="77777777" w:rsidR="00447E6B" w:rsidRPr="00ED4983" w:rsidRDefault="00447E6B" w:rsidP="00ED4983">
      <w:pPr>
        <w:spacing w:line="240" w:lineRule="auto"/>
        <w:rPr>
          <w:sz w:val="24"/>
          <w:szCs w:val="24"/>
          <w:u w:val="single"/>
        </w:rPr>
      </w:pPr>
    </w:p>
    <w:p w14:paraId="39593A24" w14:textId="0DA10D42" w:rsidR="00ED4983" w:rsidRPr="00ED4983" w:rsidRDefault="00BC2DB4" w:rsidP="00ED4983">
      <w:pPr>
        <w:spacing w:line="240" w:lineRule="auto"/>
        <w:rPr>
          <w:sz w:val="24"/>
          <w:szCs w:val="24"/>
        </w:rPr>
      </w:pPr>
      <w:r>
        <w:rPr>
          <w:sz w:val="24"/>
          <w:szCs w:val="24"/>
        </w:rPr>
        <w:t>Section 96</w:t>
      </w:r>
      <w:r w:rsidR="00ED4983">
        <w:rPr>
          <w:sz w:val="24"/>
          <w:szCs w:val="24"/>
        </w:rPr>
        <w:t xml:space="preserve"> provides that a </w:t>
      </w:r>
      <w:r w:rsidR="00ED4983" w:rsidRPr="00ED4983">
        <w:rPr>
          <w:sz w:val="24"/>
          <w:szCs w:val="24"/>
        </w:rPr>
        <w:t xml:space="preserve">consignment is an eligible past export </w:t>
      </w:r>
      <w:r w:rsidR="00607E6B">
        <w:rPr>
          <w:sz w:val="24"/>
          <w:szCs w:val="24"/>
        </w:rPr>
        <w:t>for</w:t>
      </w:r>
      <w:r w:rsidR="00607E6B" w:rsidRPr="00ED4983">
        <w:rPr>
          <w:sz w:val="24"/>
          <w:szCs w:val="24"/>
        </w:rPr>
        <w:t xml:space="preserve"> US beef </w:t>
      </w:r>
      <w:r w:rsidR="00467C53">
        <w:rPr>
          <w:sz w:val="24"/>
          <w:szCs w:val="24"/>
        </w:rPr>
        <w:t>for export</w:t>
      </w:r>
      <w:r w:rsidR="00607E6B" w:rsidRPr="00ED4983">
        <w:rPr>
          <w:sz w:val="24"/>
          <w:szCs w:val="24"/>
        </w:rPr>
        <w:t xml:space="preserve"> to the United States of America </w:t>
      </w:r>
      <w:r w:rsidR="00ED4983" w:rsidRPr="00ED4983">
        <w:rPr>
          <w:sz w:val="24"/>
          <w:szCs w:val="24"/>
        </w:rPr>
        <w:t xml:space="preserve">in relation to a quota year if </w:t>
      </w:r>
      <w:r w:rsidR="00607E6B">
        <w:rPr>
          <w:sz w:val="24"/>
          <w:szCs w:val="24"/>
        </w:rPr>
        <w:t xml:space="preserve">it is a consignment </w:t>
      </w:r>
      <w:r w:rsidR="00607E6B" w:rsidRPr="00ED4983">
        <w:rPr>
          <w:sz w:val="24"/>
          <w:szCs w:val="24"/>
        </w:rPr>
        <w:t xml:space="preserve">of US beef exported to the United States of America </w:t>
      </w:r>
      <w:r w:rsidR="00607E6B">
        <w:rPr>
          <w:sz w:val="24"/>
          <w:szCs w:val="24"/>
        </w:rPr>
        <w:t xml:space="preserve">and </w:t>
      </w:r>
      <w:r w:rsidR="00ED4983" w:rsidRPr="00ED4983">
        <w:rPr>
          <w:sz w:val="24"/>
          <w:szCs w:val="24"/>
        </w:rPr>
        <w:t>a tariff rate quota certificate was issued in relation to the consignment for export in either of the 2 preceding quota years.</w:t>
      </w:r>
    </w:p>
    <w:p w14:paraId="1662E570" w14:textId="77777777" w:rsidR="00ED4983" w:rsidRDefault="00ED4983" w:rsidP="00ED4983">
      <w:pPr>
        <w:spacing w:line="240" w:lineRule="auto"/>
        <w:rPr>
          <w:sz w:val="24"/>
          <w:szCs w:val="24"/>
        </w:rPr>
      </w:pPr>
    </w:p>
    <w:p w14:paraId="25F92D0C" w14:textId="7686673A" w:rsidR="00581667" w:rsidRDefault="00581667" w:rsidP="00485178">
      <w:pPr>
        <w:keepNext/>
        <w:spacing w:line="240" w:lineRule="auto"/>
        <w:rPr>
          <w:sz w:val="24"/>
          <w:szCs w:val="24"/>
          <w:u w:val="single"/>
        </w:rPr>
      </w:pPr>
      <w:bookmarkStart w:id="93" w:name="_Toc22827018"/>
      <w:r>
        <w:rPr>
          <w:sz w:val="24"/>
          <w:szCs w:val="24"/>
          <w:u w:val="single"/>
        </w:rPr>
        <w:lastRenderedPageBreak/>
        <w:t xml:space="preserve">Section </w:t>
      </w:r>
      <w:r w:rsidR="00BC2DB4">
        <w:rPr>
          <w:sz w:val="24"/>
          <w:szCs w:val="24"/>
          <w:u w:val="single"/>
        </w:rPr>
        <w:t>97</w:t>
      </w:r>
      <w:r w:rsidRPr="00581667">
        <w:rPr>
          <w:sz w:val="24"/>
          <w:szCs w:val="24"/>
          <w:u w:val="single"/>
        </w:rPr>
        <w:t xml:space="preserve"> </w:t>
      </w:r>
      <w:r>
        <w:rPr>
          <w:sz w:val="24"/>
          <w:szCs w:val="24"/>
          <w:u w:val="single"/>
        </w:rPr>
        <w:t>-</w:t>
      </w:r>
      <w:r w:rsidRPr="00581667">
        <w:rPr>
          <w:sz w:val="24"/>
          <w:szCs w:val="24"/>
          <w:u w:val="single"/>
        </w:rPr>
        <w:t xml:space="preserve"> Minimum quota allocation</w:t>
      </w:r>
      <w:bookmarkEnd w:id="93"/>
    </w:p>
    <w:p w14:paraId="62812014" w14:textId="77777777" w:rsidR="00581667" w:rsidRPr="00581667" w:rsidRDefault="00581667" w:rsidP="00485178">
      <w:pPr>
        <w:keepNext/>
        <w:spacing w:line="240" w:lineRule="auto"/>
        <w:rPr>
          <w:sz w:val="24"/>
          <w:szCs w:val="24"/>
          <w:u w:val="single"/>
        </w:rPr>
      </w:pPr>
    </w:p>
    <w:p w14:paraId="6341E0B3" w14:textId="5DA9B45B" w:rsidR="00581667" w:rsidRDefault="00BC2DB4" w:rsidP="00581667">
      <w:pPr>
        <w:spacing w:line="240" w:lineRule="auto"/>
        <w:rPr>
          <w:sz w:val="24"/>
          <w:szCs w:val="24"/>
        </w:rPr>
      </w:pPr>
      <w:r>
        <w:rPr>
          <w:sz w:val="24"/>
          <w:szCs w:val="24"/>
        </w:rPr>
        <w:t>Section 97</w:t>
      </w:r>
      <w:r w:rsidR="00581667">
        <w:rPr>
          <w:sz w:val="24"/>
          <w:szCs w:val="24"/>
        </w:rPr>
        <w:t xml:space="preserve"> provides that t</w:t>
      </w:r>
      <w:r w:rsidR="00581667" w:rsidRPr="00581667">
        <w:rPr>
          <w:sz w:val="24"/>
          <w:szCs w:val="24"/>
        </w:rPr>
        <w:t>he minimum quota allocation for US beef for export to the United States of America in relation to a quota year is 1 tonne.</w:t>
      </w:r>
    </w:p>
    <w:p w14:paraId="63515009" w14:textId="77777777" w:rsidR="00581667" w:rsidRDefault="00581667" w:rsidP="00581667">
      <w:pPr>
        <w:spacing w:line="240" w:lineRule="auto"/>
        <w:rPr>
          <w:sz w:val="24"/>
          <w:szCs w:val="24"/>
        </w:rPr>
      </w:pPr>
    </w:p>
    <w:p w14:paraId="417847AE" w14:textId="24188246" w:rsidR="00581667" w:rsidRDefault="006236DE" w:rsidP="00581667">
      <w:pPr>
        <w:spacing w:line="240" w:lineRule="auto"/>
        <w:rPr>
          <w:b/>
          <w:sz w:val="24"/>
          <w:szCs w:val="24"/>
        </w:rPr>
      </w:pPr>
      <w:r>
        <w:rPr>
          <w:b/>
          <w:sz w:val="24"/>
          <w:szCs w:val="24"/>
        </w:rPr>
        <w:t>Division 2 - US FTA dairy goods</w:t>
      </w:r>
    </w:p>
    <w:p w14:paraId="33D2411B" w14:textId="77777777" w:rsidR="006236DE" w:rsidRDefault="006236DE" w:rsidP="00581667">
      <w:pPr>
        <w:spacing w:line="240" w:lineRule="auto"/>
        <w:rPr>
          <w:b/>
          <w:sz w:val="24"/>
          <w:szCs w:val="24"/>
        </w:rPr>
      </w:pPr>
    </w:p>
    <w:p w14:paraId="62AB22FC" w14:textId="52790144" w:rsidR="006236DE" w:rsidRPr="006236DE" w:rsidRDefault="006236DE" w:rsidP="006236DE">
      <w:pPr>
        <w:spacing w:line="240" w:lineRule="auto"/>
        <w:rPr>
          <w:sz w:val="24"/>
          <w:szCs w:val="24"/>
          <w:u w:val="single"/>
        </w:rPr>
      </w:pPr>
      <w:bookmarkStart w:id="94" w:name="_Toc22827020"/>
      <w:r>
        <w:rPr>
          <w:sz w:val="24"/>
          <w:szCs w:val="24"/>
          <w:u w:val="single"/>
        </w:rPr>
        <w:t xml:space="preserve">Section </w:t>
      </w:r>
      <w:r w:rsidR="00BC2DB4">
        <w:rPr>
          <w:sz w:val="24"/>
          <w:szCs w:val="24"/>
          <w:u w:val="single"/>
        </w:rPr>
        <w:t>98</w:t>
      </w:r>
      <w:r w:rsidRPr="006236DE">
        <w:rPr>
          <w:sz w:val="24"/>
          <w:szCs w:val="24"/>
          <w:u w:val="single"/>
        </w:rPr>
        <w:t xml:space="preserve"> </w:t>
      </w:r>
      <w:r>
        <w:rPr>
          <w:sz w:val="24"/>
          <w:szCs w:val="24"/>
          <w:u w:val="single"/>
        </w:rPr>
        <w:t>-</w:t>
      </w:r>
      <w:r w:rsidRPr="006236DE">
        <w:rPr>
          <w:sz w:val="24"/>
          <w:szCs w:val="24"/>
          <w:u w:val="single"/>
        </w:rPr>
        <w:t xml:space="preserve"> US FTA dairy goods</w:t>
      </w:r>
      <w:bookmarkEnd w:id="94"/>
    </w:p>
    <w:p w14:paraId="5A6A0BEA" w14:textId="7AC5F2D5" w:rsidR="006236DE" w:rsidRPr="00F93A3D" w:rsidRDefault="006236DE" w:rsidP="006236DE">
      <w:pPr>
        <w:pStyle w:val="subsection"/>
      </w:pPr>
      <w:r w:rsidRPr="00F93A3D">
        <w:rPr>
          <w:i/>
        </w:rPr>
        <w:tab/>
      </w:r>
      <w:r w:rsidR="00467C53" w:rsidRPr="009E163A">
        <w:t>Subsection 98 (1) provides that goods</w:t>
      </w:r>
      <w:r w:rsidRPr="00F93A3D">
        <w:t xml:space="preserve"> referred to in column 2 of an item in the following</w:t>
      </w:r>
      <w:bookmarkStart w:id="95" w:name="BK_S3P57L3C60"/>
      <w:bookmarkStart w:id="96" w:name="BK_S3P48L3C63"/>
      <w:bookmarkStart w:id="97" w:name="BK_S3P50L3C63"/>
      <w:bookmarkEnd w:id="95"/>
      <w:bookmarkEnd w:id="96"/>
      <w:bookmarkEnd w:id="97"/>
      <w:r w:rsidRPr="00F93A3D">
        <w:t xml:space="preserve"> table:</w:t>
      </w:r>
    </w:p>
    <w:p w14:paraId="3157FF34" w14:textId="175BE37F" w:rsidR="006236DE" w:rsidRPr="00F93A3D" w:rsidRDefault="006236DE" w:rsidP="00712997">
      <w:pPr>
        <w:pStyle w:val="paragraph"/>
        <w:numPr>
          <w:ilvl w:val="0"/>
          <w:numId w:val="19"/>
        </w:numPr>
        <w:ind w:left="851"/>
      </w:pPr>
      <w:r w:rsidRPr="00F93A3D">
        <w:t>are</w:t>
      </w:r>
      <w:r w:rsidRPr="00F93A3D">
        <w:rPr>
          <w:b/>
          <w:i/>
        </w:rPr>
        <w:t xml:space="preserve"> </w:t>
      </w:r>
      <w:r w:rsidRPr="00712997">
        <w:rPr>
          <w:i/>
        </w:rPr>
        <w:t>US FTA dairy goods</w:t>
      </w:r>
      <w:r w:rsidRPr="00F93A3D">
        <w:t>; and</w:t>
      </w:r>
    </w:p>
    <w:p w14:paraId="17E636A6" w14:textId="6A3F996C" w:rsidR="006236DE" w:rsidRPr="00F93A3D" w:rsidRDefault="006236DE" w:rsidP="00712997">
      <w:pPr>
        <w:pStyle w:val="paragraph"/>
        <w:numPr>
          <w:ilvl w:val="0"/>
          <w:numId w:val="19"/>
        </w:numPr>
        <w:ind w:left="851"/>
      </w:pPr>
      <w:proofErr w:type="gramStart"/>
      <w:r w:rsidRPr="00F93A3D">
        <w:t>are</w:t>
      </w:r>
      <w:proofErr w:type="gramEnd"/>
      <w:r w:rsidRPr="00F93A3D">
        <w:t xml:space="preserve"> of the kind of US FTA dairy goods referred to in column 1 of that item.</w:t>
      </w:r>
    </w:p>
    <w:p w14:paraId="75CB4017" w14:textId="77777777" w:rsidR="006236DE" w:rsidRPr="00F93A3D" w:rsidRDefault="006236DE" w:rsidP="006236DE">
      <w:pPr>
        <w:pStyle w:val="Tabletext0"/>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6236DE" w:rsidRPr="00F93A3D" w14:paraId="28E04C19" w14:textId="77777777" w:rsidTr="00A36177">
        <w:trPr>
          <w:tblHeader/>
        </w:trPr>
        <w:tc>
          <w:tcPr>
            <w:tcW w:w="8312" w:type="dxa"/>
            <w:gridSpan w:val="3"/>
            <w:tcBorders>
              <w:top w:val="single" w:sz="12" w:space="0" w:color="auto"/>
              <w:bottom w:val="single" w:sz="6" w:space="0" w:color="auto"/>
            </w:tcBorders>
            <w:shd w:val="clear" w:color="auto" w:fill="auto"/>
          </w:tcPr>
          <w:p w14:paraId="11669EA1" w14:textId="77777777" w:rsidR="006236DE" w:rsidRPr="00F93A3D" w:rsidRDefault="006236DE" w:rsidP="00A36177">
            <w:pPr>
              <w:pStyle w:val="TableHeading0"/>
            </w:pPr>
            <w:r w:rsidRPr="00F93A3D">
              <w:t>US FTA dairy goods</w:t>
            </w:r>
          </w:p>
        </w:tc>
      </w:tr>
      <w:tr w:rsidR="006236DE" w:rsidRPr="00F93A3D" w14:paraId="23C206BF" w14:textId="77777777" w:rsidTr="00A36177">
        <w:trPr>
          <w:tblHeader/>
        </w:trPr>
        <w:tc>
          <w:tcPr>
            <w:tcW w:w="714" w:type="dxa"/>
            <w:tcBorders>
              <w:top w:val="single" w:sz="6" w:space="0" w:color="auto"/>
              <w:bottom w:val="single" w:sz="12" w:space="0" w:color="auto"/>
            </w:tcBorders>
            <w:shd w:val="clear" w:color="auto" w:fill="auto"/>
          </w:tcPr>
          <w:p w14:paraId="3FD42B1B" w14:textId="77777777" w:rsidR="006236DE" w:rsidRPr="00F93A3D" w:rsidRDefault="006236DE" w:rsidP="00A36177">
            <w:pPr>
              <w:pStyle w:val="TableHeading0"/>
            </w:pPr>
            <w:r w:rsidRPr="00F93A3D">
              <w:t>Item</w:t>
            </w:r>
          </w:p>
        </w:tc>
        <w:tc>
          <w:tcPr>
            <w:tcW w:w="2400" w:type="dxa"/>
            <w:tcBorders>
              <w:top w:val="single" w:sz="6" w:space="0" w:color="auto"/>
              <w:bottom w:val="single" w:sz="12" w:space="0" w:color="auto"/>
            </w:tcBorders>
            <w:shd w:val="clear" w:color="auto" w:fill="auto"/>
          </w:tcPr>
          <w:p w14:paraId="49868459" w14:textId="77777777" w:rsidR="006236DE" w:rsidRPr="00F93A3D" w:rsidRDefault="006236DE" w:rsidP="00A36177">
            <w:pPr>
              <w:pStyle w:val="TableHeading0"/>
            </w:pPr>
            <w:r w:rsidRPr="00F93A3D">
              <w:t>Column 1</w:t>
            </w:r>
          </w:p>
          <w:p w14:paraId="4890267E" w14:textId="77777777" w:rsidR="006236DE" w:rsidRPr="00F93A3D" w:rsidRDefault="006236DE" w:rsidP="00A36177">
            <w:pPr>
              <w:pStyle w:val="TableHeading0"/>
            </w:pPr>
            <w:r w:rsidRPr="00F93A3D">
              <w:t>Kind of US FTA dairy goods</w:t>
            </w:r>
          </w:p>
        </w:tc>
        <w:tc>
          <w:tcPr>
            <w:tcW w:w="5198" w:type="dxa"/>
            <w:tcBorders>
              <w:top w:val="single" w:sz="6" w:space="0" w:color="auto"/>
              <w:bottom w:val="single" w:sz="12" w:space="0" w:color="auto"/>
            </w:tcBorders>
            <w:shd w:val="clear" w:color="auto" w:fill="auto"/>
          </w:tcPr>
          <w:p w14:paraId="5D2199A5" w14:textId="77777777" w:rsidR="006236DE" w:rsidRPr="00F93A3D" w:rsidRDefault="006236DE" w:rsidP="00A36177">
            <w:pPr>
              <w:pStyle w:val="TableHeading0"/>
            </w:pPr>
            <w:r w:rsidRPr="00F93A3D">
              <w:t>Column 2</w:t>
            </w:r>
          </w:p>
          <w:p w14:paraId="6D104207" w14:textId="77777777" w:rsidR="006236DE" w:rsidRPr="00F93A3D" w:rsidRDefault="006236DE" w:rsidP="00A36177">
            <w:pPr>
              <w:pStyle w:val="TableHeading0"/>
            </w:pPr>
            <w:r w:rsidRPr="00F93A3D">
              <w:t>Goods</w:t>
            </w:r>
          </w:p>
        </w:tc>
      </w:tr>
      <w:tr w:rsidR="006236DE" w:rsidRPr="00F93A3D" w14:paraId="051EF9EA" w14:textId="77777777" w:rsidTr="00A36177">
        <w:tc>
          <w:tcPr>
            <w:tcW w:w="714" w:type="dxa"/>
            <w:tcBorders>
              <w:top w:val="single" w:sz="12" w:space="0" w:color="auto"/>
            </w:tcBorders>
            <w:shd w:val="clear" w:color="auto" w:fill="auto"/>
          </w:tcPr>
          <w:p w14:paraId="65899F22" w14:textId="77777777" w:rsidR="006236DE" w:rsidRPr="00F93A3D" w:rsidRDefault="006236DE" w:rsidP="00A36177">
            <w:pPr>
              <w:pStyle w:val="Tabletext0"/>
            </w:pPr>
            <w:r w:rsidRPr="00F93A3D">
              <w:t>1</w:t>
            </w:r>
          </w:p>
        </w:tc>
        <w:tc>
          <w:tcPr>
            <w:tcW w:w="2400" w:type="dxa"/>
            <w:tcBorders>
              <w:top w:val="single" w:sz="12" w:space="0" w:color="auto"/>
            </w:tcBorders>
            <w:shd w:val="clear" w:color="auto" w:fill="auto"/>
          </w:tcPr>
          <w:p w14:paraId="6BAABBB5" w14:textId="77777777" w:rsidR="006236DE" w:rsidRPr="00F93A3D" w:rsidRDefault="006236DE" w:rsidP="00A36177">
            <w:pPr>
              <w:pStyle w:val="Tabletext0"/>
            </w:pPr>
            <w:r w:rsidRPr="00F93A3D">
              <w:t>American cheese</w:t>
            </w:r>
          </w:p>
        </w:tc>
        <w:tc>
          <w:tcPr>
            <w:tcW w:w="5198" w:type="dxa"/>
            <w:tcBorders>
              <w:top w:val="single" w:sz="12" w:space="0" w:color="auto"/>
            </w:tcBorders>
            <w:shd w:val="clear" w:color="auto" w:fill="auto"/>
          </w:tcPr>
          <w:p w14:paraId="0FEFFF39" w14:textId="77777777" w:rsidR="006236DE" w:rsidRPr="00F93A3D" w:rsidRDefault="006236DE" w:rsidP="00A36177">
            <w:pPr>
              <w:pStyle w:val="Tabletext0"/>
            </w:pPr>
            <w:r w:rsidRPr="00F93A3D">
              <w:t>Goods that will enter the United States of America under subheading 9913.04.50 as listed under subchapter XIII of Chapter 99 of the US Harmonized Tariff Schedule</w:t>
            </w:r>
          </w:p>
        </w:tc>
      </w:tr>
      <w:tr w:rsidR="006236DE" w:rsidRPr="00F93A3D" w14:paraId="6BD9AED6" w14:textId="77777777" w:rsidTr="00A36177">
        <w:tc>
          <w:tcPr>
            <w:tcW w:w="714" w:type="dxa"/>
            <w:shd w:val="clear" w:color="auto" w:fill="auto"/>
          </w:tcPr>
          <w:p w14:paraId="10662F12" w14:textId="77777777" w:rsidR="006236DE" w:rsidRPr="00F93A3D" w:rsidRDefault="006236DE" w:rsidP="00A36177">
            <w:pPr>
              <w:pStyle w:val="Tabletext0"/>
            </w:pPr>
            <w:r w:rsidRPr="00F93A3D">
              <w:t>2</w:t>
            </w:r>
          </w:p>
        </w:tc>
        <w:tc>
          <w:tcPr>
            <w:tcW w:w="2400" w:type="dxa"/>
            <w:shd w:val="clear" w:color="auto" w:fill="auto"/>
          </w:tcPr>
          <w:p w14:paraId="3B288DB2" w14:textId="77777777" w:rsidR="006236DE" w:rsidRPr="00F93A3D" w:rsidRDefault="006236DE" w:rsidP="00A36177">
            <w:pPr>
              <w:pStyle w:val="Tabletext0"/>
            </w:pPr>
            <w:r w:rsidRPr="00F93A3D">
              <w:t>Butter</w:t>
            </w:r>
          </w:p>
        </w:tc>
        <w:tc>
          <w:tcPr>
            <w:tcW w:w="5198" w:type="dxa"/>
            <w:shd w:val="clear" w:color="auto" w:fill="auto"/>
          </w:tcPr>
          <w:p w14:paraId="1DD0BC6F" w14:textId="77777777" w:rsidR="006236DE" w:rsidRPr="00F93A3D" w:rsidRDefault="006236DE" w:rsidP="00A36177">
            <w:pPr>
              <w:pStyle w:val="Tabletext0"/>
            </w:pPr>
            <w:r w:rsidRPr="00F93A3D">
              <w:t>Goods that will enter the United States of America under subheading 9913.04.10 as listed under subchapter XIII of Chapter 99 of the US Harmonized Tariff Schedule</w:t>
            </w:r>
          </w:p>
        </w:tc>
      </w:tr>
      <w:tr w:rsidR="006236DE" w:rsidRPr="00F93A3D" w14:paraId="168D4445" w14:textId="77777777" w:rsidTr="00A36177">
        <w:tc>
          <w:tcPr>
            <w:tcW w:w="714" w:type="dxa"/>
            <w:shd w:val="clear" w:color="auto" w:fill="auto"/>
          </w:tcPr>
          <w:p w14:paraId="191530A5" w14:textId="77777777" w:rsidR="006236DE" w:rsidRPr="00F93A3D" w:rsidRDefault="006236DE" w:rsidP="00A36177">
            <w:pPr>
              <w:pStyle w:val="Tabletext0"/>
            </w:pPr>
            <w:r w:rsidRPr="00F93A3D">
              <w:t>3</w:t>
            </w:r>
          </w:p>
        </w:tc>
        <w:tc>
          <w:tcPr>
            <w:tcW w:w="2400" w:type="dxa"/>
            <w:shd w:val="clear" w:color="auto" w:fill="auto"/>
          </w:tcPr>
          <w:p w14:paraId="5CF7E8CE" w14:textId="77777777" w:rsidR="006236DE" w:rsidRPr="00F93A3D" w:rsidRDefault="006236DE" w:rsidP="00A36177">
            <w:pPr>
              <w:pStyle w:val="Tabletext0"/>
            </w:pPr>
            <w:r w:rsidRPr="00F93A3D">
              <w:t>Cheddar cheese</w:t>
            </w:r>
          </w:p>
        </w:tc>
        <w:tc>
          <w:tcPr>
            <w:tcW w:w="5198" w:type="dxa"/>
            <w:shd w:val="clear" w:color="auto" w:fill="auto"/>
          </w:tcPr>
          <w:p w14:paraId="2DAB0FE3" w14:textId="77777777" w:rsidR="006236DE" w:rsidRPr="00F93A3D" w:rsidRDefault="006236DE" w:rsidP="00A36177">
            <w:pPr>
              <w:pStyle w:val="Tabletext0"/>
            </w:pPr>
            <w:r w:rsidRPr="00F93A3D">
              <w:t>Goods that will enter the United States of America under subheading 9913.04.45 as listed under subchapter XIII of Chapter 99 of the US Harmonized Tariff Schedule</w:t>
            </w:r>
          </w:p>
        </w:tc>
      </w:tr>
      <w:tr w:rsidR="006236DE" w:rsidRPr="00F93A3D" w14:paraId="04D7AF2D" w14:textId="77777777" w:rsidTr="00A36177">
        <w:tc>
          <w:tcPr>
            <w:tcW w:w="714" w:type="dxa"/>
            <w:shd w:val="clear" w:color="auto" w:fill="auto"/>
          </w:tcPr>
          <w:p w14:paraId="4480C583" w14:textId="77777777" w:rsidR="006236DE" w:rsidRPr="00F93A3D" w:rsidRDefault="006236DE" w:rsidP="00A36177">
            <w:pPr>
              <w:pStyle w:val="Tabletext0"/>
            </w:pPr>
            <w:r w:rsidRPr="00F93A3D">
              <w:t>4</w:t>
            </w:r>
          </w:p>
        </w:tc>
        <w:tc>
          <w:tcPr>
            <w:tcW w:w="2400" w:type="dxa"/>
            <w:shd w:val="clear" w:color="auto" w:fill="auto"/>
          </w:tcPr>
          <w:p w14:paraId="1B260025" w14:textId="77777777" w:rsidR="006236DE" w:rsidRPr="00F93A3D" w:rsidRDefault="006236DE" w:rsidP="00A36177">
            <w:pPr>
              <w:pStyle w:val="Tabletext0"/>
            </w:pPr>
            <w:r w:rsidRPr="00F93A3D">
              <w:t>Condensed milk</w:t>
            </w:r>
          </w:p>
        </w:tc>
        <w:tc>
          <w:tcPr>
            <w:tcW w:w="5198" w:type="dxa"/>
            <w:shd w:val="clear" w:color="auto" w:fill="auto"/>
          </w:tcPr>
          <w:p w14:paraId="1BE03ED8" w14:textId="77777777" w:rsidR="006236DE" w:rsidRPr="00F93A3D" w:rsidRDefault="006236DE" w:rsidP="00A36177">
            <w:pPr>
              <w:pStyle w:val="Tabletext0"/>
            </w:pPr>
            <w:r w:rsidRPr="00F93A3D">
              <w:t>Goods that will enter the United States of America under subheading 9913.04.30 as listed under subchapter XIII of Chapter 99 of the US Harmonized Tariff Schedule</w:t>
            </w:r>
          </w:p>
        </w:tc>
      </w:tr>
      <w:tr w:rsidR="006236DE" w:rsidRPr="00F93A3D" w14:paraId="007E85D0" w14:textId="77777777" w:rsidTr="00A36177">
        <w:tc>
          <w:tcPr>
            <w:tcW w:w="714" w:type="dxa"/>
            <w:shd w:val="clear" w:color="auto" w:fill="auto"/>
          </w:tcPr>
          <w:p w14:paraId="6168087E" w14:textId="77777777" w:rsidR="006236DE" w:rsidRPr="00F93A3D" w:rsidRDefault="006236DE" w:rsidP="00A36177">
            <w:pPr>
              <w:pStyle w:val="Tabletext0"/>
            </w:pPr>
            <w:r w:rsidRPr="00F93A3D">
              <w:t>5</w:t>
            </w:r>
          </w:p>
        </w:tc>
        <w:tc>
          <w:tcPr>
            <w:tcW w:w="2400" w:type="dxa"/>
            <w:shd w:val="clear" w:color="auto" w:fill="auto"/>
          </w:tcPr>
          <w:p w14:paraId="6F1ABDFC" w14:textId="1701D522" w:rsidR="006236DE" w:rsidRPr="00F93A3D" w:rsidRDefault="006236DE" w:rsidP="00884C43">
            <w:pPr>
              <w:pStyle w:val="Tabletext0"/>
            </w:pPr>
            <w:r w:rsidRPr="00F93A3D">
              <w:t>Cream and ice cream</w:t>
            </w:r>
          </w:p>
        </w:tc>
        <w:tc>
          <w:tcPr>
            <w:tcW w:w="5198" w:type="dxa"/>
            <w:shd w:val="clear" w:color="auto" w:fill="auto"/>
          </w:tcPr>
          <w:p w14:paraId="6FF7622F" w14:textId="77777777" w:rsidR="006236DE" w:rsidRPr="00F93A3D" w:rsidRDefault="006236DE" w:rsidP="00A36177">
            <w:pPr>
              <w:pStyle w:val="Tabletext0"/>
            </w:pPr>
            <w:r w:rsidRPr="00F93A3D">
              <w:t>Goods that will enter the United States of America under subheading 9913.04.05 as listed under subchapter XIII of Chapter 99 of the US Harmonized Tariff Schedule</w:t>
            </w:r>
          </w:p>
        </w:tc>
      </w:tr>
      <w:tr w:rsidR="006236DE" w:rsidRPr="00F93A3D" w14:paraId="15BD040A" w14:textId="77777777" w:rsidTr="00A36177">
        <w:tc>
          <w:tcPr>
            <w:tcW w:w="714" w:type="dxa"/>
            <w:shd w:val="clear" w:color="auto" w:fill="auto"/>
          </w:tcPr>
          <w:p w14:paraId="10E01CDC" w14:textId="77777777" w:rsidR="006236DE" w:rsidRPr="00F93A3D" w:rsidRDefault="006236DE" w:rsidP="00A36177">
            <w:pPr>
              <w:pStyle w:val="Tabletext0"/>
            </w:pPr>
            <w:r w:rsidRPr="00F93A3D">
              <w:t>6</w:t>
            </w:r>
          </w:p>
        </w:tc>
        <w:tc>
          <w:tcPr>
            <w:tcW w:w="2400" w:type="dxa"/>
            <w:shd w:val="clear" w:color="auto" w:fill="auto"/>
          </w:tcPr>
          <w:p w14:paraId="00BFE26B" w14:textId="77777777" w:rsidR="006236DE" w:rsidRPr="00F93A3D" w:rsidRDefault="006236DE" w:rsidP="00A36177">
            <w:pPr>
              <w:pStyle w:val="Tabletext0"/>
            </w:pPr>
            <w:r w:rsidRPr="00F93A3D">
              <w:t>European</w:t>
            </w:r>
            <w:r>
              <w:noBreakHyphen/>
            </w:r>
            <w:r w:rsidRPr="00F93A3D">
              <w:t>type cheese</w:t>
            </w:r>
          </w:p>
        </w:tc>
        <w:tc>
          <w:tcPr>
            <w:tcW w:w="5198" w:type="dxa"/>
            <w:shd w:val="clear" w:color="auto" w:fill="auto"/>
          </w:tcPr>
          <w:p w14:paraId="5C5DCE37" w14:textId="77777777" w:rsidR="006236DE" w:rsidRPr="00F93A3D" w:rsidRDefault="006236DE" w:rsidP="00A36177">
            <w:pPr>
              <w:pStyle w:val="Tabletext0"/>
            </w:pPr>
            <w:r w:rsidRPr="00F93A3D">
              <w:t>Goods that will enter the United States of America under subheading 9913.04.40 as listed under subchapter XIII of Chapter 99 of the US Harmonized Tariff Schedule</w:t>
            </w:r>
          </w:p>
        </w:tc>
      </w:tr>
      <w:tr w:rsidR="006236DE" w:rsidRPr="00F93A3D" w14:paraId="1E0D7D2D" w14:textId="77777777" w:rsidTr="00A36177">
        <w:tc>
          <w:tcPr>
            <w:tcW w:w="714" w:type="dxa"/>
            <w:shd w:val="clear" w:color="auto" w:fill="auto"/>
          </w:tcPr>
          <w:p w14:paraId="0F50B81F" w14:textId="77777777" w:rsidR="006236DE" w:rsidRPr="00F93A3D" w:rsidRDefault="006236DE" w:rsidP="00A36177">
            <w:pPr>
              <w:pStyle w:val="Tabletext0"/>
            </w:pPr>
            <w:r w:rsidRPr="00F93A3D">
              <w:t>7</w:t>
            </w:r>
          </w:p>
        </w:tc>
        <w:tc>
          <w:tcPr>
            <w:tcW w:w="2400" w:type="dxa"/>
            <w:shd w:val="clear" w:color="auto" w:fill="auto"/>
          </w:tcPr>
          <w:p w14:paraId="26B4317D" w14:textId="77777777" w:rsidR="006236DE" w:rsidRPr="00F93A3D" w:rsidRDefault="006236DE" w:rsidP="00A36177">
            <w:pPr>
              <w:pStyle w:val="Tabletext0"/>
            </w:pPr>
            <w:r w:rsidRPr="00F93A3D">
              <w:t>Goya cheese</w:t>
            </w:r>
          </w:p>
        </w:tc>
        <w:tc>
          <w:tcPr>
            <w:tcW w:w="5198" w:type="dxa"/>
            <w:shd w:val="clear" w:color="auto" w:fill="auto"/>
          </w:tcPr>
          <w:p w14:paraId="69DB5309" w14:textId="77777777" w:rsidR="006236DE" w:rsidRPr="00F93A3D" w:rsidRDefault="006236DE" w:rsidP="00A36177">
            <w:pPr>
              <w:pStyle w:val="Tabletext0"/>
            </w:pPr>
            <w:r w:rsidRPr="00F93A3D">
              <w:t>Goods that will enter the United States of America under subheading 9913.04.55 as listed under subchapter XIII of Chapter 99 of the US Harmonized Tariff Schedule</w:t>
            </w:r>
          </w:p>
        </w:tc>
      </w:tr>
      <w:tr w:rsidR="006236DE" w:rsidRPr="00F93A3D" w14:paraId="1805DC40" w14:textId="77777777" w:rsidTr="00A36177">
        <w:tc>
          <w:tcPr>
            <w:tcW w:w="714" w:type="dxa"/>
            <w:shd w:val="clear" w:color="auto" w:fill="auto"/>
          </w:tcPr>
          <w:p w14:paraId="0687F953" w14:textId="77777777" w:rsidR="006236DE" w:rsidRPr="00F93A3D" w:rsidRDefault="006236DE" w:rsidP="00A36177">
            <w:pPr>
              <w:pStyle w:val="Tabletext0"/>
            </w:pPr>
            <w:r w:rsidRPr="00F93A3D">
              <w:t>8</w:t>
            </w:r>
          </w:p>
        </w:tc>
        <w:tc>
          <w:tcPr>
            <w:tcW w:w="2400" w:type="dxa"/>
            <w:shd w:val="clear" w:color="auto" w:fill="auto"/>
          </w:tcPr>
          <w:p w14:paraId="29748DB1" w14:textId="77777777" w:rsidR="006236DE" w:rsidRPr="00F93A3D" w:rsidRDefault="006236DE" w:rsidP="00A36177">
            <w:pPr>
              <w:pStyle w:val="Tabletext0"/>
            </w:pPr>
            <w:r w:rsidRPr="00F93A3D">
              <w:t>Non</w:t>
            </w:r>
            <w:r>
              <w:noBreakHyphen/>
            </w:r>
            <w:r w:rsidRPr="00F93A3D">
              <w:t>fat dried milk powder and skim milk powder</w:t>
            </w:r>
          </w:p>
        </w:tc>
        <w:tc>
          <w:tcPr>
            <w:tcW w:w="5198" w:type="dxa"/>
            <w:shd w:val="clear" w:color="auto" w:fill="auto"/>
          </w:tcPr>
          <w:p w14:paraId="776C7D0A" w14:textId="77777777" w:rsidR="006236DE" w:rsidRPr="00F93A3D" w:rsidRDefault="006236DE" w:rsidP="00A36177">
            <w:pPr>
              <w:pStyle w:val="Tabletext0"/>
            </w:pPr>
            <w:r w:rsidRPr="00F93A3D">
              <w:t>Goods that will enter the United States of America under subheading 9913.04.15 as listed under subchapter XIII of Chapter 99 of the US Harmonized Tariff Schedule</w:t>
            </w:r>
          </w:p>
        </w:tc>
      </w:tr>
      <w:tr w:rsidR="006236DE" w:rsidRPr="00F93A3D" w14:paraId="5D54799E" w14:textId="77777777" w:rsidTr="00A36177">
        <w:tc>
          <w:tcPr>
            <w:tcW w:w="714" w:type="dxa"/>
            <w:shd w:val="clear" w:color="auto" w:fill="auto"/>
          </w:tcPr>
          <w:p w14:paraId="33DF4137" w14:textId="77777777" w:rsidR="006236DE" w:rsidRPr="00F93A3D" w:rsidRDefault="006236DE" w:rsidP="00A36177">
            <w:pPr>
              <w:pStyle w:val="Tabletext0"/>
            </w:pPr>
            <w:r w:rsidRPr="00F93A3D">
              <w:t>9</w:t>
            </w:r>
          </w:p>
        </w:tc>
        <w:tc>
          <w:tcPr>
            <w:tcW w:w="2400" w:type="dxa"/>
            <w:shd w:val="clear" w:color="auto" w:fill="auto"/>
          </w:tcPr>
          <w:p w14:paraId="16D5BD24" w14:textId="77777777" w:rsidR="006236DE" w:rsidRPr="00F93A3D" w:rsidRDefault="006236DE" w:rsidP="00A36177">
            <w:pPr>
              <w:pStyle w:val="Tabletext0"/>
            </w:pPr>
            <w:r w:rsidRPr="00F93A3D">
              <w:t>Other cheese</w:t>
            </w:r>
          </w:p>
        </w:tc>
        <w:tc>
          <w:tcPr>
            <w:tcW w:w="5198" w:type="dxa"/>
            <w:shd w:val="clear" w:color="auto" w:fill="auto"/>
          </w:tcPr>
          <w:p w14:paraId="20C5BF9C" w14:textId="77777777" w:rsidR="006236DE" w:rsidRPr="00F93A3D" w:rsidRDefault="006236DE" w:rsidP="00A36177">
            <w:pPr>
              <w:pStyle w:val="Tabletext0"/>
            </w:pPr>
            <w:r w:rsidRPr="00F93A3D">
              <w:t>Goods that will enter the United States of America under subheading 9913.04.35 as listed under subchapter XIII of Chapter 99 of the US Harmonized Tariff Schedule</w:t>
            </w:r>
          </w:p>
        </w:tc>
      </w:tr>
      <w:tr w:rsidR="006236DE" w:rsidRPr="00F93A3D" w14:paraId="30B5A1E6" w14:textId="77777777" w:rsidTr="00A36177">
        <w:tc>
          <w:tcPr>
            <w:tcW w:w="714" w:type="dxa"/>
            <w:shd w:val="clear" w:color="auto" w:fill="auto"/>
          </w:tcPr>
          <w:p w14:paraId="0CCA9A36" w14:textId="77777777" w:rsidR="006236DE" w:rsidRPr="00F93A3D" w:rsidRDefault="006236DE" w:rsidP="00A36177">
            <w:pPr>
              <w:pStyle w:val="Tabletext0"/>
            </w:pPr>
            <w:r w:rsidRPr="00F93A3D">
              <w:t>10</w:t>
            </w:r>
          </w:p>
        </w:tc>
        <w:tc>
          <w:tcPr>
            <w:tcW w:w="2400" w:type="dxa"/>
            <w:shd w:val="clear" w:color="auto" w:fill="auto"/>
          </w:tcPr>
          <w:p w14:paraId="538ACE1A" w14:textId="77777777" w:rsidR="006236DE" w:rsidRPr="00F93A3D" w:rsidRDefault="006236DE" w:rsidP="00A36177">
            <w:pPr>
              <w:pStyle w:val="Tabletext0"/>
            </w:pPr>
            <w:r w:rsidRPr="00F93A3D">
              <w:t>Other dairy products</w:t>
            </w:r>
          </w:p>
        </w:tc>
        <w:tc>
          <w:tcPr>
            <w:tcW w:w="5198" w:type="dxa"/>
            <w:shd w:val="clear" w:color="auto" w:fill="auto"/>
          </w:tcPr>
          <w:p w14:paraId="0F119609" w14:textId="77777777" w:rsidR="006236DE" w:rsidRPr="00F93A3D" w:rsidRDefault="006236DE" w:rsidP="00A36177">
            <w:pPr>
              <w:pStyle w:val="Tabletext0"/>
            </w:pPr>
            <w:r w:rsidRPr="00F93A3D">
              <w:t>Goods that will enter the United States of America under subheading 9913.04.25 as listed under subchapter XIII of Chapter 99 of the US Harmonized Tariff Schedule</w:t>
            </w:r>
          </w:p>
        </w:tc>
      </w:tr>
      <w:tr w:rsidR="006236DE" w:rsidRPr="00F93A3D" w14:paraId="0EE162BB" w14:textId="77777777" w:rsidTr="00A36177">
        <w:tc>
          <w:tcPr>
            <w:tcW w:w="714" w:type="dxa"/>
            <w:tcBorders>
              <w:bottom w:val="single" w:sz="2" w:space="0" w:color="auto"/>
            </w:tcBorders>
            <w:shd w:val="clear" w:color="auto" w:fill="auto"/>
          </w:tcPr>
          <w:p w14:paraId="4310CB19" w14:textId="77777777" w:rsidR="006236DE" w:rsidRPr="00F93A3D" w:rsidRDefault="006236DE" w:rsidP="00A36177">
            <w:pPr>
              <w:pStyle w:val="Tabletext0"/>
            </w:pPr>
            <w:r w:rsidRPr="00F93A3D">
              <w:t>11</w:t>
            </w:r>
          </w:p>
        </w:tc>
        <w:tc>
          <w:tcPr>
            <w:tcW w:w="2400" w:type="dxa"/>
            <w:tcBorders>
              <w:bottom w:val="single" w:sz="2" w:space="0" w:color="auto"/>
            </w:tcBorders>
            <w:shd w:val="clear" w:color="auto" w:fill="auto"/>
          </w:tcPr>
          <w:p w14:paraId="764C500D" w14:textId="77777777" w:rsidR="006236DE" w:rsidRPr="00F93A3D" w:rsidRDefault="006236DE" w:rsidP="00A36177">
            <w:pPr>
              <w:pStyle w:val="Tabletext0"/>
            </w:pPr>
            <w:r w:rsidRPr="00F93A3D">
              <w:t>Other milk powder</w:t>
            </w:r>
          </w:p>
        </w:tc>
        <w:tc>
          <w:tcPr>
            <w:tcW w:w="5198" w:type="dxa"/>
            <w:tcBorders>
              <w:bottom w:val="single" w:sz="2" w:space="0" w:color="auto"/>
            </w:tcBorders>
            <w:shd w:val="clear" w:color="auto" w:fill="auto"/>
          </w:tcPr>
          <w:p w14:paraId="68A7F7FC" w14:textId="77777777" w:rsidR="006236DE" w:rsidRPr="00F93A3D" w:rsidRDefault="006236DE" w:rsidP="00A36177">
            <w:pPr>
              <w:pStyle w:val="Tabletext0"/>
            </w:pPr>
            <w:r w:rsidRPr="00F93A3D">
              <w:t>Goods that will enter the United States of America under subheading 9913.04.20 as listed under subchapter XIII of Chapter 99 of the US Harmonized Tariff Schedule</w:t>
            </w:r>
          </w:p>
        </w:tc>
      </w:tr>
      <w:tr w:rsidR="006236DE" w:rsidRPr="00F93A3D" w14:paraId="09744551" w14:textId="77777777" w:rsidTr="00A36177">
        <w:tc>
          <w:tcPr>
            <w:tcW w:w="714" w:type="dxa"/>
            <w:tcBorders>
              <w:top w:val="single" w:sz="2" w:space="0" w:color="auto"/>
              <w:bottom w:val="single" w:sz="12" w:space="0" w:color="auto"/>
            </w:tcBorders>
            <w:shd w:val="clear" w:color="auto" w:fill="auto"/>
          </w:tcPr>
          <w:p w14:paraId="77954DC9" w14:textId="77777777" w:rsidR="006236DE" w:rsidRPr="00F93A3D" w:rsidRDefault="006236DE" w:rsidP="00A36177">
            <w:pPr>
              <w:pStyle w:val="Tabletext0"/>
            </w:pPr>
            <w:r w:rsidRPr="00F93A3D">
              <w:lastRenderedPageBreak/>
              <w:t>12</w:t>
            </w:r>
          </w:p>
        </w:tc>
        <w:tc>
          <w:tcPr>
            <w:tcW w:w="2400" w:type="dxa"/>
            <w:tcBorders>
              <w:top w:val="single" w:sz="2" w:space="0" w:color="auto"/>
              <w:bottom w:val="single" w:sz="12" w:space="0" w:color="auto"/>
            </w:tcBorders>
            <w:shd w:val="clear" w:color="auto" w:fill="auto"/>
          </w:tcPr>
          <w:p w14:paraId="35D61E84" w14:textId="77777777" w:rsidR="006236DE" w:rsidRPr="00F93A3D" w:rsidRDefault="006236DE" w:rsidP="00A36177">
            <w:pPr>
              <w:pStyle w:val="Tabletext0"/>
            </w:pPr>
            <w:r w:rsidRPr="00F93A3D">
              <w:t>Swiss</w:t>
            </w:r>
            <w:r>
              <w:noBreakHyphen/>
            </w:r>
            <w:r w:rsidRPr="00F93A3D">
              <w:t>type cheese</w:t>
            </w:r>
          </w:p>
        </w:tc>
        <w:tc>
          <w:tcPr>
            <w:tcW w:w="5198" w:type="dxa"/>
            <w:tcBorders>
              <w:top w:val="single" w:sz="2" w:space="0" w:color="auto"/>
              <w:bottom w:val="single" w:sz="12" w:space="0" w:color="auto"/>
            </w:tcBorders>
            <w:shd w:val="clear" w:color="auto" w:fill="auto"/>
          </w:tcPr>
          <w:p w14:paraId="725D8996" w14:textId="77777777" w:rsidR="006236DE" w:rsidRPr="00F93A3D" w:rsidRDefault="006236DE" w:rsidP="00A36177">
            <w:pPr>
              <w:pStyle w:val="Tabletext0"/>
            </w:pPr>
            <w:r w:rsidRPr="00F93A3D">
              <w:t>Goods that will enter the United States of America under subheading 9913.04.65 as listed under subchapter XIII of Chapter 99 of the US Harmonized Tariff Schedule</w:t>
            </w:r>
          </w:p>
        </w:tc>
      </w:tr>
    </w:tbl>
    <w:p w14:paraId="5C1C5389" w14:textId="77777777" w:rsidR="006236DE" w:rsidRDefault="006236DE" w:rsidP="006236DE">
      <w:pPr>
        <w:pStyle w:val="subsection"/>
      </w:pPr>
    </w:p>
    <w:p w14:paraId="4C93F7C9" w14:textId="765FFC6C" w:rsidR="006236DE" w:rsidRPr="009E163A" w:rsidRDefault="00712997" w:rsidP="006236DE">
      <w:pPr>
        <w:pStyle w:val="subsection"/>
        <w:rPr>
          <w:sz w:val="24"/>
        </w:rPr>
      </w:pPr>
      <w:r>
        <w:tab/>
      </w:r>
      <w:r w:rsidR="006236DE" w:rsidRPr="009E163A">
        <w:rPr>
          <w:sz w:val="24"/>
        </w:rPr>
        <w:t>For the purposes of this Division:</w:t>
      </w:r>
    </w:p>
    <w:p w14:paraId="6395BF2C" w14:textId="6B51F984" w:rsidR="006236DE" w:rsidRPr="009E163A" w:rsidRDefault="006236DE" w:rsidP="00712997">
      <w:pPr>
        <w:pStyle w:val="Definition"/>
        <w:ind w:left="426"/>
        <w:rPr>
          <w:sz w:val="24"/>
        </w:rPr>
      </w:pPr>
      <w:r w:rsidRPr="009E163A">
        <w:rPr>
          <w:i/>
          <w:sz w:val="24"/>
        </w:rPr>
        <w:t>FTA butter</w:t>
      </w:r>
      <w:r w:rsidRPr="009E163A">
        <w:rPr>
          <w:b/>
          <w:sz w:val="24"/>
        </w:rPr>
        <w:t xml:space="preserve"> </w:t>
      </w:r>
      <w:r w:rsidRPr="009E163A">
        <w:rPr>
          <w:sz w:val="24"/>
        </w:rPr>
        <w:t xml:space="preserve">means the kind of US FTA dairy goods referred to in column 1 of item 2 of the table in subsection </w:t>
      </w:r>
      <w:r w:rsidR="00BC2DB4" w:rsidRPr="009E163A">
        <w:rPr>
          <w:sz w:val="24"/>
        </w:rPr>
        <w:t>98</w:t>
      </w:r>
      <w:r w:rsidRPr="009E163A">
        <w:rPr>
          <w:sz w:val="24"/>
        </w:rPr>
        <w:t>(1).</w:t>
      </w:r>
    </w:p>
    <w:p w14:paraId="02D3DD12" w14:textId="42DE216F" w:rsidR="006236DE" w:rsidRPr="009E163A" w:rsidRDefault="006236DE" w:rsidP="00712997">
      <w:pPr>
        <w:pStyle w:val="Definition"/>
        <w:ind w:left="426"/>
      </w:pPr>
      <w:r w:rsidRPr="009E163A">
        <w:rPr>
          <w:i/>
          <w:sz w:val="24"/>
        </w:rPr>
        <w:t>FTA cheddar cheese</w:t>
      </w:r>
      <w:r w:rsidRPr="009E163A">
        <w:rPr>
          <w:sz w:val="24"/>
        </w:rPr>
        <w:t xml:space="preserve"> means the kind of US FTA dai</w:t>
      </w:r>
      <w:r w:rsidR="00712997" w:rsidRPr="009E163A">
        <w:rPr>
          <w:sz w:val="24"/>
        </w:rPr>
        <w:t>ry goods referred to in column 1</w:t>
      </w:r>
      <w:r w:rsidRPr="009E163A">
        <w:rPr>
          <w:sz w:val="24"/>
        </w:rPr>
        <w:t xml:space="preserve"> of item 3 of the table in subsection </w:t>
      </w:r>
      <w:r w:rsidR="00BC2DB4" w:rsidRPr="009E163A">
        <w:rPr>
          <w:sz w:val="24"/>
        </w:rPr>
        <w:t>98</w:t>
      </w:r>
      <w:r w:rsidRPr="009E163A">
        <w:rPr>
          <w:sz w:val="24"/>
        </w:rPr>
        <w:t>(1).</w:t>
      </w:r>
      <w:bookmarkStart w:id="98" w:name="BK_S3P49L8C51"/>
      <w:bookmarkEnd w:id="98"/>
    </w:p>
    <w:p w14:paraId="5B4A8C9F" w14:textId="77777777" w:rsidR="006236DE" w:rsidRPr="006236DE" w:rsidRDefault="006236DE" w:rsidP="00581667">
      <w:pPr>
        <w:spacing w:line="240" w:lineRule="auto"/>
        <w:rPr>
          <w:b/>
          <w:sz w:val="24"/>
          <w:szCs w:val="24"/>
        </w:rPr>
      </w:pPr>
    </w:p>
    <w:p w14:paraId="16333310" w14:textId="5EB56921" w:rsidR="001D7D26" w:rsidRPr="00AF1BDB" w:rsidRDefault="00BC2DB4" w:rsidP="001D7D26">
      <w:pPr>
        <w:spacing w:line="240" w:lineRule="auto"/>
        <w:rPr>
          <w:sz w:val="24"/>
          <w:szCs w:val="24"/>
          <w:u w:val="single"/>
        </w:rPr>
      </w:pPr>
      <w:r>
        <w:rPr>
          <w:sz w:val="24"/>
          <w:szCs w:val="24"/>
          <w:u w:val="single"/>
        </w:rPr>
        <w:t>Section 99</w:t>
      </w:r>
      <w:r w:rsidR="001D7D26" w:rsidRPr="00AF1BDB">
        <w:rPr>
          <w:sz w:val="24"/>
          <w:szCs w:val="24"/>
          <w:u w:val="single"/>
        </w:rPr>
        <w:t xml:space="preserve"> -</w:t>
      </w:r>
      <w:r w:rsidR="001D7D26">
        <w:rPr>
          <w:sz w:val="24"/>
          <w:szCs w:val="24"/>
          <w:u w:val="single"/>
        </w:rPr>
        <w:t xml:space="preserve"> Quota year</w:t>
      </w:r>
    </w:p>
    <w:p w14:paraId="453AB92A" w14:textId="77777777" w:rsidR="001D7D26" w:rsidRPr="00AF1BDB" w:rsidRDefault="001D7D26" w:rsidP="001D7D26">
      <w:pPr>
        <w:spacing w:line="240" w:lineRule="auto"/>
        <w:rPr>
          <w:sz w:val="24"/>
          <w:szCs w:val="24"/>
          <w:u w:val="single"/>
        </w:rPr>
      </w:pPr>
    </w:p>
    <w:p w14:paraId="21DA3B07" w14:textId="708EED9A" w:rsidR="001D7D26" w:rsidRPr="001D7D26" w:rsidRDefault="00BC2DB4" w:rsidP="001D7D26">
      <w:pPr>
        <w:spacing w:line="240" w:lineRule="auto"/>
        <w:rPr>
          <w:sz w:val="24"/>
          <w:szCs w:val="24"/>
        </w:rPr>
      </w:pPr>
      <w:r>
        <w:rPr>
          <w:sz w:val="24"/>
          <w:szCs w:val="24"/>
        </w:rPr>
        <w:t>Section 99</w:t>
      </w:r>
      <w:r w:rsidR="001D7D26" w:rsidRPr="00AF1BDB">
        <w:rPr>
          <w:sz w:val="24"/>
          <w:szCs w:val="24"/>
        </w:rPr>
        <w:t xml:space="preserve"> provides that a </w:t>
      </w:r>
      <w:r w:rsidR="001D7D26" w:rsidRPr="001D7D26">
        <w:rPr>
          <w:sz w:val="24"/>
          <w:szCs w:val="24"/>
        </w:rPr>
        <w:t>quota year for a kind of US FTA dairy goods for export to the United States of America is a period of 12 months beginning on 1 January.</w:t>
      </w:r>
    </w:p>
    <w:p w14:paraId="23983948" w14:textId="77777777" w:rsidR="001D7D26" w:rsidRDefault="001D7D26" w:rsidP="001D7D26">
      <w:pPr>
        <w:spacing w:line="240" w:lineRule="auto"/>
        <w:rPr>
          <w:sz w:val="24"/>
          <w:szCs w:val="24"/>
        </w:rPr>
      </w:pPr>
    </w:p>
    <w:p w14:paraId="59823070" w14:textId="363E2C40" w:rsidR="001D7D26" w:rsidRPr="00AF1BDB" w:rsidRDefault="001D7D26" w:rsidP="001D7D26">
      <w:pPr>
        <w:spacing w:line="240" w:lineRule="auto"/>
        <w:rPr>
          <w:sz w:val="24"/>
          <w:szCs w:val="24"/>
          <w:u w:val="single"/>
        </w:rPr>
      </w:pPr>
      <w:r w:rsidRPr="00AF1BDB">
        <w:rPr>
          <w:sz w:val="24"/>
          <w:szCs w:val="24"/>
          <w:u w:val="single"/>
        </w:rPr>
        <w:t xml:space="preserve">Section </w:t>
      </w:r>
      <w:r w:rsidR="00FF72F4">
        <w:rPr>
          <w:sz w:val="24"/>
          <w:szCs w:val="24"/>
          <w:u w:val="single"/>
        </w:rPr>
        <w:t>100</w:t>
      </w:r>
      <w:r w:rsidRPr="00AF1BDB">
        <w:rPr>
          <w:sz w:val="24"/>
          <w:szCs w:val="24"/>
          <w:u w:val="single"/>
        </w:rPr>
        <w:t xml:space="preserve"> - Method for issuing tariff rate quota certificates</w:t>
      </w:r>
    </w:p>
    <w:p w14:paraId="72891F7D" w14:textId="77777777" w:rsidR="001D7D26" w:rsidRDefault="001D7D26" w:rsidP="001D7D26">
      <w:pPr>
        <w:spacing w:line="240" w:lineRule="auto"/>
        <w:rPr>
          <w:b/>
          <w:u w:val="single"/>
        </w:rPr>
      </w:pPr>
    </w:p>
    <w:p w14:paraId="654B3E44" w14:textId="0A345E1B" w:rsidR="001D7D26" w:rsidRPr="001D7D26" w:rsidRDefault="001D7D26" w:rsidP="001D7D26">
      <w:pPr>
        <w:spacing w:line="240" w:lineRule="auto"/>
        <w:rPr>
          <w:sz w:val="24"/>
          <w:szCs w:val="24"/>
        </w:rPr>
      </w:pPr>
      <w:r w:rsidRPr="00AF1398">
        <w:rPr>
          <w:sz w:val="24"/>
          <w:szCs w:val="24"/>
        </w:rPr>
        <w:t>S</w:t>
      </w:r>
      <w:r>
        <w:rPr>
          <w:sz w:val="24"/>
          <w:szCs w:val="24"/>
        </w:rPr>
        <w:t>ubs</w:t>
      </w:r>
      <w:r w:rsidRPr="00AF1398">
        <w:rPr>
          <w:sz w:val="24"/>
          <w:szCs w:val="24"/>
        </w:rPr>
        <w:t xml:space="preserve">ection </w:t>
      </w:r>
      <w:r w:rsidR="00FF72F4">
        <w:rPr>
          <w:sz w:val="24"/>
          <w:szCs w:val="24"/>
        </w:rPr>
        <w:t>100</w:t>
      </w:r>
      <w:r>
        <w:rPr>
          <w:sz w:val="24"/>
          <w:szCs w:val="24"/>
        </w:rPr>
        <w:t>(1)</w:t>
      </w:r>
      <w:r w:rsidRPr="00AF1398">
        <w:rPr>
          <w:sz w:val="24"/>
          <w:szCs w:val="24"/>
        </w:rPr>
        <w:t xml:space="preserve"> provides that </w:t>
      </w:r>
      <w:r>
        <w:rPr>
          <w:sz w:val="24"/>
          <w:szCs w:val="24"/>
        </w:rPr>
        <w:t>t</w:t>
      </w:r>
      <w:r w:rsidRPr="001D7D26">
        <w:rPr>
          <w:sz w:val="24"/>
          <w:szCs w:val="24"/>
        </w:rPr>
        <w:t>he first come, first served method</w:t>
      </w:r>
      <w:r w:rsidR="00712997">
        <w:rPr>
          <w:sz w:val="24"/>
          <w:szCs w:val="24"/>
        </w:rPr>
        <w:t xml:space="preserve"> </w:t>
      </w:r>
      <w:r w:rsidRPr="001D7D26">
        <w:rPr>
          <w:sz w:val="24"/>
          <w:szCs w:val="24"/>
        </w:rPr>
        <w:t>applies for the purposes of issuing a tariff rate quota certificate in relation to a consignment of a kind of US FTA dairy goods (other than a consignment of FTA butter or FTA cheddar cheese) for export to the United States of America in a quota year beginning on or after 1 January 2020.</w:t>
      </w:r>
      <w:r w:rsidR="00CE67BC">
        <w:rPr>
          <w:sz w:val="24"/>
          <w:szCs w:val="24"/>
        </w:rPr>
        <w:t xml:space="preserve"> The note to this section provides that the first come, first served method is set out in Part 1 of Chapter 2.</w:t>
      </w:r>
    </w:p>
    <w:p w14:paraId="3BD9FF99" w14:textId="77777777" w:rsidR="001D7D26" w:rsidRPr="001D7D26" w:rsidRDefault="001D7D26" w:rsidP="001D7D26">
      <w:pPr>
        <w:spacing w:line="240" w:lineRule="auto"/>
        <w:rPr>
          <w:sz w:val="24"/>
          <w:szCs w:val="24"/>
        </w:rPr>
      </w:pPr>
    </w:p>
    <w:p w14:paraId="24B9EA25" w14:textId="68C3AC7E" w:rsidR="001D7D26" w:rsidRDefault="001D7D26" w:rsidP="001D7D26">
      <w:pPr>
        <w:spacing w:line="240" w:lineRule="auto"/>
        <w:rPr>
          <w:sz w:val="24"/>
          <w:szCs w:val="24"/>
        </w:rPr>
      </w:pPr>
      <w:r w:rsidRPr="00AF1398">
        <w:rPr>
          <w:sz w:val="24"/>
          <w:szCs w:val="24"/>
        </w:rPr>
        <w:t>S</w:t>
      </w:r>
      <w:r>
        <w:rPr>
          <w:sz w:val="24"/>
          <w:szCs w:val="24"/>
        </w:rPr>
        <w:t>ubs</w:t>
      </w:r>
      <w:r w:rsidRPr="00AF1398">
        <w:rPr>
          <w:sz w:val="24"/>
          <w:szCs w:val="24"/>
        </w:rPr>
        <w:t xml:space="preserve">ection </w:t>
      </w:r>
      <w:r w:rsidR="00FF72F4">
        <w:rPr>
          <w:sz w:val="24"/>
          <w:szCs w:val="24"/>
        </w:rPr>
        <w:t>100</w:t>
      </w:r>
      <w:r>
        <w:rPr>
          <w:sz w:val="24"/>
          <w:szCs w:val="24"/>
        </w:rPr>
        <w:t xml:space="preserve">(2) provides that </w:t>
      </w:r>
      <w:r w:rsidR="00DE4EA6">
        <w:rPr>
          <w:sz w:val="24"/>
          <w:szCs w:val="24"/>
        </w:rPr>
        <w:t xml:space="preserve">subject to subsections </w:t>
      </w:r>
      <w:r w:rsidR="00FF72F4">
        <w:rPr>
          <w:sz w:val="24"/>
          <w:szCs w:val="24"/>
        </w:rPr>
        <w:t>100</w:t>
      </w:r>
      <w:r w:rsidR="00DE4EA6">
        <w:rPr>
          <w:sz w:val="24"/>
          <w:szCs w:val="24"/>
        </w:rPr>
        <w:t xml:space="preserve">(3) to </w:t>
      </w:r>
      <w:r w:rsidR="00FF72F4">
        <w:rPr>
          <w:sz w:val="24"/>
          <w:szCs w:val="24"/>
        </w:rPr>
        <w:t>100</w:t>
      </w:r>
      <w:r w:rsidR="00DE4EA6">
        <w:rPr>
          <w:sz w:val="24"/>
          <w:szCs w:val="24"/>
        </w:rPr>
        <w:t xml:space="preserve">(5), </w:t>
      </w:r>
      <w:r>
        <w:rPr>
          <w:sz w:val="24"/>
          <w:szCs w:val="24"/>
        </w:rPr>
        <w:t>th</w:t>
      </w:r>
      <w:r w:rsidRPr="001D7D26">
        <w:rPr>
          <w:sz w:val="24"/>
          <w:szCs w:val="24"/>
        </w:rPr>
        <w:t>e allocation method</w:t>
      </w:r>
      <w:r w:rsidR="00712997">
        <w:rPr>
          <w:sz w:val="24"/>
          <w:szCs w:val="24"/>
        </w:rPr>
        <w:t xml:space="preserve"> </w:t>
      </w:r>
      <w:r w:rsidRPr="001D7D26">
        <w:rPr>
          <w:sz w:val="24"/>
          <w:szCs w:val="24"/>
        </w:rPr>
        <w:t>applies for the purposes of issuing a tariff rate quota certificate in relation to a consignment of FTA butter or a consignment of FTA cheddar cheese for export to the United States of America in a quota year beginning on or after 1 January 2020.</w:t>
      </w:r>
      <w:r w:rsidR="00CE67BC">
        <w:rPr>
          <w:sz w:val="24"/>
          <w:szCs w:val="24"/>
        </w:rPr>
        <w:t xml:space="preserve"> The note to this section provides that the allocation method is set out in Part 3 of Chapter 2.</w:t>
      </w:r>
    </w:p>
    <w:p w14:paraId="6E08B4C9" w14:textId="77777777" w:rsidR="001D7D26" w:rsidRDefault="001D7D26" w:rsidP="001D7D26">
      <w:pPr>
        <w:spacing w:line="240" w:lineRule="auto"/>
        <w:rPr>
          <w:sz w:val="24"/>
          <w:szCs w:val="24"/>
        </w:rPr>
      </w:pPr>
    </w:p>
    <w:p w14:paraId="3FECC066" w14:textId="670281E6" w:rsidR="00DE62DB" w:rsidRPr="00FF72F4" w:rsidRDefault="00DE62DB" w:rsidP="00FF72F4">
      <w:pPr>
        <w:spacing w:line="240" w:lineRule="auto"/>
        <w:rPr>
          <w:sz w:val="24"/>
          <w:szCs w:val="24"/>
        </w:rPr>
      </w:pPr>
      <w:r w:rsidRPr="00AF1398">
        <w:rPr>
          <w:sz w:val="24"/>
          <w:szCs w:val="24"/>
        </w:rPr>
        <w:t>S</w:t>
      </w:r>
      <w:r>
        <w:rPr>
          <w:sz w:val="24"/>
          <w:szCs w:val="24"/>
        </w:rPr>
        <w:t>ubs</w:t>
      </w:r>
      <w:r w:rsidRPr="00AF1398">
        <w:rPr>
          <w:sz w:val="24"/>
          <w:szCs w:val="24"/>
        </w:rPr>
        <w:t xml:space="preserve">ection </w:t>
      </w:r>
      <w:r w:rsidR="00FF72F4">
        <w:rPr>
          <w:sz w:val="24"/>
          <w:szCs w:val="24"/>
        </w:rPr>
        <w:t>100</w:t>
      </w:r>
      <w:r>
        <w:rPr>
          <w:sz w:val="24"/>
          <w:szCs w:val="24"/>
        </w:rPr>
        <w:t>(3) provides that f</w:t>
      </w:r>
      <w:r w:rsidRPr="00FF72F4">
        <w:rPr>
          <w:sz w:val="24"/>
          <w:szCs w:val="24"/>
        </w:rPr>
        <w:t xml:space="preserve">or the quota year beginning on 1 January 2020, subsections </w:t>
      </w:r>
      <w:r w:rsidR="001C37BA">
        <w:rPr>
          <w:sz w:val="24"/>
          <w:szCs w:val="24"/>
        </w:rPr>
        <w:t>29</w:t>
      </w:r>
      <w:r w:rsidRPr="004C09F5">
        <w:rPr>
          <w:sz w:val="24"/>
          <w:szCs w:val="24"/>
        </w:rPr>
        <w:t xml:space="preserve">(2) and </w:t>
      </w:r>
      <w:r w:rsidR="00E730A1">
        <w:rPr>
          <w:sz w:val="24"/>
          <w:szCs w:val="24"/>
        </w:rPr>
        <w:t>44</w:t>
      </w:r>
      <w:r w:rsidRPr="00FF72F4">
        <w:rPr>
          <w:sz w:val="24"/>
          <w:szCs w:val="24"/>
        </w:rPr>
        <w:t>(2) do not apply and no person has an allocation penalty.</w:t>
      </w:r>
      <w:r w:rsidR="00712997">
        <w:rPr>
          <w:sz w:val="24"/>
          <w:szCs w:val="24"/>
        </w:rPr>
        <w:t xml:space="preserve"> This recognises that the maximum transfer limit (detailed in section 29(2)</w:t>
      </w:r>
      <w:r w:rsidR="003749E9">
        <w:rPr>
          <w:sz w:val="24"/>
          <w:szCs w:val="24"/>
        </w:rPr>
        <w:t xml:space="preserve"> and 44(2)</w:t>
      </w:r>
      <w:r w:rsidR="00712997">
        <w:rPr>
          <w:sz w:val="24"/>
          <w:szCs w:val="24"/>
        </w:rPr>
        <w:t xml:space="preserve">) did not apply to dairy tariff rate quotas under the previous management system, so exporters cannot be </w:t>
      </w:r>
      <w:r w:rsidR="003749E9">
        <w:rPr>
          <w:sz w:val="24"/>
          <w:szCs w:val="24"/>
        </w:rPr>
        <w:t xml:space="preserve">penalised for an action that was previously within the rules. Similarly, the penalty provision (detailed in section 33) has changed from the previous management system, so should not apply in the 2020 quota year, </w:t>
      </w:r>
      <w:proofErr w:type="gramStart"/>
      <w:r w:rsidR="003749E9">
        <w:rPr>
          <w:sz w:val="24"/>
          <w:szCs w:val="24"/>
        </w:rPr>
        <w:t>given</w:t>
      </w:r>
      <w:proofErr w:type="gramEnd"/>
      <w:r w:rsidR="003749E9">
        <w:rPr>
          <w:sz w:val="24"/>
          <w:szCs w:val="24"/>
        </w:rPr>
        <w:t xml:space="preserve"> this considers usage in previous quota years.</w:t>
      </w:r>
    </w:p>
    <w:p w14:paraId="60C3B975" w14:textId="77777777" w:rsidR="00DE62DB" w:rsidRDefault="00DE62DB" w:rsidP="00FF72F4">
      <w:pPr>
        <w:spacing w:line="240" w:lineRule="auto"/>
        <w:rPr>
          <w:sz w:val="24"/>
          <w:szCs w:val="24"/>
        </w:rPr>
      </w:pPr>
    </w:p>
    <w:p w14:paraId="789DE7FC" w14:textId="558C0342" w:rsidR="00DE62DB" w:rsidRDefault="00DE62DB" w:rsidP="00FF72F4">
      <w:pPr>
        <w:spacing w:line="240" w:lineRule="auto"/>
        <w:rPr>
          <w:sz w:val="24"/>
          <w:szCs w:val="24"/>
        </w:rPr>
      </w:pPr>
      <w:r w:rsidRPr="00AF1398">
        <w:rPr>
          <w:sz w:val="24"/>
          <w:szCs w:val="24"/>
        </w:rPr>
        <w:t>S</w:t>
      </w:r>
      <w:r>
        <w:rPr>
          <w:sz w:val="24"/>
          <w:szCs w:val="24"/>
        </w:rPr>
        <w:t>ubs</w:t>
      </w:r>
      <w:r w:rsidRPr="00AF1398">
        <w:rPr>
          <w:sz w:val="24"/>
          <w:szCs w:val="24"/>
        </w:rPr>
        <w:t xml:space="preserve">ection </w:t>
      </w:r>
      <w:r w:rsidR="00FF72F4">
        <w:rPr>
          <w:sz w:val="24"/>
          <w:szCs w:val="24"/>
        </w:rPr>
        <w:t>100</w:t>
      </w:r>
      <w:r>
        <w:rPr>
          <w:sz w:val="24"/>
          <w:szCs w:val="24"/>
        </w:rPr>
        <w:t>(4) provides that f</w:t>
      </w:r>
      <w:r w:rsidRPr="00FF72F4">
        <w:rPr>
          <w:sz w:val="24"/>
          <w:szCs w:val="24"/>
        </w:rPr>
        <w:t>or the quota year beginning on 1 January 2021, subsection</w:t>
      </w:r>
      <w:r w:rsidR="00267EA6">
        <w:rPr>
          <w:sz w:val="24"/>
          <w:szCs w:val="24"/>
        </w:rPr>
        <w:t>s</w:t>
      </w:r>
      <w:r w:rsidRPr="00FF72F4">
        <w:rPr>
          <w:sz w:val="24"/>
          <w:szCs w:val="24"/>
        </w:rPr>
        <w:t xml:space="preserve"> </w:t>
      </w:r>
      <w:r w:rsidR="001C37BA">
        <w:rPr>
          <w:sz w:val="24"/>
          <w:szCs w:val="24"/>
        </w:rPr>
        <w:t>29</w:t>
      </w:r>
      <w:r w:rsidRPr="00FF72F4">
        <w:rPr>
          <w:sz w:val="24"/>
          <w:szCs w:val="24"/>
        </w:rPr>
        <w:t xml:space="preserve">(2) </w:t>
      </w:r>
      <w:r w:rsidR="00267EA6">
        <w:rPr>
          <w:sz w:val="24"/>
          <w:szCs w:val="24"/>
        </w:rPr>
        <w:t xml:space="preserve">and </w:t>
      </w:r>
      <w:r w:rsidR="009D2BF9">
        <w:rPr>
          <w:sz w:val="24"/>
          <w:szCs w:val="24"/>
        </w:rPr>
        <w:t>44</w:t>
      </w:r>
      <w:r w:rsidR="00267EA6">
        <w:rPr>
          <w:sz w:val="24"/>
          <w:szCs w:val="24"/>
        </w:rPr>
        <w:t xml:space="preserve">(2) apply </w:t>
      </w:r>
      <w:r w:rsidRPr="00FF72F4">
        <w:rPr>
          <w:sz w:val="24"/>
          <w:szCs w:val="24"/>
        </w:rPr>
        <w:t>only in relation to the quota year beginning on 1 January 2020.</w:t>
      </w:r>
      <w:r w:rsidR="003749E9" w:rsidRPr="003749E9">
        <w:rPr>
          <w:sz w:val="24"/>
          <w:szCs w:val="24"/>
        </w:rPr>
        <w:t xml:space="preserve"> </w:t>
      </w:r>
      <w:r w:rsidR="003749E9">
        <w:rPr>
          <w:sz w:val="24"/>
          <w:szCs w:val="24"/>
        </w:rPr>
        <w:t>This recognises that the maximum transfer limit (detailed in section 29(2) and 44(2)) did not apply to dairy tariff rate quotas under the previous management system (relevant to the 2018 and 2019 quota years), so exporters cannot be penalised for an action that was previously within the rules.</w:t>
      </w:r>
    </w:p>
    <w:p w14:paraId="725D2A69" w14:textId="77777777" w:rsidR="00DE62DB" w:rsidRDefault="00DE62DB" w:rsidP="00FF72F4">
      <w:pPr>
        <w:spacing w:line="240" w:lineRule="auto"/>
        <w:rPr>
          <w:sz w:val="24"/>
          <w:szCs w:val="24"/>
        </w:rPr>
      </w:pPr>
    </w:p>
    <w:p w14:paraId="5CD9B411" w14:textId="5F9B097E" w:rsidR="00DE62DB" w:rsidRPr="004C09F5" w:rsidRDefault="00DE62DB" w:rsidP="00FF72F4">
      <w:pPr>
        <w:spacing w:line="240" w:lineRule="auto"/>
        <w:rPr>
          <w:sz w:val="24"/>
          <w:szCs w:val="24"/>
        </w:rPr>
      </w:pPr>
      <w:r w:rsidRPr="00AF1398">
        <w:rPr>
          <w:sz w:val="24"/>
          <w:szCs w:val="24"/>
        </w:rPr>
        <w:t>S</w:t>
      </w:r>
      <w:r>
        <w:rPr>
          <w:sz w:val="24"/>
          <w:szCs w:val="24"/>
        </w:rPr>
        <w:t>ubs</w:t>
      </w:r>
      <w:r w:rsidRPr="00AF1398">
        <w:rPr>
          <w:sz w:val="24"/>
          <w:szCs w:val="24"/>
        </w:rPr>
        <w:t xml:space="preserve">ection </w:t>
      </w:r>
      <w:r w:rsidR="00FF72F4">
        <w:rPr>
          <w:sz w:val="24"/>
          <w:szCs w:val="24"/>
        </w:rPr>
        <w:t>100</w:t>
      </w:r>
      <w:r>
        <w:rPr>
          <w:sz w:val="24"/>
          <w:szCs w:val="24"/>
        </w:rPr>
        <w:t>(5) provides that f</w:t>
      </w:r>
      <w:r w:rsidRPr="00FF72F4">
        <w:rPr>
          <w:sz w:val="24"/>
          <w:szCs w:val="24"/>
        </w:rPr>
        <w:t>or the quota year beginning on 1 January 2022, subsection</w:t>
      </w:r>
      <w:r w:rsidR="00267EA6">
        <w:rPr>
          <w:sz w:val="24"/>
          <w:szCs w:val="24"/>
        </w:rPr>
        <w:t>s</w:t>
      </w:r>
      <w:r w:rsidRPr="00FF72F4">
        <w:rPr>
          <w:sz w:val="24"/>
          <w:szCs w:val="24"/>
        </w:rPr>
        <w:t xml:space="preserve"> </w:t>
      </w:r>
      <w:r w:rsidR="001C37BA">
        <w:rPr>
          <w:sz w:val="24"/>
          <w:szCs w:val="24"/>
        </w:rPr>
        <w:t>29</w:t>
      </w:r>
      <w:r w:rsidRPr="004C09F5">
        <w:rPr>
          <w:sz w:val="24"/>
          <w:szCs w:val="24"/>
        </w:rPr>
        <w:t xml:space="preserve">(2) </w:t>
      </w:r>
      <w:r w:rsidR="00267EA6">
        <w:rPr>
          <w:sz w:val="24"/>
          <w:szCs w:val="24"/>
        </w:rPr>
        <w:t xml:space="preserve">and </w:t>
      </w:r>
      <w:r w:rsidR="009D2BF9">
        <w:rPr>
          <w:sz w:val="24"/>
          <w:szCs w:val="24"/>
        </w:rPr>
        <w:t>44</w:t>
      </w:r>
      <w:r w:rsidR="00267EA6">
        <w:rPr>
          <w:sz w:val="24"/>
          <w:szCs w:val="24"/>
        </w:rPr>
        <w:t xml:space="preserve">(2) </w:t>
      </w:r>
      <w:r w:rsidRPr="004C09F5">
        <w:rPr>
          <w:sz w:val="24"/>
          <w:szCs w:val="24"/>
        </w:rPr>
        <w:t>appl</w:t>
      </w:r>
      <w:r w:rsidR="00267EA6">
        <w:rPr>
          <w:sz w:val="24"/>
          <w:szCs w:val="24"/>
        </w:rPr>
        <w:t>y</w:t>
      </w:r>
      <w:r w:rsidRPr="004C09F5">
        <w:rPr>
          <w:sz w:val="24"/>
          <w:szCs w:val="24"/>
        </w:rPr>
        <w:t xml:space="preserve"> only in relation to the quota years beginning on 1 January 2020 and 1 January 2021.</w:t>
      </w:r>
      <w:r w:rsidR="003749E9" w:rsidRPr="003749E9">
        <w:rPr>
          <w:sz w:val="24"/>
          <w:szCs w:val="24"/>
        </w:rPr>
        <w:t xml:space="preserve"> </w:t>
      </w:r>
      <w:r w:rsidR="003749E9">
        <w:rPr>
          <w:sz w:val="24"/>
          <w:szCs w:val="24"/>
        </w:rPr>
        <w:t>This recognises that the maximum transfer limit (detailed in section 29(2) and 44(2)) did not apply to dairy tariff rate quotas under the previous management system (relevant to the 2019 quota year), so exporters cannot be penalised for an action that was previously within the rules.</w:t>
      </w:r>
    </w:p>
    <w:p w14:paraId="59D9DE4A" w14:textId="77777777" w:rsidR="00DE62DB" w:rsidRDefault="00DE62DB" w:rsidP="001D7D26">
      <w:pPr>
        <w:spacing w:line="240" w:lineRule="auto"/>
        <w:rPr>
          <w:sz w:val="24"/>
          <w:szCs w:val="24"/>
        </w:rPr>
      </w:pPr>
    </w:p>
    <w:p w14:paraId="5F0C86D1" w14:textId="59C80748" w:rsidR="001D7D26" w:rsidRDefault="00FF72F4" w:rsidP="001D7D26">
      <w:pPr>
        <w:spacing w:line="240" w:lineRule="auto"/>
        <w:rPr>
          <w:sz w:val="24"/>
          <w:szCs w:val="24"/>
          <w:u w:val="single"/>
        </w:rPr>
      </w:pPr>
      <w:r>
        <w:rPr>
          <w:sz w:val="24"/>
          <w:szCs w:val="24"/>
          <w:u w:val="single"/>
        </w:rPr>
        <w:t>Section 101</w:t>
      </w:r>
      <w:r w:rsidR="001D7D26" w:rsidRPr="00AF1BDB">
        <w:rPr>
          <w:sz w:val="24"/>
          <w:szCs w:val="24"/>
          <w:u w:val="single"/>
        </w:rPr>
        <w:t xml:space="preserve"> - A</w:t>
      </w:r>
      <w:r w:rsidR="001D7D26">
        <w:rPr>
          <w:sz w:val="24"/>
          <w:szCs w:val="24"/>
          <w:u w:val="single"/>
        </w:rPr>
        <w:t>nnual a</w:t>
      </w:r>
      <w:r w:rsidR="001D7D26" w:rsidRPr="00AF1BDB">
        <w:rPr>
          <w:sz w:val="24"/>
          <w:szCs w:val="24"/>
          <w:u w:val="single"/>
        </w:rPr>
        <w:t>ccess amounts</w:t>
      </w:r>
    </w:p>
    <w:p w14:paraId="0A0EB586" w14:textId="77777777" w:rsidR="001D7D26" w:rsidRDefault="001D7D26" w:rsidP="001D7D26">
      <w:pPr>
        <w:spacing w:line="240" w:lineRule="auto"/>
        <w:rPr>
          <w:sz w:val="24"/>
          <w:szCs w:val="24"/>
          <w:u w:val="single"/>
        </w:rPr>
      </w:pPr>
    </w:p>
    <w:p w14:paraId="60C2CAE8" w14:textId="58EEC169" w:rsidR="001D7D26" w:rsidRDefault="001D7D26" w:rsidP="001D7D26">
      <w:pPr>
        <w:spacing w:line="240" w:lineRule="auto"/>
        <w:rPr>
          <w:sz w:val="24"/>
          <w:szCs w:val="24"/>
        </w:rPr>
      </w:pPr>
      <w:r w:rsidRPr="001D7D26">
        <w:rPr>
          <w:sz w:val="24"/>
          <w:szCs w:val="24"/>
        </w:rPr>
        <w:t>Section</w:t>
      </w:r>
      <w:r w:rsidR="00FF72F4">
        <w:rPr>
          <w:sz w:val="24"/>
          <w:szCs w:val="24"/>
        </w:rPr>
        <w:t xml:space="preserve"> 101</w:t>
      </w:r>
      <w:r>
        <w:rPr>
          <w:sz w:val="24"/>
          <w:szCs w:val="24"/>
        </w:rPr>
        <w:t xml:space="preserve"> provides that t</w:t>
      </w:r>
      <w:r w:rsidRPr="001D7D26">
        <w:rPr>
          <w:sz w:val="24"/>
          <w:szCs w:val="24"/>
        </w:rPr>
        <w:t>he annual access amount for a kind of US FTA dairy goods for export to the United States of America in relation to a quota year is the weight of goods of that kind that may, under the Australia-US Free Trade Agreement</w:t>
      </w:r>
      <w:r w:rsidR="007961A8">
        <w:rPr>
          <w:sz w:val="24"/>
          <w:szCs w:val="24"/>
        </w:rPr>
        <w:t xml:space="preserve"> (</w:t>
      </w:r>
      <w:r w:rsidR="00467C53">
        <w:rPr>
          <w:sz w:val="24"/>
          <w:szCs w:val="24"/>
        </w:rPr>
        <w:t xml:space="preserve">defined </w:t>
      </w:r>
      <w:r w:rsidR="007961A8">
        <w:rPr>
          <w:sz w:val="24"/>
          <w:szCs w:val="24"/>
        </w:rPr>
        <w:t>in section 6)</w:t>
      </w:r>
      <w:r w:rsidRPr="001D7D26">
        <w:rPr>
          <w:sz w:val="24"/>
          <w:szCs w:val="24"/>
        </w:rPr>
        <w:t>, be exported from Australia to the United States of America in the quota year at a reduced tariff rate.</w:t>
      </w:r>
    </w:p>
    <w:p w14:paraId="27650A23" w14:textId="77777777" w:rsidR="001D7D26" w:rsidRDefault="001D7D26" w:rsidP="001D7D26">
      <w:pPr>
        <w:spacing w:line="240" w:lineRule="auto"/>
        <w:rPr>
          <w:sz w:val="24"/>
          <w:szCs w:val="24"/>
        </w:rPr>
      </w:pPr>
    </w:p>
    <w:p w14:paraId="7FB2A24F" w14:textId="5A7EC8B6" w:rsidR="0013301F" w:rsidRDefault="0013301F" w:rsidP="0013301F">
      <w:pPr>
        <w:spacing w:line="240" w:lineRule="auto"/>
        <w:rPr>
          <w:sz w:val="24"/>
          <w:szCs w:val="24"/>
          <w:u w:val="single"/>
        </w:rPr>
      </w:pPr>
      <w:bookmarkStart w:id="99" w:name="_Toc22827024"/>
      <w:r>
        <w:rPr>
          <w:sz w:val="24"/>
          <w:szCs w:val="24"/>
          <w:u w:val="single"/>
        </w:rPr>
        <w:t xml:space="preserve">Section </w:t>
      </w:r>
      <w:r w:rsidR="00FF72F4">
        <w:rPr>
          <w:sz w:val="24"/>
          <w:szCs w:val="24"/>
          <w:u w:val="single"/>
        </w:rPr>
        <w:t>102</w:t>
      </w:r>
      <w:r w:rsidRPr="0013301F">
        <w:rPr>
          <w:sz w:val="24"/>
          <w:szCs w:val="24"/>
          <w:u w:val="single"/>
        </w:rPr>
        <w:t xml:space="preserve"> </w:t>
      </w:r>
      <w:r>
        <w:rPr>
          <w:sz w:val="24"/>
          <w:szCs w:val="24"/>
          <w:u w:val="single"/>
        </w:rPr>
        <w:t>-</w:t>
      </w:r>
      <w:r w:rsidRPr="0013301F">
        <w:rPr>
          <w:sz w:val="24"/>
          <w:szCs w:val="24"/>
          <w:u w:val="single"/>
        </w:rPr>
        <w:t xml:space="preserve"> Working out weight of cream and ice cream</w:t>
      </w:r>
      <w:bookmarkEnd w:id="99"/>
    </w:p>
    <w:p w14:paraId="7B9EEAF3" w14:textId="77777777" w:rsidR="0013301F" w:rsidRPr="0013301F" w:rsidRDefault="0013301F" w:rsidP="0013301F">
      <w:pPr>
        <w:spacing w:line="240" w:lineRule="auto"/>
        <w:rPr>
          <w:sz w:val="24"/>
          <w:szCs w:val="24"/>
          <w:u w:val="single"/>
        </w:rPr>
      </w:pPr>
    </w:p>
    <w:p w14:paraId="7101561E" w14:textId="2E0CEFA6" w:rsidR="0013301F" w:rsidRPr="0013301F" w:rsidRDefault="00FF72F4" w:rsidP="0013301F">
      <w:pPr>
        <w:spacing w:line="240" w:lineRule="auto"/>
        <w:rPr>
          <w:sz w:val="24"/>
          <w:szCs w:val="24"/>
        </w:rPr>
      </w:pPr>
      <w:r>
        <w:rPr>
          <w:sz w:val="24"/>
          <w:szCs w:val="24"/>
        </w:rPr>
        <w:t>Section 102</w:t>
      </w:r>
      <w:r w:rsidR="0013301F">
        <w:rPr>
          <w:sz w:val="24"/>
          <w:szCs w:val="24"/>
        </w:rPr>
        <w:t xml:space="preserve"> </w:t>
      </w:r>
      <w:r w:rsidR="00627116">
        <w:rPr>
          <w:sz w:val="24"/>
          <w:szCs w:val="24"/>
        </w:rPr>
        <w:t>provides that f</w:t>
      </w:r>
      <w:r w:rsidR="0013301F" w:rsidRPr="0013301F">
        <w:rPr>
          <w:sz w:val="24"/>
          <w:szCs w:val="24"/>
        </w:rPr>
        <w:t xml:space="preserve">or the purposes of working out the weight of US FTA dairy goods of the kind referred to in column 1 of item 5 of the table in subsection </w:t>
      </w:r>
      <w:r w:rsidR="00BC2DB4">
        <w:rPr>
          <w:sz w:val="24"/>
          <w:szCs w:val="24"/>
        </w:rPr>
        <w:t>98</w:t>
      </w:r>
      <w:r w:rsidR="0013301F" w:rsidRPr="0013301F">
        <w:rPr>
          <w:sz w:val="24"/>
          <w:szCs w:val="24"/>
        </w:rPr>
        <w:t>(1) (cream and ice cream)</w:t>
      </w:r>
      <w:r w:rsidR="00627116">
        <w:rPr>
          <w:sz w:val="24"/>
          <w:szCs w:val="24"/>
        </w:rPr>
        <w:t xml:space="preserve">, </w:t>
      </w:r>
      <w:r w:rsidR="0013301F" w:rsidRPr="0013301F">
        <w:rPr>
          <w:sz w:val="24"/>
          <w:szCs w:val="24"/>
        </w:rPr>
        <w:t>a reference in this instrument to the weight of goods is to be read as a reference to the volume of goods and</w:t>
      </w:r>
      <w:r w:rsidR="00627116">
        <w:rPr>
          <w:sz w:val="24"/>
          <w:szCs w:val="24"/>
        </w:rPr>
        <w:t xml:space="preserve"> </w:t>
      </w:r>
      <w:r w:rsidR="0013301F" w:rsidRPr="0013301F">
        <w:rPr>
          <w:sz w:val="24"/>
          <w:szCs w:val="24"/>
        </w:rPr>
        <w:t>a reference to kilograms is to be read as a reference to litres.</w:t>
      </w:r>
    </w:p>
    <w:p w14:paraId="444154D0" w14:textId="77777777" w:rsidR="0013301F" w:rsidRDefault="0013301F" w:rsidP="0013301F">
      <w:pPr>
        <w:spacing w:line="240" w:lineRule="auto"/>
        <w:rPr>
          <w:sz w:val="24"/>
          <w:szCs w:val="24"/>
          <w:u w:val="single"/>
        </w:rPr>
      </w:pPr>
      <w:bookmarkStart w:id="100" w:name="BK_S3P54L1C1"/>
      <w:bookmarkStart w:id="101" w:name="_Toc22827025"/>
      <w:bookmarkEnd w:id="100"/>
    </w:p>
    <w:p w14:paraId="5B51B5FB" w14:textId="415283C7" w:rsidR="0013301F" w:rsidRPr="0013301F" w:rsidRDefault="00627116" w:rsidP="0013301F">
      <w:pPr>
        <w:spacing w:line="240" w:lineRule="auto"/>
        <w:rPr>
          <w:sz w:val="24"/>
          <w:szCs w:val="24"/>
          <w:u w:val="single"/>
        </w:rPr>
      </w:pPr>
      <w:r>
        <w:rPr>
          <w:sz w:val="24"/>
          <w:szCs w:val="24"/>
          <w:u w:val="single"/>
        </w:rPr>
        <w:t xml:space="preserve">Section </w:t>
      </w:r>
      <w:r w:rsidR="00FF72F4">
        <w:rPr>
          <w:sz w:val="24"/>
          <w:szCs w:val="24"/>
          <w:u w:val="single"/>
        </w:rPr>
        <w:t>103</w:t>
      </w:r>
      <w:r w:rsidR="0013301F" w:rsidRPr="0013301F">
        <w:rPr>
          <w:sz w:val="24"/>
          <w:szCs w:val="24"/>
          <w:u w:val="single"/>
        </w:rPr>
        <w:t xml:space="preserve"> </w:t>
      </w:r>
      <w:r>
        <w:rPr>
          <w:sz w:val="24"/>
          <w:szCs w:val="24"/>
          <w:u w:val="single"/>
        </w:rPr>
        <w:t>-</w:t>
      </w:r>
      <w:r w:rsidR="0013301F" w:rsidRPr="0013301F">
        <w:rPr>
          <w:sz w:val="24"/>
          <w:szCs w:val="24"/>
          <w:u w:val="single"/>
        </w:rPr>
        <w:t xml:space="preserve"> Application and reclamation days</w:t>
      </w:r>
      <w:bookmarkEnd w:id="101"/>
    </w:p>
    <w:p w14:paraId="0DE81082" w14:textId="77777777" w:rsidR="00627116" w:rsidRPr="00627116" w:rsidRDefault="0013301F" w:rsidP="0013301F">
      <w:pPr>
        <w:spacing w:line="240" w:lineRule="auto"/>
        <w:rPr>
          <w:sz w:val="24"/>
          <w:szCs w:val="24"/>
        </w:rPr>
      </w:pPr>
      <w:r w:rsidRPr="00627116">
        <w:rPr>
          <w:sz w:val="24"/>
          <w:szCs w:val="24"/>
        </w:rPr>
        <w:tab/>
      </w:r>
    </w:p>
    <w:p w14:paraId="5A44C491" w14:textId="56A80D8D" w:rsidR="009E163A" w:rsidRDefault="00251CF0" w:rsidP="0013301F">
      <w:pPr>
        <w:spacing w:line="240" w:lineRule="auto"/>
        <w:rPr>
          <w:sz w:val="24"/>
          <w:szCs w:val="24"/>
        </w:rPr>
      </w:pPr>
      <w:r>
        <w:rPr>
          <w:sz w:val="24"/>
          <w:szCs w:val="24"/>
        </w:rPr>
        <w:t xml:space="preserve">Subsection </w:t>
      </w:r>
      <w:r w:rsidR="00FF72F4">
        <w:rPr>
          <w:sz w:val="24"/>
          <w:szCs w:val="24"/>
        </w:rPr>
        <w:t>103</w:t>
      </w:r>
      <w:r w:rsidR="0013301F" w:rsidRPr="00627116">
        <w:rPr>
          <w:sz w:val="24"/>
          <w:szCs w:val="24"/>
        </w:rPr>
        <w:t>(1)</w:t>
      </w:r>
      <w:r>
        <w:rPr>
          <w:sz w:val="24"/>
          <w:szCs w:val="24"/>
        </w:rPr>
        <w:t xml:space="preserve"> provides that t</w:t>
      </w:r>
      <w:r w:rsidR="0013301F" w:rsidRPr="00627116">
        <w:rPr>
          <w:sz w:val="24"/>
          <w:szCs w:val="24"/>
        </w:rPr>
        <w:t>he annual application day</w:t>
      </w:r>
      <w:r w:rsidR="00777CC5">
        <w:rPr>
          <w:sz w:val="24"/>
          <w:szCs w:val="24"/>
        </w:rPr>
        <w:t xml:space="preserve"> (defined in section 27)</w:t>
      </w:r>
      <w:r w:rsidR="0013301F" w:rsidRPr="00627116">
        <w:rPr>
          <w:sz w:val="24"/>
          <w:szCs w:val="24"/>
        </w:rPr>
        <w:t xml:space="preserve"> for FTA butter and for FTA cheddar cheese for export to the United States of America</w:t>
      </w:r>
      <w:r w:rsidR="009E163A">
        <w:rPr>
          <w:sz w:val="24"/>
          <w:szCs w:val="24"/>
        </w:rPr>
        <w:t xml:space="preserve"> is</w:t>
      </w:r>
    </w:p>
    <w:p w14:paraId="460BB94B" w14:textId="04B19B40" w:rsidR="00C67DC7" w:rsidRDefault="0013301F" w:rsidP="000F6D46">
      <w:pPr>
        <w:pStyle w:val="ListParagraph"/>
        <w:numPr>
          <w:ilvl w:val="0"/>
          <w:numId w:val="52"/>
        </w:numPr>
        <w:spacing w:line="240" w:lineRule="auto"/>
        <w:rPr>
          <w:sz w:val="24"/>
          <w:szCs w:val="24"/>
        </w:rPr>
      </w:pPr>
      <w:r w:rsidRPr="00C67DC7">
        <w:rPr>
          <w:sz w:val="24"/>
          <w:szCs w:val="24"/>
        </w:rPr>
        <w:t xml:space="preserve">for </w:t>
      </w:r>
      <w:r w:rsidR="009E163A">
        <w:rPr>
          <w:sz w:val="24"/>
          <w:szCs w:val="24"/>
        </w:rPr>
        <w:t>the</w:t>
      </w:r>
      <w:r w:rsidRPr="00C67DC7">
        <w:rPr>
          <w:sz w:val="24"/>
          <w:szCs w:val="24"/>
        </w:rPr>
        <w:t xml:space="preserve"> quota year</w:t>
      </w:r>
      <w:r w:rsidR="00C67DC7">
        <w:rPr>
          <w:sz w:val="24"/>
          <w:szCs w:val="24"/>
        </w:rPr>
        <w:t xml:space="preserve"> beginning on 1 January 2020, the day specified by the Secretary, and</w:t>
      </w:r>
    </w:p>
    <w:p w14:paraId="68BF4C67" w14:textId="2BBA3038" w:rsidR="0013301F" w:rsidRPr="00C67DC7" w:rsidRDefault="003D1353" w:rsidP="000F6D46">
      <w:pPr>
        <w:pStyle w:val="ListParagraph"/>
        <w:numPr>
          <w:ilvl w:val="0"/>
          <w:numId w:val="52"/>
        </w:numPr>
        <w:spacing w:line="240" w:lineRule="auto"/>
        <w:rPr>
          <w:sz w:val="24"/>
          <w:szCs w:val="24"/>
        </w:rPr>
      </w:pPr>
      <w:proofErr w:type="gramStart"/>
      <w:r>
        <w:rPr>
          <w:sz w:val="24"/>
          <w:szCs w:val="24"/>
        </w:rPr>
        <w:t>f</w:t>
      </w:r>
      <w:r w:rsidR="00C67DC7">
        <w:rPr>
          <w:sz w:val="24"/>
          <w:szCs w:val="24"/>
        </w:rPr>
        <w:t>or</w:t>
      </w:r>
      <w:proofErr w:type="gramEnd"/>
      <w:r w:rsidR="00C67DC7">
        <w:rPr>
          <w:sz w:val="24"/>
          <w:szCs w:val="24"/>
        </w:rPr>
        <w:t xml:space="preserve"> a later quota year, </w:t>
      </w:r>
      <w:r w:rsidR="009E3FDB" w:rsidRPr="00C67DC7">
        <w:rPr>
          <w:sz w:val="24"/>
          <w:szCs w:val="24"/>
        </w:rPr>
        <w:t>30</w:t>
      </w:r>
      <w:r w:rsidR="0013301F" w:rsidRPr="00C67DC7">
        <w:rPr>
          <w:sz w:val="24"/>
          <w:szCs w:val="24"/>
        </w:rPr>
        <w:t xml:space="preserve"> November in the </w:t>
      </w:r>
      <w:r w:rsidR="009E3FDB" w:rsidRPr="00C67DC7">
        <w:rPr>
          <w:sz w:val="24"/>
          <w:szCs w:val="24"/>
        </w:rPr>
        <w:t>calendar immediately before the</w:t>
      </w:r>
      <w:r w:rsidR="0013301F" w:rsidRPr="00C67DC7">
        <w:rPr>
          <w:sz w:val="24"/>
          <w:szCs w:val="24"/>
        </w:rPr>
        <w:t xml:space="preserve"> quota year.</w:t>
      </w:r>
    </w:p>
    <w:p w14:paraId="2099B377" w14:textId="77777777" w:rsidR="00251CF0" w:rsidRDefault="00251CF0" w:rsidP="0013301F">
      <w:pPr>
        <w:spacing w:line="240" w:lineRule="auto"/>
        <w:rPr>
          <w:sz w:val="24"/>
          <w:szCs w:val="24"/>
        </w:rPr>
      </w:pPr>
    </w:p>
    <w:p w14:paraId="0DE2ECAE" w14:textId="518D8BF7" w:rsidR="0013301F" w:rsidRPr="00627116" w:rsidRDefault="00FF72F4" w:rsidP="0013301F">
      <w:pPr>
        <w:spacing w:line="240" w:lineRule="auto"/>
        <w:rPr>
          <w:sz w:val="24"/>
          <w:szCs w:val="24"/>
        </w:rPr>
      </w:pPr>
      <w:r>
        <w:rPr>
          <w:sz w:val="24"/>
          <w:szCs w:val="24"/>
        </w:rPr>
        <w:t>Subsection 103</w:t>
      </w:r>
      <w:r w:rsidR="0013301F" w:rsidRPr="00627116">
        <w:rPr>
          <w:sz w:val="24"/>
          <w:szCs w:val="24"/>
        </w:rPr>
        <w:t>(2)</w:t>
      </w:r>
      <w:r w:rsidR="00251CF0">
        <w:rPr>
          <w:sz w:val="24"/>
          <w:szCs w:val="24"/>
        </w:rPr>
        <w:t xml:space="preserve"> provides that t</w:t>
      </w:r>
      <w:r w:rsidR="0013301F" w:rsidRPr="00627116">
        <w:rPr>
          <w:sz w:val="24"/>
          <w:szCs w:val="24"/>
        </w:rPr>
        <w:t>he reclamation day</w:t>
      </w:r>
      <w:r w:rsidR="00777CC5">
        <w:rPr>
          <w:sz w:val="24"/>
          <w:szCs w:val="24"/>
        </w:rPr>
        <w:t xml:space="preserve"> (defined in section 27)</w:t>
      </w:r>
      <w:r w:rsidR="0013301F" w:rsidRPr="00627116">
        <w:rPr>
          <w:sz w:val="24"/>
          <w:szCs w:val="24"/>
        </w:rPr>
        <w:t xml:space="preserve"> for FTA butter and for FTA cheddar cheese for export to the United States of</w:t>
      </w:r>
      <w:r w:rsidR="00777CC5">
        <w:rPr>
          <w:sz w:val="24"/>
          <w:szCs w:val="24"/>
        </w:rPr>
        <w:t xml:space="preserve"> America for a quota year is 16 </w:t>
      </w:r>
      <w:r w:rsidR="0013301F" w:rsidRPr="00627116">
        <w:rPr>
          <w:sz w:val="24"/>
          <w:szCs w:val="24"/>
        </w:rPr>
        <w:t>August in the quota year.</w:t>
      </w:r>
    </w:p>
    <w:p w14:paraId="195F8B81" w14:textId="77777777" w:rsidR="0013301F" w:rsidRDefault="0013301F" w:rsidP="0013301F">
      <w:pPr>
        <w:spacing w:line="240" w:lineRule="auto"/>
        <w:rPr>
          <w:sz w:val="24"/>
          <w:szCs w:val="24"/>
          <w:u w:val="single"/>
        </w:rPr>
      </w:pPr>
      <w:bookmarkStart w:id="102" w:name="_Toc22827026"/>
    </w:p>
    <w:p w14:paraId="559E79D8" w14:textId="3E3F6051" w:rsidR="0013301F" w:rsidRPr="0013301F" w:rsidRDefault="00251CF0" w:rsidP="004839AA">
      <w:pPr>
        <w:keepNext/>
        <w:spacing w:line="240" w:lineRule="auto"/>
        <w:rPr>
          <w:sz w:val="24"/>
          <w:szCs w:val="24"/>
          <w:u w:val="single"/>
        </w:rPr>
      </w:pPr>
      <w:r>
        <w:rPr>
          <w:sz w:val="24"/>
          <w:szCs w:val="24"/>
          <w:u w:val="single"/>
        </w:rPr>
        <w:t xml:space="preserve">Section </w:t>
      </w:r>
      <w:r w:rsidR="00FF72F4">
        <w:rPr>
          <w:sz w:val="24"/>
          <w:szCs w:val="24"/>
          <w:u w:val="single"/>
        </w:rPr>
        <w:t>104</w:t>
      </w:r>
      <w:r w:rsidR="0013301F" w:rsidRPr="0013301F">
        <w:rPr>
          <w:sz w:val="24"/>
          <w:szCs w:val="24"/>
          <w:u w:val="single"/>
        </w:rPr>
        <w:t xml:space="preserve"> </w:t>
      </w:r>
      <w:r>
        <w:rPr>
          <w:sz w:val="24"/>
          <w:szCs w:val="24"/>
          <w:u w:val="single"/>
        </w:rPr>
        <w:t>-</w:t>
      </w:r>
      <w:r w:rsidR="0013301F" w:rsidRPr="0013301F">
        <w:rPr>
          <w:sz w:val="24"/>
          <w:szCs w:val="24"/>
          <w:u w:val="single"/>
        </w:rPr>
        <w:t xml:space="preserve"> Eligible person</w:t>
      </w:r>
      <w:bookmarkEnd w:id="102"/>
    </w:p>
    <w:p w14:paraId="63957FFB" w14:textId="77777777" w:rsidR="00251CF0" w:rsidRPr="00251CF0" w:rsidRDefault="0013301F" w:rsidP="004839AA">
      <w:pPr>
        <w:keepNext/>
        <w:spacing w:line="240" w:lineRule="auto"/>
        <w:rPr>
          <w:sz w:val="24"/>
          <w:szCs w:val="24"/>
        </w:rPr>
      </w:pPr>
      <w:r w:rsidRPr="00251CF0">
        <w:rPr>
          <w:sz w:val="24"/>
          <w:szCs w:val="24"/>
        </w:rPr>
        <w:tab/>
      </w:r>
      <w:r w:rsidRPr="00251CF0">
        <w:rPr>
          <w:sz w:val="24"/>
          <w:szCs w:val="24"/>
        </w:rPr>
        <w:tab/>
      </w:r>
    </w:p>
    <w:p w14:paraId="3BB53ADF" w14:textId="273AB13C" w:rsidR="0013301F" w:rsidRPr="0013301F" w:rsidRDefault="00FF72F4" w:rsidP="0013301F">
      <w:pPr>
        <w:spacing w:line="240" w:lineRule="auto"/>
        <w:rPr>
          <w:sz w:val="24"/>
          <w:szCs w:val="24"/>
          <w:u w:val="single"/>
        </w:rPr>
      </w:pPr>
      <w:r>
        <w:rPr>
          <w:sz w:val="24"/>
          <w:szCs w:val="24"/>
        </w:rPr>
        <w:t>Section 104</w:t>
      </w:r>
      <w:r w:rsidR="00251CF0">
        <w:rPr>
          <w:sz w:val="24"/>
          <w:szCs w:val="24"/>
        </w:rPr>
        <w:t xml:space="preserve"> provides that a</w:t>
      </w:r>
      <w:r w:rsidR="0013301F" w:rsidRPr="00251CF0">
        <w:rPr>
          <w:sz w:val="24"/>
          <w:szCs w:val="24"/>
        </w:rPr>
        <w:t>ny person is an eligible person for FTA butter or FTA cheddar cheese for export to the United States of America.</w:t>
      </w:r>
    </w:p>
    <w:p w14:paraId="2B31DCD1" w14:textId="77777777" w:rsidR="00733F68" w:rsidRDefault="00733F68" w:rsidP="00733F68">
      <w:pPr>
        <w:spacing w:line="240" w:lineRule="auto"/>
        <w:rPr>
          <w:sz w:val="24"/>
          <w:szCs w:val="24"/>
          <w:u w:val="single"/>
        </w:rPr>
      </w:pPr>
      <w:bookmarkStart w:id="103" w:name="_Toc22827027"/>
    </w:p>
    <w:p w14:paraId="32A049F7" w14:textId="11AE0E03" w:rsidR="0013301F" w:rsidRDefault="00733F68" w:rsidP="00733F68">
      <w:pPr>
        <w:spacing w:line="240" w:lineRule="auto"/>
        <w:rPr>
          <w:sz w:val="24"/>
          <w:szCs w:val="24"/>
          <w:u w:val="single"/>
        </w:rPr>
      </w:pPr>
      <w:r>
        <w:rPr>
          <w:sz w:val="24"/>
          <w:szCs w:val="24"/>
          <w:u w:val="single"/>
        </w:rPr>
        <w:t xml:space="preserve">Section </w:t>
      </w:r>
      <w:r w:rsidR="00FF72F4">
        <w:rPr>
          <w:sz w:val="24"/>
          <w:szCs w:val="24"/>
          <w:u w:val="single"/>
        </w:rPr>
        <w:t>105</w:t>
      </w:r>
      <w:r w:rsidR="0013301F" w:rsidRPr="00733F68">
        <w:rPr>
          <w:sz w:val="24"/>
          <w:szCs w:val="24"/>
          <w:u w:val="single"/>
        </w:rPr>
        <w:t xml:space="preserve"> </w:t>
      </w:r>
      <w:r>
        <w:rPr>
          <w:sz w:val="24"/>
          <w:szCs w:val="24"/>
          <w:u w:val="single"/>
        </w:rPr>
        <w:t>-</w:t>
      </w:r>
      <w:r w:rsidR="0013301F" w:rsidRPr="00733F68">
        <w:rPr>
          <w:sz w:val="24"/>
          <w:szCs w:val="24"/>
          <w:u w:val="single"/>
        </w:rPr>
        <w:t xml:space="preserve"> Eligible past exports</w:t>
      </w:r>
      <w:bookmarkEnd w:id="103"/>
    </w:p>
    <w:p w14:paraId="553A55FF" w14:textId="77777777" w:rsidR="00733F68" w:rsidRPr="00733F68" w:rsidRDefault="00733F68" w:rsidP="00733F68">
      <w:pPr>
        <w:spacing w:line="240" w:lineRule="auto"/>
        <w:rPr>
          <w:sz w:val="24"/>
          <w:szCs w:val="24"/>
          <w:u w:val="single"/>
        </w:rPr>
      </w:pPr>
    </w:p>
    <w:p w14:paraId="41A469E7" w14:textId="7FA2A629" w:rsidR="007961A8" w:rsidRDefault="00F70B90" w:rsidP="00733F68">
      <w:pPr>
        <w:spacing w:line="240" w:lineRule="auto"/>
        <w:rPr>
          <w:sz w:val="24"/>
          <w:szCs w:val="24"/>
        </w:rPr>
      </w:pPr>
      <w:r>
        <w:rPr>
          <w:sz w:val="24"/>
          <w:szCs w:val="24"/>
        </w:rPr>
        <w:t>Subs</w:t>
      </w:r>
      <w:r w:rsidR="00FF72F4">
        <w:rPr>
          <w:sz w:val="24"/>
          <w:szCs w:val="24"/>
        </w:rPr>
        <w:t>ection 105</w:t>
      </w:r>
      <w:r>
        <w:rPr>
          <w:sz w:val="24"/>
          <w:szCs w:val="24"/>
        </w:rPr>
        <w:t>(1)</w:t>
      </w:r>
      <w:r w:rsidR="00733F68">
        <w:rPr>
          <w:sz w:val="24"/>
          <w:szCs w:val="24"/>
        </w:rPr>
        <w:t xml:space="preserve"> provides that a</w:t>
      </w:r>
      <w:r w:rsidR="0013301F" w:rsidRPr="00733F68">
        <w:rPr>
          <w:sz w:val="24"/>
          <w:szCs w:val="24"/>
        </w:rPr>
        <w:t xml:space="preserve"> consignment </w:t>
      </w:r>
      <w:r>
        <w:rPr>
          <w:sz w:val="24"/>
          <w:szCs w:val="24"/>
        </w:rPr>
        <w:t xml:space="preserve">is an eligible past export for </w:t>
      </w:r>
      <w:r w:rsidR="0013301F" w:rsidRPr="00733F68">
        <w:rPr>
          <w:sz w:val="24"/>
          <w:szCs w:val="24"/>
        </w:rPr>
        <w:t xml:space="preserve">FTA butter </w:t>
      </w:r>
      <w:r>
        <w:rPr>
          <w:sz w:val="24"/>
          <w:szCs w:val="24"/>
        </w:rPr>
        <w:t>for</w:t>
      </w:r>
      <w:r w:rsidR="0013301F" w:rsidRPr="00733F68">
        <w:rPr>
          <w:sz w:val="24"/>
          <w:szCs w:val="24"/>
        </w:rPr>
        <w:t xml:space="preserve"> export to the United States of America </w:t>
      </w:r>
      <w:r w:rsidR="00733F68">
        <w:rPr>
          <w:sz w:val="24"/>
          <w:szCs w:val="24"/>
        </w:rPr>
        <w:t>in relation to a quota year if</w:t>
      </w:r>
      <w:r w:rsidR="007961A8">
        <w:rPr>
          <w:sz w:val="24"/>
          <w:szCs w:val="24"/>
        </w:rPr>
        <w:t>:</w:t>
      </w:r>
    </w:p>
    <w:p w14:paraId="1B7A5819" w14:textId="77777777" w:rsidR="007961A8" w:rsidRDefault="00F70B90" w:rsidP="000F6D46">
      <w:pPr>
        <w:pStyle w:val="ListParagraph"/>
        <w:numPr>
          <w:ilvl w:val="0"/>
          <w:numId w:val="52"/>
        </w:numPr>
        <w:spacing w:line="240" w:lineRule="auto"/>
        <w:rPr>
          <w:sz w:val="24"/>
          <w:szCs w:val="24"/>
        </w:rPr>
      </w:pPr>
      <w:r w:rsidRPr="007961A8">
        <w:rPr>
          <w:sz w:val="24"/>
          <w:szCs w:val="24"/>
        </w:rPr>
        <w:t>it is a consignment of FTA butter exported to the United States of America</w:t>
      </w:r>
      <w:r w:rsidR="007961A8">
        <w:rPr>
          <w:sz w:val="24"/>
          <w:szCs w:val="24"/>
        </w:rPr>
        <w:t>,</w:t>
      </w:r>
      <w:r w:rsidRPr="007961A8">
        <w:rPr>
          <w:sz w:val="24"/>
          <w:szCs w:val="24"/>
        </w:rPr>
        <w:t xml:space="preserve"> and </w:t>
      </w:r>
    </w:p>
    <w:p w14:paraId="0BB9201F" w14:textId="77777777" w:rsidR="00BC229D" w:rsidRDefault="0013301F" w:rsidP="000F6D46">
      <w:pPr>
        <w:pStyle w:val="ListParagraph"/>
        <w:numPr>
          <w:ilvl w:val="0"/>
          <w:numId w:val="52"/>
        </w:numPr>
        <w:spacing w:line="240" w:lineRule="auto"/>
        <w:rPr>
          <w:sz w:val="24"/>
          <w:szCs w:val="24"/>
        </w:rPr>
      </w:pPr>
      <w:proofErr w:type="gramStart"/>
      <w:r w:rsidRPr="007961A8">
        <w:rPr>
          <w:sz w:val="24"/>
          <w:szCs w:val="24"/>
        </w:rPr>
        <w:t>a</w:t>
      </w:r>
      <w:proofErr w:type="gramEnd"/>
      <w:r w:rsidRPr="007961A8">
        <w:rPr>
          <w:sz w:val="24"/>
          <w:szCs w:val="24"/>
        </w:rPr>
        <w:t xml:space="preserve"> tariff rate quota certificate was issued in relation to the consignment in the period</w:t>
      </w:r>
      <w:r w:rsidR="00733F68" w:rsidRPr="007961A8">
        <w:rPr>
          <w:sz w:val="24"/>
          <w:szCs w:val="24"/>
        </w:rPr>
        <w:t xml:space="preserve"> </w:t>
      </w:r>
      <w:r w:rsidRPr="007961A8">
        <w:rPr>
          <w:sz w:val="24"/>
          <w:szCs w:val="24"/>
        </w:rPr>
        <w:t xml:space="preserve">beginning on the 1 </w:t>
      </w:r>
      <w:r w:rsidR="00F70B90" w:rsidRPr="007961A8">
        <w:rPr>
          <w:sz w:val="24"/>
          <w:szCs w:val="24"/>
        </w:rPr>
        <w:t>Dec</w:t>
      </w:r>
      <w:r w:rsidRPr="007961A8">
        <w:rPr>
          <w:sz w:val="24"/>
          <w:szCs w:val="24"/>
        </w:rPr>
        <w:t>ember that is 3</w:t>
      </w:r>
      <w:r w:rsidR="00F70B90" w:rsidRPr="007961A8">
        <w:rPr>
          <w:sz w:val="24"/>
          <w:szCs w:val="24"/>
        </w:rPr>
        <w:t>7</w:t>
      </w:r>
      <w:r w:rsidRPr="007961A8">
        <w:rPr>
          <w:sz w:val="24"/>
          <w:szCs w:val="24"/>
        </w:rPr>
        <w:t xml:space="preserve"> months before the start of the quota year and</w:t>
      </w:r>
      <w:r w:rsidR="00733F68" w:rsidRPr="007961A8">
        <w:rPr>
          <w:sz w:val="24"/>
          <w:szCs w:val="24"/>
        </w:rPr>
        <w:t xml:space="preserve"> </w:t>
      </w:r>
      <w:r w:rsidRPr="007961A8">
        <w:rPr>
          <w:sz w:val="24"/>
          <w:szCs w:val="24"/>
        </w:rPr>
        <w:t>ending on 3</w:t>
      </w:r>
      <w:r w:rsidR="00F70B90" w:rsidRPr="007961A8">
        <w:rPr>
          <w:sz w:val="24"/>
          <w:szCs w:val="24"/>
        </w:rPr>
        <w:t>0</w:t>
      </w:r>
      <w:r w:rsidRPr="007961A8">
        <w:rPr>
          <w:sz w:val="24"/>
          <w:szCs w:val="24"/>
        </w:rPr>
        <w:t xml:space="preserve"> </w:t>
      </w:r>
      <w:r w:rsidR="00F70B90" w:rsidRPr="007961A8">
        <w:rPr>
          <w:sz w:val="24"/>
          <w:szCs w:val="24"/>
        </w:rPr>
        <w:t>Novem</w:t>
      </w:r>
      <w:r w:rsidRPr="007961A8">
        <w:rPr>
          <w:sz w:val="24"/>
          <w:szCs w:val="24"/>
        </w:rPr>
        <w:t>ber of the calendar year before the quota year starts.</w:t>
      </w:r>
    </w:p>
    <w:p w14:paraId="390B80EB" w14:textId="03AB733B" w:rsidR="0013301F" w:rsidRPr="00BC229D" w:rsidRDefault="007961A8" w:rsidP="00BC229D">
      <w:pPr>
        <w:spacing w:line="240" w:lineRule="auto"/>
        <w:rPr>
          <w:sz w:val="24"/>
          <w:szCs w:val="24"/>
        </w:rPr>
      </w:pPr>
      <w:r w:rsidRPr="00BC229D">
        <w:rPr>
          <w:sz w:val="24"/>
          <w:szCs w:val="24"/>
        </w:rPr>
        <w:t>For example, in calculating the 2020 quota year entitlements, the eligible past export range is 1 December 2016 to 30 November 2019.</w:t>
      </w:r>
    </w:p>
    <w:p w14:paraId="350EA21E" w14:textId="77777777" w:rsidR="009340A4" w:rsidRDefault="009340A4" w:rsidP="00733F68">
      <w:pPr>
        <w:spacing w:line="240" w:lineRule="auto"/>
        <w:rPr>
          <w:sz w:val="24"/>
          <w:szCs w:val="24"/>
        </w:rPr>
      </w:pPr>
    </w:p>
    <w:p w14:paraId="6F763CF6" w14:textId="1DCD5D85" w:rsidR="007961A8" w:rsidRDefault="009340A4" w:rsidP="00FF72F4">
      <w:pPr>
        <w:spacing w:line="240" w:lineRule="auto"/>
        <w:rPr>
          <w:sz w:val="24"/>
          <w:szCs w:val="24"/>
        </w:rPr>
      </w:pPr>
      <w:r>
        <w:rPr>
          <w:sz w:val="24"/>
          <w:szCs w:val="24"/>
        </w:rPr>
        <w:lastRenderedPageBreak/>
        <w:t xml:space="preserve">Subsection </w:t>
      </w:r>
      <w:r w:rsidR="00FF72F4">
        <w:rPr>
          <w:sz w:val="24"/>
          <w:szCs w:val="24"/>
        </w:rPr>
        <w:t>105</w:t>
      </w:r>
      <w:r>
        <w:rPr>
          <w:sz w:val="24"/>
          <w:szCs w:val="24"/>
        </w:rPr>
        <w:t>(2) provides that a</w:t>
      </w:r>
      <w:r w:rsidRPr="00FF72F4">
        <w:rPr>
          <w:sz w:val="24"/>
          <w:szCs w:val="24"/>
        </w:rPr>
        <w:t xml:space="preserve"> consignment is an eligible past export for FTA cheddar cheese for export to the United States of America in relation to a quota year if</w:t>
      </w:r>
      <w:r w:rsidR="007961A8">
        <w:rPr>
          <w:sz w:val="24"/>
          <w:szCs w:val="24"/>
        </w:rPr>
        <w:t>:</w:t>
      </w:r>
    </w:p>
    <w:p w14:paraId="7E6503B3" w14:textId="77777777" w:rsidR="007961A8" w:rsidRDefault="009340A4" w:rsidP="000F6D46">
      <w:pPr>
        <w:pStyle w:val="ListParagraph"/>
        <w:numPr>
          <w:ilvl w:val="0"/>
          <w:numId w:val="53"/>
        </w:numPr>
        <w:spacing w:line="240" w:lineRule="auto"/>
        <w:rPr>
          <w:sz w:val="24"/>
          <w:szCs w:val="24"/>
        </w:rPr>
      </w:pPr>
      <w:r w:rsidRPr="007961A8">
        <w:rPr>
          <w:sz w:val="24"/>
          <w:szCs w:val="24"/>
        </w:rPr>
        <w:t>it is a consignment of FTA cheddar cheese exported to the United States of America</w:t>
      </w:r>
      <w:r w:rsidR="007961A8">
        <w:rPr>
          <w:sz w:val="24"/>
          <w:szCs w:val="24"/>
        </w:rPr>
        <w:t>,</w:t>
      </w:r>
      <w:r w:rsidRPr="007961A8">
        <w:rPr>
          <w:sz w:val="24"/>
          <w:szCs w:val="24"/>
        </w:rPr>
        <w:t xml:space="preserve"> and</w:t>
      </w:r>
    </w:p>
    <w:p w14:paraId="1EFA45E9" w14:textId="77777777" w:rsidR="00BC229D" w:rsidRDefault="009340A4" w:rsidP="000F6D46">
      <w:pPr>
        <w:pStyle w:val="ListParagraph"/>
        <w:numPr>
          <w:ilvl w:val="0"/>
          <w:numId w:val="53"/>
        </w:numPr>
        <w:spacing w:line="240" w:lineRule="auto"/>
        <w:rPr>
          <w:sz w:val="24"/>
          <w:szCs w:val="24"/>
        </w:rPr>
      </w:pPr>
      <w:proofErr w:type="gramStart"/>
      <w:r w:rsidRPr="007961A8">
        <w:rPr>
          <w:sz w:val="24"/>
          <w:szCs w:val="24"/>
        </w:rPr>
        <w:t>a</w:t>
      </w:r>
      <w:proofErr w:type="gramEnd"/>
      <w:r w:rsidRPr="007961A8">
        <w:rPr>
          <w:sz w:val="24"/>
          <w:szCs w:val="24"/>
        </w:rPr>
        <w:t xml:space="preserve"> tariff rate quota certificate was issued in relation to the consignment in the period beginning on the 1 December that is 37 months before the start of the quota year and ending on 30 November of the calendar year before the quota year starts.</w:t>
      </w:r>
    </w:p>
    <w:p w14:paraId="79A2265B" w14:textId="12D79A3C" w:rsidR="009340A4" w:rsidRPr="00BC229D" w:rsidRDefault="007961A8" w:rsidP="00BC229D">
      <w:pPr>
        <w:spacing w:line="240" w:lineRule="auto"/>
        <w:rPr>
          <w:sz w:val="24"/>
          <w:szCs w:val="24"/>
        </w:rPr>
      </w:pPr>
      <w:r w:rsidRPr="00BC229D">
        <w:rPr>
          <w:sz w:val="24"/>
          <w:szCs w:val="24"/>
        </w:rPr>
        <w:t xml:space="preserve">For example, in calculating the 2020 quota year entitlements, the eligible past export range is 1 December 2016 to 30 November </w:t>
      </w:r>
      <w:r w:rsidR="00BC229D">
        <w:rPr>
          <w:sz w:val="24"/>
          <w:szCs w:val="24"/>
        </w:rPr>
        <w:t>2019</w:t>
      </w:r>
      <w:r w:rsidRPr="00BC229D">
        <w:rPr>
          <w:sz w:val="24"/>
          <w:szCs w:val="24"/>
        </w:rPr>
        <w:t>.</w:t>
      </w:r>
    </w:p>
    <w:p w14:paraId="6A42B741" w14:textId="77777777" w:rsidR="001D7D26" w:rsidRPr="00733F68" w:rsidRDefault="001D7D26" w:rsidP="001D7D26">
      <w:pPr>
        <w:spacing w:line="240" w:lineRule="auto"/>
        <w:rPr>
          <w:sz w:val="24"/>
          <w:szCs w:val="24"/>
        </w:rPr>
      </w:pPr>
    </w:p>
    <w:p w14:paraId="16BF21F8" w14:textId="6A897D13" w:rsidR="00217D6C" w:rsidRPr="00217D6C" w:rsidRDefault="00217D6C" w:rsidP="00217D6C">
      <w:pPr>
        <w:spacing w:line="240" w:lineRule="auto"/>
        <w:rPr>
          <w:sz w:val="24"/>
          <w:szCs w:val="24"/>
          <w:u w:val="single"/>
        </w:rPr>
      </w:pPr>
      <w:bookmarkStart w:id="104" w:name="_Toc22827028"/>
      <w:r>
        <w:rPr>
          <w:sz w:val="24"/>
          <w:szCs w:val="24"/>
          <w:u w:val="single"/>
        </w:rPr>
        <w:t xml:space="preserve">Section </w:t>
      </w:r>
      <w:r w:rsidR="00FF72F4">
        <w:rPr>
          <w:sz w:val="24"/>
          <w:szCs w:val="24"/>
          <w:u w:val="single"/>
        </w:rPr>
        <w:t>106</w:t>
      </w:r>
      <w:r w:rsidRPr="00217D6C">
        <w:rPr>
          <w:sz w:val="24"/>
          <w:szCs w:val="24"/>
          <w:u w:val="single"/>
        </w:rPr>
        <w:t xml:space="preserve"> </w:t>
      </w:r>
      <w:r>
        <w:rPr>
          <w:sz w:val="24"/>
          <w:szCs w:val="24"/>
          <w:u w:val="single"/>
        </w:rPr>
        <w:t>-</w:t>
      </w:r>
      <w:r w:rsidRPr="00217D6C">
        <w:rPr>
          <w:sz w:val="24"/>
          <w:szCs w:val="24"/>
          <w:u w:val="single"/>
        </w:rPr>
        <w:t xml:space="preserve"> Minimum quota allocation</w:t>
      </w:r>
      <w:bookmarkEnd w:id="104"/>
    </w:p>
    <w:p w14:paraId="062438F1" w14:textId="77777777" w:rsidR="00217D6C" w:rsidRPr="00217D6C" w:rsidRDefault="00217D6C" w:rsidP="00217D6C">
      <w:pPr>
        <w:spacing w:line="240" w:lineRule="auto"/>
        <w:rPr>
          <w:sz w:val="24"/>
          <w:szCs w:val="24"/>
        </w:rPr>
      </w:pPr>
      <w:r w:rsidRPr="00217D6C">
        <w:rPr>
          <w:sz w:val="24"/>
          <w:szCs w:val="24"/>
        </w:rPr>
        <w:tab/>
      </w:r>
      <w:r w:rsidRPr="00217D6C">
        <w:rPr>
          <w:sz w:val="24"/>
          <w:szCs w:val="24"/>
        </w:rPr>
        <w:tab/>
      </w:r>
    </w:p>
    <w:p w14:paraId="3D86D33A" w14:textId="0B72AC30" w:rsidR="00217D6C" w:rsidRPr="00217D6C" w:rsidRDefault="00FF72F4" w:rsidP="00217D6C">
      <w:pPr>
        <w:spacing w:line="240" w:lineRule="auto"/>
        <w:rPr>
          <w:sz w:val="24"/>
          <w:szCs w:val="24"/>
        </w:rPr>
      </w:pPr>
      <w:r>
        <w:rPr>
          <w:sz w:val="24"/>
          <w:szCs w:val="24"/>
        </w:rPr>
        <w:t>Section 106</w:t>
      </w:r>
      <w:r w:rsidR="00217D6C">
        <w:rPr>
          <w:sz w:val="24"/>
          <w:szCs w:val="24"/>
        </w:rPr>
        <w:t xml:space="preserve"> provides that t</w:t>
      </w:r>
      <w:r w:rsidR="00217D6C" w:rsidRPr="00217D6C">
        <w:rPr>
          <w:sz w:val="24"/>
          <w:szCs w:val="24"/>
        </w:rPr>
        <w:t xml:space="preserve">he minimum quota allocation for FTA butter and for FTA cheddar cheese for export to the United States of America in relation to a quota year is </w:t>
      </w:r>
      <w:r w:rsidR="001B648A">
        <w:rPr>
          <w:sz w:val="24"/>
          <w:szCs w:val="24"/>
        </w:rPr>
        <w:t>1</w:t>
      </w:r>
      <w:r w:rsidR="00E72602">
        <w:rPr>
          <w:sz w:val="24"/>
          <w:szCs w:val="24"/>
        </w:rPr>
        <w:t> </w:t>
      </w:r>
      <w:r w:rsidR="00217D6C" w:rsidRPr="00217D6C">
        <w:rPr>
          <w:sz w:val="24"/>
          <w:szCs w:val="24"/>
        </w:rPr>
        <w:t>tonne.</w:t>
      </w:r>
    </w:p>
    <w:p w14:paraId="54419A36" w14:textId="77777777" w:rsidR="00217D6C" w:rsidRDefault="00217D6C" w:rsidP="00217D6C">
      <w:pPr>
        <w:spacing w:line="240" w:lineRule="auto"/>
        <w:rPr>
          <w:sz w:val="24"/>
          <w:szCs w:val="24"/>
          <w:u w:val="single"/>
        </w:rPr>
      </w:pPr>
      <w:bookmarkStart w:id="105" w:name="_Toc22827029"/>
    </w:p>
    <w:p w14:paraId="78623162" w14:textId="49446BB4" w:rsidR="00217D6C" w:rsidRPr="00217D6C" w:rsidRDefault="00217D6C" w:rsidP="00217D6C">
      <w:pPr>
        <w:spacing w:line="240" w:lineRule="auto"/>
        <w:rPr>
          <w:sz w:val="24"/>
          <w:szCs w:val="24"/>
          <w:u w:val="single"/>
        </w:rPr>
      </w:pPr>
      <w:r>
        <w:rPr>
          <w:sz w:val="24"/>
          <w:szCs w:val="24"/>
          <w:u w:val="single"/>
        </w:rPr>
        <w:t xml:space="preserve">Section </w:t>
      </w:r>
      <w:r w:rsidR="00FF72F4">
        <w:rPr>
          <w:sz w:val="24"/>
          <w:szCs w:val="24"/>
          <w:u w:val="single"/>
        </w:rPr>
        <w:t>107</w:t>
      </w:r>
      <w:r w:rsidRPr="00217D6C">
        <w:rPr>
          <w:sz w:val="24"/>
          <w:szCs w:val="24"/>
          <w:u w:val="single"/>
        </w:rPr>
        <w:t xml:space="preserve"> </w:t>
      </w:r>
      <w:r>
        <w:rPr>
          <w:sz w:val="24"/>
          <w:szCs w:val="24"/>
          <w:u w:val="single"/>
        </w:rPr>
        <w:t>-</w:t>
      </w:r>
      <w:r w:rsidRPr="00217D6C">
        <w:rPr>
          <w:sz w:val="24"/>
          <w:szCs w:val="24"/>
          <w:u w:val="single"/>
        </w:rPr>
        <w:t xml:space="preserve"> Penalties</w:t>
      </w:r>
      <w:bookmarkEnd w:id="105"/>
    </w:p>
    <w:p w14:paraId="099F4864" w14:textId="77777777" w:rsidR="00217D6C" w:rsidRPr="00217D6C" w:rsidRDefault="00217D6C" w:rsidP="00217D6C">
      <w:pPr>
        <w:spacing w:line="240" w:lineRule="auto"/>
        <w:rPr>
          <w:sz w:val="24"/>
          <w:szCs w:val="24"/>
        </w:rPr>
      </w:pPr>
      <w:r w:rsidRPr="00217D6C">
        <w:rPr>
          <w:sz w:val="24"/>
          <w:szCs w:val="24"/>
        </w:rPr>
        <w:tab/>
      </w:r>
    </w:p>
    <w:p w14:paraId="6A0D6A38" w14:textId="6B67282A" w:rsidR="00217D6C" w:rsidRPr="00217D6C" w:rsidRDefault="00217D6C" w:rsidP="00217D6C">
      <w:pPr>
        <w:spacing w:line="240" w:lineRule="auto"/>
        <w:rPr>
          <w:sz w:val="24"/>
          <w:szCs w:val="24"/>
        </w:rPr>
      </w:pPr>
      <w:r>
        <w:rPr>
          <w:sz w:val="24"/>
          <w:szCs w:val="24"/>
        </w:rPr>
        <w:t xml:space="preserve">Subsection </w:t>
      </w:r>
      <w:r w:rsidR="00FF72F4">
        <w:rPr>
          <w:sz w:val="24"/>
          <w:szCs w:val="24"/>
        </w:rPr>
        <w:t>107</w:t>
      </w:r>
      <w:r w:rsidRPr="00217D6C">
        <w:rPr>
          <w:sz w:val="24"/>
          <w:szCs w:val="24"/>
        </w:rPr>
        <w:t>(1)</w:t>
      </w:r>
      <w:r>
        <w:rPr>
          <w:sz w:val="24"/>
          <w:szCs w:val="24"/>
        </w:rPr>
        <w:t xml:space="preserve"> provides that t</w:t>
      </w:r>
      <w:r w:rsidRPr="00217D6C">
        <w:rPr>
          <w:sz w:val="24"/>
          <w:szCs w:val="24"/>
        </w:rPr>
        <w:t>he required usage percentage for FTA butter and for FTA cheddar cheese for export to the United States of America is 9</w:t>
      </w:r>
      <w:r w:rsidR="001B648A">
        <w:rPr>
          <w:sz w:val="24"/>
          <w:szCs w:val="24"/>
        </w:rPr>
        <w:t>0</w:t>
      </w:r>
      <w:r w:rsidRPr="00217D6C">
        <w:rPr>
          <w:sz w:val="24"/>
          <w:szCs w:val="24"/>
        </w:rPr>
        <w:t xml:space="preserve"> per cent.</w:t>
      </w:r>
    </w:p>
    <w:p w14:paraId="2A7C503A" w14:textId="77777777" w:rsidR="00217D6C" w:rsidRDefault="00217D6C" w:rsidP="00217D6C">
      <w:pPr>
        <w:spacing w:line="240" w:lineRule="auto"/>
        <w:rPr>
          <w:sz w:val="24"/>
          <w:szCs w:val="24"/>
        </w:rPr>
      </w:pPr>
    </w:p>
    <w:p w14:paraId="1FB0DCA8" w14:textId="6F7CB556" w:rsidR="00217D6C" w:rsidRPr="00217D6C" w:rsidRDefault="00FF72F4" w:rsidP="00217D6C">
      <w:pPr>
        <w:spacing w:line="240" w:lineRule="auto"/>
        <w:rPr>
          <w:sz w:val="24"/>
          <w:szCs w:val="24"/>
        </w:rPr>
      </w:pPr>
      <w:r>
        <w:rPr>
          <w:sz w:val="24"/>
          <w:szCs w:val="24"/>
        </w:rPr>
        <w:t>Subsection 107</w:t>
      </w:r>
      <w:r w:rsidR="00217D6C" w:rsidRPr="00217D6C">
        <w:rPr>
          <w:sz w:val="24"/>
          <w:szCs w:val="24"/>
        </w:rPr>
        <w:t>(2)</w:t>
      </w:r>
      <w:r w:rsidR="00217D6C">
        <w:rPr>
          <w:sz w:val="24"/>
          <w:szCs w:val="24"/>
        </w:rPr>
        <w:t xml:space="preserve"> provides that t</w:t>
      </w:r>
      <w:r w:rsidR="00217D6C" w:rsidRPr="00217D6C">
        <w:rPr>
          <w:sz w:val="24"/>
          <w:szCs w:val="24"/>
        </w:rPr>
        <w:t xml:space="preserve">he penalty individual threshold for FTA butter and for FTA cheddar cheese for export to the United States of America in relation to a quota year is </w:t>
      </w:r>
      <w:r w:rsidR="001B648A">
        <w:rPr>
          <w:sz w:val="24"/>
          <w:szCs w:val="24"/>
        </w:rPr>
        <w:t>10</w:t>
      </w:r>
      <w:r w:rsidR="00E72602">
        <w:rPr>
          <w:sz w:val="24"/>
          <w:szCs w:val="24"/>
        </w:rPr>
        <w:t> </w:t>
      </w:r>
      <w:r w:rsidR="00217D6C" w:rsidRPr="00217D6C">
        <w:rPr>
          <w:sz w:val="24"/>
          <w:szCs w:val="24"/>
        </w:rPr>
        <w:t>tonnes.</w:t>
      </w:r>
    </w:p>
    <w:p w14:paraId="7349FAEE" w14:textId="77777777" w:rsidR="00217D6C" w:rsidRDefault="00217D6C" w:rsidP="00217D6C">
      <w:pPr>
        <w:spacing w:line="240" w:lineRule="auto"/>
        <w:rPr>
          <w:sz w:val="24"/>
          <w:szCs w:val="24"/>
        </w:rPr>
      </w:pPr>
    </w:p>
    <w:p w14:paraId="5F0DEB9A" w14:textId="1E459B9B" w:rsidR="00217D6C" w:rsidRDefault="00FF72F4" w:rsidP="00217D6C">
      <w:pPr>
        <w:spacing w:line="240" w:lineRule="auto"/>
        <w:rPr>
          <w:sz w:val="24"/>
          <w:szCs w:val="24"/>
        </w:rPr>
      </w:pPr>
      <w:r>
        <w:rPr>
          <w:sz w:val="24"/>
          <w:szCs w:val="24"/>
        </w:rPr>
        <w:t>Subsection 107</w:t>
      </w:r>
      <w:r w:rsidR="00217D6C" w:rsidRPr="00217D6C">
        <w:rPr>
          <w:sz w:val="24"/>
          <w:szCs w:val="24"/>
        </w:rPr>
        <w:t>(3)</w:t>
      </w:r>
      <w:r w:rsidR="00217D6C">
        <w:rPr>
          <w:sz w:val="24"/>
          <w:szCs w:val="24"/>
        </w:rPr>
        <w:t xml:space="preserve"> provides that t</w:t>
      </w:r>
      <w:r w:rsidR="00217D6C" w:rsidRPr="00217D6C">
        <w:rPr>
          <w:sz w:val="24"/>
          <w:szCs w:val="24"/>
        </w:rPr>
        <w:t xml:space="preserve">he penalty pool threshold for FTA butter and for FTA cheddar cheese for export to the United States of America in relation to a quota year is </w:t>
      </w:r>
      <w:r w:rsidR="00B140F3">
        <w:rPr>
          <w:sz w:val="24"/>
          <w:szCs w:val="24"/>
        </w:rPr>
        <w:t>300 </w:t>
      </w:r>
      <w:r w:rsidR="00217D6C" w:rsidRPr="00217D6C">
        <w:rPr>
          <w:sz w:val="24"/>
          <w:szCs w:val="24"/>
        </w:rPr>
        <w:t>tonnes.</w:t>
      </w:r>
    </w:p>
    <w:p w14:paraId="727A5318" w14:textId="77777777" w:rsidR="001774C0" w:rsidRDefault="001774C0" w:rsidP="00217D6C">
      <w:pPr>
        <w:spacing w:line="240" w:lineRule="auto"/>
        <w:rPr>
          <w:sz w:val="24"/>
          <w:szCs w:val="24"/>
        </w:rPr>
      </w:pPr>
    </w:p>
    <w:p w14:paraId="4F0B77D5" w14:textId="1B86E528" w:rsidR="001774C0" w:rsidRDefault="001774C0" w:rsidP="00217D6C">
      <w:pPr>
        <w:spacing w:line="240" w:lineRule="auto"/>
        <w:rPr>
          <w:sz w:val="24"/>
          <w:szCs w:val="24"/>
        </w:rPr>
      </w:pPr>
      <w:r>
        <w:rPr>
          <w:sz w:val="24"/>
          <w:szCs w:val="24"/>
        </w:rPr>
        <w:t>Each of the values in section 107 relate to the application of penalties in section 33.</w:t>
      </w:r>
    </w:p>
    <w:p w14:paraId="35FF9E4B" w14:textId="77777777" w:rsidR="00217D6C" w:rsidRPr="00217D6C" w:rsidRDefault="00217D6C" w:rsidP="00217D6C">
      <w:pPr>
        <w:spacing w:line="240" w:lineRule="auto"/>
        <w:rPr>
          <w:sz w:val="24"/>
          <w:szCs w:val="24"/>
        </w:rPr>
      </w:pPr>
    </w:p>
    <w:p w14:paraId="3414533B" w14:textId="2111F3CB" w:rsidR="00217D6C" w:rsidRPr="00217D6C" w:rsidRDefault="00217D6C" w:rsidP="00217D6C">
      <w:pPr>
        <w:spacing w:line="240" w:lineRule="auto"/>
        <w:rPr>
          <w:sz w:val="24"/>
          <w:szCs w:val="24"/>
          <w:u w:val="single"/>
        </w:rPr>
      </w:pPr>
      <w:bookmarkStart w:id="106" w:name="_Toc22827030"/>
      <w:r>
        <w:rPr>
          <w:sz w:val="24"/>
          <w:szCs w:val="24"/>
          <w:u w:val="single"/>
        </w:rPr>
        <w:t xml:space="preserve">Section </w:t>
      </w:r>
      <w:r w:rsidR="00FF72F4">
        <w:rPr>
          <w:sz w:val="24"/>
          <w:szCs w:val="24"/>
          <w:u w:val="single"/>
        </w:rPr>
        <w:t>108</w:t>
      </w:r>
      <w:r w:rsidRPr="00217D6C">
        <w:rPr>
          <w:sz w:val="24"/>
          <w:szCs w:val="24"/>
          <w:u w:val="single"/>
        </w:rPr>
        <w:t xml:space="preserve"> </w:t>
      </w:r>
      <w:r>
        <w:rPr>
          <w:sz w:val="24"/>
          <w:szCs w:val="24"/>
          <w:u w:val="single"/>
        </w:rPr>
        <w:t>-</w:t>
      </w:r>
      <w:r w:rsidRPr="00217D6C">
        <w:rPr>
          <w:sz w:val="24"/>
          <w:szCs w:val="24"/>
          <w:u w:val="single"/>
        </w:rPr>
        <w:t xml:space="preserve"> Maximum transfer percentage</w:t>
      </w:r>
      <w:bookmarkEnd w:id="106"/>
    </w:p>
    <w:p w14:paraId="5141A14A" w14:textId="77777777" w:rsidR="00217D6C" w:rsidRDefault="00217D6C" w:rsidP="00217D6C">
      <w:pPr>
        <w:spacing w:line="240" w:lineRule="auto"/>
        <w:rPr>
          <w:sz w:val="24"/>
          <w:szCs w:val="24"/>
        </w:rPr>
      </w:pPr>
    </w:p>
    <w:p w14:paraId="0AC9C193" w14:textId="447720E6" w:rsidR="00217D6C" w:rsidRDefault="00FF72F4" w:rsidP="00217D6C">
      <w:pPr>
        <w:spacing w:line="240" w:lineRule="auto"/>
        <w:rPr>
          <w:sz w:val="24"/>
          <w:szCs w:val="24"/>
        </w:rPr>
      </w:pPr>
      <w:r>
        <w:rPr>
          <w:sz w:val="24"/>
          <w:szCs w:val="24"/>
        </w:rPr>
        <w:t>Section 108</w:t>
      </w:r>
      <w:r w:rsidR="00217D6C">
        <w:rPr>
          <w:sz w:val="24"/>
          <w:szCs w:val="24"/>
        </w:rPr>
        <w:t xml:space="preserve"> provides that t</w:t>
      </w:r>
      <w:r w:rsidR="00217D6C" w:rsidRPr="00217D6C">
        <w:rPr>
          <w:sz w:val="24"/>
          <w:szCs w:val="24"/>
        </w:rPr>
        <w:t>he maximum transfer percentage for FTA butter and for FTA cheddar cheese for export to the United States of America is 50 per cent.</w:t>
      </w:r>
    </w:p>
    <w:p w14:paraId="35D05995" w14:textId="77777777" w:rsidR="00217D6C" w:rsidRDefault="00217D6C" w:rsidP="00217D6C">
      <w:pPr>
        <w:spacing w:line="240" w:lineRule="auto"/>
        <w:rPr>
          <w:sz w:val="24"/>
          <w:szCs w:val="24"/>
        </w:rPr>
      </w:pPr>
    </w:p>
    <w:p w14:paraId="075D37C8" w14:textId="2935F60A" w:rsidR="00007B04" w:rsidRDefault="00007B04" w:rsidP="00007B04">
      <w:pPr>
        <w:spacing w:line="240" w:lineRule="auto"/>
        <w:rPr>
          <w:sz w:val="24"/>
          <w:szCs w:val="24"/>
          <w:u w:val="single"/>
        </w:rPr>
      </w:pPr>
      <w:r>
        <w:rPr>
          <w:sz w:val="24"/>
          <w:szCs w:val="24"/>
          <w:u w:val="single"/>
        </w:rPr>
        <w:t xml:space="preserve">Section </w:t>
      </w:r>
      <w:r w:rsidR="00FF72F4">
        <w:rPr>
          <w:sz w:val="24"/>
          <w:szCs w:val="24"/>
          <w:u w:val="single"/>
        </w:rPr>
        <w:t>109</w:t>
      </w:r>
      <w:r w:rsidRPr="00217D6C">
        <w:rPr>
          <w:sz w:val="24"/>
          <w:szCs w:val="24"/>
          <w:u w:val="single"/>
        </w:rPr>
        <w:t xml:space="preserve"> </w:t>
      </w:r>
      <w:r>
        <w:rPr>
          <w:sz w:val="24"/>
          <w:szCs w:val="24"/>
          <w:u w:val="single"/>
        </w:rPr>
        <w:t>-</w:t>
      </w:r>
      <w:r w:rsidRPr="00217D6C">
        <w:rPr>
          <w:sz w:val="24"/>
          <w:szCs w:val="24"/>
          <w:u w:val="single"/>
        </w:rPr>
        <w:t xml:space="preserve"> </w:t>
      </w:r>
      <w:r>
        <w:rPr>
          <w:sz w:val="24"/>
          <w:szCs w:val="24"/>
          <w:u w:val="single"/>
        </w:rPr>
        <w:t>New entrant amounts</w:t>
      </w:r>
    </w:p>
    <w:p w14:paraId="253A85F5" w14:textId="77777777" w:rsidR="00007B04" w:rsidRDefault="00007B04" w:rsidP="00007B04">
      <w:pPr>
        <w:spacing w:line="240" w:lineRule="auto"/>
        <w:rPr>
          <w:sz w:val="24"/>
          <w:szCs w:val="24"/>
          <w:u w:val="single"/>
        </w:rPr>
      </w:pPr>
    </w:p>
    <w:p w14:paraId="40AFF15D" w14:textId="162CB959" w:rsidR="00F241E5" w:rsidRDefault="00F241E5" w:rsidP="004C09F5">
      <w:pPr>
        <w:spacing w:line="240" w:lineRule="auto"/>
        <w:rPr>
          <w:sz w:val="24"/>
          <w:szCs w:val="24"/>
        </w:rPr>
      </w:pPr>
      <w:r w:rsidRPr="004C09F5">
        <w:rPr>
          <w:sz w:val="24"/>
          <w:szCs w:val="24"/>
        </w:rPr>
        <w:t xml:space="preserve">Subsection </w:t>
      </w:r>
      <w:r w:rsidR="00FF72F4">
        <w:rPr>
          <w:sz w:val="24"/>
          <w:szCs w:val="24"/>
        </w:rPr>
        <w:t>109</w:t>
      </w:r>
      <w:r w:rsidRPr="004C09F5">
        <w:rPr>
          <w:sz w:val="24"/>
          <w:szCs w:val="24"/>
        </w:rPr>
        <w:t xml:space="preserve">(1) provides that </w:t>
      </w:r>
      <w:r>
        <w:rPr>
          <w:sz w:val="24"/>
          <w:szCs w:val="24"/>
        </w:rPr>
        <w:t>the new entrant access amount for FTA butter and for FTA cheddar cheese for export to the United States of America in</w:t>
      </w:r>
      <w:r w:rsidR="00E17A25">
        <w:rPr>
          <w:sz w:val="24"/>
          <w:szCs w:val="24"/>
        </w:rPr>
        <w:t xml:space="preserve"> relation to a quota year is 80 </w:t>
      </w:r>
      <w:r>
        <w:rPr>
          <w:sz w:val="24"/>
          <w:szCs w:val="24"/>
        </w:rPr>
        <w:t>tonnes.</w:t>
      </w:r>
    </w:p>
    <w:p w14:paraId="32C4BF8A" w14:textId="77777777" w:rsidR="00447E6B" w:rsidRDefault="00447E6B" w:rsidP="004C09F5">
      <w:pPr>
        <w:spacing w:line="240" w:lineRule="auto"/>
      </w:pPr>
    </w:p>
    <w:p w14:paraId="03FF3CB7" w14:textId="4CCF4B65" w:rsidR="00F241E5" w:rsidRPr="004C09F5" w:rsidRDefault="00F241E5" w:rsidP="004C09F5">
      <w:pPr>
        <w:spacing w:line="240" w:lineRule="auto"/>
        <w:rPr>
          <w:sz w:val="24"/>
          <w:szCs w:val="24"/>
        </w:rPr>
      </w:pPr>
      <w:r w:rsidRPr="004C09F5">
        <w:rPr>
          <w:sz w:val="24"/>
          <w:szCs w:val="24"/>
        </w:rPr>
        <w:t xml:space="preserve">Subsection </w:t>
      </w:r>
      <w:r w:rsidR="00FF72F4">
        <w:rPr>
          <w:sz w:val="24"/>
          <w:szCs w:val="24"/>
        </w:rPr>
        <w:t>109</w:t>
      </w:r>
      <w:r w:rsidRPr="004C09F5">
        <w:rPr>
          <w:sz w:val="24"/>
          <w:szCs w:val="24"/>
        </w:rPr>
        <w:t>(</w:t>
      </w:r>
      <w:r w:rsidR="00FE4CE8">
        <w:rPr>
          <w:sz w:val="24"/>
          <w:szCs w:val="24"/>
        </w:rPr>
        <w:t>2</w:t>
      </w:r>
      <w:r w:rsidRPr="004C09F5">
        <w:rPr>
          <w:sz w:val="24"/>
          <w:szCs w:val="24"/>
        </w:rPr>
        <w:t xml:space="preserve">) provides that the new entrant access cap for FTA butter and for FTA cheddar cheese for export to the United States of America </w:t>
      </w:r>
      <w:r w:rsidR="00267EA6">
        <w:rPr>
          <w:sz w:val="24"/>
          <w:szCs w:val="24"/>
        </w:rPr>
        <w:t xml:space="preserve">in relation to </w:t>
      </w:r>
      <w:r w:rsidR="00E17A25">
        <w:rPr>
          <w:sz w:val="24"/>
          <w:szCs w:val="24"/>
        </w:rPr>
        <w:t>a quota year is 40 </w:t>
      </w:r>
      <w:r w:rsidRPr="004C09F5">
        <w:rPr>
          <w:sz w:val="24"/>
          <w:szCs w:val="24"/>
        </w:rPr>
        <w:t>tonnes.</w:t>
      </w:r>
    </w:p>
    <w:p w14:paraId="5131D3E8" w14:textId="77777777" w:rsidR="00007B04" w:rsidRDefault="00007B04" w:rsidP="00007B04">
      <w:pPr>
        <w:spacing w:line="240" w:lineRule="auto"/>
        <w:rPr>
          <w:sz w:val="24"/>
          <w:szCs w:val="24"/>
          <w:u w:val="single"/>
        </w:rPr>
      </w:pPr>
    </w:p>
    <w:p w14:paraId="7F9B4531" w14:textId="1211FD49" w:rsidR="00007B04" w:rsidRDefault="00007B04" w:rsidP="00007B04">
      <w:pPr>
        <w:spacing w:line="240" w:lineRule="auto"/>
        <w:rPr>
          <w:b/>
          <w:sz w:val="24"/>
          <w:szCs w:val="24"/>
        </w:rPr>
      </w:pPr>
      <w:r>
        <w:rPr>
          <w:b/>
          <w:sz w:val="24"/>
          <w:szCs w:val="24"/>
        </w:rPr>
        <w:t>Division 3 - US WTO dairy goods</w:t>
      </w:r>
    </w:p>
    <w:p w14:paraId="442D1F2E" w14:textId="77777777" w:rsidR="00007B04" w:rsidRDefault="00007B04" w:rsidP="00007B04">
      <w:pPr>
        <w:spacing w:line="240" w:lineRule="auto"/>
        <w:rPr>
          <w:b/>
          <w:sz w:val="24"/>
          <w:szCs w:val="24"/>
        </w:rPr>
      </w:pPr>
    </w:p>
    <w:p w14:paraId="61283278" w14:textId="478C4725" w:rsidR="00007B04" w:rsidRPr="00007B04" w:rsidRDefault="00007B04" w:rsidP="00007B04">
      <w:pPr>
        <w:spacing w:line="240" w:lineRule="auto"/>
        <w:rPr>
          <w:sz w:val="24"/>
          <w:szCs w:val="24"/>
          <w:u w:val="single"/>
        </w:rPr>
      </w:pPr>
      <w:bookmarkStart w:id="107" w:name="_Toc22827033"/>
      <w:r>
        <w:rPr>
          <w:sz w:val="24"/>
          <w:szCs w:val="24"/>
          <w:u w:val="single"/>
        </w:rPr>
        <w:t xml:space="preserve">Section </w:t>
      </w:r>
      <w:r w:rsidR="00FF72F4">
        <w:rPr>
          <w:sz w:val="24"/>
          <w:szCs w:val="24"/>
          <w:u w:val="single"/>
        </w:rPr>
        <w:t>110</w:t>
      </w:r>
      <w:r w:rsidRPr="00007B04">
        <w:rPr>
          <w:sz w:val="24"/>
          <w:szCs w:val="24"/>
          <w:u w:val="single"/>
        </w:rPr>
        <w:t xml:space="preserve"> </w:t>
      </w:r>
      <w:r>
        <w:rPr>
          <w:sz w:val="24"/>
          <w:szCs w:val="24"/>
          <w:u w:val="single"/>
        </w:rPr>
        <w:t>-</w:t>
      </w:r>
      <w:r w:rsidRPr="00007B04">
        <w:rPr>
          <w:sz w:val="24"/>
          <w:szCs w:val="24"/>
          <w:u w:val="single"/>
        </w:rPr>
        <w:t xml:space="preserve"> US WTO dairy goods</w:t>
      </w:r>
      <w:bookmarkEnd w:id="107"/>
    </w:p>
    <w:p w14:paraId="5E2504C0" w14:textId="12BED622" w:rsidR="00007B04" w:rsidRPr="00B140F3" w:rsidRDefault="00007B04" w:rsidP="00007B04">
      <w:pPr>
        <w:pStyle w:val="subsection"/>
      </w:pPr>
      <w:r w:rsidRPr="00F93A3D">
        <w:rPr>
          <w:i/>
        </w:rPr>
        <w:tab/>
      </w:r>
      <w:r w:rsidRPr="00B140F3">
        <w:t>Goods referred to in column 2 of an item in the following</w:t>
      </w:r>
      <w:bookmarkStart w:id="108" w:name="BK_S3P59L3C60"/>
      <w:bookmarkStart w:id="109" w:name="BK_S3P56L3C60"/>
      <w:bookmarkStart w:id="110" w:name="BK_S3P52L3C60"/>
      <w:bookmarkStart w:id="111" w:name="BK_S3P54L3C60"/>
      <w:bookmarkEnd w:id="108"/>
      <w:bookmarkEnd w:id="109"/>
      <w:bookmarkEnd w:id="110"/>
      <w:bookmarkEnd w:id="111"/>
      <w:r w:rsidRPr="00B140F3">
        <w:t xml:space="preserve"> table:</w:t>
      </w:r>
    </w:p>
    <w:p w14:paraId="4D342DD0" w14:textId="79E3FF5E" w:rsidR="00007B04" w:rsidRPr="00B140F3" w:rsidRDefault="00007B04" w:rsidP="00D868E2">
      <w:pPr>
        <w:pStyle w:val="paragraph"/>
        <w:numPr>
          <w:ilvl w:val="0"/>
          <w:numId w:val="20"/>
        </w:numPr>
      </w:pPr>
      <w:r w:rsidRPr="00B140F3">
        <w:rPr>
          <w:sz w:val="24"/>
        </w:rPr>
        <w:t>are</w:t>
      </w:r>
      <w:r w:rsidRPr="00B140F3">
        <w:rPr>
          <w:i/>
          <w:sz w:val="24"/>
        </w:rPr>
        <w:t xml:space="preserve"> US WTO dairy goods</w:t>
      </w:r>
      <w:r w:rsidRPr="00B140F3">
        <w:t>; and</w:t>
      </w:r>
    </w:p>
    <w:p w14:paraId="65CE6C43" w14:textId="2F93BCAB" w:rsidR="00007B04" w:rsidRPr="00B140F3" w:rsidRDefault="00007B04" w:rsidP="00D868E2">
      <w:pPr>
        <w:pStyle w:val="paragraph"/>
        <w:numPr>
          <w:ilvl w:val="0"/>
          <w:numId w:val="20"/>
        </w:numPr>
      </w:pPr>
      <w:proofErr w:type="gramStart"/>
      <w:r w:rsidRPr="00B140F3">
        <w:lastRenderedPageBreak/>
        <w:t>are</w:t>
      </w:r>
      <w:proofErr w:type="gramEnd"/>
      <w:r w:rsidRPr="00B140F3">
        <w:t xml:space="preserve"> of the kind of US WTO dairy goods referred to in column 1 of that item.</w:t>
      </w:r>
    </w:p>
    <w:p w14:paraId="3B1C2F2A" w14:textId="77777777" w:rsidR="00007B04" w:rsidRPr="00F93A3D" w:rsidRDefault="00007B04" w:rsidP="00007B04">
      <w:pPr>
        <w:pStyle w:val="Tabletext0"/>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3828"/>
        <w:gridCol w:w="1654"/>
        <w:gridCol w:w="47"/>
      </w:tblGrid>
      <w:tr w:rsidR="00007B04" w:rsidRPr="00F93A3D" w14:paraId="12008120" w14:textId="77777777" w:rsidTr="00A36177">
        <w:trPr>
          <w:gridAfter w:val="1"/>
          <w:wAfter w:w="47" w:type="dxa"/>
          <w:tblHeader/>
        </w:trPr>
        <w:tc>
          <w:tcPr>
            <w:tcW w:w="8312" w:type="dxa"/>
            <w:gridSpan w:val="4"/>
            <w:tcBorders>
              <w:top w:val="single" w:sz="12" w:space="0" w:color="auto"/>
              <w:bottom w:val="single" w:sz="6" w:space="0" w:color="auto"/>
            </w:tcBorders>
            <w:shd w:val="clear" w:color="auto" w:fill="auto"/>
          </w:tcPr>
          <w:p w14:paraId="434A3C85" w14:textId="77777777" w:rsidR="00007B04" w:rsidRPr="00F93A3D" w:rsidRDefault="00007B04" w:rsidP="00A36177">
            <w:pPr>
              <w:pStyle w:val="TableHeading0"/>
            </w:pPr>
            <w:r w:rsidRPr="00F93A3D">
              <w:t>US WTO dairy goods</w:t>
            </w:r>
          </w:p>
        </w:tc>
      </w:tr>
      <w:tr w:rsidR="00007B04" w:rsidRPr="00F93A3D" w14:paraId="6B2890CD" w14:textId="77777777" w:rsidTr="00A36177">
        <w:trPr>
          <w:tblHeader/>
        </w:trPr>
        <w:tc>
          <w:tcPr>
            <w:tcW w:w="714" w:type="dxa"/>
            <w:tcBorders>
              <w:top w:val="single" w:sz="6" w:space="0" w:color="auto"/>
              <w:bottom w:val="single" w:sz="6" w:space="0" w:color="auto"/>
            </w:tcBorders>
            <w:shd w:val="clear" w:color="auto" w:fill="auto"/>
          </w:tcPr>
          <w:p w14:paraId="3866750D" w14:textId="77777777" w:rsidR="00007B04" w:rsidRPr="00F93A3D" w:rsidRDefault="00007B04" w:rsidP="00A36177">
            <w:pPr>
              <w:pStyle w:val="TableHeading0"/>
            </w:pPr>
            <w:r w:rsidRPr="00F93A3D">
              <w:t>Item</w:t>
            </w:r>
          </w:p>
        </w:tc>
        <w:tc>
          <w:tcPr>
            <w:tcW w:w="2116" w:type="dxa"/>
            <w:tcBorders>
              <w:top w:val="single" w:sz="6" w:space="0" w:color="auto"/>
              <w:bottom w:val="single" w:sz="6" w:space="0" w:color="auto"/>
            </w:tcBorders>
            <w:shd w:val="clear" w:color="auto" w:fill="auto"/>
          </w:tcPr>
          <w:p w14:paraId="4DA5580D" w14:textId="77777777" w:rsidR="00007B04" w:rsidRPr="00F93A3D" w:rsidRDefault="00007B04" w:rsidP="00A36177">
            <w:pPr>
              <w:pStyle w:val="TableHeading0"/>
            </w:pPr>
            <w:r w:rsidRPr="00F93A3D">
              <w:t>Column 1</w:t>
            </w:r>
          </w:p>
          <w:p w14:paraId="5B2FCCE1" w14:textId="77777777" w:rsidR="00007B04" w:rsidRPr="00F93A3D" w:rsidRDefault="00007B04" w:rsidP="00A36177">
            <w:pPr>
              <w:pStyle w:val="TableHeading0"/>
            </w:pPr>
            <w:r w:rsidRPr="00F93A3D">
              <w:t>Kind of US WTO dairy goods</w:t>
            </w:r>
          </w:p>
        </w:tc>
        <w:tc>
          <w:tcPr>
            <w:tcW w:w="3828" w:type="dxa"/>
            <w:tcBorders>
              <w:top w:val="single" w:sz="6" w:space="0" w:color="auto"/>
              <w:bottom w:val="single" w:sz="6" w:space="0" w:color="auto"/>
            </w:tcBorders>
            <w:shd w:val="clear" w:color="auto" w:fill="auto"/>
          </w:tcPr>
          <w:p w14:paraId="53D3ABA1" w14:textId="77777777" w:rsidR="00007B04" w:rsidRPr="00F93A3D" w:rsidRDefault="00007B04" w:rsidP="00A36177">
            <w:pPr>
              <w:pStyle w:val="TableHeading0"/>
            </w:pPr>
            <w:r w:rsidRPr="00F93A3D">
              <w:t>Column 2</w:t>
            </w:r>
          </w:p>
          <w:p w14:paraId="7A6C1BCC" w14:textId="77777777" w:rsidR="00007B04" w:rsidRPr="00F93A3D" w:rsidRDefault="00007B04" w:rsidP="00A36177">
            <w:pPr>
              <w:pStyle w:val="TableHeading0"/>
            </w:pPr>
            <w:r w:rsidRPr="00F93A3D">
              <w:t>Goods</w:t>
            </w:r>
          </w:p>
        </w:tc>
        <w:tc>
          <w:tcPr>
            <w:tcW w:w="1701" w:type="dxa"/>
            <w:gridSpan w:val="2"/>
            <w:tcBorders>
              <w:top w:val="single" w:sz="6" w:space="0" w:color="auto"/>
              <w:bottom w:val="single" w:sz="6" w:space="0" w:color="auto"/>
            </w:tcBorders>
            <w:shd w:val="clear" w:color="auto" w:fill="auto"/>
          </w:tcPr>
          <w:p w14:paraId="207358EC" w14:textId="77777777" w:rsidR="00007B04" w:rsidRPr="00F93A3D" w:rsidRDefault="00007B04" w:rsidP="00A36177">
            <w:pPr>
              <w:pStyle w:val="TableHeading0"/>
            </w:pPr>
            <w:r w:rsidRPr="00F93A3D">
              <w:t>Column 3</w:t>
            </w:r>
          </w:p>
          <w:p w14:paraId="04271A4C" w14:textId="77777777" w:rsidR="00007B04" w:rsidRPr="00F93A3D" w:rsidRDefault="00007B04" w:rsidP="00A36177">
            <w:pPr>
              <w:pStyle w:val="TableHeading0"/>
            </w:pPr>
            <w:r w:rsidRPr="00F93A3D">
              <w:t>Annual access amount (kg)</w:t>
            </w:r>
          </w:p>
        </w:tc>
      </w:tr>
      <w:tr w:rsidR="00007B04" w:rsidRPr="00F93A3D" w14:paraId="249B10CC" w14:textId="77777777" w:rsidTr="00A36177">
        <w:trPr>
          <w:gridAfter w:val="1"/>
          <w:wAfter w:w="47" w:type="dxa"/>
        </w:trPr>
        <w:tc>
          <w:tcPr>
            <w:tcW w:w="714" w:type="dxa"/>
            <w:tcBorders>
              <w:top w:val="single" w:sz="12" w:space="0" w:color="auto"/>
            </w:tcBorders>
            <w:shd w:val="clear" w:color="auto" w:fill="auto"/>
          </w:tcPr>
          <w:p w14:paraId="0E47F559" w14:textId="77777777" w:rsidR="00007B04" w:rsidRPr="00F93A3D" w:rsidRDefault="00007B04" w:rsidP="00A36177">
            <w:pPr>
              <w:pStyle w:val="Tabletext0"/>
            </w:pPr>
            <w:r w:rsidRPr="00F93A3D">
              <w:t>1</w:t>
            </w:r>
          </w:p>
        </w:tc>
        <w:tc>
          <w:tcPr>
            <w:tcW w:w="2116" w:type="dxa"/>
            <w:tcBorders>
              <w:top w:val="single" w:sz="12" w:space="0" w:color="auto"/>
            </w:tcBorders>
            <w:shd w:val="clear" w:color="auto" w:fill="auto"/>
          </w:tcPr>
          <w:p w14:paraId="799C07F5" w14:textId="77777777" w:rsidR="00007B04" w:rsidRPr="00F93A3D" w:rsidRDefault="00007B04" w:rsidP="00A36177">
            <w:pPr>
              <w:pStyle w:val="Tabletext0"/>
            </w:pPr>
            <w:r w:rsidRPr="00F93A3D">
              <w:t>American</w:t>
            </w:r>
            <w:r>
              <w:noBreakHyphen/>
            </w:r>
            <w:r w:rsidRPr="00F93A3D">
              <w:t>type cheese</w:t>
            </w:r>
          </w:p>
        </w:tc>
        <w:tc>
          <w:tcPr>
            <w:tcW w:w="3828" w:type="dxa"/>
            <w:tcBorders>
              <w:top w:val="single" w:sz="12" w:space="0" w:color="auto"/>
            </w:tcBorders>
            <w:shd w:val="clear" w:color="auto" w:fill="auto"/>
          </w:tcPr>
          <w:p w14:paraId="71EA3DC8" w14:textId="77777777" w:rsidR="00007B04" w:rsidRPr="00F93A3D" w:rsidRDefault="00007B04" w:rsidP="00A36177">
            <w:pPr>
              <w:pStyle w:val="Tabletext0"/>
            </w:pPr>
            <w:r w:rsidRPr="00F93A3D">
              <w:t>Goods mentioned in additional U.S. note 19, being any of the following goods that will enter the United States of America under subheading 0406.10.34, 0406.20.36, 0406.20.69, 0406.30.34, 0406.30.69, 0406.90.52 or 0406.90.82 of the US Harmonized Tariff Code:</w:t>
            </w:r>
          </w:p>
          <w:p w14:paraId="4251248E" w14:textId="77777777" w:rsidR="00007B04" w:rsidRPr="00F93A3D" w:rsidRDefault="00007B04" w:rsidP="00A36177">
            <w:pPr>
              <w:pStyle w:val="Tablea"/>
            </w:pPr>
            <w:r w:rsidRPr="00F93A3D">
              <w:t>(a) American</w:t>
            </w:r>
            <w:r>
              <w:noBreakHyphen/>
            </w:r>
            <w:r w:rsidRPr="00F93A3D">
              <w:t>type cheese, including Colby, washed curd and granular cheese but not cheddar cheese;</w:t>
            </w:r>
          </w:p>
          <w:p w14:paraId="3DF44203" w14:textId="77777777" w:rsidR="00007B04" w:rsidRPr="00F93A3D" w:rsidRDefault="00007B04" w:rsidP="00A36177">
            <w:pPr>
              <w:pStyle w:val="Tablea"/>
            </w:pPr>
            <w:r w:rsidRPr="00F93A3D">
              <w:t>(b) cheese;</w:t>
            </w:r>
          </w:p>
          <w:p w14:paraId="5E95528B" w14:textId="77777777" w:rsidR="00007B04" w:rsidRPr="00F93A3D" w:rsidRDefault="00007B04" w:rsidP="00A36177">
            <w:pPr>
              <w:pStyle w:val="Tablea"/>
            </w:pPr>
            <w:r w:rsidRPr="00F93A3D">
              <w:t>(c) substitutes for cheese that contain, or are processed from, American</w:t>
            </w:r>
            <w:r>
              <w:noBreakHyphen/>
            </w:r>
            <w:r w:rsidRPr="00F93A3D">
              <w:t>type cheese mentioned in paragraph (a)</w:t>
            </w:r>
          </w:p>
        </w:tc>
        <w:tc>
          <w:tcPr>
            <w:tcW w:w="1654" w:type="dxa"/>
            <w:tcBorders>
              <w:top w:val="single" w:sz="12" w:space="0" w:color="auto"/>
            </w:tcBorders>
            <w:shd w:val="clear" w:color="auto" w:fill="auto"/>
          </w:tcPr>
          <w:p w14:paraId="218C7617" w14:textId="77777777" w:rsidR="00007B04" w:rsidRPr="00F93A3D" w:rsidRDefault="00007B04" w:rsidP="00A36177">
            <w:pPr>
              <w:pStyle w:val="Tablea"/>
            </w:pPr>
            <w:r w:rsidRPr="00F93A3D">
              <w:t>119,002</w:t>
            </w:r>
          </w:p>
        </w:tc>
      </w:tr>
      <w:tr w:rsidR="00007B04" w:rsidRPr="00F93A3D" w14:paraId="6664B637" w14:textId="77777777" w:rsidTr="00A36177">
        <w:trPr>
          <w:gridAfter w:val="1"/>
          <w:wAfter w:w="47" w:type="dxa"/>
        </w:trPr>
        <w:tc>
          <w:tcPr>
            <w:tcW w:w="714" w:type="dxa"/>
            <w:shd w:val="clear" w:color="auto" w:fill="auto"/>
          </w:tcPr>
          <w:p w14:paraId="6BE01DAD" w14:textId="77777777" w:rsidR="00007B04" w:rsidRPr="00F93A3D" w:rsidRDefault="00007B04" w:rsidP="00A36177">
            <w:pPr>
              <w:pStyle w:val="Tabletext0"/>
            </w:pPr>
            <w:r w:rsidRPr="00F93A3D">
              <w:t>2</w:t>
            </w:r>
          </w:p>
        </w:tc>
        <w:tc>
          <w:tcPr>
            <w:tcW w:w="2116" w:type="dxa"/>
            <w:shd w:val="clear" w:color="auto" w:fill="auto"/>
          </w:tcPr>
          <w:p w14:paraId="0FDF5F33" w14:textId="77777777" w:rsidR="00007B04" w:rsidRPr="00F93A3D" w:rsidRDefault="00007B04" w:rsidP="00A36177">
            <w:pPr>
              <w:pStyle w:val="Tabletext0"/>
            </w:pPr>
            <w:r w:rsidRPr="00F93A3D">
              <w:t>Cheddar cheese</w:t>
            </w:r>
          </w:p>
        </w:tc>
        <w:tc>
          <w:tcPr>
            <w:tcW w:w="3828" w:type="dxa"/>
            <w:shd w:val="clear" w:color="auto" w:fill="auto"/>
          </w:tcPr>
          <w:p w14:paraId="0753E9FE" w14:textId="77777777" w:rsidR="00007B04" w:rsidRPr="00F93A3D" w:rsidRDefault="00007B04" w:rsidP="00A36177">
            <w:pPr>
              <w:pStyle w:val="Tabletext0"/>
            </w:pPr>
            <w:r w:rsidRPr="00F93A3D">
              <w:t>Goods mentioned in additional U.S. note 18, being any of the following goods that will enter the United States of America under subheading 0406.10.24, 0406.20.31, 0406.20.65, 0406.30.24, 0406.30.65, 0406.90.08 or 0406.90.76 of the US Harmonized Tariff Code:</w:t>
            </w:r>
          </w:p>
          <w:p w14:paraId="39446D2C" w14:textId="77777777" w:rsidR="00007B04" w:rsidRPr="00F93A3D" w:rsidRDefault="00007B04" w:rsidP="00A36177">
            <w:pPr>
              <w:pStyle w:val="Tablea"/>
            </w:pPr>
            <w:r w:rsidRPr="00F93A3D">
              <w:t>(a) cheddar cheese;</w:t>
            </w:r>
          </w:p>
          <w:p w14:paraId="111CF7CB" w14:textId="77777777" w:rsidR="00007B04" w:rsidRPr="00F93A3D" w:rsidRDefault="00007B04" w:rsidP="00A36177">
            <w:pPr>
              <w:pStyle w:val="Tablea"/>
            </w:pPr>
            <w:r w:rsidRPr="00F93A3D">
              <w:t>(b) cheese;</w:t>
            </w:r>
          </w:p>
          <w:p w14:paraId="1F5AF32D" w14:textId="77777777" w:rsidR="00007B04" w:rsidRPr="00F93A3D" w:rsidRDefault="00007B04" w:rsidP="00A36177">
            <w:pPr>
              <w:pStyle w:val="Tablea"/>
            </w:pPr>
            <w:r w:rsidRPr="00F93A3D">
              <w:t>(c) substitutes for cheese that contain, or are processed from, cheddar cheese</w:t>
            </w:r>
          </w:p>
        </w:tc>
        <w:tc>
          <w:tcPr>
            <w:tcW w:w="1654" w:type="dxa"/>
            <w:shd w:val="clear" w:color="auto" w:fill="auto"/>
          </w:tcPr>
          <w:p w14:paraId="7F2FC34F" w14:textId="77777777" w:rsidR="00007B04" w:rsidRPr="00F93A3D" w:rsidRDefault="00007B04" w:rsidP="00A36177">
            <w:pPr>
              <w:pStyle w:val="Tablea"/>
            </w:pPr>
            <w:r w:rsidRPr="00F93A3D">
              <w:t>1,465,501</w:t>
            </w:r>
          </w:p>
        </w:tc>
      </w:tr>
      <w:tr w:rsidR="00007B04" w:rsidRPr="00F93A3D" w14:paraId="498EA1DF" w14:textId="77777777" w:rsidTr="00A36177">
        <w:trPr>
          <w:gridAfter w:val="1"/>
          <w:wAfter w:w="47" w:type="dxa"/>
        </w:trPr>
        <w:tc>
          <w:tcPr>
            <w:tcW w:w="714" w:type="dxa"/>
            <w:tcBorders>
              <w:bottom w:val="single" w:sz="2" w:space="0" w:color="auto"/>
            </w:tcBorders>
            <w:shd w:val="clear" w:color="auto" w:fill="auto"/>
          </w:tcPr>
          <w:p w14:paraId="40AF5A63" w14:textId="77777777" w:rsidR="00007B04" w:rsidRPr="00F93A3D" w:rsidRDefault="00007B04" w:rsidP="00A36177">
            <w:pPr>
              <w:pStyle w:val="Tabletext0"/>
            </w:pPr>
            <w:r w:rsidRPr="00F93A3D">
              <w:t>3</w:t>
            </w:r>
          </w:p>
        </w:tc>
        <w:tc>
          <w:tcPr>
            <w:tcW w:w="2116" w:type="dxa"/>
            <w:tcBorders>
              <w:bottom w:val="single" w:sz="2" w:space="0" w:color="auto"/>
            </w:tcBorders>
            <w:shd w:val="clear" w:color="auto" w:fill="auto"/>
          </w:tcPr>
          <w:p w14:paraId="222B4BDA" w14:textId="77777777" w:rsidR="00007B04" w:rsidRPr="00F93A3D" w:rsidRDefault="00007B04" w:rsidP="00A36177">
            <w:pPr>
              <w:pStyle w:val="Tabletext0"/>
            </w:pPr>
            <w:r w:rsidRPr="00F93A3D">
              <w:t>Other unspecified cheese</w:t>
            </w:r>
          </w:p>
        </w:tc>
        <w:tc>
          <w:tcPr>
            <w:tcW w:w="3828" w:type="dxa"/>
            <w:tcBorders>
              <w:bottom w:val="single" w:sz="2" w:space="0" w:color="auto"/>
            </w:tcBorders>
            <w:shd w:val="clear" w:color="auto" w:fill="auto"/>
          </w:tcPr>
          <w:p w14:paraId="7209B366" w14:textId="77777777" w:rsidR="00007B04" w:rsidRPr="00F93A3D" w:rsidRDefault="00007B04" w:rsidP="00A36177">
            <w:pPr>
              <w:pStyle w:val="Tabletext0"/>
            </w:pPr>
            <w:r w:rsidRPr="00F93A3D">
              <w:t>Goods mentioned in additional U.S. note 16, being cheese, and substitutes for cheese, that:</w:t>
            </w:r>
          </w:p>
          <w:p w14:paraId="79343BA6" w14:textId="77777777" w:rsidR="00007B04" w:rsidRPr="00F93A3D" w:rsidRDefault="00007B04" w:rsidP="00A36177">
            <w:pPr>
              <w:pStyle w:val="Tablea"/>
            </w:pPr>
            <w:r w:rsidRPr="00F93A3D">
              <w:t>(a) will enter the United States of America under subheading 0406.10.04, 0406.10.84, 0406.20.89, 0406.30.89 or 0406.90.95 of the US Harmonized Tariff Code; and</w:t>
            </w:r>
          </w:p>
          <w:p w14:paraId="63E14936" w14:textId="77777777" w:rsidR="00007B04" w:rsidRPr="00F93A3D" w:rsidRDefault="00007B04" w:rsidP="00A36177">
            <w:pPr>
              <w:pStyle w:val="Tablea"/>
            </w:pPr>
            <w:r w:rsidRPr="00F93A3D">
              <w:t>(b) are not any of the following:</w:t>
            </w:r>
          </w:p>
          <w:p w14:paraId="54C28AD6" w14:textId="77777777" w:rsidR="00007B04" w:rsidRPr="00F93A3D" w:rsidRDefault="00007B04" w:rsidP="00A36177">
            <w:pPr>
              <w:pStyle w:val="Tablei"/>
            </w:pPr>
            <w:r w:rsidRPr="00F93A3D">
              <w:t>(</w:t>
            </w:r>
            <w:proofErr w:type="spellStart"/>
            <w:r w:rsidRPr="00F93A3D">
              <w:t>i</w:t>
            </w:r>
            <w:proofErr w:type="spellEnd"/>
            <w:r w:rsidRPr="00F93A3D">
              <w:t>) cheese not containing cow’s milk;</w:t>
            </w:r>
          </w:p>
          <w:p w14:paraId="46551500" w14:textId="77777777" w:rsidR="00007B04" w:rsidRPr="00F93A3D" w:rsidRDefault="00007B04" w:rsidP="00A36177">
            <w:pPr>
              <w:pStyle w:val="Tablei"/>
            </w:pPr>
            <w:r w:rsidRPr="00F93A3D">
              <w:t>(ii) soft ripened cow’s milk cheese;</w:t>
            </w:r>
          </w:p>
          <w:p w14:paraId="491371FF" w14:textId="77777777" w:rsidR="00007B04" w:rsidRPr="00F93A3D" w:rsidRDefault="00007B04" w:rsidP="00A36177">
            <w:pPr>
              <w:pStyle w:val="Tablei"/>
            </w:pPr>
            <w:r w:rsidRPr="00F93A3D">
              <w:t>(iii) cheese (other than cottage cheese) that contains 0.5% or less by weight of butterfat;</w:t>
            </w:r>
          </w:p>
          <w:p w14:paraId="0A092B0B" w14:textId="77777777" w:rsidR="00007B04" w:rsidRPr="00F93A3D" w:rsidRDefault="00007B04" w:rsidP="00A36177">
            <w:pPr>
              <w:pStyle w:val="Tablei"/>
            </w:pPr>
            <w:r w:rsidRPr="00F93A3D">
              <w:t>(iv) an article to which the United States of America applies a quantitative limitation under any of additional U.S. notes 17 to 25</w:t>
            </w:r>
          </w:p>
        </w:tc>
        <w:tc>
          <w:tcPr>
            <w:tcW w:w="1654" w:type="dxa"/>
            <w:tcBorders>
              <w:bottom w:val="single" w:sz="2" w:space="0" w:color="auto"/>
            </w:tcBorders>
            <w:shd w:val="clear" w:color="auto" w:fill="auto"/>
          </w:tcPr>
          <w:p w14:paraId="1CC4EB96" w14:textId="77777777" w:rsidR="00007B04" w:rsidRPr="00F93A3D" w:rsidRDefault="00007B04" w:rsidP="00A36177">
            <w:pPr>
              <w:pStyle w:val="Tabletext0"/>
            </w:pPr>
            <w:r w:rsidRPr="00F93A3D">
              <w:t>2,508,830</w:t>
            </w:r>
          </w:p>
        </w:tc>
      </w:tr>
      <w:tr w:rsidR="00007B04" w:rsidRPr="00F93A3D" w14:paraId="6237BB4B" w14:textId="77777777" w:rsidTr="00A36177">
        <w:trPr>
          <w:gridAfter w:val="1"/>
          <w:wAfter w:w="47" w:type="dxa"/>
        </w:trPr>
        <w:tc>
          <w:tcPr>
            <w:tcW w:w="714" w:type="dxa"/>
            <w:tcBorders>
              <w:top w:val="single" w:sz="2" w:space="0" w:color="auto"/>
              <w:bottom w:val="single" w:sz="12" w:space="0" w:color="auto"/>
            </w:tcBorders>
            <w:shd w:val="clear" w:color="auto" w:fill="auto"/>
          </w:tcPr>
          <w:p w14:paraId="7FE4D3AE" w14:textId="77777777" w:rsidR="00007B04" w:rsidRPr="00F93A3D" w:rsidRDefault="00007B04" w:rsidP="00A36177">
            <w:pPr>
              <w:pStyle w:val="Tabletext0"/>
            </w:pPr>
            <w:r w:rsidRPr="00F93A3D">
              <w:t>4</w:t>
            </w:r>
          </w:p>
        </w:tc>
        <w:tc>
          <w:tcPr>
            <w:tcW w:w="2116" w:type="dxa"/>
            <w:tcBorders>
              <w:top w:val="single" w:sz="2" w:space="0" w:color="auto"/>
              <w:bottom w:val="single" w:sz="12" w:space="0" w:color="auto"/>
            </w:tcBorders>
            <w:shd w:val="clear" w:color="auto" w:fill="auto"/>
          </w:tcPr>
          <w:p w14:paraId="0899BB17" w14:textId="77777777" w:rsidR="00007B04" w:rsidRPr="00F93A3D" w:rsidRDefault="00007B04" w:rsidP="00A36177">
            <w:pPr>
              <w:pStyle w:val="Tabletext0"/>
            </w:pPr>
            <w:r w:rsidRPr="00F93A3D">
              <w:t>Swiss and Emmentaler cheese</w:t>
            </w:r>
          </w:p>
        </w:tc>
        <w:tc>
          <w:tcPr>
            <w:tcW w:w="3828" w:type="dxa"/>
            <w:tcBorders>
              <w:top w:val="single" w:sz="2" w:space="0" w:color="auto"/>
              <w:bottom w:val="single" w:sz="12" w:space="0" w:color="auto"/>
            </w:tcBorders>
            <w:shd w:val="clear" w:color="auto" w:fill="auto"/>
          </w:tcPr>
          <w:p w14:paraId="0CAB2505" w14:textId="77777777" w:rsidR="00007B04" w:rsidRPr="00F93A3D" w:rsidRDefault="00007B04" w:rsidP="00A36177">
            <w:pPr>
              <w:pStyle w:val="Tabletext0"/>
            </w:pPr>
            <w:r w:rsidRPr="00F93A3D">
              <w:t>Goods mentioned in additional U.S. note 25, being Swiss and Emmentaler cheese that:</w:t>
            </w:r>
          </w:p>
          <w:p w14:paraId="1CB7E51E" w14:textId="77777777" w:rsidR="00007B04" w:rsidRPr="00F93A3D" w:rsidRDefault="00007B04" w:rsidP="00A36177">
            <w:pPr>
              <w:pStyle w:val="Tablea"/>
            </w:pPr>
            <w:r w:rsidRPr="00F93A3D">
              <w:t>(a) have eye formation; and</w:t>
            </w:r>
          </w:p>
          <w:p w14:paraId="55DD817F" w14:textId="77777777" w:rsidR="00007B04" w:rsidRPr="00F93A3D" w:rsidRDefault="00007B04" w:rsidP="00A36177">
            <w:pPr>
              <w:pStyle w:val="Tablea"/>
            </w:pPr>
            <w:r w:rsidRPr="00F93A3D">
              <w:lastRenderedPageBreak/>
              <w:t>(b) will enter the United States of America under subheading 0406.90.46 of the US Harmonized Tariff Code</w:t>
            </w:r>
          </w:p>
        </w:tc>
        <w:tc>
          <w:tcPr>
            <w:tcW w:w="1654" w:type="dxa"/>
            <w:tcBorders>
              <w:top w:val="single" w:sz="2" w:space="0" w:color="auto"/>
              <w:bottom w:val="single" w:sz="12" w:space="0" w:color="auto"/>
            </w:tcBorders>
            <w:shd w:val="clear" w:color="auto" w:fill="auto"/>
          </w:tcPr>
          <w:p w14:paraId="2DBDB78F" w14:textId="77777777" w:rsidR="00007B04" w:rsidRPr="00F93A3D" w:rsidRDefault="00007B04" w:rsidP="00A36177">
            <w:pPr>
              <w:pStyle w:val="Tablea"/>
            </w:pPr>
            <w:r w:rsidRPr="00F93A3D">
              <w:lastRenderedPageBreak/>
              <w:t>290,302</w:t>
            </w:r>
          </w:p>
        </w:tc>
      </w:tr>
    </w:tbl>
    <w:p w14:paraId="572E8E45" w14:textId="77777777" w:rsidR="00007B04" w:rsidRPr="00007B04" w:rsidRDefault="00007B04" w:rsidP="00007B04">
      <w:pPr>
        <w:spacing w:line="240" w:lineRule="auto"/>
        <w:rPr>
          <w:b/>
          <w:sz w:val="24"/>
          <w:szCs w:val="24"/>
        </w:rPr>
      </w:pPr>
    </w:p>
    <w:p w14:paraId="1509793B" w14:textId="77777777" w:rsidR="00217D6C" w:rsidRPr="00217D6C" w:rsidRDefault="00217D6C" w:rsidP="00217D6C">
      <w:pPr>
        <w:spacing w:line="240" w:lineRule="auto"/>
        <w:rPr>
          <w:sz w:val="24"/>
          <w:szCs w:val="24"/>
        </w:rPr>
      </w:pPr>
    </w:p>
    <w:p w14:paraId="558EA5A3" w14:textId="6A417468" w:rsidR="00CA4B61" w:rsidRPr="00CA4B61" w:rsidRDefault="00CA4B61" w:rsidP="00CA4B61">
      <w:pPr>
        <w:spacing w:line="240" w:lineRule="auto"/>
        <w:rPr>
          <w:sz w:val="24"/>
          <w:szCs w:val="24"/>
          <w:u w:val="single"/>
        </w:rPr>
      </w:pPr>
      <w:bookmarkStart w:id="112" w:name="_Toc22827034"/>
      <w:r>
        <w:rPr>
          <w:sz w:val="24"/>
          <w:szCs w:val="24"/>
          <w:u w:val="single"/>
        </w:rPr>
        <w:t xml:space="preserve">Section </w:t>
      </w:r>
      <w:r w:rsidR="00FF72F4">
        <w:rPr>
          <w:sz w:val="24"/>
          <w:szCs w:val="24"/>
          <w:u w:val="single"/>
        </w:rPr>
        <w:t>111</w:t>
      </w:r>
      <w:r w:rsidRPr="00CA4B61">
        <w:rPr>
          <w:sz w:val="24"/>
          <w:szCs w:val="24"/>
          <w:u w:val="single"/>
        </w:rPr>
        <w:t xml:space="preserve"> </w:t>
      </w:r>
      <w:r>
        <w:rPr>
          <w:sz w:val="24"/>
          <w:szCs w:val="24"/>
          <w:u w:val="single"/>
        </w:rPr>
        <w:t>-</w:t>
      </w:r>
      <w:r w:rsidRPr="00CA4B61">
        <w:rPr>
          <w:sz w:val="24"/>
          <w:szCs w:val="24"/>
          <w:u w:val="single"/>
        </w:rPr>
        <w:t xml:space="preserve"> Quota year</w:t>
      </w:r>
      <w:bookmarkEnd w:id="112"/>
    </w:p>
    <w:p w14:paraId="6501E057" w14:textId="77777777" w:rsidR="00CA4B61" w:rsidRDefault="00CA4B61" w:rsidP="00CA4B61">
      <w:pPr>
        <w:spacing w:line="240" w:lineRule="auto"/>
        <w:rPr>
          <w:sz w:val="24"/>
          <w:szCs w:val="24"/>
        </w:rPr>
      </w:pPr>
    </w:p>
    <w:p w14:paraId="5C753B80" w14:textId="252468D0" w:rsidR="00CA4B61" w:rsidRPr="00CA4B61" w:rsidRDefault="00CA4B61" w:rsidP="00CA4B61">
      <w:pPr>
        <w:spacing w:line="240" w:lineRule="auto"/>
        <w:rPr>
          <w:sz w:val="24"/>
          <w:szCs w:val="24"/>
        </w:rPr>
      </w:pPr>
      <w:r>
        <w:rPr>
          <w:sz w:val="24"/>
          <w:szCs w:val="24"/>
        </w:rPr>
        <w:t>Section</w:t>
      </w:r>
      <w:r w:rsidR="00FF72F4">
        <w:rPr>
          <w:sz w:val="24"/>
          <w:szCs w:val="24"/>
        </w:rPr>
        <w:t xml:space="preserve"> 111</w:t>
      </w:r>
      <w:r>
        <w:rPr>
          <w:sz w:val="24"/>
          <w:szCs w:val="24"/>
        </w:rPr>
        <w:t xml:space="preserve"> provides that a</w:t>
      </w:r>
      <w:r w:rsidRPr="00CA4B61">
        <w:rPr>
          <w:sz w:val="24"/>
          <w:szCs w:val="24"/>
        </w:rPr>
        <w:t xml:space="preserve"> quota year for a kind of US WTO dairy goods for export to the United States of America is a period of 12 months beginning on 1 January.</w:t>
      </w:r>
    </w:p>
    <w:p w14:paraId="0D00D030" w14:textId="77777777" w:rsidR="00CA4B61" w:rsidRDefault="00CA4B61" w:rsidP="00CA4B61">
      <w:pPr>
        <w:spacing w:line="240" w:lineRule="auto"/>
        <w:rPr>
          <w:sz w:val="24"/>
          <w:szCs w:val="24"/>
          <w:u w:val="single"/>
        </w:rPr>
      </w:pPr>
      <w:bookmarkStart w:id="113" w:name="_Toc22827035"/>
    </w:p>
    <w:p w14:paraId="18787CD0" w14:textId="00D5AEFC" w:rsidR="00CA4B61" w:rsidRPr="00CA4B61" w:rsidRDefault="00CA4B61" w:rsidP="00CA4B61">
      <w:pPr>
        <w:spacing w:line="240" w:lineRule="auto"/>
        <w:rPr>
          <w:sz w:val="24"/>
          <w:szCs w:val="24"/>
          <w:u w:val="single"/>
        </w:rPr>
      </w:pPr>
      <w:r>
        <w:rPr>
          <w:sz w:val="24"/>
          <w:szCs w:val="24"/>
          <w:u w:val="single"/>
        </w:rPr>
        <w:t xml:space="preserve">Section </w:t>
      </w:r>
      <w:r w:rsidR="00FF72F4">
        <w:rPr>
          <w:sz w:val="24"/>
          <w:szCs w:val="24"/>
          <w:u w:val="single"/>
        </w:rPr>
        <w:t>112</w:t>
      </w:r>
      <w:r w:rsidRPr="00CA4B61">
        <w:rPr>
          <w:sz w:val="24"/>
          <w:szCs w:val="24"/>
          <w:u w:val="single"/>
        </w:rPr>
        <w:t xml:space="preserve"> </w:t>
      </w:r>
      <w:r>
        <w:rPr>
          <w:sz w:val="24"/>
          <w:szCs w:val="24"/>
          <w:u w:val="single"/>
        </w:rPr>
        <w:t>-</w:t>
      </w:r>
      <w:r w:rsidRPr="00CA4B61">
        <w:rPr>
          <w:sz w:val="24"/>
          <w:szCs w:val="24"/>
          <w:u w:val="single"/>
        </w:rPr>
        <w:t xml:space="preserve"> Method for issuing tariff rate quota certificates</w:t>
      </w:r>
      <w:bookmarkEnd w:id="113"/>
    </w:p>
    <w:p w14:paraId="203D8DFB" w14:textId="77777777" w:rsidR="00CA4B61" w:rsidRDefault="00CA4B61" w:rsidP="00CA4B61">
      <w:pPr>
        <w:spacing w:line="240" w:lineRule="auto"/>
        <w:rPr>
          <w:sz w:val="24"/>
          <w:szCs w:val="24"/>
        </w:rPr>
      </w:pPr>
    </w:p>
    <w:p w14:paraId="6158ECD6" w14:textId="362DB3A1" w:rsidR="00CA4B61" w:rsidRDefault="00FF72F4" w:rsidP="00CA4B61">
      <w:pPr>
        <w:spacing w:line="240" w:lineRule="auto"/>
        <w:rPr>
          <w:sz w:val="24"/>
          <w:szCs w:val="24"/>
        </w:rPr>
      </w:pPr>
      <w:r>
        <w:rPr>
          <w:sz w:val="24"/>
          <w:szCs w:val="24"/>
        </w:rPr>
        <w:t>Section 112</w:t>
      </w:r>
      <w:r w:rsidR="00CA4B61">
        <w:rPr>
          <w:sz w:val="24"/>
          <w:szCs w:val="24"/>
        </w:rPr>
        <w:t xml:space="preserve"> provides that t</w:t>
      </w:r>
      <w:r w:rsidR="00CA4B61" w:rsidRPr="00CA4B61">
        <w:rPr>
          <w:sz w:val="24"/>
          <w:szCs w:val="24"/>
        </w:rPr>
        <w:t>he first come</w:t>
      </w:r>
      <w:r w:rsidR="00CA4B61">
        <w:rPr>
          <w:sz w:val="24"/>
          <w:szCs w:val="24"/>
        </w:rPr>
        <w:t>,</w:t>
      </w:r>
      <w:r w:rsidR="00CA4B61" w:rsidRPr="00CA4B61">
        <w:rPr>
          <w:sz w:val="24"/>
          <w:szCs w:val="24"/>
        </w:rPr>
        <w:t xml:space="preserve"> first served method</w:t>
      </w:r>
      <w:r w:rsidR="008A6C63">
        <w:rPr>
          <w:sz w:val="24"/>
          <w:szCs w:val="24"/>
        </w:rPr>
        <w:t xml:space="preserve"> </w:t>
      </w:r>
      <w:r w:rsidR="00CA4B61" w:rsidRPr="00CA4B61">
        <w:rPr>
          <w:sz w:val="24"/>
          <w:szCs w:val="24"/>
        </w:rPr>
        <w:t>applies for the purposes of issuing tariff rate quota certificates in relation to consignments of a kind of US WTO dairy goods for export to the United States of America in a quota year beginning on or after 1 January.</w:t>
      </w:r>
      <w:r w:rsidR="00FE4CE8">
        <w:rPr>
          <w:sz w:val="24"/>
          <w:szCs w:val="24"/>
        </w:rPr>
        <w:t xml:space="preserve"> The note to this section provides that the first come, first served method is set out in Part 1 of Chapter 2.</w:t>
      </w:r>
    </w:p>
    <w:p w14:paraId="733F7895" w14:textId="77777777" w:rsidR="00CA4B61" w:rsidRDefault="00CA4B61" w:rsidP="00CA4B61">
      <w:pPr>
        <w:spacing w:line="240" w:lineRule="auto"/>
        <w:rPr>
          <w:sz w:val="24"/>
          <w:szCs w:val="24"/>
          <w:u w:val="single"/>
        </w:rPr>
      </w:pPr>
      <w:bookmarkStart w:id="114" w:name="_Toc22827036"/>
    </w:p>
    <w:p w14:paraId="4F3B671A" w14:textId="1250EAC7" w:rsidR="00CA4B61" w:rsidRPr="00CA4B61" w:rsidRDefault="00CA4B61" w:rsidP="00CA4B61">
      <w:pPr>
        <w:spacing w:line="240" w:lineRule="auto"/>
        <w:rPr>
          <w:sz w:val="24"/>
          <w:szCs w:val="24"/>
          <w:u w:val="single"/>
        </w:rPr>
      </w:pPr>
      <w:r>
        <w:rPr>
          <w:sz w:val="24"/>
          <w:szCs w:val="24"/>
          <w:u w:val="single"/>
        </w:rPr>
        <w:t xml:space="preserve">Section </w:t>
      </w:r>
      <w:r w:rsidR="00FF72F4">
        <w:rPr>
          <w:sz w:val="24"/>
          <w:szCs w:val="24"/>
          <w:u w:val="single"/>
        </w:rPr>
        <w:t>113</w:t>
      </w:r>
      <w:r w:rsidRPr="00CA4B61">
        <w:rPr>
          <w:sz w:val="24"/>
          <w:szCs w:val="24"/>
          <w:u w:val="single"/>
        </w:rPr>
        <w:t xml:space="preserve"> </w:t>
      </w:r>
      <w:r>
        <w:rPr>
          <w:sz w:val="24"/>
          <w:szCs w:val="24"/>
          <w:u w:val="single"/>
        </w:rPr>
        <w:t>-</w:t>
      </w:r>
      <w:r w:rsidRPr="00CA4B61">
        <w:rPr>
          <w:sz w:val="24"/>
          <w:szCs w:val="24"/>
          <w:u w:val="single"/>
        </w:rPr>
        <w:t xml:space="preserve"> Annual access amount</w:t>
      </w:r>
      <w:bookmarkEnd w:id="114"/>
    </w:p>
    <w:p w14:paraId="14085F52" w14:textId="77777777" w:rsidR="00CA4B61" w:rsidRDefault="00CA4B61" w:rsidP="00CA4B61">
      <w:pPr>
        <w:spacing w:line="240" w:lineRule="auto"/>
        <w:rPr>
          <w:sz w:val="24"/>
          <w:szCs w:val="24"/>
        </w:rPr>
      </w:pPr>
    </w:p>
    <w:p w14:paraId="34EF27AA" w14:textId="1E54E4DA" w:rsidR="00CA4B61" w:rsidRPr="00CA4B61" w:rsidRDefault="00FF72F4" w:rsidP="00CA4B61">
      <w:pPr>
        <w:spacing w:line="240" w:lineRule="auto"/>
        <w:rPr>
          <w:sz w:val="24"/>
          <w:szCs w:val="24"/>
        </w:rPr>
      </w:pPr>
      <w:r>
        <w:rPr>
          <w:sz w:val="24"/>
          <w:szCs w:val="24"/>
        </w:rPr>
        <w:t>Section 113</w:t>
      </w:r>
      <w:r w:rsidR="00CA4B61">
        <w:rPr>
          <w:sz w:val="24"/>
          <w:szCs w:val="24"/>
        </w:rPr>
        <w:t xml:space="preserve"> provides that t</w:t>
      </w:r>
      <w:r w:rsidR="00CA4B61" w:rsidRPr="00CA4B61">
        <w:rPr>
          <w:sz w:val="24"/>
          <w:szCs w:val="24"/>
        </w:rPr>
        <w:t>he annual access amount for a kind of US WTO dairy goods for export to the United States of America in relation to a quota year is the amount specified for that kind of quota goods in colu</w:t>
      </w:r>
      <w:r w:rsidR="004C09F5">
        <w:rPr>
          <w:sz w:val="24"/>
          <w:szCs w:val="24"/>
        </w:rPr>
        <w:t>mn 3 of the table in section 110</w:t>
      </w:r>
      <w:r w:rsidR="00CA4B61" w:rsidRPr="00CA4B61">
        <w:rPr>
          <w:sz w:val="24"/>
          <w:szCs w:val="24"/>
        </w:rPr>
        <w:t>.</w:t>
      </w:r>
    </w:p>
    <w:p w14:paraId="11C57FC1" w14:textId="77777777" w:rsidR="001D7D26" w:rsidRPr="001D7D26" w:rsidRDefault="001D7D26" w:rsidP="001D7D26">
      <w:pPr>
        <w:spacing w:line="240" w:lineRule="auto"/>
        <w:rPr>
          <w:sz w:val="24"/>
          <w:szCs w:val="24"/>
        </w:rPr>
      </w:pPr>
    </w:p>
    <w:p w14:paraId="67337BC1" w14:textId="11FAE5B8" w:rsidR="002B23ED" w:rsidRDefault="003757B1" w:rsidP="00103409">
      <w:pPr>
        <w:spacing w:line="240" w:lineRule="auto"/>
        <w:rPr>
          <w:b/>
          <w:sz w:val="28"/>
          <w:szCs w:val="28"/>
        </w:rPr>
      </w:pPr>
      <w:r w:rsidRPr="003757B1">
        <w:rPr>
          <w:b/>
          <w:sz w:val="28"/>
          <w:szCs w:val="28"/>
        </w:rPr>
        <w:t>Chapter</w:t>
      </w:r>
      <w:r>
        <w:rPr>
          <w:b/>
          <w:sz w:val="28"/>
          <w:szCs w:val="28"/>
        </w:rPr>
        <w:t xml:space="preserve"> 4 - Other matters relating to tariff rate quota certificates</w:t>
      </w:r>
    </w:p>
    <w:p w14:paraId="614B8F72" w14:textId="77777777" w:rsidR="003757B1" w:rsidRDefault="003757B1" w:rsidP="00103409">
      <w:pPr>
        <w:spacing w:line="240" w:lineRule="auto"/>
        <w:rPr>
          <w:b/>
          <w:sz w:val="28"/>
          <w:szCs w:val="28"/>
        </w:rPr>
      </w:pPr>
    </w:p>
    <w:p w14:paraId="11E82426" w14:textId="39DC33A5" w:rsidR="003757B1" w:rsidRPr="003757B1" w:rsidRDefault="003757B1" w:rsidP="003757B1">
      <w:pPr>
        <w:spacing w:line="240" w:lineRule="auto"/>
        <w:rPr>
          <w:sz w:val="24"/>
          <w:szCs w:val="24"/>
          <w:u w:val="single"/>
        </w:rPr>
      </w:pPr>
      <w:bookmarkStart w:id="115" w:name="_Toc22827038"/>
      <w:r>
        <w:rPr>
          <w:sz w:val="24"/>
          <w:szCs w:val="24"/>
          <w:u w:val="single"/>
        </w:rPr>
        <w:t xml:space="preserve">Section </w:t>
      </w:r>
      <w:r w:rsidR="00FF72F4">
        <w:rPr>
          <w:sz w:val="24"/>
          <w:szCs w:val="24"/>
          <w:u w:val="single"/>
        </w:rPr>
        <w:t>114</w:t>
      </w:r>
      <w:r w:rsidRPr="003757B1">
        <w:rPr>
          <w:sz w:val="24"/>
          <w:szCs w:val="24"/>
          <w:u w:val="single"/>
        </w:rPr>
        <w:t xml:space="preserve"> </w:t>
      </w:r>
      <w:r>
        <w:rPr>
          <w:sz w:val="24"/>
          <w:szCs w:val="24"/>
          <w:u w:val="single"/>
        </w:rPr>
        <w:t>-</w:t>
      </w:r>
      <w:r w:rsidRPr="003757B1">
        <w:rPr>
          <w:sz w:val="24"/>
          <w:szCs w:val="24"/>
          <w:u w:val="single"/>
        </w:rPr>
        <w:t xml:space="preserve"> Applications for tariff rate quota certificates</w:t>
      </w:r>
      <w:bookmarkEnd w:id="115"/>
    </w:p>
    <w:p w14:paraId="5AF1EAE4" w14:textId="77777777" w:rsidR="003757B1" w:rsidRDefault="003757B1" w:rsidP="003757B1">
      <w:pPr>
        <w:spacing w:line="240" w:lineRule="auto"/>
      </w:pPr>
      <w:r w:rsidRPr="00F93A3D">
        <w:tab/>
      </w:r>
    </w:p>
    <w:p w14:paraId="79D60E3D" w14:textId="6D869405" w:rsidR="003757B1" w:rsidRPr="003757B1" w:rsidRDefault="003757B1" w:rsidP="003757B1">
      <w:pPr>
        <w:spacing w:line="240" w:lineRule="auto"/>
        <w:rPr>
          <w:sz w:val="24"/>
          <w:szCs w:val="24"/>
        </w:rPr>
      </w:pPr>
      <w:r w:rsidRPr="003757B1">
        <w:rPr>
          <w:sz w:val="24"/>
          <w:szCs w:val="24"/>
        </w:rPr>
        <w:t xml:space="preserve">Subsection </w:t>
      </w:r>
      <w:r w:rsidR="00FF72F4">
        <w:rPr>
          <w:sz w:val="24"/>
          <w:szCs w:val="24"/>
        </w:rPr>
        <w:t>114</w:t>
      </w:r>
      <w:r w:rsidRPr="003757B1">
        <w:rPr>
          <w:sz w:val="24"/>
          <w:szCs w:val="24"/>
        </w:rPr>
        <w:t xml:space="preserve">(1) provides that this section applies in relation to an application made under Chapter 2 for a tariff rate quota certificate in relation to a consignment of a </w:t>
      </w:r>
      <w:r w:rsidR="00FE3E4B">
        <w:rPr>
          <w:sz w:val="24"/>
          <w:szCs w:val="24"/>
        </w:rPr>
        <w:t>quota type</w:t>
      </w:r>
      <w:r w:rsidRPr="003757B1">
        <w:rPr>
          <w:sz w:val="24"/>
          <w:szCs w:val="24"/>
        </w:rPr>
        <w:t xml:space="preserve"> for export in a quota year.</w:t>
      </w:r>
    </w:p>
    <w:p w14:paraId="10A756A4" w14:textId="77777777" w:rsidR="003757B1" w:rsidRDefault="003757B1" w:rsidP="003757B1">
      <w:pPr>
        <w:spacing w:line="240" w:lineRule="auto"/>
        <w:rPr>
          <w:sz w:val="24"/>
          <w:szCs w:val="24"/>
          <w:u w:val="single"/>
        </w:rPr>
      </w:pPr>
    </w:p>
    <w:p w14:paraId="35E3C0AE" w14:textId="5EE97D0D" w:rsidR="003757B1" w:rsidRPr="003757B1" w:rsidRDefault="003757B1" w:rsidP="003757B1">
      <w:pPr>
        <w:spacing w:line="240" w:lineRule="auto"/>
        <w:rPr>
          <w:sz w:val="24"/>
          <w:szCs w:val="24"/>
        </w:rPr>
      </w:pPr>
      <w:r w:rsidRPr="003757B1">
        <w:rPr>
          <w:sz w:val="24"/>
          <w:szCs w:val="24"/>
        </w:rPr>
        <w:t xml:space="preserve">Subsection </w:t>
      </w:r>
      <w:r w:rsidR="00FF72F4">
        <w:rPr>
          <w:sz w:val="24"/>
          <w:szCs w:val="24"/>
        </w:rPr>
        <w:t>114</w:t>
      </w:r>
      <w:r w:rsidRPr="003757B1">
        <w:rPr>
          <w:sz w:val="24"/>
          <w:szCs w:val="24"/>
        </w:rPr>
        <w:t>(2) provides that the application must not be made more than 3 weeks before the applicant intends the consignment to leave Australia</w:t>
      </w:r>
      <w:r w:rsidR="00E24DBC">
        <w:rPr>
          <w:sz w:val="24"/>
          <w:szCs w:val="24"/>
        </w:rPr>
        <w:t>.  This is intended to prevent any attempts to effectively ‘reserve’ quota well ahead of a planned export.</w:t>
      </w:r>
      <w:r w:rsidRPr="003757B1">
        <w:rPr>
          <w:sz w:val="24"/>
          <w:szCs w:val="24"/>
        </w:rPr>
        <w:t xml:space="preserve"> </w:t>
      </w:r>
      <w:r w:rsidR="00E24DBC">
        <w:rPr>
          <w:sz w:val="24"/>
          <w:szCs w:val="24"/>
        </w:rPr>
        <w:t>The section also provides that</w:t>
      </w:r>
      <w:r w:rsidRPr="003757B1">
        <w:rPr>
          <w:sz w:val="24"/>
          <w:szCs w:val="24"/>
        </w:rPr>
        <w:t xml:space="preserve"> if the application is in relation to a consignment of a kind of Japan quota goods for export to Japan in a quota year,</w:t>
      </w:r>
      <w:r w:rsidR="00E24DBC">
        <w:rPr>
          <w:sz w:val="24"/>
          <w:szCs w:val="24"/>
        </w:rPr>
        <w:t xml:space="preserve"> it</w:t>
      </w:r>
      <w:r w:rsidRPr="003757B1">
        <w:rPr>
          <w:sz w:val="24"/>
          <w:szCs w:val="24"/>
        </w:rPr>
        <w:t xml:space="preserve"> must not be made before 10 March in the calendar year in which that quota year starts.</w:t>
      </w:r>
      <w:r w:rsidR="00E24DBC">
        <w:rPr>
          <w:sz w:val="24"/>
          <w:szCs w:val="24"/>
        </w:rPr>
        <w:t xml:space="preserve"> This reflects the date at which applications open for these tariff rate quotas.</w:t>
      </w:r>
    </w:p>
    <w:p w14:paraId="5CE7BD1B" w14:textId="77777777" w:rsidR="003757B1" w:rsidRDefault="003757B1" w:rsidP="003757B1">
      <w:pPr>
        <w:spacing w:line="240" w:lineRule="auto"/>
        <w:rPr>
          <w:sz w:val="24"/>
          <w:szCs w:val="24"/>
          <w:u w:val="single"/>
        </w:rPr>
      </w:pPr>
    </w:p>
    <w:p w14:paraId="1DE22CFF" w14:textId="3E6F31AA" w:rsidR="003757B1" w:rsidRPr="003757B1" w:rsidRDefault="003757B1" w:rsidP="003757B1">
      <w:pPr>
        <w:spacing w:line="240" w:lineRule="auto"/>
        <w:rPr>
          <w:sz w:val="24"/>
          <w:szCs w:val="24"/>
        </w:rPr>
      </w:pPr>
      <w:r w:rsidRPr="003757B1">
        <w:rPr>
          <w:sz w:val="24"/>
          <w:szCs w:val="24"/>
        </w:rPr>
        <w:t xml:space="preserve">Subsection </w:t>
      </w:r>
      <w:r w:rsidR="00FF72F4">
        <w:rPr>
          <w:sz w:val="24"/>
          <w:szCs w:val="24"/>
        </w:rPr>
        <w:t>114</w:t>
      </w:r>
      <w:r w:rsidRPr="003757B1">
        <w:rPr>
          <w:sz w:val="24"/>
          <w:szCs w:val="24"/>
        </w:rPr>
        <w:t>(3) provides that the application must be made in a manner approved, in writing, by the Secretary and if the Secretary has approved a form for making the application, it must include the information required by the form and be accompanied by any documents required by the form.</w:t>
      </w:r>
    </w:p>
    <w:p w14:paraId="4175925E" w14:textId="77777777" w:rsidR="003757B1" w:rsidRDefault="003757B1" w:rsidP="003757B1">
      <w:pPr>
        <w:spacing w:line="240" w:lineRule="auto"/>
      </w:pPr>
    </w:p>
    <w:p w14:paraId="08E4F387" w14:textId="2EEC0FD0" w:rsidR="003757B1" w:rsidRDefault="003757B1" w:rsidP="003757B1">
      <w:pPr>
        <w:spacing w:line="240" w:lineRule="auto"/>
        <w:rPr>
          <w:sz w:val="24"/>
          <w:szCs w:val="24"/>
        </w:rPr>
      </w:pPr>
      <w:r w:rsidRPr="003757B1">
        <w:rPr>
          <w:sz w:val="24"/>
          <w:szCs w:val="24"/>
        </w:rPr>
        <w:lastRenderedPageBreak/>
        <w:t xml:space="preserve">This subsection includes a note that </w:t>
      </w:r>
      <w:r>
        <w:rPr>
          <w:sz w:val="24"/>
          <w:szCs w:val="24"/>
        </w:rPr>
        <w:t>a</w:t>
      </w:r>
      <w:r w:rsidRPr="003757B1">
        <w:rPr>
          <w:sz w:val="24"/>
          <w:szCs w:val="24"/>
        </w:rPr>
        <w:t xml:space="preserve"> person may commit an offence if the person makes a false or misleading statement in an application or provides false or misleading information or documents (see sections 136.1, 137.1 and 137.2 of the </w:t>
      </w:r>
      <w:r w:rsidRPr="003757B1">
        <w:rPr>
          <w:i/>
          <w:sz w:val="24"/>
          <w:szCs w:val="24"/>
        </w:rPr>
        <w:t>Criminal Code</w:t>
      </w:r>
      <w:r w:rsidRPr="003757B1">
        <w:rPr>
          <w:sz w:val="24"/>
          <w:szCs w:val="24"/>
        </w:rPr>
        <w:t>).</w:t>
      </w:r>
    </w:p>
    <w:p w14:paraId="2A67B012" w14:textId="77777777" w:rsidR="003757B1" w:rsidRDefault="003757B1" w:rsidP="003757B1">
      <w:pPr>
        <w:spacing w:line="240" w:lineRule="auto"/>
        <w:rPr>
          <w:sz w:val="24"/>
          <w:szCs w:val="24"/>
        </w:rPr>
      </w:pPr>
    </w:p>
    <w:p w14:paraId="525F410F" w14:textId="55D3689F" w:rsidR="003757B1" w:rsidRDefault="003757B1" w:rsidP="003757B1">
      <w:pPr>
        <w:spacing w:line="240" w:lineRule="auto"/>
        <w:rPr>
          <w:sz w:val="24"/>
          <w:szCs w:val="24"/>
        </w:rPr>
      </w:pPr>
      <w:r w:rsidRPr="003757B1">
        <w:rPr>
          <w:sz w:val="24"/>
          <w:szCs w:val="24"/>
        </w:rPr>
        <w:t xml:space="preserve">Subsection </w:t>
      </w:r>
      <w:r w:rsidR="00FF72F4">
        <w:rPr>
          <w:sz w:val="24"/>
          <w:szCs w:val="24"/>
        </w:rPr>
        <w:t>114</w:t>
      </w:r>
      <w:r w:rsidRPr="003757B1">
        <w:rPr>
          <w:sz w:val="24"/>
          <w:szCs w:val="24"/>
        </w:rPr>
        <w:t>(4) provides that the Secretary may accept any information or document previously given to the Secretary in connection with an application made under this instrument as satisfying any requirement to give that information or document under subsection </w:t>
      </w:r>
      <w:r w:rsidR="00FF72F4">
        <w:rPr>
          <w:sz w:val="24"/>
          <w:szCs w:val="24"/>
        </w:rPr>
        <w:t>114</w:t>
      </w:r>
      <w:r w:rsidRPr="003757B1">
        <w:rPr>
          <w:sz w:val="24"/>
          <w:szCs w:val="24"/>
        </w:rPr>
        <w:t>(3).</w:t>
      </w:r>
      <w:r w:rsidR="00E24DBC">
        <w:rPr>
          <w:sz w:val="24"/>
          <w:szCs w:val="24"/>
        </w:rPr>
        <w:t xml:space="preserve"> This is included so an applicant is not required to provide the same information twice.</w:t>
      </w:r>
    </w:p>
    <w:p w14:paraId="179537DD" w14:textId="77777777" w:rsidR="003757B1" w:rsidRDefault="003757B1" w:rsidP="003757B1">
      <w:pPr>
        <w:spacing w:line="240" w:lineRule="auto"/>
        <w:rPr>
          <w:sz w:val="24"/>
          <w:szCs w:val="24"/>
        </w:rPr>
      </w:pPr>
    </w:p>
    <w:p w14:paraId="2B4FAD13" w14:textId="79003A12" w:rsidR="003757B1" w:rsidRDefault="003757B1" w:rsidP="003757B1">
      <w:pPr>
        <w:spacing w:line="240" w:lineRule="auto"/>
        <w:rPr>
          <w:sz w:val="24"/>
          <w:szCs w:val="24"/>
        </w:rPr>
      </w:pPr>
      <w:r w:rsidRPr="00997B02">
        <w:rPr>
          <w:sz w:val="24"/>
          <w:szCs w:val="24"/>
        </w:rPr>
        <w:t xml:space="preserve">Subsection </w:t>
      </w:r>
      <w:r w:rsidR="00FF72F4">
        <w:rPr>
          <w:sz w:val="24"/>
          <w:szCs w:val="24"/>
        </w:rPr>
        <w:t>114</w:t>
      </w:r>
      <w:r w:rsidRPr="00997B02">
        <w:rPr>
          <w:sz w:val="24"/>
          <w:szCs w:val="24"/>
        </w:rPr>
        <w:t>(5) provides that an application is taken not to have been made if the application does not comply with the requirements referred to in subsection </w:t>
      </w:r>
      <w:r w:rsidR="00FF72F4">
        <w:rPr>
          <w:sz w:val="24"/>
          <w:szCs w:val="24"/>
        </w:rPr>
        <w:t>114</w:t>
      </w:r>
      <w:r w:rsidRPr="00997B02">
        <w:rPr>
          <w:sz w:val="24"/>
          <w:szCs w:val="24"/>
        </w:rPr>
        <w:t>(3) for the application.</w:t>
      </w:r>
      <w:r w:rsidR="00152D8F">
        <w:rPr>
          <w:sz w:val="24"/>
          <w:szCs w:val="24"/>
        </w:rPr>
        <w:t xml:space="preserve"> This is to ensure that all information must be provided in order for it to be considered an application and therefore to be dealt with in the order received.</w:t>
      </w:r>
    </w:p>
    <w:p w14:paraId="3919D9E1" w14:textId="77777777" w:rsidR="00997B02" w:rsidRDefault="00997B02" w:rsidP="003757B1">
      <w:pPr>
        <w:spacing w:line="240" w:lineRule="auto"/>
        <w:rPr>
          <w:sz w:val="24"/>
          <w:szCs w:val="24"/>
        </w:rPr>
      </w:pPr>
    </w:p>
    <w:p w14:paraId="28606E6D" w14:textId="18C0B42F" w:rsidR="003757B1" w:rsidRDefault="00997B02" w:rsidP="00997B02">
      <w:pPr>
        <w:spacing w:line="240" w:lineRule="auto"/>
        <w:rPr>
          <w:sz w:val="24"/>
          <w:szCs w:val="24"/>
        </w:rPr>
      </w:pPr>
      <w:r w:rsidRPr="00997B02">
        <w:rPr>
          <w:sz w:val="24"/>
          <w:szCs w:val="24"/>
        </w:rPr>
        <w:t xml:space="preserve">Subsection </w:t>
      </w:r>
      <w:r w:rsidR="00FF72F4">
        <w:rPr>
          <w:sz w:val="24"/>
          <w:szCs w:val="24"/>
        </w:rPr>
        <w:t>114</w:t>
      </w:r>
      <w:r w:rsidR="003757B1" w:rsidRPr="00997B02">
        <w:rPr>
          <w:sz w:val="24"/>
          <w:szCs w:val="24"/>
        </w:rPr>
        <w:t>(6)</w:t>
      </w:r>
      <w:r w:rsidRPr="00997B02">
        <w:rPr>
          <w:sz w:val="24"/>
          <w:szCs w:val="24"/>
        </w:rPr>
        <w:t xml:space="preserve"> provides that t</w:t>
      </w:r>
      <w:r w:rsidR="003757B1" w:rsidRPr="00997B02">
        <w:rPr>
          <w:sz w:val="24"/>
          <w:szCs w:val="24"/>
        </w:rPr>
        <w:t>he Secretary may request further information from the applicant that is relevant to the application.</w:t>
      </w:r>
    </w:p>
    <w:p w14:paraId="328300BD" w14:textId="77777777" w:rsidR="00997B02" w:rsidRDefault="00997B02" w:rsidP="00997B02">
      <w:pPr>
        <w:spacing w:line="240" w:lineRule="auto"/>
        <w:rPr>
          <w:sz w:val="24"/>
          <w:szCs w:val="24"/>
        </w:rPr>
      </w:pPr>
    </w:p>
    <w:p w14:paraId="1679121C" w14:textId="636DA1F5" w:rsidR="003757B1" w:rsidRPr="00997B02" w:rsidRDefault="00997B02" w:rsidP="00997B02">
      <w:pPr>
        <w:spacing w:line="240" w:lineRule="auto"/>
        <w:rPr>
          <w:sz w:val="24"/>
          <w:szCs w:val="24"/>
        </w:rPr>
      </w:pPr>
      <w:r w:rsidRPr="00997B02">
        <w:rPr>
          <w:sz w:val="24"/>
          <w:szCs w:val="24"/>
        </w:rPr>
        <w:t xml:space="preserve">Subsection </w:t>
      </w:r>
      <w:r w:rsidR="00FF72F4">
        <w:rPr>
          <w:sz w:val="24"/>
          <w:szCs w:val="24"/>
        </w:rPr>
        <w:t>114</w:t>
      </w:r>
      <w:r w:rsidR="003757B1" w:rsidRPr="00997B02">
        <w:rPr>
          <w:sz w:val="24"/>
          <w:szCs w:val="24"/>
        </w:rPr>
        <w:t>(7)</w:t>
      </w:r>
      <w:r w:rsidRPr="00997B02">
        <w:rPr>
          <w:sz w:val="24"/>
          <w:szCs w:val="24"/>
        </w:rPr>
        <w:t xml:space="preserve"> provides that a</w:t>
      </w:r>
      <w:r w:rsidR="003757B1" w:rsidRPr="00997B02">
        <w:rPr>
          <w:sz w:val="24"/>
          <w:szCs w:val="24"/>
        </w:rPr>
        <w:t xml:space="preserve">ny further information in relation to the application (whether or not provided in response to a request under </w:t>
      </w:r>
      <w:r w:rsidRPr="00997B02">
        <w:rPr>
          <w:sz w:val="24"/>
          <w:szCs w:val="24"/>
        </w:rPr>
        <w:t>subsection </w:t>
      </w:r>
      <w:r w:rsidR="00FF72F4">
        <w:rPr>
          <w:sz w:val="24"/>
          <w:szCs w:val="24"/>
        </w:rPr>
        <w:t>114</w:t>
      </w:r>
      <w:r w:rsidRPr="00997B02">
        <w:rPr>
          <w:sz w:val="24"/>
          <w:szCs w:val="24"/>
        </w:rPr>
        <w:t>(</w:t>
      </w:r>
      <w:r w:rsidR="003757B1" w:rsidRPr="00997B02">
        <w:rPr>
          <w:sz w:val="24"/>
          <w:szCs w:val="24"/>
        </w:rPr>
        <w:t>6)) must be given to the Secretary.</w:t>
      </w:r>
    </w:p>
    <w:p w14:paraId="6B9BA3E0" w14:textId="77777777" w:rsidR="00997B02" w:rsidRPr="00997B02" w:rsidRDefault="00997B02" w:rsidP="00997B02">
      <w:pPr>
        <w:spacing w:line="240" w:lineRule="auto"/>
        <w:rPr>
          <w:sz w:val="24"/>
          <w:szCs w:val="24"/>
        </w:rPr>
      </w:pPr>
    </w:p>
    <w:p w14:paraId="02910D4F" w14:textId="795C13AB" w:rsidR="00997B02" w:rsidRPr="00997B02" w:rsidRDefault="00997B02" w:rsidP="00997B02">
      <w:pPr>
        <w:spacing w:line="240" w:lineRule="auto"/>
        <w:rPr>
          <w:sz w:val="24"/>
          <w:szCs w:val="24"/>
        </w:rPr>
      </w:pPr>
      <w:r w:rsidRPr="00997B02">
        <w:rPr>
          <w:sz w:val="24"/>
          <w:szCs w:val="24"/>
        </w:rPr>
        <w:t xml:space="preserve">Subsection </w:t>
      </w:r>
      <w:r w:rsidR="00FF72F4">
        <w:rPr>
          <w:sz w:val="24"/>
          <w:szCs w:val="24"/>
        </w:rPr>
        <w:t>114</w:t>
      </w:r>
      <w:r w:rsidR="003757B1" w:rsidRPr="00997B02">
        <w:rPr>
          <w:sz w:val="24"/>
          <w:szCs w:val="24"/>
        </w:rPr>
        <w:t>(8)</w:t>
      </w:r>
      <w:r w:rsidRPr="00997B02">
        <w:rPr>
          <w:sz w:val="24"/>
          <w:szCs w:val="24"/>
        </w:rPr>
        <w:t xml:space="preserve"> provides that a</w:t>
      </w:r>
      <w:r w:rsidR="003757B1" w:rsidRPr="00997B02">
        <w:rPr>
          <w:sz w:val="24"/>
          <w:szCs w:val="24"/>
        </w:rPr>
        <w:t xml:space="preserve">n application is taken to be received by the Secretary when </w:t>
      </w:r>
      <w:r w:rsidRPr="00997B02">
        <w:rPr>
          <w:sz w:val="24"/>
          <w:szCs w:val="24"/>
        </w:rPr>
        <w:t xml:space="preserve">the information required by the approved form for the application or otherwise required by the Secretary </w:t>
      </w:r>
      <w:r>
        <w:rPr>
          <w:sz w:val="24"/>
          <w:szCs w:val="24"/>
        </w:rPr>
        <w:t xml:space="preserve">is received </w:t>
      </w:r>
      <w:r w:rsidRPr="00997B02">
        <w:rPr>
          <w:sz w:val="24"/>
          <w:szCs w:val="24"/>
        </w:rPr>
        <w:t>and if further information is requested under subsection </w:t>
      </w:r>
      <w:r w:rsidR="00FF72F4">
        <w:rPr>
          <w:sz w:val="24"/>
          <w:szCs w:val="24"/>
        </w:rPr>
        <w:t>114</w:t>
      </w:r>
      <w:r w:rsidRPr="00997B02">
        <w:rPr>
          <w:sz w:val="24"/>
          <w:szCs w:val="24"/>
        </w:rPr>
        <w:t>(6) in relation to the application</w:t>
      </w:r>
      <w:r>
        <w:rPr>
          <w:sz w:val="24"/>
          <w:szCs w:val="24"/>
        </w:rPr>
        <w:t xml:space="preserve">, </w:t>
      </w:r>
      <w:r w:rsidRPr="00997B02">
        <w:rPr>
          <w:sz w:val="24"/>
          <w:szCs w:val="24"/>
        </w:rPr>
        <w:t>that further information is received.</w:t>
      </w:r>
    </w:p>
    <w:p w14:paraId="65D33D10" w14:textId="77777777" w:rsidR="00997B02" w:rsidRDefault="00997B02" w:rsidP="00997B02">
      <w:pPr>
        <w:spacing w:line="240" w:lineRule="auto"/>
      </w:pPr>
    </w:p>
    <w:p w14:paraId="74590855" w14:textId="5C6B8D51" w:rsidR="003757B1" w:rsidRPr="00997B02" w:rsidRDefault="00997B02" w:rsidP="00997B02">
      <w:pPr>
        <w:spacing w:line="240" w:lineRule="auto"/>
        <w:rPr>
          <w:sz w:val="24"/>
          <w:szCs w:val="24"/>
        </w:rPr>
      </w:pPr>
      <w:r w:rsidRPr="00997B02">
        <w:rPr>
          <w:sz w:val="24"/>
          <w:szCs w:val="24"/>
        </w:rPr>
        <w:t xml:space="preserve">Subsection </w:t>
      </w:r>
      <w:r w:rsidR="00FF72F4">
        <w:rPr>
          <w:sz w:val="24"/>
          <w:szCs w:val="24"/>
        </w:rPr>
        <w:t>114</w:t>
      </w:r>
      <w:r w:rsidR="003757B1" w:rsidRPr="00997B02">
        <w:rPr>
          <w:sz w:val="24"/>
          <w:szCs w:val="24"/>
        </w:rPr>
        <w:t>(9)</w:t>
      </w:r>
      <w:r w:rsidRPr="00997B02">
        <w:rPr>
          <w:sz w:val="24"/>
          <w:szCs w:val="24"/>
        </w:rPr>
        <w:t xml:space="preserve"> provides that a</w:t>
      </w:r>
      <w:r w:rsidR="003757B1" w:rsidRPr="00997B02">
        <w:rPr>
          <w:sz w:val="24"/>
          <w:szCs w:val="24"/>
        </w:rPr>
        <w:t xml:space="preserve"> person who has made an application may withdraw the application at any time before the Secretary makes a decision on the application.</w:t>
      </w:r>
    </w:p>
    <w:p w14:paraId="119037B3" w14:textId="77777777" w:rsidR="00D479CA" w:rsidRPr="00D479CA" w:rsidRDefault="00D479CA" w:rsidP="00D479CA">
      <w:pPr>
        <w:spacing w:line="240" w:lineRule="auto"/>
        <w:rPr>
          <w:sz w:val="24"/>
          <w:szCs w:val="24"/>
        </w:rPr>
      </w:pPr>
    </w:p>
    <w:p w14:paraId="4EE41D5C" w14:textId="2519428E" w:rsidR="00E13F67" w:rsidRDefault="00E13F67" w:rsidP="004839AA">
      <w:pPr>
        <w:keepNext/>
        <w:spacing w:line="240" w:lineRule="auto"/>
        <w:rPr>
          <w:sz w:val="24"/>
          <w:szCs w:val="24"/>
          <w:u w:val="single"/>
        </w:rPr>
      </w:pPr>
      <w:bookmarkStart w:id="116" w:name="_Toc22827039"/>
      <w:r>
        <w:rPr>
          <w:sz w:val="24"/>
          <w:szCs w:val="24"/>
          <w:u w:val="single"/>
        </w:rPr>
        <w:t xml:space="preserve">Section </w:t>
      </w:r>
      <w:r w:rsidR="00FF72F4">
        <w:rPr>
          <w:sz w:val="24"/>
          <w:szCs w:val="24"/>
          <w:u w:val="single"/>
        </w:rPr>
        <w:t>115</w:t>
      </w:r>
      <w:r w:rsidRPr="00E13F67">
        <w:rPr>
          <w:sz w:val="24"/>
          <w:szCs w:val="24"/>
          <w:u w:val="single"/>
        </w:rPr>
        <w:t xml:space="preserve"> </w:t>
      </w:r>
      <w:r>
        <w:rPr>
          <w:sz w:val="24"/>
          <w:szCs w:val="24"/>
          <w:u w:val="single"/>
        </w:rPr>
        <w:t>-</w:t>
      </w:r>
      <w:r w:rsidRPr="00E13F67">
        <w:rPr>
          <w:sz w:val="24"/>
          <w:szCs w:val="24"/>
          <w:u w:val="single"/>
        </w:rPr>
        <w:t xml:space="preserve"> When Secretary may decide not to issue tariff rate quota certificate</w:t>
      </w:r>
      <w:bookmarkEnd w:id="116"/>
    </w:p>
    <w:p w14:paraId="4B47AA07" w14:textId="77777777" w:rsidR="00E13F67" w:rsidRDefault="00E13F67" w:rsidP="004839AA">
      <w:pPr>
        <w:keepNext/>
        <w:spacing w:line="240" w:lineRule="auto"/>
        <w:rPr>
          <w:sz w:val="24"/>
          <w:szCs w:val="24"/>
          <w:u w:val="single"/>
        </w:rPr>
      </w:pPr>
    </w:p>
    <w:p w14:paraId="20473973" w14:textId="4147FE9D" w:rsidR="00E13F67" w:rsidRDefault="00E13F67" w:rsidP="00E13F67">
      <w:pPr>
        <w:spacing w:line="240" w:lineRule="auto"/>
        <w:rPr>
          <w:sz w:val="24"/>
          <w:szCs w:val="24"/>
        </w:rPr>
      </w:pPr>
      <w:r w:rsidRPr="00E13F67">
        <w:rPr>
          <w:sz w:val="24"/>
          <w:szCs w:val="24"/>
        </w:rPr>
        <w:t xml:space="preserve">Subsection </w:t>
      </w:r>
      <w:r w:rsidR="00FF72F4">
        <w:rPr>
          <w:sz w:val="24"/>
          <w:szCs w:val="24"/>
        </w:rPr>
        <w:t>115</w:t>
      </w:r>
      <w:r>
        <w:rPr>
          <w:sz w:val="24"/>
          <w:szCs w:val="24"/>
        </w:rPr>
        <w:t>(1)</w:t>
      </w:r>
      <w:r w:rsidRPr="00E13F67">
        <w:rPr>
          <w:sz w:val="24"/>
          <w:szCs w:val="24"/>
        </w:rPr>
        <w:t xml:space="preserve"> applies in relation to an application made under Chapter 2 for a tariff rate quota certificate in relation to a consignment of a </w:t>
      </w:r>
      <w:r w:rsidR="00FE3E4B">
        <w:rPr>
          <w:sz w:val="24"/>
          <w:szCs w:val="24"/>
        </w:rPr>
        <w:t>quota type</w:t>
      </w:r>
      <w:r w:rsidRPr="00E13F67">
        <w:rPr>
          <w:sz w:val="24"/>
          <w:szCs w:val="24"/>
        </w:rPr>
        <w:t xml:space="preserve"> for export in a quota year.</w:t>
      </w:r>
    </w:p>
    <w:p w14:paraId="1BB3CAE6" w14:textId="77777777" w:rsidR="00E13F67" w:rsidRDefault="00E13F67" w:rsidP="00E13F67">
      <w:pPr>
        <w:spacing w:line="240" w:lineRule="auto"/>
        <w:rPr>
          <w:sz w:val="24"/>
          <w:szCs w:val="24"/>
        </w:rPr>
      </w:pPr>
    </w:p>
    <w:p w14:paraId="72C4B8A5" w14:textId="01FFAE39" w:rsidR="00DE5EB4" w:rsidRDefault="00E13F67" w:rsidP="0016459D">
      <w:pPr>
        <w:spacing w:line="240" w:lineRule="auto"/>
        <w:rPr>
          <w:sz w:val="24"/>
          <w:szCs w:val="24"/>
        </w:rPr>
      </w:pPr>
      <w:r w:rsidRPr="00E13F67">
        <w:rPr>
          <w:sz w:val="24"/>
          <w:szCs w:val="24"/>
        </w:rPr>
        <w:t xml:space="preserve">Subsection </w:t>
      </w:r>
      <w:r w:rsidR="00FF72F4">
        <w:rPr>
          <w:sz w:val="24"/>
          <w:szCs w:val="24"/>
        </w:rPr>
        <w:t>115</w:t>
      </w:r>
      <w:r w:rsidRPr="0016459D">
        <w:rPr>
          <w:sz w:val="24"/>
          <w:szCs w:val="24"/>
        </w:rPr>
        <w:t>(2) provides that the Secretary may decide not to issue a tariff rate quota certificate to the applicant if the Secretary considers that it is not appropriate to issue the ce</w:t>
      </w:r>
      <w:r w:rsidR="00DE5EB4">
        <w:rPr>
          <w:sz w:val="24"/>
          <w:szCs w:val="24"/>
        </w:rPr>
        <w:t>rtificate. The Secretary can</w:t>
      </w:r>
      <w:r w:rsidR="00A36177" w:rsidRPr="0016459D">
        <w:rPr>
          <w:sz w:val="24"/>
          <w:szCs w:val="24"/>
        </w:rPr>
        <w:t xml:space="preserve"> tak</w:t>
      </w:r>
      <w:r w:rsidR="00DE5EB4">
        <w:rPr>
          <w:sz w:val="24"/>
          <w:szCs w:val="24"/>
        </w:rPr>
        <w:t>e</w:t>
      </w:r>
      <w:r w:rsidR="00A36177" w:rsidRPr="0016459D">
        <w:rPr>
          <w:sz w:val="24"/>
          <w:szCs w:val="24"/>
        </w:rPr>
        <w:t xml:space="preserve"> into account</w:t>
      </w:r>
      <w:r w:rsidR="00443C2E">
        <w:rPr>
          <w:sz w:val="24"/>
          <w:szCs w:val="24"/>
        </w:rPr>
        <w:t xml:space="preserve"> any or all of the following</w:t>
      </w:r>
      <w:r w:rsidR="00DE5EB4">
        <w:rPr>
          <w:sz w:val="24"/>
          <w:szCs w:val="24"/>
        </w:rPr>
        <w:t>:</w:t>
      </w:r>
    </w:p>
    <w:p w14:paraId="1A5738DB" w14:textId="48CB645F" w:rsidR="00DE5EB4" w:rsidRDefault="00E13F67" w:rsidP="000F6D46">
      <w:pPr>
        <w:pStyle w:val="ListParagraph"/>
        <w:numPr>
          <w:ilvl w:val="0"/>
          <w:numId w:val="54"/>
        </w:numPr>
        <w:spacing w:line="240" w:lineRule="auto"/>
        <w:rPr>
          <w:sz w:val="24"/>
          <w:szCs w:val="24"/>
        </w:rPr>
      </w:pPr>
      <w:r w:rsidRPr="00DE5EB4">
        <w:rPr>
          <w:sz w:val="24"/>
          <w:szCs w:val="24"/>
        </w:rPr>
        <w:t xml:space="preserve">any failure by the applicant to comply with a request made under subsection </w:t>
      </w:r>
      <w:r w:rsidR="00542A46" w:rsidRPr="00DE5EB4">
        <w:rPr>
          <w:sz w:val="24"/>
          <w:szCs w:val="24"/>
        </w:rPr>
        <w:t>125</w:t>
      </w:r>
      <w:r w:rsidRPr="00DE5EB4">
        <w:rPr>
          <w:sz w:val="24"/>
          <w:szCs w:val="24"/>
        </w:rPr>
        <w:t>(3) (requests relating to audits)</w:t>
      </w:r>
      <w:r w:rsidR="001341CE">
        <w:rPr>
          <w:sz w:val="24"/>
          <w:szCs w:val="24"/>
        </w:rPr>
        <w:t>,</w:t>
      </w:r>
    </w:p>
    <w:p w14:paraId="196D19D2" w14:textId="77777777" w:rsidR="00DE5EB4" w:rsidRDefault="00E13F67" w:rsidP="000F6D46">
      <w:pPr>
        <w:pStyle w:val="ListParagraph"/>
        <w:numPr>
          <w:ilvl w:val="0"/>
          <w:numId w:val="54"/>
        </w:numPr>
        <w:spacing w:line="240" w:lineRule="auto"/>
        <w:rPr>
          <w:sz w:val="24"/>
          <w:szCs w:val="24"/>
        </w:rPr>
      </w:pPr>
      <w:r w:rsidRPr="00DE5EB4">
        <w:rPr>
          <w:sz w:val="24"/>
          <w:szCs w:val="24"/>
        </w:rPr>
        <w:t>whether the applicant does not hold a licence required under a law of the Commonwealth to export the consignment</w:t>
      </w:r>
      <w:r w:rsidR="00A36177" w:rsidRPr="00DE5EB4">
        <w:rPr>
          <w:sz w:val="24"/>
          <w:szCs w:val="24"/>
        </w:rPr>
        <w:t xml:space="preserve">, </w:t>
      </w:r>
    </w:p>
    <w:p w14:paraId="335EDDBC" w14:textId="77777777" w:rsidR="00DE5EB4" w:rsidRDefault="00E13F67" w:rsidP="000F6D46">
      <w:pPr>
        <w:pStyle w:val="ListParagraph"/>
        <w:numPr>
          <w:ilvl w:val="0"/>
          <w:numId w:val="54"/>
        </w:numPr>
        <w:spacing w:line="240" w:lineRule="auto"/>
        <w:rPr>
          <w:sz w:val="24"/>
          <w:szCs w:val="24"/>
        </w:rPr>
      </w:pPr>
      <w:r w:rsidRPr="00DE5EB4">
        <w:rPr>
          <w:sz w:val="24"/>
          <w:szCs w:val="24"/>
        </w:rPr>
        <w:t xml:space="preserve">any relevant liability in relation to a tariff rate quota certificate, in relation to a consignment of any </w:t>
      </w:r>
      <w:r w:rsidR="00FE3E4B" w:rsidRPr="00DE5EB4">
        <w:rPr>
          <w:sz w:val="24"/>
          <w:szCs w:val="24"/>
        </w:rPr>
        <w:t>quota type</w:t>
      </w:r>
      <w:r w:rsidRPr="00DE5EB4">
        <w:rPr>
          <w:sz w:val="24"/>
          <w:szCs w:val="24"/>
        </w:rPr>
        <w:t>, that has not been paid by the applicant (including if the applicant is jointly liable with another person or other persons)</w:t>
      </w:r>
      <w:r w:rsidR="00A36177" w:rsidRPr="00DE5EB4">
        <w:rPr>
          <w:sz w:val="24"/>
          <w:szCs w:val="24"/>
        </w:rPr>
        <w:t xml:space="preserve">, </w:t>
      </w:r>
    </w:p>
    <w:p w14:paraId="6C7BEC33" w14:textId="77777777" w:rsidR="00DE5EB4" w:rsidRDefault="00E13F67" w:rsidP="000F6D46">
      <w:pPr>
        <w:pStyle w:val="ListParagraph"/>
        <w:numPr>
          <w:ilvl w:val="0"/>
          <w:numId w:val="54"/>
        </w:numPr>
        <w:spacing w:line="240" w:lineRule="auto"/>
        <w:rPr>
          <w:sz w:val="24"/>
          <w:szCs w:val="24"/>
        </w:rPr>
      </w:pPr>
      <w:r w:rsidRPr="00DE5EB4">
        <w:rPr>
          <w:sz w:val="24"/>
          <w:szCs w:val="24"/>
        </w:rPr>
        <w:t>whether the applicant’s business as an exporter of the kind of goods is not financially viable or is not likely to remain so</w:t>
      </w:r>
      <w:r w:rsidR="00DE5EB4">
        <w:rPr>
          <w:sz w:val="24"/>
          <w:szCs w:val="24"/>
        </w:rPr>
        <w:t>,</w:t>
      </w:r>
      <w:r w:rsidR="0016459D" w:rsidRPr="00DE5EB4">
        <w:rPr>
          <w:sz w:val="24"/>
          <w:szCs w:val="24"/>
        </w:rPr>
        <w:t xml:space="preserve"> </w:t>
      </w:r>
    </w:p>
    <w:p w14:paraId="27D2C5D8" w14:textId="69216214" w:rsidR="00E13F67" w:rsidRDefault="0016459D" w:rsidP="000F6D46">
      <w:pPr>
        <w:pStyle w:val="ListParagraph"/>
        <w:numPr>
          <w:ilvl w:val="0"/>
          <w:numId w:val="54"/>
        </w:numPr>
        <w:spacing w:line="240" w:lineRule="auto"/>
        <w:rPr>
          <w:sz w:val="24"/>
          <w:szCs w:val="24"/>
        </w:rPr>
      </w:pPr>
      <w:proofErr w:type="gramStart"/>
      <w:r w:rsidRPr="00DE5EB4">
        <w:rPr>
          <w:sz w:val="24"/>
          <w:szCs w:val="24"/>
        </w:rPr>
        <w:t>and</w:t>
      </w:r>
      <w:proofErr w:type="gramEnd"/>
      <w:r w:rsidRPr="00DE5EB4">
        <w:rPr>
          <w:sz w:val="24"/>
          <w:szCs w:val="24"/>
        </w:rPr>
        <w:t xml:space="preserve"> </w:t>
      </w:r>
      <w:r w:rsidR="00E13F67" w:rsidRPr="00DE5EB4">
        <w:rPr>
          <w:sz w:val="24"/>
          <w:szCs w:val="24"/>
        </w:rPr>
        <w:t>whether it would not be in the best interests of the industry relating to the kind of goods for the certificate to be issued.</w:t>
      </w:r>
    </w:p>
    <w:p w14:paraId="59145F08" w14:textId="77777777" w:rsidR="004B7C21" w:rsidRDefault="004B7C21" w:rsidP="0016459D">
      <w:pPr>
        <w:spacing w:line="240" w:lineRule="auto"/>
        <w:rPr>
          <w:sz w:val="24"/>
          <w:szCs w:val="24"/>
        </w:rPr>
      </w:pPr>
    </w:p>
    <w:p w14:paraId="48292A62" w14:textId="3DD67C09" w:rsidR="004B7C21" w:rsidRPr="004C09F5" w:rsidRDefault="004B7C21" w:rsidP="004C09F5">
      <w:pPr>
        <w:spacing w:line="240" w:lineRule="auto"/>
        <w:rPr>
          <w:sz w:val="24"/>
          <w:szCs w:val="24"/>
        </w:rPr>
      </w:pPr>
      <w:r w:rsidRPr="004B7C21">
        <w:rPr>
          <w:sz w:val="24"/>
          <w:szCs w:val="24"/>
        </w:rPr>
        <w:lastRenderedPageBreak/>
        <w:t xml:space="preserve">Subsection </w:t>
      </w:r>
      <w:r w:rsidR="00FF72F4">
        <w:rPr>
          <w:sz w:val="24"/>
          <w:szCs w:val="24"/>
        </w:rPr>
        <w:t>115</w:t>
      </w:r>
      <w:r w:rsidRPr="000056C5">
        <w:rPr>
          <w:sz w:val="24"/>
          <w:szCs w:val="24"/>
        </w:rPr>
        <w:t xml:space="preserve">(3) provides that </w:t>
      </w:r>
      <w:r w:rsidRPr="004C09F5">
        <w:rPr>
          <w:sz w:val="24"/>
          <w:szCs w:val="24"/>
        </w:rPr>
        <w:t>if the Secretary decides not to issue a tariff rate quota certificate, the Secretary must give the applicant a written notice stating the reasons for the decision and information about the applicant’s right to have the decision reviewed.</w:t>
      </w:r>
      <w:r w:rsidR="001341CE">
        <w:rPr>
          <w:sz w:val="24"/>
          <w:szCs w:val="24"/>
        </w:rPr>
        <w:t xml:space="preserve">  </w:t>
      </w:r>
    </w:p>
    <w:p w14:paraId="7D201EA0" w14:textId="77777777" w:rsidR="00D479CA" w:rsidRPr="00F53C0F" w:rsidRDefault="00D479CA" w:rsidP="00F53C0F">
      <w:pPr>
        <w:spacing w:line="240" w:lineRule="auto"/>
        <w:rPr>
          <w:sz w:val="24"/>
          <w:szCs w:val="24"/>
        </w:rPr>
      </w:pPr>
    </w:p>
    <w:p w14:paraId="4C098280" w14:textId="686148D9" w:rsidR="004D5034" w:rsidRPr="004D5034" w:rsidRDefault="004D5034" w:rsidP="004D5034">
      <w:pPr>
        <w:spacing w:line="240" w:lineRule="auto"/>
        <w:rPr>
          <w:sz w:val="24"/>
          <w:szCs w:val="24"/>
          <w:u w:val="single"/>
        </w:rPr>
      </w:pPr>
      <w:bookmarkStart w:id="117" w:name="_Toc22827040"/>
      <w:r>
        <w:rPr>
          <w:sz w:val="24"/>
          <w:szCs w:val="24"/>
          <w:u w:val="single"/>
        </w:rPr>
        <w:t xml:space="preserve">Section </w:t>
      </w:r>
      <w:r w:rsidR="00542A46">
        <w:rPr>
          <w:sz w:val="24"/>
          <w:szCs w:val="24"/>
          <w:u w:val="single"/>
        </w:rPr>
        <w:t>116</w:t>
      </w:r>
      <w:r w:rsidRPr="004D5034">
        <w:rPr>
          <w:sz w:val="24"/>
          <w:szCs w:val="24"/>
          <w:u w:val="single"/>
        </w:rPr>
        <w:t xml:space="preserve"> </w:t>
      </w:r>
      <w:r>
        <w:rPr>
          <w:sz w:val="24"/>
          <w:szCs w:val="24"/>
          <w:u w:val="single"/>
        </w:rPr>
        <w:t>-</w:t>
      </w:r>
      <w:r w:rsidRPr="004D5034">
        <w:rPr>
          <w:sz w:val="24"/>
          <w:szCs w:val="24"/>
          <w:u w:val="single"/>
        </w:rPr>
        <w:t xml:space="preserve"> Recording issue of tariff rate quota certificate</w:t>
      </w:r>
      <w:bookmarkEnd w:id="117"/>
    </w:p>
    <w:p w14:paraId="39DB9F41" w14:textId="77777777" w:rsidR="00F53C0F" w:rsidRDefault="00F53C0F" w:rsidP="00D001EF">
      <w:pPr>
        <w:spacing w:line="240" w:lineRule="auto"/>
        <w:rPr>
          <w:sz w:val="24"/>
          <w:szCs w:val="24"/>
        </w:rPr>
      </w:pPr>
    </w:p>
    <w:p w14:paraId="79AC48A0" w14:textId="1CF855A8" w:rsidR="00DC2074" w:rsidRPr="004C09F5" w:rsidRDefault="00DC2074" w:rsidP="004C09F5">
      <w:pPr>
        <w:spacing w:line="240" w:lineRule="auto"/>
        <w:rPr>
          <w:sz w:val="24"/>
          <w:szCs w:val="24"/>
        </w:rPr>
      </w:pPr>
      <w:r w:rsidRPr="004C09F5">
        <w:rPr>
          <w:sz w:val="24"/>
          <w:szCs w:val="24"/>
        </w:rPr>
        <w:t xml:space="preserve">Section </w:t>
      </w:r>
      <w:r w:rsidR="00542A46">
        <w:rPr>
          <w:sz w:val="24"/>
          <w:szCs w:val="24"/>
        </w:rPr>
        <w:t>116</w:t>
      </w:r>
      <w:r w:rsidRPr="004C09F5">
        <w:rPr>
          <w:sz w:val="24"/>
          <w:szCs w:val="24"/>
        </w:rPr>
        <w:t xml:space="preserve"> provides that if the Secretary issues a tariff rate quota certificate to a person under this instrument, the Secretary must make an entry reflecting the issue of the certificate in an electronic system maintained by the Department and either send the certificate to the person or notify the person of the issue of the certificate.</w:t>
      </w:r>
      <w:bookmarkStart w:id="118" w:name="BK_S3P59L20C59"/>
      <w:bookmarkEnd w:id="118"/>
      <w:r w:rsidR="001341CE">
        <w:rPr>
          <w:sz w:val="24"/>
          <w:szCs w:val="24"/>
        </w:rPr>
        <w:t xml:space="preserve">  This ensures proper recording to support Department</w:t>
      </w:r>
      <w:r w:rsidR="003B2E68">
        <w:rPr>
          <w:sz w:val="24"/>
          <w:szCs w:val="24"/>
        </w:rPr>
        <w:t>’s</w:t>
      </w:r>
      <w:r w:rsidR="001341CE">
        <w:rPr>
          <w:sz w:val="24"/>
          <w:szCs w:val="24"/>
        </w:rPr>
        <w:t xml:space="preserve"> functions and audit requirements.</w:t>
      </w:r>
    </w:p>
    <w:p w14:paraId="031FA945" w14:textId="77777777" w:rsidR="004D5034" w:rsidRDefault="004D5034">
      <w:pPr>
        <w:spacing w:line="240" w:lineRule="auto"/>
        <w:rPr>
          <w:sz w:val="24"/>
          <w:szCs w:val="24"/>
        </w:rPr>
      </w:pPr>
    </w:p>
    <w:p w14:paraId="70AD68A5" w14:textId="7DFAD642" w:rsidR="004D5034" w:rsidRPr="004D5034" w:rsidRDefault="004D5034" w:rsidP="004D5034">
      <w:pPr>
        <w:spacing w:line="240" w:lineRule="auto"/>
        <w:rPr>
          <w:sz w:val="24"/>
          <w:szCs w:val="24"/>
          <w:u w:val="single"/>
        </w:rPr>
      </w:pPr>
      <w:bookmarkStart w:id="119" w:name="_Toc22827041"/>
      <w:r>
        <w:rPr>
          <w:sz w:val="24"/>
          <w:szCs w:val="24"/>
          <w:u w:val="single"/>
        </w:rPr>
        <w:t xml:space="preserve">Section </w:t>
      </w:r>
      <w:r w:rsidR="00542A46">
        <w:rPr>
          <w:sz w:val="24"/>
          <w:szCs w:val="24"/>
          <w:u w:val="single"/>
        </w:rPr>
        <w:t xml:space="preserve">117 </w:t>
      </w:r>
      <w:r>
        <w:rPr>
          <w:sz w:val="24"/>
          <w:szCs w:val="24"/>
          <w:u w:val="single"/>
        </w:rPr>
        <w:t>-</w:t>
      </w:r>
      <w:r w:rsidRPr="004D5034">
        <w:rPr>
          <w:sz w:val="24"/>
          <w:szCs w:val="24"/>
          <w:u w:val="single"/>
        </w:rPr>
        <w:t xml:space="preserve"> When tariff rate quota certificate has effect</w:t>
      </w:r>
      <w:bookmarkEnd w:id="119"/>
    </w:p>
    <w:p w14:paraId="68D3AF7B" w14:textId="77777777" w:rsidR="004D5034" w:rsidRDefault="004D5034" w:rsidP="004D5034">
      <w:pPr>
        <w:spacing w:line="240" w:lineRule="auto"/>
        <w:rPr>
          <w:sz w:val="24"/>
          <w:szCs w:val="24"/>
        </w:rPr>
      </w:pPr>
    </w:p>
    <w:p w14:paraId="47948511" w14:textId="06EB47A6" w:rsidR="004D5034" w:rsidRDefault="004D5034" w:rsidP="004D5034">
      <w:pPr>
        <w:spacing w:line="240" w:lineRule="auto"/>
        <w:rPr>
          <w:sz w:val="24"/>
          <w:szCs w:val="24"/>
        </w:rPr>
      </w:pPr>
      <w:r w:rsidRPr="004D5034">
        <w:rPr>
          <w:sz w:val="24"/>
          <w:szCs w:val="24"/>
        </w:rPr>
        <w:t xml:space="preserve">Subsection </w:t>
      </w:r>
      <w:r w:rsidR="00542A46">
        <w:rPr>
          <w:sz w:val="24"/>
          <w:szCs w:val="24"/>
        </w:rPr>
        <w:t>117</w:t>
      </w:r>
      <w:r w:rsidRPr="004D5034">
        <w:rPr>
          <w:sz w:val="24"/>
          <w:szCs w:val="24"/>
        </w:rPr>
        <w:t xml:space="preserve">(1) provides that if a tariff rate quota certificate in relation to a consignment of a </w:t>
      </w:r>
      <w:r w:rsidR="00FE3E4B">
        <w:rPr>
          <w:sz w:val="24"/>
          <w:szCs w:val="24"/>
        </w:rPr>
        <w:t>quota type</w:t>
      </w:r>
      <w:r w:rsidRPr="004D5034">
        <w:rPr>
          <w:sz w:val="24"/>
          <w:szCs w:val="24"/>
        </w:rPr>
        <w:t xml:space="preserve"> for export in a quota year is issued before the start of the quota year, the certificate has no effect before the start of the quota year.</w:t>
      </w:r>
      <w:r w:rsidR="001341CE">
        <w:rPr>
          <w:sz w:val="24"/>
          <w:szCs w:val="24"/>
        </w:rPr>
        <w:t xml:space="preserve"> </w:t>
      </w:r>
    </w:p>
    <w:p w14:paraId="35615364" w14:textId="77777777" w:rsidR="004D5034" w:rsidRPr="004D5034" w:rsidRDefault="004D5034" w:rsidP="004D5034">
      <w:pPr>
        <w:spacing w:line="240" w:lineRule="auto"/>
        <w:rPr>
          <w:sz w:val="24"/>
          <w:szCs w:val="24"/>
        </w:rPr>
      </w:pPr>
    </w:p>
    <w:p w14:paraId="6F974C8D" w14:textId="0B285019" w:rsidR="004D5034" w:rsidRDefault="00542A46" w:rsidP="004D5034">
      <w:pPr>
        <w:spacing w:line="240" w:lineRule="auto"/>
        <w:rPr>
          <w:sz w:val="24"/>
          <w:szCs w:val="24"/>
        </w:rPr>
      </w:pPr>
      <w:r>
        <w:rPr>
          <w:sz w:val="24"/>
          <w:szCs w:val="24"/>
        </w:rPr>
        <w:t>Subsection 117</w:t>
      </w:r>
      <w:r w:rsidR="004D5034" w:rsidRPr="004D5034">
        <w:rPr>
          <w:sz w:val="24"/>
          <w:szCs w:val="24"/>
        </w:rPr>
        <w:t>(2) provides that a tariff rate quota certificate in relation to a consignment of a kind of goods for export to a destination in a quota year ceases to have effect if the consignment is not accepted for entry to that destination before the end of the quota year or if the relevant destination authority has set an earlier expiry date for certificates of that kind, that expiry date.</w:t>
      </w:r>
      <w:r w:rsidR="00FD3D1B">
        <w:rPr>
          <w:sz w:val="24"/>
          <w:szCs w:val="24"/>
        </w:rPr>
        <w:t xml:space="preserve"> This makes clear that a certificate must be used within its stated validity period.</w:t>
      </w:r>
    </w:p>
    <w:p w14:paraId="76F358EA" w14:textId="77777777" w:rsidR="00D05761" w:rsidRPr="004D5034" w:rsidRDefault="00D05761" w:rsidP="004D5034">
      <w:pPr>
        <w:spacing w:line="240" w:lineRule="auto"/>
        <w:rPr>
          <w:sz w:val="24"/>
          <w:szCs w:val="24"/>
        </w:rPr>
      </w:pPr>
    </w:p>
    <w:p w14:paraId="1A60BFC0" w14:textId="249589AE" w:rsidR="004D5034" w:rsidRPr="00D05761" w:rsidRDefault="00D05761" w:rsidP="00D05761">
      <w:pPr>
        <w:spacing w:line="240" w:lineRule="auto"/>
        <w:rPr>
          <w:sz w:val="24"/>
          <w:szCs w:val="24"/>
          <w:u w:val="single"/>
        </w:rPr>
      </w:pPr>
      <w:bookmarkStart w:id="120" w:name="_Toc22827042"/>
      <w:r>
        <w:rPr>
          <w:sz w:val="24"/>
          <w:szCs w:val="24"/>
          <w:u w:val="single"/>
        </w:rPr>
        <w:t xml:space="preserve">Section </w:t>
      </w:r>
      <w:r w:rsidR="00542A46">
        <w:rPr>
          <w:sz w:val="24"/>
          <w:szCs w:val="24"/>
          <w:u w:val="single"/>
        </w:rPr>
        <w:t>118</w:t>
      </w:r>
      <w:r w:rsidR="004D5034" w:rsidRPr="00D05761">
        <w:rPr>
          <w:sz w:val="24"/>
          <w:szCs w:val="24"/>
          <w:u w:val="single"/>
        </w:rPr>
        <w:t xml:space="preserve"> </w:t>
      </w:r>
      <w:r>
        <w:rPr>
          <w:sz w:val="24"/>
          <w:szCs w:val="24"/>
          <w:u w:val="single"/>
        </w:rPr>
        <w:t>-</w:t>
      </w:r>
      <w:r w:rsidR="004D5034" w:rsidRPr="00D05761">
        <w:rPr>
          <w:sz w:val="24"/>
          <w:szCs w:val="24"/>
          <w:u w:val="single"/>
        </w:rPr>
        <w:t xml:space="preserve"> Tariff rate quota certificates not transferable or able to be varied</w:t>
      </w:r>
      <w:bookmarkEnd w:id="120"/>
    </w:p>
    <w:p w14:paraId="6A0CEC19" w14:textId="77777777" w:rsidR="00D05761" w:rsidRDefault="00D05761" w:rsidP="00D05761">
      <w:pPr>
        <w:spacing w:line="240" w:lineRule="auto"/>
        <w:rPr>
          <w:sz w:val="24"/>
          <w:szCs w:val="24"/>
        </w:rPr>
      </w:pPr>
    </w:p>
    <w:p w14:paraId="478252CF" w14:textId="71CBAB80" w:rsidR="004D5034" w:rsidRPr="00D05761" w:rsidRDefault="00542A46" w:rsidP="00D05761">
      <w:pPr>
        <w:spacing w:line="240" w:lineRule="auto"/>
        <w:rPr>
          <w:sz w:val="24"/>
          <w:szCs w:val="24"/>
        </w:rPr>
      </w:pPr>
      <w:r>
        <w:rPr>
          <w:sz w:val="24"/>
          <w:szCs w:val="24"/>
        </w:rPr>
        <w:t>Section 118</w:t>
      </w:r>
      <w:r w:rsidR="00D05761" w:rsidRPr="00D05761">
        <w:rPr>
          <w:sz w:val="24"/>
          <w:szCs w:val="24"/>
        </w:rPr>
        <w:t xml:space="preserve"> provides that a</w:t>
      </w:r>
      <w:r w:rsidR="004D5034" w:rsidRPr="00D05761">
        <w:rPr>
          <w:sz w:val="24"/>
          <w:szCs w:val="24"/>
        </w:rPr>
        <w:t xml:space="preserve"> tariff rate quota certificate is not transferable and may not be varied in any respect.</w:t>
      </w:r>
      <w:r w:rsidR="00FD3D1B">
        <w:rPr>
          <w:sz w:val="24"/>
          <w:szCs w:val="24"/>
        </w:rPr>
        <w:t xml:space="preserve">  </w:t>
      </w:r>
      <w:r w:rsidR="00D05761">
        <w:rPr>
          <w:sz w:val="24"/>
          <w:szCs w:val="24"/>
        </w:rPr>
        <w:t>This section includes a note that a</w:t>
      </w:r>
      <w:r w:rsidR="004D5034" w:rsidRPr="00D05761">
        <w:rPr>
          <w:sz w:val="24"/>
          <w:szCs w:val="24"/>
        </w:rPr>
        <w:t xml:space="preserve"> certificate may be cancelled and, subject to the requirements of this instrument, a new certificate might be issued with similar contents.</w:t>
      </w:r>
    </w:p>
    <w:p w14:paraId="1C0914F0" w14:textId="77777777" w:rsidR="0003795F" w:rsidRDefault="0003795F" w:rsidP="0003795F">
      <w:pPr>
        <w:spacing w:line="240" w:lineRule="auto"/>
        <w:rPr>
          <w:sz w:val="24"/>
          <w:szCs w:val="24"/>
          <w:u w:val="single"/>
        </w:rPr>
      </w:pPr>
      <w:bookmarkStart w:id="121" w:name="_Toc22827043"/>
    </w:p>
    <w:p w14:paraId="6DAFA0CB" w14:textId="2D7F46E3" w:rsidR="004D5034" w:rsidRPr="0003795F" w:rsidRDefault="0003795F" w:rsidP="0003795F">
      <w:pPr>
        <w:spacing w:line="240" w:lineRule="auto"/>
        <w:rPr>
          <w:sz w:val="24"/>
          <w:szCs w:val="24"/>
          <w:u w:val="single"/>
        </w:rPr>
      </w:pPr>
      <w:r>
        <w:rPr>
          <w:sz w:val="24"/>
          <w:szCs w:val="24"/>
          <w:u w:val="single"/>
        </w:rPr>
        <w:t xml:space="preserve">Section </w:t>
      </w:r>
      <w:r w:rsidR="00542A46">
        <w:rPr>
          <w:sz w:val="24"/>
          <w:szCs w:val="24"/>
          <w:u w:val="single"/>
        </w:rPr>
        <w:t>119</w:t>
      </w:r>
      <w:r w:rsidR="004D5034" w:rsidRPr="0003795F">
        <w:rPr>
          <w:sz w:val="24"/>
          <w:szCs w:val="24"/>
          <w:u w:val="single"/>
        </w:rPr>
        <w:t xml:space="preserve"> </w:t>
      </w:r>
      <w:r>
        <w:rPr>
          <w:sz w:val="24"/>
          <w:szCs w:val="24"/>
          <w:u w:val="single"/>
        </w:rPr>
        <w:t>-</w:t>
      </w:r>
      <w:r w:rsidR="004D5034" w:rsidRPr="0003795F">
        <w:rPr>
          <w:sz w:val="24"/>
          <w:szCs w:val="24"/>
          <w:u w:val="single"/>
        </w:rPr>
        <w:t xml:space="preserve"> Cancellation of tariff rate quota certificates</w:t>
      </w:r>
      <w:bookmarkEnd w:id="121"/>
    </w:p>
    <w:p w14:paraId="39B3A5DC" w14:textId="77777777" w:rsidR="0003795F" w:rsidRDefault="0003795F" w:rsidP="0003795F">
      <w:pPr>
        <w:spacing w:line="240" w:lineRule="auto"/>
      </w:pPr>
    </w:p>
    <w:p w14:paraId="4AE10570" w14:textId="41454C29" w:rsidR="000056C5" w:rsidRPr="004C09F5" w:rsidRDefault="0003795F" w:rsidP="004C09F5">
      <w:pPr>
        <w:spacing w:line="240" w:lineRule="auto"/>
        <w:rPr>
          <w:sz w:val="24"/>
          <w:szCs w:val="24"/>
        </w:rPr>
      </w:pPr>
      <w:r w:rsidRPr="0003795F">
        <w:rPr>
          <w:sz w:val="24"/>
          <w:szCs w:val="24"/>
        </w:rPr>
        <w:t xml:space="preserve">Subsection </w:t>
      </w:r>
      <w:r w:rsidR="00542A46">
        <w:rPr>
          <w:sz w:val="24"/>
          <w:szCs w:val="24"/>
        </w:rPr>
        <w:t>119</w:t>
      </w:r>
      <w:r w:rsidR="004D5034" w:rsidRPr="0003795F">
        <w:rPr>
          <w:sz w:val="24"/>
          <w:szCs w:val="24"/>
        </w:rPr>
        <w:t>(1)</w:t>
      </w:r>
      <w:r w:rsidRPr="0003795F">
        <w:rPr>
          <w:sz w:val="24"/>
          <w:szCs w:val="24"/>
        </w:rPr>
        <w:t xml:space="preserve"> provides that t</w:t>
      </w:r>
      <w:r w:rsidR="004D5034" w:rsidRPr="0003795F">
        <w:rPr>
          <w:sz w:val="24"/>
          <w:szCs w:val="24"/>
        </w:rPr>
        <w:t xml:space="preserve">he Secretary must cancel a tariff rate quota certificate in relation to a consignment of a </w:t>
      </w:r>
      <w:r w:rsidR="00FE3E4B">
        <w:rPr>
          <w:sz w:val="24"/>
          <w:szCs w:val="24"/>
        </w:rPr>
        <w:t>quota type</w:t>
      </w:r>
      <w:r w:rsidR="004D5034" w:rsidRPr="0003795F">
        <w:rPr>
          <w:sz w:val="24"/>
          <w:szCs w:val="24"/>
        </w:rPr>
        <w:t xml:space="preserve"> for export in a quota year if</w:t>
      </w:r>
      <w:r w:rsidRPr="0003795F">
        <w:rPr>
          <w:sz w:val="24"/>
          <w:szCs w:val="24"/>
        </w:rPr>
        <w:t xml:space="preserve"> </w:t>
      </w:r>
      <w:r w:rsidR="004D5034" w:rsidRPr="0003795F">
        <w:rPr>
          <w:sz w:val="24"/>
          <w:szCs w:val="24"/>
        </w:rPr>
        <w:t>the person to whom the certificate was issued requests the Secretary to do so and</w:t>
      </w:r>
      <w:r w:rsidRPr="0003795F">
        <w:rPr>
          <w:sz w:val="24"/>
          <w:szCs w:val="24"/>
        </w:rPr>
        <w:t xml:space="preserve"> </w:t>
      </w:r>
      <w:r w:rsidR="004D5034" w:rsidRPr="0003795F">
        <w:rPr>
          <w:sz w:val="24"/>
          <w:szCs w:val="24"/>
        </w:rPr>
        <w:t xml:space="preserve">the certificate has not been </w:t>
      </w:r>
      <w:r w:rsidR="002F4ED8">
        <w:rPr>
          <w:sz w:val="24"/>
          <w:szCs w:val="24"/>
        </w:rPr>
        <w:t>accepted by</w:t>
      </w:r>
      <w:r w:rsidR="004D5034" w:rsidRPr="0003795F">
        <w:rPr>
          <w:sz w:val="24"/>
          <w:szCs w:val="24"/>
        </w:rPr>
        <w:t xml:space="preserve"> the relevant destination authority.</w:t>
      </w:r>
      <w:r w:rsidR="000056C5">
        <w:rPr>
          <w:sz w:val="24"/>
          <w:szCs w:val="24"/>
        </w:rPr>
        <w:t xml:space="preserve"> </w:t>
      </w:r>
      <w:r w:rsidR="000056C5" w:rsidRPr="004C09F5">
        <w:rPr>
          <w:sz w:val="24"/>
          <w:szCs w:val="24"/>
        </w:rPr>
        <w:t xml:space="preserve">If hard copies of the certificate were issued, the person </w:t>
      </w:r>
      <w:r w:rsidR="00DB7016">
        <w:rPr>
          <w:sz w:val="24"/>
          <w:szCs w:val="24"/>
        </w:rPr>
        <w:t xml:space="preserve">must also </w:t>
      </w:r>
      <w:r w:rsidR="000056C5" w:rsidRPr="004C09F5">
        <w:rPr>
          <w:sz w:val="24"/>
          <w:szCs w:val="24"/>
        </w:rPr>
        <w:t>give the Secretary all of the hard copies of the certificate or a declaration, in any form the Secretary requires and accompanied by any evidence the Secretary requires, about why the copies cannot be given.</w:t>
      </w:r>
      <w:r w:rsidR="00DB7016">
        <w:rPr>
          <w:sz w:val="24"/>
          <w:szCs w:val="24"/>
        </w:rPr>
        <w:t xml:space="preserve">  This</w:t>
      </w:r>
      <w:r w:rsidR="00063A25">
        <w:rPr>
          <w:sz w:val="24"/>
          <w:szCs w:val="24"/>
        </w:rPr>
        <w:t xml:space="preserve"> section</w:t>
      </w:r>
      <w:r w:rsidR="00DB7016">
        <w:rPr>
          <w:sz w:val="24"/>
          <w:szCs w:val="24"/>
        </w:rPr>
        <w:t xml:space="preserve"> provides exporters necessary flexibility, without allowing certificates that have already been accepted to be cancelled.</w:t>
      </w:r>
    </w:p>
    <w:p w14:paraId="16E3CB46" w14:textId="0AA2E908" w:rsidR="004D5034" w:rsidRDefault="004D5034" w:rsidP="0003795F">
      <w:pPr>
        <w:spacing w:line="240" w:lineRule="auto"/>
        <w:rPr>
          <w:sz w:val="24"/>
          <w:szCs w:val="24"/>
        </w:rPr>
      </w:pPr>
    </w:p>
    <w:p w14:paraId="0DDAA5EB" w14:textId="1A8790C5" w:rsidR="00DB7016" w:rsidRDefault="0003795F" w:rsidP="0003795F">
      <w:pPr>
        <w:spacing w:line="240" w:lineRule="auto"/>
        <w:rPr>
          <w:sz w:val="24"/>
          <w:szCs w:val="24"/>
        </w:rPr>
      </w:pPr>
      <w:r w:rsidRPr="0003795F">
        <w:rPr>
          <w:sz w:val="24"/>
          <w:szCs w:val="24"/>
        </w:rPr>
        <w:t xml:space="preserve">Subsection </w:t>
      </w:r>
      <w:r w:rsidR="00542A46">
        <w:rPr>
          <w:sz w:val="24"/>
          <w:szCs w:val="24"/>
        </w:rPr>
        <w:t>119</w:t>
      </w:r>
      <w:r w:rsidR="004D5034" w:rsidRPr="0003795F">
        <w:rPr>
          <w:sz w:val="24"/>
          <w:szCs w:val="24"/>
        </w:rPr>
        <w:t>(2)</w:t>
      </w:r>
      <w:r w:rsidRPr="0003795F">
        <w:rPr>
          <w:sz w:val="24"/>
          <w:szCs w:val="24"/>
        </w:rPr>
        <w:t xml:space="preserve"> provides that t</w:t>
      </w:r>
      <w:r w:rsidR="004D5034" w:rsidRPr="0003795F">
        <w:rPr>
          <w:sz w:val="24"/>
          <w:szCs w:val="24"/>
        </w:rPr>
        <w:t xml:space="preserve">he Secretary may cancel a tariff rate quota certificate in relation to a consignment of a </w:t>
      </w:r>
      <w:r w:rsidR="00FE3E4B">
        <w:rPr>
          <w:sz w:val="24"/>
          <w:szCs w:val="24"/>
        </w:rPr>
        <w:t>quota type</w:t>
      </w:r>
      <w:r w:rsidR="004D5034" w:rsidRPr="0003795F">
        <w:rPr>
          <w:sz w:val="24"/>
          <w:szCs w:val="24"/>
        </w:rPr>
        <w:t xml:space="preserve"> for export in a quota year if</w:t>
      </w:r>
      <w:r w:rsidR="00DB7016">
        <w:rPr>
          <w:sz w:val="24"/>
          <w:szCs w:val="24"/>
        </w:rPr>
        <w:t>:</w:t>
      </w:r>
    </w:p>
    <w:p w14:paraId="3F01A72C" w14:textId="77777777" w:rsidR="00DB7016" w:rsidRDefault="004D5034" w:rsidP="000F6D46">
      <w:pPr>
        <w:pStyle w:val="ListParagraph"/>
        <w:numPr>
          <w:ilvl w:val="0"/>
          <w:numId w:val="55"/>
        </w:numPr>
        <w:spacing w:line="240" w:lineRule="auto"/>
        <w:rPr>
          <w:sz w:val="24"/>
          <w:szCs w:val="24"/>
        </w:rPr>
      </w:pPr>
      <w:r w:rsidRPr="00DB7016">
        <w:rPr>
          <w:sz w:val="24"/>
          <w:szCs w:val="24"/>
        </w:rPr>
        <w:t>the certificate</w:t>
      </w:r>
      <w:r w:rsidR="003E538A" w:rsidRPr="00DB7016">
        <w:rPr>
          <w:sz w:val="24"/>
          <w:szCs w:val="24"/>
        </w:rPr>
        <w:t xml:space="preserve"> has not been accepted by the relevant destination authority and</w:t>
      </w:r>
      <w:r w:rsidRPr="00DB7016">
        <w:rPr>
          <w:sz w:val="24"/>
          <w:szCs w:val="24"/>
        </w:rPr>
        <w:t xml:space="preserve"> </w:t>
      </w:r>
    </w:p>
    <w:p w14:paraId="1B97137A" w14:textId="649524E8" w:rsidR="00DB7016" w:rsidRDefault="00DB7016" w:rsidP="000F6D46">
      <w:pPr>
        <w:pStyle w:val="ListParagraph"/>
        <w:numPr>
          <w:ilvl w:val="0"/>
          <w:numId w:val="55"/>
        </w:numPr>
        <w:spacing w:line="240" w:lineRule="auto"/>
        <w:rPr>
          <w:sz w:val="24"/>
          <w:szCs w:val="24"/>
        </w:rPr>
      </w:pPr>
      <w:r>
        <w:rPr>
          <w:sz w:val="24"/>
          <w:szCs w:val="24"/>
        </w:rPr>
        <w:t>if any of the following circumstances apply:</w:t>
      </w:r>
    </w:p>
    <w:p w14:paraId="01FCED35" w14:textId="2AB7C178" w:rsidR="00DB7016" w:rsidRDefault="00DB7016" w:rsidP="000F6D46">
      <w:pPr>
        <w:pStyle w:val="ListParagraph"/>
        <w:numPr>
          <w:ilvl w:val="1"/>
          <w:numId w:val="55"/>
        </w:numPr>
        <w:spacing w:line="240" w:lineRule="auto"/>
        <w:rPr>
          <w:sz w:val="24"/>
          <w:szCs w:val="24"/>
        </w:rPr>
      </w:pPr>
      <w:r>
        <w:rPr>
          <w:sz w:val="24"/>
          <w:szCs w:val="24"/>
        </w:rPr>
        <w:t xml:space="preserve">the certificate </w:t>
      </w:r>
      <w:r w:rsidR="004D5034" w:rsidRPr="00DB7016">
        <w:rPr>
          <w:sz w:val="24"/>
          <w:szCs w:val="24"/>
        </w:rPr>
        <w:t>is incorrect in any respect</w:t>
      </w:r>
      <w:r>
        <w:rPr>
          <w:sz w:val="24"/>
          <w:szCs w:val="24"/>
        </w:rPr>
        <w:t>,</w:t>
      </w:r>
    </w:p>
    <w:p w14:paraId="2FADA294" w14:textId="007861D6" w:rsidR="00DB7016" w:rsidRDefault="004D5034" w:rsidP="000F6D46">
      <w:pPr>
        <w:pStyle w:val="ListParagraph"/>
        <w:numPr>
          <w:ilvl w:val="1"/>
          <w:numId w:val="55"/>
        </w:numPr>
        <w:spacing w:line="240" w:lineRule="auto"/>
        <w:rPr>
          <w:sz w:val="24"/>
          <w:szCs w:val="24"/>
        </w:rPr>
      </w:pPr>
      <w:r w:rsidRPr="00DB7016">
        <w:rPr>
          <w:sz w:val="24"/>
          <w:szCs w:val="24"/>
        </w:rPr>
        <w:t>the consignment does not leave Australia within 6 weeks after the certificate was issued</w:t>
      </w:r>
      <w:r w:rsidR="00DB7016">
        <w:rPr>
          <w:sz w:val="24"/>
          <w:szCs w:val="24"/>
        </w:rPr>
        <w:t>,</w:t>
      </w:r>
      <w:r w:rsidRPr="00DB7016">
        <w:rPr>
          <w:sz w:val="24"/>
          <w:szCs w:val="24"/>
        </w:rPr>
        <w:t xml:space="preserve"> </w:t>
      </w:r>
    </w:p>
    <w:p w14:paraId="286A4756" w14:textId="5DC9A12B" w:rsidR="00DB7016" w:rsidRDefault="004D5034" w:rsidP="000F6D46">
      <w:pPr>
        <w:pStyle w:val="ListParagraph"/>
        <w:numPr>
          <w:ilvl w:val="1"/>
          <w:numId w:val="55"/>
        </w:numPr>
        <w:spacing w:line="240" w:lineRule="auto"/>
        <w:rPr>
          <w:sz w:val="24"/>
          <w:szCs w:val="24"/>
        </w:rPr>
      </w:pPr>
      <w:r w:rsidRPr="00DB7016">
        <w:rPr>
          <w:sz w:val="24"/>
          <w:szCs w:val="24"/>
        </w:rPr>
        <w:lastRenderedPageBreak/>
        <w:t xml:space="preserve">the person to whom the certificate was issued fails to comply with a request under subsection </w:t>
      </w:r>
      <w:r w:rsidR="00542A46" w:rsidRPr="00DB7016">
        <w:rPr>
          <w:sz w:val="24"/>
          <w:szCs w:val="24"/>
        </w:rPr>
        <w:t>125</w:t>
      </w:r>
      <w:r w:rsidRPr="00DB7016">
        <w:rPr>
          <w:sz w:val="24"/>
          <w:szCs w:val="24"/>
        </w:rPr>
        <w:t>(3) (requests relating to audits)</w:t>
      </w:r>
      <w:r w:rsidR="00DB7016">
        <w:rPr>
          <w:sz w:val="24"/>
          <w:szCs w:val="24"/>
        </w:rPr>
        <w:t>,</w:t>
      </w:r>
      <w:r w:rsidRPr="00DB7016">
        <w:rPr>
          <w:sz w:val="24"/>
          <w:szCs w:val="24"/>
        </w:rPr>
        <w:t xml:space="preserve"> </w:t>
      </w:r>
    </w:p>
    <w:p w14:paraId="74615D21" w14:textId="252FFD87" w:rsidR="00DB7016" w:rsidRDefault="004D5034" w:rsidP="000F6D46">
      <w:pPr>
        <w:pStyle w:val="ListParagraph"/>
        <w:numPr>
          <w:ilvl w:val="1"/>
          <w:numId w:val="55"/>
        </w:numPr>
        <w:spacing w:line="240" w:lineRule="auto"/>
        <w:rPr>
          <w:sz w:val="24"/>
          <w:szCs w:val="24"/>
        </w:rPr>
      </w:pPr>
      <w:r w:rsidRPr="00DB7016">
        <w:rPr>
          <w:sz w:val="24"/>
          <w:szCs w:val="24"/>
        </w:rPr>
        <w:t>the person does not hold, or ceases to hold, any licence required under a law of the Commonwealth to export the consignment</w:t>
      </w:r>
      <w:r w:rsidR="00DB7016">
        <w:rPr>
          <w:sz w:val="24"/>
          <w:szCs w:val="24"/>
        </w:rPr>
        <w:t>,</w:t>
      </w:r>
      <w:r w:rsidRPr="00DB7016">
        <w:rPr>
          <w:sz w:val="24"/>
          <w:szCs w:val="24"/>
        </w:rPr>
        <w:t xml:space="preserve"> </w:t>
      </w:r>
    </w:p>
    <w:p w14:paraId="5D4D6B45" w14:textId="3CF03A58" w:rsidR="00DB7016" w:rsidRDefault="0003795F" w:rsidP="000F6D46">
      <w:pPr>
        <w:pStyle w:val="ListParagraph"/>
        <w:numPr>
          <w:ilvl w:val="1"/>
          <w:numId w:val="55"/>
        </w:numPr>
        <w:spacing w:line="240" w:lineRule="auto"/>
        <w:rPr>
          <w:sz w:val="24"/>
          <w:szCs w:val="24"/>
        </w:rPr>
      </w:pPr>
      <w:r w:rsidRPr="00DB7016">
        <w:rPr>
          <w:sz w:val="24"/>
          <w:szCs w:val="24"/>
        </w:rPr>
        <w:t>a</w:t>
      </w:r>
      <w:r w:rsidR="004D5034" w:rsidRPr="00DB7016">
        <w:rPr>
          <w:sz w:val="24"/>
          <w:szCs w:val="24"/>
        </w:rPr>
        <w:t xml:space="preserve"> relevant liability in relation to a tariff rate quota certificate, in relation to a consignment of any </w:t>
      </w:r>
      <w:r w:rsidR="00FE3E4B" w:rsidRPr="00DB7016">
        <w:rPr>
          <w:sz w:val="24"/>
          <w:szCs w:val="24"/>
        </w:rPr>
        <w:t>quota type</w:t>
      </w:r>
      <w:r w:rsidR="004D5034" w:rsidRPr="00DB7016">
        <w:rPr>
          <w:sz w:val="24"/>
          <w:szCs w:val="24"/>
        </w:rPr>
        <w:t>, has not been paid by the person (including if the person is jointly liable with another person or other persons)</w:t>
      </w:r>
      <w:r w:rsidR="00DB7016">
        <w:rPr>
          <w:sz w:val="24"/>
          <w:szCs w:val="24"/>
        </w:rPr>
        <w:t>,</w:t>
      </w:r>
      <w:r w:rsidR="004D5034" w:rsidRPr="00DB7016">
        <w:rPr>
          <w:sz w:val="24"/>
          <w:szCs w:val="24"/>
        </w:rPr>
        <w:t xml:space="preserve"> </w:t>
      </w:r>
    </w:p>
    <w:p w14:paraId="240A42E3" w14:textId="473EEA36" w:rsidR="00DB7016" w:rsidRDefault="004D5034" w:rsidP="000F6D46">
      <w:pPr>
        <w:pStyle w:val="ListParagraph"/>
        <w:numPr>
          <w:ilvl w:val="1"/>
          <w:numId w:val="55"/>
        </w:numPr>
        <w:spacing w:line="240" w:lineRule="auto"/>
        <w:rPr>
          <w:sz w:val="24"/>
          <w:szCs w:val="24"/>
        </w:rPr>
      </w:pPr>
      <w:r w:rsidRPr="00DB7016">
        <w:rPr>
          <w:sz w:val="24"/>
          <w:szCs w:val="24"/>
        </w:rPr>
        <w:t>the person’s business as an exporter of the kind of goods is not financially viable or is not likely to remain so</w:t>
      </w:r>
      <w:r w:rsidR="00DB7016">
        <w:rPr>
          <w:sz w:val="24"/>
          <w:szCs w:val="24"/>
        </w:rPr>
        <w:t>,</w:t>
      </w:r>
      <w:r w:rsidRPr="00DB7016">
        <w:rPr>
          <w:sz w:val="24"/>
          <w:szCs w:val="24"/>
        </w:rPr>
        <w:t xml:space="preserve"> </w:t>
      </w:r>
    </w:p>
    <w:p w14:paraId="1917E704" w14:textId="38B4C772" w:rsidR="004D5034" w:rsidRDefault="0003795F" w:rsidP="000F6D46">
      <w:pPr>
        <w:pStyle w:val="ListParagraph"/>
        <w:numPr>
          <w:ilvl w:val="1"/>
          <w:numId w:val="55"/>
        </w:numPr>
        <w:spacing w:line="240" w:lineRule="auto"/>
        <w:rPr>
          <w:sz w:val="24"/>
          <w:szCs w:val="24"/>
        </w:rPr>
      </w:pPr>
      <w:proofErr w:type="gramStart"/>
      <w:r w:rsidRPr="00DB7016">
        <w:rPr>
          <w:sz w:val="24"/>
          <w:szCs w:val="24"/>
        </w:rPr>
        <w:t>t</w:t>
      </w:r>
      <w:r w:rsidR="004D5034" w:rsidRPr="00DB7016">
        <w:rPr>
          <w:sz w:val="24"/>
          <w:szCs w:val="24"/>
        </w:rPr>
        <w:t>he</w:t>
      </w:r>
      <w:proofErr w:type="gramEnd"/>
      <w:r w:rsidR="004D5034" w:rsidRPr="00DB7016">
        <w:rPr>
          <w:sz w:val="24"/>
          <w:szCs w:val="24"/>
        </w:rPr>
        <w:t xml:space="preserve"> Secretary considers that it would not be in the best interests of the industry relating to the kind of goods for the person to continue to hold the certificate.</w:t>
      </w:r>
    </w:p>
    <w:p w14:paraId="69CC5771" w14:textId="44190B30" w:rsidR="0003795F" w:rsidRDefault="0003795F" w:rsidP="0003795F">
      <w:pPr>
        <w:spacing w:line="240" w:lineRule="auto"/>
        <w:rPr>
          <w:sz w:val="24"/>
          <w:szCs w:val="24"/>
        </w:rPr>
      </w:pPr>
    </w:p>
    <w:p w14:paraId="0AA90F82" w14:textId="6E04764D" w:rsidR="004D5034" w:rsidRDefault="0003795F" w:rsidP="0003795F">
      <w:pPr>
        <w:spacing w:line="240" w:lineRule="auto"/>
        <w:rPr>
          <w:sz w:val="24"/>
          <w:szCs w:val="24"/>
        </w:rPr>
      </w:pPr>
      <w:r w:rsidRPr="0003795F">
        <w:rPr>
          <w:sz w:val="24"/>
          <w:szCs w:val="24"/>
        </w:rPr>
        <w:t xml:space="preserve">Subsection </w:t>
      </w:r>
      <w:r w:rsidR="00542A46">
        <w:rPr>
          <w:sz w:val="24"/>
          <w:szCs w:val="24"/>
        </w:rPr>
        <w:t>119</w:t>
      </w:r>
      <w:r w:rsidR="004D5034" w:rsidRPr="0003795F">
        <w:rPr>
          <w:sz w:val="24"/>
          <w:szCs w:val="24"/>
        </w:rPr>
        <w:t>(</w:t>
      </w:r>
      <w:r w:rsidR="003E538A">
        <w:rPr>
          <w:sz w:val="24"/>
          <w:szCs w:val="24"/>
        </w:rPr>
        <w:t>3</w:t>
      </w:r>
      <w:r w:rsidR="004D5034" w:rsidRPr="0003795F">
        <w:rPr>
          <w:sz w:val="24"/>
          <w:szCs w:val="24"/>
        </w:rPr>
        <w:t>)</w:t>
      </w:r>
      <w:r w:rsidRPr="0003795F">
        <w:rPr>
          <w:sz w:val="24"/>
          <w:szCs w:val="24"/>
        </w:rPr>
        <w:t xml:space="preserve"> provides that i</w:t>
      </w:r>
      <w:r w:rsidR="004D5034" w:rsidRPr="0003795F">
        <w:rPr>
          <w:sz w:val="24"/>
          <w:szCs w:val="24"/>
        </w:rPr>
        <w:t>f the Secretary cancels a tariff rate quota certificate under this section, the Secretary must</w:t>
      </w:r>
      <w:r w:rsidRPr="0003795F">
        <w:rPr>
          <w:sz w:val="24"/>
          <w:szCs w:val="24"/>
        </w:rPr>
        <w:t xml:space="preserve"> </w:t>
      </w:r>
      <w:r w:rsidR="004D5034" w:rsidRPr="0003795F">
        <w:rPr>
          <w:sz w:val="24"/>
          <w:szCs w:val="24"/>
        </w:rPr>
        <w:t>record the cancellation of the certificate in an electronic system maintained by the Department and</w:t>
      </w:r>
      <w:r w:rsidRPr="0003795F">
        <w:rPr>
          <w:sz w:val="24"/>
          <w:szCs w:val="24"/>
        </w:rPr>
        <w:t xml:space="preserve"> </w:t>
      </w:r>
      <w:r w:rsidR="004D5034" w:rsidRPr="0003795F">
        <w:rPr>
          <w:sz w:val="24"/>
          <w:szCs w:val="24"/>
        </w:rPr>
        <w:t>if the cancellation was under subsection </w:t>
      </w:r>
      <w:r w:rsidR="00542A46">
        <w:rPr>
          <w:sz w:val="24"/>
          <w:szCs w:val="24"/>
        </w:rPr>
        <w:t>119</w:t>
      </w:r>
      <w:r w:rsidR="004D5034" w:rsidRPr="0003795F">
        <w:rPr>
          <w:sz w:val="24"/>
          <w:szCs w:val="24"/>
        </w:rPr>
        <w:t>(2), notify the person to whom the certificate was issued, in writing, of the cancellation.</w:t>
      </w:r>
      <w:r w:rsidR="0052663B">
        <w:rPr>
          <w:sz w:val="24"/>
          <w:szCs w:val="24"/>
        </w:rPr>
        <w:t xml:space="preserve"> This ensures </w:t>
      </w:r>
      <w:r w:rsidR="00D167D9">
        <w:rPr>
          <w:sz w:val="24"/>
          <w:szCs w:val="24"/>
        </w:rPr>
        <w:t xml:space="preserve">the person is informed of the cancellation decision, and ensures </w:t>
      </w:r>
      <w:r w:rsidR="0052663B">
        <w:rPr>
          <w:sz w:val="24"/>
          <w:szCs w:val="24"/>
        </w:rPr>
        <w:t>proper recording to support Department</w:t>
      </w:r>
      <w:r w:rsidR="00521D2F">
        <w:rPr>
          <w:sz w:val="24"/>
          <w:szCs w:val="24"/>
        </w:rPr>
        <w:t>’s</w:t>
      </w:r>
      <w:r w:rsidR="0052663B">
        <w:rPr>
          <w:sz w:val="24"/>
          <w:szCs w:val="24"/>
        </w:rPr>
        <w:t xml:space="preserve"> functions and audit requirements</w:t>
      </w:r>
      <w:r w:rsidR="004F0C8A">
        <w:rPr>
          <w:sz w:val="24"/>
          <w:szCs w:val="24"/>
        </w:rPr>
        <w:t>.</w:t>
      </w:r>
    </w:p>
    <w:p w14:paraId="5D80F268" w14:textId="77777777" w:rsidR="003E538A" w:rsidRDefault="003E538A" w:rsidP="0003795F">
      <w:pPr>
        <w:spacing w:line="240" w:lineRule="auto"/>
        <w:rPr>
          <w:sz w:val="24"/>
          <w:szCs w:val="24"/>
        </w:rPr>
      </w:pPr>
    </w:p>
    <w:p w14:paraId="19A25B42" w14:textId="4D2F82A5" w:rsidR="003E538A" w:rsidRPr="004C09F5" w:rsidRDefault="003E538A" w:rsidP="004C09F5">
      <w:pPr>
        <w:spacing w:line="240" w:lineRule="auto"/>
        <w:rPr>
          <w:sz w:val="24"/>
          <w:szCs w:val="24"/>
        </w:rPr>
      </w:pPr>
      <w:r w:rsidRPr="003E538A">
        <w:rPr>
          <w:sz w:val="24"/>
          <w:szCs w:val="24"/>
        </w:rPr>
        <w:t xml:space="preserve">Subsection </w:t>
      </w:r>
      <w:r w:rsidR="00542A46">
        <w:rPr>
          <w:sz w:val="24"/>
          <w:szCs w:val="24"/>
        </w:rPr>
        <w:t>119</w:t>
      </w:r>
      <w:r w:rsidRPr="003E538A">
        <w:rPr>
          <w:sz w:val="24"/>
          <w:szCs w:val="24"/>
        </w:rPr>
        <w:t>(4</w:t>
      </w:r>
      <w:r w:rsidRPr="00745FC7">
        <w:rPr>
          <w:sz w:val="24"/>
          <w:szCs w:val="24"/>
        </w:rPr>
        <w:t xml:space="preserve">) provides that </w:t>
      </w:r>
      <w:r w:rsidR="00521D2F">
        <w:rPr>
          <w:sz w:val="24"/>
          <w:szCs w:val="24"/>
        </w:rPr>
        <w:t>the</w:t>
      </w:r>
      <w:r w:rsidR="00521D2F" w:rsidRPr="004C09F5">
        <w:rPr>
          <w:sz w:val="24"/>
          <w:szCs w:val="24"/>
        </w:rPr>
        <w:t xml:space="preserve"> </w:t>
      </w:r>
      <w:r w:rsidRPr="004C09F5">
        <w:rPr>
          <w:sz w:val="24"/>
          <w:szCs w:val="24"/>
        </w:rPr>
        <w:t xml:space="preserve">notice under paragraph </w:t>
      </w:r>
      <w:r w:rsidR="00542A46">
        <w:rPr>
          <w:sz w:val="24"/>
          <w:szCs w:val="24"/>
        </w:rPr>
        <w:t>119</w:t>
      </w:r>
      <w:r w:rsidRPr="004C09F5">
        <w:rPr>
          <w:sz w:val="24"/>
          <w:szCs w:val="24"/>
        </w:rPr>
        <w:t>(3</w:t>
      </w:r>
      <w:proofErr w:type="gramStart"/>
      <w:r w:rsidRPr="004C09F5">
        <w:rPr>
          <w:sz w:val="24"/>
          <w:szCs w:val="24"/>
        </w:rPr>
        <w:t>)</w:t>
      </w:r>
      <w:r w:rsidR="00521D2F">
        <w:rPr>
          <w:sz w:val="24"/>
          <w:szCs w:val="24"/>
        </w:rPr>
        <w:t>(</w:t>
      </w:r>
      <w:proofErr w:type="gramEnd"/>
      <w:r w:rsidR="00521D2F">
        <w:rPr>
          <w:sz w:val="24"/>
          <w:szCs w:val="24"/>
        </w:rPr>
        <w:t>b)</w:t>
      </w:r>
      <w:r w:rsidRPr="004C09F5">
        <w:rPr>
          <w:sz w:val="24"/>
          <w:szCs w:val="24"/>
        </w:rPr>
        <w:t xml:space="preserve"> must include the reasons for the cancellation and information about the person’s right to have the decision reviewed.</w:t>
      </w:r>
      <w:r w:rsidR="004F0C8A">
        <w:rPr>
          <w:sz w:val="24"/>
          <w:szCs w:val="24"/>
        </w:rPr>
        <w:t xml:space="preserve"> This ensures the applicant is granted procedural fairness.</w:t>
      </w:r>
    </w:p>
    <w:p w14:paraId="36E056D9" w14:textId="08B633D5" w:rsidR="003E538A" w:rsidRDefault="003E538A" w:rsidP="0003795F">
      <w:pPr>
        <w:spacing w:line="240" w:lineRule="auto"/>
        <w:rPr>
          <w:sz w:val="24"/>
          <w:szCs w:val="24"/>
        </w:rPr>
      </w:pPr>
    </w:p>
    <w:p w14:paraId="1EAFAEB8" w14:textId="32B3CFCE" w:rsidR="004D5034" w:rsidRDefault="0003795F" w:rsidP="0003795F">
      <w:pPr>
        <w:spacing w:line="240" w:lineRule="auto"/>
        <w:rPr>
          <w:sz w:val="24"/>
          <w:szCs w:val="24"/>
        </w:rPr>
      </w:pPr>
      <w:r w:rsidRPr="0003795F">
        <w:rPr>
          <w:sz w:val="24"/>
          <w:szCs w:val="24"/>
        </w:rPr>
        <w:t xml:space="preserve">Subsection </w:t>
      </w:r>
      <w:r w:rsidR="00542A46">
        <w:rPr>
          <w:sz w:val="24"/>
          <w:szCs w:val="24"/>
        </w:rPr>
        <w:t>119</w:t>
      </w:r>
      <w:r w:rsidR="004D5034" w:rsidRPr="0003795F">
        <w:rPr>
          <w:sz w:val="24"/>
          <w:szCs w:val="24"/>
        </w:rPr>
        <w:t>(5)</w:t>
      </w:r>
      <w:r w:rsidRPr="0003795F">
        <w:rPr>
          <w:sz w:val="24"/>
          <w:szCs w:val="24"/>
        </w:rPr>
        <w:t xml:space="preserve"> provides f</w:t>
      </w:r>
      <w:r w:rsidR="004D5034" w:rsidRPr="0003795F">
        <w:rPr>
          <w:sz w:val="24"/>
          <w:szCs w:val="24"/>
        </w:rPr>
        <w:t xml:space="preserve">or the purposes of working out the weight of tariff rate quota certificates that have been issued in relation to consignments of a </w:t>
      </w:r>
      <w:r w:rsidR="00FE3E4B">
        <w:rPr>
          <w:sz w:val="24"/>
          <w:szCs w:val="24"/>
        </w:rPr>
        <w:t>quota type</w:t>
      </w:r>
      <w:r w:rsidR="004D5034" w:rsidRPr="0003795F">
        <w:rPr>
          <w:sz w:val="24"/>
          <w:szCs w:val="24"/>
        </w:rPr>
        <w:t>, a tariff rate quota certificate that is cancelled under this section is taken never to have been issued.</w:t>
      </w:r>
      <w:r w:rsidR="004F0C8A">
        <w:rPr>
          <w:sz w:val="24"/>
          <w:szCs w:val="24"/>
        </w:rPr>
        <w:t xml:space="preserve"> This ensures that amounts </w:t>
      </w:r>
      <w:r w:rsidR="00521D2F">
        <w:rPr>
          <w:sz w:val="24"/>
          <w:szCs w:val="24"/>
        </w:rPr>
        <w:t xml:space="preserve">of tariff rate quota entitlement </w:t>
      </w:r>
      <w:r w:rsidR="004F0C8A">
        <w:rPr>
          <w:sz w:val="24"/>
          <w:szCs w:val="24"/>
        </w:rPr>
        <w:t>relating to cancelled certificates can be issued again, so no amount of quota is lost due to cancellations.</w:t>
      </w:r>
    </w:p>
    <w:p w14:paraId="3A2FF3CE" w14:textId="77777777" w:rsidR="0003795F" w:rsidRDefault="0003795F" w:rsidP="0003795F">
      <w:pPr>
        <w:spacing w:line="240" w:lineRule="auto"/>
        <w:rPr>
          <w:sz w:val="24"/>
          <w:szCs w:val="24"/>
        </w:rPr>
      </w:pPr>
    </w:p>
    <w:p w14:paraId="10226BDC" w14:textId="2158F5FC" w:rsidR="004D5034" w:rsidRPr="0003795F" w:rsidRDefault="0003795F" w:rsidP="0003795F">
      <w:pPr>
        <w:spacing w:line="240" w:lineRule="auto"/>
        <w:rPr>
          <w:sz w:val="24"/>
          <w:szCs w:val="24"/>
        </w:rPr>
      </w:pPr>
      <w:r w:rsidRPr="0003795F">
        <w:rPr>
          <w:sz w:val="24"/>
          <w:szCs w:val="24"/>
        </w:rPr>
        <w:t xml:space="preserve">Subsection </w:t>
      </w:r>
      <w:r w:rsidR="00542A46">
        <w:rPr>
          <w:sz w:val="24"/>
          <w:szCs w:val="24"/>
        </w:rPr>
        <w:t>119</w:t>
      </w:r>
      <w:r w:rsidR="004D5034" w:rsidRPr="0003795F">
        <w:rPr>
          <w:sz w:val="24"/>
          <w:szCs w:val="24"/>
        </w:rPr>
        <w:t>(6)</w:t>
      </w:r>
      <w:r w:rsidRPr="0003795F">
        <w:rPr>
          <w:sz w:val="24"/>
          <w:szCs w:val="24"/>
        </w:rPr>
        <w:t xml:space="preserve"> provides that</w:t>
      </w:r>
      <w:r w:rsidR="004D5034" w:rsidRPr="0003795F">
        <w:rPr>
          <w:sz w:val="24"/>
          <w:szCs w:val="24"/>
        </w:rPr>
        <w:t xml:space="preserve"> subsection </w:t>
      </w:r>
      <w:r w:rsidR="00542A46">
        <w:rPr>
          <w:sz w:val="24"/>
          <w:szCs w:val="24"/>
        </w:rPr>
        <w:t>119</w:t>
      </w:r>
      <w:r w:rsidR="004D5034" w:rsidRPr="0003795F">
        <w:rPr>
          <w:sz w:val="24"/>
          <w:szCs w:val="24"/>
        </w:rPr>
        <w:t>(5) does not apply in relation to determining, for the purposes of the high-fill trigge</w:t>
      </w:r>
      <w:r w:rsidR="002F4ED8">
        <w:rPr>
          <w:sz w:val="24"/>
          <w:szCs w:val="24"/>
        </w:rPr>
        <w:t>r</w:t>
      </w:r>
      <w:r w:rsidR="004D5034" w:rsidRPr="0003795F">
        <w:rPr>
          <w:sz w:val="24"/>
          <w:szCs w:val="24"/>
        </w:rPr>
        <w:t xml:space="preserve"> method, whether the allocation trigger for a </w:t>
      </w:r>
      <w:r w:rsidR="00FE3E4B">
        <w:rPr>
          <w:sz w:val="24"/>
          <w:szCs w:val="24"/>
        </w:rPr>
        <w:t>quota type</w:t>
      </w:r>
      <w:r w:rsidR="004D5034" w:rsidRPr="0003795F">
        <w:rPr>
          <w:sz w:val="24"/>
          <w:szCs w:val="24"/>
        </w:rPr>
        <w:t xml:space="preserve"> and a quota year occurs</w:t>
      </w:r>
      <w:r w:rsidR="006563DB">
        <w:rPr>
          <w:sz w:val="24"/>
          <w:szCs w:val="24"/>
        </w:rPr>
        <w:t xml:space="preserve"> (detailed in section 15)</w:t>
      </w:r>
      <w:r w:rsidR="004D5034" w:rsidRPr="0003795F">
        <w:rPr>
          <w:sz w:val="24"/>
          <w:szCs w:val="24"/>
        </w:rPr>
        <w:t>.</w:t>
      </w:r>
      <w:r w:rsidR="004F0C8A">
        <w:rPr>
          <w:sz w:val="24"/>
          <w:szCs w:val="24"/>
        </w:rPr>
        <w:t xml:space="preserve"> </w:t>
      </w:r>
    </w:p>
    <w:p w14:paraId="1469D70E" w14:textId="77777777" w:rsidR="0003795F" w:rsidRDefault="0003795F">
      <w:pPr>
        <w:spacing w:line="240" w:lineRule="auto"/>
        <w:rPr>
          <w:sz w:val="24"/>
          <w:szCs w:val="24"/>
        </w:rPr>
      </w:pPr>
    </w:p>
    <w:p w14:paraId="34E53453" w14:textId="77777777" w:rsidR="0024631E" w:rsidRDefault="0003795F">
      <w:pPr>
        <w:spacing w:line="240" w:lineRule="auto"/>
        <w:rPr>
          <w:b/>
          <w:sz w:val="28"/>
          <w:szCs w:val="28"/>
        </w:rPr>
      </w:pPr>
      <w:r w:rsidRPr="0003795F">
        <w:rPr>
          <w:b/>
          <w:sz w:val="28"/>
          <w:szCs w:val="28"/>
        </w:rPr>
        <w:t>Chapter 5 - Review of decisions</w:t>
      </w:r>
    </w:p>
    <w:p w14:paraId="3E7B677E" w14:textId="77777777" w:rsidR="0024631E" w:rsidRDefault="0024631E">
      <w:pPr>
        <w:spacing w:line="240" w:lineRule="auto"/>
        <w:rPr>
          <w:b/>
          <w:sz w:val="24"/>
          <w:szCs w:val="24"/>
        </w:rPr>
      </w:pPr>
    </w:p>
    <w:p w14:paraId="1AEE7246" w14:textId="77777777" w:rsidR="0024631E" w:rsidRDefault="0024631E">
      <w:pPr>
        <w:spacing w:line="240" w:lineRule="auto"/>
        <w:rPr>
          <w:b/>
          <w:sz w:val="24"/>
          <w:szCs w:val="24"/>
        </w:rPr>
      </w:pPr>
    </w:p>
    <w:p w14:paraId="0F5B62A0" w14:textId="6CE17E04" w:rsidR="00802023" w:rsidRPr="00802023" w:rsidRDefault="00802023" w:rsidP="00802023">
      <w:pPr>
        <w:spacing w:line="240" w:lineRule="auto"/>
        <w:rPr>
          <w:sz w:val="24"/>
          <w:szCs w:val="24"/>
          <w:u w:val="single"/>
        </w:rPr>
      </w:pPr>
      <w:bookmarkStart w:id="122" w:name="_Toc22827046"/>
      <w:r>
        <w:rPr>
          <w:sz w:val="24"/>
          <w:szCs w:val="24"/>
          <w:u w:val="single"/>
        </w:rPr>
        <w:t xml:space="preserve">Section </w:t>
      </w:r>
      <w:r w:rsidR="00542A46">
        <w:rPr>
          <w:sz w:val="24"/>
          <w:szCs w:val="24"/>
          <w:u w:val="single"/>
        </w:rPr>
        <w:t>120</w:t>
      </w:r>
      <w:r w:rsidRPr="00802023">
        <w:rPr>
          <w:sz w:val="24"/>
          <w:szCs w:val="24"/>
          <w:u w:val="single"/>
        </w:rPr>
        <w:t xml:space="preserve"> </w:t>
      </w:r>
      <w:r>
        <w:rPr>
          <w:sz w:val="24"/>
          <w:szCs w:val="24"/>
          <w:u w:val="single"/>
        </w:rPr>
        <w:t>-</w:t>
      </w:r>
      <w:r w:rsidRPr="00802023">
        <w:rPr>
          <w:sz w:val="24"/>
          <w:szCs w:val="24"/>
          <w:u w:val="single"/>
        </w:rPr>
        <w:t xml:space="preserve"> Initial decisions</w:t>
      </w:r>
      <w:bookmarkEnd w:id="122"/>
    </w:p>
    <w:p w14:paraId="3FE344FB" w14:textId="7ACC1F6E" w:rsidR="00802023" w:rsidRPr="00F93A3D" w:rsidRDefault="00802023" w:rsidP="00802023">
      <w:pPr>
        <w:pStyle w:val="subsection"/>
      </w:pPr>
      <w:r>
        <w:tab/>
      </w:r>
      <w:r w:rsidR="00521D2F">
        <w:t>Section 120 provides that e</w:t>
      </w:r>
      <w:r w:rsidRPr="00F93A3D">
        <w:t xml:space="preserve">ach of the decisions referred to in column 1 of the following table is an </w:t>
      </w:r>
      <w:r w:rsidRPr="00B51759">
        <w:rPr>
          <w:i/>
        </w:rPr>
        <w:t>initial decision</w:t>
      </w:r>
      <w:r w:rsidRPr="00F93A3D">
        <w:t>.</w:t>
      </w:r>
    </w:p>
    <w:p w14:paraId="0CDA1526" w14:textId="77777777" w:rsidR="00802023" w:rsidRPr="00F93A3D" w:rsidRDefault="00802023" w:rsidP="00802023">
      <w:pPr>
        <w:pStyle w:val="Tabletext0"/>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802023" w:rsidRPr="00F93A3D" w14:paraId="6E0CFA82" w14:textId="77777777" w:rsidTr="009D5DD3">
        <w:trPr>
          <w:tblHeader/>
        </w:trPr>
        <w:tc>
          <w:tcPr>
            <w:tcW w:w="7086" w:type="dxa"/>
            <w:gridSpan w:val="4"/>
            <w:tcBorders>
              <w:top w:val="single" w:sz="12" w:space="0" w:color="auto"/>
              <w:bottom w:val="single" w:sz="6" w:space="0" w:color="auto"/>
            </w:tcBorders>
            <w:shd w:val="clear" w:color="auto" w:fill="auto"/>
          </w:tcPr>
          <w:p w14:paraId="2569FC9E" w14:textId="77777777" w:rsidR="00802023" w:rsidRPr="00F93A3D" w:rsidRDefault="00802023" w:rsidP="009D5DD3">
            <w:pPr>
              <w:pStyle w:val="TableHeading0"/>
            </w:pPr>
            <w:r w:rsidRPr="00F93A3D">
              <w:t>Initial decisions</w:t>
            </w:r>
          </w:p>
        </w:tc>
      </w:tr>
      <w:tr w:rsidR="00802023" w:rsidRPr="00F93A3D" w14:paraId="391CCCAD" w14:textId="77777777" w:rsidTr="009D5DD3">
        <w:trPr>
          <w:tblHeader/>
        </w:trPr>
        <w:tc>
          <w:tcPr>
            <w:tcW w:w="714" w:type="dxa"/>
            <w:tcBorders>
              <w:top w:val="single" w:sz="6" w:space="0" w:color="auto"/>
              <w:bottom w:val="single" w:sz="12" w:space="0" w:color="auto"/>
            </w:tcBorders>
            <w:shd w:val="clear" w:color="auto" w:fill="auto"/>
          </w:tcPr>
          <w:p w14:paraId="02F34783" w14:textId="77777777" w:rsidR="00802023" w:rsidRPr="00F93A3D" w:rsidRDefault="00802023" w:rsidP="009D5DD3">
            <w:pPr>
              <w:pStyle w:val="TableHeading0"/>
            </w:pPr>
            <w:r w:rsidRPr="00F93A3D">
              <w:t>Item</w:t>
            </w:r>
          </w:p>
        </w:tc>
        <w:tc>
          <w:tcPr>
            <w:tcW w:w="2124" w:type="dxa"/>
            <w:tcBorders>
              <w:top w:val="single" w:sz="6" w:space="0" w:color="auto"/>
              <w:bottom w:val="single" w:sz="12" w:space="0" w:color="auto"/>
            </w:tcBorders>
            <w:shd w:val="clear" w:color="auto" w:fill="auto"/>
          </w:tcPr>
          <w:p w14:paraId="4A0B30D9" w14:textId="77777777" w:rsidR="00802023" w:rsidRPr="00F93A3D" w:rsidRDefault="00802023" w:rsidP="009D5DD3">
            <w:pPr>
              <w:pStyle w:val="TableHeading0"/>
            </w:pPr>
            <w:r w:rsidRPr="00F93A3D">
              <w:t>Column 1</w:t>
            </w:r>
          </w:p>
          <w:p w14:paraId="2A5DE0E2" w14:textId="77777777" w:rsidR="00802023" w:rsidRPr="00F93A3D" w:rsidRDefault="00802023" w:rsidP="009D5DD3">
            <w:pPr>
              <w:pStyle w:val="TableHeading0"/>
            </w:pPr>
            <w:r w:rsidRPr="00F93A3D">
              <w:t>Initial decision</w:t>
            </w:r>
          </w:p>
        </w:tc>
        <w:tc>
          <w:tcPr>
            <w:tcW w:w="2124" w:type="dxa"/>
            <w:tcBorders>
              <w:top w:val="single" w:sz="6" w:space="0" w:color="auto"/>
              <w:bottom w:val="single" w:sz="12" w:space="0" w:color="auto"/>
            </w:tcBorders>
            <w:shd w:val="clear" w:color="auto" w:fill="auto"/>
          </w:tcPr>
          <w:p w14:paraId="6E8905BB" w14:textId="77777777" w:rsidR="00802023" w:rsidRPr="00F93A3D" w:rsidRDefault="00802023" w:rsidP="009D5DD3">
            <w:pPr>
              <w:pStyle w:val="TableHeading0"/>
            </w:pPr>
            <w:r w:rsidRPr="00F93A3D">
              <w:t>Column 2</w:t>
            </w:r>
          </w:p>
          <w:p w14:paraId="19ADC9A7" w14:textId="77777777" w:rsidR="00802023" w:rsidRPr="00F93A3D" w:rsidRDefault="00802023" w:rsidP="009D5DD3">
            <w:pPr>
              <w:pStyle w:val="TableHeading0"/>
            </w:pPr>
            <w:r w:rsidRPr="00F93A3D">
              <w:t>Provision under which the initial decision is made</w:t>
            </w:r>
          </w:p>
        </w:tc>
        <w:tc>
          <w:tcPr>
            <w:tcW w:w="2124" w:type="dxa"/>
            <w:tcBorders>
              <w:top w:val="single" w:sz="6" w:space="0" w:color="auto"/>
              <w:bottom w:val="single" w:sz="12" w:space="0" w:color="auto"/>
            </w:tcBorders>
            <w:shd w:val="clear" w:color="auto" w:fill="auto"/>
          </w:tcPr>
          <w:p w14:paraId="3B1DC2BE" w14:textId="77777777" w:rsidR="00802023" w:rsidRPr="00F93A3D" w:rsidRDefault="00802023" w:rsidP="009D5DD3">
            <w:pPr>
              <w:pStyle w:val="TableHeading0"/>
            </w:pPr>
            <w:r w:rsidRPr="00F93A3D">
              <w:t>Column 3</w:t>
            </w:r>
          </w:p>
          <w:p w14:paraId="7FC4B9E7" w14:textId="77777777" w:rsidR="00802023" w:rsidRPr="00F93A3D" w:rsidRDefault="00802023" w:rsidP="009D5DD3">
            <w:pPr>
              <w:pStyle w:val="TableHeading0"/>
            </w:pPr>
            <w:r w:rsidRPr="00F93A3D">
              <w:t>Relevant person for the initial decision</w:t>
            </w:r>
          </w:p>
        </w:tc>
      </w:tr>
      <w:tr w:rsidR="00802023" w:rsidRPr="00F93A3D" w14:paraId="7A6E8A1E" w14:textId="77777777" w:rsidTr="009D5DD3">
        <w:tc>
          <w:tcPr>
            <w:tcW w:w="714" w:type="dxa"/>
            <w:tcBorders>
              <w:top w:val="single" w:sz="12" w:space="0" w:color="auto"/>
              <w:bottom w:val="single" w:sz="2" w:space="0" w:color="auto"/>
            </w:tcBorders>
            <w:shd w:val="clear" w:color="auto" w:fill="auto"/>
          </w:tcPr>
          <w:p w14:paraId="20E4E922" w14:textId="77777777" w:rsidR="00802023" w:rsidRPr="00F93A3D" w:rsidRDefault="00802023" w:rsidP="009D5DD3">
            <w:pPr>
              <w:pStyle w:val="Tabletext0"/>
            </w:pPr>
            <w:r w:rsidRPr="00F93A3D">
              <w:t>1</w:t>
            </w:r>
          </w:p>
        </w:tc>
        <w:tc>
          <w:tcPr>
            <w:tcW w:w="2124" w:type="dxa"/>
            <w:tcBorders>
              <w:top w:val="single" w:sz="12" w:space="0" w:color="auto"/>
              <w:bottom w:val="single" w:sz="2" w:space="0" w:color="auto"/>
            </w:tcBorders>
            <w:shd w:val="clear" w:color="auto" w:fill="auto"/>
          </w:tcPr>
          <w:p w14:paraId="08D0807E" w14:textId="77777777" w:rsidR="00802023" w:rsidRPr="00F93A3D" w:rsidRDefault="00802023" w:rsidP="009D5DD3">
            <w:pPr>
              <w:pStyle w:val="Tabletext0"/>
            </w:pPr>
            <w:r w:rsidRPr="00F93A3D">
              <w:t>Not to issue a tariff rate quota certificate</w:t>
            </w:r>
          </w:p>
        </w:tc>
        <w:tc>
          <w:tcPr>
            <w:tcW w:w="2124" w:type="dxa"/>
            <w:tcBorders>
              <w:top w:val="single" w:sz="12" w:space="0" w:color="auto"/>
              <w:bottom w:val="single" w:sz="2" w:space="0" w:color="auto"/>
            </w:tcBorders>
            <w:shd w:val="clear" w:color="auto" w:fill="auto"/>
          </w:tcPr>
          <w:p w14:paraId="41DE0BA9" w14:textId="7EDE037A" w:rsidR="00802023" w:rsidRPr="00F93A3D" w:rsidRDefault="00802023" w:rsidP="009D5DD3">
            <w:pPr>
              <w:pStyle w:val="Tabletext0"/>
            </w:pPr>
            <w:r w:rsidRPr="00F93A3D">
              <w:t xml:space="preserve">Subsection </w:t>
            </w:r>
            <w:r w:rsidR="00FF72F4">
              <w:t>115</w:t>
            </w:r>
            <w:r w:rsidRPr="00F93A3D">
              <w:t>(</w:t>
            </w:r>
            <w:r>
              <w:t>2</w:t>
            </w:r>
            <w:r w:rsidRPr="00F93A3D">
              <w:t>)</w:t>
            </w:r>
          </w:p>
        </w:tc>
        <w:tc>
          <w:tcPr>
            <w:tcW w:w="2124" w:type="dxa"/>
            <w:tcBorders>
              <w:top w:val="single" w:sz="12" w:space="0" w:color="auto"/>
              <w:bottom w:val="single" w:sz="2" w:space="0" w:color="auto"/>
            </w:tcBorders>
            <w:shd w:val="clear" w:color="auto" w:fill="auto"/>
          </w:tcPr>
          <w:p w14:paraId="7E721A79" w14:textId="77777777" w:rsidR="00802023" w:rsidRPr="00F93A3D" w:rsidRDefault="00802023" w:rsidP="009D5DD3">
            <w:pPr>
              <w:pStyle w:val="Tabletext0"/>
            </w:pPr>
            <w:r w:rsidRPr="00F93A3D">
              <w:t>The person who applied for the certificate</w:t>
            </w:r>
          </w:p>
        </w:tc>
      </w:tr>
      <w:tr w:rsidR="00802023" w:rsidRPr="00F93A3D" w14:paraId="1A13C6F7" w14:textId="77777777" w:rsidTr="009D5DD3">
        <w:tc>
          <w:tcPr>
            <w:tcW w:w="714" w:type="dxa"/>
            <w:tcBorders>
              <w:top w:val="single" w:sz="2" w:space="0" w:color="auto"/>
              <w:bottom w:val="single" w:sz="12" w:space="0" w:color="auto"/>
            </w:tcBorders>
            <w:shd w:val="clear" w:color="auto" w:fill="auto"/>
          </w:tcPr>
          <w:p w14:paraId="7DB58BF8" w14:textId="77777777" w:rsidR="00802023" w:rsidRPr="00F93A3D" w:rsidRDefault="00802023" w:rsidP="009D5DD3">
            <w:pPr>
              <w:pStyle w:val="Tabletext0"/>
            </w:pPr>
            <w:r>
              <w:lastRenderedPageBreak/>
              <w:t>2</w:t>
            </w:r>
          </w:p>
        </w:tc>
        <w:tc>
          <w:tcPr>
            <w:tcW w:w="2124" w:type="dxa"/>
            <w:tcBorders>
              <w:top w:val="single" w:sz="2" w:space="0" w:color="auto"/>
              <w:bottom w:val="single" w:sz="12" w:space="0" w:color="auto"/>
            </w:tcBorders>
            <w:shd w:val="clear" w:color="auto" w:fill="auto"/>
          </w:tcPr>
          <w:p w14:paraId="38C798AA" w14:textId="77777777" w:rsidR="00802023" w:rsidRPr="00F93A3D" w:rsidRDefault="00802023" w:rsidP="009D5DD3">
            <w:pPr>
              <w:pStyle w:val="Tabletext0"/>
            </w:pPr>
            <w:r w:rsidRPr="00F93A3D">
              <w:t>To cancel a tariff rate quota certificate</w:t>
            </w:r>
          </w:p>
        </w:tc>
        <w:tc>
          <w:tcPr>
            <w:tcW w:w="2124" w:type="dxa"/>
            <w:tcBorders>
              <w:top w:val="single" w:sz="2" w:space="0" w:color="auto"/>
              <w:bottom w:val="single" w:sz="12" w:space="0" w:color="auto"/>
            </w:tcBorders>
            <w:shd w:val="clear" w:color="auto" w:fill="auto"/>
          </w:tcPr>
          <w:p w14:paraId="5C387711" w14:textId="26385BEE" w:rsidR="00802023" w:rsidRPr="00F93A3D" w:rsidRDefault="00802023" w:rsidP="009D5DD3">
            <w:pPr>
              <w:pStyle w:val="Tabletext0"/>
            </w:pPr>
            <w:r w:rsidRPr="00F93A3D">
              <w:t xml:space="preserve">Subsection </w:t>
            </w:r>
            <w:r w:rsidR="00542A46">
              <w:t>119</w:t>
            </w:r>
            <w:r w:rsidRPr="00F93A3D">
              <w:t>(2)</w:t>
            </w:r>
          </w:p>
        </w:tc>
        <w:tc>
          <w:tcPr>
            <w:tcW w:w="2124" w:type="dxa"/>
            <w:tcBorders>
              <w:top w:val="single" w:sz="2" w:space="0" w:color="auto"/>
              <w:bottom w:val="single" w:sz="12" w:space="0" w:color="auto"/>
            </w:tcBorders>
            <w:shd w:val="clear" w:color="auto" w:fill="auto"/>
          </w:tcPr>
          <w:p w14:paraId="7D3CA1B0" w14:textId="77777777" w:rsidR="00802023" w:rsidRPr="00F93A3D" w:rsidRDefault="00802023" w:rsidP="009D5DD3">
            <w:pPr>
              <w:pStyle w:val="Tabletext0"/>
            </w:pPr>
            <w:r w:rsidRPr="00F93A3D">
              <w:t>The person to whom the certificate was issued</w:t>
            </w:r>
          </w:p>
        </w:tc>
      </w:tr>
    </w:tbl>
    <w:p w14:paraId="25C43C47" w14:textId="77777777" w:rsidR="00802023" w:rsidRDefault="00802023">
      <w:pPr>
        <w:spacing w:line="240" w:lineRule="auto"/>
        <w:rPr>
          <w:sz w:val="28"/>
          <w:szCs w:val="28"/>
        </w:rPr>
      </w:pPr>
    </w:p>
    <w:p w14:paraId="7FCDE320" w14:textId="5B2B6FA2" w:rsidR="00802023" w:rsidRPr="00802023" w:rsidRDefault="00802023" w:rsidP="00802023">
      <w:pPr>
        <w:spacing w:line="240" w:lineRule="auto"/>
        <w:rPr>
          <w:sz w:val="24"/>
          <w:szCs w:val="24"/>
          <w:u w:val="single"/>
        </w:rPr>
      </w:pPr>
      <w:bookmarkStart w:id="123" w:name="_Toc22827047"/>
      <w:r>
        <w:rPr>
          <w:sz w:val="24"/>
          <w:szCs w:val="24"/>
          <w:u w:val="single"/>
        </w:rPr>
        <w:t xml:space="preserve">Section </w:t>
      </w:r>
      <w:r w:rsidR="00542A46">
        <w:rPr>
          <w:sz w:val="24"/>
          <w:szCs w:val="24"/>
          <w:u w:val="single"/>
        </w:rPr>
        <w:t>121</w:t>
      </w:r>
      <w:r w:rsidRPr="00802023">
        <w:rPr>
          <w:sz w:val="24"/>
          <w:szCs w:val="24"/>
          <w:u w:val="single"/>
        </w:rPr>
        <w:t xml:space="preserve"> </w:t>
      </w:r>
      <w:r>
        <w:rPr>
          <w:sz w:val="24"/>
          <w:szCs w:val="24"/>
          <w:u w:val="single"/>
        </w:rPr>
        <w:t>-</w:t>
      </w:r>
      <w:r w:rsidRPr="00802023">
        <w:rPr>
          <w:sz w:val="24"/>
          <w:szCs w:val="24"/>
          <w:u w:val="single"/>
        </w:rPr>
        <w:t xml:space="preserve"> Application for reconsideration by Secretary of initial decision</w:t>
      </w:r>
      <w:bookmarkEnd w:id="123"/>
    </w:p>
    <w:p w14:paraId="46A81380" w14:textId="77777777" w:rsidR="00802023" w:rsidRDefault="00802023" w:rsidP="00802023">
      <w:pPr>
        <w:spacing w:line="240" w:lineRule="auto"/>
      </w:pPr>
    </w:p>
    <w:p w14:paraId="188F4441" w14:textId="521177D3" w:rsidR="00802023" w:rsidRDefault="00802023" w:rsidP="00802023">
      <w:pPr>
        <w:spacing w:line="240" w:lineRule="auto"/>
        <w:rPr>
          <w:sz w:val="24"/>
          <w:szCs w:val="24"/>
        </w:rPr>
      </w:pPr>
      <w:r w:rsidRPr="00802023">
        <w:rPr>
          <w:sz w:val="24"/>
          <w:szCs w:val="24"/>
        </w:rPr>
        <w:t xml:space="preserve">Subsection </w:t>
      </w:r>
      <w:r w:rsidR="00542A46">
        <w:rPr>
          <w:sz w:val="24"/>
          <w:szCs w:val="24"/>
        </w:rPr>
        <w:t>121</w:t>
      </w:r>
      <w:r w:rsidRPr="00802023">
        <w:rPr>
          <w:sz w:val="24"/>
          <w:szCs w:val="24"/>
        </w:rPr>
        <w:t>(1) provides that a relevant person for an initial decision may apply to the Secretary to have the initial decision reconsidered.</w:t>
      </w:r>
    </w:p>
    <w:p w14:paraId="755A9DB8" w14:textId="77777777" w:rsidR="00802023" w:rsidRDefault="00802023" w:rsidP="00802023">
      <w:pPr>
        <w:spacing w:line="240" w:lineRule="auto"/>
        <w:rPr>
          <w:sz w:val="24"/>
          <w:szCs w:val="24"/>
        </w:rPr>
      </w:pPr>
    </w:p>
    <w:p w14:paraId="7A35C630" w14:textId="032EB13F" w:rsidR="00802023" w:rsidRPr="00802023" w:rsidRDefault="00542A46" w:rsidP="00802023">
      <w:pPr>
        <w:spacing w:line="240" w:lineRule="auto"/>
        <w:rPr>
          <w:sz w:val="24"/>
          <w:szCs w:val="24"/>
        </w:rPr>
      </w:pPr>
      <w:r>
        <w:rPr>
          <w:sz w:val="24"/>
          <w:szCs w:val="24"/>
        </w:rPr>
        <w:t>Subsection 121</w:t>
      </w:r>
      <w:r w:rsidR="00802023">
        <w:rPr>
          <w:sz w:val="24"/>
          <w:szCs w:val="24"/>
        </w:rPr>
        <w:t>(2</w:t>
      </w:r>
      <w:r w:rsidR="00802023" w:rsidRPr="00802023">
        <w:rPr>
          <w:sz w:val="24"/>
          <w:szCs w:val="24"/>
        </w:rPr>
        <w:t>) provides that an application for reconsideration under this section must be in writing and set out the reasons for the application</w:t>
      </w:r>
      <w:r w:rsidR="00B51759">
        <w:rPr>
          <w:sz w:val="24"/>
          <w:szCs w:val="24"/>
        </w:rPr>
        <w:t>.  It must</w:t>
      </w:r>
      <w:r w:rsidR="00802023" w:rsidRPr="00802023">
        <w:rPr>
          <w:sz w:val="24"/>
          <w:szCs w:val="24"/>
        </w:rPr>
        <w:t xml:space="preserve"> be lodged with the Secretary within 28 days after the day the initial decision first came to the notice of the applicant, or within such </w:t>
      </w:r>
      <w:r w:rsidR="009A6C71">
        <w:rPr>
          <w:sz w:val="24"/>
          <w:szCs w:val="24"/>
        </w:rPr>
        <w:t>longer</w:t>
      </w:r>
      <w:r w:rsidR="00802023" w:rsidRPr="00802023">
        <w:rPr>
          <w:sz w:val="24"/>
          <w:szCs w:val="24"/>
        </w:rPr>
        <w:t xml:space="preserve"> period as the Secretary allows.</w:t>
      </w:r>
      <w:r w:rsidR="00B51759">
        <w:rPr>
          <w:sz w:val="24"/>
          <w:szCs w:val="24"/>
        </w:rPr>
        <w:t xml:space="preserve"> </w:t>
      </w:r>
    </w:p>
    <w:p w14:paraId="7B885D84" w14:textId="77777777" w:rsidR="00802023" w:rsidRDefault="00802023" w:rsidP="00802023">
      <w:pPr>
        <w:spacing w:line="240" w:lineRule="auto"/>
        <w:rPr>
          <w:sz w:val="24"/>
          <w:szCs w:val="24"/>
          <w:u w:val="single"/>
        </w:rPr>
      </w:pPr>
      <w:bookmarkStart w:id="124" w:name="_Toc22827048"/>
    </w:p>
    <w:p w14:paraId="7C01293A" w14:textId="31527E54" w:rsidR="00802023" w:rsidRPr="00802023" w:rsidRDefault="00802023" w:rsidP="00802023">
      <w:pPr>
        <w:spacing w:line="240" w:lineRule="auto"/>
        <w:rPr>
          <w:sz w:val="24"/>
          <w:szCs w:val="24"/>
          <w:u w:val="single"/>
        </w:rPr>
      </w:pPr>
      <w:r>
        <w:rPr>
          <w:sz w:val="24"/>
          <w:szCs w:val="24"/>
          <w:u w:val="single"/>
        </w:rPr>
        <w:t xml:space="preserve">Section </w:t>
      </w:r>
      <w:r w:rsidR="00542A46">
        <w:rPr>
          <w:sz w:val="24"/>
          <w:szCs w:val="24"/>
          <w:u w:val="single"/>
        </w:rPr>
        <w:t>122</w:t>
      </w:r>
      <w:r w:rsidRPr="00802023">
        <w:rPr>
          <w:sz w:val="24"/>
          <w:szCs w:val="24"/>
          <w:u w:val="single"/>
        </w:rPr>
        <w:t xml:space="preserve"> </w:t>
      </w:r>
      <w:r>
        <w:rPr>
          <w:sz w:val="24"/>
          <w:szCs w:val="24"/>
          <w:u w:val="single"/>
        </w:rPr>
        <w:t>-</w:t>
      </w:r>
      <w:r w:rsidRPr="00802023">
        <w:rPr>
          <w:sz w:val="24"/>
          <w:szCs w:val="24"/>
          <w:u w:val="single"/>
        </w:rPr>
        <w:t xml:space="preserve"> Secretary to reconsider initial decision</w:t>
      </w:r>
      <w:bookmarkEnd w:id="124"/>
    </w:p>
    <w:p w14:paraId="040B9FA9" w14:textId="77777777" w:rsidR="00802023" w:rsidRDefault="00802023">
      <w:pPr>
        <w:spacing w:line="240" w:lineRule="auto"/>
        <w:rPr>
          <w:sz w:val="28"/>
          <w:szCs w:val="28"/>
        </w:rPr>
      </w:pPr>
    </w:p>
    <w:p w14:paraId="67A02817" w14:textId="1A34CB55" w:rsidR="00E939D0" w:rsidRDefault="009241D5" w:rsidP="00542A46">
      <w:pPr>
        <w:spacing w:line="240" w:lineRule="auto"/>
        <w:rPr>
          <w:sz w:val="24"/>
          <w:szCs w:val="24"/>
        </w:rPr>
      </w:pPr>
      <w:r w:rsidRPr="00542A46">
        <w:rPr>
          <w:sz w:val="24"/>
          <w:szCs w:val="24"/>
        </w:rPr>
        <w:t xml:space="preserve">Subsection </w:t>
      </w:r>
      <w:r w:rsidR="00542A46">
        <w:rPr>
          <w:sz w:val="24"/>
          <w:szCs w:val="24"/>
        </w:rPr>
        <w:t>122</w:t>
      </w:r>
      <w:r w:rsidRPr="00542A46">
        <w:rPr>
          <w:sz w:val="24"/>
          <w:szCs w:val="24"/>
        </w:rPr>
        <w:t>(1) provides that o</w:t>
      </w:r>
      <w:r w:rsidR="00E939D0" w:rsidRPr="00542A46">
        <w:rPr>
          <w:sz w:val="24"/>
          <w:szCs w:val="24"/>
        </w:rPr>
        <w:t xml:space="preserve">n receiving an application under section </w:t>
      </w:r>
      <w:r w:rsidR="00542A46">
        <w:rPr>
          <w:sz w:val="24"/>
          <w:szCs w:val="24"/>
        </w:rPr>
        <w:t>121</w:t>
      </w:r>
      <w:r w:rsidR="00E939D0" w:rsidRPr="00542A46">
        <w:rPr>
          <w:sz w:val="24"/>
          <w:szCs w:val="24"/>
        </w:rPr>
        <w:t xml:space="preserve"> for reconsideration of an initial decision, the Secretary must reconsider the initial decision and, subject to this Part, the Secretary may</w:t>
      </w:r>
      <w:r w:rsidRPr="00542A46">
        <w:rPr>
          <w:sz w:val="24"/>
          <w:szCs w:val="24"/>
        </w:rPr>
        <w:t xml:space="preserve"> </w:t>
      </w:r>
      <w:r w:rsidR="00E939D0" w:rsidRPr="00542A46">
        <w:rPr>
          <w:sz w:val="24"/>
          <w:szCs w:val="24"/>
        </w:rPr>
        <w:t>affirm or set aside the initial decision</w:t>
      </w:r>
      <w:r w:rsidR="00B51759">
        <w:rPr>
          <w:sz w:val="24"/>
          <w:szCs w:val="24"/>
        </w:rPr>
        <w:t>. I</w:t>
      </w:r>
      <w:r w:rsidR="00E939D0" w:rsidRPr="00542A46">
        <w:rPr>
          <w:sz w:val="24"/>
          <w:szCs w:val="24"/>
        </w:rPr>
        <w:t>f the Secretary decides to set aside the initial decision</w:t>
      </w:r>
      <w:r w:rsidRPr="00542A46">
        <w:rPr>
          <w:sz w:val="24"/>
          <w:szCs w:val="24"/>
        </w:rPr>
        <w:t xml:space="preserve">, </w:t>
      </w:r>
      <w:r w:rsidR="00B51759">
        <w:rPr>
          <w:sz w:val="24"/>
          <w:szCs w:val="24"/>
        </w:rPr>
        <w:t xml:space="preserve">they may </w:t>
      </w:r>
      <w:r w:rsidR="00E939D0" w:rsidRPr="00542A46">
        <w:rPr>
          <w:sz w:val="24"/>
          <w:szCs w:val="24"/>
        </w:rPr>
        <w:t>make any decision that the person who made the initial decision could have made.</w:t>
      </w:r>
    </w:p>
    <w:p w14:paraId="27CC7C3D" w14:textId="77777777" w:rsidR="009241D5" w:rsidRDefault="009241D5" w:rsidP="00542A46">
      <w:pPr>
        <w:spacing w:line="240" w:lineRule="auto"/>
        <w:rPr>
          <w:sz w:val="24"/>
          <w:szCs w:val="24"/>
        </w:rPr>
      </w:pPr>
    </w:p>
    <w:p w14:paraId="4E78295C" w14:textId="76694502" w:rsidR="00E939D0" w:rsidRDefault="009241D5" w:rsidP="00542A46">
      <w:pPr>
        <w:spacing w:line="240" w:lineRule="auto"/>
        <w:rPr>
          <w:sz w:val="24"/>
          <w:szCs w:val="24"/>
        </w:rPr>
      </w:pPr>
      <w:r w:rsidRPr="00132889">
        <w:rPr>
          <w:sz w:val="24"/>
          <w:szCs w:val="24"/>
        </w:rPr>
        <w:t xml:space="preserve">Subsection </w:t>
      </w:r>
      <w:r w:rsidR="00542A46">
        <w:rPr>
          <w:sz w:val="24"/>
          <w:szCs w:val="24"/>
        </w:rPr>
        <w:t>122</w:t>
      </w:r>
      <w:r w:rsidRPr="00132889">
        <w:rPr>
          <w:sz w:val="24"/>
          <w:szCs w:val="24"/>
        </w:rPr>
        <w:t>(</w:t>
      </w:r>
      <w:r>
        <w:rPr>
          <w:sz w:val="24"/>
          <w:szCs w:val="24"/>
        </w:rPr>
        <w:t>2</w:t>
      </w:r>
      <w:r w:rsidRPr="00132889">
        <w:rPr>
          <w:sz w:val="24"/>
          <w:szCs w:val="24"/>
        </w:rPr>
        <w:t>) provides that</w:t>
      </w:r>
      <w:r>
        <w:rPr>
          <w:sz w:val="24"/>
          <w:szCs w:val="24"/>
        </w:rPr>
        <w:t xml:space="preserve"> a</w:t>
      </w:r>
      <w:r w:rsidR="00E939D0" w:rsidRPr="00542A46">
        <w:rPr>
          <w:sz w:val="24"/>
          <w:szCs w:val="24"/>
        </w:rPr>
        <w:t xml:space="preserve"> decision set aside by the Secretary ceases to have effect.</w:t>
      </w:r>
    </w:p>
    <w:p w14:paraId="1563896C" w14:textId="77777777" w:rsidR="009241D5" w:rsidRDefault="009241D5" w:rsidP="00542A46">
      <w:pPr>
        <w:spacing w:line="240" w:lineRule="auto"/>
        <w:rPr>
          <w:sz w:val="24"/>
          <w:szCs w:val="24"/>
        </w:rPr>
      </w:pPr>
    </w:p>
    <w:p w14:paraId="6C13CE7B" w14:textId="0FC374CE" w:rsidR="00E939D0" w:rsidRDefault="009241D5" w:rsidP="00542A46">
      <w:pPr>
        <w:spacing w:line="240" w:lineRule="auto"/>
        <w:rPr>
          <w:sz w:val="24"/>
          <w:szCs w:val="24"/>
        </w:rPr>
      </w:pPr>
      <w:r w:rsidRPr="00132889">
        <w:rPr>
          <w:sz w:val="24"/>
          <w:szCs w:val="24"/>
        </w:rPr>
        <w:t xml:space="preserve">Subsection </w:t>
      </w:r>
      <w:r w:rsidR="00542A46">
        <w:rPr>
          <w:sz w:val="24"/>
          <w:szCs w:val="24"/>
        </w:rPr>
        <w:t>122</w:t>
      </w:r>
      <w:r w:rsidRPr="00132889">
        <w:rPr>
          <w:sz w:val="24"/>
          <w:szCs w:val="24"/>
        </w:rPr>
        <w:t>(</w:t>
      </w:r>
      <w:r>
        <w:rPr>
          <w:sz w:val="24"/>
          <w:szCs w:val="24"/>
        </w:rPr>
        <w:t>3</w:t>
      </w:r>
      <w:r w:rsidRPr="00132889">
        <w:rPr>
          <w:sz w:val="24"/>
          <w:szCs w:val="24"/>
        </w:rPr>
        <w:t>) provides that</w:t>
      </w:r>
      <w:r>
        <w:rPr>
          <w:sz w:val="24"/>
          <w:szCs w:val="24"/>
        </w:rPr>
        <w:t xml:space="preserve"> </w:t>
      </w:r>
      <w:r w:rsidR="0070565C">
        <w:rPr>
          <w:sz w:val="24"/>
          <w:szCs w:val="24"/>
        </w:rPr>
        <w:t>a</w:t>
      </w:r>
      <w:r w:rsidR="00E939D0" w:rsidRPr="00542A46">
        <w:rPr>
          <w:sz w:val="24"/>
          <w:szCs w:val="24"/>
        </w:rPr>
        <w:t xml:space="preserve"> decision of the Secretary </w:t>
      </w:r>
      <w:r w:rsidR="00BA0126">
        <w:rPr>
          <w:sz w:val="24"/>
          <w:szCs w:val="24"/>
        </w:rPr>
        <w:t>to set aside the initial decision</w:t>
      </w:r>
      <w:r w:rsidR="002379CF">
        <w:rPr>
          <w:sz w:val="24"/>
          <w:szCs w:val="24"/>
        </w:rPr>
        <w:t xml:space="preserve"> and to make another decision</w:t>
      </w:r>
      <w:r w:rsidR="00BA0126">
        <w:rPr>
          <w:sz w:val="24"/>
          <w:szCs w:val="24"/>
        </w:rPr>
        <w:t xml:space="preserve"> under subsection </w:t>
      </w:r>
      <w:r w:rsidR="00542A46">
        <w:rPr>
          <w:sz w:val="24"/>
          <w:szCs w:val="24"/>
        </w:rPr>
        <w:t>122</w:t>
      </w:r>
      <w:r w:rsidR="00BA0126">
        <w:rPr>
          <w:sz w:val="24"/>
          <w:szCs w:val="24"/>
        </w:rPr>
        <w:t xml:space="preserve">(1) </w:t>
      </w:r>
      <w:r w:rsidR="00E939D0" w:rsidRPr="00542A46">
        <w:rPr>
          <w:sz w:val="24"/>
          <w:szCs w:val="24"/>
        </w:rPr>
        <w:t>takes effect</w:t>
      </w:r>
      <w:r w:rsidRPr="00542A46">
        <w:rPr>
          <w:sz w:val="24"/>
          <w:szCs w:val="24"/>
        </w:rPr>
        <w:t xml:space="preserve"> </w:t>
      </w:r>
      <w:r w:rsidR="00E939D0" w:rsidRPr="00542A46">
        <w:rPr>
          <w:sz w:val="24"/>
          <w:szCs w:val="24"/>
        </w:rPr>
        <w:t>on the day specified in the decision or</w:t>
      </w:r>
      <w:r w:rsidRPr="00542A46">
        <w:rPr>
          <w:sz w:val="24"/>
          <w:szCs w:val="24"/>
        </w:rPr>
        <w:t xml:space="preserve"> </w:t>
      </w:r>
      <w:r w:rsidR="00E939D0" w:rsidRPr="00542A46">
        <w:rPr>
          <w:sz w:val="24"/>
          <w:szCs w:val="24"/>
        </w:rPr>
        <w:t>if a day is not specified</w:t>
      </w:r>
      <w:r w:rsidRPr="00542A46">
        <w:rPr>
          <w:sz w:val="24"/>
          <w:szCs w:val="24"/>
        </w:rPr>
        <w:t xml:space="preserve">, </w:t>
      </w:r>
      <w:r w:rsidR="00E939D0" w:rsidRPr="00542A46">
        <w:rPr>
          <w:sz w:val="24"/>
          <w:szCs w:val="24"/>
        </w:rPr>
        <w:t>on the day the decision was made.</w:t>
      </w:r>
    </w:p>
    <w:p w14:paraId="646D9B6C" w14:textId="77777777" w:rsidR="009241D5" w:rsidRDefault="009241D5" w:rsidP="00542A46">
      <w:pPr>
        <w:spacing w:line="240" w:lineRule="auto"/>
        <w:rPr>
          <w:sz w:val="24"/>
          <w:szCs w:val="24"/>
        </w:rPr>
      </w:pPr>
    </w:p>
    <w:p w14:paraId="489F9788" w14:textId="5864AAD9" w:rsidR="00E939D0" w:rsidRDefault="009241D5" w:rsidP="00542A46">
      <w:pPr>
        <w:spacing w:line="240" w:lineRule="auto"/>
        <w:rPr>
          <w:sz w:val="24"/>
          <w:szCs w:val="24"/>
        </w:rPr>
      </w:pPr>
      <w:r w:rsidRPr="00132889">
        <w:rPr>
          <w:sz w:val="24"/>
          <w:szCs w:val="24"/>
        </w:rPr>
        <w:t xml:space="preserve">Subsection </w:t>
      </w:r>
      <w:r w:rsidR="00542A46">
        <w:rPr>
          <w:sz w:val="24"/>
          <w:szCs w:val="24"/>
        </w:rPr>
        <w:t>122</w:t>
      </w:r>
      <w:r w:rsidRPr="00132889">
        <w:rPr>
          <w:sz w:val="24"/>
          <w:szCs w:val="24"/>
        </w:rPr>
        <w:t>(</w:t>
      </w:r>
      <w:r>
        <w:rPr>
          <w:sz w:val="24"/>
          <w:szCs w:val="24"/>
        </w:rPr>
        <w:t>4</w:t>
      </w:r>
      <w:r w:rsidRPr="00132889">
        <w:rPr>
          <w:sz w:val="24"/>
          <w:szCs w:val="24"/>
        </w:rPr>
        <w:t>) provides that</w:t>
      </w:r>
      <w:r>
        <w:rPr>
          <w:sz w:val="24"/>
          <w:szCs w:val="24"/>
        </w:rPr>
        <w:t xml:space="preserve"> t</w:t>
      </w:r>
      <w:r w:rsidR="00E939D0" w:rsidRPr="00542A46">
        <w:rPr>
          <w:sz w:val="24"/>
          <w:szCs w:val="24"/>
        </w:rPr>
        <w:t>he Secretary must give the applicant written notice of the Secretary’s decision under this section within 45 days after the day when the application for reconsideration was received.</w:t>
      </w:r>
      <w:r w:rsidR="0039598E">
        <w:rPr>
          <w:sz w:val="24"/>
          <w:szCs w:val="24"/>
        </w:rPr>
        <w:t xml:space="preserve"> </w:t>
      </w:r>
    </w:p>
    <w:p w14:paraId="034CE2F6" w14:textId="77777777" w:rsidR="009241D5" w:rsidRDefault="009241D5" w:rsidP="00542A46">
      <w:pPr>
        <w:spacing w:line="240" w:lineRule="auto"/>
        <w:rPr>
          <w:sz w:val="24"/>
          <w:szCs w:val="24"/>
        </w:rPr>
      </w:pPr>
    </w:p>
    <w:p w14:paraId="311D83AB" w14:textId="28FB2086" w:rsidR="0039598E" w:rsidRDefault="009241D5" w:rsidP="00542A46">
      <w:pPr>
        <w:spacing w:line="240" w:lineRule="auto"/>
        <w:rPr>
          <w:sz w:val="24"/>
          <w:szCs w:val="24"/>
        </w:rPr>
      </w:pPr>
      <w:r w:rsidRPr="00132889">
        <w:rPr>
          <w:sz w:val="24"/>
          <w:szCs w:val="24"/>
        </w:rPr>
        <w:t xml:space="preserve">Subsection </w:t>
      </w:r>
      <w:r w:rsidR="00542A46">
        <w:rPr>
          <w:sz w:val="24"/>
          <w:szCs w:val="24"/>
        </w:rPr>
        <w:t>122</w:t>
      </w:r>
      <w:r w:rsidRPr="00132889">
        <w:rPr>
          <w:sz w:val="24"/>
          <w:szCs w:val="24"/>
        </w:rPr>
        <w:t>(</w:t>
      </w:r>
      <w:r>
        <w:rPr>
          <w:sz w:val="24"/>
          <w:szCs w:val="24"/>
        </w:rPr>
        <w:t>5</w:t>
      </w:r>
      <w:r w:rsidRPr="00132889">
        <w:rPr>
          <w:sz w:val="24"/>
          <w:szCs w:val="24"/>
        </w:rPr>
        <w:t>) provides that</w:t>
      </w:r>
      <w:r>
        <w:rPr>
          <w:sz w:val="24"/>
          <w:szCs w:val="24"/>
        </w:rPr>
        <w:t xml:space="preserve"> t</w:t>
      </w:r>
      <w:r w:rsidR="00E939D0" w:rsidRPr="00542A46">
        <w:rPr>
          <w:sz w:val="24"/>
          <w:szCs w:val="24"/>
        </w:rPr>
        <w:t>he notice must set out the reasons for the Secretary’s decision.</w:t>
      </w:r>
      <w:r w:rsidR="0039598E">
        <w:rPr>
          <w:sz w:val="24"/>
          <w:szCs w:val="24"/>
        </w:rPr>
        <w:t xml:space="preserve">  </w:t>
      </w:r>
    </w:p>
    <w:p w14:paraId="49559152" w14:textId="77777777" w:rsidR="009241D5" w:rsidRDefault="009241D5" w:rsidP="00542A46">
      <w:pPr>
        <w:spacing w:line="240" w:lineRule="auto"/>
        <w:rPr>
          <w:sz w:val="24"/>
          <w:szCs w:val="24"/>
        </w:rPr>
      </w:pPr>
    </w:p>
    <w:p w14:paraId="55CC2691" w14:textId="4BC69E8E" w:rsidR="00E939D0" w:rsidRPr="0029237A" w:rsidRDefault="009241D5" w:rsidP="00542A46">
      <w:pPr>
        <w:spacing w:line="240" w:lineRule="auto"/>
        <w:rPr>
          <w:szCs w:val="24"/>
        </w:rPr>
      </w:pPr>
      <w:r w:rsidRPr="00132889">
        <w:rPr>
          <w:sz w:val="24"/>
          <w:szCs w:val="24"/>
        </w:rPr>
        <w:t xml:space="preserve">Subsection </w:t>
      </w:r>
      <w:r w:rsidR="00542A46">
        <w:rPr>
          <w:sz w:val="24"/>
          <w:szCs w:val="24"/>
        </w:rPr>
        <w:t>122</w:t>
      </w:r>
      <w:r w:rsidRPr="00132889">
        <w:rPr>
          <w:sz w:val="24"/>
          <w:szCs w:val="24"/>
        </w:rPr>
        <w:t>(</w:t>
      </w:r>
      <w:r>
        <w:rPr>
          <w:sz w:val="24"/>
          <w:szCs w:val="24"/>
        </w:rPr>
        <w:t>6</w:t>
      </w:r>
      <w:r w:rsidRPr="00132889">
        <w:rPr>
          <w:sz w:val="24"/>
          <w:szCs w:val="24"/>
        </w:rPr>
        <w:t>) provides that</w:t>
      </w:r>
      <w:r>
        <w:rPr>
          <w:sz w:val="24"/>
          <w:szCs w:val="24"/>
        </w:rPr>
        <w:t xml:space="preserve"> f</w:t>
      </w:r>
      <w:r w:rsidR="00542A46">
        <w:rPr>
          <w:sz w:val="24"/>
          <w:szCs w:val="24"/>
        </w:rPr>
        <w:t>or the purposes of section 123</w:t>
      </w:r>
      <w:r w:rsidR="00E939D0" w:rsidRPr="00542A46">
        <w:rPr>
          <w:sz w:val="24"/>
          <w:szCs w:val="24"/>
        </w:rPr>
        <w:t>, the Secretary is taken to have affirmed the initial decision if the applicant does not receive notice of the decision on review within 45 days after the day when the application for reconsideration was received.</w:t>
      </w:r>
      <w:bookmarkStart w:id="125" w:name="BK_S3P65L10C15"/>
      <w:bookmarkEnd w:id="125"/>
      <w:r w:rsidR="0039598E">
        <w:rPr>
          <w:sz w:val="24"/>
          <w:szCs w:val="24"/>
        </w:rPr>
        <w:t xml:space="preserve">  This ensures a review of decision cannot sit unmade indefinitely, and that the applicant will then have an avenue to apply for a review by the Administrative Appeals Tribunal if they wish (per section 123).</w:t>
      </w:r>
    </w:p>
    <w:p w14:paraId="360C8102" w14:textId="77777777" w:rsidR="00B87F08" w:rsidRDefault="00B87F08">
      <w:pPr>
        <w:spacing w:line="240" w:lineRule="auto"/>
        <w:rPr>
          <w:sz w:val="28"/>
          <w:szCs w:val="28"/>
        </w:rPr>
      </w:pPr>
    </w:p>
    <w:p w14:paraId="439D464E" w14:textId="1DBD8062" w:rsidR="00C35931" w:rsidRDefault="00C35931" w:rsidP="00485178">
      <w:pPr>
        <w:keepNext/>
        <w:spacing w:line="240" w:lineRule="auto"/>
        <w:rPr>
          <w:sz w:val="24"/>
          <w:szCs w:val="24"/>
          <w:u w:val="single"/>
        </w:rPr>
      </w:pPr>
      <w:bookmarkStart w:id="126" w:name="_Toc22827053"/>
      <w:r>
        <w:rPr>
          <w:sz w:val="24"/>
          <w:szCs w:val="24"/>
          <w:u w:val="single"/>
        </w:rPr>
        <w:lastRenderedPageBreak/>
        <w:t xml:space="preserve">Section </w:t>
      </w:r>
      <w:r w:rsidR="00542A46">
        <w:rPr>
          <w:sz w:val="24"/>
          <w:szCs w:val="24"/>
          <w:u w:val="single"/>
        </w:rPr>
        <w:t>123</w:t>
      </w:r>
      <w:r w:rsidRPr="00C35931">
        <w:rPr>
          <w:sz w:val="24"/>
          <w:szCs w:val="24"/>
          <w:u w:val="single"/>
        </w:rPr>
        <w:t xml:space="preserve"> </w:t>
      </w:r>
      <w:r>
        <w:rPr>
          <w:sz w:val="24"/>
          <w:szCs w:val="24"/>
          <w:u w:val="single"/>
        </w:rPr>
        <w:t>-</w:t>
      </w:r>
      <w:r w:rsidRPr="00C35931">
        <w:rPr>
          <w:sz w:val="24"/>
          <w:szCs w:val="24"/>
          <w:u w:val="single"/>
        </w:rPr>
        <w:t xml:space="preserve"> Application for review by A</w:t>
      </w:r>
      <w:r w:rsidR="00BA0126">
        <w:rPr>
          <w:sz w:val="24"/>
          <w:szCs w:val="24"/>
          <w:u w:val="single"/>
        </w:rPr>
        <w:t xml:space="preserve">dministrative </w:t>
      </w:r>
      <w:r w:rsidRPr="00C35931">
        <w:rPr>
          <w:sz w:val="24"/>
          <w:szCs w:val="24"/>
          <w:u w:val="single"/>
        </w:rPr>
        <w:t>A</w:t>
      </w:r>
      <w:r w:rsidR="00BA0126">
        <w:rPr>
          <w:sz w:val="24"/>
          <w:szCs w:val="24"/>
          <w:u w:val="single"/>
        </w:rPr>
        <w:t xml:space="preserve">ppeals </w:t>
      </w:r>
      <w:r w:rsidRPr="00C35931">
        <w:rPr>
          <w:sz w:val="24"/>
          <w:szCs w:val="24"/>
          <w:u w:val="single"/>
        </w:rPr>
        <w:t>T</w:t>
      </w:r>
      <w:r w:rsidR="00BA0126">
        <w:rPr>
          <w:sz w:val="24"/>
          <w:szCs w:val="24"/>
          <w:u w:val="single"/>
        </w:rPr>
        <w:t>ribunal</w:t>
      </w:r>
      <w:r w:rsidRPr="00C35931">
        <w:rPr>
          <w:sz w:val="24"/>
          <w:szCs w:val="24"/>
          <w:u w:val="single"/>
        </w:rPr>
        <w:t xml:space="preserve"> of Secretary’s decisions</w:t>
      </w:r>
      <w:bookmarkEnd w:id="126"/>
    </w:p>
    <w:p w14:paraId="37294EC5" w14:textId="77777777" w:rsidR="00C35931" w:rsidRDefault="00C35931" w:rsidP="00485178">
      <w:pPr>
        <w:keepNext/>
        <w:spacing w:line="240" w:lineRule="auto"/>
        <w:rPr>
          <w:sz w:val="24"/>
          <w:szCs w:val="24"/>
          <w:u w:val="single"/>
        </w:rPr>
      </w:pPr>
    </w:p>
    <w:p w14:paraId="039F04EB" w14:textId="17604EE0" w:rsidR="00C35931" w:rsidRPr="00C35931" w:rsidRDefault="00C35931" w:rsidP="00C35931">
      <w:pPr>
        <w:spacing w:line="240" w:lineRule="auto"/>
        <w:rPr>
          <w:sz w:val="24"/>
          <w:szCs w:val="24"/>
        </w:rPr>
      </w:pPr>
      <w:r>
        <w:rPr>
          <w:sz w:val="24"/>
          <w:szCs w:val="24"/>
        </w:rPr>
        <w:t>S</w:t>
      </w:r>
      <w:r w:rsidR="00542A46">
        <w:rPr>
          <w:sz w:val="24"/>
          <w:szCs w:val="24"/>
        </w:rPr>
        <w:t>ection 123</w:t>
      </w:r>
      <w:r>
        <w:rPr>
          <w:sz w:val="24"/>
          <w:szCs w:val="24"/>
        </w:rPr>
        <w:t xml:space="preserve"> provides that a</w:t>
      </w:r>
      <w:r w:rsidRPr="00C35931">
        <w:rPr>
          <w:sz w:val="24"/>
          <w:szCs w:val="24"/>
        </w:rPr>
        <w:t>pplications may be made to the A</w:t>
      </w:r>
      <w:r w:rsidR="00BA0126">
        <w:rPr>
          <w:sz w:val="24"/>
          <w:szCs w:val="24"/>
        </w:rPr>
        <w:t xml:space="preserve">dministrative </w:t>
      </w:r>
      <w:r w:rsidRPr="00C35931">
        <w:rPr>
          <w:sz w:val="24"/>
          <w:szCs w:val="24"/>
        </w:rPr>
        <w:t>A</w:t>
      </w:r>
      <w:r w:rsidR="00BA0126">
        <w:rPr>
          <w:sz w:val="24"/>
          <w:szCs w:val="24"/>
        </w:rPr>
        <w:t xml:space="preserve">ppeals </w:t>
      </w:r>
      <w:r w:rsidRPr="00C35931">
        <w:rPr>
          <w:sz w:val="24"/>
          <w:szCs w:val="24"/>
        </w:rPr>
        <w:t>T</w:t>
      </w:r>
      <w:r w:rsidR="00BA0126">
        <w:rPr>
          <w:sz w:val="24"/>
          <w:szCs w:val="24"/>
        </w:rPr>
        <w:t>ribunal</w:t>
      </w:r>
      <w:r w:rsidRPr="00C35931">
        <w:rPr>
          <w:sz w:val="24"/>
          <w:szCs w:val="24"/>
        </w:rPr>
        <w:t xml:space="preserve"> for review of a decision of the Secretary under section </w:t>
      </w:r>
      <w:r w:rsidR="00542A46">
        <w:rPr>
          <w:sz w:val="24"/>
          <w:szCs w:val="24"/>
        </w:rPr>
        <w:t>122</w:t>
      </w:r>
      <w:r w:rsidR="00521D2F">
        <w:rPr>
          <w:sz w:val="24"/>
          <w:szCs w:val="24"/>
        </w:rPr>
        <w:t>.</w:t>
      </w:r>
    </w:p>
    <w:p w14:paraId="1FD68AE6" w14:textId="594265D4" w:rsidR="00827802" w:rsidRDefault="00827802" w:rsidP="00827802">
      <w:pPr>
        <w:spacing w:line="240" w:lineRule="auto"/>
        <w:rPr>
          <w:sz w:val="24"/>
          <w:szCs w:val="24"/>
          <w:u w:val="single"/>
        </w:rPr>
      </w:pPr>
    </w:p>
    <w:p w14:paraId="318EB715" w14:textId="64BEA9C2" w:rsidR="00E939D0" w:rsidRPr="00542A46" w:rsidRDefault="00542A46" w:rsidP="00542A46">
      <w:pPr>
        <w:spacing w:line="240" w:lineRule="auto"/>
        <w:rPr>
          <w:szCs w:val="24"/>
          <w:u w:val="single"/>
        </w:rPr>
      </w:pPr>
      <w:r>
        <w:rPr>
          <w:sz w:val="24"/>
          <w:szCs w:val="24"/>
          <w:u w:val="single"/>
        </w:rPr>
        <w:t>Section 124</w:t>
      </w:r>
      <w:r w:rsidR="00D60D7C" w:rsidRPr="00542A46">
        <w:rPr>
          <w:sz w:val="24"/>
          <w:szCs w:val="24"/>
          <w:u w:val="single"/>
        </w:rPr>
        <w:t xml:space="preserve"> </w:t>
      </w:r>
      <w:r w:rsidR="00D60D7C">
        <w:rPr>
          <w:sz w:val="24"/>
          <w:szCs w:val="24"/>
          <w:u w:val="single"/>
        </w:rPr>
        <w:t xml:space="preserve">- </w:t>
      </w:r>
      <w:r w:rsidR="00E939D0" w:rsidRPr="00542A46">
        <w:rPr>
          <w:sz w:val="24"/>
          <w:szCs w:val="24"/>
          <w:u w:val="single"/>
        </w:rPr>
        <w:t>Reconsidering and reviewing decisions</w:t>
      </w:r>
    </w:p>
    <w:p w14:paraId="73A66E90" w14:textId="77777777" w:rsidR="00D60D7C" w:rsidRDefault="00D60D7C" w:rsidP="00542A46">
      <w:pPr>
        <w:spacing w:line="240" w:lineRule="auto"/>
        <w:rPr>
          <w:sz w:val="24"/>
          <w:szCs w:val="24"/>
        </w:rPr>
      </w:pPr>
    </w:p>
    <w:p w14:paraId="719F8E23" w14:textId="01837523" w:rsidR="00DB562C" w:rsidRPr="00542A46" w:rsidRDefault="00542A46" w:rsidP="00542A46">
      <w:pPr>
        <w:spacing w:line="240" w:lineRule="auto"/>
        <w:rPr>
          <w:sz w:val="24"/>
          <w:szCs w:val="24"/>
        </w:rPr>
      </w:pPr>
      <w:r>
        <w:rPr>
          <w:sz w:val="24"/>
          <w:szCs w:val="24"/>
        </w:rPr>
        <w:t>Section 124</w:t>
      </w:r>
      <w:r w:rsidR="00D60D7C" w:rsidRPr="00DB562C">
        <w:rPr>
          <w:sz w:val="24"/>
          <w:szCs w:val="24"/>
        </w:rPr>
        <w:t xml:space="preserve"> provides that f</w:t>
      </w:r>
      <w:r w:rsidR="00E939D0" w:rsidRPr="00542A46">
        <w:rPr>
          <w:sz w:val="24"/>
          <w:szCs w:val="24"/>
        </w:rPr>
        <w:t xml:space="preserve">or the purposes of reconsidering, or reviewing, a decision </w:t>
      </w:r>
      <w:r w:rsidR="00DB562C" w:rsidRPr="00542A46">
        <w:rPr>
          <w:sz w:val="24"/>
          <w:szCs w:val="24"/>
        </w:rPr>
        <w:t>references in Chapter 2 to an amount at the time the Secretary deals with an application are taken to be references to the amount at the time of the reconsideration or review and references in Chapter 2 to a person’s tariff rate quota entitlement at the time the Secretary deals with an application are taken to be references to the person’s tariff rate quota entitlement at the time of the reconsideration or review.</w:t>
      </w:r>
      <w:r w:rsidR="0039598E">
        <w:rPr>
          <w:sz w:val="24"/>
          <w:szCs w:val="24"/>
        </w:rPr>
        <w:t xml:space="preserve">  This section ensure</w:t>
      </w:r>
      <w:r w:rsidR="00521D2F">
        <w:rPr>
          <w:sz w:val="24"/>
          <w:szCs w:val="24"/>
        </w:rPr>
        <w:t>s</w:t>
      </w:r>
      <w:r w:rsidR="0039598E">
        <w:rPr>
          <w:sz w:val="24"/>
          <w:szCs w:val="24"/>
        </w:rPr>
        <w:t xml:space="preserve"> that, regardless of whether the reviewing person would make a decision to overturn an initial decision, this action cannot be taken if there is an insufficient amount of quota available at that time.  Due to the agreements in place with trading partners, the certificates issued for any quota type cannot exceed the stated access amount.</w:t>
      </w:r>
    </w:p>
    <w:p w14:paraId="7E1A16EE" w14:textId="54DBA6D7" w:rsidR="00827802" w:rsidRDefault="00827802" w:rsidP="00C35931">
      <w:pPr>
        <w:spacing w:line="240" w:lineRule="auto"/>
        <w:rPr>
          <w:sz w:val="24"/>
          <w:szCs w:val="24"/>
          <w:u w:val="single"/>
        </w:rPr>
      </w:pPr>
      <w:bookmarkStart w:id="127" w:name="BK_S3P71L12C80"/>
      <w:bookmarkStart w:id="128" w:name="BK_S3P68L12C80"/>
      <w:bookmarkStart w:id="129" w:name="BK_S3P64L12C80"/>
      <w:bookmarkStart w:id="130" w:name="BK_S3P66L12C80"/>
      <w:bookmarkEnd w:id="127"/>
      <w:bookmarkEnd w:id="128"/>
      <w:bookmarkEnd w:id="129"/>
      <w:bookmarkEnd w:id="130"/>
    </w:p>
    <w:p w14:paraId="2B28866B" w14:textId="04DA9456" w:rsidR="00B3460F" w:rsidRDefault="00B3460F" w:rsidP="00C35931">
      <w:pPr>
        <w:spacing w:line="240" w:lineRule="auto"/>
        <w:rPr>
          <w:b/>
          <w:sz w:val="28"/>
          <w:szCs w:val="28"/>
        </w:rPr>
      </w:pPr>
      <w:r>
        <w:rPr>
          <w:b/>
          <w:sz w:val="28"/>
          <w:szCs w:val="28"/>
        </w:rPr>
        <w:t>Chapter 6 - Miscellaneous</w:t>
      </w:r>
    </w:p>
    <w:p w14:paraId="4CB98971" w14:textId="77777777" w:rsidR="00B3460F" w:rsidRDefault="00B3460F" w:rsidP="00C35931">
      <w:pPr>
        <w:spacing w:line="240" w:lineRule="auto"/>
        <w:rPr>
          <w:sz w:val="28"/>
          <w:szCs w:val="28"/>
        </w:rPr>
      </w:pPr>
    </w:p>
    <w:p w14:paraId="50EEFF8D" w14:textId="2B316448" w:rsidR="00B3460F" w:rsidRDefault="00B3460F" w:rsidP="00B3460F">
      <w:pPr>
        <w:spacing w:line="240" w:lineRule="auto"/>
        <w:rPr>
          <w:sz w:val="24"/>
          <w:szCs w:val="24"/>
          <w:u w:val="single"/>
        </w:rPr>
      </w:pPr>
      <w:bookmarkStart w:id="131" w:name="_Toc22827058"/>
      <w:r>
        <w:rPr>
          <w:sz w:val="24"/>
          <w:szCs w:val="24"/>
          <w:u w:val="single"/>
        </w:rPr>
        <w:t xml:space="preserve">Section </w:t>
      </w:r>
      <w:r w:rsidR="00542A46">
        <w:rPr>
          <w:sz w:val="24"/>
          <w:szCs w:val="24"/>
          <w:u w:val="single"/>
        </w:rPr>
        <w:t>125</w:t>
      </w:r>
      <w:r w:rsidRPr="00B3460F">
        <w:rPr>
          <w:sz w:val="24"/>
          <w:szCs w:val="24"/>
          <w:u w:val="single"/>
        </w:rPr>
        <w:t xml:space="preserve"> </w:t>
      </w:r>
      <w:r>
        <w:rPr>
          <w:sz w:val="24"/>
          <w:szCs w:val="24"/>
          <w:u w:val="single"/>
        </w:rPr>
        <w:t>-</w:t>
      </w:r>
      <w:r w:rsidRPr="00B3460F">
        <w:rPr>
          <w:sz w:val="24"/>
          <w:szCs w:val="24"/>
          <w:u w:val="single"/>
        </w:rPr>
        <w:t xml:space="preserve"> Audits</w:t>
      </w:r>
      <w:bookmarkEnd w:id="131"/>
    </w:p>
    <w:p w14:paraId="12439A22" w14:textId="77777777" w:rsidR="00B3460F" w:rsidRDefault="00B3460F" w:rsidP="00B3460F">
      <w:pPr>
        <w:spacing w:line="240" w:lineRule="auto"/>
        <w:rPr>
          <w:sz w:val="24"/>
          <w:szCs w:val="24"/>
          <w:u w:val="single"/>
        </w:rPr>
      </w:pPr>
    </w:p>
    <w:p w14:paraId="19FB3E6B" w14:textId="59D1F9FE" w:rsidR="00B3460F" w:rsidRPr="005025E0" w:rsidRDefault="00B3460F" w:rsidP="00B3460F">
      <w:pPr>
        <w:spacing w:line="240" w:lineRule="auto"/>
        <w:rPr>
          <w:sz w:val="24"/>
          <w:szCs w:val="24"/>
        </w:rPr>
      </w:pPr>
      <w:r>
        <w:rPr>
          <w:sz w:val="24"/>
          <w:szCs w:val="24"/>
        </w:rPr>
        <w:t xml:space="preserve">Subsection </w:t>
      </w:r>
      <w:r w:rsidR="00542A46">
        <w:rPr>
          <w:sz w:val="24"/>
          <w:szCs w:val="24"/>
        </w:rPr>
        <w:t>125</w:t>
      </w:r>
      <w:r w:rsidRPr="005025E0">
        <w:rPr>
          <w:sz w:val="24"/>
          <w:szCs w:val="24"/>
        </w:rPr>
        <w:t>(1) provides that the Secretary may require an audit to be carried out in relation to a tariff rate quota certificate issued to a person or all tariff rate quota certificates issued to a person during a specified period.</w:t>
      </w:r>
    </w:p>
    <w:p w14:paraId="59EBF389" w14:textId="77777777" w:rsidR="00B3460F" w:rsidRDefault="00B3460F" w:rsidP="00B3460F">
      <w:pPr>
        <w:spacing w:line="240" w:lineRule="auto"/>
      </w:pPr>
    </w:p>
    <w:p w14:paraId="569642DF" w14:textId="67705B24" w:rsidR="00B3460F" w:rsidRPr="005025E0" w:rsidRDefault="00B3460F" w:rsidP="00B3460F">
      <w:pPr>
        <w:spacing w:line="240" w:lineRule="auto"/>
        <w:rPr>
          <w:sz w:val="24"/>
          <w:szCs w:val="24"/>
        </w:rPr>
      </w:pPr>
      <w:r>
        <w:rPr>
          <w:sz w:val="24"/>
          <w:szCs w:val="24"/>
        </w:rPr>
        <w:t xml:space="preserve">Subsection </w:t>
      </w:r>
      <w:r w:rsidR="00542A46">
        <w:rPr>
          <w:sz w:val="24"/>
          <w:szCs w:val="24"/>
        </w:rPr>
        <w:t>125</w:t>
      </w:r>
      <w:r w:rsidRPr="005025E0">
        <w:rPr>
          <w:sz w:val="24"/>
          <w:szCs w:val="24"/>
        </w:rPr>
        <w:t>(2) provides that an audit must be carried out by an auditor approved in writing by the Secretary.</w:t>
      </w:r>
    </w:p>
    <w:p w14:paraId="39FBB9E2" w14:textId="77777777" w:rsidR="00B3460F" w:rsidRDefault="00B3460F" w:rsidP="00B3460F">
      <w:pPr>
        <w:spacing w:line="240" w:lineRule="auto"/>
      </w:pPr>
    </w:p>
    <w:p w14:paraId="5D904119" w14:textId="5C65540F" w:rsidR="00B3460F" w:rsidRPr="005025E0" w:rsidRDefault="00B3460F" w:rsidP="00B3460F">
      <w:pPr>
        <w:spacing w:line="240" w:lineRule="auto"/>
        <w:rPr>
          <w:sz w:val="24"/>
          <w:szCs w:val="24"/>
        </w:rPr>
      </w:pPr>
      <w:r>
        <w:rPr>
          <w:sz w:val="24"/>
          <w:szCs w:val="24"/>
        </w:rPr>
        <w:t xml:space="preserve">Subsection </w:t>
      </w:r>
      <w:r w:rsidR="00542A46">
        <w:rPr>
          <w:sz w:val="24"/>
          <w:szCs w:val="24"/>
        </w:rPr>
        <w:t>125</w:t>
      </w:r>
      <w:r w:rsidRPr="005025E0">
        <w:rPr>
          <w:sz w:val="24"/>
          <w:szCs w:val="24"/>
        </w:rPr>
        <w:t xml:space="preserve">(3) provides that </w:t>
      </w:r>
      <w:r w:rsidR="005025E0" w:rsidRPr="005025E0">
        <w:rPr>
          <w:sz w:val="24"/>
          <w:szCs w:val="24"/>
        </w:rPr>
        <w:t>a</w:t>
      </w:r>
      <w:r w:rsidRPr="005025E0">
        <w:rPr>
          <w:sz w:val="24"/>
          <w:szCs w:val="24"/>
        </w:rPr>
        <w:t xml:space="preserve"> person (the </w:t>
      </w:r>
      <w:r w:rsidRPr="00CC6F61">
        <w:rPr>
          <w:i/>
          <w:sz w:val="24"/>
          <w:szCs w:val="24"/>
        </w:rPr>
        <w:t>auditor</w:t>
      </w:r>
      <w:r w:rsidRPr="005025E0">
        <w:rPr>
          <w:sz w:val="24"/>
          <w:szCs w:val="24"/>
        </w:rPr>
        <w:t>) who is carrying out an audit in relation to one or more tariff rate quota certificates issued to a person may request the person to do either or both of the following:</w:t>
      </w:r>
    </w:p>
    <w:p w14:paraId="021E3EFE" w14:textId="4D427F37" w:rsidR="00B3460F" w:rsidRPr="005025E0" w:rsidRDefault="00B3460F" w:rsidP="00B35DAD">
      <w:pPr>
        <w:pStyle w:val="paragraph"/>
        <w:numPr>
          <w:ilvl w:val="0"/>
          <w:numId w:val="13"/>
        </w:numPr>
        <w:rPr>
          <w:sz w:val="24"/>
          <w:szCs w:val="24"/>
        </w:rPr>
      </w:pPr>
      <w:r w:rsidRPr="005025E0">
        <w:rPr>
          <w:sz w:val="24"/>
          <w:szCs w:val="24"/>
        </w:rPr>
        <w:t>produce any documents, records or things that the auditor is satisfied are relevant to the audit;</w:t>
      </w:r>
    </w:p>
    <w:p w14:paraId="5D6340C2" w14:textId="31AB30C8" w:rsidR="00B3460F" w:rsidRPr="005025E0" w:rsidRDefault="00B3460F" w:rsidP="00B35DAD">
      <w:pPr>
        <w:pStyle w:val="paragraph"/>
        <w:numPr>
          <w:ilvl w:val="0"/>
          <w:numId w:val="13"/>
        </w:numPr>
        <w:rPr>
          <w:sz w:val="24"/>
          <w:szCs w:val="24"/>
        </w:rPr>
      </w:pPr>
      <w:proofErr w:type="gramStart"/>
      <w:r w:rsidRPr="005025E0">
        <w:rPr>
          <w:sz w:val="24"/>
          <w:szCs w:val="24"/>
        </w:rPr>
        <w:t>provide</w:t>
      </w:r>
      <w:proofErr w:type="gramEnd"/>
      <w:r w:rsidRPr="005025E0">
        <w:rPr>
          <w:sz w:val="24"/>
          <w:szCs w:val="24"/>
        </w:rPr>
        <w:t xml:space="preserve"> the auditor with all reasonable facilities and assistance for the effective carrying out of the audit.</w:t>
      </w:r>
    </w:p>
    <w:p w14:paraId="59DE2C61" w14:textId="77777777" w:rsidR="005025E0" w:rsidRDefault="005025E0" w:rsidP="005025E0">
      <w:pPr>
        <w:spacing w:line="240" w:lineRule="auto"/>
        <w:rPr>
          <w:sz w:val="24"/>
          <w:szCs w:val="24"/>
          <w:u w:val="single"/>
        </w:rPr>
      </w:pPr>
      <w:bookmarkStart w:id="132" w:name="_Toc22827059"/>
    </w:p>
    <w:p w14:paraId="48DDA268" w14:textId="639C52E5" w:rsidR="00F84246" w:rsidRDefault="00F84246" w:rsidP="005025E0">
      <w:pPr>
        <w:spacing w:line="240" w:lineRule="auto"/>
        <w:rPr>
          <w:sz w:val="24"/>
          <w:szCs w:val="24"/>
          <w:u w:val="single"/>
        </w:rPr>
      </w:pPr>
      <w:r w:rsidRPr="00712FB5">
        <w:rPr>
          <w:sz w:val="24"/>
          <w:szCs w:val="24"/>
        </w:rPr>
        <w:t>The Secretary may require an audit to be carried out to verify that the products for which tariff rate quota certificates were issued met all requirements to be considered as eligible products for the tariff rate quota.</w:t>
      </w:r>
    </w:p>
    <w:p w14:paraId="79AC5741" w14:textId="77777777" w:rsidR="00F84246" w:rsidRDefault="00F84246" w:rsidP="005025E0">
      <w:pPr>
        <w:spacing w:line="240" w:lineRule="auto"/>
        <w:rPr>
          <w:sz w:val="24"/>
          <w:szCs w:val="24"/>
          <w:u w:val="single"/>
        </w:rPr>
      </w:pPr>
    </w:p>
    <w:p w14:paraId="43B82BF2" w14:textId="3656B770" w:rsidR="00B3460F" w:rsidRDefault="005025E0" w:rsidP="005025E0">
      <w:pPr>
        <w:spacing w:line="240" w:lineRule="auto"/>
        <w:rPr>
          <w:sz w:val="24"/>
          <w:szCs w:val="24"/>
          <w:u w:val="single"/>
        </w:rPr>
      </w:pPr>
      <w:r>
        <w:rPr>
          <w:sz w:val="24"/>
          <w:szCs w:val="24"/>
          <w:u w:val="single"/>
        </w:rPr>
        <w:t xml:space="preserve">Section </w:t>
      </w:r>
      <w:r w:rsidR="00542A46">
        <w:rPr>
          <w:sz w:val="24"/>
          <w:szCs w:val="24"/>
          <w:u w:val="single"/>
        </w:rPr>
        <w:t>126</w:t>
      </w:r>
      <w:r w:rsidR="00B3460F" w:rsidRPr="005025E0">
        <w:rPr>
          <w:sz w:val="24"/>
          <w:szCs w:val="24"/>
          <w:u w:val="single"/>
        </w:rPr>
        <w:t xml:space="preserve"> </w:t>
      </w:r>
      <w:r>
        <w:rPr>
          <w:sz w:val="24"/>
          <w:szCs w:val="24"/>
          <w:u w:val="single"/>
        </w:rPr>
        <w:t>-</w:t>
      </w:r>
      <w:r w:rsidR="00B3460F" w:rsidRPr="005025E0">
        <w:rPr>
          <w:sz w:val="24"/>
          <w:szCs w:val="24"/>
          <w:u w:val="single"/>
        </w:rPr>
        <w:t xml:space="preserve"> Secretary may arrange for use of computer programs to make decisions</w:t>
      </w:r>
      <w:bookmarkEnd w:id="132"/>
    </w:p>
    <w:p w14:paraId="1B1813A3" w14:textId="77777777" w:rsidR="00D76B64" w:rsidRDefault="00D76B64" w:rsidP="005025E0">
      <w:pPr>
        <w:spacing w:line="240" w:lineRule="auto"/>
        <w:rPr>
          <w:sz w:val="24"/>
          <w:szCs w:val="24"/>
          <w:u w:val="single"/>
        </w:rPr>
      </w:pPr>
    </w:p>
    <w:p w14:paraId="4A454AD4" w14:textId="26FB4A0A" w:rsidR="00C66BCC" w:rsidRPr="006B22D5" w:rsidRDefault="00C66BCC" w:rsidP="006B22D5">
      <w:pPr>
        <w:spacing w:line="240" w:lineRule="auto"/>
        <w:rPr>
          <w:sz w:val="24"/>
          <w:szCs w:val="24"/>
        </w:rPr>
      </w:pPr>
      <w:r w:rsidRPr="006B22D5">
        <w:rPr>
          <w:sz w:val="24"/>
          <w:szCs w:val="24"/>
        </w:rPr>
        <w:t>Subsection 126(1) provides that the Secretary may arrange for the use, under the Secretary’s control, of computer programs for any purposes for which the Secretary may, or must, under this instrument:</w:t>
      </w:r>
    </w:p>
    <w:p w14:paraId="5F548D24" w14:textId="77777777" w:rsidR="00C66BCC" w:rsidRPr="006B22D5" w:rsidRDefault="00C66BCC" w:rsidP="000F6D46">
      <w:pPr>
        <w:pStyle w:val="ListParagraph"/>
        <w:numPr>
          <w:ilvl w:val="0"/>
          <w:numId w:val="64"/>
        </w:numPr>
        <w:spacing w:line="240" w:lineRule="auto"/>
        <w:contextualSpacing w:val="0"/>
        <w:rPr>
          <w:sz w:val="24"/>
          <w:szCs w:val="24"/>
        </w:rPr>
      </w:pPr>
      <w:r w:rsidRPr="006B22D5">
        <w:rPr>
          <w:sz w:val="24"/>
          <w:szCs w:val="24"/>
        </w:rPr>
        <w:t>make a decision, or</w:t>
      </w:r>
    </w:p>
    <w:p w14:paraId="49B78E05" w14:textId="77777777" w:rsidR="00C66BCC" w:rsidRPr="006B22D5" w:rsidRDefault="00C66BCC" w:rsidP="000F6D46">
      <w:pPr>
        <w:pStyle w:val="ListParagraph"/>
        <w:numPr>
          <w:ilvl w:val="0"/>
          <w:numId w:val="64"/>
        </w:numPr>
        <w:spacing w:line="240" w:lineRule="auto"/>
        <w:contextualSpacing w:val="0"/>
        <w:rPr>
          <w:sz w:val="24"/>
          <w:szCs w:val="24"/>
        </w:rPr>
      </w:pPr>
      <w:r w:rsidRPr="006B22D5">
        <w:rPr>
          <w:sz w:val="24"/>
          <w:szCs w:val="24"/>
        </w:rPr>
        <w:t>exercise any power or comply with any obligation, or</w:t>
      </w:r>
    </w:p>
    <w:p w14:paraId="21D03DE5" w14:textId="77777777" w:rsidR="00C66BCC" w:rsidRPr="006B22D5" w:rsidRDefault="00C66BCC" w:rsidP="000F6D46">
      <w:pPr>
        <w:pStyle w:val="ListParagraph"/>
        <w:numPr>
          <w:ilvl w:val="0"/>
          <w:numId w:val="64"/>
        </w:numPr>
        <w:spacing w:line="240" w:lineRule="auto"/>
        <w:contextualSpacing w:val="0"/>
        <w:rPr>
          <w:sz w:val="24"/>
          <w:szCs w:val="24"/>
        </w:rPr>
      </w:pPr>
      <w:proofErr w:type="gramStart"/>
      <w:r w:rsidRPr="006B22D5">
        <w:rPr>
          <w:sz w:val="24"/>
          <w:szCs w:val="24"/>
        </w:rPr>
        <w:lastRenderedPageBreak/>
        <w:t>do</w:t>
      </w:r>
      <w:proofErr w:type="gramEnd"/>
      <w:r w:rsidRPr="006B22D5">
        <w:rPr>
          <w:sz w:val="24"/>
          <w:szCs w:val="24"/>
        </w:rPr>
        <w:t xml:space="preserve"> anything else related to making a decision referred to in paragraph (a), or related to exercising a power or complying with an obligation referred to in paragraph (b).</w:t>
      </w:r>
    </w:p>
    <w:p w14:paraId="4CE33921" w14:textId="77777777" w:rsidR="00C66BCC" w:rsidRPr="006B22D5" w:rsidRDefault="00C66BCC" w:rsidP="00C66BCC">
      <w:pPr>
        <w:rPr>
          <w:sz w:val="24"/>
          <w:szCs w:val="24"/>
        </w:rPr>
      </w:pPr>
    </w:p>
    <w:p w14:paraId="44139702" w14:textId="63C5CD4E" w:rsidR="00C66BCC" w:rsidRPr="006B22D5" w:rsidRDefault="00C66BCC" w:rsidP="00C66BCC">
      <w:pPr>
        <w:rPr>
          <w:sz w:val="24"/>
          <w:szCs w:val="24"/>
        </w:rPr>
      </w:pPr>
      <w:r w:rsidRPr="006B22D5">
        <w:rPr>
          <w:sz w:val="24"/>
          <w:szCs w:val="24"/>
        </w:rPr>
        <w:t>Subsection 126(2) provides that subsection 126(1) does not apply in relation to making an initial decision</w:t>
      </w:r>
      <w:r w:rsidR="006B22D5">
        <w:rPr>
          <w:sz w:val="24"/>
          <w:szCs w:val="24"/>
        </w:rPr>
        <w:t xml:space="preserve"> or reconsidering an initial decision under subsection 122(1)</w:t>
      </w:r>
      <w:r w:rsidRPr="006B22D5">
        <w:rPr>
          <w:sz w:val="24"/>
          <w:szCs w:val="24"/>
        </w:rPr>
        <w:t xml:space="preserve">.  This subsection includes a note, directing the reader to refer to section 120 for details on an </w:t>
      </w:r>
      <w:r w:rsidRPr="006B22D5">
        <w:rPr>
          <w:i/>
          <w:sz w:val="24"/>
          <w:szCs w:val="24"/>
        </w:rPr>
        <w:t>initial decision</w:t>
      </w:r>
      <w:r w:rsidRPr="006B22D5">
        <w:rPr>
          <w:sz w:val="24"/>
          <w:szCs w:val="24"/>
        </w:rPr>
        <w:t>.  Initial decisions are those decisions</w:t>
      </w:r>
      <w:r w:rsidR="00646547">
        <w:rPr>
          <w:sz w:val="24"/>
          <w:szCs w:val="24"/>
        </w:rPr>
        <w:t xml:space="preserve"> that are adverse to </w:t>
      </w:r>
      <w:r w:rsidR="00C7173D">
        <w:rPr>
          <w:sz w:val="24"/>
          <w:szCs w:val="24"/>
        </w:rPr>
        <w:t>a person who applied for a tariff rate quota certificate or to a person who was issued a tariff rate quota certificate</w:t>
      </w:r>
      <w:r w:rsidRPr="006B22D5">
        <w:rPr>
          <w:sz w:val="24"/>
          <w:szCs w:val="24"/>
        </w:rPr>
        <w:t xml:space="preserve"> within the Order that are discretionary, and are therefore not decisions to be made by a computer program.</w:t>
      </w:r>
    </w:p>
    <w:p w14:paraId="3E94F068" w14:textId="77777777" w:rsidR="00C66BCC" w:rsidRPr="006B22D5" w:rsidRDefault="00C66BCC" w:rsidP="00C66BCC">
      <w:pPr>
        <w:rPr>
          <w:sz w:val="24"/>
          <w:szCs w:val="24"/>
        </w:rPr>
      </w:pPr>
    </w:p>
    <w:p w14:paraId="72D7A6F6" w14:textId="50CE8B87" w:rsidR="00C66BCC" w:rsidRPr="006B22D5" w:rsidRDefault="00C66BCC" w:rsidP="00C66BCC">
      <w:pPr>
        <w:rPr>
          <w:sz w:val="24"/>
          <w:szCs w:val="24"/>
        </w:rPr>
      </w:pPr>
      <w:r w:rsidRPr="006B22D5">
        <w:rPr>
          <w:sz w:val="24"/>
          <w:szCs w:val="24"/>
        </w:rPr>
        <w:t xml:space="preserve">Subsections (1) and (2) are intended to allow the use of computer programs </w:t>
      </w:r>
      <w:r w:rsidR="0023138D">
        <w:rPr>
          <w:sz w:val="24"/>
          <w:szCs w:val="24"/>
        </w:rPr>
        <w:t xml:space="preserve">in making </w:t>
      </w:r>
      <w:r w:rsidRPr="006B22D5">
        <w:rPr>
          <w:sz w:val="24"/>
          <w:szCs w:val="24"/>
        </w:rPr>
        <w:t xml:space="preserve">decisions such as determining if a tariff rate quota certificate can be issued; a computer program can determine if a consignment meets set eligibility criteria for a particular tariff rate quota, and if an amount of quota is available, can determine that a certificate should be issued.  A computer program can also support decision making, such as calculating allocations, as all inputs are defined and non-discretionary.  </w:t>
      </w:r>
      <w:r w:rsidR="00444EBE">
        <w:rPr>
          <w:sz w:val="24"/>
          <w:szCs w:val="24"/>
        </w:rPr>
        <w:t xml:space="preserve">As these kinds of decisions are non-discretionary, they are suitable for making by a computer. </w:t>
      </w:r>
      <w:r w:rsidRPr="006B22D5">
        <w:rPr>
          <w:sz w:val="24"/>
          <w:szCs w:val="24"/>
        </w:rPr>
        <w:t xml:space="preserve">Subsection (2) is included to make clear that a computer program will not be used for </w:t>
      </w:r>
      <w:r w:rsidR="001A7F4B">
        <w:rPr>
          <w:sz w:val="24"/>
          <w:szCs w:val="24"/>
        </w:rPr>
        <w:t>the making of initial decisions</w:t>
      </w:r>
      <w:r w:rsidRPr="006B22D5">
        <w:rPr>
          <w:sz w:val="24"/>
          <w:szCs w:val="24"/>
        </w:rPr>
        <w:t xml:space="preserve"> to ensure the decision maker</w:t>
      </w:r>
      <w:r w:rsidR="001A7F4B">
        <w:rPr>
          <w:sz w:val="24"/>
          <w:szCs w:val="24"/>
        </w:rPr>
        <w:t>’s discretion</w:t>
      </w:r>
      <w:r w:rsidRPr="006B22D5">
        <w:rPr>
          <w:sz w:val="24"/>
          <w:szCs w:val="24"/>
        </w:rPr>
        <w:t xml:space="preserve"> is not fettered in making their decision.</w:t>
      </w:r>
    </w:p>
    <w:p w14:paraId="562D1BC2" w14:textId="77777777" w:rsidR="00C66BCC" w:rsidRPr="006B22D5" w:rsidRDefault="00C66BCC" w:rsidP="00C66BCC">
      <w:pPr>
        <w:rPr>
          <w:sz w:val="24"/>
          <w:szCs w:val="24"/>
        </w:rPr>
      </w:pPr>
    </w:p>
    <w:p w14:paraId="7AB583F0" w14:textId="7F9A2FCE" w:rsidR="00C66BCC" w:rsidRDefault="00C66BCC" w:rsidP="00C66BCC">
      <w:pPr>
        <w:spacing w:line="240" w:lineRule="auto"/>
        <w:rPr>
          <w:sz w:val="24"/>
          <w:szCs w:val="24"/>
        </w:rPr>
      </w:pPr>
      <w:r w:rsidRPr="006B22D5">
        <w:rPr>
          <w:sz w:val="24"/>
          <w:szCs w:val="24"/>
        </w:rPr>
        <w:t>Subsection 126(3) provides that the Secretary must take all reasonable steps to ensure that decisions made by the operation of a computer program under an arrangement made under subsection 126(1) are correct.  This</w:t>
      </w:r>
      <w:r w:rsidR="00444EBE">
        <w:rPr>
          <w:sz w:val="24"/>
          <w:szCs w:val="24"/>
        </w:rPr>
        <w:t xml:space="preserve"> provision</w:t>
      </w:r>
      <w:r w:rsidRPr="006B22D5">
        <w:rPr>
          <w:sz w:val="24"/>
          <w:szCs w:val="24"/>
        </w:rPr>
        <w:t xml:space="preserve"> </w:t>
      </w:r>
      <w:r w:rsidR="00EB6744" w:rsidRPr="00B738A8">
        <w:rPr>
          <w:sz w:val="24"/>
          <w:szCs w:val="24"/>
        </w:rPr>
        <w:t xml:space="preserve">reflects that </w:t>
      </w:r>
      <w:r w:rsidR="00EB6744">
        <w:rPr>
          <w:sz w:val="24"/>
          <w:szCs w:val="24"/>
        </w:rPr>
        <w:t xml:space="preserve">before a computer program is used for decision making, </w:t>
      </w:r>
      <w:r w:rsidR="00444EBE">
        <w:rPr>
          <w:sz w:val="24"/>
          <w:szCs w:val="24"/>
        </w:rPr>
        <w:t>the Secretary will confirm</w:t>
      </w:r>
      <w:r w:rsidR="00EB6744">
        <w:rPr>
          <w:sz w:val="24"/>
          <w:szCs w:val="24"/>
        </w:rPr>
        <w:t xml:space="preserve"> that the design ensures decisions will be accurate and consistent and reflect the Order and underlying policies. The systems will also be maintained and updated to ensure currency and that decisions continue to be correct.</w:t>
      </w:r>
    </w:p>
    <w:p w14:paraId="7B1FCB65" w14:textId="77777777" w:rsidR="00EB6744" w:rsidRDefault="00EB6744" w:rsidP="00C66BCC">
      <w:pPr>
        <w:spacing w:line="240" w:lineRule="auto"/>
        <w:rPr>
          <w:sz w:val="24"/>
          <w:szCs w:val="24"/>
        </w:rPr>
      </w:pPr>
    </w:p>
    <w:p w14:paraId="0DCAEDE3" w14:textId="52CCC8E5" w:rsidR="00EB6744" w:rsidRDefault="00EB6744" w:rsidP="00C66BCC">
      <w:pPr>
        <w:spacing w:line="240" w:lineRule="auto"/>
        <w:rPr>
          <w:sz w:val="24"/>
          <w:szCs w:val="24"/>
        </w:rPr>
      </w:pPr>
      <w:r>
        <w:rPr>
          <w:sz w:val="24"/>
          <w:szCs w:val="24"/>
        </w:rPr>
        <w:t>Subsection 126(4) provides that the Secretary is taken to have:</w:t>
      </w:r>
    </w:p>
    <w:p w14:paraId="05561769" w14:textId="4F5B99C5" w:rsidR="00EB6744" w:rsidRDefault="00EB6744" w:rsidP="000F6D46">
      <w:pPr>
        <w:pStyle w:val="ListParagraph"/>
        <w:numPr>
          <w:ilvl w:val="0"/>
          <w:numId w:val="65"/>
        </w:numPr>
        <w:spacing w:line="240" w:lineRule="auto"/>
        <w:rPr>
          <w:sz w:val="24"/>
          <w:szCs w:val="24"/>
        </w:rPr>
      </w:pPr>
      <w:r>
        <w:rPr>
          <w:sz w:val="24"/>
          <w:szCs w:val="24"/>
        </w:rPr>
        <w:t xml:space="preserve">made a decision, or </w:t>
      </w:r>
    </w:p>
    <w:p w14:paraId="2F5AF451" w14:textId="5D100232" w:rsidR="00EB6744" w:rsidRDefault="00EB6744" w:rsidP="000F6D46">
      <w:pPr>
        <w:pStyle w:val="ListParagraph"/>
        <w:numPr>
          <w:ilvl w:val="0"/>
          <w:numId w:val="65"/>
        </w:numPr>
        <w:spacing w:line="240" w:lineRule="auto"/>
        <w:rPr>
          <w:sz w:val="24"/>
          <w:szCs w:val="24"/>
        </w:rPr>
      </w:pPr>
      <w:r>
        <w:rPr>
          <w:sz w:val="24"/>
          <w:szCs w:val="24"/>
        </w:rPr>
        <w:t>exercised a power or complied with an obligation, or</w:t>
      </w:r>
    </w:p>
    <w:p w14:paraId="08270C50" w14:textId="5BB13250" w:rsidR="00EB6744" w:rsidRDefault="00EB6744" w:rsidP="000F6D46">
      <w:pPr>
        <w:pStyle w:val="ListParagraph"/>
        <w:numPr>
          <w:ilvl w:val="0"/>
          <w:numId w:val="65"/>
        </w:numPr>
        <w:spacing w:line="240" w:lineRule="auto"/>
        <w:rPr>
          <w:sz w:val="24"/>
          <w:szCs w:val="24"/>
        </w:rPr>
      </w:pPr>
      <w:r>
        <w:rPr>
          <w:sz w:val="24"/>
          <w:szCs w:val="24"/>
        </w:rPr>
        <w:t>done something else related to the making of a decision or exercise of a power or compliance with an obligation;</w:t>
      </w:r>
    </w:p>
    <w:p w14:paraId="4A312DA7" w14:textId="36E94803" w:rsidR="00EB6744" w:rsidRDefault="00EB6744" w:rsidP="00B738A8">
      <w:pPr>
        <w:spacing w:line="240" w:lineRule="auto"/>
        <w:rPr>
          <w:sz w:val="24"/>
          <w:szCs w:val="24"/>
        </w:rPr>
      </w:pPr>
      <w:proofErr w:type="gramStart"/>
      <w:r>
        <w:rPr>
          <w:sz w:val="24"/>
          <w:szCs w:val="24"/>
        </w:rPr>
        <w:t>that</w:t>
      </w:r>
      <w:proofErr w:type="gramEnd"/>
      <w:r>
        <w:rPr>
          <w:sz w:val="24"/>
          <w:szCs w:val="24"/>
        </w:rPr>
        <w:t xml:space="preserve"> was made, exercised, complied with or done by the operation of a computer program</w:t>
      </w:r>
      <w:r w:rsidR="00137BA9">
        <w:rPr>
          <w:sz w:val="24"/>
          <w:szCs w:val="24"/>
        </w:rPr>
        <w:t xml:space="preserve"> under an arrangement made under subsection 126(1).  </w:t>
      </w:r>
    </w:p>
    <w:p w14:paraId="2E7C6040" w14:textId="77777777" w:rsidR="00137BA9" w:rsidRDefault="00137BA9">
      <w:pPr>
        <w:spacing w:line="240" w:lineRule="auto"/>
        <w:rPr>
          <w:sz w:val="24"/>
          <w:szCs w:val="24"/>
        </w:rPr>
      </w:pPr>
    </w:p>
    <w:p w14:paraId="748543D3" w14:textId="6A031145" w:rsidR="00137BA9" w:rsidRPr="00B738A8" w:rsidRDefault="00137BA9">
      <w:pPr>
        <w:spacing w:line="240" w:lineRule="auto"/>
        <w:rPr>
          <w:sz w:val="24"/>
          <w:szCs w:val="24"/>
        </w:rPr>
      </w:pPr>
      <w:r>
        <w:rPr>
          <w:sz w:val="24"/>
          <w:szCs w:val="24"/>
        </w:rPr>
        <w:t>Subsection 126(5) provides that the Secretary may make a decision in substation for a decision the Secretary is taken to have made under paragraph (4</w:t>
      </w:r>
      <w:proofErr w:type="gramStart"/>
      <w:r>
        <w:rPr>
          <w:sz w:val="24"/>
          <w:szCs w:val="24"/>
        </w:rPr>
        <w:t>)(</w:t>
      </w:r>
      <w:proofErr w:type="gramEnd"/>
      <w:r>
        <w:rPr>
          <w:sz w:val="24"/>
          <w:szCs w:val="24"/>
        </w:rPr>
        <w:t xml:space="preserve">a) if the Secretary is satisfied that the decision made by the operation of the computer program is incorrect.  This is a safeguard in the legislation to recognise that despite the reasonable steps taken under subsection 126(3) to ensure decisions made by computer programs are correct, there can be circumstances where errors occur.  This </w:t>
      </w:r>
      <w:r w:rsidR="00444EBE">
        <w:rPr>
          <w:sz w:val="24"/>
          <w:szCs w:val="24"/>
        </w:rPr>
        <w:t xml:space="preserve">provision </w:t>
      </w:r>
      <w:r>
        <w:rPr>
          <w:sz w:val="24"/>
          <w:szCs w:val="24"/>
        </w:rPr>
        <w:t>ensures such errors can be corrected.</w:t>
      </w:r>
    </w:p>
    <w:p w14:paraId="4F543C76" w14:textId="77777777" w:rsidR="00C35931" w:rsidRPr="00C35931" w:rsidRDefault="00C35931" w:rsidP="00C35931">
      <w:pPr>
        <w:spacing w:line="240" w:lineRule="auto"/>
        <w:rPr>
          <w:b/>
          <w:sz w:val="24"/>
          <w:szCs w:val="24"/>
        </w:rPr>
      </w:pPr>
    </w:p>
    <w:p w14:paraId="33963F75" w14:textId="5092EBB1" w:rsidR="00C35931" w:rsidRDefault="00E8132A" w:rsidP="00C35931">
      <w:pPr>
        <w:spacing w:line="240" w:lineRule="auto"/>
        <w:rPr>
          <w:b/>
          <w:sz w:val="28"/>
          <w:szCs w:val="28"/>
        </w:rPr>
      </w:pPr>
      <w:r>
        <w:rPr>
          <w:b/>
          <w:sz w:val="28"/>
          <w:szCs w:val="28"/>
        </w:rPr>
        <w:t>Chapter 7 - Application, saving and transitional provisions</w:t>
      </w:r>
    </w:p>
    <w:p w14:paraId="036B907E" w14:textId="77777777" w:rsidR="00E8132A" w:rsidRDefault="00E8132A" w:rsidP="00C35931">
      <w:pPr>
        <w:spacing w:line="240" w:lineRule="auto"/>
        <w:rPr>
          <w:b/>
          <w:sz w:val="28"/>
          <w:szCs w:val="28"/>
        </w:rPr>
      </w:pPr>
    </w:p>
    <w:p w14:paraId="279850D6" w14:textId="633FA40E" w:rsidR="00E8132A" w:rsidRDefault="00E8132A" w:rsidP="00C35931">
      <w:pPr>
        <w:spacing w:line="240" w:lineRule="auto"/>
        <w:rPr>
          <w:b/>
          <w:sz w:val="24"/>
          <w:szCs w:val="24"/>
        </w:rPr>
      </w:pPr>
      <w:r>
        <w:rPr>
          <w:b/>
          <w:sz w:val="24"/>
          <w:szCs w:val="24"/>
        </w:rPr>
        <w:t>Part 1 - Transitional matters for commencement of instrument</w:t>
      </w:r>
    </w:p>
    <w:p w14:paraId="26353BB0" w14:textId="77777777" w:rsidR="00E8132A" w:rsidRDefault="00E8132A" w:rsidP="00C35931">
      <w:pPr>
        <w:spacing w:line="240" w:lineRule="auto"/>
        <w:rPr>
          <w:b/>
          <w:sz w:val="24"/>
          <w:szCs w:val="24"/>
        </w:rPr>
      </w:pPr>
    </w:p>
    <w:p w14:paraId="51F6358E" w14:textId="2CC320DD" w:rsidR="00E8132A" w:rsidRDefault="00E8132A" w:rsidP="00485178">
      <w:pPr>
        <w:keepNext/>
        <w:spacing w:line="240" w:lineRule="auto"/>
        <w:rPr>
          <w:sz w:val="24"/>
          <w:szCs w:val="24"/>
          <w:u w:val="single"/>
        </w:rPr>
      </w:pPr>
      <w:r>
        <w:rPr>
          <w:sz w:val="24"/>
          <w:szCs w:val="24"/>
          <w:u w:val="single"/>
        </w:rPr>
        <w:lastRenderedPageBreak/>
        <w:t xml:space="preserve">Section </w:t>
      </w:r>
      <w:r w:rsidR="00542A46">
        <w:rPr>
          <w:sz w:val="24"/>
          <w:szCs w:val="24"/>
          <w:u w:val="single"/>
        </w:rPr>
        <w:t>127</w:t>
      </w:r>
      <w:r>
        <w:rPr>
          <w:sz w:val="24"/>
          <w:szCs w:val="24"/>
          <w:u w:val="single"/>
        </w:rPr>
        <w:t xml:space="preserve"> - References to tariff rate quota certificates</w:t>
      </w:r>
    </w:p>
    <w:p w14:paraId="35C17896" w14:textId="77777777" w:rsidR="00E8132A" w:rsidRDefault="00E8132A" w:rsidP="00485178">
      <w:pPr>
        <w:keepNext/>
        <w:spacing w:line="240" w:lineRule="auto"/>
        <w:rPr>
          <w:sz w:val="24"/>
          <w:szCs w:val="24"/>
          <w:u w:val="single"/>
        </w:rPr>
      </w:pPr>
    </w:p>
    <w:p w14:paraId="2D97861D" w14:textId="54D07A60" w:rsidR="00E8132A" w:rsidRPr="00E82EFA" w:rsidRDefault="00E8132A" w:rsidP="00542A46">
      <w:pPr>
        <w:spacing w:line="240" w:lineRule="auto"/>
        <w:rPr>
          <w:sz w:val="24"/>
          <w:szCs w:val="24"/>
        </w:rPr>
      </w:pPr>
      <w:r w:rsidRPr="00542A46">
        <w:rPr>
          <w:sz w:val="24"/>
          <w:szCs w:val="24"/>
        </w:rPr>
        <w:t xml:space="preserve">Section </w:t>
      </w:r>
      <w:r w:rsidR="00542A46">
        <w:rPr>
          <w:sz w:val="24"/>
          <w:szCs w:val="24"/>
        </w:rPr>
        <w:t>127</w:t>
      </w:r>
      <w:r w:rsidRPr="00542A46">
        <w:rPr>
          <w:sz w:val="24"/>
          <w:szCs w:val="24"/>
        </w:rPr>
        <w:t xml:space="preserve"> provides that a reference </w:t>
      </w:r>
      <w:r w:rsidR="00BF6F02">
        <w:rPr>
          <w:sz w:val="24"/>
          <w:szCs w:val="24"/>
        </w:rPr>
        <w:t xml:space="preserve">in this instrument </w:t>
      </w:r>
      <w:r w:rsidRPr="00542A46">
        <w:rPr>
          <w:sz w:val="24"/>
          <w:szCs w:val="24"/>
        </w:rPr>
        <w:t xml:space="preserve">to a tariff rate quota certificate issued in relation to a previous quota year or in a past period includes a tariff rate quota </w:t>
      </w:r>
      <w:r w:rsidRPr="00E82EFA">
        <w:rPr>
          <w:sz w:val="24"/>
          <w:szCs w:val="24"/>
        </w:rPr>
        <w:t>certificate issued under any of the following instruments:</w:t>
      </w:r>
    </w:p>
    <w:p w14:paraId="2900D031" w14:textId="6866FC16" w:rsidR="00E8132A" w:rsidRPr="00E82EFA" w:rsidRDefault="00E8132A" w:rsidP="00D868E2">
      <w:pPr>
        <w:pStyle w:val="paragraph"/>
        <w:numPr>
          <w:ilvl w:val="0"/>
          <w:numId w:val="24"/>
        </w:numPr>
        <w:rPr>
          <w:sz w:val="24"/>
          <w:szCs w:val="24"/>
        </w:rPr>
      </w:pPr>
      <w:r w:rsidRPr="00E82EFA">
        <w:rPr>
          <w:i/>
          <w:sz w:val="24"/>
          <w:szCs w:val="24"/>
        </w:rPr>
        <w:t>Export Control (Beef Export to the USA Tariff Rate Quota) Order 2016</w:t>
      </w:r>
      <w:r w:rsidRPr="00E82EFA">
        <w:rPr>
          <w:sz w:val="24"/>
          <w:szCs w:val="24"/>
        </w:rPr>
        <w:t>;</w:t>
      </w:r>
    </w:p>
    <w:p w14:paraId="1F3FB07C" w14:textId="51E1C272" w:rsidR="00E8132A" w:rsidRPr="00E82EFA" w:rsidRDefault="00E8132A" w:rsidP="00D868E2">
      <w:pPr>
        <w:pStyle w:val="paragraph"/>
        <w:numPr>
          <w:ilvl w:val="0"/>
          <w:numId w:val="24"/>
        </w:numPr>
        <w:rPr>
          <w:sz w:val="24"/>
          <w:szCs w:val="24"/>
        </w:rPr>
      </w:pPr>
      <w:r w:rsidRPr="00E82EFA">
        <w:rPr>
          <w:i/>
          <w:sz w:val="24"/>
          <w:szCs w:val="24"/>
        </w:rPr>
        <w:t>Export Control (Dairy Produce Tariff Rate Quotas) Order 2016</w:t>
      </w:r>
      <w:r w:rsidRPr="00E82EFA">
        <w:rPr>
          <w:sz w:val="24"/>
          <w:szCs w:val="24"/>
        </w:rPr>
        <w:t>;</w:t>
      </w:r>
    </w:p>
    <w:p w14:paraId="69623FDD" w14:textId="5CED7564" w:rsidR="00E8132A" w:rsidRPr="00E82EFA" w:rsidRDefault="00E8132A" w:rsidP="00D868E2">
      <w:pPr>
        <w:pStyle w:val="paragraph"/>
        <w:numPr>
          <w:ilvl w:val="0"/>
          <w:numId w:val="24"/>
        </w:numPr>
        <w:rPr>
          <w:sz w:val="24"/>
          <w:szCs w:val="24"/>
        </w:rPr>
      </w:pPr>
      <w:r w:rsidRPr="00E82EFA">
        <w:rPr>
          <w:i/>
          <w:sz w:val="24"/>
          <w:szCs w:val="24"/>
        </w:rPr>
        <w:t>Export Control (High Quality Beef Export to the European Union Tariff Rate Quotas) Order 2016</w:t>
      </w:r>
      <w:r w:rsidRPr="00E82EFA">
        <w:rPr>
          <w:sz w:val="24"/>
          <w:szCs w:val="24"/>
        </w:rPr>
        <w:t>.</w:t>
      </w:r>
    </w:p>
    <w:p w14:paraId="6D0C957F" w14:textId="541E70FC" w:rsidR="00E82EFA" w:rsidRPr="00E82EFA" w:rsidRDefault="00E82EFA" w:rsidP="00E82EFA">
      <w:pPr>
        <w:spacing w:line="240" w:lineRule="auto"/>
        <w:rPr>
          <w:sz w:val="24"/>
          <w:szCs w:val="24"/>
        </w:rPr>
      </w:pPr>
      <w:r w:rsidRPr="00E82EFA">
        <w:rPr>
          <w:sz w:val="24"/>
          <w:szCs w:val="24"/>
        </w:rPr>
        <w:t>This ensure pas</w:t>
      </w:r>
      <w:r>
        <w:rPr>
          <w:sz w:val="24"/>
          <w:szCs w:val="24"/>
        </w:rPr>
        <w:t>t certificates are included where required for the purposes of determining eligibility and entitlements of exporters.</w:t>
      </w:r>
    </w:p>
    <w:p w14:paraId="7B1299E4" w14:textId="77777777" w:rsidR="00E8132A" w:rsidRPr="00E82EFA" w:rsidRDefault="00E8132A" w:rsidP="00C35931">
      <w:pPr>
        <w:spacing w:line="240" w:lineRule="auto"/>
        <w:rPr>
          <w:sz w:val="24"/>
          <w:szCs w:val="24"/>
          <w:u w:val="single"/>
        </w:rPr>
      </w:pPr>
    </w:p>
    <w:p w14:paraId="75993F09" w14:textId="5CF3A8A3" w:rsidR="00E8132A" w:rsidRDefault="00542A46" w:rsidP="00E8132A">
      <w:pPr>
        <w:spacing w:line="240" w:lineRule="auto"/>
        <w:rPr>
          <w:sz w:val="24"/>
          <w:szCs w:val="24"/>
          <w:u w:val="single"/>
        </w:rPr>
      </w:pPr>
      <w:r w:rsidRPr="00E82EFA">
        <w:rPr>
          <w:sz w:val="24"/>
          <w:szCs w:val="24"/>
          <w:u w:val="single"/>
        </w:rPr>
        <w:t>Section 128</w:t>
      </w:r>
      <w:r w:rsidR="00E8132A" w:rsidRPr="00E82EFA">
        <w:rPr>
          <w:sz w:val="24"/>
          <w:szCs w:val="24"/>
          <w:u w:val="single"/>
        </w:rPr>
        <w:t xml:space="preserve"> - References to</w:t>
      </w:r>
      <w:r w:rsidR="00E8132A">
        <w:rPr>
          <w:sz w:val="24"/>
          <w:szCs w:val="24"/>
          <w:u w:val="single"/>
        </w:rPr>
        <w:t xml:space="preserve"> entitlement</w:t>
      </w:r>
    </w:p>
    <w:p w14:paraId="13142060" w14:textId="77777777" w:rsidR="00E8132A" w:rsidRDefault="00E8132A" w:rsidP="00E8132A">
      <w:pPr>
        <w:spacing w:line="240" w:lineRule="auto"/>
        <w:rPr>
          <w:sz w:val="24"/>
          <w:szCs w:val="24"/>
          <w:u w:val="single"/>
        </w:rPr>
      </w:pPr>
    </w:p>
    <w:p w14:paraId="2F742D91" w14:textId="0A996769" w:rsidR="00E8132A" w:rsidRDefault="00E8132A" w:rsidP="00542A46">
      <w:pPr>
        <w:spacing w:line="240" w:lineRule="auto"/>
        <w:rPr>
          <w:sz w:val="24"/>
          <w:szCs w:val="24"/>
        </w:rPr>
      </w:pPr>
      <w:r w:rsidRPr="00E8132A">
        <w:rPr>
          <w:sz w:val="24"/>
          <w:szCs w:val="24"/>
        </w:rPr>
        <w:t xml:space="preserve">Subsection </w:t>
      </w:r>
      <w:r w:rsidR="00542A46">
        <w:rPr>
          <w:sz w:val="24"/>
          <w:szCs w:val="24"/>
        </w:rPr>
        <w:t>12</w:t>
      </w:r>
      <w:r w:rsidR="00B17A3C">
        <w:rPr>
          <w:sz w:val="24"/>
          <w:szCs w:val="24"/>
        </w:rPr>
        <w:t>8</w:t>
      </w:r>
      <w:r w:rsidRPr="00E8132A">
        <w:rPr>
          <w:sz w:val="24"/>
          <w:szCs w:val="24"/>
        </w:rPr>
        <w:t>(1) provides that a</w:t>
      </w:r>
      <w:r w:rsidRPr="00542A46">
        <w:rPr>
          <w:sz w:val="24"/>
          <w:szCs w:val="24"/>
        </w:rPr>
        <w:t xml:space="preserve"> reference </w:t>
      </w:r>
      <w:r w:rsidR="00BF6F02">
        <w:rPr>
          <w:sz w:val="24"/>
          <w:szCs w:val="24"/>
        </w:rPr>
        <w:t xml:space="preserve">in this instrument </w:t>
      </w:r>
      <w:r w:rsidRPr="00542A46">
        <w:rPr>
          <w:sz w:val="24"/>
          <w:szCs w:val="24"/>
        </w:rPr>
        <w:t xml:space="preserve">to an allocation of tariff rate quota entitlement in relation to a previous quota year includes an allocation of quota entitlement under </w:t>
      </w:r>
      <w:r w:rsidR="00BF6F02">
        <w:rPr>
          <w:sz w:val="24"/>
          <w:szCs w:val="24"/>
        </w:rPr>
        <w:t xml:space="preserve">Part 2 of </w:t>
      </w:r>
      <w:r w:rsidRPr="00542A46">
        <w:rPr>
          <w:sz w:val="24"/>
          <w:szCs w:val="24"/>
        </w:rPr>
        <w:t xml:space="preserve">the </w:t>
      </w:r>
      <w:r w:rsidRPr="00542A46">
        <w:rPr>
          <w:i/>
          <w:sz w:val="24"/>
          <w:szCs w:val="24"/>
        </w:rPr>
        <w:t>Export Control (Dairy Produce Tariff Rate Quotas) Order 2016</w:t>
      </w:r>
      <w:r w:rsidRPr="00542A46">
        <w:rPr>
          <w:sz w:val="24"/>
          <w:szCs w:val="24"/>
        </w:rPr>
        <w:t xml:space="preserve"> and an allocation of </w:t>
      </w:r>
      <w:r w:rsidR="00BF6F02">
        <w:rPr>
          <w:sz w:val="24"/>
          <w:szCs w:val="24"/>
        </w:rPr>
        <w:t xml:space="preserve">standard </w:t>
      </w:r>
      <w:r w:rsidR="00F5789C">
        <w:rPr>
          <w:sz w:val="24"/>
          <w:szCs w:val="24"/>
        </w:rPr>
        <w:t xml:space="preserve">tariff rate </w:t>
      </w:r>
      <w:r w:rsidR="00BF6F02">
        <w:rPr>
          <w:sz w:val="24"/>
          <w:szCs w:val="24"/>
        </w:rPr>
        <w:t>quota entitlement or supplementary</w:t>
      </w:r>
      <w:r w:rsidRPr="00542A46">
        <w:rPr>
          <w:sz w:val="24"/>
          <w:szCs w:val="24"/>
        </w:rPr>
        <w:t xml:space="preserve"> </w:t>
      </w:r>
      <w:r w:rsidR="007D6873">
        <w:rPr>
          <w:sz w:val="24"/>
          <w:szCs w:val="24"/>
        </w:rPr>
        <w:t xml:space="preserve">tariff rate </w:t>
      </w:r>
      <w:r w:rsidRPr="00542A46">
        <w:rPr>
          <w:sz w:val="24"/>
          <w:szCs w:val="24"/>
        </w:rPr>
        <w:t xml:space="preserve">quota entitlement under the </w:t>
      </w:r>
      <w:r w:rsidRPr="00542A46">
        <w:rPr>
          <w:i/>
          <w:sz w:val="24"/>
          <w:szCs w:val="24"/>
        </w:rPr>
        <w:t>Export Control (High Quality Beef Export to the European Union Tariff Rate Quotas) Order 2016</w:t>
      </w:r>
      <w:r w:rsidRPr="00542A46">
        <w:rPr>
          <w:sz w:val="24"/>
          <w:szCs w:val="24"/>
        </w:rPr>
        <w:t>.</w:t>
      </w:r>
      <w:r w:rsidR="007354E0">
        <w:rPr>
          <w:sz w:val="24"/>
          <w:szCs w:val="24"/>
        </w:rPr>
        <w:t xml:space="preserve">  This ensures past quota entitlements</w:t>
      </w:r>
      <w:r w:rsidR="007D6873">
        <w:rPr>
          <w:sz w:val="24"/>
          <w:szCs w:val="24"/>
        </w:rPr>
        <w:t xml:space="preserve"> issued under the instrument </w:t>
      </w:r>
      <w:r w:rsidR="007354E0">
        <w:rPr>
          <w:sz w:val="24"/>
          <w:szCs w:val="24"/>
        </w:rPr>
        <w:t>can be considered where required in determining eligibility and entitlements under this instrument.</w:t>
      </w:r>
    </w:p>
    <w:p w14:paraId="6BD1853B" w14:textId="77777777" w:rsidR="00E8132A" w:rsidRDefault="00E8132A" w:rsidP="00542A46">
      <w:pPr>
        <w:spacing w:line="240" w:lineRule="auto"/>
        <w:rPr>
          <w:sz w:val="24"/>
          <w:szCs w:val="24"/>
        </w:rPr>
      </w:pPr>
    </w:p>
    <w:p w14:paraId="1FF1E5AF" w14:textId="3A20D3BA" w:rsidR="00E8132A" w:rsidRDefault="00E8132A" w:rsidP="00542A46">
      <w:pPr>
        <w:spacing w:line="240" w:lineRule="auto"/>
        <w:rPr>
          <w:sz w:val="24"/>
          <w:szCs w:val="24"/>
        </w:rPr>
      </w:pPr>
      <w:r w:rsidRPr="00E8132A">
        <w:rPr>
          <w:sz w:val="24"/>
          <w:szCs w:val="24"/>
        </w:rPr>
        <w:t xml:space="preserve">Subsection </w:t>
      </w:r>
      <w:r w:rsidR="00542A46">
        <w:rPr>
          <w:sz w:val="24"/>
          <w:szCs w:val="24"/>
        </w:rPr>
        <w:t>12</w:t>
      </w:r>
      <w:r w:rsidR="00B17A3C">
        <w:rPr>
          <w:sz w:val="24"/>
          <w:szCs w:val="24"/>
        </w:rPr>
        <w:t>8</w:t>
      </w:r>
      <w:r>
        <w:rPr>
          <w:sz w:val="24"/>
          <w:szCs w:val="24"/>
        </w:rPr>
        <w:t>(2</w:t>
      </w:r>
      <w:r w:rsidRPr="00E8132A">
        <w:rPr>
          <w:sz w:val="24"/>
          <w:szCs w:val="24"/>
        </w:rPr>
        <w:t>) provides that</w:t>
      </w:r>
      <w:r>
        <w:rPr>
          <w:sz w:val="24"/>
          <w:szCs w:val="24"/>
        </w:rPr>
        <w:t xml:space="preserve"> a</w:t>
      </w:r>
      <w:r w:rsidRPr="00542A46">
        <w:rPr>
          <w:sz w:val="24"/>
          <w:szCs w:val="24"/>
        </w:rPr>
        <w:t xml:space="preserve"> reference </w:t>
      </w:r>
      <w:r w:rsidR="00BF6F02">
        <w:rPr>
          <w:sz w:val="24"/>
          <w:szCs w:val="24"/>
        </w:rPr>
        <w:t xml:space="preserve">in this instrument </w:t>
      </w:r>
      <w:r w:rsidRPr="00542A46">
        <w:rPr>
          <w:sz w:val="24"/>
          <w:szCs w:val="24"/>
        </w:rPr>
        <w:t xml:space="preserve">to a transfer of tariff rate quota entitlement in relation to a previous quota year includes a transfer under section 29 of the </w:t>
      </w:r>
      <w:r w:rsidRPr="00542A46">
        <w:rPr>
          <w:i/>
          <w:sz w:val="24"/>
          <w:szCs w:val="24"/>
        </w:rPr>
        <w:t>Export Control (High Quality Beef Export to the European Union Tariff Rate Quotas) Order 2016</w:t>
      </w:r>
      <w:r w:rsidRPr="00542A46">
        <w:rPr>
          <w:sz w:val="24"/>
          <w:szCs w:val="24"/>
        </w:rPr>
        <w:t>.</w:t>
      </w:r>
      <w:r w:rsidR="007354E0">
        <w:rPr>
          <w:sz w:val="24"/>
          <w:szCs w:val="24"/>
        </w:rPr>
        <w:t xml:space="preserve">  This ensure</w:t>
      </w:r>
      <w:r w:rsidR="007D6873">
        <w:rPr>
          <w:sz w:val="24"/>
          <w:szCs w:val="24"/>
        </w:rPr>
        <w:t>s</w:t>
      </w:r>
      <w:r w:rsidR="007354E0">
        <w:rPr>
          <w:sz w:val="24"/>
          <w:szCs w:val="24"/>
        </w:rPr>
        <w:t xml:space="preserve"> past quota transfers can be considered where required in determining eligibility under this instrument.</w:t>
      </w:r>
    </w:p>
    <w:p w14:paraId="1F3107A1" w14:textId="77777777" w:rsidR="00E8132A" w:rsidRDefault="00E8132A" w:rsidP="00542A46">
      <w:pPr>
        <w:spacing w:line="240" w:lineRule="auto"/>
        <w:rPr>
          <w:sz w:val="24"/>
          <w:szCs w:val="24"/>
        </w:rPr>
      </w:pPr>
    </w:p>
    <w:p w14:paraId="7626B9AD" w14:textId="18676356" w:rsidR="00E8132A" w:rsidRPr="007354E0" w:rsidRDefault="00E8132A" w:rsidP="00542A46">
      <w:pPr>
        <w:spacing w:line="240" w:lineRule="auto"/>
        <w:rPr>
          <w:sz w:val="24"/>
          <w:szCs w:val="24"/>
        </w:rPr>
      </w:pPr>
      <w:r w:rsidRPr="00E8132A">
        <w:rPr>
          <w:sz w:val="24"/>
          <w:szCs w:val="24"/>
        </w:rPr>
        <w:t xml:space="preserve">Subsection </w:t>
      </w:r>
      <w:r w:rsidR="00542A46">
        <w:rPr>
          <w:sz w:val="24"/>
          <w:szCs w:val="24"/>
        </w:rPr>
        <w:t>12</w:t>
      </w:r>
      <w:r w:rsidR="00B17A3C">
        <w:rPr>
          <w:sz w:val="24"/>
          <w:szCs w:val="24"/>
        </w:rPr>
        <w:t>8</w:t>
      </w:r>
      <w:r w:rsidRPr="00E8132A">
        <w:rPr>
          <w:sz w:val="24"/>
          <w:szCs w:val="24"/>
        </w:rPr>
        <w:t xml:space="preserve">(3) provides that a </w:t>
      </w:r>
      <w:r w:rsidRPr="00542A46">
        <w:rPr>
          <w:sz w:val="24"/>
          <w:szCs w:val="24"/>
        </w:rPr>
        <w:t xml:space="preserve">reference </w:t>
      </w:r>
      <w:r w:rsidR="00BF6F02">
        <w:rPr>
          <w:sz w:val="24"/>
          <w:szCs w:val="24"/>
        </w:rPr>
        <w:t xml:space="preserve">in this instrument </w:t>
      </w:r>
      <w:r w:rsidRPr="00542A46">
        <w:rPr>
          <w:sz w:val="24"/>
          <w:szCs w:val="24"/>
        </w:rPr>
        <w:t xml:space="preserve">to the return of entitlement in relation to a previous quota year includes the relinquishment of tariff rate quota entitlement under section 25 of the </w:t>
      </w:r>
      <w:r w:rsidRPr="00542A46">
        <w:rPr>
          <w:i/>
          <w:sz w:val="24"/>
          <w:szCs w:val="24"/>
        </w:rPr>
        <w:t>Export Control (High Quality Beef Export to the European Union Tariff Rate Quotas) Order 2016</w:t>
      </w:r>
      <w:r w:rsidR="007354E0">
        <w:rPr>
          <w:i/>
          <w:sz w:val="24"/>
          <w:szCs w:val="24"/>
        </w:rPr>
        <w:t>.</w:t>
      </w:r>
      <w:r w:rsidR="007354E0">
        <w:rPr>
          <w:sz w:val="24"/>
          <w:szCs w:val="24"/>
        </w:rPr>
        <w:t xml:space="preserve"> </w:t>
      </w:r>
      <w:r w:rsidR="002B025A">
        <w:rPr>
          <w:sz w:val="24"/>
          <w:szCs w:val="24"/>
        </w:rPr>
        <w:t xml:space="preserve">This ensures past quota returns can be considered where required in determining eligibility for entitlements </w:t>
      </w:r>
      <w:r w:rsidR="007D6873">
        <w:rPr>
          <w:sz w:val="24"/>
          <w:szCs w:val="24"/>
        </w:rPr>
        <w:t xml:space="preserve">of the tariff rate quota </w:t>
      </w:r>
      <w:r w:rsidR="002B025A">
        <w:rPr>
          <w:sz w:val="24"/>
          <w:szCs w:val="24"/>
        </w:rPr>
        <w:t>under this new instrument.</w:t>
      </w:r>
    </w:p>
    <w:p w14:paraId="1F505F61" w14:textId="5E41DE16" w:rsidR="00E8132A" w:rsidRDefault="00E8132A" w:rsidP="00542A46">
      <w:pPr>
        <w:spacing w:line="240" w:lineRule="auto"/>
        <w:rPr>
          <w:sz w:val="24"/>
          <w:szCs w:val="24"/>
        </w:rPr>
      </w:pPr>
    </w:p>
    <w:p w14:paraId="60CA8B3E" w14:textId="515A88C6" w:rsidR="00BF6F02" w:rsidRDefault="00BF6F02" w:rsidP="009D01AD">
      <w:pPr>
        <w:keepNext/>
        <w:spacing w:line="240" w:lineRule="auto"/>
        <w:rPr>
          <w:szCs w:val="24"/>
          <w:u w:val="single"/>
        </w:rPr>
      </w:pPr>
      <w:bookmarkStart w:id="133" w:name="_Toc24038918"/>
      <w:r w:rsidRPr="00542A46">
        <w:rPr>
          <w:szCs w:val="24"/>
          <w:u w:val="single"/>
        </w:rPr>
        <w:t xml:space="preserve">Section </w:t>
      </w:r>
      <w:r w:rsidR="00542A46">
        <w:rPr>
          <w:szCs w:val="24"/>
          <w:u w:val="single"/>
        </w:rPr>
        <w:t>129</w:t>
      </w:r>
      <w:r w:rsidRPr="00542A46">
        <w:rPr>
          <w:sz w:val="24"/>
          <w:szCs w:val="24"/>
          <w:u w:val="single"/>
        </w:rPr>
        <w:t xml:space="preserve"> - Continued application of repealed instruments</w:t>
      </w:r>
      <w:bookmarkEnd w:id="133"/>
    </w:p>
    <w:p w14:paraId="745E1512" w14:textId="77777777" w:rsidR="00BF6F02" w:rsidRDefault="00BF6F02" w:rsidP="009D01AD">
      <w:pPr>
        <w:keepNext/>
        <w:spacing w:line="240" w:lineRule="auto"/>
        <w:rPr>
          <w:szCs w:val="24"/>
          <w:u w:val="single"/>
        </w:rPr>
      </w:pPr>
    </w:p>
    <w:p w14:paraId="554CB379" w14:textId="0EFCC845" w:rsidR="00BF6F02" w:rsidRPr="00542A46" w:rsidRDefault="00BF6F02" w:rsidP="00542A46">
      <w:pPr>
        <w:spacing w:line="240" w:lineRule="auto"/>
        <w:rPr>
          <w:sz w:val="24"/>
          <w:szCs w:val="24"/>
        </w:rPr>
      </w:pPr>
      <w:r w:rsidRPr="00E8132A">
        <w:rPr>
          <w:sz w:val="24"/>
          <w:szCs w:val="24"/>
        </w:rPr>
        <w:t xml:space="preserve">Subsection </w:t>
      </w:r>
      <w:r w:rsidR="00542A46">
        <w:rPr>
          <w:sz w:val="24"/>
          <w:szCs w:val="24"/>
        </w:rPr>
        <w:t>129</w:t>
      </w:r>
      <w:r w:rsidRPr="00E8132A">
        <w:rPr>
          <w:sz w:val="24"/>
          <w:szCs w:val="24"/>
        </w:rPr>
        <w:t>(</w:t>
      </w:r>
      <w:r>
        <w:rPr>
          <w:sz w:val="24"/>
          <w:szCs w:val="24"/>
        </w:rPr>
        <w:t>1</w:t>
      </w:r>
      <w:r w:rsidRPr="00E8132A">
        <w:rPr>
          <w:sz w:val="24"/>
          <w:szCs w:val="24"/>
        </w:rPr>
        <w:t>) provides that</w:t>
      </w:r>
      <w:r>
        <w:rPr>
          <w:sz w:val="24"/>
          <w:szCs w:val="24"/>
        </w:rPr>
        <w:t xml:space="preserve"> d</w:t>
      </w:r>
      <w:r w:rsidRPr="00542A46">
        <w:rPr>
          <w:sz w:val="24"/>
          <w:szCs w:val="24"/>
        </w:rPr>
        <w:t xml:space="preserve">espite the repeal of the </w:t>
      </w:r>
      <w:r w:rsidRPr="00542A46">
        <w:rPr>
          <w:i/>
          <w:sz w:val="24"/>
          <w:szCs w:val="24"/>
        </w:rPr>
        <w:t>Export Control (Beef Export to the USA Tariff Rate Quota) Order 2016</w:t>
      </w:r>
      <w:r w:rsidRPr="00542A46">
        <w:rPr>
          <w:sz w:val="24"/>
          <w:szCs w:val="24"/>
        </w:rPr>
        <w:t>, that instrument continues to apply in relation to a quota year ending before 1 January 2020.</w:t>
      </w:r>
      <w:r w:rsidR="00256E5D">
        <w:rPr>
          <w:sz w:val="24"/>
          <w:szCs w:val="24"/>
        </w:rPr>
        <w:t xml:space="preserve">  This ensures the 2019 quota year can continue to operate correctly for the remainder of the quota year</w:t>
      </w:r>
      <w:r w:rsidR="008309D0">
        <w:rPr>
          <w:sz w:val="24"/>
          <w:szCs w:val="24"/>
        </w:rPr>
        <w:t xml:space="preserve"> by saving tariff rate quota certificates issued under the instrument</w:t>
      </w:r>
      <w:r w:rsidR="00256E5D">
        <w:rPr>
          <w:sz w:val="24"/>
          <w:szCs w:val="24"/>
        </w:rPr>
        <w:t>.</w:t>
      </w:r>
    </w:p>
    <w:p w14:paraId="084688EE" w14:textId="77777777" w:rsidR="00BF6F02" w:rsidRPr="00542A46" w:rsidRDefault="00BF6F02" w:rsidP="00542A46">
      <w:pPr>
        <w:spacing w:line="240" w:lineRule="auto"/>
        <w:rPr>
          <w:sz w:val="24"/>
          <w:szCs w:val="24"/>
        </w:rPr>
      </w:pPr>
    </w:p>
    <w:p w14:paraId="7A8DFCA6" w14:textId="129BA8CE" w:rsidR="00BF6F02" w:rsidRPr="00542A46" w:rsidRDefault="00BF6F02" w:rsidP="00542A46">
      <w:pPr>
        <w:spacing w:line="240" w:lineRule="auto"/>
        <w:rPr>
          <w:sz w:val="24"/>
          <w:szCs w:val="24"/>
        </w:rPr>
      </w:pPr>
      <w:r w:rsidRPr="00E8132A">
        <w:rPr>
          <w:sz w:val="24"/>
          <w:szCs w:val="24"/>
        </w:rPr>
        <w:t xml:space="preserve">Subsection </w:t>
      </w:r>
      <w:r w:rsidR="00542A46">
        <w:rPr>
          <w:sz w:val="24"/>
          <w:szCs w:val="24"/>
        </w:rPr>
        <w:t>129</w:t>
      </w:r>
      <w:r w:rsidRPr="00E8132A">
        <w:rPr>
          <w:sz w:val="24"/>
          <w:szCs w:val="24"/>
        </w:rPr>
        <w:t>(</w:t>
      </w:r>
      <w:r>
        <w:rPr>
          <w:sz w:val="24"/>
          <w:szCs w:val="24"/>
        </w:rPr>
        <w:t>2</w:t>
      </w:r>
      <w:r w:rsidRPr="00E8132A">
        <w:rPr>
          <w:sz w:val="24"/>
          <w:szCs w:val="24"/>
        </w:rPr>
        <w:t>) provides that</w:t>
      </w:r>
      <w:r>
        <w:rPr>
          <w:sz w:val="24"/>
          <w:szCs w:val="24"/>
        </w:rPr>
        <w:t xml:space="preserve"> d</w:t>
      </w:r>
      <w:r w:rsidRPr="00542A46">
        <w:rPr>
          <w:sz w:val="24"/>
          <w:szCs w:val="24"/>
        </w:rPr>
        <w:t xml:space="preserve">espite the repeal of the </w:t>
      </w:r>
      <w:r w:rsidRPr="00542A46">
        <w:rPr>
          <w:i/>
          <w:sz w:val="24"/>
          <w:szCs w:val="24"/>
        </w:rPr>
        <w:t>Export Control (Dairy Produce Tariff Rate Quotas) Order 2016</w:t>
      </w:r>
      <w:r w:rsidRPr="00542A46">
        <w:rPr>
          <w:sz w:val="24"/>
          <w:szCs w:val="24"/>
        </w:rPr>
        <w:t>, that instrument continues to apply in relation to a quota year ending before 1 January 2020.</w:t>
      </w:r>
      <w:r w:rsidR="00256E5D">
        <w:rPr>
          <w:sz w:val="24"/>
          <w:szCs w:val="24"/>
        </w:rPr>
        <w:t xml:space="preserve"> This ensures the 2019 quota year can continue to operate correctly for the remainder of the quota year</w:t>
      </w:r>
      <w:r w:rsidR="008309D0" w:rsidRPr="008309D0">
        <w:rPr>
          <w:sz w:val="24"/>
          <w:szCs w:val="24"/>
        </w:rPr>
        <w:t xml:space="preserve"> </w:t>
      </w:r>
      <w:r w:rsidR="008309D0">
        <w:rPr>
          <w:sz w:val="24"/>
          <w:szCs w:val="24"/>
        </w:rPr>
        <w:t>by saving tariff rate quota certificates issued under the instrument</w:t>
      </w:r>
      <w:r w:rsidR="00256E5D">
        <w:rPr>
          <w:sz w:val="24"/>
          <w:szCs w:val="24"/>
        </w:rPr>
        <w:t>.</w:t>
      </w:r>
    </w:p>
    <w:p w14:paraId="62ABA9F9" w14:textId="77777777" w:rsidR="00BF6F02" w:rsidRPr="00542A46" w:rsidRDefault="00BF6F02" w:rsidP="00542A46">
      <w:pPr>
        <w:spacing w:line="240" w:lineRule="auto"/>
        <w:rPr>
          <w:sz w:val="24"/>
          <w:szCs w:val="24"/>
        </w:rPr>
      </w:pPr>
    </w:p>
    <w:p w14:paraId="34226863" w14:textId="78A7A0FA" w:rsidR="00BF6F02" w:rsidRPr="00542A46" w:rsidRDefault="00BF6F02" w:rsidP="00542A46">
      <w:pPr>
        <w:spacing w:line="240" w:lineRule="auto"/>
        <w:rPr>
          <w:sz w:val="24"/>
          <w:szCs w:val="24"/>
        </w:rPr>
      </w:pPr>
      <w:r w:rsidRPr="00E8132A">
        <w:rPr>
          <w:sz w:val="24"/>
          <w:szCs w:val="24"/>
        </w:rPr>
        <w:t xml:space="preserve">Subsection </w:t>
      </w:r>
      <w:r w:rsidR="00542A46">
        <w:rPr>
          <w:sz w:val="24"/>
          <w:szCs w:val="24"/>
        </w:rPr>
        <w:t>129</w:t>
      </w:r>
      <w:r w:rsidRPr="00E8132A">
        <w:rPr>
          <w:sz w:val="24"/>
          <w:szCs w:val="24"/>
        </w:rPr>
        <w:t>(</w:t>
      </w:r>
      <w:r>
        <w:rPr>
          <w:sz w:val="24"/>
          <w:szCs w:val="24"/>
        </w:rPr>
        <w:t>3</w:t>
      </w:r>
      <w:r w:rsidRPr="00E8132A">
        <w:rPr>
          <w:sz w:val="24"/>
          <w:szCs w:val="24"/>
        </w:rPr>
        <w:t>) provides that</w:t>
      </w:r>
      <w:r>
        <w:rPr>
          <w:sz w:val="24"/>
          <w:szCs w:val="24"/>
        </w:rPr>
        <w:t xml:space="preserve"> d</w:t>
      </w:r>
      <w:r w:rsidRPr="00542A46">
        <w:rPr>
          <w:sz w:val="24"/>
          <w:szCs w:val="24"/>
        </w:rPr>
        <w:t xml:space="preserve">espite the repeal of the </w:t>
      </w:r>
      <w:r w:rsidRPr="00542A46">
        <w:rPr>
          <w:i/>
          <w:sz w:val="24"/>
          <w:szCs w:val="24"/>
        </w:rPr>
        <w:t>Export Control (High Quality Beef Export to the European Union Tariff Rate Quotas) Order 2016</w:t>
      </w:r>
      <w:r w:rsidRPr="00542A46">
        <w:rPr>
          <w:sz w:val="24"/>
          <w:szCs w:val="24"/>
        </w:rPr>
        <w:t>, that instrument continues to apply in relation to a quota year ending before 1 July 2020.</w:t>
      </w:r>
      <w:r w:rsidR="00256E5D">
        <w:rPr>
          <w:sz w:val="24"/>
          <w:szCs w:val="24"/>
        </w:rPr>
        <w:t xml:space="preserve"> This ensures the 2019-20 quota year can continue to operate correctly for the remainder of the quota year.</w:t>
      </w:r>
    </w:p>
    <w:p w14:paraId="755B1C5E" w14:textId="77777777" w:rsidR="00BF6F02" w:rsidRPr="00542A46" w:rsidRDefault="00BF6F02" w:rsidP="00542A46">
      <w:pPr>
        <w:spacing w:line="240" w:lineRule="auto"/>
        <w:rPr>
          <w:sz w:val="24"/>
          <w:szCs w:val="24"/>
        </w:rPr>
      </w:pPr>
    </w:p>
    <w:p w14:paraId="524CA108" w14:textId="51D79539" w:rsidR="00BF6F02" w:rsidRPr="00542A46" w:rsidRDefault="00BF6F02" w:rsidP="00542A46">
      <w:pPr>
        <w:spacing w:line="240" w:lineRule="auto"/>
        <w:rPr>
          <w:sz w:val="24"/>
          <w:szCs w:val="24"/>
        </w:rPr>
      </w:pPr>
      <w:r w:rsidRPr="00E8132A">
        <w:rPr>
          <w:sz w:val="24"/>
          <w:szCs w:val="24"/>
        </w:rPr>
        <w:t xml:space="preserve">Subsection </w:t>
      </w:r>
      <w:r w:rsidR="00542A46">
        <w:rPr>
          <w:sz w:val="24"/>
          <w:szCs w:val="24"/>
        </w:rPr>
        <w:t>129</w:t>
      </w:r>
      <w:r w:rsidRPr="00E8132A">
        <w:rPr>
          <w:sz w:val="24"/>
          <w:szCs w:val="24"/>
        </w:rPr>
        <w:t>(</w:t>
      </w:r>
      <w:r>
        <w:rPr>
          <w:sz w:val="24"/>
          <w:szCs w:val="24"/>
        </w:rPr>
        <w:t>4</w:t>
      </w:r>
      <w:r w:rsidRPr="00E8132A">
        <w:rPr>
          <w:sz w:val="24"/>
          <w:szCs w:val="24"/>
        </w:rPr>
        <w:t>) provides that</w:t>
      </w:r>
      <w:r>
        <w:rPr>
          <w:sz w:val="24"/>
          <w:szCs w:val="24"/>
        </w:rPr>
        <w:t xml:space="preserve"> d</w:t>
      </w:r>
      <w:r w:rsidRPr="00542A46">
        <w:rPr>
          <w:sz w:val="24"/>
          <w:szCs w:val="24"/>
        </w:rPr>
        <w:t xml:space="preserve">espite the repeal of the </w:t>
      </w:r>
      <w:r w:rsidRPr="00542A46">
        <w:rPr>
          <w:i/>
          <w:sz w:val="24"/>
          <w:szCs w:val="24"/>
        </w:rPr>
        <w:t>Export Control (Japan-Australia) Economic Partnership Agreement Tariff Rate Quotas) Order 2016</w:t>
      </w:r>
      <w:r w:rsidRPr="00542A46">
        <w:rPr>
          <w:sz w:val="24"/>
          <w:szCs w:val="24"/>
        </w:rPr>
        <w:t>, that instrument continues to apply in relation to a quota year ending before 1 April 2020</w:t>
      </w:r>
      <w:r w:rsidR="00256E5D">
        <w:rPr>
          <w:sz w:val="24"/>
          <w:szCs w:val="24"/>
        </w:rPr>
        <w:t>. This ensures the 2019 quota year can continue to operate correctly for the remainder of the quota year.</w:t>
      </w:r>
    </w:p>
    <w:p w14:paraId="2B5F4E0C" w14:textId="0DE480CF" w:rsidR="00E8132A" w:rsidRPr="00E8132A" w:rsidRDefault="00E8132A" w:rsidP="00E8132A">
      <w:pPr>
        <w:spacing w:line="240" w:lineRule="auto"/>
        <w:rPr>
          <w:sz w:val="24"/>
          <w:szCs w:val="24"/>
          <w:u w:val="single"/>
        </w:rPr>
      </w:pPr>
    </w:p>
    <w:p w14:paraId="0AC8BA66" w14:textId="2DAF7ECC" w:rsidR="009D2654" w:rsidRDefault="009D2654" w:rsidP="009D2654">
      <w:pPr>
        <w:spacing w:line="240" w:lineRule="auto"/>
        <w:rPr>
          <w:b/>
          <w:sz w:val="24"/>
          <w:szCs w:val="24"/>
        </w:rPr>
      </w:pPr>
      <w:r>
        <w:rPr>
          <w:b/>
          <w:sz w:val="24"/>
          <w:szCs w:val="24"/>
        </w:rPr>
        <w:t>Schedule 1 - Repeals</w:t>
      </w:r>
    </w:p>
    <w:p w14:paraId="39B5EDA0" w14:textId="77777777" w:rsidR="009D2654" w:rsidRDefault="009D2654" w:rsidP="009D2654">
      <w:pPr>
        <w:spacing w:line="240" w:lineRule="auto"/>
        <w:rPr>
          <w:b/>
          <w:sz w:val="24"/>
          <w:szCs w:val="24"/>
        </w:rPr>
      </w:pPr>
    </w:p>
    <w:p w14:paraId="6FC7AC0D" w14:textId="584DDEAF" w:rsidR="00A41041" w:rsidRPr="00542A46" w:rsidRDefault="00A41041" w:rsidP="00542A46">
      <w:pPr>
        <w:spacing w:line="240" w:lineRule="auto"/>
        <w:rPr>
          <w:sz w:val="24"/>
          <w:szCs w:val="24"/>
        </w:rPr>
      </w:pPr>
      <w:r>
        <w:rPr>
          <w:sz w:val="24"/>
          <w:szCs w:val="24"/>
        </w:rPr>
        <w:t xml:space="preserve">This schedule provides that the </w:t>
      </w:r>
      <w:bookmarkStart w:id="134" w:name="_Toc24038920"/>
      <w:bookmarkStart w:id="135" w:name="_Toc23863348"/>
      <w:r w:rsidRPr="00542A46">
        <w:rPr>
          <w:i/>
          <w:sz w:val="24"/>
          <w:szCs w:val="24"/>
        </w:rPr>
        <w:t>Export Control (Beef Export to the USA Tariff Rate Quota) Order 2016</w:t>
      </w:r>
      <w:bookmarkEnd w:id="134"/>
      <w:bookmarkEnd w:id="135"/>
      <w:r w:rsidRPr="00542A46">
        <w:rPr>
          <w:i/>
          <w:sz w:val="24"/>
          <w:szCs w:val="24"/>
        </w:rPr>
        <w:t xml:space="preserve">, </w:t>
      </w:r>
      <w:bookmarkStart w:id="136" w:name="_Toc24038921"/>
      <w:bookmarkStart w:id="137" w:name="_Toc23863349"/>
      <w:r w:rsidRPr="00542A46">
        <w:rPr>
          <w:i/>
          <w:sz w:val="24"/>
          <w:szCs w:val="24"/>
        </w:rPr>
        <w:t>Export Control (Dairy Produce Tariff Rate Quotas) Order 2016</w:t>
      </w:r>
      <w:bookmarkEnd w:id="136"/>
      <w:bookmarkEnd w:id="137"/>
      <w:r w:rsidRPr="00542A46">
        <w:rPr>
          <w:i/>
          <w:sz w:val="24"/>
          <w:szCs w:val="24"/>
        </w:rPr>
        <w:t xml:space="preserve">, </w:t>
      </w:r>
      <w:bookmarkStart w:id="138" w:name="BK_S4P68L8C1"/>
      <w:bookmarkStart w:id="139" w:name="_Toc24038922"/>
      <w:bookmarkStart w:id="140" w:name="_Toc23863353"/>
      <w:bookmarkEnd w:id="138"/>
      <w:r w:rsidRPr="00542A46">
        <w:rPr>
          <w:i/>
          <w:sz w:val="24"/>
          <w:szCs w:val="24"/>
        </w:rPr>
        <w:t>Export Control (High Quality Beef Export to the European Union Tariff Rate Quotas) Order 2016</w:t>
      </w:r>
      <w:bookmarkEnd w:id="139"/>
      <w:bookmarkEnd w:id="140"/>
      <w:r>
        <w:rPr>
          <w:sz w:val="24"/>
          <w:szCs w:val="24"/>
        </w:rPr>
        <w:t xml:space="preserve"> and</w:t>
      </w:r>
    </w:p>
    <w:p w14:paraId="38BE032E" w14:textId="31F5D86C" w:rsidR="004669B9" w:rsidRDefault="00A41041" w:rsidP="004839AA">
      <w:pPr>
        <w:spacing w:line="240" w:lineRule="auto"/>
        <w:rPr>
          <w:sz w:val="24"/>
          <w:szCs w:val="24"/>
        </w:rPr>
      </w:pPr>
      <w:bookmarkStart w:id="141" w:name="_Toc24038923"/>
      <w:r w:rsidRPr="00542A46">
        <w:rPr>
          <w:i/>
          <w:sz w:val="24"/>
          <w:szCs w:val="24"/>
        </w:rPr>
        <w:t>Export Control (Japan-Australia Economic Partnership Agreement Tariff Rate Quotas) Order 2016</w:t>
      </w:r>
      <w:bookmarkEnd w:id="141"/>
      <w:r w:rsidRPr="00A41041">
        <w:rPr>
          <w:i/>
          <w:sz w:val="24"/>
          <w:szCs w:val="24"/>
        </w:rPr>
        <w:t xml:space="preserve"> </w:t>
      </w:r>
      <w:r>
        <w:rPr>
          <w:sz w:val="24"/>
          <w:szCs w:val="24"/>
        </w:rPr>
        <w:t>are repealed.</w:t>
      </w:r>
    </w:p>
    <w:p w14:paraId="265EC256" w14:textId="77777777" w:rsidR="00014503" w:rsidRDefault="00014503" w:rsidP="004839AA">
      <w:pPr>
        <w:spacing w:line="240" w:lineRule="auto"/>
        <w:rPr>
          <w:sz w:val="24"/>
          <w:szCs w:val="24"/>
        </w:rPr>
        <w:sectPr w:rsidR="00014503">
          <w:footerReference w:type="default" r:id="rId32"/>
          <w:pgSz w:w="11906" w:h="16838"/>
          <w:pgMar w:top="1440" w:right="1440" w:bottom="1440" w:left="1440" w:header="708" w:footer="708" w:gutter="0"/>
          <w:cols w:space="708"/>
          <w:docGrid w:linePitch="360"/>
        </w:sectPr>
      </w:pPr>
    </w:p>
    <w:p w14:paraId="4FB65F28" w14:textId="5BBE15FF" w:rsidR="00014503" w:rsidRPr="004839AA" w:rsidRDefault="00014503" w:rsidP="004839AA">
      <w:pPr>
        <w:spacing w:line="240" w:lineRule="auto"/>
        <w:rPr>
          <w:sz w:val="24"/>
          <w:szCs w:val="24"/>
        </w:rPr>
      </w:pPr>
    </w:p>
    <w:p w14:paraId="1D535677" w14:textId="0ACC4014" w:rsidR="00D5029A" w:rsidRPr="00820E9F" w:rsidRDefault="00D5029A" w:rsidP="00BE7125">
      <w:pPr>
        <w:jc w:val="right"/>
        <w:rPr>
          <w:b/>
          <w:sz w:val="24"/>
        </w:rPr>
      </w:pPr>
      <w:r w:rsidRPr="00820E9F">
        <w:rPr>
          <w:b/>
          <w:sz w:val="24"/>
        </w:rPr>
        <w:t xml:space="preserve">Attachment </w:t>
      </w:r>
      <w:r w:rsidR="004F673B" w:rsidRPr="00820E9F">
        <w:rPr>
          <w:b/>
          <w:sz w:val="24"/>
        </w:rPr>
        <w:t>B</w:t>
      </w:r>
    </w:p>
    <w:p w14:paraId="2128D83E" w14:textId="77777777" w:rsidR="00D5029A" w:rsidRPr="00820E9F" w:rsidRDefault="00D5029A" w:rsidP="00BE7125">
      <w:pPr>
        <w:rPr>
          <w:b/>
          <w:vanish/>
          <w:sz w:val="24"/>
        </w:rPr>
      </w:pPr>
    </w:p>
    <w:p w14:paraId="36FC812A" w14:textId="77777777" w:rsidR="00D5029A" w:rsidRPr="00E4135E" w:rsidRDefault="00D5029A" w:rsidP="00BE7125">
      <w:pPr>
        <w:spacing w:before="360" w:after="120"/>
        <w:jc w:val="center"/>
        <w:rPr>
          <w:b/>
          <w:sz w:val="28"/>
          <w:szCs w:val="28"/>
        </w:rPr>
      </w:pPr>
      <w:r w:rsidRPr="00E4135E">
        <w:rPr>
          <w:b/>
          <w:sz w:val="28"/>
          <w:szCs w:val="28"/>
        </w:rPr>
        <w:t>Statement of Compatibility with Human Rights</w:t>
      </w:r>
    </w:p>
    <w:p w14:paraId="0FF3FC68" w14:textId="77777777" w:rsidR="00D5029A" w:rsidRPr="00E4135E" w:rsidRDefault="00D5029A" w:rsidP="00BE7125">
      <w:pPr>
        <w:spacing w:before="120" w:after="120"/>
        <w:jc w:val="center"/>
        <w:rPr>
          <w:sz w:val="24"/>
        </w:rPr>
      </w:pPr>
      <w:r w:rsidRPr="00E4135E">
        <w:rPr>
          <w:i/>
          <w:sz w:val="24"/>
        </w:rPr>
        <w:t>Prepared in accordance with Part 3 of the Human Rights (Parliamentary Scrutiny) Act 2011</w:t>
      </w:r>
    </w:p>
    <w:p w14:paraId="1E26D496" w14:textId="77777777" w:rsidR="00D5029A" w:rsidRPr="00E4135E" w:rsidRDefault="00D5029A" w:rsidP="00BE7125">
      <w:pPr>
        <w:spacing w:before="120" w:after="120"/>
        <w:jc w:val="center"/>
        <w:rPr>
          <w:sz w:val="24"/>
        </w:rPr>
      </w:pPr>
    </w:p>
    <w:p w14:paraId="52B637D0" w14:textId="6225A9B8" w:rsidR="00D5029A" w:rsidRPr="005E7CE6" w:rsidRDefault="00D5029A" w:rsidP="00BE7125">
      <w:pPr>
        <w:jc w:val="center"/>
        <w:rPr>
          <w:i/>
          <w:sz w:val="24"/>
        </w:rPr>
      </w:pPr>
      <w:r w:rsidRPr="006017C6">
        <w:rPr>
          <w:i/>
          <w:sz w:val="24"/>
        </w:rPr>
        <w:t>Export Control (</w:t>
      </w:r>
      <w:r w:rsidRPr="00D5029A">
        <w:rPr>
          <w:i/>
        </w:rPr>
        <w:t>Tariff Rate Quotas)</w:t>
      </w:r>
      <w:r w:rsidR="001C14DB">
        <w:rPr>
          <w:i/>
        </w:rPr>
        <w:t xml:space="preserve"> </w:t>
      </w:r>
      <w:r w:rsidR="001C14DB">
        <w:rPr>
          <w:i/>
          <w:sz w:val="24"/>
        </w:rPr>
        <w:t>Order 201</w:t>
      </w:r>
      <w:r w:rsidR="009C5223">
        <w:rPr>
          <w:i/>
          <w:sz w:val="24"/>
        </w:rPr>
        <w:t>9</w:t>
      </w:r>
      <w:r w:rsidRPr="006017C6">
        <w:rPr>
          <w:i/>
          <w:sz w:val="24"/>
        </w:rPr>
        <w:t>.</w:t>
      </w:r>
      <w:r w:rsidRPr="005E7CE6">
        <w:rPr>
          <w:i/>
          <w:sz w:val="24"/>
        </w:rPr>
        <w:t xml:space="preserve"> </w:t>
      </w:r>
    </w:p>
    <w:sdt>
      <w:sdtPr>
        <w:rPr>
          <w:sz w:val="24"/>
        </w:rPr>
        <w:id w:val="962787082"/>
        <w:lock w:val="contentLocked"/>
        <w:placeholder>
          <w:docPart w:val="0516FA184A6E43F084FACFDD7B8213D9"/>
        </w:placeholder>
        <w:group/>
      </w:sdtPr>
      <w:sdtEndPr>
        <w:rPr>
          <w:b/>
        </w:rPr>
      </w:sdtEndPr>
      <w:sdtContent>
        <w:p w14:paraId="3387FEAE" w14:textId="77777777" w:rsidR="00D5029A" w:rsidRPr="00E4135E" w:rsidRDefault="00D5029A" w:rsidP="00BE7125">
          <w:pPr>
            <w:jc w:val="center"/>
            <w:rPr>
              <w:sz w:val="24"/>
            </w:rPr>
          </w:pPr>
        </w:p>
        <w:p w14:paraId="03422411" w14:textId="77777777" w:rsidR="00D5029A" w:rsidRPr="00E4135E" w:rsidRDefault="00D5029A" w:rsidP="00BE7125">
          <w:pPr>
            <w:spacing w:before="120" w:after="120"/>
            <w:jc w:val="center"/>
            <w:rPr>
              <w:sz w:val="24"/>
            </w:rPr>
          </w:pPr>
          <w:r w:rsidRPr="00E4135E">
            <w:rPr>
              <w:sz w:val="24"/>
            </w:rPr>
            <w:t xml:space="preserve">This Legislative Instrument is compatible with the human rights and freedoms recognised or declared in the international instruments listed in section 3 of the </w:t>
          </w:r>
          <w:r w:rsidRPr="00E4135E">
            <w:rPr>
              <w:i/>
              <w:sz w:val="24"/>
            </w:rPr>
            <w:t>Human Rights (Parliamentary Scrutiny) Act 2011</w:t>
          </w:r>
          <w:r w:rsidRPr="00E4135E">
            <w:rPr>
              <w:sz w:val="24"/>
            </w:rPr>
            <w:t>.</w:t>
          </w:r>
        </w:p>
        <w:p w14:paraId="1B6E6543" w14:textId="77777777" w:rsidR="00D5029A" w:rsidRPr="00E4135E" w:rsidRDefault="00D5029A" w:rsidP="00BE7125">
          <w:pPr>
            <w:rPr>
              <w:sz w:val="24"/>
            </w:rPr>
          </w:pPr>
        </w:p>
        <w:p w14:paraId="752F80F3" w14:textId="77777777" w:rsidR="00D5029A" w:rsidRPr="00E4135E" w:rsidRDefault="00D5029A" w:rsidP="00BE7125">
          <w:pPr>
            <w:spacing w:after="120"/>
            <w:jc w:val="both"/>
            <w:rPr>
              <w:b/>
              <w:sz w:val="24"/>
            </w:rPr>
          </w:pPr>
          <w:r w:rsidRPr="00E4135E">
            <w:rPr>
              <w:b/>
              <w:sz w:val="24"/>
            </w:rPr>
            <w:t>Overview of the Legislative Instrument</w:t>
          </w:r>
        </w:p>
      </w:sdtContent>
    </w:sdt>
    <w:p w14:paraId="61D46DE2" w14:textId="33FBAD40" w:rsidR="00D5029A" w:rsidRDefault="00D5029A" w:rsidP="00BE7125">
      <w:pPr>
        <w:tabs>
          <w:tab w:val="right" w:pos="9072"/>
        </w:tabs>
        <w:rPr>
          <w:sz w:val="24"/>
        </w:rPr>
      </w:pPr>
      <w:r w:rsidRPr="00470CA8">
        <w:rPr>
          <w:sz w:val="24"/>
        </w:rPr>
        <w:t xml:space="preserve">The purpose of the </w:t>
      </w:r>
      <w:r w:rsidRPr="00470CA8">
        <w:rPr>
          <w:i/>
          <w:sz w:val="24"/>
        </w:rPr>
        <w:t>Export Control (</w:t>
      </w:r>
      <w:r w:rsidRPr="00D5029A">
        <w:rPr>
          <w:i/>
        </w:rPr>
        <w:t>Tariff Rate Quotas</w:t>
      </w:r>
      <w:r w:rsidRPr="00470CA8">
        <w:rPr>
          <w:i/>
          <w:sz w:val="24"/>
        </w:rPr>
        <w:t>)</w:t>
      </w:r>
      <w:r w:rsidR="001C14DB">
        <w:rPr>
          <w:i/>
          <w:sz w:val="24"/>
        </w:rPr>
        <w:t xml:space="preserve"> </w:t>
      </w:r>
      <w:r w:rsidR="009C5223">
        <w:rPr>
          <w:i/>
          <w:sz w:val="24"/>
        </w:rPr>
        <w:t>Ord</w:t>
      </w:r>
      <w:r w:rsidRPr="00470CA8">
        <w:rPr>
          <w:i/>
          <w:sz w:val="24"/>
        </w:rPr>
        <w:t>er 201</w:t>
      </w:r>
      <w:r w:rsidR="009C5223">
        <w:rPr>
          <w:i/>
          <w:sz w:val="24"/>
        </w:rPr>
        <w:t>9</w:t>
      </w:r>
      <w:r>
        <w:rPr>
          <w:sz w:val="24"/>
        </w:rPr>
        <w:t xml:space="preserve"> </w:t>
      </w:r>
      <w:r w:rsidR="00A771C7">
        <w:rPr>
          <w:rFonts w:eastAsia="Times New Roman"/>
          <w:sz w:val="24"/>
          <w:szCs w:val="24"/>
          <w:lang w:eastAsia="en-AU"/>
        </w:rPr>
        <w:t xml:space="preserve">is to set out the administrative arrangements for the fair and equitable allocation of, and </w:t>
      </w:r>
      <w:r w:rsidR="00A771C7" w:rsidRPr="00E73728">
        <w:rPr>
          <w:rFonts w:eastAsia="Times New Roman"/>
          <w:sz w:val="24"/>
          <w:szCs w:val="24"/>
          <w:lang w:eastAsia="en-AU"/>
        </w:rPr>
        <w:t xml:space="preserve">access to, certain tariff rate quotas operating under </w:t>
      </w:r>
      <w:r w:rsidR="00A771C7">
        <w:rPr>
          <w:sz w:val="24"/>
          <w:szCs w:val="24"/>
        </w:rPr>
        <w:t>World Trade Organisation</w:t>
      </w:r>
      <w:r w:rsidR="00A771C7" w:rsidRPr="00E73728">
        <w:rPr>
          <w:sz w:val="24"/>
          <w:szCs w:val="24"/>
        </w:rPr>
        <w:t xml:space="preserve"> arrangements and certain Free Trade Agreements. The tariff rate quotas permit Australian exporters to export stipulated volumes of particular products to the European U</w:t>
      </w:r>
      <w:r w:rsidR="00A771C7">
        <w:rPr>
          <w:sz w:val="24"/>
          <w:szCs w:val="24"/>
        </w:rPr>
        <w:t>nion</w:t>
      </w:r>
      <w:r w:rsidR="00A771C7" w:rsidRPr="00E73728">
        <w:rPr>
          <w:sz w:val="24"/>
          <w:szCs w:val="24"/>
        </w:rPr>
        <w:t>, t</w:t>
      </w:r>
      <w:r w:rsidR="00A771C7">
        <w:rPr>
          <w:sz w:val="24"/>
          <w:szCs w:val="24"/>
        </w:rPr>
        <w:t>he United States of America</w:t>
      </w:r>
      <w:r w:rsidR="00A771C7" w:rsidRPr="00E73728">
        <w:rPr>
          <w:sz w:val="24"/>
          <w:szCs w:val="24"/>
        </w:rPr>
        <w:t>, Japan and Indonesia.</w:t>
      </w:r>
      <w:r>
        <w:rPr>
          <w:sz w:val="24"/>
        </w:rPr>
        <w:t xml:space="preserve"> </w:t>
      </w:r>
    </w:p>
    <w:sdt>
      <w:sdtPr>
        <w:rPr>
          <w:sz w:val="24"/>
        </w:rPr>
        <w:id w:val="962787081"/>
        <w:lock w:val="contentLocked"/>
        <w:placeholder>
          <w:docPart w:val="0516FA184A6E43F084FACFDD7B8213D9"/>
        </w:placeholder>
        <w:group/>
      </w:sdtPr>
      <w:sdtContent>
        <w:p w14:paraId="631A0DC3" w14:textId="77777777" w:rsidR="00D5029A" w:rsidRPr="00E4135E" w:rsidRDefault="00D5029A" w:rsidP="00BE7125">
          <w:pPr>
            <w:rPr>
              <w:sz w:val="24"/>
            </w:rPr>
          </w:pPr>
        </w:p>
        <w:p w14:paraId="798EDE55" w14:textId="77777777" w:rsidR="00D5029A" w:rsidRPr="00E4135E" w:rsidRDefault="00D5029A" w:rsidP="00BE7125">
          <w:pPr>
            <w:spacing w:after="120"/>
            <w:jc w:val="both"/>
            <w:rPr>
              <w:b/>
              <w:sz w:val="24"/>
            </w:rPr>
          </w:pPr>
          <w:r w:rsidRPr="00E4135E">
            <w:rPr>
              <w:b/>
              <w:sz w:val="24"/>
            </w:rPr>
            <w:t>Human rights implications</w:t>
          </w:r>
        </w:p>
        <w:p w14:paraId="78F463AD" w14:textId="77777777" w:rsidR="00D5029A" w:rsidRPr="00E4135E" w:rsidRDefault="00D5029A" w:rsidP="00BE7125">
          <w:pPr>
            <w:rPr>
              <w:sz w:val="24"/>
            </w:rPr>
          </w:pPr>
          <w:r w:rsidRPr="00E4135E">
            <w:rPr>
              <w:sz w:val="24"/>
            </w:rPr>
            <w:t>This Legislative Instrument does not engage any of the applicable rights or freedoms.</w:t>
          </w:r>
        </w:p>
        <w:p w14:paraId="52A0ED57" w14:textId="77777777" w:rsidR="00D5029A" w:rsidRPr="00E4135E" w:rsidRDefault="00D5029A" w:rsidP="00BE7125">
          <w:pPr>
            <w:rPr>
              <w:sz w:val="24"/>
            </w:rPr>
          </w:pPr>
        </w:p>
        <w:p w14:paraId="02BE0870" w14:textId="77777777" w:rsidR="00D5029A" w:rsidRPr="00E4135E" w:rsidRDefault="00D5029A" w:rsidP="00BE7125">
          <w:pPr>
            <w:spacing w:after="120"/>
            <w:jc w:val="both"/>
            <w:rPr>
              <w:b/>
              <w:sz w:val="24"/>
            </w:rPr>
          </w:pPr>
          <w:r w:rsidRPr="00E4135E">
            <w:rPr>
              <w:b/>
              <w:sz w:val="24"/>
            </w:rPr>
            <w:t>Conclusion</w:t>
          </w:r>
        </w:p>
        <w:p w14:paraId="4F565E65" w14:textId="77777777" w:rsidR="00D5029A" w:rsidRPr="00E4135E" w:rsidRDefault="00D5029A" w:rsidP="00BE7125">
          <w:pPr>
            <w:rPr>
              <w:sz w:val="24"/>
            </w:rPr>
          </w:pPr>
          <w:r w:rsidRPr="00E4135E">
            <w:rPr>
              <w:sz w:val="24"/>
            </w:rPr>
            <w:t>This Legislative Instrument is compatible with human rights as it does not raise any human rights issues.</w:t>
          </w:r>
        </w:p>
        <w:p w14:paraId="3F701AE4" w14:textId="77777777" w:rsidR="00D5029A" w:rsidRDefault="00D5029A" w:rsidP="00BE7125">
          <w:pPr>
            <w:rPr>
              <w:sz w:val="24"/>
            </w:rPr>
          </w:pPr>
        </w:p>
        <w:p w14:paraId="4AC47146" w14:textId="77777777" w:rsidR="00D5029A" w:rsidRPr="00E4135E" w:rsidRDefault="00EC4659" w:rsidP="00BE7125">
          <w:pPr>
            <w:rPr>
              <w:sz w:val="24"/>
            </w:rPr>
          </w:pPr>
        </w:p>
      </w:sdtContent>
    </w:sdt>
    <w:p w14:paraId="6D3A591A" w14:textId="3577C417" w:rsidR="00D5029A" w:rsidRPr="008376B2" w:rsidRDefault="009C5223" w:rsidP="00BE7125">
      <w:pPr>
        <w:jc w:val="center"/>
        <w:rPr>
          <w:b/>
          <w:bCs/>
          <w:sz w:val="24"/>
        </w:rPr>
      </w:pPr>
      <w:r>
        <w:rPr>
          <w:b/>
          <w:bCs/>
          <w:sz w:val="24"/>
        </w:rPr>
        <w:t>Debbie Langford</w:t>
      </w:r>
    </w:p>
    <w:p w14:paraId="72793001" w14:textId="77777777" w:rsidR="00D5029A" w:rsidRPr="008376B2" w:rsidRDefault="00D5029A" w:rsidP="00BE7125">
      <w:pPr>
        <w:jc w:val="center"/>
        <w:rPr>
          <w:b/>
          <w:bCs/>
          <w:sz w:val="24"/>
        </w:rPr>
      </w:pPr>
      <w:r w:rsidRPr="008376B2">
        <w:rPr>
          <w:b/>
          <w:bCs/>
          <w:sz w:val="24"/>
        </w:rPr>
        <w:t xml:space="preserve">Assistant Secretary </w:t>
      </w:r>
    </w:p>
    <w:p w14:paraId="2E33966B" w14:textId="77777777" w:rsidR="00D5029A" w:rsidRDefault="00D5029A" w:rsidP="00BE7125">
      <w:pPr>
        <w:jc w:val="center"/>
        <w:rPr>
          <w:b/>
          <w:bCs/>
          <w:sz w:val="24"/>
        </w:rPr>
      </w:pPr>
      <w:r w:rsidRPr="008376B2">
        <w:rPr>
          <w:b/>
          <w:bCs/>
          <w:sz w:val="24"/>
        </w:rPr>
        <w:t>Residues and Food Branch</w:t>
      </w:r>
    </w:p>
    <w:p w14:paraId="0C1E4AAF" w14:textId="77777777" w:rsidR="00D5029A" w:rsidRDefault="00D5029A" w:rsidP="00BE7125">
      <w:pPr>
        <w:jc w:val="center"/>
        <w:rPr>
          <w:b/>
          <w:bCs/>
          <w:sz w:val="24"/>
        </w:rPr>
      </w:pPr>
      <w:r>
        <w:rPr>
          <w:b/>
          <w:bCs/>
          <w:sz w:val="24"/>
        </w:rPr>
        <w:t>Exports Division</w:t>
      </w:r>
    </w:p>
    <w:p w14:paraId="0123DDD1" w14:textId="7B64125A" w:rsidR="00D5029A" w:rsidRPr="00512F4B" w:rsidRDefault="00D5029A" w:rsidP="00BE7125">
      <w:pPr>
        <w:jc w:val="center"/>
        <w:rPr>
          <w:b/>
          <w:bCs/>
          <w:sz w:val="24"/>
        </w:rPr>
      </w:pPr>
      <w:r>
        <w:rPr>
          <w:b/>
          <w:bCs/>
          <w:sz w:val="24"/>
        </w:rPr>
        <w:t xml:space="preserve"> Department of Agriculture</w:t>
      </w:r>
    </w:p>
    <w:p w14:paraId="58013DEB" w14:textId="77777777" w:rsidR="00D5029A" w:rsidRDefault="00D5029A" w:rsidP="00BE7125">
      <w:pPr>
        <w:jc w:val="center"/>
        <w:rPr>
          <w:b/>
          <w:bCs/>
          <w:sz w:val="24"/>
        </w:rPr>
      </w:pPr>
    </w:p>
    <w:p w14:paraId="42B1338B" w14:textId="77777777" w:rsidR="00D5029A" w:rsidRDefault="00D5029A" w:rsidP="00BE7125">
      <w:pPr>
        <w:jc w:val="center"/>
        <w:rPr>
          <w:sz w:val="24"/>
        </w:rPr>
      </w:pPr>
    </w:p>
    <w:p w14:paraId="23133244" w14:textId="77777777" w:rsidR="00D5029A" w:rsidRPr="004223EC" w:rsidRDefault="00D5029A" w:rsidP="00BE7125">
      <w:pPr>
        <w:jc w:val="center"/>
        <w:rPr>
          <w:sz w:val="24"/>
        </w:rPr>
      </w:pPr>
    </w:p>
    <w:p w14:paraId="327C1B38" w14:textId="77777777" w:rsidR="00D5029A" w:rsidRPr="008C3F1D" w:rsidRDefault="00D5029A" w:rsidP="00BE7125">
      <w:pPr>
        <w:rPr>
          <w:lang w:val="en-GB"/>
        </w:rPr>
      </w:pPr>
    </w:p>
    <w:p w14:paraId="5E2CF5E1" w14:textId="77777777" w:rsidR="00D5029A" w:rsidRDefault="00D5029A" w:rsidP="00BE7125"/>
    <w:p w14:paraId="38FB575D" w14:textId="77777777" w:rsidR="007775F7" w:rsidRPr="0017262F" w:rsidRDefault="007775F7" w:rsidP="00E13948">
      <w:pPr>
        <w:pStyle w:val="paragraph"/>
      </w:pPr>
    </w:p>
    <w:p w14:paraId="05578F4F" w14:textId="77777777" w:rsidR="00D76287" w:rsidRDefault="00D76287">
      <w:pPr>
        <w:pStyle w:val="paragraph"/>
      </w:pPr>
    </w:p>
    <w:p w14:paraId="68B81E73" w14:textId="77777777" w:rsidR="0002764E" w:rsidRDefault="0002764E">
      <w:pPr>
        <w:pStyle w:val="paragraph"/>
      </w:pPr>
    </w:p>
    <w:p w14:paraId="7A7521D4" w14:textId="77777777" w:rsidR="0002764E" w:rsidRDefault="0002764E">
      <w:pPr>
        <w:pStyle w:val="paragraph"/>
      </w:pPr>
    </w:p>
    <w:p w14:paraId="7A9FAC1C" w14:textId="77777777" w:rsidR="0002764E" w:rsidRDefault="0002764E">
      <w:pPr>
        <w:pStyle w:val="paragraph"/>
      </w:pPr>
    </w:p>
    <w:p w14:paraId="5A9AB62A" w14:textId="77777777" w:rsidR="0002764E" w:rsidRDefault="0002764E">
      <w:pPr>
        <w:pStyle w:val="paragraph"/>
      </w:pPr>
    </w:p>
    <w:p w14:paraId="7C4B5D2B" w14:textId="77777777" w:rsidR="0002764E" w:rsidRDefault="0002764E">
      <w:pPr>
        <w:pStyle w:val="paragraph"/>
      </w:pPr>
    </w:p>
    <w:p w14:paraId="72423ABF" w14:textId="77777777" w:rsidR="0002764E" w:rsidRDefault="0002764E">
      <w:pPr>
        <w:pStyle w:val="paragraph"/>
      </w:pPr>
    </w:p>
    <w:p w14:paraId="71D4A29A" w14:textId="08999D40" w:rsidR="0002764E" w:rsidRPr="0002764E" w:rsidRDefault="0002764E" w:rsidP="0002764E">
      <w:pPr>
        <w:pStyle w:val="paragraph"/>
        <w:jc w:val="right"/>
        <w:rPr>
          <w:b/>
          <w:sz w:val="24"/>
          <w:szCs w:val="24"/>
        </w:rPr>
      </w:pPr>
      <w:r w:rsidRPr="0002764E">
        <w:rPr>
          <w:b/>
          <w:sz w:val="24"/>
          <w:szCs w:val="24"/>
        </w:rPr>
        <w:lastRenderedPageBreak/>
        <w:t>Attachment C</w:t>
      </w:r>
    </w:p>
    <w:p w14:paraId="056ED979" w14:textId="77777777" w:rsidR="0002764E" w:rsidRDefault="0002764E">
      <w:pPr>
        <w:pStyle w:val="paragraph"/>
      </w:pPr>
    </w:p>
    <w:p w14:paraId="3C0DA2BB" w14:textId="77777777" w:rsidR="00EC4659" w:rsidRPr="00EC4659" w:rsidRDefault="00EC4659" w:rsidP="00EC4659">
      <w:pPr>
        <w:spacing w:after="160" w:line="259" w:lineRule="auto"/>
        <w:rPr>
          <w:rFonts w:ascii="Calibri" w:hAnsi="Calibri"/>
          <w:szCs w:val="22"/>
        </w:rPr>
      </w:pPr>
      <w:bookmarkStart w:id="142" w:name="_Toc456274914"/>
      <w:r w:rsidRPr="00EC4659">
        <w:rPr>
          <w:rFonts w:ascii="Calibri" w:hAnsi="Calibri"/>
          <w:noProof/>
          <w:szCs w:val="22"/>
          <w:lang w:eastAsia="en-AU"/>
        </w:rPr>
        <w:drawing>
          <wp:inline distT="0" distB="0" distL="0" distR="0" wp14:anchorId="22F41F14" wp14:editId="0A591763">
            <wp:extent cx="2316480" cy="737616"/>
            <wp:effectExtent l="0" t="0" r="7620" b="5715"/>
            <wp:docPr id="5" name="Picture 5"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bookmarkEnd w:id="142"/>
    </w:p>
    <w:p w14:paraId="7228AE4E" w14:textId="77777777" w:rsidR="00EC4659" w:rsidRPr="00EC4659" w:rsidRDefault="00EC4659" w:rsidP="00EC4659">
      <w:pPr>
        <w:spacing w:after="160" w:line="259" w:lineRule="auto"/>
        <w:rPr>
          <w:rFonts w:ascii="Calibri" w:hAnsi="Calibri"/>
          <w:szCs w:val="22"/>
        </w:rPr>
      </w:pPr>
    </w:p>
    <w:p w14:paraId="1DB3E664" w14:textId="77777777" w:rsidR="00EC4659" w:rsidRPr="00EC4659" w:rsidRDefault="00EC4659" w:rsidP="00EC4659">
      <w:pPr>
        <w:spacing w:after="160" w:line="259" w:lineRule="auto"/>
        <w:rPr>
          <w:rFonts w:ascii="Calibri" w:hAnsi="Calibri"/>
          <w:b/>
          <w:sz w:val="56"/>
          <w:szCs w:val="56"/>
        </w:rPr>
      </w:pPr>
      <w:bookmarkStart w:id="143" w:name="_Toc456274915"/>
      <w:r w:rsidRPr="00EC4659">
        <w:rPr>
          <w:rFonts w:ascii="Calibri" w:hAnsi="Calibri"/>
          <w:sz w:val="56"/>
          <w:szCs w:val="56"/>
        </w:rPr>
        <w:t>Regulation Impact Statement</w:t>
      </w:r>
      <w:bookmarkEnd w:id="143"/>
    </w:p>
    <w:p w14:paraId="199A4E24" w14:textId="77777777" w:rsidR="00EC4659" w:rsidRPr="00EC4659" w:rsidRDefault="00EC4659" w:rsidP="00EC4659">
      <w:pPr>
        <w:spacing w:after="160" w:line="259" w:lineRule="auto"/>
        <w:rPr>
          <w:rFonts w:ascii="Calibri" w:hAnsi="Calibri"/>
          <w:sz w:val="32"/>
          <w:szCs w:val="32"/>
        </w:rPr>
      </w:pPr>
      <w:bookmarkStart w:id="144" w:name="_Toc456274916"/>
      <w:r w:rsidRPr="00EC4659">
        <w:rPr>
          <w:rFonts w:ascii="Calibri" w:hAnsi="Calibri"/>
          <w:sz w:val="32"/>
          <w:szCs w:val="32"/>
        </w:rPr>
        <w:t>Export tariff rate quota regulatory streamlining</w:t>
      </w:r>
      <w:bookmarkEnd w:id="144"/>
    </w:p>
    <w:p w14:paraId="4FB47D50" w14:textId="77777777" w:rsidR="00EC4659" w:rsidRPr="00EC4659" w:rsidRDefault="00EC4659" w:rsidP="00EC4659">
      <w:pPr>
        <w:spacing w:after="160" w:line="259" w:lineRule="auto"/>
        <w:rPr>
          <w:rFonts w:ascii="Calibri" w:hAnsi="Calibri"/>
          <w:szCs w:val="22"/>
        </w:rPr>
      </w:pPr>
    </w:p>
    <w:p w14:paraId="5A3855C8" w14:textId="77777777" w:rsidR="00EC4659" w:rsidRPr="00EC4659" w:rsidRDefault="00EC4659" w:rsidP="00EC4659">
      <w:pPr>
        <w:spacing w:after="160" w:line="259" w:lineRule="auto"/>
        <w:rPr>
          <w:rFonts w:ascii="Calibri" w:hAnsi="Calibri"/>
          <w:b/>
          <w:szCs w:val="22"/>
        </w:rPr>
      </w:pPr>
      <w:r w:rsidRPr="00EC4659">
        <w:rPr>
          <w:rFonts w:ascii="Calibri" w:hAnsi="Calibri"/>
          <w:b/>
          <w:szCs w:val="22"/>
        </w:rPr>
        <w:t>OBPR ID: 20651</w:t>
      </w:r>
    </w:p>
    <w:p w14:paraId="3E3FACD4" w14:textId="77777777" w:rsidR="00EC4659" w:rsidRPr="00EC4659" w:rsidRDefault="00EC4659" w:rsidP="00EC4659">
      <w:pPr>
        <w:spacing w:after="160" w:line="259" w:lineRule="auto"/>
        <w:rPr>
          <w:rFonts w:ascii="Calibri" w:hAnsi="Calibri"/>
          <w:szCs w:val="22"/>
        </w:rPr>
      </w:pPr>
    </w:p>
    <w:p w14:paraId="2BD60C52" w14:textId="77777777" w:rsidR="00EC4659" w:rsidRPr="00EC4659" w:rsidRDefault="00EC4659" w:rsidP="00EC4659">
      <w:pPr>
        <w:spacing w:after="160" w:line="259" w:lineRule="auto"/>
        <w:rPr>
          <w:rFonts w:ascii="Calibri" w:hAnsi="Calibri"/>
          <w:szCs w:val="22"/>
        </w:rPr>
      </w:pPr>
    </w:p>
    <w:p w14:paraId="4DA36E52" w14:textId="77777777" w:rsidR="00EC4659" w:rsidRPr="00EC4659" w:rsidRDefault="00EC4659" w:rsidP="00EC4659">
      <w:pPr>
        <w:spacing w:after="160" w:line="259" w:lineRule="auto"/>
        <w:rPr>
          <w:rFonts w:ascii="Calibri" w:hAnsi="Calibri"/>
          <w:szCs w:val="22"/>
        </w:rPr>
      </w:pPr>
    </w:p>
    <w:p w14:paraId="11CC130A" w14:textId="77777777" w:rsidR="00EC4659" w:rsidRPr="00EC4659" w:rsidRDefault="00EC4659" w:rsidP="00EC4659">
      <w:pPr>
        <w:spacing w:after="160" w:line="259" w:lineRule="auto"/>
        <w:rPr>
          <w:rFonts w:ascii="Calibri" w:hAnsi="Calibri"/>
          <w:szCs w:val="22"/>
        </w:rPr>
      </w:pPr>
    </w:p>
    <w:p w14:paraId="5D03128A" w14:textId="77777777" w:rsidR="00EC4659" w:rsidRPr="00EC4659" w:rsidRDefault="00EC4659" w:rsidP="00EC4659">
      <w:pPr>
        <w:spacing w:after="160" w:line="259" w:lineRule="auto"/>
        <w:rPr>
          <w:rFonts w:ascii="Calibri" w:hAnsi="Calibri"/>
          <w:szCs w:val="22"/>
        </w:rPr>
      </w:pPr>
    </w:p>
    <w:p w14:paraId="59EB22E8" w14:textId="77777777" w:rsidR="00EC4659" w:rsidRPr="00EC4659" w:rsidRDefault="00EC4659" w:rsidP="00EC4659">
      <w:pPr>
        <w:spacing w:after="160" w:line="259" w:lineRule="auto"/>
        <w:rPr>
          <w:rFonts w:ascii="Calibri" w:hAnsi="Calibri"/>
          <w:szCs w:val="22"/>
        </w:rPr>
      </w:pPr>
    </w:p>
    <w:p w14:paraId="2CA6F1E7" w14:textId="77777777" w:rsidR="00EC4659" w:rsidRPr="00EC4659" w:rsidRDefault="00EC4659" w:rsidP="00EC4659">
      <w:pPr>
        <w:spacing w:after="160" w:line="259" w:lineRule="auto"/>
        <w:rPr>
          <w:rFonts w:ascii="Calibri" w:hAnsi="Calibri"/>
          <w:szCs w:val="22"/>
        </w:rPr>
      </w:pPr>
    </w:p>
    <w:p w14:paraId="1B9AF9AC" w14:textId="77777777" w:rsidR="00EC4659" w:rsidRPr="00EC4659" w:rsidRDefault="00EC4659" w:rsidP="00EC4659">
      <w:pPr>
        <w:spacing w:after="160" w:line="259" w:lineRule="auto"/>
        <w:rPr>
          <w:rFonts w:ascii="Calibri" w:hAnsi="Calibri"/>
          <w:szCs w:val="22"/>
        </w:rPr>
      </w:pPr>
    </w:p>
    <w:p w14:paraId="2368EB4A" w14:textId="77777777" w:rsidR="00EC4659" w:rsidRPr="00EC4659" w:rsidRDefault="00EC4659" w:rsidP="00EC4659">
      <w:pPr>
        <w:spacing w:after="160" w:line="259" w:lineRule="auto"/>
        <w:rPr>
          <w:rFonts w:ascii="Calibri" w:hAnsi="Calibri"/>
          <w:szCs w:val="22"/>
        </w:rPr>
      </w:pPr>
    </w:p>
    <w:p w14:paraId="0B174B61" w14:textId="77777777" w:rsidR="00EC4659" w:rsidRPr="00EC4659" w:rsidRDefault="00EC4659" w:rsidP="00EC4659">
      <w:pPr>
        <w:spacing w:after="160" w:line="259" w:lineRule="auto"/>
        <w:rPr>
          <w:rFonts w:ascii="Calibri" w:hAnsi="Calibri"/>
          <w:szCs w:val="22"/>
        </w:rPr>
      </w:pPr>
    </w:p>
    <w:p w14:paraId="17B38562" w14:textId="77777777" w:rsidR="00EC4659" w:rsidRPr="00EC4659" w:rsidRDefault="00EC4659" w:rsidP="00EC4659">
      <w:pPr>
        <w:spacing w:after="160" w:line="259" w:lineRule="auto"/>
        <w:rPr>
          <w:rFonts w:ascii="Calibri" w:hAnsi="Calibri"/>
          <w:szCs w:val="22"/>
        </w:rPr>
      </w:pPr>
    </w:p>
    <w:p w14:paraId="5D10BC78" w14:textId="77777777" w:rsidR="00EC4659" w:rsidRPr="00EC4659" w:rsidRDefault="00EC4659" w:rsidP="00EC4659">
      <w:pPr>
        <w:tabs>
          <w:tab w:val="left" w:pos="3769"/>
        </w:tabs>
        <w:spacing w:after="160" w:line="259" w:lineRule="auto"/>
        <w:rPr>
          <w:rFonts w:ascii="Calibri" w:hAnsi="Calibri"/>
          <w:szCs w:val="22"/>
        </w:rPr>
      </w:pPr>
    </w:p>
    <w:p w14:paraId="661B2673" w14:textId="77777777" w:rsidR="00EC4659" w:rsidRPr="00EC4659" w:rsidRDefault="00EC4659" w:rsidP="00EC4659">
      <w:pPr>
        <w:tabs>
          <w:tab w:val="left" w:pos="3769"/>
        </w:tabs>
        <w:spacing w:after="160" w:line="259" w:lineRule="auto"/>
        <w:rPr>
          <w:rFonts w:ascii="Calibri" w:hAnsi="Calibri"/>
          <w:szCs w:val="22"/>
        </w:rPr>
      </w:pPr>
    </w:p>
    <w:p w14:paraId="3A9F0855" w14:textId="77777777" w:rsidR="00EC4659" w:rsidRPr="00EC4659" w:rsidRDefault="00EC4659" w:rsidP="00EC4659">
      <w:pPr>
        <w:spacing w:after="160" w:line="259" w:lineRule="auto"/>
        <w:rPr>
          <w:rFonts w:ascii="Calibri" w:hAnsi="Calibri"/>
          <w:szCs w:val="22"/>
        </w:rPr>
      </w:pPr>
      <w:bookmarkStart w:id="145" w:name="_GoBack"/>
      <w:bookmarkEnd w:id="145"/>
    </w:p>
    <w:p w14:paraId="020F76B4" w14:textId="77777777" w:rsidR="00EC4659" w:rsidRPr="00EC4659" w:rsidRDefault="00EC4659" w:rsidP="00EC4659">
      <w:pPr>
        <w:spacing w:after="160" w:line="259" w:lineRule="auto"/>
        <w:rPr>
          <w:rFonts w:ascii="Calibri" w:hAnsi="Calibri"/>
          <w:szCs w:val="22"/>
        </w:rPr>
      </w:pPr>
    </w:p>
    <w:p w14:paraId="2649985B" w14:textId="77777777" w:rsidR="00EC4659" w:rsidRPr="00EC4659" w:rsidRDefault="00EC4659" w:rsidP="00EC4659">
      <w:pPr>
        <w:spacing w:after="160" w:line="259" w:lineRule="auto"/>
        <w:rPr>
          <w:rFonts w:ascii="Calibri" w:hAnsi="Calibri"/>
          <w:szCs w:val="22"/>
        </w:rPr>
      </w:pPr>
    </w:p>
    <w:p w14:paraId="7066A10B" w14:textId="77777777" w:rsidR="00EC4659" w:rsidRPr="00EC4659" w:rsidRDefault="00EC4659" w:rsidP="00EC4659">
      <w:pPr>
        <w:spacing w:after="160" w:line="259" w:lineRule="auto"/>
        <w:rPr>
          <w:rFonts w:ascii="Calibri" w:hAnsi="Calibri"/>
          <w:szCs w:val="22"/>
        </w:rPr>
      </w:pPr>
    </w:p>
    <w:p w14:paraId="2C3D0681" w14:textId="77777777" w:rsidR="00EC4659" w:rsidRPr="00EC4659" w:rsidRDefault="00EC4659" w:rsidP="00EC4659">
      <w:pPr>
        <w:spacing w:after="160" w:line="259" w:lineRule="auto"/>
        <w:rPr>
          <w:rFonts w:ascii="Calibri" w:hAnsi="Calibri"/>
          <w:szCs w:val="22"/>
        </w:rPr>
      </w:pPr>
    </w:p>
    <w:p w14:paraId="3C2F3EBB" w14:textId="77777777" w:rsidR="00EC4659" w:rsidRPr="00EC4659" w:rsidRDefault="00EC4659" w:rsidP="00EC4659">
      <w:pPr>
        <w:spacing w:after="160" w:line="259" w:lineRule="auto"/>
        <w:rPr>
          <w:rFonts w:ascii="Calibri" w:hAnsi="Calibri"/>
          <w:szCs w:val="22"/>
        </w:rPr>
      </w:pPr>
    </w:p>
    <w:p w14:paraId="7B866ACA" w14:textId="77777777" w:rsidR="00EC4659" w:rsidRPr="00EC4659" w:rsidRDefault="00EC4659" w:rsidP="00EC4659">
      <w:pPr>
        <w:spacing w:after="160" w:line="259" w:lineRule="auto"/>
        <w:rPr>
          <w:rFonts w:ascii="Calibri" w:hAnsi="Calibri"/>
          <w:szCs w:val="22"/>
        </w:rPr>
      </w:pPr>
    </w:p>
    <w:sdt>
      <w:sdtPr>
        <w:rPr>
          <w:rFonts w:ascii="Calibri" w:hAnsi="Calibri"/>
          <w:szCs w:val="22"/>
        </w:rPr>
        <w:id w:val="-652688031"/>
        <w:docPartObj>
          <w:docPartGallery w:val="Table of Contents"/>
          <w:docPartUnique/>
        </w:docPartObj>
      </w:sdtPr>
      <w:sdtEndPr>
        <w:rPr>
          <w:b/>
          <w:bCs/>
          <w:noProof/>
        </w:rPr>
      </w:sdtEndPr>
      <w:sdtContent>
        <w:p w14:paraId="6EBBC5EF" w14:textId="77777777" w:rsidR="00EC4659" w:rsidRPr="00EC4659" w:rsidRDefault="00EC4659" w:rsidP="00EC4659">
          <w:pPr>
            <w:keepNext/>
            <w:keepLines/>
            <w:spacing w:before="240" w:line="259" w:lineRule="auto"/>
            <w:rPr>
              <w:rFonts w:ascii="Calibri" w:hAnsi="Calibri"/>
              <w:szCs w:val="22"/>
            </w:rPr>
            <w:sectPr w:rsidR="00EC4659" w:rsidRPr="00EC4659" w:rsidSect="00EC4659">
              <w:footerReference w:type="default" r:id="rId34"/>
              <w:pgSz w:w="11906" w:h="16838"/>
              <w:pgMar w:top="1440" w:right="1440" w:bottom="1135" w:left="1440" w:header="708" w:footer="708" w:gutter="0"/>
              <w:cols w:space="708"/>
              <w:docGrid w:linePitch="360"/>
            </w:sectPr>
          </w:pPr>
        </w:p>
        <w:p w14:paraId="5B4CAAE3" w14:textId="79441133" w:rsidR="00B82E19" w:rsidRPr="00B82E19" w:rsidRDefault="00EC4659" w:rsidP="00B82E19">
          <w:pPr>
            <w:keepNext/>
            <w:keepLines/>
            <w:spacing w:before="240" w:line="259" w:lineRule="auto"/>
            <w:rPr>
              <w:rFonts w:ascii="Calibri Light" w:eastAsia="SimSun" w:hAnsi="Calibri Light"/>
              <w:color w:val="2E74B5"/>
              <w:sz w:val="32"/>
              <w:szCs w:val="32"/>
              <w:lang w:val="en-US"/>
            </w:rPr>
          </w:pPr>
          <w:r w:rsidRPr="00EC4659">
            <w:rPr>
              <w:rFonts w:ascii="Calibri Light" w:eastAsia="SimSun" w:hAnsi="Calibri Light"/>
              <w:color w:val="2E74B5"/>
              <w:sz w:val="32"/>
              <w:szCs w:val="32"/>
              <w:lang w:val="en-US"/>
            </w:rPr>
            <w:lastRenderedPageBreak/>
            <w:t>Contents</w:t>
          </w:r>
          <w:r w:rsidRPr="00EC4659">
            <w:rPr>
              <w:rFonts w:ascii="Calibri" w:hAnsi="Calibri"/>
              <w:szCs w:val="22"/>
            </w:rPr>
            <w:fldChar w:fldCharType="begin"/>
          </w:r>
          <w:r w:rsidRPr="00EC4659">
            <w:rPr>
              <w:rFonts w:ascii="Calibri" w:hAnsi="Calibri"/>
              <w:szCs w:val="22"/>
            </w:rPr>
            <w:instrText xml:space="preserve"> TOC \o "1-3" \h \z \u </w:instrText>
          </w:r>
          <w:r w:rsidRPr="00EC4659">
            <w:rPr>
              <w:rFonts w:ascii="Calibri" w:hAnsi="Calibri"/>
              <w:szCs w:val="22"/>
            </w:rPr>
            <w:fldChar w:fldCharType="separate"/>
          </w:r>
        </w:p>
        <w:p w14:paraId="2744B4FC" w14:textId="77777777" w:rsidR="00B82E19" w:rsidRDefault="00B82E19">
          <w:pPr>
            <w:pStyle w:val="TOC1"/>
            <w:rPr>
              <w:rFonts w:asciiTheme="minorHAnsi" w:eastAsiaTheme="minorEastAsia" w:hAnsiTheme="minorHAnsi" w:cstheme="minorBidi"/>
              <w:b w:val="0"/>
              <w:szCs w:val="22"/>
              <w:lang w:eastAsia="en-AU"/>
            </w:rPr>
          </w:pPr>
          <w:hyperlink w:anchor="_Toc27482938" w:history="1">
            <w:r w:rsidRPr="009F00B1">
              <w:rPr>
                <w:rStyle w:val="Hyperlink"/>
                <w:rFonts w:ascii="Calibri Light" w:eastAsia="SimSun" w:hAnsi="Calibri Light"/>
              </w:rPr>
              <w:t>Glossary</w:t>
            </w:r>
            <w:r>
              <w:rPr>
                <w:webHidden/>
              </w:rPr>
              <w:tab/>
            </w:r>
            <w:r>
              <w:rPr>
                <w:webHidden/>
              </w:rPr>
              <w:fldChar w:fldCharType="begin"/>
            </w:r>
            <w:r>
              <w:rPr>
                <w:webHidden/>
              </w:rPr>
              <w:instrText xml:space="preserve"> PAGEREF _Toc27482938 \h </w:instrText>
            </w:r>
            <w:r>
              <w:rPr>
                <w:webHidden/>
              </w:rPr>
            </w:r>
            <w:r>
              <w:rPr>
                <w:webHidden/>
              </w:rPr>
              <w:fldChar w:fldCharType="separate"/>
            </w:r>
            <w:r>
              <w:rPr>
                <w:webHidden/>
              </w:rPr>
              <w:t>69</w:t>
            </w:r>
            <w:r>
              <w:rPr>
                <w:webHidden/>
              </w:rPr>
              <w:fldChar w:fldCharType="end"/>
            </w:r>
          </w:hyperlink>
        </w:p>
        <w:p w14:paraId="11DFFE51" w14:textId="77777777" w:rsidR="00B82E19" w:rsidRDefault="00B82E19">
          <w:pPr>
            <w:pStyle w:val="TOC1"/>
            <w:rPr>
              <w:rFonts w:asciiTheme="minorHAnsi" w:eastAsiaTheme="minorEastAsia" w:hAnsiTheme="minorHAnsi" w:cstheme="minorBidi"/>
              <w:b w:val="0"/>
              <w:szCs w:val="22"/>
              <w:lang w:eastAsia="en-AU"/>
            </w:rPr>
          </w:pPr>
          <w:hyperlink w:anchor="_Toc27482939" w:history="1">
            <w:r w:rsidRPr="009F00B1">
              <w:rPr>
                <w:rStyle w:val="Hyperlink"/>
                <w:rFonts w:ascii="Calibri Light" w:eastAsia="SimSun" w:hAnsi="Calibri Light"/>
              </w:rPr>
              <w:t>Background</w:t>
            </w:r>
            <w:r>
              <w:rPr>
                <w:webHidden/>
              </w:rPr>
              <w:tab/>
            </w:r>
            <w:r>
              <w:rPr>
                <w:webHidden/>
              </w:rPr>
              <w:fldChar w:fldCharType="begin"/>
            </w:r>
            <w:r>
              <w:rPr>
                <w:webHidden/>
              </w:rPr>
              <w:instrText xml:space="preserve"> PAGEREF _Toc27482939 \h </w:instrText>
            </w:r>
            <w:r>
              <w:rPr>
                <w:webHidden/>
              </w:rPr>
            </w:r>
            <w:r>
              <w:rPr>
                <w:webHidden/>
              </w:rPr>
              <w:fldChar w:fldCharType="separate"/>
            </w:r>
            <w:r>
              <w:rPr>
                <w:webHidden/>
              </w:rPr>
              <w:t>70</w:t>
            </w:r>
            <w:r>
              <w:rPr>
                <w:webHidden/>
              </w:rPr>
              <w:fldChar w:fldCharType="end"/>
            </w:r>
          </w:hyperlink>
        </w:p>
        <w:p w14:paraId="592C29F0" w14:textId="77777777" w:rsidR="00B82E19" w:rsidRDefault="00B82E19">
          <w:pPr>
            <w:pStyle w:val="TOC2"/>
            <w:tabs>
              <w:tab w:val="left" w:pos="880"/>
            </w:tabs>
            <w:rPr>
              <w:rFonts w:asciiTheme="minorHAnsi" w:eastAsiaTheme="minorEastAsia" w:hAnsiTheme="minorHAnsi" w:cstheme="minorBidi"/>
              <w:szCs w:val="22"/>
              <w:lang w:eastAsia="en-AU"/>
            </w:rPr>
          </w:pPr>
          <w:hyperlink w:anchor="_Toc27482940" w:history="1">
            <w:r w:rsidRPr="009F00B1">
              <w:rPr>
                <w:rStyle w:val="Hyperlink"/>
                <w:rFonts w:ascii="Calibri Light" w:eastAsia="SimSun" w:hAnsi="Calibri Light"/>
                <w:b/>
                <w:bCs/>
              </w:rPr>
              <w:t>i.</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What are quotas?</w:t>
            </w:r>
            <w:r>
              <w:rPr>
                <w:webHidden/>
              </w:rPr>
              <w:tab/>
            </w:r>
            <w:r>
              <w:rPr>
                <w:webHidden/>
              </w:rPr>
              <w:fldChar w:fldCharType="begin"/>
            </w:r>
            <w:r>
              <w:rPr>
                <w:webHidden/>
              </w:rPr>
              <w:instrText xml:space="preserve"> PAGEREF _Toc27482940 \h </w:instrText>
            </w:r>
            <w:r>
              <w:rPr>
                <w:webHidden/>
              </w:rPr>
            </w:r>
            <w:r>
              <w:rPr>
                <w:webHidden/>
              </w:rPr>
              <w:fldChar w:fldCharType="separate"/>
            </w:r>
            <w:r>
              <w:rPr>
                <w:webHidden/>
              </w:rPr>
              <w:t>70</w:t>
            </w:r>
            <w:r>
              <w:rPr>
                <w:webHidden/>
              </w:rPr>
              <w:fldChar w:fldCharType="end"/>
            </w:r>
          </w:hyperlink>
        </w:p>
        <w:p w14:paraId="0E51C517" w14:textId="77777777" w:rsidR="00B82E19" w:rsidRDefault="00B82E19">
          <w:pPr>
            <w:pStyle w:val="TOC2"/>
            <w:tabs>
              <w:tab w:val="left" w:pos="880"/>
            </w:tabs>
            <w:rPr>
              <w:rFonts w:asciiTheme="minorHAnsi" w:eastAsiaTheme="minorEastAsia" w:hAnsiTheme="minorHAnsi" w:cstheme="minorBidi"/>
              <w:szCs w:val="22"/>
              <w:lang w:eastAsia="en-AU"/>
            </w:rPr>
          </w:pPr>
          <w:hyperlink w:anchor="_Toc27482941" w:history="1">
            <w:r w:rsidRPr="009F00B1">
              <w:rPr>
                <w:rStyle w:val="Hyperlink"/>
                <w:rFonts w:ascii="Calibri Light" w:eastAsia="SimSun" w:hAnsi="Calibri Light"/>
                <w:b/>
                <w:bCs/>
              </w:rPr>
              <w:t>ii.</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Export quotas in Australia</w:t>
            </w:r>
            <w:r>
              <w:rPr>
                <w:webHidden/>
              </w:rPr>
              <w:tab/>
            </w:r>
            <w:r>
              <w:rPr>
                <w:webHidden/>
              </w:rPr>
              <w:fldChar w:fldCharType="begin"/>
            </w:r>
            <w:r>
              <w:rPr>
                <w:webHidden/>
              </w:rPr>
              <w:instrText xml:space="preserve"> PAGEREF _Toc27482941 \h </w:instrText>
            </w:r>
            <w:r>
              <w:rPr>
                <w:webHidden/>
              </w:rPr>
            </w:r>
            <w:r>
              <w:rPr>
                <w:webHidden/>
              </w:rPr>
              <w:fldChar w:fldCharType="separate"/>
            </w:r>
            <w:r>
              <w:rPr>
                <w:webHidden/>
              </w:rPr>
              <w:t>70</w:t>
            </w:r>
            <w:r>
              <w:rPr>
                <w:webHidden/>
              </w:rPr>
              <w:fldChar w:fldCharType="end"/>
            </w:r>
          </w:hyperlink>
        </w:p>
        <w:p w14:paraId="7202C238" w14:textId="77777777" w:rsidR="00B82E19" w:rsidRDefault="00B82E19">
          <w:pPr>
            <w:pStyle w:val="TOC2"/>
            <w:tabs>
              <w:tab w:val="left" w:pos="880"/>
            </w:tabs>
            <w:rPr>
              <w:rFonts w:asciiTheme="minorHAnsi" w:eastAsiaTheme="minorEastAsia" w:hAnsiTheme="minorHAnsi" w:cstheme="minorBidi"/>
              <w:szCs w:val="22"/>
              <w:lang w:eastAsia="en-AU"/>
            </w:rPr>
          </w:pPr>
          <w:hyperlink w:anchor="_Toc27482942" w:history="1">
            <w:r w:rsidRPr="009F00B1">
              <w:rPr>
                <w:rStyle w:val="Hyperlink"/>
                <w:rFonts w:ascii="Calibri Light" w:eastAsia="SimSun" w:hAnsi="Calibri Light"/>
                <w:b/>
                <w:bCs/>
              </w:rPr>
              <w:t>iii.</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Reform of current legislation</w:t>
            </w:r>
            <w:r>
              <w:rPr>
                <w:webHidden/>
              </w:rPr>
              <w:tab/>
            </w:r>
            <w:r>
              <w:rPr>
                <w:webHidden/>
              </w:rPr>
              <w:fldChar w:fldCharType="begin"/>
            </w:r>
            <w:r>
              <w:rPr>
                <w:webHidden/>
              </w:rPr>
              <w:instrText xml:space="preserve"> PAGEREF _Toc27482942 \h </w:instrText>
            </w:r>
            <w:r>
              <w:rPr>
                <w:webHidden/>
              </w:rPr>
            </w:r>
            <w:r>
              <w:rPr>
                <w:webHidden/>
              </w:rPr>
              <w:fldChar w:fldCharType="separate"/>
            </w:r>
            <w:r>
              <w:rPr>
                <w:webHidden/>
              </w:rPr>
              <w:t>72</w:t>
            </w:r>
            <w:r>
              <w:rPr>
                <w:webHidden/>
              </w:rPr>
              <w:fldChar w:fldCharType="end"/>
            </w:r>
          </w:hyperlink>
        </w:p>
        <w:p w14:paraId="6EE1C764" w14:textId="77777777" w:rsidR="00B82E19" w:rsidRDefault="00B82E19">
          <w:pPr>
            <w:pStyle w:val="TOC2"/>
            <w:tabs>
              <w:tab w:val="left" w:pos="880"/>
            </w:tabs>
            <w:rPr>
              <w:rFonts w:asciiTheme="minorHAnsi" w:eastAsiaTheme="minorEastAsia" w:hAnsiTheme="minorHAnsi" w:cstheme="minorBidi"/>
              <w:szCs w:val="22"/>
              <w:lang w:eastAsia="en-AU"/>
            </w:rPr>
          </w:pPr>
          <w:hyperlink w:anchor="_Toc27482943" w:history="1">
            <w:r w:rsidRPr="009F00B1">
              <w:rPr>
                <w:rStyle w:val="Hyperlink"/>
                <w:rFonts w:ascii="Calibri Light" w:eastAsia="SimSun" w:hAnsi="Calibri Light"/>
                <w:b/>
                <w:bCs/>
              </w:rPr>
              <w:t>iv.</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Reform of current IT and cost recovery arrangements</w:t>
            </w:r>
            <w:r>
              <w:rPr>
                <w:webHidden/>
              </w:rPr>
              <w:tab/>
            </w:r>
            <w:r>
              <w:rPr>
                <w:webHidden/>
              </w:rPr>
              <w:fldChar w:fldCharType="begin"/>
            </w:r>
            <w:r>
              <w:rPr>
                <w:webHidden/>
              </w:rPr>
              <w:instrText xml:space="preserve"> PAGEREF _Toc27482943 \h </w:instrText>
            </w:r>
            <w:r>
              <w:rPr>
                <w:webHidden/>
              </w:rPr>
            </w:r>
            <w:r>
              <w:rPr>
                <w:webHidden/>
              </w:rPr>
              <w:fldChar w:fldCharType="separate"/>
            </w:r>
            <w:r>
              <w:rPr>
                <w:webHidden/>
              </w:rPr>
              <w:t>73</w:t>
            </w:r>
            <w:r>
              <w:rPr>
                <w:webHidden/>
              </w:rPr>
              <w:fldChar w:fldCharType="end"/>
            </w:r>
          </w:hyperlink>
        </w:p>
        <w:p w14:paraId="66AB3AA4" w14:textId="77777777" w:rsidR="00B82E19" w:rsidRDefault="00B82E19">
          <w:pPr>
            <w:pStyle w:val="TOC2"/>
            <w:tabs>
              <w:tab w:val="left" w:pos="880"/>
            </w:tabs>
            <w:rPr>
              <w:rFonts w:asciiTheme="minorHAnsi" w:eastAsiaTheme="minorEastAsia" w:hAnsiTheme="minorHAnsi" w:cstheme="minorBidi"/>
              <w:szCs w:val="22"/>
              <w:lang w:eastAsia="en-AU"/>
            </w:rPr>
          </w:pPr>
          <w:hyperlink w:anchor="_Toc27482944" w:history="1">
            <w:r w:rsidRPr="009F00B1">
              <w:rPr>
                <w:rStyle w:val="Hyperlink"/>
                <w:rFonts w:ascii="Calibri Light" w:eastAsia="SimSun" w:hAnsi="Calibri Light"/>
                <w:b/>
                <w:bCs/>
              </w:rPr>
              <w:t>v.</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Quota principles</w:t>
            </w:r>
            <w:r>
              <w:rPr>
                <w:webHidden/>
              </w:rPr>
              <w:tab/>
            </w:r>
            <w:r>
              <w:rPr>
                <w:webHidden/>
              </w:rPr>
              <w:fldChar w:fldCharType="begin"/>
            </w:r>
            <w:r>
              <w:rPr>
                <w:webHidden/>
              </w:rPr>
              <w:instrText xml:space="preserve"> PAGEREF _Toc27482944 \h </w:instrText>
            </w:r>
            <w:r>
              <w:rPr>
                <w:webHidden/>
              </w:rPr>
            </w:r>
            <w:r>
              <w:rPr>
                <w:webHidden/>
              </w:rPr>
              <w:fldChar w:fldCharType="separate"/>
            </w:r>
            <w:r>
              <w:rPr>
                <w:webHidden/>
              </w:rPr>
              <w:t>73</w:t>
            </w:r>
            <w:r>
              <w:rPr>
                <w:webHidden/>
              </w:rPr>
              <w:fldChar w:fldCharType="end"/>
            </w:r>
          </w:hyperlink>
        </w:p>
        <w:p w14:paraId="51F59465" w14:textId="77777777" w:rsidR="00B82E19" w:rsidRDefault="00B82E19">
          <w:pPr>
            <w:pStyle w:val="TOC2"/>
            <w:tabs>
              <w:tab w:val="left" w:pos="880"/>
            </w:tabs>
            <w:rPr>
              <w:rFonts w:asciiTheme="minorHAnsi" w:eastAsiaTheme="minorEastAsia" w:hAnsiTheme="minorHAnsi" w:cstheme="minorBidi"/>
              <w:szCs w:val="22"/>
              <w:lang w:eastAsia="en-AU"/>
            </w:rPr>
          </w:pPr>
          <w:hyperlink w:anchor="_Toc27482945" w:history="1">
            <w:r w:rsidRPr="009F00B1">
              <w:rPr>
                <w:rStyle w:val="Hyperlink"/>
                <w:rFonts w:ascii="Calibri Light" w:eastAsia="SimSun" w:hAnsi="Calibri Light"/>
                <w:b/>
                <w:bCs/>
              </w:rPr>
              <w:t>vi.</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Previous reviews</w:t>
            </w:r>
            <w:r>
              <w:rPr>
                <w:webHidden/>
              </w:rPr>
              <w:tab/>
            </w:r>
            <w:r>
              <w:rPr>
                <w:webHidden/>
              </w:rPr>
              <w:fldChar w:fldCharType="begin"/>
            </w:r>
            <w:r>
              <w:rPr>
                <w:webHidden/>
              </w:rPr>
              <w:instrText xml:space="preserve"> PAGEREF _Toc27482945 \h </w:instrText>
            </w:r>
            <w:r>
              <w:rPr>
                <w:webHidden/>
              </w:rPr>
            </w:r>
            <w:r>
              <w:rPr>
                <w:webHidden/>
              </w:rPr>
              <w:fldChar w:fldCharType="separate"/>
            </w:r>
            <w:r>
              <w:rPr>
                <w:webHidden/>
              </w:rPr>
              <w:t>74</w:t>
            </w:r>
            <w:r>
              <w:rPr>
                <w:webHidden/>
              </w:rPr>
              <w:fldChar w:fldCharType="end"/>
            </w:r>
          </w:hyperlink>
        </w:p>
        <w:p w14:paraId="554AD955" w14:textId="77777777" w:rsidR="00B82E19" w:rsidRDefault="00B82E19">
          <w:pPr>
            <w:pStyle w:val="TOC1"/>
            <w:rPr>
              <w:rFonts w:asciiTheme="minorHAnsi" w:eastAsiaTheme="minorEastAsia" w:hAnsiTheme="minorHAnsi" w:cstheme="minorBidi"/>
              <w:b w:val="0"/>
              <w:szCs w:val="22"/>
              <w:lang w:eastAsia="en-AU"/>
            </w:rPr>
          </w:pPr>
          <w:hyperlink w:anchor="_Toc27482946" w:history="1">
            <w:r w:rsidRPr="009F00B1">
              <w:rPr>
                <w:rStyle w:val="Hyperlink"/>
                <w:rFonts w:ascii="Calibri Light" w:eastAsia="SimSun" w:hAnsi="Calibri Light"/>
              </w:rPr>
              <w:t>1.</w:t>
            </w:r>
            <w:r>
              <w:rPr>
                <w:rFonts w:asciiTheme="minorHAnsi" w:eastAsiaTheme="minorEastAsia" w:hAnsiTheme="minorHAnsi" w:cstheme="minorBidi"/>
                <w:b w:val="0"/>
                <w:szCs w:val="22"/>
                <w:lang w:eastAsia="en-AU"/>
              </w:rPr>
              <w:tab/>
            </w:r>
            <w:r w:rsidRPr="009F00B1">
              <w:rPr>
                <w:rStyle w:val="Hyperlink"/>
                <w:rFonts w:ascii="Calibri Light" w:eastAsia="SimSun" w:hAnsi="Calibri Light"/>
              </w:rPr>
              <w:t>What is the problem?</w:t>
            </w:r>
            <w:r>
              <w:rPr>
                <w:webHidden/>
              </w:rPr>
              <w:tab/>
            </w:r>
            <w:r>
              <w:rPr>
                <w:webHidden/>
              </w:rPr>
              <w:fldChar w:fldCharType="begin"/>
            </w:r>
            <w:r>
              <w:rPr>
                <w:webHidden/>
              </w:rPr>
              <w:instrText xml:space="preserve"> PAGEREF _Toc27482946 \h </w:instrText>
            </w:r>
            <w:r>
              <w:rPr>
                <w:webHidden/>
              </w:rPr>
            </w:r>
            <w:r>
              <w:rPr>
                <w:webHidden/>
              </w:rPr>
              <w:fldChar w:fldCharType="separate"/>
            </w:r>
            <w:r>
              <w:rPr>
                <w:webHidden/>
              </w:rPr>
              <w:t>75</w:t>
            </w:r>
            <w:r>
              <w:rPr>
                <w:webHidden/>
              </w:rPr>
              <w:fldChar w:fldCharType="end"/>
            </w:r>
          </w:hyperlink>
        </w:p>
        <w:p w14:paraId="33806846" w14:textId="77777777" w:rsidR="00B82E19" w:rsidRDefault="00B82E19">
          <w:pPr>
            <w:pStyle w:val="TOC1"/>
            <w:rPr>
              <w:rFonts w:asciiTheme="minorHAnsi" w:eastAsiaTheme="minorEastAsia" w:hAnsiTheme="minorHAnsi" w:cstheme="minorBidi"/>
              <w:b w:val="0"/>
              <w:szCs w:val="22"/>
              <w:lang w:eastAsia="en-AU"/>
            </w:rPr>
          </w:pPr>
          <w:hyperlink w:anchor="_Toc27482947" w:history="1">
            <w:r w:rsidRPr="009F00B1">
              <w:rPr>
                <w:rStyle w:val="Hyperlink"/>
                <w:rFonts w:ascii="Calibri Light" w:eastAsia="SimSun" w:hAnsi="Calibri Light"/>
              </w:rPr>
              <w:t>2.</w:t>
            </w:r>
            <w:r>
              <w:rPr>
                <w:rFonts w:asciiTheme="minorHAnsi" w:eastAsiaTheme="minorEastAsia" w:hAnsiTheme="minorHAnsi" w:cstheme="minorBidi"/>
                <w:b w:val="0"/>
                <w:szCs w:val="22"/>
                <w:lang w:eastAsia="en-AU"/>
              </w:rPr>
              <w:tab/>
            </w:r>
            <w:r w:rsidRPr="009F00B1">
              <w:rPr>
                <w:rStyle w:val="Hyperlink"/>
                <w:rFonts w:ascii="Calibri Light" w:eastAsia="SimSun" w:hAnsi="Calibri Light"/>
              </w:rPr>
              <w:t>Why is government action needed?</w:t>
            </w:r>
            <w:r>
              <w:rPr>
                <w:webHidden/>
              </w:rPr>
              <w:tab/>
            </w:r>
            <w:r>
              <w:rPr>
                <w:webHidden/>
              </w:rPr>
              <w:fldChar w:fldCharType="begin"/>
            </w:r>
            <w:r>
              <w:rPr>
                <w:webHidden/>
              </w:rPr>
              <w:instrText xml:space="preserve"> PAGEREF _Toc27482947 \h </w:instrText>
            </w:r>
            <w:r>
              <w:rPr>
                <w:webHidden/>
              </w:rPr>
            </w:r>
            <w:r>
              <w:rPr>
                <w:webHidden/>
              </w:rPr>
              <w:fldChar w:fldCharType="separate"/>
            </w:r>
            <w:r>
              <w:rPr>
                <w:webHidden/>
              </w:rPr>
              <w:t>82</w:t>
            </w:r>
            <w:r>
              <w:rPr>
                <w:webHidden/>
              </w:rPr>
              <w:fldChar w:fldCharType="end"/>
            </w:r>
          </w:hyperlink>
        </w:p>
        <w:p w14:paraId="602D0977" w14:textId="77777777" w:rsidR="00B82E19" w:rsidRDefault="00B82E19">
          <w:pPr>
            <w:pStyle w:val="TOC2"/>
            <w:tabs>
              <w:tab w:val="left" w:pos="1100"/>
            </w:tabs>
            <w:rPr>
              <w:rFonts w:asciiTheme="minorHAnsi" w:eastAsiaTheme="minorEastAsia" w:hAnsiTheme="minorHAnsi" w:cstheme="minorBidi"/>
              <w:szCs w:val="22"/>
              <w:lang w:eastAsia="en-AU"/>
            </w:rPr>
          </w:pPr>
          <w:hyperlink w:anchor="_Toc27482948" w:history="1">
            <w:r w:rsidRPr="009F00B1">
              <w:rPr>
                <w:rStyle w:val="Hyperlink"/>
                <w:rFonts w:ascii="Calibri Light" w:eastAsia="SimSun" w:hAnsi="Calibri Light"/>
                <w:b/>
                <w:bCs/>
              </w:rPr>
              <w:t>2.1.</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Objectives</w:t>
            </w:r>
            <w:r>
              <w:rPr>
                <w:webHidden/>
              </w:rPr>
              <w:tab/>
            </w:r>
            <w:r>
              <w:rPr>
                <w:webHidden/>
              </w:rPr>
              <w:fldChar w:fldCharType="begin"/>
            </w:r>
            <w:r>
              <w:rPr>
                <w:webHidden/>
              </w:rPr>
              <w:instrText xml:space="preserve"> PAGEREF _Toc27482948 \h </w:instrText>
            </w:r>
            <w:r>
              <w:rPr>
                <w:webHidden/>
              </w:rPr>
            </w:r>
            <w:r>
              <w:rPr>
                <w:webHidden/>
              </w:rPr>
              <w:fldChar w:fldCharType="separate"/>
            </w:r>
            <w:r>
              <w:rPr>
                <w:webHidden/>
              </w:rPr>
              <w:t>82</w:t>
            </w:r>
            <w:r>
              <w:rPr>
                <w:webHidden/>
              </w:rPr>
              <w:fldChar w:fldCharType="end"/>
            </w:r>
          </w:hyperlink>
        </w:p>
        <w:p w14:paraId="3AD0F15F" w14:textId="77777777" w:rsidR="00B82E19" w:rsidRDefault="00B82E19">
          <w:pPr>
            <w:pStyle w:val="TOC1"/>
            <w:rPr>
              <w:rFonts w:asciiTheme="minorHAnsi" w:eastAsiaTheme="minorEastAsia" w:hAnsiTheme="minorHAnsi" w:cstheme="minorBidi"/>
              <w:b w:val="0"/>
              <w:szCs w:val="22"/>
              <w:lang w:eastAsia="en-AU"/>
            </w:rPr>
          </w:pPr>
          <w:hyperlink w:anchor="_Toc27482949" w:history="1">
            <w:r w:rsidRPr="009F00B1">
              <w:rPr>
                <w:rStyle w:val="Hyperlink"/>
                <w:rFonts w:ascii="Calibri Light" w:eastAsia="SimSun" w:hAnsi="Calibri Light"/>
              </w:rPr>
              <w:t>3.</w:t>
            </w:r>
            <w:r>
              <w:rPr>
                <w:rFonts w:asciiTheme="minorHAnsi" w:eastAsiaTheme="minorEastAsia" w:hAnsiTheme="minorHAnsi" w:cstheme="minorBidi"/>
                <w:b w:val="0"/>
                <w:szCs w:val="22"/>
                <w:lang w:eastAsia="en-AU"/>
              </w:rPr>
              <w:tab/>
            </w:r>
            <w:r w:rsidRPr="009F00B1">
              <w:rPr>
                <w:rStyle w:val="Hyperlink"/>
                <w:rFonts w:ascii="Calibri Light" w:eastAsia="SimSun" w:hAnsi="Calibri Light"/>
              </w:rPr>
              <w:t>What policy options are you considering?</w:t>
            </w:r>
            <w:r>
              <w:rPr>
                <w:webHidden/>
              </w:rPr>
              <w:tab/>
            </w:r>
            <w:r>
              <w:rPr>
                <w:webHidden/>
              </w:rPr>
              <w:fldChar w:fldCharType="begin"/>
            </w:r>
            <w:r>
              <w:rPr>
                <w:webHidden/>
              </w:rPr>
              <w:instrText xml:space="preserve"> PAGEREF _Toc27482949 \h </w:instrText>
            </w:r>
            <w:r>
              <w:rPr>
                <w:webHidden/>
              </w:rPr>
            </w:r>
            <w:r>
              <w:rPr>
                <w:webHidden/>
              </w:rPr>
              <w:fldChar w:fldCharType="separate"/>
            </w:r>
            <w:r>
              <w:rPr>
                <w:webHidden/>
              </w:rPr>
              <w:t>83</w:t>
            </w:r>
            <w:r>
              <w:rPr>
                <w:webHidden/>
              </w:rPr>
              <w:fldChar w:fldCharType="end"/>
            </w:r>
          </w:hyperlink>
        </w:p>
        <w:p w14:paraId="7CC8ACDD" w14:textId="77777777" w:rsidR="00B82E19" w:rsidRDefault="00B82E19">
          <w:pPr>
            <w:pStyle w:val="TOC2"/>
            <w:tabs>
              <w:tab w:val="left" w:pos="1100"/>
            </w:tabs>
            <w:rPr>
              <w:rFonts w:asciiTheme="minorHAnsi" w:eastAsiaTheme="minorEastAsia" w:hAnsiTheme="minorHAnsi" w:cstheme="minorBidi"/>
              <w:szCs w:val="22"/>
              <w:lang w:eastAsia="en-AU"/>
            </w:rPr>
          </w:pPr>
          <w:hyperlink w:anchor="_Toc27482950" w:history="1">
            <w:r w:rsidRPr="009F00B1">
              <w:rPr>
                <w:rStyle w:val="Hyperlink"/>
                <w:rFonts w:ascii="Calibri Light" w:eastAsia="SimSun" w:hAnsi="Calibri Light"/>
                <w:b/>
                <w:bCs/>
              </w:rPr>
              <w:t>3.1.</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Option 1: Status quo – retain all current regulations</w:t>
            </w:r>
            <w:r>
              <w:rPr>
                <w:webHidden/>
              </w:rPr>
              <w:tab/>
            </w:r>
            <w:r>
              <w:rPr>
                <w:webHidden/>
              </w:rPr>
              <w:fldChar w:fldCharType="begin"/>
            </w:r>
            <w:r>
              <w:rPr>
                <w:webHidden/>
              </w:rPr>
              <w:instrText xml:space="preserve"> PAGEREF _Toc27482950 \h </w:instrText>
            </w:r>
            <w:r>
              <w:rPr>
                <w:webHidden/>
              </w:rPr>
            </w:r>
            <w:r>
              <w:rPr>
                <w:webHidden/>
              </w:rPr>
              <w:fldChar w:fldCharType="separate"/>
            </w:r>
            <w:r>
              <w:rPr>
                <w:webHidden/>
              </w:rPr>
              <w:t>83</w:t>
            </w:r>
            <w:r>
              <w:rPr>
                <w:webHidden/>
              </w:rPr>
              <w:fldChar w:fldCharType="end"/>
            </w:r>
          </w:hyperlink>
        </w:p>
        <w:p w14:paraId="399C94F2" w14:textId="77777777" w:rsidR="00B82E19" w:rsidRDefault="00B82E19">
          <w:pPr>
            <w:pStyle w:val="TOC2"/>
            <w:tabs>
              <w:tab w:val="left" w:pos="1100"/>
            </w:tabs>
            <w:rPr>
              <w:rFonts w:asciiTheme="minorHAnsi" w:eastAsiaTheme="minorEastAsia" w:hAnsiTheme="minorHAnsi" w:cstheme="minorBidi"/>
              <w:szCs w:val="22"/>
              <w:lang w:eastAsia="en-AU"/>
            </w:rPr>
          </w:pPr>
          <w:hyperlink w:anchor="_Toc27482951" w:history="1">
            <w:r w:rsidRPr="009F00B1">
              <w:rPr>
                <w:rStyle w:val="Hyperlink"/>
                <w:rFonts w:ascii="Calibri Light" w:eastAsia="SimSun" w:hAnsi="Calibri Light"/>
                <w:b/>
                <w:bCs/>
              </w:rPr>
              <w:t>3.2.</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Option 2: Remove regulation – first come, first served system</w:t>
            </w:r>
            <w:r>
              <w:rPr>
                <w:webHidden/>
              </w:rPr>
              <w:tab/>
            </w:r>
            <w:r>
              <w:rPr>
                <w:webHidden/>
              </w:rPr>
              <w:fldChar w:fldCharType="begin"/>
            </w:r>
            <w:r>
              <w:rPr>
                <w:webHidden/>
              </w:rPr>
              <w:instrText xml:space="preserve"> PAGEREF _Toc27482951 \h </w:instrText>
            </w:r>
            <w:r>
              <w:rPr>
                <w:webHidden/>
              </w:rPr>
            </w:r>
            <w:r>
              <w:rPr>
                <w:webHidden/>
              </w:rPr>
              <w:fldChar w:fldCharType="separate"/>
            </w:r>
            <w:r>
              <w:rPr>
                <w:webHidden/>
              </w:rPr>
              <w:t>83</w:t>
            </w:r>
            <w:r>
              <w:rPr>
                <w:webHidden/>
              </w:rPr>
              <w:fldChar w:fldCharType="end"/>
            </w:r>
          </w:hyperlink>
        </w:p>
        <w:p w14:paraId="470AC8BA" w14:textId="77777777" w:rsidR="00B82E19" w:rsidRDefault="00B82E19">
          <w:pPr>
            <w:pStyle w:val="TOC2"/>
            <w:tabs>
              <w:tab w:val="left" w:pos="1100"/>
            </w:tabs>
            <w:rPr>
              <w:rFonts w:asciiTheme="minorHAnsi" w:eastAsiaTheme="minorEastAsia" w:hAnsiTheme="minorHAnsi" w:cstheme="minorBidi"/>
              <w:szCs w:val="22"/>
              <w:lang w:eastAsia="en-AU"/>
            </w:rPr>
          </w:pPr>
          <w:hyperlink w:anchor="_Toc27482952" w:history="1">
            <w:r w:rsidRPr="009F00B1">
              <w:rPr>
                <w:rStyle w:val="Hyperlink"/>
                <w:rFonts w:ascii="Calibri Light" w:eastAsia="SimSun" w:hAnsi="Calibri Light"/>
                <w:b/>
                <w:bCs/>
              </w:rPr>
              <w:t>3.3.</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Option 3: Tiered management system</w:t>
            </w:r>
            <w:r>
              <w:rPr>
                <w:webHidden/>
              </w:rPr>
              <w:tab/>
            </w:r>
            <w:r>
              <w:rPr>
                <w:webHidden/>
              </w:rPr>
              <w:fldChar w:fldCharType="begin"/>
            </w:r>
            <w:r>
              <w:rPr>
                <w:webHidden/>
              </w:rPr>
              <w:instrText xml:space="preserve"> PAGEREF _Toc27482952 \h </w:instrText>
            </w:r>
            <w:r>
              <w:rPr>
                <w:webHidden/>
              </w:rPr>
            </w:r>
            <w:r>
              <w:rPr>
                <w:webHidden/>
              </w:rPr>
              <w:fldChar w:fldCharType="separate"/>
            </w:r>
            <w:r>
              <w:rPr>
                <w:webHidden/>
              </w:rPr>
              <w:t>84</w:t>
            </w:r>
            <w:r>
              <w:rPr>
                <w:webHidden/>
              </w:rPr>
              <w:fldChar w:fldCharType="end"/>
            </w:r>
          </w:hyperlink>
        </w:p>
        <w:p w14:paraId="03C365FC" w14:textId="77777777" w:rsidR="00B82E19" w:rsidRDefault="00B82E19">
          <w:pPr>
            <w:pStyle w:val="TOC3"/>
            <w:rPr>
              <w:rFonts w:asciiTheme="minorHAnsi" w:eastAsiaTheme="minorEastAsia" w:hAnsiTheme="minorHAnsi" w:cstheme="minorBidi"/>
              <w:szCs w:val="22"/>
              <w:lang w:eastAsia="en-AU"/>
            </w:rPr>
          </w:pPr>
          <w:hyperlink w:anchor="_Toc27482953" w:history="1">
            <w:r w:rsidRPr="009F00B1">
              <w:rPr>
                <w:rStyle w:val="Hyperlink"/>
                <w:rFonts w:ascii="Calibri Light" w:eastAsia="SimSun" w:hAnsi="Calibri Light"/>
                <w:bCs/>
              </w:rPr>
              <w:t>First come, first served – low use</w:t>
            </w:r>
            <w:r>
              <w:rPr>
                <w:webHidden/>
              </w:rPr>
              <w:tab/>
            </w:r>
            <w:r>
              <w:rPr>
                <w:webHidden/>
              </w:rPr>
              <w:fldChar w:fldCharType="begin"/>
            </w:r>
            <w:r>
              <w:rPr>
                <w:webHidden/>
              </w:rPr>
              <w:instrText xml:space="preserve"> PAGEREF _Toc27482953 \h </w:instrText>
            </w:r>
            <w:r>
              <w:rPr>
                <w:webHidden/>
              </w:rPr>
            </w:r>
            <w:r>
              <w:rPr>
                <w:webHidden/>
              </w:rPr>
              <w:fldChar w:fldCharType="separate"/>
            </w:r>
            <w:r>
              <w:rPr>
                <w:webHidden/>
              </w:rPr>
              <w:t>85</w:t>
            </w:r>
            <w:r>
              <w:rPr>
                <w:webHidden/>
              </w:rPr>
              <w:fldChar w:fldCharType="end"/>
            </w:r>
          </w:hyperlink>
        </w:p>
        <w:p w14:paraId="7A2C22ED" w14:textId="77777777" w:rsidR="00B82E19" w:rsidRDefault="00B82E19">
          <w:pPr>
            <w:pStyle w:val="TOC3"/>
            <w:rPr>
              <w:rFonts w:asciiTheme="minorHAnsi" w:eastAsiaTheme="minorEastAsia" w:hAnsiTheme="minorHAnsi" w:cstheme="minorBidi"/>
              <w:szCs w:val="22"/>
              <w:lang w:eastAsia="en-AU"/>
            </w:rPr>
          </w:pPr>
          <w:hyperlink w:anchor="_Toc27482954" w:history="1">
            <w:r w:rsidRPr="009F00B1">
              <w:rPr>
                <w:rStyle w:val="Hyperlink"/>
                <w:rFonts w:ascii="Calibri Light" w:eastAsia="SimSun" w:hAnsi="Calibri Light"/>
                <w:bCs/>
              </w:rPr>
              <w:t>First come, first served with high-fill trigger – medium use</w:t>
            </w:r>
            <w:r>
              <w:rPr>
                <w:webHidden/>
              </w:rPr>
              <w:tab/>
            </w:r>
            <w:r>
              <w:rPr>
                <w:webHidden/>
              </w:rPr>
              <w:fldChar w:fldCharType="begin"/>
            </w:r>
            <w:r>
              <w:rPr>
                <w:webHidden/>
              </w:rPr>
              <w:instrText xml:space="preserve"> PAGEREF _Toc27482954 \h </w:instrText>
            </w:r>
            <w:r>
              <w:rPr>
                <w:webHidden/>
              </w:rPr>
            </w:r>
            <w:r>
              <w:rPr>
                <w:webHidden/>
              </w:rPr>
              <w:fldChar w:fldCharType="separate"/>
            </w:r>
            <w:r>
              <w:rPr>
                <w:webHidden/>
              </w:rPr>
              <w:t>85</w:t>
            </w:r>
            <w:r>
              <w:rPr>
                <w:webHidden/>
              </w:rPr>
              <w:fldChar w:fldCharType="end"/>
            </w:r>
          </w:hyperlink>
        </w:p>
        <w:p w14:paraId="0A44C8A6" w14:textId="77777777" w:rsidR="00B82E19" w:rsidRDefault="00B82E19">
          <w:pPr>
            <w:pStyle w:val="TOC3"/>
            <w:rPr>
              <w:rFonts w:asciiTheme="minorHAnsi" w:eastAsiaTheme="minorEastAsia" w:hAnsiTheme="minorHAnsi" w:cstheme="minorBidi"/>
              <w:szCs w:val="22"/>
              <w:lang w:eastAsia="en-AU"/>
            </w:rPr>
          </w:pPr>
          <w:hyperlink w:anchor="_Toc27482955" w:history="1">
            <w:r w:rsidRPr="009F00B1">
              <w:rPr>
                <w:rStyle w:val="Hyperlink"/>
                <w:rFonts w:ascii="Calibri Light" w:eastAsia="SimSun" w:hAnsi="Calibri Light"/>
                <w:bCs/>
              </w:rPr>
              <w:t>Rationalised allocation system – high use</w:t>
            </w:r>
            <w:r>
              <w:rPr>
                <w:webHidden/>
              </w:rPr>
              <w:tab/>
            </w:r>
            <w:r>
              <w:rPr>
                <w:webHidden/>
              </w:rPr>
              <w:fldChar w:fldCharType="begin"/>
            </w:r>
            <w:r>
              <w:rPr>
                <w:webHidden/>
              </w:rPr>
              <w:instrText xml:space="preserve"> PAGEREF _Toc27482955 \h </w:instrText>
            </w:r>
            <w:r>
              <w:rPr>
                <w:webHidden/>
              </w:rPr>
            </w:r>
            <w:r>
              <w:rPr>
                <w:webHidden/>
              </w:rPr>
              <w:fldChar w:fldCharType="separate"/>
            </w:r>
            <w:r>
              <w:rPr>
                <w:webHidden/>
              </w:rPr>
              <w:t>86</w:t>
            </w:r>
            <w:r>
              <w:rPr>
                <w:webHidden/>
              </w:rPr>
              <w:fldChar w:fldCharType="end"/>
            </w:r>
          </w:hyperlink>
        </w:p>
        <w:p w14:paraId="0BD2472C" w14:textId="77777777" w:rsidR="00B82E19" w:rsidRDefault="00B82E19">
          <w:pPr>
            <w:pStyle w:val="TOC2"/>
            <w:tabs>
              <w:tab w:val="left" w:pos="1100"/>
            </w:tabs>
            <w:rPr>
              <w:rFonts w:asciiTheme="minorHAnsi" w:eastAsiaTheme="minorEastAsia" w:hAnsiTheme="minorHAnsi" w:cstheme="minorBidi"/>
              <w:szCs w:val="22"/>
              <w:lang w:eastAsia="en-AU"/>
            </w:rPr>
          </w:pPr>
          <w:hyperlink w:anchor="_Toc27482956" w:history="1">
            <w:r w:rsidRPr="009F00B1">
              <w:rPr>
                <w:rStyle w:val="Hyperlink"/>
                <w:rFonts w:ascii="Calibri Light" w:eastAsia="SimSun" w:hAnsi="Calibri Light"/>
                <w:b/>
                <w:bCs/>
              </w:rPr>
              <w:t>3.4.</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Option 4: Industry-tailored tiered management system</w:t>
            </w:r>
            <w:r>
              <w:rPr>
                <w:webHidden/>
              </w:rPr>
              <w:tab/>
            </w:r>
            <w:r>
              <w:rPr>
                <w:webHidden/>
              </w:rPr>
              <w:fldChar w:fldCharType="begin"/>
            </w:r>
            <w:r>
              <w:rPr>
                <w:webHidden/>
              </w:rPr>
              <w:instrText xml:space="preserve"> PAGEREF _Toc27482956 \h </w:instrText>
            </w:r>
            <w:r>
              <w:rPr>
                <w:webHidden/>
              </w:rPr>
            </w:r>
            <w:r>
              <w:rPr>
                <w:webHidden/>
              </w:rPr>
              <w:fldChar w:fldCharType="separate"/>
            </w:r>
            <w:r>
              <w:rPr>
                <w:webHidden/>
              </w:rPr>
              <w:t>89</w:t>
            </w:r>
            <w:r>
              <w:rPr>
                <w:webHidden/>
              </w:rPr>
              <w:fldChar w:fldCharType="end"/>
            </w:r>
          </w:hyperlink>
        </w:p>
        <w:p w14:paraId="1D0125AC" w14:textId="77777777" w:rsidR="00B82E19" w:rsidRDefault="00B82E19">
          <w:pPr>
            <w:pStyle w:val="TOC3"/>
            <w:rPr>
              <w:rFonts w:asciiTheme="minorHAnsi" w:eastAsiaTheme="minorEastAsia" w:hAnsiTheme="minorHAnsi" w:cstheme="minorBidi"/>
              <w:szCs w:val="22"/>
              <w:lang w:eastAsia="en-AU"/>
            </w:rPr>
          </w:pPr>
          <w:hyperlink w:anchor="_Toc27482957" w:history="1">
            <w:r w:rsidRPr="009F00B1">
              <w:rPr>
                <w:rStyle w:val="Hyperlink"/>
                <w:rFonts w:ascii="Calibri Light" w:eastAsia="SimSun" w:hAnsi="Calibri Light"/>
                <w:bCs/>
              </w:rPr>
              <w:t>First come, first served</w:t>
            </w:r>
            <w:r>
              <w:rPr>
                <w:webHidden/>
              </w:rPr>
              <w:tab/>
            </w:r>
            <w:r>
              <w:rPr>
                <w:webHidden/>
              </w:rPr>
              <w:fldChar w:fldCharType="begin"/>
            </w:r>
            <w:r>
              <w:rPr>
                <w:webHidden/>
              </w:rPr>
              <w:instrText xml:space="preserve"> PAGEREF _Toc27482957 \h </w:instrText>
            </w:r>
            <w:r>
              <w:rPr>
                <w:webHidden/>
              </w:rPr>
            </w:r>
            <w:r>
              <w:rPr>
                <w:webHidden/>
              </w:rPr>
              <w:fldChar w:fldCharType="separate"/>
            </w:r>
            <w:r>
              <w:rPr>
                <w:webHidden/>
              </w:rPr>
              <w:t>90</w:t>
            </w:r>
            <w:r>
              <w:rPr>
                <w:webHidden/>
              </w:rPr>
              <w:fldChar w:fldCharType="end"/>
            </w:r>
          </w:hyperlink>
        </w:p>
        <w:p w14:paraId="500F0449" w14:textId="77777777" w:rsidR="00B82E19" w:rsidRDefault="00B82E19">
          <w:pPr>
            <w:pStyle w:val="TOC3"/>
            <w:rPr>
              <w:rFonts w:asciiTheme="minorHAnsi" w:eastAsiaTheme="minorEastAsia" w:hAnsiTheme="minorHAnsi" w:cstheme="minorBidi"/>
              <w:szCs w:val="22"/>
              <w:lang w:eastAsia="en-AU"/>
            </w:rPr>
          </w:pPr>
          <w:hyperlink w:anchor="_Toc27482958" w:history="1">
            <w:r w:rsidRPr="009F00B1">
              <w:rPr>
                <w:rStyle w:val="Hyperlink"/>
                <w:rFonts w:ascii="Calibri Light" w:eastAsia="SimSun" w:hAnsi="Calibri Light"/>
                <w:bCs/>
              </w:rPr>
              <w:t>First come, first served with high-fill trigger</w:t>
            </w:r>
            <w:r>
              <w:rPr>
                <w:webHidden/>
              </w:rPr>
              <w:tab/>
            </w:r>
            <w:r>
              <w:rPr>
                <w:webHidden/>
              </w:rPr>
              <w:fldChar w:fldCharType="begin"/>
            </w:r>
            <w:r>
              <w:rPr>
                <w:webHidden/>
              </w:rPr>
              <w:instrText xml:space="preserve"> PAGEREF _Toc27482958 \h </w:instrText>
            </w:r>
            <w:r>
              <w:rPr>
                <w:webHidden/>
              </w:rPr>
            </w:r>
            <w:r>
              <w:rPr>
                <w:webHidden/>
              </w:rPr>
              <w:fldChar w:fldCharType="separate"/>
            </w:r>
            <w:r>
              <w:rPr>
                <w:webHidden/>
              </w:rPr>
              <w:t>90</w:t>
            </w:r>
            <w:r>
              <w:rPr>
                <w:webHidden/>
              </w:rPr>
              <w:fldChar w:fldCharType="end"/>
            </w:r>
          </w:hyperlink>
        </w:p>
        <w:p w14:paraId="6B244553" w14:textId="77777777" w:rsidR="00B82E19" w:rsidRDefault="00B82E19">
          <w:pPr>
            <w:pStyle w:val="TOC3"/>
            <w:rPr>
              <w:rFonts w:asciiTheme="minorHAnsi" w:eastAsiaTheme="minorEastAsia" w:hAnsiTheme="minorHAnsi" w:cstheme="minorBidi"/>
              <w:szCs w:val="22"/>
              <w:lang w:eastAsia="en-AU"/>
            </w:rPr>
          </w:pPr>
          <w:hyperlink w:anchor="_Toc27482959" w:history="1">
            <w:r w:rsidRPr="009F00B1">
              <w:rPr>
                <w:rStyle w:val="Hyperlink"/>
                <w:rFonts w:ascii="Calibri Light" w:eastAsia="SimSun" w:hAnsi="Calibri Light"/>
                <w:bCs/>
              </w:rPr>
              <w:t>Rationalised allocation system</w:t>
            </w:r>
            <w:r>
              <w:rPr>
                <w:webHidden/>
              </w:rPr>
              <w:tab/>
            </w:r>
            <w:r>
              <w:rPr>
                <w:webHidden/>
              </w:rPr>
              <w:fldChar w:fldCharType="begin"/>
            </w:r>
            <w:r>
              <w:rPr>
                <w:webHidden/>
              </w:rPr>
              <w:instrText xml:space="preserve"> PAGEREF _Toc27482959 \h </w:instrText>
            </w:r>
            <w:r>
              <w:rPr>
                <w:webHidden/>
              </w:rPr>
            </w:r>
            <w:r>
              <w:rPr>
                <w:webHidden/>
              </w:rPr>
              <w:fldChar w:fldCharType="separate"/>
            </w:r>
            <w:r>
              <w:rPr>
                <w:webHidden/>
              </w:rPr>
              <w:t>91</w:t>
            </w:r>
            <w:r>
              <w:rPr>
                <w:webHidden/>
              </w:rPr>
              <w:fldChar w:fldCharType="end"/>
            </w:r>
          </w:hyperlink>
        </w:p>
        <w:p w14:paraId="69847510" w14:textId="77777777" w:rsidR="00B82E19" w:rsidRDefault="00B82E19">
          <w:pPr>
            <w:pStyle w:val="TOC3"/>
            <w:rPr>
              <w:rFonts w:asciiTheme="minorHAnsi" w:eastAsiaTheme="minorEastAsia" w:hAnsiTheme="minorHAnsi" w:cstheme="minorBidi"/>
              <w:szCs w:val="22"/>
              <w:lang w:eastAsia="en-AU"/>
            </w:rPr>
          </w:pPr>
          <w:hyperlink w:anchor="_Toc27482960" w:history="1">
            <w:r w:rsidRPr="009F00B1">
              <w:rPr>
                <w:rStyle w:val="Hyperlink"/>
                <w:rFonts w:ascii="Calibri Light" w:eastAsia="SimSun" w:hAnsi="Calibri Light"/>
                <w:bCs/>
              </w:rPr>
              <w:t>EU sheepmeat allocation system</w:t>
            </w:r>
            <w:r>
              <w:rPr>
                <w:webHidden/>
              </w:rPr>
              <w:tab/>
            </w:r>
            <w:r>
              <w:rPr>
                <w:webHidden/>
              </w:rPr>
              <w:fldChar w:fldCharType="begin"/>
            </w:r>
            <w:r>
              <w:rPr>
                <w:webHidden/>
              </w:rPr>
              <w:instrText xml:space="preserve"> PAGEREF _Toc27482960 \h </w:instrText>
            </w:r>
            <w:r>
              <w:rPr>
                <w:webHidden/>
              </w:rPr>
            </w:r>
            <w:r>
              <w:rPr>
                <w:webHidden/>
              </w:rPr>
              <w:fldChar w:fldCharType="separate"/>
            </w:r>
            <w:r>
              <w:rPr>
                <w:webHidden/>
              </w:rPr>
              <w:t>93</w:t>
            </w:r>
            <w:r>
              <w:rPr>
                <w:webHidden/>
              </w:rPr>
              <w:fldChar w:fldCharType="end"/>
            </w:r>
          </w:hyperlink>
        </w:p>
        <w:p w14:paraId="198BE704" w14:textId="77777777" w:rsidR="00B82E19" w:rsidRDefault="00B82E19">
          <w:pPr>
            <w:pStyle w:val="TOC1"/>
            <w:rPr>
              <w:rFonts w:asciiTheme="minorHAnsi" w:eastAsiaTheme="minorEastAsia" w:hAnsiTheme="minorHAnsi" w:cstheme="minorBidi"/>
              <w:b w:val="0"/>
              <w:szCs w:val="22"/>
              <w:lang w:eastAsia="en-AU"/>
            </w:rPr>
          </w:pPr>
          <w:hyperlink w:anchor="_Toc27482961" w:history="1">
            <w:r w:rsidRPr="009F00B1">
              <w:rPr>
                <w:rStyle w:val="Hyperlink"/>
                <w:rFonts w:ascii="Calibri Light" w:eastAsia="SimSun" w:hAnsi="Calibri Light"/>
              </w:rPr>
              <w:t>4.</w:t>
            </w:r>
            <w:r>
              <w:rPr>
                <w:rFonts w:asciiTheme="minorHAnsi" w:eastAsiaTheme="minorEastAsia" w:hAnsiTheme="minorHAnsi" w:cstheme="minorBidi"/>
                <w:b w:val="0"/>
                <w:szCs w:val="22"/>
                <w:lang w:eastAsia="en-AU"/>
              </w:rPr>
              <w:tab/>
            </w:r>
            <w:r w:rsidRPr="009F00B1">
              <w:rPr>
                <w:rStyle w:val="Hyperlink"/>
                <w:rFonts w:ascii="Calibri Light" w:eastAsia="SimSun" w:hAnsi="Calibri Light"/>
              </w:rPr>
              <w:t>Consultation</w:t>
            </w:r>
            <w:r>
              <w:rPr>
                <w:webHidden/>
              </w:rPr>
              <w:tab/>
            </w:r>
            <w:r>
              <w:rPr>
                <w:webHidden/>
              </w:rPr>
              <w:fldChar w:fldCharType="begin"/>
            </w:r>
            <w:r>
              <w:rPr>
                <w:webHidden/>
              </w:rPr>
              <w:instrText xml:space="preserve"> PAGEREF _Toc27482961 \h </w:instrText>
            </w:r>
            <w:r>
              <w:rPr>
                <w:webHidden/>
              </w:rPr>
            </w:r>
            <w:r>
              <w:rPr>
                <w:webHidden/>
              </w:rPr>
              <w:fldChar w:fldCharType="separate"/>
            </w:r>
            <w:r>
              <w:rPr>
                <w:webHidden/>
              </w:rPr>
              <w:t>95</w:t>
            </w:r>
            <w:r>
              <w:rPr>
                <w:webHidden/>
              </w:rPr>
              <w:fldChar w:fldCharType="end"/>
            </w:r>
          </w:hyperlink>
        </w:p>
        <w:p w14:paraId="272A5620" w14:textId="77777777" w:rsidR="00B82E19" w:rsidRDefault="00B82E19">
          <w:pPr>
            <w:pStyle w:val="TOC2"/>
            <w:tabs>
              <w:tab w:val="left" w:pos="1100"/>
            </w:tabs>
            <w:rPr>
              <w:rFonts w:asciiTheme="minorHAnsi" w:eastAsiaTheme="minorEastAsia" w:hAnsiTheme="minorHAnsi" w:cstheme="minorBidi"/>
              <w:szCs w:val="22"/>
              <w:lang w:eastAsia="en-AU"/>
            </w:rPr>
          </w:pPr>
          <w:hyperlink w:anchor="_Toc27482962" w:history="1">
            <w:r w:rsidRPr="009F00B1">
              <w:rPr>
                <w:rStyle w:val="Hyperlink"/>
                <w:rFonts w:ascii="Calibri Light" w:eastAsia="SimSun" w:hAnsi="Calibri Light"/>
                <w:b/>
                <w:bCs/>
              </w:rPr>
              <w:t>4.1.</w:t>
            </w:r>
            <w:r>
              <w:rPr>
                <w:rFonts w:asciiTheme="minorHAnsi" w:eastAsiaTheme="minorEastAsia" w:hAnsiTheme="minorHAnsi" w:cstheme="minorBidi"/>
                <w:szCs w:val="22"/>
                <w:lang w:eastAsia="en-AU"/>
              </w:rPr>
              <w:tab/>
            </w:r>
            <w:r w:rsidRPr="009F00B1">
              <w:rPr>
                <w:rStyle w:val="Hyperlink"/>
                <w:rFonts w:ascii="Calibri Light" w:eastAsia="SimSun" w:hAnsi="Calibri Light"/>
                <w:b/>
                <w:bCs/>
              </w:rPr>
              <w:t>Outcomes of consultation</w:t>
            </w:r>
            <w:r>
              <w:rPr>
                <w:webHidden/>
              </w:rPr>
              <w:tab/>
            </w:r>
            <w:r>
              <w:rPr>
                <w:webHidden/>
              </w:rPr>
              <w:fldChar w:fldCharType="begin"/>
            </w:r>
            <w:r>
              <w:rPr>
                <w:webHidden/>
              </w:rPr>
              <w:instrText xml:space="preserve"> PAGEREF _Toc27482962 \h </w:instrText>
            </w:r>
            <w:r>
              <w:rPr>
                <w:webHidden/>
              </w:rPr>
            </w:r>
            <w:r>
              <w:rPr>
                <w:webHidden/>
              </w:rPr>
              <w:fldChar w:fldCharType="separate"/>
            </w:r>
            <w:r>
              <w:rPr>
                <w:webHidden/>
              </w:rPr>
              <w:t>95</w:t>
            </w:r>
            <w:r>
              <w:rPr>
                <w:webHidden/>
              </w:rPr>
              <w:fldChar w:fldCharType="end"/>
            </w:r>
          </w:hyperlink>
        </w:p>
        <w:p w14:paraId="1E36E304" w14:textId="77777777" w:rsidR="00B82E19" w:rsidRDefault="00B82E19">
          <w:pPr>
            <w:pStyle w:val="TOC3"/>
            <w:rPr>
              <w:rFonts w:asciiTheme="minorHAnsi" w:eastAsiaTheme="minorEastAsia" w:hAnsiTheme="minorHAnsi" w:cstheme="minorBidi"/>
              <w:szCs w:val="22"/>
              <w:lang w:eastAsia="en-AU"/>
            </w:rPr>
          </w:pPr>
          <w:hyperlink w:anchor="_Toc27482963" w:history="1">
            <w:r w:rsidRPr="009F00B1">
              <w:rPr>
                <w:rStyle w:val="Hyperlink"/>
                <w:rFonts w:ascii="Calibri Light" w:eastAsia="SimSun" w:hAnsi="Calibri Light"/>
                <w:bCs/>
              </w:rPr>
              <w:t>General feedback</w:t>
            </w:r>
            <w:r>
              <w:rPr>
                <w:webHidden/>
              </w:rPr>
              <w:tab/>
            </w:r>
            <w:r>
              <w:rPr>
                <w:webHidden/>
              </w:rPr>
              <w:fldChar w:fldCharType="begin"/>
            </w:r>
            <w:r>
              <w:rPr>
                <w:webHidden/>
              </w:rPr>
              <w:instrText xml:space="preserve"> PAGEREF _Toc27482963 \h </w:instrText>
            </w:r>
            <w:r>
              <w:rPr>
                <w:webHidden/>
              </w:rPr>
            </w:r>
            <w:r>
              <w:rPr>
                <w:webHidden/>
              </w:rPr>
              <w:fldChar w:fldCharType="separate"/>
            </w:r>
            <w:r>
              <w:rPr>
                <w:webHidden/>
              </w:rPr>
              <w:t>95</w:t>
            </w:r>
            <w:r>
              <w:rPr>
                <w:webHidden/>
              </w:rPr>
              <w:fldChar w:fldCharType="end"/>
            </w:r>
          </w:hyperlink>
        </w:p>
        <w:p w14:paraId="3AAFDEAE" w14:textId="77777777" w:rsidR="00B82E19" w:rsidRDefault="00B82E19">
          <w:pPr>
            <w:pStyle w:val="TOC3"/>
            <w:rPr>
              <w:rFonts w:asciiTheme="minorHAnsi" w:eastAsiaTheme="minorEastAsia" w:hAnsiTheme="minorHAnsi" w:cstheme="minorBidi"/>
              <w:szCs w:val="22"/>
              <w:lang w:eastAsia="en-AU"/>
            </w:rPr>
          </w:pPr>
          <w:hyperlink w:anchor="_Toc27482964" w:history="1">
            <w:r w:rsidRPr="009F00B1">
              <w:rPr>
                <w:rStyle w:val="Hyperlink"/>
                <w:rFonts w:ascii="Calibri Light" w:eastAsia="SimSun" w:hAnsi="Calibri Light"/>
                <w:bCs/>
              </w:rPr>
              <w:t>Option 1 – Status quo</w:t>
            </w:r>
            <w:r>
              <w:rPr>
                <w:webHidden/>
              </w:rPr>
              <w:tab/>
            </w:r>
            <w:r>
              <w:rPr>
                <w:webHidden/>
              </w:rPr>
              <w:fldChar w:fldCharType="begin"/>
            </w:r>
            <w:r>
              <w:rPr>
                <w:webHidden/>
              </w:rPr>
              <w:instrText xml:space="preserve"> PAGEREF _Toc27482964 \h </w:instrText>
            </w:r>
            <w:r>
              <w:rPr>
                <w:webHidden/>
              </w:rPr>
            </w:r>
            <w:r>
              <w:rPr>
                <w:webHidden/>
              </w:rPr>
              <w:fldChar w:fldCharType="separate"/>
            </w:r>
            <w:r>
              <w:rPr>
                <w:webHidden/>
              </w:rPr>
              <w:t>96</w:t>
            </w:r>
            <w:r>
              <w:rPr>
                <w:webHidden/>
              </w:rPr>
              <w:fldChar w:fldCharType="end"/>
            </w:r>
          </w:hyperlink>
        </w:p>
        <w:p w14:paraId="07FE84F8" w14:textId="77777777" w:rsidR="00B82E19" w:rsidRDefault="00B82E19">
          <w:pPr>
            <w:pStyle w:val="TOC3"/>
            <w:rPr>
              <w:rFonts w:asciiTheme="minorHAnsi" w:eastAsiaTheme="minorEastAsia" w:hAnsiTheme="minorHAnsi" w:cstheme="minorBidi"/>
              <w:szCs w:val="22"/>
              <w:lang w:eastAsia="en-AU"/>
            </w:rPr>
          </w:pPr>
          <w:hyperlink w:anchor="_Toc27482965" w:history="1">
            <w:r w:rsidRPr="009F00B1">
              <w:rPr>
                <w:rStyle w:val="Hyperlink"/>
                <w:rFonts w:ascii="Calibri Light" w:eastAsia="SimSun" w:hAnsi="Calibri Light"/>
                <w:bCs/>
              </w:rPr>
              <w:t>Option 2 – First come, first served</w:t>
            </w:r>
            <w:r>
              <w:rPr>
                <w:webHidden/>
              </w:rPr>
              <w:tab/>
            </w:r>
            <w:r>
              <w:rPr>
                <w:webHidden/>
              </w:rPr>
              <w:fldChar w:fldCharType="begin"/>
            </w:r>
            <w:r>
              <w:rPr>
                <w:webHidden/>
              </w:rPr>
              <w:instrText xml:space="preserve"> PAGEREF _Toc27482965 \h </w:instrText>
            </w:r>
            <w:r>
              <w:rPr>
                <w:webHidden/>
              </w:rPr>
            </w:r>
            <w:r>
              <w:rPr>
                <w:webHidden/>
              </w:rPr>
              <w:fldChar w:fldCharType="separate"/>
            </w:r>
            <w:r>
              <w:rPr>
                <w:webHidden/>
              </w:rPr>
              <w:t>96</w:t>
            </w:r>
            <w:r>
              <w:rPr>
                <w:webHidden/>
              </w:rPr>
              <w:fldChar w:fldCharType="end"/>
            </w:r>
          </w:hyperlink>
        </w:p>
        <w:p w14:paraId="4A3FC3B5" w14:textId="77777777" w:rsidR="00B82E19" w:rsidRDefault="00B82E19">
          <w:pPr>
            <w:pStyle w:val="TOC3"/>
            <w:rPr>
              <w:rFonts w:asciiTheme="minorHAnsi" w:eastAsiaTheme="minorEastAsia" w:hAnsiTheme="minorHAnsi" w:cstheme="minorBidi"/>
              <w:szCs w:val="22"/>
              <w:lang w:eastAsia="en-AU"/>
            </w:rPr>
          </w:pPr>
          <w:hyperlink w:anchor="_Toc27482966" w:history="1">
            <w:r w:rsidRPr="009F00B1">
              <w:rPr>
                <w:rStyle w:val="Hyperlink"/>
                <w:rFonts w:ascii="Calibri Light" w:eastAsia="SimSun" w:hAnsi="Calibri Light"/>
                <w:bCs/>
              </w:rPr>
              <w:t>Option 3 – Tiered management system</w:t>
            </w:r>
            <w:r>
              <w:rPr>
                <w:webHidden/>
              </w:rPr>
              <w:tab/>
            </w:r>
            <w:r>
              <w:rPr>
                <w:webHidden/>
              </w:rPr>
              <w:fldChar w:fldCharType="begin"/>
            </w:r>
            <w:r>
              <w:rPr>
                <w:webHidden/>
              </w:rPr>
              <w:instrText xml:space="preserve"> PAGEREF _Toc27482966 \h </w:instrText>
            </w:r>
            <w:r>
              <w:rPr>
                <w:webHidden/>
              </w:rPr>
            </w:r>
            <w:r>
              <w:rPr>
                <w:webHidden/>
              </w:rPr>
              <w:fldChar w:fldCharType="separate"/>
            </w:r>
            <w:r>
              <w:rPr>
                <w:webHidden/>
              </w:rPr>
              <w:t>96</w:t>
            </w:r>
            <w:r>
              <w:rPr>
                <w:webHidden/>
              </w:rPr>
              <w:fldChar w:fldCharType="end"/>
            </w:r>
          </w:hyperlink>
        </w:p>
        <w:p w14:paraId="0B43D7A4" w14:textId="77777777" w:rsidR="00B82E19" w:rsidRDefault="00B82E19">
          <w:pPr>
            <w:pStyle w:val="TOC3"/>
            <w:rPr>
              <w:rFonts w:asciiTheme="minorHAnsi" w:eastAsiaTheme="minorEastAsia" w:hAnsiTheme="minorHAnsi" w:cstheme="minorBidi"/>
              <w:szCs w:val="22"/>
              <w:lang w:eastAsia="en-AU"/>
            </w:rPr>
          </w:pPr>
          <w:hyperlink w:anchor="_Toc27482967" w:history="1">
            <w:r w:rsidRPr="009F00B1">
              <w:rPr>
                <w:rStyle w:val="Hyperlink"/>
                <w:rFonts w:ascii="Calibri Light" w:eastAsia="SimSun" w:hAnsi="Calibri Light"/>
                <w:bCs/>
              </w:rPr>
              <w:t>Option 4 – Industry-tailored tiered management system</w:t>
            </w:r>
            <w:r>
              <w:rPr>
                <w:webHidden/>
              </w:rPr>
              <w:tab/>
            </w:r>
            <w:r>
              <w:rPr>
                <w:webHidden/>
              </w:rPr>
              <w:fldChar w:fldCharType="begin"/>
            </w:r>
            <w:r>
              <w:rPr>
                <w:webHidden/>
              </w:rPr>
              <w:instrText xml:space="preserve"> PAGEREF _Toc27482967 \h </w:instrText>
            </w:r>
            <w:r>
              <w:rPr>
                <w:webHidden/>
              </w:rPr>
            </w:r>
            <w:r>
              <w:rPr>
                <w:webHidden/>
              </w:rPr>
              <w:fldChar w:fldCharType="separate"/>
            </w:r>
            <w:r>
              <w:rPr>
                <w:webHidden/>
              </w:rPr>
              <w:t>99</w:t>
            </w:r>
            <w:r>
              <w:rPr>
                <w:webHidden/>
              </w:rPr>
              <w:fldChar w:fldCharType="end"/>
            </w:r>
          </w:hyperlink>
        </w:p>
        <w:p w14:paraId="44B45CBC" w14:textId="77777777" w:rsidR="00B82E19" w:rsidRDefault="00B82E19">
          <w:pPr>
            <w:pStyle w:val="TOC3"/>
            <w:rPr>
              <w:rFonts w:asciiTheme="minorHAnsi" w:eastAsiaTheme="minorEastAsia" w:hAnsiTheme="minorHAnsi" w:cstheme="minorBidi"/>
              <w:szCs w:val="22"/>
              <w:lang w:eastAsia="en-AU"/>
            </w:rPr>
          </w:pPr>
          <w:hyperlink w:anchor="_Toc27482968" w:history="1">
            <w:r w:rsidRPr="009F00B1">
              <w:rPr>
                <w:rStyle w:val="Hyperlink"/>
                <w:rFonts w:ascii="Calibri Light" w:eastAsia="SimSun" w:hAnsi="Calibri Light"/>
                <w:bCs/>
              </w:rPr>
              <w:t>Regulatory burden estimate</w:t>
            </w:r>
            <w:r>
              <w:rPr>
                <w:webHidden/>
              </w:rPr>
              <w:tab/>
            </w:r>
            <w:r>
              <w:rPr>
                <w:webHidden/>
              </w:rPr>
              <w:fldChar w:fldCharType="begin"/>
            </w:r>
            <w:r>
              <w:rPr>
                <w:webHidden/>
              </w:rPr>
              <w:instrText xml:space="preserve"> PAGEREF _Toc27482968 \h </w:instrText>
            </w:r>
            <w:r>
              <w:rPr>
                <w:webHidden/>
              </w:rPr>
            </w:r>
            <w:r>
              <w:rPr>
                <w:webHidden/>
              </w:rPr>
              <w:fldChar w:fldCharType="separate"/>
            </w:r>
            <w:r>
              <w:rPr>
                <w:webHidden/>
              </w:rPr>
              <w:t>102</w:t>
            </w:r>
            <w:r>
              <w:rPr>
                <w:webHidden/>
              </w:rPr>
              <w:fldChar w:fldCharType="end"/>
            </w:r>
          </w:hyperlink>
        </w:p>
        <w:p w14:paraId="56566DF0" w14:textId="77777777" w:rsidR="00B82E19" w:rsidRDefault="00B82E19">
          <w:pPr>
            <w:pStyle w:val="TOC1"/>
            <w:rPr>
              <w:rFonts w:asciiTheme="minorHAnsi" w:eastAsiaTheme="minorEastAsia" w:hAnsiTheme="minorHAnsi" w:cstheme="minorBidi"/>
              <w:b w:val="0"/>
              <w:szCs w:val="22"/>
              <w:lang w:eastAsia="en-AU"/>
            </w:rPr>
          </w:pPr>
          <w:hyperlink w:anchor="_Toc27482969" w:history="1">
            <w:r w:rsidRPr="009F00B1">
              <w:rPr>
                <w:rStyle w:val="Hyperlink"/>
                <w:rFonts w:ascii="Calibri Light" w:eastAsia="SimSun" w:hAnsi="Calibri Light"/>
              </w:rPr>
              <w:t>5.</w:t>
            </w:r>
            <w:r>
              <w:rPr>
                <w:rFonts w:asciiTheme="minorHAnsi" w:eastAsiaTheme="minorEastAsia" w:hAnsiTheme="minorHAnsi" w:cstheme="minorBidi"/>
                <w:b w:val="0"/>
                <w:szCs w:val="22"/>
                <w:lang w:eastAsia="en-AU"/>
              </w:rPr>
              <w:tab/>
            </w:r>
            <w:r w:rsidRPr="009F00B1">
              <w:rPr>
                <w:rStyle w:val="Hyperlink"/>
                <w:rFonts w:ascii="Calibri Light" w:eastAsia="SimSun" w:hAnsi="Calibri Light"/>
              </w:rPr>
              <w:t>Impacts</w:t>
            </w:r>
            <w:r>
              <w:rPr>
                <w:webHidden/>
              </w:rPr>
              <w:tab/>
            </w:r>
            <w:r>
              <w:rPr>
                <w:webHidden/>
              </w:rPr>
              <w:fldChar w:fldCharType="begin"/>
            </w:r>
            <w:r>
              <w:rPr>
                <w:webHidden/>
              </w:rPr>
              <w:instrText xml:space="preserve"> PAGEREF _Toc27482969 \h </w:instrText>
            </w:r>
            <w:r>
              <w:rPr>
                <w:webHidden/>
              </w:rPr>
            </w:r>
            <w:r>
              <w:rPr>
                <w:webHidden/>
              </w:rPr>
              <w:fldChar w:fldCharType="separate"/>
            </w:r>
            <w:r>
              <w:rPr>
                <w:webHidden/>
              </w:rPr>
              <w:t>103</w:t>
            </w:r>
            <w:r>
              <w:rPr>
                <w:webHidden/>
              </w:rPr>
              <w:fldChar w:fldCharType="end"/>
            </w:r>
          </w:hyperlink>
        </w:p>
        <w:p w14:paraId="4CC481A1" w14:textId="77777777" w:rsidR="00B82E19" w:rsidRDefault="00B82E19">
          <w:pPr>
            <w:pStyle w:val="TOC1"/>
            <w:rPr>
              <w:rFonts w:asciiTheme="minorHAnsi" w:eastAsiaTheme="minorEastAsia" w:hAnsiTheme="minorHAnsi" w:cstheme="minorBidi"/>
              <w:b w:val="0"/>
              <w:szCs w:val="22"/>
              <w:lang w:eastAsia="en-AU"/>
            </w:rPr>
          </w:pPr>
          <w:hyperlink w:anchor="_Toc27482970" w:history="1">
            <w:r w:rsidRPr="009F00B1">
              <w:rPr>
                <w:rStyle w:val="Hyperlink"/>
                <w:rFonts w:ascii="Calibri Light" w:eastAsia="SimSun" w:hAnsi="Calibri Light"/>
              </w:rPr>
              <w:t>6.</w:t>
            </w:r>
            <w:r>
              <w:rPr>
                <w:rFonts w:asciiTheme="minorHAnsi" w:eastAsiaTheme="minorEastAsia" w:hAnsiTheme="minorHAnsi" w:cstheme="minorBidi"/>
                <w:b w:val="0"/>
                <w:szCs w:val="22"/>
                <w:lang w:eastAsia="en-AU"/>
              </w:rPr>
              <w:tab/>
            </w:r>
            <w:r w:rsidRPr="009F00B1">
              <w:rPr>
                <w:rStyle w:val="Hyperlink"/>
                <w:rFonts w:ascii="Calibri Light" w:eastAsia="SimSun" w:hAnsi="Calibri Light"/>
              </w:rPr>
              <w:t>Recommendations</w:t>
            </w:r>
            <w:r>
              <w:rPr>
                <w:webHidden/>
              </w:rPr>
              <w:tab/>
            </w:r>
            <w:r>
              <w:rPr>
                <w:webHidden/>
              </w:rPr>
              <w:fldChar w:fldCharType="begin"/>
            </w:r>
            <w:r>
              <w:rPr>
                <w:webHidden/>
              </w:rPr>
              <w:instrText xml:space="preserve"> PAGEREF _Toc27482970 \h </w:instrText>
            </w:r>
            <w:r>
              <w:rPr>
                <w:webHidden/>
              </w:rPr>
            </w:r>
            <w:r>
              <w:rPr>
                <w:webHidden/>
              </w:rPr>
              <w:fldChar w:fldCharType="separate"/>
            </w:r>
            <w:r>
              <w:rPr>
                <w:webHidden/>
              </w:rPr>
              <w:t>112</w:t>
            </w:r>
            <w:r>
              <w:rPr>
                <w:webHidden/>
              </w:rPr>
              <w:fldChar w:fldCharType="end"/>
            </w:r>
          </w:hyperlink>
        </w:p>
        <w:p w14:paraId="29ADD77B" w14:textId="77777777" w:rsidR="00B82E19" w:rsidRDefault="00B82E19">
          <w:pPr>
            <w:pStyle w:val="TOC1"/>
            <w:rPr>
              <w:rFonts w:asciiTheme="minorHAnsi" w:eastAsiaTheme="minorEastAsia" w:hAnsiTheme="minorHAnsi" w:cstheme="minorBidi"/>
              <w:b w:val="0"/>
              <w:szCs w:val="22"/>
              <w:lang w:eastAsia="en-AU"/>
            </w:rPr>
          </w:pPr>
          <w:hyperlink w:anchor="_Toc27482971" w:history="1">
            <w:r w:rsidRPr="009F00B1">
              <w:rPr>
                <w:rStyle w:val="Hyperlink"/>
                <w:rFonts w:ascii="Calibri Light" w:eastAsia="SimSun" w:hAnsi="Calibri Light"/>
              </w:rPr>
              <w:t>7.</w:t>
            </w:r>
            <w:r>
              <w:rPr>
                <w:rFonts w:asciiTheme="minorHAnsi" w:eastAsiaTheme="minorEastAsia" w:hAnsiTheme="minorHAnsi" w:cstheme="minorBidi"/>
                <w:b w:val="0"/>
                <w:szCs w:val="22"/>
                <w:lang w:eastAsia="en-AU"/>
              </w:rPr>
              <w:tab/>
            </w:r>
            <w:r w:rsidRPr="009F00B1">
              <w:rPr>
                <w:rStyle w:val="Hyperlink"/>
                <w:rFonts w:ascii="Calibri Light" w:eastAsia="SimSun" w:hAnsi="Calibri Light"/>
              </w:rPr>
              <w:t>Implementation and evaluation</w:t>
            </w:r>
            <w:r>
              <w:rPr>
                <w:webHidden/>
              </w:rPr>
              <w:tab/>
            </w:r>
            <w:r>
              <w:rPr>
                <w:webHidden/>
              </w:rPr>
              <w:fldChar w:fldCharType="begin"/>
            </w:r>
            <w:r>
              <w:rPr>
                <w:webHidden/>
              </w:rPr>
              <w:instrText xml:space="preserve"> PAGEREF _Toc27482971 \h </w:instrText>
            </w:r>
            <w:r>
              <w:rPr>
                <w:webHidden/>
              </w:rPr>
            </w:r>
            <w:r>
              <w:rPr>
                <w:webHidden/>
              </w:rPr>
              <w:fldChar w:fldCharType="separate"/>
            </w:r>
            <w:r>
              <w:rPr>
                <w:webHidden/>
              </w:rPr>
              <w:t>113</w:t>
            </w:r>
            <w:r>
              <w:rPr>
                <w:webHidden/>
              </w:rPr>
              <w:fldChar w:fldCharType="end"/>
            </w:r>
          </w:hyperlink>
        </w:p>
        <w:p w14:paraId="0D3042EF" w14:textId="77777777" w:rsidR="00B82E19" w:rsidRDefault="00B82E19">
          <w:pPr>
            <w:pStyle w:val="TOC1"/>
            <w:rPr>
              <w:rFonts w:asciiTheme="minorHAnsi" w:eastAsiaTheme="minorEastAsia" w:hAnsiTheme="minorHAnsi" w:cstheme="minorBidi"/>
              <w:b w:val="0"/>
              <w:szCs w:val="22"/>
              <w:lang w:eastAsia="en-AU"/>
            </w:rPr>
          </w:pPr>
          <w:hyperlink w:anchor="_Toc27482972" w:history="1">
            <w:r w:rsidRPr="009F00B1">
              <w:rPr>
                <w:rStyle w:val="Hyperlink"/>
                <w:rFonts w:ascii="Calibri Light" w:eastAsia="SimSun" w:hAnsi="Calibri Light"/>
              </w:rPr>
              <w:t>Appendix A - Consultation process</w:t>
            </w:r>
            <w:r>
              <w:rPr>
                <w:webHidden/>
              </w:rPr>
              <w:tab/>
            </w:r>
            <w:r>
              <w:rPr>
                <w:webHidden/>
              </w:rPr>
              <w:fldChar w:fldCharType="begin"/>
            </w:r>
            <w:r>
              <w:rPr>
                <w:webHidden/>
              </w:rPr>
              <w:instrText xml:space="preserve"> PAGEREF _Toc27482972 \h </w:instrText>
            </w:r>
            <w:r>
              <w:rPr>
                <w:webHidden/>
              </w:rPr>
            </w:r>
            <w:r>
              <w:rPr>
                <w:webHidden/>
              </w:rPr>
              <w:fldChar w:fldCharType="separate"/>
            </w:r>
            <w:r>
              <w:rPr>
                <w:webHidden/>
              </w:rPr>
              <w:t>115</w:t>
            </w:r>
            <w:r>
              <w:rPr>
                <w:webHidden/>
              </w:rPr>
              <w:fldChar w:fldCharType="end"/>
            </w:r>
          </w:hyperlink>
        </w:p>
        <w:p w14:paraId="0F84759D" w14:textId="77777777" w:rsidR="00B82E19" w:rsidRDefault="00B82E19">
          <w:pPr>
            <w:pStyle w:val="TOC1"/>
            <w:rPr>
              <w:rFonts w:asciiTheme="minorHAnsi" w:eastAsiaTheme="minorEastAsia" w:hAnsiTheme="minorHAnsi" w:cstheme="minorBidi"/>
              <w:b w:val="0"/>
              <w:szCs w:val="22"/>
              <w:lang w:eastAsia="en-AU"/>
            </w:rPr>
          </w:pPr>
          <w:hyperlink w:anchor="_Toc27482973" w:history="1">
            <w:r w:rsidRPr="009F00B1">
              <w:rPr>
                <w:rStyle w:val="Hyperlink"/>
                <w:rFonts w:ascii="Calibri Light" w:eastAsia="SimSun" w:hAnsi="Calibri Light"/>
              </w:rPr>
              <w:t>Appendix B. Regulatory Burden Measure calculations</w:t>
            </w:r>
            <w:r>
              <w:rPr>
                <w:webHidden/>
              </w:rPr>
              <w:tab/>
            </w:r>
            <w:r>
              <w:rPr>
                <w:webHidden/>
              </w:rPr>
              <w:fldChar w:fldCharType="begin"/>
            </w:r>
            <w:r>
              <w:rPr>
                <w:webHidden/>
              </w:rPr>
              <w:instrText xml:space="preserve"> PAGEREF _Toc27482973 \h </w:instrText>
            </w:r>
            <w:r>
              <w:rPr>
                <w:webHidden/>
              </w:rPr>
            </w:r>
            <w:r>
              <w:rPr>
                <w:webHidden/>
              </w:rPr>
              <w:fldChar w:fldCharType="separate"/>
            </w:r>
            <w:r>
              <w:rPr>
                <w:webHidden/>
              </w:rPr>
              <w:t>120</w:t>
            </w:r>
            <w:r>
              <w:rPr>
                <w:webHidden/>
              </w:rPr>
              <w:fldChar w:fldCharType="end"/>
            </w:r>
          </w:hyperlink>
        </w:p>
        <w:p w14:paraId="67A0B0A5" w14:textId="77777777" w:rsidR="00B82E19" w:rsidRDefault="00B82E19">
          <w:pPr>
            <w:pStyle w:val="TOC1"/>
            <w:rPr>
              <w:rFonts w:asciiTheme="minorHAnsi" w:eastAsiaTheme="minorEastAsia" w:hAnsiTheme="minorHAnsi" w:cstheme="minorBidi"/>
              <w:b w:val="0"/>
              <w:szCs w:val="22"/>
              <w:lang w:eastAsia="en-AU"/>
            </w:rPr>
          </w:pPr>
          <w:hyperlink w:anchor="_Toc27482974" w:history="1">
            <w:r w:rsidRPr="009F00B1">
              <w:rPr>
                <w:rStyle w:val="Hyperlink"/>
                <w:rFonts w:ascii="Calibri Light" w:eastAsia="SimSun" w:hAnsi="Calibri Light"/>
              </w:rPr>
              <w:t>Appendix C. Summary of tariff rate quota Order rules</w:t>
            </w:r>
            <w:r>
              <w:rPr>
                <w:webHidden/>
              </w:rPr>
              <w:tab/>
            </w:r>
            <w:r>
              <w:rPr>
                <w:webHidden/>
              </w:rPr>
              <w:fldChar w:fldCharType="begin"/>
            </w:r>
            <w:r>
              <w:rPr>
                <w:webHidden/>
              </w:rPr>
              <w:instrText xml:space="preserve"> PAGEREF _Toc27482974 \h </w:instrText>
            </w:r>
            <w:r>
              <w:rPr>
                <w:webHidden/>
              </w:rPr>
            </w:r>
            <w:r>
              <w:rPr>
                <w:webHidden/>
              </w:rPr>
              <w:fldChar w:fldCharType="separate"/>
            </w:r>
            <w:r>
              <w:rPr>
                <w:webHidden/>
              </w:rPr>
              <w:t>130</w:t>
            </w:r>
            <w:r>
              <w:rPr>
                <w:webHidden/>
              </w:rPr>
              <w:fldChar w:fldCharType="end"/>
            </w:r>
          </w:hyperlink>
        </w:p>
        <w:p w14:paraId="1AA59504" w14:textId="77777777" w:rsidR="00B82E19" w:rsidRDefault="00B82E19">
          <w:pPr>
            <w:pStyle w:val="TOC1"/>
            <w:rPr>
              <w:rFonts w:asciiTheme="minorHAnsi" w:eastAsiaTheme="minorEastAsia" w:hAnsiTheme="minorHAnsi" w:cstheme="minorBidi"/>
              <w:b w:val="0"/>
              <w:szCs w:val="22"/>
              <w:lang w:eastAsia="en-AU"/>
            </w:rPr>
          </w:pPr>
          <w:hyperlink w:anchor="_Toc27482975" w:history="1">
            <w:r w:rsidRPr="009F00B1">
              <w:rPr>
                <w:rStyle w:val="Hyperlink"/>
                <w:rFonts w:ascii="Calibri Light" w:eastAsia="SimSun" w:hAnsi="Calibri Light"/>
              </w:rPr>
              <w:t>Appendix D. Stages of the process</w:t>
            </w:r>
            <w:r>
              <w:rPr>
                <w:webHidden/>
              </w:rPr>
              <w:tab/>
            </w:r>
            <w:r>
              <w:rPr>
                <w:webHidden/>
              </w:rPr>
              <w:fldChar w:fldCharType="begin"/>
            </w:r>
            <w:r>
              <w:rPr>
                <w:webHidden/>
              </w:rPr>
              <w:instrText xml:space="preserve"> PAGEREF _Toc27482975 \h </w:instrText>
            </w:r>
            <w:r>
              <w:rPr>
                <w:webHidden/>
              </w:rPr>
            </w:r>
            <w:r>
              <w:rPr>
                <w:webHidden/>
              </w:rPr>
              <w:fldChar w:fldCharType="separate"/>
            </w:r>
            <w:r>
              <w:rPr>
                <w:webHidden/>
              </w:rPr>
              <w:t>136</w:t>
            </w:r>
            <w:r>
              <w:rPr>
                <w:webHidden/>
              </w:rPr>
              <w:fldChar w:fldCharType="end"/>
            </w:r>
          </w:hyperlink>
        </w:p>
        <w:p w14:paraId="5D528395" w14:textId="77777777" w:rsidR="00B82E19" w:rsidRDefault="00B82E19">
          <w:pPr>
            <w:pStyle w:val="TOC1"/>
            <w:rPr>
              <w:rFonts w:asciiTheme="minorHAnsi" w:eastAsiaTheme="minorEastAsia" w:hAnsiTheme="minorHAnsi" w:cstheme="minorBidi"/>
              <w:b w:val="0"/>
              <w:szCs w:val="22"/>
              <w:lang w:eastAsia="en-AU"/>
            </w:rPr>
          </w:pPr>
          <w:hyperlink w:anchor="_Toc27482976" w:history="1">
            <w:r w:rsidRPr="009F00B1">
              <w:rPr>
                <w:rStyle w:val="Hyperlink"/>
                <w:rFonts w:ascii="Calibri Light" w:eastAsia="SimSun" w:hAnsi="Calibri Light"/>
              </w:rPr>
              <w:t>Appendix E. Option 4 proposal papers</w:t>
            </w:r>
            <w:r>
              <w:rPr>
                <w:webHidden/>
              </w:rPr>
              <w:tab/>
            </w:r>
            <w:r>
              <w:rPr>
                <w:webHidden/>
              </w:rPr>
              <w:fldChar w:fldCharType="begin"/>
            </w:r>
            <w:r>
              <w:rPr>
                <w:webHidden/>
              </w:rPr>
              <w:instrText xml:space="preserve"> PAGEREF _Toc27482976 \h </w:instrText>
            </w:r>
            <w:r>
              <w:rPr>
                <w:webHidden/>
              </w:rPr>
            </w:r>
            <w:r>
              <w:rPr>
                <w:webHidden/>
              </w:rPr>
              <w:fldChar w:fldCharType="separate"/>
            </w:r>
            <w:r>
              <w:rPr>
                <w:webHidden/>
              </w:rPr>
              <w:t>138</w:t>
            </w:r>
            <w:r>
              <w:rPr>
                <w:webHidden/>
              </w:rPr>
              <w:fldChar w:fldCharType="end"/>
            </w:r>
          </w:hyperlink>
        </w:p>
        <w:p w14:paraId="7BEF5AE2" w14:textId="77777777" w:rsidR="00EC4659" w:rsidRPr="00EC4659" w:rsidRDefault="00EC4659" w:rsidP="00EC4659">
          <w:pPr>
            <w:tabs>
              <w:tab w:val="right" w:leader="dot" w:pos="9016"/>
            </w:tabs>
            <w:spacing w:after="100" w:line="259" w:lineRule="auto"/>
            <w:rPr>
              <w:rFonts w:ascii="Calibri" w:hAnsi="Calibri"/>
              <w:szCs w:val="22"/>
            </w:rPr>
          </w:pPr>
          <w:r w:rsidRPr="00EC4659">
            <w:rPr>
              <w:rFonts w:ascii="Calibri" w:hAnsi="Calibri"/>
              <w:b/>
              <w:bCs/>
              <w:noProof/>
              <w:szCs w:val="22"/>
            </w:rPr>
            <w:fldChar w:fldCharType="end"/>
          </w:r>
        </w:p>
      </w:sdtContent>
    </w:sdt>
    <w:p w14:paraId="287E866A" w14:textId="77777777" w:rsidR="00EC4659" w:rsidRPr="00EC4659" w:rsidRDefault="00EC4659" w:rsidP="00EC4659">
      <w:pPr>
        <w:spacing w:after="160" w:line="259" w:lineRule="auto"/>
        <w:rPr>
          <w:rFonts w:ascii="Calibri Light" w:eastAsia="SimSun" w:hAnsi="Calibri Light"/>
          <w:b/>
          <w:color w:val="2E74B5"/>
          <w:sz w:val="32"/>
          <w:szCs w:val="32"/>
        </w:rPr>
      </w:pPr>
    </w:p>
    <w:p w14:paraId="18F76328" w14:textId="77777777" w:rsidR="00EC4659" w:rsidRPr="00EC4659" w:rsidRDefault="00EC4659" w:rsidP="00EC4659">
      <w:pPr>
        <w:spacing w:after="160" w:line="259" w:lineRule="auto"/>
        <w:rPr>
          <w:rFonts w:ascii="Calibri" w:hAnsi="Calibri"/>
          <w:szCs w:val="22"/>
        </w:rPr>
      </w:pPr>
    </w:p>
    <w:p w14:paraId="65A3B66B" w14:textId="77777777" w:rsidR="00EC4659" w:rsidRPr="00EC4659" w:rsidRDefault="00EC4659" w:rsidP="00EC4659">
      <w:pPr>
        <w:spacing w:after="160" w:line="259" w:lineRule="auto"/>
        <w:rPr>
          <w:rFonts w:ascii="Calibri" w:hAnsi="Calibri"/>
          <w:szCs w:val="22"/>
        </w:rPr>
      </w:pPr>
    </w:p>
    <w:p w14:paraId="549A0C40" w14:textId="77777777" w:rsidR="00EC4659" w:rsidRPr="00EC4659" w:rsidRDefault="00EC4659" w:rsidP="00EC4659">
      <w:pPr>
        <w:spacing w:after="160" w:line="259" w:lineRule="auto"/>
        <w:rPr>
          <w:rFonts w:ascii="Calibri" w:hAnsi="Calibri"/>
          <w:szCs w:val="22"/>
        </w:rPr>
      </w:pPr>
    </w:p>
    <w:p w14:paraId="34D4C3E0" w14:textId="77777777" w:rsidR="00EC4659" w:rsidRPr="00EC4659" w:rsidRDefault="00EC4659" w:rsidP="00EC4659">
      <w:pPr>
        <w:spacing w:after="160" w:line="259" w:lineRule="auto"/>
        <w:rPr>
          <w:rFonts w:ascii="Calibri" w:hAnsi="Calibri"/>
          <w:szCs w:val="22"/>
        </w:rPr>
      </w:pPr>
    </w:p>
    <w:p w14:paraId="616B2CEF" w14:textId="77777777" w:rsidR="00EC4659" w:rsidRPr="00EC4659" w:rsidRDefault="00EC4659" w:rsidP="00EC4659">
      <w:pPr>
        <w:spacing w:after="160" w:line="259" w:lineRule="auto"/>
        <w:rPr>
          <w:rFonts w:ascii="Calibri" w:hAnsi="Calibri"/>
          <w:szCs w:val="22"/>
        </w:rPr>
      </w:pPr>
    </w:p>
    <w:p w14:paraId="67A7AE61" w14:textId="77777777" w:rsidR="00EC4659" w:rsidRPr="00EC4659" w:rsidRDefault="00EC4659" w:rsidP="00EC4659">
      <w:pPr>
        <w:spacing w:after="160" w:line="259" w:lineRule="auto"/>
        <w:rPr>
          <w:rFonts w:ascii="Calibri" w:hAnsi="Calibri"/>
          <w:szCs w:val="22"/>
        </w:rPr>
      </w:pPr>
    </w:p>
    <w:p w14:paraId="26D9AC1C" w14:textId="77777777" w:rsidR="00EC4659" w:rsidRPr="00EC4659" w:rsidRDefault="00EC4659" w:rsidP="00EC4659">
      <w:pPr>
        <w:spacing w:after="160" w:line="259" w:lineRule="auto"/>
        <w:rPr>
          <w:rFonts w:ascii="Calibri" w:hAnsi="Calibri"/>
          <w:szCs w:val="22"/>
        </w:rPr>
      </w:pPr>
    </w:p>
    <w:p w14:paraId="07AC8518" w14:textId="77777777" w:rsidR="00EC4659" w:rsidRPr="00EC4659" w:rsidRDefault="00EC4659" w:rsidP="00EC4659">
      <w:pPr>
        <w:spacing w:after="160" w:line="259" w:lineRule="auto"/>
        <w:rPr>
          <w:rFonts w:ascii="Calibri" w:hAnsi="Calibri"/>
          <w:szCs w:val="22"/>
        </w:rPr>
      </w:pPr>
    </w:p>
    <w:p w14:paraId="007A91CF" w14:textId="77777777" w:rsidR="00EC4659" w:rsidRPr="00EC4659" w:rsidRDefault="00EC4659" w:rsidP="00EC4659">
      <w:pPr>
        <w:spacing w:after="160" w:line="259" w:lineRule="auto"/>
        <w:rPr>
          <w:rFonts w:ascii="Calibri" w:hAnsi="Calibri"/>
          <w:szCs w:val="22"/>
        </w:rPr>
      </w:pPr>
    </w:p>
    <w:p w14:paraId="79386C7E" w14:textId="77777777" w:rsidR="00EC4659" w:rsidRPr="00EC4659" w:rsidRDefault="00EC4659" w:rsidP="00EC4659">
      <w:pPr>
        <w:spacing w:after="160" w:line="259" w:lineRule="auto"/>
        <w:rPr>
          <w:rFonts w:ascii="Calibri" w:hAnsi="Calibri"/>
          <w:szCs w:val="22"/>
        </w:rPr>
      </w:pPr>
    </w:p>
    <w:p w14:paraId="04A703C2" w14:textId="77777777" w:rsidR="00EC4659" w:rsidRPr="00EC4659" w:rsidRDefault="00EC4659" w:rsidP="00EC4659">
      <w:pPr>
        <w:spacing w:after="160" w:line="259" w:lineRule="auto"/>
        <w:rPr>
          <w:rFonts w:ascii="Calibri" w:hAnsi="Calibri"/>
          <w:szCs w:val="22"/>
        </w:rPr>
      </w:pPr>
    </w:p>
    <w:p w14:paraId="1647CA5F" w14:textId="77777777" w:rsidR="00EC4659" w:rsidRPr="00EC4659" w:rsidRDefault="00EC4659" w:rsidP="00EC4659">
      <w:pPr>
        <w:spacing w:after="160" w:line="259" w:lineRule="auto"/>
        <w:rPr>
          <w:rFonts w:ascii="Calibri" w:hAnsi="Calibri"/>
          <w:szCs w:val="22"/>
        </w:rPr>
      </w:pPr>
    </w:p>
    <w:p w14:paraId="5B2B6E62" w14:textId="77777777" w:rsidR="00EC4659" w:rsidRPr="00EC4659" w:rsidRDefault="00EC4659" w:rsidP="00EC4659">
      <w:pPr>
        <w:spacing w:after="160" w:line="259" w:lineRule="auto"/>
        <w:rPr>
          <w:rFonts w:ascii="Calibri" w:hAnsi="Calibri"/>
          <w:szCs w:val="22"/>
        </w:rPr>
      </w:pPr>
    </w:p>
    <w:p w14:paraId="2C369792" w14:textId="77777777" w:rsidR="00EC4659" w:rsidRPr="00EC4659" w:rsidRDefault="00EC4659" w:rsidP="00EC4659">
      <w:pPr>
        <w:spacing w:after="160" w:line="259" w:lineRule="auto"/>
        <w:rPr>
          <w:rFonts w:ascii="Calibri" w:hAnsi="Calibri"/>
          <w:szCs w:val="22"/>
        </w:rPr>
      </w:pPr>
    </w:p>
    <w:p w14:paraId="45617A14" w14:textId="77777777" w:rsidR="00EC4659" w:rsidRPr="00EC4659" w:rsidRDefault="00EC4659" w:rsidP="00EC4659">
      <w:pPr>
        <w:spacing w:after="160" w:line="259" w:lineRule="auto"/>
        <w:rPr>
          <w:rFonts w:ascii="Calibri" w:hAnsi="Calibri"/>
          <w:szCs w:val="22"/>
        </w:rPr>
      </w:pPr>
    </w:p>
    <w:p w14:paraId="47953A64" w14:textId="77777777" w:rsidR="00EC4659" w:rsidRPr="00EC4659" w:rsidRDefault="00EC4659" w:rsidP="00EC4659">
      <w:pPr>
        <w:spacing w:after="160" w:line="259" w:lineRule="auto"/>
        <w:rPr>
          <w:rFonts w:ascii="Calibri" w:hAnsi="Calibri"/>
          <w:szCs w:val="22"/>
        </w:rPr>
      </w:pPr>
    </w:p>
    <w:p w14:paraId="42EDE219" w14:textId="77777777" w:rsidR="00EC4659" w:rsidRPr="00EC4659" w:rsidRDefault="00EC4659" w:rsidP="00EC4659">
      <w:pPr>
        <w:spacing w:after="160" w:line="259" w:lineRule="auto"/>
        <w:rPr>
          <w:rFonts w:ascii="Calibri" w:hAnsi="Calibri"/>
          <w:szCs w:val="22"/>
        </w:rPr>
      </w:pPr>
    </w:p>
    <w:p w14:paraId="3B07B5C5" w14:textId="77777777" w:rsidR="00EC4659" w:rsidRPr="00EC4659" w:rsidRDefault="00EC4659" w:rsidP="00EC4659">
      <w:pPr>
        <w:spacing w:after="160" w:line="259" w:lineRule="auto"/>
        <w:rPr>
          <w:rFonts w:ascii="Calibri" w:hAnsi="Calibri"/>
          <w:szCs w:val="22"/>
        </w:rPr>
      </w:pPr>
    </w:p>
    <w:p w14:paraId="31D5147E" w14:textId="77777777" w:rsidR="00EC4659" w:rsidRPr="00EC4659" w:rsidRDefault="00EC4659" w:rsidP="00EC4659">
      <w:pPr>
        <w:spacing w:after="160" w:line="259" w:lineRule="auto"/>
        <w:rPr>
          <w:rFonts w:ascii="Calibri" w:hAnsi="Calibri"/>
          <w:szCs w:val="22"/>
        </w:rPr>
      </w:pPr>
    </w:p>
    <w:p w14:paraId="567FFC04" w14:textId="77777777" w:rsidR="00EC4659" w:rsidRPr="00EC4659" w:rsidRDefault="00EC4659" w:rsidP="00EC4659">
      <w:pPr>
        <w:spacing w:after="160" w:line="259" w:lineRule="auto"/>
        <w:rPr>
          <w:rFonts w:ascii="Calibri" w:hAnsi="Calibri"/>
          <w:szCs w:val="22"/>
        </w:rPr>
      </w:pPr>
    </w:p>
    <w:p w14:paraId="06F401EB" w14:textId="77777777" w:rsidR="00EC4659" w:rsidRPr="00EC4659" w:rsidRDefault="00EC4659" w:rsidP="00EC4659">
      <w:pPr>
        <w:spacing w:after="160" w:line="259" w:lineRule="auto"/>
        <w:rPr>
          <w:rFonts w:ascii="Calibri" w:hAnsi="Calibri"/>
          <w:szCs w:val="22"/>
        </w:rPr>
      </w:pPr>
    </w:p>
    <w:p w14:paraId="59FA4D64"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sectPr w:rsidR="00EC4659" w:rsidRPr="00EC4659" w:rsidSect="00EC4659">
          <w:pgSz w:w="11906" w:h="16838"/>
          <w:pgMar w:top="1440" w:right="1440" w:bottom="1135" w:left="1440" w:header="708" w:footer="708" w:gutter="0"/>
          <w:cols w:space="708"/>
          <w:docGrid w:linePitch="360"/>
        </w:sectPr>
      </w:pPr>
    </w:p>
    <w:p w14:paraId="7277D7EE"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pPr>
      <w:bookmarkStart w:id="146" w:name="_Toc27482938"/>
      <w:r w:rsidRPr="00EC4659">
        <w:rPr>
          <w:rFonts w:ascii="Calibri Light" w:eastAsia="SimSun" w:hAnsi="Calibri Light"/>
          <w:color w:val="2E74B5"/>
          <w:sz w:val="32"/>
          <w:szCs w:val="32"/>
        </w:rPr>
        <w:lastRenderedPageBreak/>
        <w:t>Glossary</w:t>
      </w:r>
      <w:bookmarkEnd w:id="146"/>
    </w:p>
    <w:tbl>
      <w:tblPr>
        <w:tblStyle w:val="TableGrid1"/>
        <w:tblW w:w="0" w:type="auto"/>
        <w:tblLook w:val="04A0" w:firstRow="1" w:lastRow="0" w:firstColumn="1" w:lastColumn="0" w:noHBand="0" w:noVBand="1"/>
      </w:tblPr>
      <w:tblGrid>
        <w:gridCol w:w="1696"/>
        <w:gridCol w:w="7320"/>
      </w:tblGrid>
      <w:tr w:rsidR="00EC4659" w:rsidRPr="00EC4659" w14:paraId="72B2671B" w14:textId="77777777" w:rsidTr="00EC4659">
        <w:tc>
          <w:tcPr>
            <w:tcW w:w="1696" w:type="dxa"/>
            <w:vAlign w:val="center"/>
          </w:tcPr>
          <w:p w14:paraId="7AA3C729"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80:20 allocation rule</w:t>
            </w:r>
          </w:p>
        </w:tc>
        <w:tc>
          <w:tcPr>
            <w:tcW w:w="7320" w:type="dxa"/>
          </w:tcPr>
          <w:p w14:paraId="781C59EA"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 xml:space="preserve">A ratio used in the EU </w:t>
            </w:r>
            <w:proofErr w:type="spellStart"/>
            <w:r w:rsidRPr="00EC4659">
              <w:rPr>
                <w:rFonts w:asciiTheme="minorHAnsi" w:eastAsiaTheme="minorHAnsi" w:hAnsiTheme="minorHAnsi" w:cstheme="minorBidi"/>
              </w:rPr>
              <w:t>sheepmeat</w:t>
            </w:r>
            <w:proofErr w:type="spellEnd"/>
            <w:r w:rsidRPr="00EC4659">
              <w:rPr>
                <w:rFonts w:asciiTheme="minorHAnsi" w:eastAsiaTheme="minorHAnsi" w:hAnsiTheme="minorHAnsi" w:cstheme="minorBidi"/>
              </w:rPr>
              <w:t xml:space="preserve"> and </w:t>
            </w:r>
            <w:proofErr w:type="spellStart"/>
            <w:r w:rsidRPr="00EC4659">
              <w:rPr>
                <w:rFonts w:asciiTheme="minorHAnsi" w:eastAsiaTheme="minorHAnsi" w:hAnsiTheme="minorHAnsi" w:cstheme="minorBidi"/>
              </w:rPr>
              <w:t>goatmeat</w:t>
            </w:r>
            <w:proofErr w:type="spellEnd"/>
            <w:r w:rsidRPr="00EC4659">
              <w:rPr>
                <w:rFonts w:asciiTheme="minorHAnsi" w:eastAsiaTheme="minorHAnsi" w:hAnsiTheme="minorHAnsi" w:cstheme="minorBidi"/>
              </w:rPr>
              <w:t xml:space="preserve"> quota to calculate allocations.  Exporters’ in-quota exports will contribute 80 per cent of their allocation, and exporters’ exports of eligible meat from EU-accredited establishments to any foreign country will contribute 20 per cent.</w:t>
            </w:r>
          </w:p>
        </w:tc>
      </w:tr>
      <w:tr w:rsidR="00EC4659" w:rsidRPr="00EC4659" w14:paraId="4FE276D9" w14:textId="77777777" w:rsidTr="00EC4659">
        <w:tc>
          <w:tcPr>
            <w:tcW w:w="1696" w:type="dxa"/>
            <w:vAlign w:val="center"/>
          </w:tcPr>
          <w:p w14:paraId="412A75D0"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AHECC</w:t>
            </w:r>
          </w:p>
        </w:tc>
        <w:tc>
          <w:tcPr>
            <w:tcW w:w="7320" w:type="dxa"/>
          </w:tcPr>
          <w:p w14:paraId="14F681E9"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The Australian Harmonized Export Commodity Classification is used for the classification of goods when providing export declarations to the Australian Customs Service.</w:t>
            </w:r>
          </w:p>
        </w:tc>
      </w:tr>
      <w:tr w:rsidR="00EC4659" w:rsidRPr="00EC4659" w14:paraId="0858FFA7" w14:textId="77777777" w:rsidTr="00EC4659">
        <w:tc>
          <w:tcPr>
            <w:tcW w:w="1696" w:type="dxa"/>
            <w:vAlign w:val="center"/>
          </w:tcPr>
          <w:p w14:paraId="3DF64D4E"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AUSFTA</w:t>
            </w:r>
          </w:p>
        </w:tc>
        <w:tc>
          <w:tcPr>
            <w:tcW w:w="7320" w:type="dxa"/>
          </w:tcPr>
          <w:p w14:paraId="2D008773"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The Australia-United States Free Trade Agreement which includes the provisions for beef and some dairy tariff rate quotas.</w:t>
            </w:r>
          </w:p>
        </w:tc>
      </w:tr>
      <w:tr w:rsidR="00EC4659" w:rsidRPr="00EC4659" w14:paraId="40767578" w14:textId="77777777" w:rsidTr="00EC4659">
        <w:tc>
          <w:tcPr>
            <w:tcW w:w="1696" w:type="dxa"/>
            <w:vAlign w:val="center"/>
          </w:tcPr>
          <w:p w14:paraId="595457F9"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DAISY</w:t>
            </w:r>
          </w:p>
        </w:tc>
        <w:tc>
          <w:tcPr>
            <w:tcW w:w="7320" w:type="dxa"/>
          </w:tcPr>
          <w:p w14:paraId="13BFCF0A"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The statistics and report administration IT system used by the department to manage the administration of dairy tariff rate quotas.</w:t>
            </w:r>
          </w:p>
        </w:tc>
      </w:tr>
      <w:tr w:rsidR="00EC4659" w:rsidRPr="00EC4659" w14:paraId="357353B7" w14:textId="77777777" w:rsidTr="00EC4659">
        <w:tc>
          <w:tcPr>
            <w:tcW w:w="1696" w:type="dxa"/>
            <w:vAlign w:val="center"/>
          </w:tcPr>
          <w:p w14:paraId="1B855756"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FCFS</w:t>
            </w:r>
          </w:p>
        </w:tc>
        <w:tc>
          <w:tcPr>
            <w:tcW w:w="7320" w:type="dxa"/>
          </w:tcPr>
          <w:p w14:paraId="65743071"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‘First come, first served’ is the process to access quota whereby quota is assigned only where a valid consignment application has been made and is ready to have the necessary certification issued.</w:t>
            </w:r>
          </w:p>
        </w:tc>
      </w:tr>
      <w:tr w:rsidR="00EC4659" w:rsidRPr="00EC4659" w14:paraId="1683A0A6" w14:textId="77777777" w:rsidTr="00EC4659">
        <w:tc>
          <w:tcPr>
            <w:tcW w:w="1696" w:type="dxa"/>
            <w:vAlign w:val="center"/>
          </w:tcPr>
          <w:p w14:paraId="245F6634" w14:textId="77777777" w:rsidR="00EC4659" w:rsidRPr="00EC4659" w:rsidRDefault="00EC4659" w:rsidP="00EC4659">
            <w:pPr>
              <w:spacing w:line="240" w:lineRule="auto"/>
              <w:jc w:val="center"/>
              <w:rPr>
                <w:rFonts w:asciiTheme="minorHAnsi" w:eastAsiaTheme="minorHAnsi" w:hAnsiTheme="minorHAnsi" w:cstheme="minorBidi"/>
              </w:rPr>
            </w:pPr>
            <w:proofErr w:type="spellStart"/>
            <w:r w:rsidRPr="00EC4659">
              <w:rPr>
                <w:rFonts w:asciiTheme="minorHAnsi" w:eastAsiaTheme="minorHAnsi" w:hAnsiTheme="minorHAnsi" w:cstheme="minorBidi"/>
              </w:rPr>
              <w:t>Erga</w:t>
            </w:r>
            <w:proofErr w:type="spellEnd"/>
            <w:r w:rsidRPr="00EC4659">
              <w:rPr>
                <w:rFonts w:asciiTheme="minorHAnsi" w:eastAsiaTheme="minorHAnsi" w:hAnsiTheme="minorHAnsi" w:cstheme="minorBidi"/>
              </w:rPr>
              <w:t xml:space="preserve"> </w:t>
            </w:r>
            <w:proofErr w:type="spellStart"/>
            <w:r w:rsidRPr="00EC4659">
              <w:rPr>
                <w:rFonts w:asciiTheme="minorHAnsi" w:eastAsiaTheme="minorHAnsi" w:hAnsiTheme="minorHAnsi" w:cstheme="minorBidi"/>
              </w:rPr>
              <w:t>omnes</w:t>
            </w:r>
            <w:proofErr w:type="spellEnd"/>
          </w:p>
        </w:tc>
        <w:tc>
          <w:tcPr>
            <w:tcW w:w="7320" w:type="dxa"/>
          </w:tcPr>
          <w:p w14:paraId="7AE0A0BE"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 xml:space="preserve">Latin phrase that, in legal terminology, means a right or obligation that is owed “toward all”.  In this document it is a reference to the European Union </w:t>
            </w:r>
            <w:proofErr w:type="spellStart"/>
            <w:r w:rsidRPr="00EC4659">
              <w:rPr>
                <w:rFonts w:asciiTheme="minorHAnsi" w:eastAsiaTheme="minorHAnsi" w:hAnsiTheme="minorHAnsi" w:cstheme="minorBidi"/>
              </w:rPr>
              <w:t>sheepmeat</w:t>
            </w:r>
            <w:proofErr w:type="spellEnd"/>
            <w:r w:rsidRPr="00EC4659">
              <w:rPr>
                <w:rFonts w:asciiTheme="minorHAnsi" w:eastAsiaTheme="minorHAnsi" w:hAnsiTheme="minorHAnsi" w:cstheme="minorBidi"/>
              </w:rPr>
              <w:t xml:space="preserve"> and </w:t>
            </w:r>
            <w:proofErr w:type="spellStart"/>
            <w:r w:rsidRPr="00EC4659">
              <w:rPr>
                <w:rFonts w:asciiTheme="minorHAnsi" w:eastAsiaTheme="minorHAnsi" w:hAnsiTheme="minorHAnsi" w:cstheme="minorBidi"/>
              </w:rPr>
              <w:t>goatmeat</w:t>
            </w:r>
            <w:proofErr w:type="spellEnd"/>
            <w:r w:rsidRPr="00EC4659">
              <w:rPr>
                <w:rFonts w:asciiTheme="minorHAnsi" w:eastAsiaTheme="minorHAnsi" w:hAnsiTheme="minorHAnsi" w:cstheme="minorBidi"/>
              </w:rPr>
              <w:t xml:space="preserve"> </w:t>
            </w:r>
            <w:proofErr w:type="spellStart"/>
            <w:r w:rsidRPr="00EC4659">
              <w:rPr>
                <w:rFonts w:asciiTheme="minorHAnsi" w:eastAsiaTheme="minorHAnsi" w:hAnsiTheme="minorHAnsi" w:cstheme="minorBidi"/>
              </w:rPr>
              <w:t>erga</w:t>
            </w:r>
            <w:proofErr w:type="spellEnd"/>
            <w:r w:rsidRPr="00EC4659">
              <w:rPr>
                <w:rFonts w:asciiTheme="minorHAnsi" w:eastAsiaTheme="minorHAnsi" w:hAnsiTheme="minorHAnsi" w:cstheme="minorBidi"/>
              </w:rPr>
              <w:t xml:space="preserve"> </w:t>
            </w:r>
            <w:proofErr w:type="spellStart"/>
            <w:r w:rsidRPr="00EC4659">
              <w:rPr>
                <w:rFonts w:asciiTheme="minorHAnsi" w:eastAsiaTheme="minorHAnsi" w:hAnsiTheme="minorHAnsi" w:cstheme="minorBidi"/>
              </w:rPr>
              <w:t>omnes</w:t>
            </w:r>
            <w:proofErr w:type="spellEnd"/>
            <w:r w:rsidRPr="00EC4659">
              <w:rPr>
                <w:rFonts w:asciiTheme="minorHAnsi" w:eastAsiaTheme="minorHAnsi" w:hAnsiTheme="minorHAnsi" w:cstheme="minorBidi"/>
              </w:rPr>
              <w:t xml:space="preserve"> tariff rate quota, defined in European Commission Regulation (EU) No 1354/2011, available as a global quota.</w:t>
            </w:r>
          </w:p>
        </w:tc>
      </w:tr>
      <w:tr w:rsidR="00EC4659" w:rsidRPr="00EC4659" w14:paraId="3C526197" w14:textId="77777777" w:rsidTr="00EC4659">
        <w:tc>
          <w:tcPr>
            <w:tcW w:w="1696" w:type="dxa"/>
            <w:vAlign w:val="center"/>
          </w:tcPr>
          <w:p w14:paraId="52B6AB17"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GATT</w:t>
            </w:r>
          </w:p>
        </w:tc>
        <w:tc>
          <w:tcPr>
            <w:tcW w:w="7320" w:type="dxa"/>
          </w:tcPr>
          <w:p w14:paraId="44CE6054"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The General Agreement on Tariffs and Trade is the agreement to promote international trade through reduced trade barriers that preceded the WTO.</w:t>
            </w:r>
          </w:p>
        </w:tc>
      </w:tr>
      <w:tr w:rsidR="00EC4659" w:rsidRPr="00EC4659" w14:paraId="4820F403" w14:textId="77777777" w:rsidTr="00EC4659">
        <w:tc>
          <w:tcPr>
            <w:tcW w:w="1696" w:type="dxa"/>
            <w:vAlign w:val="center"/>
          </w:tcPr>
          <w:p w14:paraId="3F76A6FC"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JAEPA</w:t>
            </w:r>
          </w:p>
        </w:tc>
        <w:tc>
          <w:tcPr>
            <w:tcW w:w="7320" w:type="dxa"/>
          </w:tcPr>
          <w:p w14:paraId="45F0F62D"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The Japan-Australia Economic Partnership Agreement, which includes eight tariff rate quotas managed by Australia including meats, juices and honey.</w:t>
            </w:r>
          </w:p>
        </w:tc>
      </w:tr>
      <w:tr w:rsidR="00EC4659" w:rsidRPr="00EC4659" w14:paraId="491274A8" w14:textId="77777777" w:rsidTr="00EC4659">
        <w:tc>
          <w:tcPr>
            <w:tcW w:w="1696" w:type="dxa"/>
            <w:vAlign w:val="center"/>
          </w:tcPr>
          <w:p w14:paraId="333E04DC"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Japan EBO</w:t>
            </w:r>
          </w:p>
        </w:tc>
        <w:tc>
          <w:tcPr>
            <w:tcW w:w="7320" w:type="dxa"/>
          </w:tcPr>
          <w:p w14:paraId="6D4D49BB"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Japan edible bovine offal is one of eight tariff rate quotas the Australian Government manages as part of the Japan-Australia Economic Partnership Agreement.</w:t>
            </w:r>
          </w:p>
        </w:tc>
      </w:tr>
      <w:tr w:rsidR="00EC4659" w:rsidRPr="00EC4659" w14:paraId="22EEB859" w14:textId="77777777" w:rsidTr="00EC4659">
        <w:tc>
          <w:tcPr>
            <w:tcW w:w="1696" w:type="dxa"/>
            <w:vAlign w:val="center"/>
          </w:tcPr>
          <w:p w14:paraId="64123642"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Performance transfer</w:t>
            </w:r>
          </w:p>
        </w:tc>
        <w:tc>
          <w:tcPr>
            <w:tcW w:w="7320" w:type="dxa"/>
          </w:tcPr>
          <w:p w14:paraId="29B86B07"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 xml:space="preserve">Regarding EU </w:t>
            </w:r>
            <w:proofErr w:type="spellStart"/>
            <w:r w:rsidRPr="00EC4659">
              <w:rPr>
                <w:rFonts w:asciiTheme="minorHAnsi" w:eastAsiaTheme="minorHAnsi" w:hAnsiTheme="minorHAnsi" w:cstheme="minorBidi"/>
              </w:rPr>
              <w:t>sheepmeat</w:t>
            </w:r>
            <w:proofErr w:type="spellEnd"/>
            <w:r w:rsidRPr="00EC4659">
              <w:rPr>
                <w:rFonts w:asciiTheme="minorHAnsi" w:eastAsiaTheme="minorHAnsi" w:hAnsiTheme="minorHAnsi" w:cstheme="minorBidi"/>
              </w:rPr>
              <w:t xml:space="preserve"> &amp; </w:t>
            </w:r>
            <w:proofErr w:type="spellStart"/>
            <w:r w:rsidRPr="00EC4659">
              <w:rPr>
                <w:rFonts w:asciiTheme="minorHAnsi" w:eastAsiaTheme="minorHAnsi" w:hAnsiTheme="minorHAnsi" w:cstheme="minorBidi"/>
              </w:rPr>
              <w:t>goatmeat</w:t>
            </w:r>
            <w:proofErr w:type="spellEnd"/>
            <w:r w:rsidRPr="00EC4659">
              <w:rPr>
                <w:rFonts w:asciiTheme="minorHAnsi" w:eastAsiaTheme="minorHAnsi" w:hAnsiTheme="minorHAnsi" w:cstheme="minorBidi"/>
              </w:rPr>
              <w:t xml:space="preserve"> quota – the transfer of shipping history from one exporter to another. This effectively credits the receiving exporter with the shipping history from that consignment. Shipping history is taken into account in working out tariff rate quota entitlements.</w:t>
            </w:r>
          </w:p>
        </w:tc>
      </w:tr>
      <w:tr w:rsidR="00EC4659" w:rsidRPr="00EC4659" w14:paraId="18F3233C" w14:textId="77777777" w:rsidTr="00EC4659">
        <w:tc>
          <w:tcPr>
            <w:tcW w:w="1696" w:type="dxa"/>
            <w:vAlign w:val="center"/>
          </w:tcPr>
          <w:p w14:paraId="3B22E8C7"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Quota rent(s)</w:t>
            </w:r>
          </w:p>
        </w:tc>
        <w:tc>
          <w:tcPr>
            <w:tcW w:w="7320" w:type="dxa"/>
          </w:tcPr>
          <w:p w14:paraId="4548E7D8"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The monetary amount saved by exporting under quota.</w:t>
            </w:r>
          </w:p>
        </w:tc>
      </w:tr>
      <w:tr w:rsidR="00EC4659" w:rsidRPr="00EC4659" w14:paraId="115353F2" w14:textId="77777777" w:rsidTr="00EC4659">
        <w:tc>
          <w:tcPr>
            <w:tcW w:w="1696" w:type="dxa"/>
            <w:vAlign w:val="center"/>
          </w:tcPr>
          <w:p w14:paraId="429B7F80"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Reclaim date</w:t>
            </w:r>
          </w:p>
        </w:tc>
        <w:tc>
          <w:tcPr>
            <w:tcW w:w="7320" w:type="dxa"/>
          </w:tcPr>
          <w:p w14:paraId="62772F02"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Under a quota allocation system, the date by which unused quota is reclaimed in order to be reallocated or otherwise made available for use.</w:t>
            </w:r>
          </w:p>
        </w:tc>
      </w:tr>
      <w:tr w:rsidR="00EC4659" w:rsidRPr="00EC4659" w14:paraId="7937EACE" w14:textId="77777777" w:rsidTr="00EC4659">
        <w:tc>
          <w:tcPr>
            <w:tcW w:w="1696" w:type="dxa"/>
            <w:vAlign w:val="center"/>
          </w:tcPr>
          <w:p w14:paraId="44C813D3"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RFP</w:t>
            </w:r>
          </w:p>
        </w:tc>
        <w:tc>
          <w:tcPr>
            <w:tcW w:w="7320" w:type="dxa"/>
          </w:tcPr>
          <w:p w14:paraId="4AAD663C"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A Request for Permit is a permit application lodged via the Export Documentation System for the export of prescribed goods from Australia.</w:t>
            </w:r>
          </w:p>
        </w:tc>
      </w:tr>
      <w:tr w:rsidR="00EC4659" w:rsidRPr="00EC4659" w14:paraId="2C998DB9" w14:textId="77777777" w:rsidTr="00EC4659">
        <w:tc>
          <w:tcPr>
            <w:tcW w:w="1696" w:type="dxa"/>
            <w:vAlign w:val="center"/>
          </w:tcPr>
          <w:p w14:paraId="7137C6F6"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SARA</w:t>
            </w:r>
          </w:p>
        </w:tc>
        <w:tc>
          <w:tcPr>
            <w:tcW w:w="7320" w:type="dxa"/>
          </w:tcPr>
          <w:p w14:paraId="03D8BB64"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The Statistics and Report Administration IT system used to manage the administration of meat quotas (excluding JAEPA quotas).</w:t>
            </w:r>
          </w:p>
        </w:tc>
      </w:tr>
      <w:tr w:rsidR="00EC4659" w:rsidRPr="00EC4659" w14:paraId="5510D764" w14:textId="77777777" w:rsidTr="00EC4659">
        <w:tc>
          <w:tcPr>
            <w:tcW w:w="1696" w:type="dxa"/>
            <w:vAlign w:val="center"/>
          </w:tcPr>
          <w:p w14:paraId="19DEB3FF"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TRQ</w:t>
            </w:r>
          </w:p>
        </w:tc>
        <w:tc>
          <w:tcPr>
            <w:tcW w:w="7320" w:type="dxa"/>
          </w:tcPr>
          <w:p w14:paraId="0FAC038C"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Tariff Rate Quota is a quota permitting a specific quantity of imported product to enter the importing country at a reduced rate of customs duty.</w:t>
            </w:r>
          </w:p>
        </w:tc>
      </w:tr>
      <w:tr w:rsidR="00EC4659" w:rsidRPr="00EC4659" w14:paraId="6265C726" w14:textId="77777777" w:rsidTr="00EC4659">
        <w:tc>
          <w:tcPr>
            <w:tcW w:w="1696" w:type="dxa"/>
            <w:vAlign w:val="center"/>
          </w:tcPr>
          <w:p w14:paraId="022406C0" w14:textId="77777777" w:rsidR="00EC4659" w:rsidRPr="00EC4659" w:rsidRDefault="00EC4659" w:rsidP="00EC4659">
            <w:pPr>
              <w:spacing w:line="240" w:lineRule="auto"/>
              <w:jc w:val="center"/>
              <w:rPr>
                <w:rFonts w:asciiTheme="minorHAnsi" w:eastAsiaTheme="minorHAnsi" w:hAnsiTheme="minorHAnsi" w:cstheme="minorBidi"/>
              </w:rPr>
            </w:pPr>
            <w:r w:rsidRPr="00EC4659">
              <w:rPr>
                <w:rFonts w:asciiTheme="minorHAnsi" w:eastAsiaTheme="minorHAnsi" w:hAnsiTheme="minorHAnsi" w:cstheme="minorBidi"/>
              </w:rPr>
              <w:t>WTO</w:t>
            </w:r>
          </w:p>
        </w:tc>
        <w:tc>
          <w:tcPr>
            <w:tcW w:w="7320" w:type="dxa"/>
          </w:tcPr>
          <w:p w14:paraId="3B23AB0C" w14:textId="77777777" w:rsidR="00EC4659" w:rsidRPr="00EC4659" w:rsidRDefault="00EC4659" w:rsidP="00EC4659">
            <w:pPr>
              <w:spacing w:before="80" w:line="240" w:lineRule="auto"/>
              <w:rPr>
                <w:rFonts w:asciiTheme="minorHAnsi" w:eastAsiaTheme="minorHAnsi" w:hAnsiTheme="minorHAnsi" w:cstheme="minorBidi"/>
              </w:rPr>
            </w:pPr>
            <w:r w:rsidRPr="00EC4659">
              <w:rPr>
                <w:rFonts w:asciiTheme="minorHAnsi" w:eastAsiaTheme="minorHAnsi" w:hAnsiTheme="minorHAnsi" w:cstheme="minorBidi"/>
              </w:rPr>
              <w:t>The World Trade Organization is the global international organisation that deals with the rules of trade between nations.</w:t>
            </w:r>
          </w:p>
        </w:tc>
      </w:tr>
    </w:tbl>
    <w:p w14:paraId="4021CAC1" w14:textId="77777777" w:rsidR="00EC4659" w:rsidRDefault="00EC4659" w:rsidP="00EC4659">
      <w:pPr>
        <w:keepNext/>
        <w:keepLines/>
        <w:spacing w:before="240" w:line="259" w:lineRule="auto"/>
        <w:outlineLvl w:val="0"/>
        <w:rPr>
          <w:rFonts w:ascii="Calibri Light" w:eastAsia="SimSun" w:hAnsi="Calibri Light"/>
          <w:color w:val="2E74B5"/>
          <w:sz w:val="32"/>
          <w:szCs w:val="32"/>
        </w:rPr>
        <w:sectPr w:rsidR="00EC4659" w:rsidSect="00EC4659">
          <w:pgSz w:w="11906" w:h="16838"/>
          <w:pgMar w:top="1440" w:right="1440" w:bottom="1135" w:left="1440" w:header="708" w:footer="708" w:gutter="0"/>
          <w:cols w:space="708"/>
          <w:docGrid w:linePitch="360"/>
        </w:sectPr>
      </w:pPr>
    </w:p>
    <w:p w14:paraId="7595DAD6" w14:textId="1CF362CB" w:rsidR="00EC4659" w:rsidRPr="00EC4659" w:rsidRDefault="00EC4659" w:rsidP="00EC4659">
      <w:pPr>
        <w:keepNext/>
        <w:keepLines/>
        <w:spacing w:before="240" w:line="259" w:lineRule="auto"/>
        <w:outlineLvl w:val="0"/>
        <w:rPr>
          <w:rFonts w:ascii="Calibri Light" w:eastAsia="SimSun" w:hAnsi="Calibri Light"/>
          <w:color w:val="2E74B5"/>
          <w:sz w:val="32"/>
          <w:szCs w:val="32"/>
        </w:rPr>
      </w:pPr>
      <w:bookmarkStart w:id="147" w:name="_Toc27482939"/>
      <w:r w:rsidRPr="00EC4659">
        <w:rPr>
          <w:rFonts w:ascii="Calibri Light" w:eastAsia="SimSun" w:hAnsi="Calibri Light"/>
          <w:color w:val="2E74B5"/>
          <w:sz w:val="32"/>
          <w:szCs w:val="32"/>
        </w:rPr>
        <w:lastRenderedPageBreak/>
        <w:t>Background</w:t>
      </w:r>
      <w:bookmarkEnd w:id="147"/>
    </w:p>
    <w:p w14:paraId="10F94260"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Department of Agriculture and Water Resources has completed a Regulation Impact Statement (RIS) on the management of its export tariff rate quotas (TRQs). The RIS examined the effectiveness and efficiency of the existing TRQ administration and identified ways to improve the management of all quotas. </w:t>
      </w:r>
    </w:p>
    <w:p w14:paraId="45740F7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Historically, the red meat TRQs (excluding those under the Japan-Australia Economic Partnership Agreement (JAEPA)) were managed by the Australian Meat and Livestock Corporation (AMLC) which was an industry run company. In 1997 AMLC ceased and the management of quota was passed to government. </w:t>
      </w:r>
    </w:p>
    <w:p w14:paraId="10819FE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Dairy TRQ arrangements were put in place by the Australian Dairy Corporation and Australian Dairy Industry Council after the General Agreement on Tariffs and Trade (GATT) Tokyo Round of multilateral trade talks (1979) and the World Trade Organization (WTO) Uruguay Round (1994). In 2003, the department assumed responsibility for quota management. Regulations under the Australia-United States Free Trade Agreement (AUSFTA) are based on an industry approach negotiated with government in 2004.</w:t>
      </w:r>
    </w:p>
    <w:p w14:paraId="57E0DED9" w14:textId="77777777" w:rsidR="00EC4659" w:rsidRPr="00EC4659" w:rsidRDefault="00EC4659" w:rsidP="00EC4659">
      <w:pPr>
        <w:spacing w:line="259" w:lineRule="auto"/>
        <w:rPr>
          <w:rFonts w:ascii="Calibri" w:hAnsi="Calibri"/>
          <w:szCs w:val="22"/>
        </w:rPr>
      </w:pPr>
      <w:r w:rsidRPr="00EC4659">
        <w:rPr>
          <w:rFonts w:ascii="Calibri" w:hAnsi="Calibri"/>
          <w:szCs w:val="22"/>
        </w:rPr>
        <w:t>When JAEPA was introduced, government administered the new TRQs due to pre-existing quota administration arrangements and the small number of certificates required by the juice, honey, pork and poultry industries.</w:t>
      </w:r>
    </w:p>
    <w:p w14:paraId="68D21AEC" w14:textId="77777777" w:rsidR="00EC4659" w:rsidRPr="00EC4659" w:rsidRDefault="00EC4659" w:rsidP="00EC4659">
      <w:pPr>
        <w:keepNext/>
        <w:keepLines/>
        <w:spacing w:before="200" w:after="160" w:line="276" w:lineRule="auto"/>
        <w:outlineLvl w:val="1"/>
        <w:rPr>
          <w:rFonts w:ascii="Calibri Light" w:eastAsia="SimSun" w:hAnsi="Calibri Light"/>
          <w:b/>
          <w:bCs/>
          <w:color w:val="5B9BD5"/>
          <w:sz w:val="26"/>
          <w:szCs w:val="26"/>
        </w:rPr>
      </w:pPr>
      <w:bookmarkStart w:id="148" w:name="_Toc27482940"/>
      <w:proofErr w:type="spellStart"/>
      <w:r w:rsidRPr="00EC4659">
        <w:rPr>
          <w:rFonts w:ascii="Calibri Light" w:eastAsia="SimSun" w:hAnsi="Calibri Light"/>
          <w:b/>
          <w:bCs/>
          <w:color w:val="5B9BD5"/>
          <w:sz w:val="26"/>
          <w:szCs w:val="26"/>
        </w:rPr>
        <w:t>i</w:t>
      </w:r>
      <w:proofErr w:type="spellEnd"/>
      <w:r w:rsidRPr="00EC4659">
        <w:rPr>
          <w:rFonts w:ascii="Calibri Light" w:eastAsia="SimSun" w:hAnsi="Calibri Light"/>
          <w:b/>
          <w:bCs/>
          <w:color w:val="5B9BD5"/>
          <w:sz w:val="26"/>
          <w:szCs w:val="26"/>
        </w:rPr>
        <w:t>.</w:t>
      </w:r>
      <w:r w:rsidRPr="00EC4659">
        <w:rPr>
          <w:rFonts w:ascii="Calibri Light" w:eastAsia="SimSun" w:hAnsi="Calibri Light"/>
          <w:b/>
          <w:bCs/>
          <w:color w:val="5B9BD5"/>
          <w:sz w:val="26"/>
          <w:szCs w:val="26"/>
        </w:rPr>
        <w:tab/>
        <w:t>What are quotas?</w:t>
      </w:r>
      <w:bookmarkEnd w:id="148"/>
    </w:p>
    <w:p w14:paraId="5F5FC5B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Tariffs on agricultural imports are a long standing feature of international trade. Tariffs protect local producers from international competition and provide a source of government revenue. Tariffs are a barrier to trade as they raise prices for domestic consumers by reducing or eliminating imports. Agricultural exporting nations, including Australia, have long pursued the lowering or removal of tariffs in multilateral and bilateral trade negotiations.   </w:t>
      </w:r>
    </w:p>
    <w:p w14:paraId="78320D7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original GATT allowed countries to use some non-tariff measures, such as subsidies and import quotas, to limit agricultural trade or protect domestic production.  Agricultural trade became highly distorted, especially with the use of export subsidies which would not normally have been allowed for industrial products</w:t>
      </w:r>
      <w:r w:rsidRPr="00EC4659">
        <w:rPr>
          <w:rFonts w:ascii="Calibri" w:hAnsi="Calibri"/>
          <w:szCs w:val="22"/>
          <w:vertAlign w:val="superscript"/>
        </w:rPr>
        <w:footnoteReference w:id="2"/>
      </w:r>
      <w:r w:rsidRPr="00EC4659">
        <w:rPr>
          <w:rFonts w:ascii="Calibri" w:hAnsi="Calibri"/>
          <w:szCs w:val="22"/>
        </w:rPr>
        <w:t>.  The Uruguay Round was the first multilateral agreement dedicated to the agricultural sector, aiming to promote fair competition and less distortion.</w:t>
      </w:r>
    </w:p>
    <w:p w14:paraId="333ABF2F" w14:textId="77777777" w:rsidR="00EC4659" w:rsidRPr="00EC4659" w:rsidRDefault="00EC4659" w:rsidP="00EC4659">
      <w:pPr>
        <w:spacing w:line="259" w:lineRule="auto"/>
        <w:rPr>
          <w:rFonts w:ascii="Calibri" w:hAnsi="Calibri"/>
          <w:szCs w:val="22"/>
        </w:rPr>
      </w:pPr>
      <w:r w:rsidRPr="00EC4659">
        <w:rPr>
          <w:rFonts w:ascii="Calibri" w:hAnsi="Calibri"/>
          <w:szCs w:val="22"/>
        </w:rPr>
        <w:t>Part of the reform was to allow “tariffs only” in place of the above measures, and introduced tariff rate quotas – lower tariff rates for specified quantities of a product, and higher rates for quantities that exceed the quota.  The agreement also involved progressive cuts to the tariff rates over time.</w:t>
      </w:r>
    </w:p>
    <w:p w14:paraId="6FC52FC9" w14:textId="77777777" w:rsidR="00EC4659" w:rsidRPr="00EC4659" w:rsidRDefault="00EC4659" w:rsidP="00EC4659">
      <w:pPr>
        <w:keepNext/>
        <w:keepLines/>
        <w:spacing w:before="200" w:after="160" w:line="276" w:lineRule="auto"/>
        <w:outlineLvl w:val="1"/>
        <w:rPr>
          <w:rFonts w:ascii="Calibri Light" w:eastAsia="SimSun" w:hAnsi="Calibri Light"/>
          <w:b/>
          <w:bCs/>
          <w:color w:val="5B9BD5"/>
          <w:sz w:val="26"/>
          <w:szCs w:val="26"/>
        </w:rPr>
      </w:pPr>
      <w:bookmarkStart w:id="149" w:name="_Toc27482941"/>
      <w:r w:rsidRPr="00EC4659">
        <w:rPr>
          <w:rFonts w:ascii="Calibri Light" w:eastAsia="SimSun" w:hAnsi="Calibri Light"/>
          <w:b/>
          <w:bCs/>
          <w:color w:val="5B9BD5"/>
          <w:sz w:val="26"/>
          <w:szCs w:val="26"/>
        </w:rPr>
        <w:t>ii.</w:t>
      </w:r>
      <w:r w:rsidRPr="00EC4659">
        <w:rPr>
          <w:rFonts w:ascii="Calibri Light" w:eastAsia="SimSun" w:hAnsi="Calibri Light"/>
          <w:b/>
          <w:bCs/>
          <w:color w:val="5B9BD5"/>
          <w:sz w:val="26"/>
          <w:szCs w:val="26"/>
        </w:rPr>
        <w:tab/>
        <w:t>Export quotas in Australia</w:t>
      </w:r>
      <w:bookmarkEnd w:id="149"/>
    </w:p>
    <w:p w14:paraId="7AC7175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Export TRQs negotiated in trade agreements can be allocated to either Australia to manage or the other party of the agreement.  For example, under JAEPA, 11 export quotas are managed by Japan and eight are managed by Australia. </w:t>
      </w:r>
    </w:p>
    <w:p w14:paraId="42D694C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In 2016, there were 33 different TRQs which Australia either managed or issued certificates for, governed by 11 pieces of legislation on exports including an estimated 90 individual rules. </w:t>
      </w:r>
      <w:r w:rsidRPr="00EC4659">
        <w:rPr>
          <w:rFonts w:ascii="Calibri" w:hAnsi="Calibri"/>
          <w:szCs w:val="22"/>
        </w:rPr>
        <w:lastRenderedPageBreak/>
        <w:t>Approximately 106 exporters utilise the department’s quota systems to achieve tariff concessions in excess of $700 million.</w:t>
      </w:r>
    </w:p>
    <w:p w14:paraId="3D1791F5" w14:textId="77777777" w:rsidR="00EC4659" w:rsidRPr="00EC4659" w:rsidRDefault="00EC4659" w:rsidP="00EC4659">
      <w:pPr>
        <w:keepNext/>
        <w:spacing w:after="120" w:line="259" w:lineRule="auto"/>
        <w:rPr>
          <w:rFonts w:ascii="Calibri" w:hAnsi="Calibri"/>
          <w:szCs w:val="22"/>
        </w:rPr>
      </w:pPr>
      <w:r w:rsidRPr="00EC4659">
        <w:rPr>
          <w:rFonts w:ascii="Calibri" w:hAnsi="Calibri"/>
          <w:szCs w:val="22"/>
        </w:rPr>
        <w:t>Table 1. Australian managed TRQs (tonnage as at 1 July 2017)</w:t>
      </w:r>
    </w:p>
    <w:tbl>
      <w:tblPr>
        <w:tblStyle w:val="TableGrid1"/>
        <w:tblW w:w="0" w:type="auto"/>
        <w:tblLook w:val="04A0" w:firstRow="1" w:lastRow="0" w:firstColumn="1" w:lastColumn="0" w:noHBand="0" w:noVBand="1"/>
        <w:tblCaption w:val="Table 1. Australian managed TRQs (tonnage as at 1 July 2017)"/>
        <w:tblDescription w:val="This table summarises the markets and commodities, their related quotas and volumes, and the year that the current rule-set began for each."/>
      </w:tblPr>
      <w:tblGrid>
        <w:gridCol w:w="2742"/>
        <w:gridCol w:w="4199"/>
        <w:gridCol w:w="1985"/>
      </w:tblGrid>
      <w:tr w:rsidR="00EC4659" w:rsidRPr="00EC4659" w14:paraId="72399FBA" w14:textId="77777777" w:rsidTr="00EC4659">
        <w:tc>
          <w:tcPr>
            <w:tcW w:w="2742" w:type="dxa"/>
            <w:shd w:val="clear" w:color="auto" w:fill="DEEAF6"/>
            <w:vAlign w:val="center"/>
          </w:tcPr>
          <w:p w14:paraId="4C4725CA" w14:textId="77777777" w:rsidR="00EC4659" w:rsidRPr="00EC4659" w:rsidRDefault="00EC4659" w:rsidP="00EC4659">
            <w:pPr>
              <w:spacing w:line="240" w:lineRule="auto"/>
              <w:rPr>
                <w:rFonts w:asciiTheme="minorHAnsi" w:eastAsiaTheme="minorHAnsi" w:hAnsiTheme="minorHAnsi" w:cstheme="minorBidi"/>
                <w:b/>
              </w:rPr>
            </w:pPr>
            <w:r w:rsidRPr="00EC4659">
              <w:rPr>
                <w:rFonts w:asciiTheme="minorHAnsi" w:eastAsiaTheme="minorHAnsi" w:hAnsiTheme="minorHAnsi" w:cstheme="minorBidi"/>
                <w:b/>
              </w:rPr>
              <w:t>Market/Commodity (agreement)</w:t>
            </w:r>
          </w:p>
        </w:tc>
        <w:tc>
          <w:tcPr>
            <w:tcW w:w="4199" w:type="dxa"/>
            <w:shd w:val="clear" w:color="auto" w:fill="DEEAF6"/>
            <w:vAlign w:val="center"/>
          </w:tcPr>
          <w:p w14:paraId="6081A2A7" w14:textId="77777777" w:rsidR="00EC4659" w:rsidRPr="00EC4659" w:rsidRDefault="00EC4659" w:rsidP="00EC4659">
            <w:pPr>
              <w:spacing w:line="240" w:lineRule="auto"/>
              <w:rPr>
                <w:rFonts w:asciiTheme="minorHAnsi" w:eastAsiaTheme="minorHAnsi" w:hAnsiTheme="minorHAnsi" w:cstheme="minorBidi"/>
                <w:b/>
              </w:rPr>
            </w:pPr>
            <w:r w:rsidRPr="00EC4659">
              <w:rPr>
                <w:rFonts w:asciiTheme="minorHAnsi" w:eastAsiaTheme="minorHAnsi" w:hAnsiTheme="minorHAnsi" w:cstheme="minorBidi"/>
                <w:b/>
              </w:rPr>
              <w:t>Quota</w:t>
            </w:r>
          </w:p>
        </w:tc>
        <w:tc>
          <w:tcPr>
            <w:tcW w:w="1985" w:type="dxa"/>
            <w:shd w:val="clear" w:color="auto" w:fill="DEEAF6"/>
            <w:vAlign w:val="center"/>
          </w:tcPr>
          <w:p w14:paraId="6849CC90" w14:textId="77777777" w:rsidR="00EC4659" w:rsidRPr="00EC4659" w:rsidRDefault="00EC4659" w:rsidP="00EC4659">
            <w:pPr>
              <w:spacing w:line="240" w:lineRule="auto"/>
              <w:rPr>
                <w:rFonts w:asciiTheme="minorHAnsi" w:eastAsiaTheme="minorHAnsi" w:hAnsiTheme="minorHAnsi" w:cstheme="minorBidi"/>
                <w:b/>
              </w:rPr>
            </w:pPr>
            <w:r w:rsidRPr="00EC4659">
              <w:rPr>
                <w:rFonts w:asciiTheme="minorHAnsi" w:eastAsiaTheme="minorHAnsi" w:hAnsiTheme="minorHAnsi" w:cstheme="minorBidi"/>
                <w:b/>
              </w:rPr>
              <w:t>Commencement of Current Rule-set</w:t>
            </w:r>
          </w:p>
        </w:tc>
      </w:tr>
      <w:tr w:rsidR="00EC4659" w:rsidRPr="00EC4659" w14:paraId="59C2E797" w14:textId="77777777" w:rsidTr="00EC4659">
        <w:tc>
          <w:tcPr>
            <w:tcW w:w="2742" w:type="dxa"/>
          </w:tcPr>
          <w:p w14:paraId="27B1A699"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USA beef (AUSFTA &amp; WTO)</w:t>
            </w:r>
          </w:p>
        </w:tc>
        <w:tc>
          <w:tcPr>
            <w:tcW w:w="4199" w:type="dxa"/>
          </w:tcPr>
          <w:p w14:paraId="6550F127"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Beef – 423,214 tonnes</w:t>
            </w:r>
          </w:p>
        </w:tc>
        <w:tc>
          <w:tcPr>
            <w:tcW w:w="1985" w:type="dxa"/>
          </w:tcPr>
          <w:p w14:paraId="6D40607F"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2005</w:t>
            </w:r>
          </w:p>
        </w:tc>
      </w:tr>
      <w:tr w:rsidR="00EC4659" w:rsidRPr="00EC4659" w14:paraId="4E340BB9" w14:textId="77777777" w:rsidTr="00EC4659">
        <w:tc>
          <w:tcPr>
            <w:tcW w:w="2742" w:type="dxa"/>
          </w:tcPr>
          <w:p w14:paraId="253B64A6"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European Union (EU) beef (GATT)</w:t>
            </w:r>
          </w:p>
        </w:tc>
        <w:tc>
          <w:tcPr>
            <w:tcW w:w="4199" w:type="dxa"/>
          </w:tcPr>
          <w:p w14:paraId="7290F125"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High quality beef (HQB) – 7,150 tonnes</w:t>
            </w:r>
          </w:p>
          <w:p w14:paraId="3D80052A" w14:textId="77777777" w:rsidR="00EC4659" w:rsidRPr="00EC4659" w:rsidRDefault="00EC4659" w:rsidP="00EC4659">
            <w:pPr>
              <w:spacing w:line="240" w:lineRule="auto"/>
              <w:rPr>
                <w:rFonts w:asciiTheme="minorHAnsi" w:eastAsiaTheme="minorHAnsi" w:hAnsiTheme="minorHAnsi" w:cstheme="minorBidi"/>
              </w:rPr>
            </w:pPr>
            <w:proofErr w:type="spellStart"/>
            <w:r w:rsidRPr="00EC4659">
              <w:rPr>
                <w:rFonts w:asciiTheme="minorHAnsi" w:eastAsiaTheme="minorHAnsi" w:hAnsiTheme="minorHAnsi" w:cstheme="minorBidi"/>
              </w:rPr>
              <w:t>Grainfed</w:t>
            </w:r>
            <w:proofErr w:type="spellEnd"/>
            <w:r w:rsidRPr="00EC4659">
              <w:rPr>
                <w:rFonts w:asciiTheme="minorHAnsi" w:eastAsiaTheme="minorHAnsi" w:hAnsiTheme="minorHAnsi" w:cstheme="minorBidi"/>
              </w:rPr>
              <w:t xml:space="preserve"> beef – 48,200 tonnes*</w:t>
            </w:r>
          </w:p>
        </w:tc>
        <w:tc>
          <w:tcPr>
            <w:tcW w:w="1985" w:type="dxa"/>
          </w:tcPr>
          <w:p w14:paraId="7352E54F"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2012</w:t>
            </w:r>
          </w:p>
        </w:tc>
      </w:tr>
      <w:tr w:rsidR="00EC4659" w:rsidRPr="00EC4659" w14:paraId="78F7ECD3" w14:textId="77777777" w:rsidTr="00EC4659">
        <w:tc>
          <w:tcPr>
            <w:tcW w:w="2742" w:type="dxa"/>
          </w:tcPr>
          <w:p w14:paraId="3DB29425"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 xml:space="preserve">EU </w:t>
            </w:r>
            <w:proofErr w:type="spellStart"/>
            <w:r w:rsidRPr="00EC4659">
              <w:rPr>
                <w:rFonts w:asciiTheme="minorHAnsi" w:eastAsiaTheme="minorHAnsi" w:hAnsiTheme="minorHAnsi" w:cstheme="minorBidi"/>
              </w:rPr>
              <w:t>sheepmeat</w:t>
            </w:r>
            <w:proofErr w:type="spellEnd"/>
            <w:r w:rsidRPr="00EC4659">
              <w:rPr>
                <w:rFonts w:asciiTheme="minorHAnsi" w:eastAsiaTheme="minorHAnsi" w:hAnsiTheme="minorHAnsi" w:cstheme="minorBidi"/>
              </w:rPr>
              <w:t xml:space="preserve"> and </w:t>
            </w:r>
            <w:proofErr w:type="spellStart"/>
            <w:r w:rsidRPr="00EC4659">
              <w:rPr>
                <w:rFonts w:asciiTheme="minorHAnsi" w:eastAsiaTheme="minorHAnsi" w:hAnsiTheme="minorHAnsi" w:cstheme="minorBidi"/>
              </w:rPr>
              <w:t>goatmeat</w:t>
            </w:r>
            <w:proofErr w:type="spellEnd"/>
            <w:r w:rsidRPr="00EC4659">
              <w:rPr>
                <w:rFonts w:asciiTheme="minorHAnsi" w:eastAsiaTheme="minorHAnsi" w:hAnsiTheme="minorHAnsi" w:cstheme="minorBidi"/>
              </w:rPr>
              <w:t xml:space="preserve"> (GATT)</w:t>
            </w:r>
          </w:p>
        </w:tc>
        <w:tc>
          <w:tcPr>
            <w:tcW w:w="4199" w:type="dxa"/>
          </w:tcPr>
          <w:p w14:paraId="06EA246A" w14:textId="77777777" w:rsidR="00EC4659" w:rsidRPr="00EC4659" w:rsidRDefault="00EC4659" w:rsidP="00EC4659">
            <w:pPr>
              <w:spacing w:line="240" w:lineRule="auto"/>
              <w:rPr>
                <w:rFonts w:asciiTheme="minorHAnsi" w:eastAsiaTheme="minorHAnsi" w:hAnsiTheme="minorHAnsi" w:cstheme="minorBidi"/>
              </w:rPr>
            </w:pPr>
            <w:proofErr w:type="spellStart"/>
            <w:r w:rsidRPr="00EC4659">
              <w:rPr>
                <w:rFonts w:asciiTheme="minorHAnsi" w:eastAsiaTheme="minorHAnsi" w:hAnsiTheme="minorHAnsi" w:cstheme="minorBidi"/>
              </w:rPr>
              <w:t>Sheepmeat</w:t>
            </w:r>
            <w:proofErr w:type="spellEnd"/>
            <w:r w:rsidRPr="00EC4659">
              <w:rPr>
                <w:rFonts w:asciiTheme="minorHAnsi" w:eastAsiaTheme="minorHAnsi" w:hAnsiTheme="minorHAnsi" w:cstheme="minorBidi"/>
              </w:rPr>
              <w:t xml:space="preserve"> and </w:t>
            </w:r>
            <w:proofErr w:type="spellStart"/>
            <w:r w:rsidRPr="00EC4659">
              <w:rPr>
                <w:rFonts w:asciiTheme="minorHAnsi" w:eastAsiaTheme="minorHAnsi" w:hAnsiTheme="minorHAnsi" w:cstheme="minorBidi"/>
              </w:rPr>
              <w:t>goatmeat</w:t>
            </w:r>
            <w:proofErr w:type="spellEnd"/>
            <w:r w:rsidRPr="00EC4659">
              <w:rPr>
                <w:rFonts w:asciiTheme="minorHAnsi" w:eastAsiaTheme="minorHAnsi" w:hAnsiTheme="minorHAnsi" w:cstheme="minorBidi"/>
              </w:rPr>
              <w:t xml:space="preserve"> – 19,186 tonnes </w:t>
            </w:r>
          </w:p>
          <w:p w14:paraId="5F83A93C" w14:textId="77777777" w:rsidR="00EC4659" w:rsidRPr="00EC4659" w:rsidRDefault="00EC4659" w:rsidP="00EC4659">
            <w:pPr>
              <w:spacing w:line="240" w:lineRule="auto"/>
              <w:rPr>
                <w:rFonts w:asciiTheme="minorHAnsi" w:eastAsiaTheme="minorHAnsi" w:hAnsiTheme="minorHAnsi" w:cstheme="minorBidi"/>
              </w:rPr>
            </w:pPr>
            <w:proofErr w:type="spellStart"/>
            <w:r w:rsidRPr="00EC4659">
              <w:rPr>
                <w:rFonts w:asciiTheme="minorHAnsi" w:eastAsiaTheme="minorHAnsi" w:hAnsiTheme="minorHAnsi" w:cstheme="minorBidi"/>
              </w:rPr>
              <w:t>Erga</w:t>
            </w:r>
            <w:proofErr w:type="spellEnd"/>
            <w:r w:rsidRPr="00EC4659">
              <w:rPr>
                <w:rFonts w:asciiTheme="minorHAnsi" w:eastAsiaTheme="minorHAnsi" w:hAnsiTheme="minorHAnsi" w:cstheme="minorBidi"/>
              </w:rPr>
              <w:t xml:space="preserve"> </w:t>
            </w:r>
            <w:proofErr w:type="spellStart"/>
            <w:r w:rsidRPr="00EC4659">
              <w:rPr>
                <w:rFonts w:asciiTheme="minorHAnsi" w:eastAsiaTheme="minorHAnsi" w:hAnsiTheme="minorHAnsi" w:cstheme="minorBidi"/>
              </w:rPr>
              <w:t>omnes</w:t>
            </w:r>
            <w:proofErr w:type="spellEnd"/>
            <w:r w:rsidRPr="00EC4659">
              <w:rPr>
                <w:rFonts w:asciiTheme="minorHAnsi" w:eastAsiaTheme="minorHAnsi" w:hAnsiTheme="minorHAnsi" w:cstheme="minorBidi"/>
              </w:rPr>
              <w:t xml:space="preserve"> – 200 tonnes*</w:t>
            </w:r>
          </w:p>
        </w:tc>
        <w:tc>
          <w:tcPr>
            <w:tcW w:w="1985" w:type="dxa"/>
          </w:tcPr>
          <w:p w14:paraId="59003B83"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1998</w:t>
            </w:r>
          </w:p>
        </w:tc>
      </w:tr>
      <w:tr w:rsidR="00EC4659" w:rsidRPr="00EC4659" w14:paraId="2774B418" w14:textId="77777777" w:rsidTr="00EC4659">
        <w:tc>
          <w:tcPr>
            <w:tcW w:w="2742" w:type="dxa"/>
          </w:tcPr>
          <w:p w14:paraId="5A454B7E"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EU buffalo (GATT)</w:t>
            </w:r>
          </w:p>
        </w:tc>
        <w:tc>
          <w:tcPr>
            <w:tcW w:w="4199" w:type="dxa"/>
          </w:tcPr>
          <w:p w14:paraId="2F6E0FE5"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Buffalo – 2,250 tonnes</w:t>
            </w:r>
          </w:p>
        </w:tc>
        <w:tc>
          <w:tcPr>
            <w:tcW w:w="1985" w:type="dxa"/>
          </w:tcPr>
          <w:p w14:paraId="2C6485F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2012</w:t>
            </w:r>
          </w:p>
        </w:tc>
      </w:tr>
      <w:tr w:rsidR="00EC4659" w:rsidRPr="00EC4659" w14:paraId="5F4EAA28" w14:textId="77777777" w:rsidTr="00EC4659">
        <w:tc>
          <w:tcPr>
            <w:tcW w:w="2742" w:type="dxa"/>
          </w:tcPr>
          <w:p w14:paraId="432DC241"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USA dairy (17 under both AUSFTA and WTO)</w:t>
            </w:r>
          </w:p>
        </w:tc>
        <w:tc>
          <w:tcPr>
            <w:tcW w:w="4199" w:type="dxa"/>
          </w:tcPr>
          <w:p w14:paraId="4D8200A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American cheese (AUSFTA) – 734 tonnes</w:t>
            </w:r>
          </w:p>
          <w:p w14:paraId="0F607DC9"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American cheese (granular) (WTO) – 1,000 tonnes</w:t>
            </w:r>
          </w:p>
          <w:p w14:paraId="03C63D73"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Butter/butter fat (AUSFTA) – 2,203 tonnes</w:t>
            </w:r>
          </w:p>
          <w:p w14:paraId="67300572"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Cheddar cheese (AUSFTA) – 1,101 tonnes</w:t>
            </w:r>
          </w:p>
          <w:p w14:paraId="384DC7BF"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Cheddar cheese (WTO) – 2,450 tonnes</w:t>
            </w:r>
          </w:p>
          <w:p w14:paraId="1AF4C25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Condensed milk (AUSFTA) – 6,399 tonnes</w:t>
            </w:r>
          </w:p>
          <w:p w14:paraId="3AD0D9F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Cream (AUSFTA) – 7,999 litres</w:t>
            </w:r>
          </w:p>
          <w:p w14:paraId="79471925"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European cheese (AUSFTA) – 3,771 tonnes</w:t>
            </w:r>
          </w:p>
          <w:p w14:paraId="379C8BA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Goya cheese (AUSFTA) – 4,714 tonnes</w:t>
            </w:r>
          </w:p>
          <w:p w14:paraId="0BA6CFE7"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Ice cream (AUSFTA) – 7,999 litres</w:t>
            </w:r>
          </w:p>
          <w:p w14:paraId="19828DE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NSPF (other) cheese (WTO) – 3,050 tonnes</w:t>
            </w:r>
          </w:p>
          <w:p w14:paraId="408AF7F0"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Other milk powder (AUSFTA) – 6,660 tonnes</w:t>
            </w:r>
          </w:p>
          <w:p w14:paraId="2E56994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Other dairy products (AUSFTA) – 3,199 tonnes</w:t>
            </w:r>
          </w:p>
          <w:p w14:paraId="4B438353"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Other cheese (AUSFTA) – 6,660 tonnes</w:t>
            </w:r>
          </w:p>
          <w:p w14:paraId="7811E004"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Skim milk powder (AUSFTA) – 147 tonnes</w:t>
            </w:r>
          </w:p>
          <w:p w14:paraId="60CBE3A0"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Swiss cheese (AUSFTA) – 943 tonnes</w:t>
            </w:r>
          </w:p>
          <w:p w14:paraId="08E859CE"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Swiss cheese (WTO) – 500 tonnes</w:t>
            </w:r>
          </w:p>
        </w:tc>
        <w:tc>
          <w:tcPr>
            <w:tcW w:w="1985" w:type="dxa"/>
          </w:tcPr>
          <w:p w14:paraId="54C9DDC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2009</w:t>
            </w:r>
          </w:p>
        </w:tc>
      </w:tr>
      <w:tr w:rsidR="00EC4659" w:rsidRPr="00EC4659" w14:paraId="5CC04B71" w14:textId="77777777" w:rsidTr="00EC4659">
        <w:tc>
          <w:tcPr>
            <w:tcW w:w="2742" w:type="dxa"/>
          </w:tcPr>
          <w:p w14:paraId="67E2B292"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EU dairy (WTO)</w:t>
            </w:r>
          </w:p>
        </w:tc>
        <w:tc>
          <w:tcPr>
            <w:tcW w:w="4199" w:type="dxa"/>
          </w:tcPr>
          <w:p w14:paraId="7EE97668" w14:textId="77777777" w:rsidR="00EC4659" w:rsidRPr="00EC4659" w:rsidRDefault="00EC4659" w:rsidP="00EC4659">
            <w:pPr>
              <w:tabs>
                <w:tab w:val="right" w:pos="4604"/>
              </w:tabs>
              <w:spacing w:line="240" w:lineRule="auto"/>
              <w:rPr>
                <w:rFonts w:asciiTheme="minorHAnsi" w:eastAsiaTheme="minorHAnsi" w:hAnsiTheme="minorHAnsi" w:cstheme="minorBidi"/>
              </w:rPr>
            </w:pPr>
            <w:r w:rsidRPr="00EC4659">
              <w:rPr>
                <w:rFonts w:asciiTheme="minorHAnsi" w:eastAsiaTheme="minorHAnsi" w:hAnsiTheme="minorHAnsi" w:cstheme="minorBidi"/>
              </w:rPr>
              <w:t>Table cheddar cheese – 3,711 tonnes</w:t>
            </w:r>
            <w:r w:rsidRPr="00EC4659">
              <w:rPr>
                <w:rFonts w:asciiTheme="minorHAnsi" w:eastAsiaTheme="minorHAnsi" w:hAnsiTheme="minorHAnsi" w:cstheme="minorBidi"/>
              </w:rPr>
              <w:tab/>
            </w:r>
          </w:p>
          <w:p w14:paraId="5D707F25"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Cheese for processing – 500 tonnes</w:t>
            </w:r>
          </w:p>
        </w:tc>
        <w:tc>
          <w:tcPr>
            <w:tcW w:w="1985" w:type="dxa"/>
          </w:tcPr>
          <w:p w14:paraId="3FCAA8F3" w14:textId="77777777" w:rsidR="00EC4659" w:rsidRPr="00EC4659" w:rsidRDefault="00EC4659" w:rsidP="00EC4659">
            <w:pPr>
              <w:tabs>
                <w:tab w:val="right" w:pos="4604"/>
              </w:tabs>
              <w:spacing w:line="240" w:lineRule="auto"/>
              <w:rPr>
                <w:rFonts w:asciiTheme="minorHAnsi" w:eastAsiaTheme="minorHAnsi" w:hAnsiTheme="minorHAnsi" w:cstheme="minorBidi"/>
              </w:rPr>
            </w:pPr>
            <w:r w:rsidRPr="00EC4659">
              <w:rPr>
                <w:rFonts w:asciiTheme="minorHAnsi" w:eastAsiaTheme="minorHAnsi" w:hAnsiTheme="minorHAnsi" w:cstheme="minorBidi"/>
              </w:rPr>
              <w:t>2009</w:t>
            </w:r>
          </w:p>
        </w:tc>
      </w:tr>
      <w:tr w:rsidR="00EC4659" w:rsidRPr="00EC4659" w14:paraId="453C11D5" w14:textId="77777777" w:rsidTr="00EC4659">
        <w:tc>
          <w:tcPr>
            <w:tcW w:w="2742" w:type="dxa"/>
          </w:tcPr>
          <w:p w14:paraId="581B0DBC"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Japan (JAEPA)</w:t>
            </w:r>
          </w:p>
        </w:tc>
        <w:tc>
          <w:tcPr>
            <w:tcW w:w="4199" w:type="dxa"/>
          </w:tcPr>
          <w:p w14:paraId="20EABD6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Edible bovine offal – 18,200 tonnes</w:t>
            </w:r>
          </w:p>
          <w:p w14:paraId="6871565C"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Preserved meats 1 – 2,060 tonnes</w:t>
            </w:r>
          </w:p>
          <w:p w14:paraId="5F0AF2DE"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Preserved meats 2 – 6,200 tonnes</w:t>
            </w:r>
          </w:p>
          <w:p w14:paraId="42141A9F"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Pork – 10,640 tonnes</w:t>
            </w:r>
          </w:p>
          <w:p w14:paraId="184E15C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Poultry – 88 tonnes</w:t>
            </w:r>
          </w:p>
          <w:p w14:paraId="06A69990"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Honey – 104 tonnes</w:t>
            </w:r>
          </w:p>
          <w:p w14:paraId="405DDF1C"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Apple juice – 1,600 tonnes</w:t>
            </w:r>
          </w:p>
          <w:p w14:paraId="6C451F0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Orange juice – 1,300 tonnes</w:t>
            </w:r>
          </w:p>
        </w:tc>
        <w:tc>
          <w:tcPr>
            <w:tcW w:w="1985" w:type="dxa"/>
          </w:tcPr>
          <w:p w14:paraId="32C4DC16"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2015</w:t>
            </w:r>
          </w:p>
        </w:tc>
      </w:tr>
    </w:tbl>
    <w:p w14:paraId="2C84EA0D" w14:textId="77777777" w:rsidR="00EC4659" w:rsidRPr="00EC4659" w:rsidRDefault="00EC4659" w:rsidP="00EC4659">
      <w:pPr>
        <w:spacing w:after="120" w:line="259" w:lineRule="auto"/>
        <w:rPr>
          <w:rFonts w:ascii="Calibri" w:hAnsi="Calibri"/>
          <w:sz w:val="20"/>
        </w:rPr>
      </w:pPr>
      <w:r w:rsidRPr="00EC4659">
        <w:rPr>
          <w:rFonts w:ascii="Calibri" w:hAnsi="Calibri"/>
          <w:sz w:val="20"/>
        </w:rPr>
        <w:t>*Global quotas for which Australia has access.</w:t>
      </w:r>
    </w:p>
    <w:p w14:paraId="0213CE1E" w14:textId="77777777" w:rsidR="00EC4659" w:rsidRPr="00EC4659" w:rsidRDefault="00EC4659" w:rsidP="00EC4659">
      <w:pPr>
        <w:spacing w:line="259" w:lineRule="auto"/>
        <w:rPr>
          <w:rFonts w:ascii="Calibri" w:hAnsi="Calibri"/>
          <w:szCs w:val="22"/>
        </w:rPr>
      </w:pPr>
      <w:r w:rsidRPr="00EC4659">
        <w:rPr>
          <w:rFonts w:ascii="Calibri" w:hAnsi="Calibri"/>
          <w:szCs w:val="22"/>
        </w:rPr>
        <w:t xml:space="preserve">Exporters apply for quota certificates when they are applying for their other export documentation, using the department’s electronic export documentation (EXDOC) system (some non-prescribed commodities apply directly to the Quota Unit, such as juices/honey). For those TRQs which are administered using a quota allocation mechanism (EU high quality beef (HQB), EU </w:t>
      </w:r>
      <w:proofErr w:type="spellStart"/>
      <w:r w:rsidRPr="00EC4659">
        <w:rPr>
          <w:rFonts w:ascii="Calibri" w:hAnsi="Calibri"/>
          <w:szCs w:val="22"/>
        </w:rPr>
        <w:t>sheepmeat</w:t>
      </w:r>
      <w:proofErr w:type="spellEnd"/>
      <w:r w:rsidRPr="00EC4659">
        <w:rPr>
          <w:rFonts w:ascii="Calibri" w:hAnsi="Calibri"/>
          <w:szCs w:val="22"/>
        </w:rPr>
        <w:t xml:space="preserve"> &amp; </w:t>
      </w:r>
      <w:proofErr w:type="spellStart"/>
      <w:r w:rsidRPr="00EC4659">
        <w:rPr>
          <w:rFonts w:ascii="Calibri" w:hAnsi="Calibri"/>
          <w:szCs w:val="22"/>
        </w:rPr>
        <w:t>goatmeat</w:t>
      </w:r>
      <w:proofErr w:type="spellEnd"/>
      <w:r w:rsidRPr="00EC4659">
        <w:rPr>
          <w:rFonts w:ascii="Calibri" w:hAnsi="Calibri"/>
          <w:szCs w:val="22"/>
        </w:rPr>
        <w:t xml:space="preserve"> and dairy TRQs), the exporter must have allocated quota available in order to receive a quota certificate for their consignment. </w:t>
      </w:r>
    </w:p>
    <w:p w14:paraId="4CD6FCC3" w14:textId="77777777" w:rsidR="00EC4659" w:rsidRPr="00EC4659" w:rsidRDefault="00EC4659" w:rsidP="000F6D46">
      <w:pPr>
        <w:numPr>
          <w:ilvl w:val="0"/>
          <w:numId w:val="75"/>
        </w:numPr>
        <w:spacing w:after="160" w:line="259" w:lineRule="auto"/>
        <w:ind w:left="567"/>
        <w:contextualSpacing/>
        <w:rPr>
          <w:rFonts w:ascii="Calibri" w:hAnsi="Calibri"/>
          <w:szCs w:val="22"/>
        </w:rPr>
      </w:pPr>
      <w:r w:rsidRPr="00EC4659">
        <w:rPr>
          <w:rFonts w:ascii="Calibri" w:hAnsi="Calibri"/>
          <w:szCs w:val="22"/>
        </w:rPr>
        <w:t xml:space="preserve">For consignments going to the EU, a paper certificate is signed, stamped and sent to the exporter to accompany the consignment overseas. </w:t>
      </w:r>
    </w:p>
    <w:p w14:paraId="6EAB9098" w14:textId="77777777" w:rsidR="00EC4659" w:rsidRPr="00EC4659" w:rsidRDefault="00EC4659" w:rsidP="000F6D46">
      <w:pPr>
        <w:numPr>
          <w:ilvl w:val="0"/>
          <w:numId w:val="75"/>
        </w:numPr>
        <w:spacing w:after="160" w:line="259" w:lineRule="auto"/>
        <w:ind w:left="567"/>
        <w:contextualSpacing/>
        <w:rPr>
          <w:rFonts w:ascii="Calibri" w:hAnsi="Calibri"/>
          <w:szCs w:val="22"/>
        </w:rPr>
      </w:pPr>
      <w:r w:rsidRPr="00EC4659">
        <w:rPr>
          <w:rFonts w:ascii="Calibri" w:hAnsi="Calibri"/>
          <w:szCs w:val="22"/>
        </w:rPr>
        <w:lastRenderedPageBreak/>
        <w:t xml:space="preserve">For consignments going to the USA, the quota system sends an electronic certificate to the USA via a third party (Kleinschmidt) while a notification is sent to the exporter. </w:t>
      </w:r>
    </w:p>
    <w:p w14:paraId="46D6FA33" w14:textId="77777777" w:rsidR="00EC4659" w:rsidRPr="00EC4659" w:rsidRDefault="00EC4659" w:rsidP="000F6D46">
      <w:pPr>
        <w:numPr>
          <w:ilvl w:val="0"/>
          <w:numId w:val="75"/>
        </w:numPr>
        <w:spacing w:after="120" w:line="259" w:lineRule="auto"/>
        <w:ind w:left="567"/>
        <w:contextualSpacing/>
        <w:rPr>
          <w:rFonts w:ascii="Calibri" w:hAnsi="Calibri"/>
          <w:szCs w:val="22"/>
        </w:rPr>
      </w:pPr>
      <w:r w:rsidRPr="00EC4659">
        <w:rPr>
          <w:rFonts w:ascii="Calibri" w:hAnsi="Calibri"/>
          <w:szCs w:val="22"/>
        </w:rPr>
        <w:t>For consignments going to Japan, the exporter is emailed an electronic certificate.</w:t>
      </w:r>
    </w:p>
    <w:p w14:paraId="40494E6B" w14:textId="77777777" w:rsidR="00EC4659" w:rsidRPr="00EC4659" w:rsidRDefault="00EC4659" w:rsidP="00EC4659">
      <w:pPr>
        <w:spacing w:line="259" w:lineRule="auto"/>
        <w:rPr>
          <w:rFonts w:ascii="Calibri" w:hAnsi="Calibri"/>
          <w:szCs w:val="22"/>
        </w:rPr>
      </w:pPr>
      <w:r w:rsidRPr="00EC4659">
        <w:rPr>
          <w:rFonts w:ascii="Calibri" w:hAnsi="Calibri"/>
          <w:szCs w:val="22"/>
        </w:rPr>
        <w:t>As such, quota is administered through two streams of work; allocation and certification. Allocation occurs at various points through the year depending on the commodity and quota rules.  Certification is largely outlined in the previous paragraph and occurs on a daily basis. In 2015-16 the department issued approximately 30,000 quota certificates in total.</w:t>
      </w:r>
    </w:p>
    <w:p w14:paraId="57523B2F" w14:textId="77777777" w:rsidR="00EC4659" w:rsidRPr="00EC4659" w:rsidRDefault="00EC4659" w:rsidP="00EC4659">
      <w:pPr>
        <w:keepNext/>
        <w:keepLines/>
        <w:spacing w:before="200" w:after="160" w:line="276" w:lineRule="auto"/>
        <w:outlineLvl w:val="1"/>
        <w:rPr>
          <w:rFonts w:ascii="Calibri Light" w:eastAsia="SimSun" w:hAnsi="Calibri Light"/>
          <w:b/>
          <w:bCs/>
          <w:color w:val="5B9BD5"/>
          <w:sz w:val="26"/>
          <w:szCs w:val="26"/>
        </w:rPr>
      </w:pPr>
      <w:bookmarkStart w:id="150" w:name="_Toc27482942"/>
      <w:r w:rsidRPr="00EC4659">
        <w:rPr>
          <w:rFonts w:ascii="Calibri Light" w:eastAsia="SimSun" w:hAnsi="Calibri Light"/>
          <w:b/>
          <w:bCs/>
          <w:color w:val="5B9BD5"/>
          <w:sz w:val="26"/>
          <w:szCs w:val="26"/>
        </w:rPr>
        <w:t>iii.</w:t>
      </w:r>
      <w:r w:rsidRPr="00EC4659">
        <w:rPr>
          <w:rFonts w:ascii="Calibri Light" w:eastAsia="SimSun" w:hAnsi="Calibri Light"/>
          <w:b/>
          <w:bCs/>
          <w:color w:val="5B9BD5"/>
          <w:sz w:val="26"/>
          <w:szCs w:val="26"/>
        </w:rPr>
        <w:tab/>
        <w:t>Reform of current legislation</w:t>
      </w:r>
      <w:bookmarkEnd w:id="150"/>
    </w:p>
    <w:p w14:paraId="08B54B8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After the introduction of TRQs under JAEPA, the department commenced the transition of all quota legislation to sit under the </w:t>
      </w:r>
      <w:r w:rsidRPr="00EC4659">
        <w:rPr>
          <w:rFonts w:ascii="Calibri" w:hAnsi="Calibri"/>
          <w:i/>
          <w:szCs w:val="22"/>
        </w:rPr>
        <w:t xml:space="preserve">Export Control Act 1982 </w:t>
      </w:r>
      <w:r w:rsidRPr="00EC4659">
        <w:rPr>
          <w:rFonts w:ascii="Calibri" w:hAnsi="Calibri"/>
          <w:szCs w:val="22"/>
        </w:rPr>
        <w:t>(ECA). Previously, quotas were governed by separate Acts and Regulations, as shown in table 2.</w:t>
      </w:r>
    </w:p>
    <w:p w14:paraId="2E1F182A" w14:textId="77777777" w:rsidR="00EC4659" w:rsidRPr="00EC4659" w:rsidRDefault="00EC4659" w:rsidP="00EC4659">
      <w:pPr>
        <w:spacing w:before="240" w:line="259" w:lineRule="auto"/>
        <w:rPr>
          <w:rFonts w:ascii="Calibri" w:hAnsi="Calibri"/>
          <w:szCs w:val="22"/>
        </w:rPr>
      </w:pPr>
      <w:r w:rsidRPr="00EC4659">
        <w:rPr>
          <w:rFonts w:ascii="Calibri" w:hAnsi="Calibri"/>
          <w:szCs w:val="22"/>
        </w:rPr>
        <w:t>Table 2. Previous legal structure</w:t>
      </w:r>
    </w:p>
    <w:tbl>
      <w:tblPr>
        <w:tblStyle w:val="TableGrid1"/>
        <w:tblW w:w="8926" w:type="dxa"/>
        <w:tblLook w:val="04A0" w:firstRow="1" w:lastRow="0" w:firstColumn="1" w:lastColumn="0" w:noHBand="0" w:noVBand="1"/>
        <w:tblCaption w:val="Table 2. Previous legal structure"/>
        <w:tblDescription w:val="This table details the Australian government managed quotas and legislative instrument that previously applied to each."/>
      </w:tblPr>
      <w:tblGrid>
        <w:gridCol w:w="2972"/>
        <w:gridCol w:w="5954"/>
      </w:tblGrid>
      <w:tr w:rsidR="00EC4659" w:rsidRPr="00EC4659" w14:paraId="2D02BD69" w14:textId="77777777" w:rsidTr="00EC4659">
        <w:trPr>
          <w:tblHeader/>
        </w:trPr>
        <w:tc>
          <w:tcPr>
            <w:tcW w:w="2972" w:type="dxa"/>
            <w:shd w:val="clear" w:color="auto" w:fill="DEEAF6"/>
          </w:tcPr>
          <w:p w14:paraId="79EEDDD8" w14:textId="77777777" w:rsidR="00EC4659" w:rsidRPr="00EC4659" w:rsidRDefault="00EC4659" w:rsidP="00EC4659">
            <w:pPr>
              <w:spacing w:line="240" w:lineRule="auto"/>
              <w:rPr>
                <w:rFonts w:asciiTheme="minorHAnsi" w:eastAsiaTheme="minorHAnsi" w:hAnsiTheme="minorHAnsi" w:cstheme="minorBidi"/>
                <w:b/>
              </w:rPr>
            </w:pPr>
            <w:r w:rsidRPr="00EC4659">
              <w:rPr>
                <w:rFonts w:asciiTheme="minorHAnsi" w:eastAsiaTheme="minorHAnsi" w:hAnsiTheme="minorHAnsi" w:cstheme="minorBidi"/>
                <w:b/>
              </w:rPr>
              <w:t>Quota</w:t>
            </w:r>
          </w:p>
        </w:tc>
        <w:tc>
          <w:tcPr>
            <w:tcW w:w="5954" w:type="dxa"/>
            <w:shd w:val="clear" w:color="auto" w:fill="DEEAF6"/>
          </w:tcPr>
          <w:p w14:paraId="5BC19876" w14:textId="77777777" w:rsidR="00EC4659" w:rsidRPr="00EC4659" w:rsidRDefault="00EC4659" w:rsidP="00EC4659">
            <w:pPr>
              <w:spacing w:line="240" w:lineRule="auto"/>
              <w:rPr>
                <w:rFonts w:asciiTheme="minorHAnsi" w:eastAsiaTheme="minorHAnsi" w:hAnsiTheme="minorHAnsi" w:cstheme="minorBidi"/>
                <w:b/>
              </w:rPr>
            </w:pPr>
            <w:r w:rsidRPr="00EC4659">
              <w:rPr>
                <w:rFonts w:asciiTheme="minorHAnsi" w:eastAsiaTheme="minorHAnsi" w:hAnsiTheme="minorHAnsi" w:cstheme="minorBidi"/>
                <w:b/>
              </w:rPr>
              <w:t>Historical instrument/s</w:t>
            </w:r>
          </w:p>
        </w:tc>
      </w:tr>
      <w:tr w:rsidR="00EC4659" w:rsidRPr="00EC4659" w14:paraId="55701EA3" w14:textId="77777777" w:rsidTr="00EC4659">
        <w:tc>
          <w:tcPr>
            <w:tcW w:w="2972" w:type="dxa"/>
          </w:tcPr>
          <w:p w14:paraId="5D29371D"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EU beef</w:t>
            </w:r>
          </w:p>
          <w:p w14:paraId="113448CD"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 xml:space="preserve">EU </w:t>
            </w:r>
            <w:proofErr w:type="spellStart"/>
            <w:r w:rsidRPr="00EC4659">
              <w:rPr>
                <w:rFonts w:asciiTheme="minorHAnsi" w:eastAsiaTheme="minorHAnsi" w:hAnsiTheme="minorHAnsi" w:cstheme="minorBidi"/>
              </w:rPr>
              <w:t>sheepmeat</w:t>
            </w:r>
            <w:proofErr w:type="spellEnd"/>
            <w:r w:rsidRPr="00EC4659">
              <w:rPr>
                <w:rFonts w:asciiTheme="minorHAnsi" w:eastAsiaTheme="minorHAnsi" w:hAnsiTheme="minorHAnsi" w:cstheme="minorBidi"/>
              </w:rPr>
              <w:t xml:space="preserve"> and </w:t>
            </w:r>
            <w:proofErr w:type="spellStart"/>
            <w:r w:rsidRPr="00EC4659">
              <w:rPr>
                <w:rFonts w:asciiTheme="minorHAnsi" w:eastAsiaTheme="minorHAnsi" w:hAnsiTheme="minorHAnsi" w:cstheme="minorBidi"/>
              </w:rPr>
              <w:t>goatmeat</w:t>
            </w:r>
            <w:proofErr w:type="spellEnd"/>
          </w:p>
          <w:p w14:paraId="1DD99E37"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USA beef</w:t>
            </w:r>
          </w:p>
        </w:tc>
        <w:tc>
          <w:tcPr>
            <w:tcW w:w="5954" w:type="dxa"/>
          </w:tcPr>
          <w:p w14:paraId="4097713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Industry Act 1997</w:t>
            </w:r>
          </w:p>
          <w:p w14:paraId="0CDFC8B1"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(Quotas) Act 1990</w:t>
            </w:r>
          </w:p>
          <w:p w14:paraId="0022E321"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Industry Regulations 1998</w:t>
            </w:r>
          </w:p>
        </w:tc>
      </w:tr>
      <w:tr w:rsidR="00EC4659" w:rsidRPr="00EC4659" w14:paraId="63B73D8E" w14:textId="77777777" w:rsidTr="00EC4659">
        <w:tc>
          <w:tcPr>
            <w:tcW w:w="2972" w:type="dxa"/>
          </w:tcPr>
          <w:p w14:paraId="49542F27"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USA and EU dairy</w:t>
            </w:r>
          </w:p>
        </w:tc>
        <w:tc>
          <w:tcPr>
            <w:tcW w:w="5954" w:type="dxa"/>
          </w:tcPr>
          <w:p w14:paraId="3DA1CE86"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Dairy Produce Act 1986</w:t>
            </w:r>
          </w:p>
          <w:p w14:paraId="037CBEF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Dairy Produce Regulations 1986</w:t>
            </w:r>
          </w:p>
        </w:tc>
      </w:tr>
      <w:tr w:rsidR="00EC4659" w:rsidRPr="00EC4659" w14:paraId="0CE400FA" w14:textId="77777777" w:rsidTr="00EC4659">
        <w:tc>
          <w:tcPr>
            <w:tcW w:w="2972" w:type="dxa"/>
          </w:tcPr>
          <w:p w14:paraId="07C16E65"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JAEPA quotas</w:t>
            </w:r>
          </w:p>
        </w:tc>
        <w:tc>
          <w:tcPr>
            <w:tcW w:w="5954" w:type="dxa"/>
          </w:tcPr>
          <w:p w14:paraId="22B4CB32"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Export Control Act 1982; Sections 20 and 23</w:t>
            </w:r>
          </w:p>
        </w:tc>
      </w:tr>
    </w:tbl>
    <w:p w14:paraId="2206390F" w14:textId="77777777" w:rsidR="00EC4659" w:rsidRPr="00EC4659" w:rsidRDefault="00EC4659" w:rsidP="00EC4659">
      <w:pPr>
        <w:spacing w:before="240" w:after="120" w:line="259" w:lineRule="auto"/>
        <w:rPr>
          <w:rFonts w:ascii="Calibri" w:hAnsi="Calibri"/>
          <w:szCs w:val="22"/>
        </w:rPr>
      </w:pPr>
      <w:r w:rsidRPr="00EC4659">
        <w:rPr>
          <w:rFonts w:ascii="Calibri" w:hAnsi="Calibri"/>
          <w:szCs w:val="22"/>
        </w:rPr>
        <w:t>As part of the department’s broader quota administration modernisation project, all quota administration has been transitioned to sit under the ECA, with other instruments repealed or amended as per table 3.</w:t>
      </w:r>
    </w:p>
    <w:p w14:paraId="63C7BDCD" w14:textId="77777777" w:rsidR="00EC4659" w:rsidRPr="00EC4659" w:rsidRDefault="00EC4659" w:rsidP="00EC4659">
      <w:pPr>
        <w:spacing w:before="240" w:line="259" w:lineRule="auto"/>
        <w:rPr>
          <w:rFonts w:ascii="Calibri" w:hAnsi="Calibri"/>
          <w:szCs w:val="22"/>
        </w:rPr>
      </w:pPr>
      <w:r w:rsidRPr="00EC4659">
        <w:rPr>
          <w:rFonts w:ascii="Calibri" w:hAnsi="Calibri"/>
          <w:szCs w:val="22"/>
        </w:rPr>
        <w:t>Table 3. The transition to a new legal framework</w:t>
      </w:r>
    </w:p>
    <w:tbl>
      <w:tblPr>
        <w:tblStyle w:val="TableGrid1"/>
        <w:tblW w:w="0" w:type="auto"/>
        <w:tblLook w:val="04A0" w:firstRow="1" w:lastRow="0" w:firstColumn="1" w:lastColumn="0" w:noHBand="0" w:noVBand="1"/>
        <w:tblCaption w:val="Table 3. Transition of quotas to new legal frameworks"/>
        <w:tblDescription w:val="This table details the previous legislation, the new legislation that replaced it, and the date when the new legislation began."/>
      </w:tblPr>
      <w:tblGrid>
        <w:gridCol w:w="3681"/>
        <w:gridCol w:w="3402"/>
        <w:gridCol w:w="1933"/>
      </w:tblGrid>
      <w:tr w:rsidR="00EC4659" w:rsidRPr="00EC4659" w14:paraId="267A7566" w14:textId="77777777" w:rsidTr="00EC4659">
        <w:trPr>
          <w:tblHeader/>
        </w:trPr>
        <w:tc>
          <w:tcPr>
            <w:tcW w:w="3681" w:type="dxa"/>
            <w:shd w:val="clear" w:color="auto" w:fill="DEEAF6"/>
          </w:tcPr>
          <w:p w14:paraId="00C95B03" w14:textId="77777777" w:rsidR="00EC4659" w:rsidRPr="00EC4659" w:rsidRDefault="00EC4659" w:rsidP="00EC4659">
            <w:pPr>
              <w:spacing w:line="240" w:lineRule="auto"/>
              <w:rPr>
                <w:rFonts w:asciiTheme="minorHAnsi" w:eastAsiaTheme="minorHAnsi" w:hAnsiTheme="minorHAnsi" w:cstheme="minorBidi"/>
                <w:b/>
              </w:rPr>
            </w:pPr>
            <w:r w:rsidRPr="00EC4659">
              <w:rPr>
                <w:rFonts w:asciiTheme="minorHAnsi" w:eastAsiaTheme="minorHAnsi" w:hAnsiTheme="minorHAnsi" w:cstheme="minorBidi"/>
                <w:b/>
              </w:rPr>
              <w:t>Historical arrangements/instrument</w:t>
            </w:r>
          </w:p>
        </w:tc>
        <w:tc>
          <w:tcPr>
            <w:tcW w:w="3402" w:type="dxa"/>
            <w:shd w:val="clear" w:color="auto" w:fill="DEEAF6"/>
          </w:tcPr>
          <w:p w14:paraId="47B52708" w14:textId="77777777" w:rsidR="00EC4659" w:rsidRPr="00EC4659" w:rsidRDefault="00EC4659" w:rsidP="00EC4659">
            <w:pPr>
              <w:spacing w:line="240" w:lineRule="auto"/>
              <w:rPr>
                <w:rFonts w:asciiTheme="minorHAnsi" w:eastAsiaTheme="minorHAnsi" w:hAnsiTheme="minorHAnsi" w:cstheme="minorBidi"/>
                <w:b/>
              </w:rPr>
            </w:pPr>
            <w:r w:rsidRPr="00EC4659">
              <w:rPr>
                <w:rFonts w:asciiTheme="minorHAnsi" w:eastAsiaTheme="minorHAnsi" w:hAnsiTheme="minorHAnsi" w:cstheme="minorBidi"/>
                <w:b/>
              </w:rPr>
              <w:t>New state</w:t>
            </w:r>
          </w:p>
        </w:tc>
        <w:tc>
          <w:tcPr>
            <w:tcW w:w="1933" w:type="dxa"/>
            <w:shd w:val="clear" w:color="auto" w:fill="DEEAF6"/>
          </w:tcPr>
          <w:p w14:paraId="0BA72671" w14:textId="77777777" w:rsidR="00EC4659" w:rsidRPr="00EC4659" w:rsidRDefault="00EC4659" w:rsidP="00EC4659">
            <w:pPr>
              <w:spacing w:line="240" w:lineRule="auto"/>
              <w:rPr>
                <w:rFonts w:asciiTheme="minorHAnsi" w:eastAsiaTheme="minorHAnsi" w:hAnsiTheme="minorHAnsi" w:cstheme="minorBidi"/>
                <w:b/>
              </w:rPr>
            </w:pPr>
            <w:r w:rsidRPr="00EC4659">
              <w:rPr>
                <w:rFonts w:asciiTheme="minorHAnsi" w:eastAsiaTheme="minorHAnsi" w:hAnsiTheme="minorHAnsi" w:cstheme="minorBidi"/>
                <w:b/>
              </w:rPr>
              <w:t>Date of transition</w:t>
            </w:r>
          </w:p>
        </w:tc>
      </w:tr>
      <w:tr w:rsidR="00EC4659" w:rsidRPr="00EC4659" w14:paraId="78C72CE5" w14:textId="77777777" w:rsidTr="00EC4659">
        <w:tc>
          <w:tcPr>
            <w:tcW w:w="3681" w:type="dxa"/>
          </w:tcPr>
          <w:p w14:paraId="42F6944F"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Industry Act 1997</w:t>
            </w:r>
          </w:p>
        </w:tc>
        <w:tc>
          <w:tcPr>
            <w:tcW w:w="3402" w:type="dxa"/>
          </w:tcPr>
          <w:p w14:paraId="08A474C4"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Export Control Act 1982 (Section 23A)</w:t>
            </w:r>
          </w:p>
        </w:tc>
        <w:tc>
          <w:tcPr>
            <w:tcW w:w="1933" w:type="dxa"/>
          </w:tcPr>
          <w:p w14:paraId="2820436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11 December 2015</w:t>
            </w:r>
            <w:r w:rsidRPr="00EC4659">
              <w:rPr>
                <w:rFonts w:asciiTheme="minorHAnsi" w:eastAsiaTheme="minorHAnsi" w:hAnsiTheme="minorHAnsi" w:cstheme="minorBidi"/>
              </w:rPr>
              <w:br/>
            </w:r>
          </w:p>
        </w:tc>
      </w:tr>
      <w:tr w:rsidR="00EC4659" w:rsidRPr="00EC4659" w14:paraId="05C93414" w14:textId="77777777" w:rsidTr="00EC4659">
        <w:tc>
          <w:tcPr>
            <w:tcW w:w="3681" w:type="dxa"/>
          </w:tcPr>
          <w:p w14:paraId="0C1242E8"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(Quotas) Act 1990*</w:t>
            </w:r>
          </w:p>
        </w:tc>
        <w:tc>
          <w:tcPr>
            <w:tcW w:w="3402" w:type="dxa"/>
          </w:tcPr>
          <w:p w14:paraId="339D7F8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Repeal</w:t>
            </w:r>
          </w:p>
        </w:tc>
        <w:tc>
          <w:tcPr>
            <w:tcW w:w="1933" w:type="dxa"/>
          </w:tcPr>
          <w:p w14:paraId="3C32D95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 January 2017</w:t>
            </w:r>
          </w:p>
        </w:tc>
      </w:tr>
      <w:tr w:rsidR="00EC4659" w:rsidRPr="00EC4659" w14:paraId="4B54E09C" w14:textId="77777777" w:rsidTr="00EC4659">
        <w:tc>
          <w:tcPr>
            <w:tcW w:w="3681" w:type="dxa"/>
          </w:tcPr>
          <w:p w14:paraId="12DFA9B4"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Industry Regulations 1998^</w:t>
            </w:r>
          </w:p>
        </w:tc>
        <w:tc>
          <w:tcPr>
            <w:tcW w:w="3402" w:type="dxa"/>
          </w:tcPr>
          <w:p w14:paraId="297E07F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Repeal quota references</w:t>
            </w:r>
          </w:p>
        </w:tc>
        <w:tc>
          <w:tcPr>
            <w:tcW w:w="1933" w:type="dxa"/>
          </w:tcPr>
          <w:p w14:paraId="6304D464"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 January 2017</w:t>
            </w:r>
          </w:p>
        </w:tc>
      </w:tr>
      <w:tr w:rsidR="00EC4659" w:rsidRPr="00EC4659" w14:paraId="614A1289" w14:textId="77777777" w:rsidTr="00EC4659">
        <w:tc>
          <w:tcPr>
            <w:tcW w:w="3681" w:type="dxa"/>
          </w:tcPr>
          <w:p w14:paraId="1239AA2D"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Dairy Produce Regulations 1986^</w:t>
            </w:r>
          </w:p>
        </w:tc>
        <w:tc>
          <w:tcPr>
            <w:tcW w:w="3402" w:type="dxa"/>
          </w:tcPr>
          <w:p w14:paraId="49422A3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Export Control (Dairy Produce Tariff Rate Quotas) Order 2016</w:t>
            </w:r>
          </w:p>
        </w:tc>
        <w:tc>
          <w:tcPr>
            <w:tcW w:w="1933" w:type="dxa"/>
          </w:tcPr>
          <w:p w14:paraId="0A5B07E2"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 January 2017</w:t>
            </w:r>
          </w:p>
        </w:tc>
      </w:tr>
      <w:tr w:rsidR="00EC4659" w:rsidRPr="00EC4659" w14:paraId="23A75407" w14:textId="77777777" w:rsidTr="00EC4659">
        <w:tc>
          <w:tcPr>
            <w:tcW w:w="3681" w:type="dxa"/>
          </w:tcPr>
          <w:p w14:paraId="71B5FCC4"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Industry (</w:t>
            </w:r>
            <w:proofErr w:type="spellStart"/>
            <w:r w:rsidRPr="00EC4659">
              <w:rPr>
                <w:rFonts w:asciiTheme="minorHAnsi" w:eastAsiaTheme="minorHAnsi" w:hAnsiTheme="minorHAnsi" w:cstheme="minorBidi"/>
              </w:rPr>
              <w:t>Sheepmeat</w:t>
            </w:r>
            <w:proofErr w:type="spellEnd"/>
            <w:r w:rsidRPr="00EC4659">
              <w:rPr>
                <w:rFonts w:asciiTheme="minorHAnsi" w:eastAsiaTheme="minorHAnsi" w:hAnsiTheme="minorHAnsi" w:cstheme="minorBidi"/>
              </w:rPr>
              <w:t xml:space="preserve"> and </w:t>
            </w:r>
            <w:proofErr w:type="spellStart"/>
            <w:r w:rsidRPr="00EC4659">
              <w:rPr>
                <w:rFonts w:asciiTheme="minorHAnsi" w:eastAsiaTheme="minorHAnsi" w:hAnsiTheme="minorHAnsi" w:cstheme="minorBidi"/>
              </w:rPr>
              <w:t>Goatmeat</w:t>
            </w:r>
            <w:proofErr w:type="spellEnd"/>
            <w:r w:rsidRPr="00EC4659">
              <w:rPr>
                <w:rFonts w:asciiTheme="minorHAnsi" w:eastAsiaTheme="minorHAnsi" w:hAnsiTheme="minorHAnsi" w:cstheme="minorBidi"/>
              </w:rPr>
              <w:t xml:space="preserve"> Export to the European Union) Order 2014*</w:t>
            </w:r>
          </w:p>
        </w:tc>
        <w:tc>
          <w:tcPr>
            <w:tcW w:w="3402" w:type="dxa"/>
          </w:tcPr>
          <w:p w14:paraId="6DAED3BA"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Export Control (</w:t>
            </w:r>
            <w:proofErr w:type="spellStart"/>
            <w:r w:rsidRPr="00EC4659">
              <w:rPr>
                <w:rFonts w:asciiTheme="minorHAnsi" w:eastAsiaTheme="minorHAnsi" w:hAnsiTheme="minorHAnsi" w:cstheme="minorBidi"/>
              </w:rPr>
              <w:t>Sheepmeat</w:t>
            </w:r>
            <w:proofErr w:type="spellEnd"/>
            <w:r w:rsidRPr="00EC4659">
              <w:rPr>
                <w:rFonts w:asciiTheme="minorHAnsi" w:eastAsiaTheme="minorHAnsi" w:hAnsiTheme="minorHAnsi" w:cstheme="minorBidi"/>
              </w:rPr>
              <w:t xml:space="preserve"> and </w:t>
            </w:r>
            <w:proofErr w:type="spellStart"/>
            <w:r w:rsidRPr="00EC4659">
              <w:rPr>
                <w:rFonts w:asciiTheme="minorHAnsi" w:eastAsiaTheme="minorHAnsi" w:hAnsiTheme="minorHAnsi" w:cstheme="minorBidi"/>
              </w:rPr>
              <w:t>Goatmeat</w:t>
            </w:r>
            <w:proofErr w:type="spellEnd"/>
            <w:r w:rsidRPr="00EC4659">
              <w:rPr>
                <w:rFonts w:asciiTheme="minorHAnsi" w:eastAsiaTheme="minorHAnsi" w:hAnsiTheme="minorHAnsi" w:cstheme="minorBidi"/>
              </w:rPr>
              <w:t xml:space="preserve"> Export to the European Union Tariff Rate Quota) Order 2016</w:t>
            </w:r>
          </w:p>
        </w:tc>
        <w:tc>
          <w:tcPr>
            <w:tcW w:w="1933" w:type="dxa"/>
          </w:tcPr>
          <w:p w14:paraId="66FD6F65"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 January 2017</w:t>
            </w:r>
          </w:p>
        </w:tc>
      </w:tr>
      <w:tr w:rsidR="00EC4659" w:rsidRPr="00EC4659" w14:paraId="4C10245F" w14:textId="77777777" w:rsidTr="00EC4659">
        <w:tc>
          <w:tcPr>
            <w:tcW w:w="3681" w:type="dxa"/>
          </w:tcPr>
          <w:p w14:paraId="654F5E51"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Industry (Beef Export to the USA – Quota Years 2016-2022) Order 2015*</w:t>
            </w:r>
          </w:p>
        </w:tc>
        <w:tc>
          <w:tcPr>
            <w:tcW w:w="3402" w:type="dxa"/>
          </w:tcPr>
          <w:p w14:paraId="30E23819"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Export Control (Beef Export to the USA Tariff Rate Quota) Order 2016</w:t>
            </w:r>
          </w:p>
          <w:p w14:paraId="718ED56B" w14:textId="77777777" w:rsidR="00EC4659" w:rsidRPr="00EC4659" w:rsidRDefault="00EC4659" w:rsidP="00EC4659">
            <w:pPr>
              <w:spacing w:line="240" w:lineRule="auto"/>
              <w:rPr>
                <w:rFonts w:asciiTheme="minorHAnsi" w:eastAsiaTheme="minorHAnsi" w:hAnsiTheme="minorHAnsi" w:cstheme="minorBidi"/>
              </w:rPr>
            </w:pPr>
          </w:p>
        </w:tc>
        <w:tc>
          <w:tcPr>
            <w:tcW w:w="1933" w:type="dxa"/>
          </w:tcPr>
          <w:p w14:paraId="0F9E6EDF"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 July 2016</w:t>
            </w:r>
          </w:p>
        </w:tc>
      </w:tr>
      <w:tr w:rsidR="00EC4659" w:rsidRPr="00EC4659" w14:paraId="3505ADFA" w14:textId="77777777" w:rsidTr="00EC4659">
        <w:tc>
          <w:tcPr>
            <w:tcW w:w="3681" w:type="dxa"/>
          </w:tcPr>
          <w:p w14:paraId="225035A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Australian Meat and Live-stock Industry (High Quality Beef Export to the European Union) Order 2015*</w:t>
            </w:r>
          </w:p>
        </w:tc>
        <w:tc>
          <w:tcPr>
            <w:tcW w:w="3402" w:type="dxa"/>
          </w:tcPr>
          <w:p w14:paraId="7A279CD6"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Export Control (High Quality Beef Export to the European Union Tariff Rate Quotas) Order 2016</w:t>
            </w:r>
          </w:p>
        </w:tc>
        <w:tc>
          <w:tcPr>
            <w:tcW w:w="1933" w:type="dxa"/>
          </w:tcPr>
          <w:p w14:paraId="5CB8B507"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 July 2016</w:t>
            </w:r>
          </w:p>
        </w:tc>
      </w:tr>
      <w:tr w:rsidR="00EC4659" w:rsidRPr="00EC4659" w14:paraId="10B80192" w14:textId="77777777" w:rsidTr="00EC4659">
        <w:trPr>
          <w:cantSplit/>
        </w:trPr>
        <w:tc>
          <w:tcPr>
            <w:tcW w:w="3681" w:type="dxa"/>
          </w:tcPr>
          <w:p w14:paraId="35F020E5"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lastRenderedPageBreak/>
              <w:t>Export Control Act 1982; Sections 20 and 23</w:t>
            </w:r>
          </w:p>
          <w:p w14:paraId="582AB932"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 xml:space="preserve">Export Control (Meat and Meat Products) Orders 2005; </w:t>
            </w:r>
            <w:proofErr w:type="spellStart"/>
            <w:r w:rsidRPr="00EC4659">
              <w:rPr>
                <w:rFonts w:asciiTheme="minorHAnsi" w:eastAsiaTheme="minorHAnsi" w:hAnsiTheme="minorHAnsi" w:cstheme="minorBidi"/>
              </w:rPr>
              <w:t>Sch</w:t>
            </w:r>
            <w:proofErr w:type="spellEnd"/>
            <w:r w:rsidRPr="00EC4659">
              <w:rPr>
                <w:rFonts w:asciiTheme="minorHAnsi" w:eastAsiaTheme="minorHAnsi" w:hAnsiTheme="minorHAnsi" w:cstheme="minorBidi"/>
              </w:rPr>
              <w:t xml:space="preserve"> 8, 14.1</w:t>
            </w:r>
          </w:p>
          <w:p w14:paraId="7A0FA25B"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 xml:space="preserve">Export Control (Poultry Meat and Poultry Meat Products) Orders 2010; </w:t>
            </w:r>
            <w:proofErr w:type="spellStart"/>
            <w:r w:rsidRPr="00EC4659">
              <w:rPr>
                <w:rFonts w:asciiTheme="minorHAnsi" w:eastAsiaTheme="minorHAnsi" w:hAnsiTheme="minorHAnsi" w:cstheme="minorBidi"/>
              </w:rPr>
              <w:t>Sch</w:t>
            </w:r>
            <w:proofErr w:type="spellEnd"/>
            <w:r w:rsidRPr="00EC4659">
              <w:rPr>
                <w:rFonts w:asciiTheme="minorHAnsi" w:eastAsiaTheme="minorHAnsi" w:hAnsiTheme="minorHAnsi" w:cstheme="minorBidi"/>
              </w:rPr>
              <w:t xml:space="preserve"> 8, 14</w:t>
            </w:r>
          </w:p>
          <w:p w14:paraId="44D46C2D"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 xml:space="preserve">Export Control (Prescribed Goods – General) Order 2005; </w:t>
            </w:r>
            <w:proofErr w:type="spellStart"/>
            <w:r w:rsidRPr="00EC4659">
              <w:rPr>
                <w:rFonts w:asciiTheme="minorHAnsi" w:eastAsiaTheme="minorHAnsi" w:hAnsiTheme="minorHAnsi" w:cstheme="minorBidi"/>
              </w:rPr>
              <w:t>Sch</w:t>
            </w:r>
            <w:proofErr w:type="spellEnd"/>
            <w:r w:rsidRPr="00EC4659">
              <w:rPr>
                <w:rFonts w:asciiTheme="minorHAnsi" w:eastAsiaTheme="minorHAnsi" w:hAnsiTheme="minorHAnsi" w:cstheme="minorBidi"/>
              </w:rPr>
              <w:t xml:space="preserve"> 8.05 (1)</w:t>
            </w:r>
          </w:p>
        </w:tc>
        <w:tc>
          <w:tcPr>
            <w:tcW w:w="3402" w:type="dxa"/>
          </w:tcPr>
          <w:p w14:paraId="2446E293"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Export Control (Japan Australia Economic Partnership Agreement Tariff Rate Quotas) Order 2016</w:t>
            </w:r>
          </w:p>
        </w:tc>
        <w:tc>
          <w:tcPr>
            <w:tcW w:w="1933" w:type="dxa"/>
          </w:tcPr>
          <w:p w14:paraId="4E6EEE47" w14:textId="77777777" w:rsidR="00EC4659" w:rsidRPr="00EC4659" w:rsidRDefault="00EC4659" w:rsidP="00EC4659">
            <w:pPr>
              <w:spacing w:line="240" w:lineRule="auto"/>
              <w:rPr>
                <w:rFonts w:asciiTheme="minorHAnsi" w:eastAsiaTheme="minorHAnsi" w:hAnsiTheme="minorHAnsi" w:cstheme="minorBidi"/>
              </w:rPr>
            </w:pPr>
            <w:r w:rsidRPr="00EC4659">
              <w:rPr>
                <w:rFonts w:asciiTheme="minorHAnsi" w:eastAsiaTheme="minorHAnsi" w:hAnsiTheme="minorHAnsi" w:cstheme="minorBidi"/>
              </w:rPr>
              <w:t>1 April 2016</w:t>
            </w:r>
          </w:p>
        </w:tc>
      </w:tr>
    </w:tbl>
    <w:p w14:paraId="7E210777" w14:textId="77777777" w:rsidR="00EC4659" w:rsidRPr="00EC4659" w:rsidRDefault="00EC4659" w:rsidP="00EC4659">
      <w:pPr>
        <w:spacing w:after="120" w:line="259" w:lineRule="auto"/>
        <w:rPr>
          <w:rFonts w:ascii="Calibri" w:hAnsi="Calibri"/>
          <w:sz w:val="20"/>
        </w:rPr>
      </w:pPr>
      <w:r w:rsidRPr="00EC4659">
        <w:rPr>
          <w:rFonts w:ascii="Calibri" w:hAnsi="Calibri"/>
          <w:sz w:val="20"/>
        </w:rPr>
        <w:t xml:space="preserve">* Repealed in full </w:t>
      </w:r>
      <w:r w:rsidRPr="00EC4659">
        <w:rPr>
          <w:rFonts w:ascii="Calibri" w:hAnsi="Calibri"/>
          <w:sz w:val="20"/>
        </w:rPr>
        <w:br/>
        <w:t>^ Repealed in part.</w:t>
      </w:r>
    </w:p>
    <w:p w14:paraId="542860BB" w14:textId="77777777" w:rsidR="00EC4659" w:rsidRPr="00EC4659" w:rsidRDefault="00EC4659" w:rsidP="00463809">
      <w:pPr>
        <w:keepNext/>
        <w:keepLines/>
        <w:spacing w:before="200" w:after="160" w:line="276" w:lineRule="auto"/>
        <w:outlineLvl w:val="1"/>
        <w:rPr>
          <w:rFonts w:ascii="Calibri Light" w:eastAsia="SimSun" w:hAnsi="Calibri Light"/>
          <w:b/>
          <w:bCs/>
          <w:color w:val="5B9BD5"/>
          <w:sz w:val="26"/>
          <w:szCs w:val="26"/>
        </w:rPr>
      </w:pPr>
      <w:bookmarkStart w:id="151" w:name="_Toc27482943"/>
      <w:r w:rsidRPr="00EC4659">
        <w:rPr>
          <w:rFonts w:ascii="Calibri Light" w:eastAsia="SimSun" w:hAnsi="Calibri Light"/>
          <w:b/>
          <w:bCs/>
          <w:color w:val="5B9BD5"/>
          <w:sz w:val="26"/>
          <w:szCs w:val="26"/>
        </w:rPr>
        <w:t>iv.</w:t>
      </w:r>
      <w:r w:rsidRPr="00EC4659">
        <w:rPr>
          <w:rFonts w:ascii="Calibri Light" w:eastAsia="SimSun" w:hAnsi="Calibri Light"/>
          <w:b/>
          <w:bCs/>
          <w:color w:val="5B9BD5"/>
          <w:sz w:val="26"/>
          <w:szCs w:val="26"/>
        </w:rPr>
        <w:tab/>
        <w:t>Reform of current IT and cost recovery arrangements</w:t>
      </w:r>
      <w:bookmarkEnd w:id="151"/>
    </w:p>
    <w:p w14:paraId="2C13D38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In line with the reform of legislation, the department has reformed its cost recovery approach and is updating its IT arrangements for quota administration.</w:t>
      </w:r>
    </w:p>
    <w:p w14:paraId="0FA7BE7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Quota administration is a cost recovered function which was historically recovered on a per tonnage and application basis, until all cost recovery across the department was reviewed in 2015.  From 1 December 2015, quotas transitioned the cost recovery arrangements to be cost recovered on a per certificate basis.  The EU </w:t>
      </w:r>
      <w:proofErr w:type="spellStart"/>
      <w:r w:rsidRPr="00EC4659">
        <w:rPr>
          <w:rFonts w:ascii="Calibri" w:hAnsi="Calibri"/>
          <w:szCs w:val="22"/>
        </w:rPr>
        <w:t>sheepmeat</w:t>
      </w:r>
      <w:proofErr w:type="spellEnd"/>
      <w:r w:rsidRPr="00EC4659">
        <w:rPr>
          <w:rFonts w:ascii="Calibri" w:hAnsi="Calibri"/>
          <w:szCs w:val="22"/>
        </w:rPr>
        <w:t xml:space="preserve"> and </w:t>
      </w:r>
      <w:proofErr w:type="spellStart"/>
      <w:r w:rsidRPr="00EC4659">
        <w:rPr>
          <w:rFonts w:ascii="Calibri" w:hAnsi="Calibri"/>
          <w:szCs w:val="22"/>
        </w:rPr>
        <w:t>goatmeat</w:t>
      </w:r>
      <w:proofErr w:type="spellEnd"/>
      <w:r w:rsidRPr="00EC4659">
        <w:rPr>
          <w:rFonts w:ascii="Calibri" w:hAnsi="Calibri"/>
          <w:szCs w:val="22"/>
        </w:rPr>
        <w:t xml:space="preserve"> TRQ was the last to transition into this new arrangement on 1 January 2017.</w:t>
      </w:r>
    </w:p>
    <w:p w14:paraId="31428079" w14:textId="77777777" w:rsidR="00EC4659" w:rsidRPr="00EC4659" w:rsidRDefault="00EC4659" w:rsidP="00EC4659">
      <w:pPr>
        <w:spacing w:after="120" w:line="259" w:lineRule="auto"/>
        <w:rPr>
          <w:rFonts w:ascii="Calibri" w:hAnsi="Calibri"/>
          <w:b/>
          <w:bCs/>
          <w:szCs w:val="22"/>
        </w:rPr>
      </w:pPr>
      <w:r w:rsidRPr="00EC4659">
        <w:rPr>
          <w:rFonts w:ascii="Calibri" w:hAnsi="Calibri"/>
          <w:szCs w:val="22"/>
        </w:rPr>
        <w:t>Quota administration occurs across three distinct IT systems; SARA, DAISY and Oracle. The technology that underpins both SARA and DAISY has become redundant and requires replacing, while the Oracle system was built for the implementation of JAEPA quotas.  The department is undertaking an upgrade with the intent that one IT system will be able to cope with all existing and future quotas.  This will reduce IT maintenance costs and streamline existing processes, saving time and money for both exporters and government.</w:t>
      </w:r>
    </w:p>
    <w:p w14:paraId="5F475FFF" w14:textId="0C2146E7" w:rsidR="00EC4659" w:rsidRPr="00EC4659" w:rsidRDefault="00EC4659" w:rsidP="00463809">
      <w:pPr>
        <w:keepNext/>
        <w:keepLines/>
        <w:spacing w:before="200" w:after="160" w:line="276" w:lineRule="auto"/>
        <w:outlineLvl w:val="1"/>
        <w:rPr>
          <w:rFonts w:ascii="Calibri Light" w:eastAsia="SimSun" w:hAnsi="Calibri Light"/>
          <w:b/>
          <w:bCs/>
          <w:color w:val="5B9BD5"/>
          <w:sz w:val="26"/>
          <w:szCs w:val="26"/>
        </w:rPr>
      </w:pPr>
      <w:bookmarkStart w:id="152" w:name="_Toc27482944"/>
      <w:r w:rsidRPr="00EC4659">
        <w:rPr>
          <w:rFonts w:ascii="Calibri Light" w:eastAsia="SimSun" w:hAnsi="Calibri Light"/>
          <w:b/>
          <w:bCs/>
          <w:color w:val="5B9BD5"/>
          <w:sz w:val="26"/>
          <w:szCs w:val="26"/>
        </w:rPr>
        <w:t>v.</w:t>
      </w:r>
      <w:r w:rsidRPr="00EC4659">
        <w:rPr>
          <w:rFonts w:ascii="Calibri Light" w:eastAsia="SimSun" w:hAnsi="Calibri Light"/>
          <w:b/>
          <w:bCs/>
          <w:color w:val="5B9BD5"/>
          <w:sz w:val="26"/>
          <w:szCs w:val="26"/>
        </w:rPr>
        <w:tab/>
        <w:t>Quota principles</w:t>
      </w:r>
      <w:bookmarkEnd w:id="152"/>
    </w:p>
    <w:p w14:paraId="503AA2C3" w14:textId="77777777" w:rsidR="00EC4659" w:rsidRPr="00EC4659" w:rsidRDefault="00EC4659" w:rsidP="00EC4659">
      <w:pPr>
        <w:spacing w:after="240" w:line="259" w:lineRule="auto"/>
        <w:rPr>
          <w:rFonts w:ascii="Calibri" w:hAnsi="Calibri"/>
          <w:szCs w:val="22"/>
        </w:rPr>
      </w:pPr>
      <w:r w:rsidRPr="00EC4659">
        <w:rPr>
          <w:rFonts w:ascii="Calibri" w:hAnsi="Calibri"/>
          <w:szCs w:val="22"/>
        </w:rPr>
        <w:t>By 2005 the Council of Australian Governments (COAG) had developed a set of principles to underpin effective regulations and review of those regulations</w:t>
      </w:r>
      <w:r w:rsidRPr="00EC4659">
        <w:rPr>
          <w:rFonts w:ascii="Calibri" w:hAnsi="Calibri"/>
          <w:szCs w:val="22"/>
          <w:vertAlign w:val="superscript"/>
        </w:rPr>
        <w:footnoteReference w:id="3"/>
      </w:r>
      <w:r w:rsidRPr="00EC4659">
        <w:rPr>
          <w:rFonts w:ascii="Calibri" w:hAnsi="Calibri"/>
          <w:szCs w:val="22"/>
        </w:rPr>
        <w:t xml:space="preserve">. Based on this work, the independent Quota Management Panel that conducted the US beef quota review in 2005 identified a set of principles to evaluate the appropriateness, effectiveness and efficiency of quota administration arrangements.  These principles have subsequently been used in all reviews of quota administration.  </w:t>
      </w:r>
    </w:p>
    <w:p w14:paraId="7482E69B" w14:textId="77777777" w:rsidR="00EC4659" w:rsidRPr="00EC4659" w:rsidRDefault="00EC4659" w:rsidP="00EC4659">
      <w:pPr>
        <w:spacing w:line="259" w:lineRule="auto"/>
        <w:rPr>
          <w:rFonts w:ascii="Calibri" w:hAnsi="Calibri"/>
          <w:szCs w:val="22"/>
        </w:rPr>
      </w:pPr>
      <w:r w:rsidRPr="00EC4659">
        <w:rPr>
          <w:rFonts w:ascii="Calibri" w:hAnsi="Calibri"/>
          <w:szCs w:val="22"/>
        </w:rPr>
        <w:t>Table 4. The quota principles</w:t>
      </w:r>
    </w:p>
    <w:tbl>
      <w:tblPr>
        <w:tblStyle w:val="TableGrid1"/>
        <w:tblW w:w="0" w:type="auto"/>
        <w:tblLook w:val="04A0" w:firstRow="1" w:lastRow="0" w:firstColumn="1" w:lastColumn="0" w:noHBand="0" w:noVBand="1"/>
        <w:tblCaption w:val="Table 4. The quota principles"/>
        <w:tblDescription w:val="This table lists the six quota principles and provides a description for each."/>
      </w:tblPr>
      <w:tblGrid>
        <w:gridCol w:w="9016"/>
      </w:tblGrid>
      <w:tr w:rsidR="00EC4659" w:rsidRPr="00EC4659" w14:paraId="10E7566D" w14:textId="77777777" w:rsidTr="00EC4659">
        <w:trPr>
          <w:cantSplit/>
        </w:trPr>
        <w:tc>
          <w:tcPr>
            <w:tcW w:w="9016" w:type="dxa"/>
            <w:tcBorders>
              <w:bottom w:val="single" w:sz="4" w:space="0" w:color="auto"/>
            </w:tcBorders>
            <w:shd w:val="clear" w:color="auto" w:fill="DEEAF6"/>
          </w:tcPr>
          <w:p w14:paraId="5CD5CB5B" w14:textId="77777777" w:rsidR="00EC4659" w:rsidRPr="00463809" w:rsidRDefault="00EC4659" w:rsidP="00463809">
            <w:pPr>
              <w:spacing w:line="240" w:lineRule="auto"/>
              <w:jc w:val="center"/>
              <w:rPr>
                <w:rFonts w:asciiTheme="minorHAnsi" w:eastAsiaTheme="minorHAnsi" w:hAnsiTheme="minorHAnsi" w:cstheme="minorBidi"/>
                <w:b/>
              </w:rPr>
            </w:pPr>
            <w:r w:rsidRPr="00463809">
              <w:rPr>
                <w:rFonts w:asciiTheme="minorHAnsi" w:eastAsiaTheme="minorHAnsi" w:hAnsiTheme="minorHAnsi" w:cstheme="minorBidi"/>
                <w:b/>
              </w:rPr>
              <w:t>Principle 1: Optimise the commercial value and use of the quota</w:t>
            </w:r>
          </w:p>
        </w:tc>
      </w:tr>
      <w:tr w:rsidR="00EC4659" w:rsidRPr="00EC4659" w14:paraId="7E93CFC0" w14:textId="77777777" w:rsidTr="00EC4659">
        <w:trPr>
          <w:cantSplit/>
        </w:trPr>
        <w:tc>
          <w:tcPr>
            <w:tcW w:w="9016" w:type="dxa"/>
            <w:tcBorders>
              <w:bottom w:val="single" w:sz="4" w:space="0" w:color="auto"/>
            </w:tcBorders>
          </w:tcPr>
          <w:p w14:paraId="15EB4A73" w14:textId="77777777" w:rsidR="00EC4659" w:rsidRPr="00EC4659" w:rsidRDefault="00EC4659" w:rsidP="00463809">
            <w:pPr>
              <w:spacing w:line="240" w:lineRule="auto"/>
              <w:rPr>
                <w:rFonts w:ascii="Calibri" w:hAnsi="Calibri"/>
                <w:b/>
                <w:bCs/>
                <w:sz w:val="20"/>
              </w:rPr>
            </w:pPr>
            <w:r w:rsidRPr="00463809">
              <w:rPr>
                <w:rFonts w:asciiTheme="minorHAnsi" w:eastAsiaTheme="minorHAnsi" w:hAnsiTheme="minorHAnsi" w:cstheme="minorBidi"/>
              </w:rPr>
              <w:t>Optimal value of the quota is more likely to be achieved where company decision making is focused on maximising commercial returns rather than meeting conditions established by quota arrangements. Quota administration should not seek to promote full use of the quota access if it is contrary to market signals and could reduce the value of Australian exports.</w:t>
            </w:r>
            <w:r w:rsidRPr="00EC4659">
              <w:rPr>
                <w:rFonts w:ascii="Calibri" w:hAnsi="Calibri"/>
                <w:b/>
                <w:bCs/>
                <w:sz w:val="20"/>
              </w:rPr>
              <w:t xml:space="preserve"> </w:t>
            </w:r>
          </w:p>
        </w:tc>
      </w:tr>
      <w:tr w:rsidR="00EC4659" w:rsidRPr="00EC4659" w14:paraId="205F903F" w14:textId="77777777" w:rsidTr="00EC4659">
        <w:trPr>
          <w:cantSplit/>
        </w:trPr>
        <w:tc>
          <w:tcPr>
            <w:tcW w:w="9016" w:type="dxa"/>
            <w:shd w:val="clear" w:color="auto" w:fill="DEEAF6"/>
          </w:tcPr>
          <w:p w14:paraId="0795FEE0" w14:textId="77777777" w:rsidR="00EC4659" w:rsidRPr="00463809" w:rsidRDefault="00EC4659" w:rsidP="00463809">
            <w:pPr>
              <w:spacing w:line="240" w:lineRule="auto"/>
              <w:jc w:val="center"/>
              <w:rPr>
                <w:rFonts w:asciiTheme="minorHAnsi" w:eastAsiaTheme="minorHAnsi" w:hAnsiTheme="minorHAnsi" w:cstheme="minorBidi"/>
                <w:b/>
              </w:rPr>
            </w:pPr>
            <w:r w:rsidRPr="00463809">
              <w:rPr>
                <w:rFonts w:asciiTheme="minorHAnsi" w:eastAsiaTheme="minorHAnsi" w:hAnsiTheme="minorHAnsi" w:cstheme="minorBidi"/>
                <w:b/>
              </w:rPr>
              <w:t>Principle 2: Minimise regulatory intervention</w:t>
            </w:r>
          </w:p>
        </w:tc>
      </w:tr>
      <w:tr w:rsidR="00EC4659" w:rsidRPr="00EC4659" w14:paraId="28CF4C2B" w14:textId="77777777" w:rsidTr="00EC4659">
        <w:trPr>
          <w:cantSplit/>
        </w:trPr>
        <w:tc>
          <w:tcPr>
            <w:tcW w:w="9016" w:type="dxa"/>
          </w:tcPr>
          <w:p w14:paraId="0D2D958F" w14:textId="77777777" w:rsidR="00EC4659" w:rsidRPr="00EC4659" w:rsidRDefault="00EC4659" w:rsidP="00463809">
            <w:pPr>
              <w:spacing w:line="240" w:lineRule="auto"/>
              <w:rPr>
                <w:rFonts w:ascii="Calibri" w:hAnsi="Calibri"/>
                <w:b/>
                <w:bCs/>
                <w:sz w:val="20"/>
              </w:rPr>
            </w:pPr>
            <w:r w:rsidRPr="00463809">
              <w:rPr>
                <w:rFonts w:asciiTheme="minorHAnsi" w:eastAsiaTheme="minorHAnsi" w:hAnsiTheme="minorHAnsi" w:cstheme="minorBidi"/>
              </w:rPr>
              <w:t>The quota will be utilised most effectively and efficiently when market forces operate to the greatest extent possible, with individual companies able to make decisions in response to domestic and international market signals. This principle is related to considerations about the need for an allocation process.</w:t>
            </w:r>
            <w:r w:rsidRPr="00EC4659">
              <w:rPr>
                <w:rFonts w:ascii="Calibri" w:hAnsi="Calibri"/>
                <w:b/>
                <w:bCs/>
                <w:sz w:val="20"/>
              </w:rPr>
              <w:t xml:space="preserve"> </w:t>
            </w:r>
          </w:p>
        </w:tc>
      </w:tr>
      <w:tr w:rsidR="00EC4659" w:rsidRPr="00EC4659" w14:paraId="14AEF33F" w14:textId="77777777" w:rsidTr="00EC4659">
        <w:trPr>
          <w:cantSplit/>
        </w:trPr>
        <w:tc>
          <w:tcPr>
            <w:tcW w:w="9016" w:type="dxa"/>
            <w:shd w:val="clear" w:color="auto" w:fill="DEEAF6"/>
          </w:tcPr>
          <w:p w14:paraId="33A9D075" w14:textId="77777777" w:rsidR="00EC4659" w:rsidRPr="00463809" w:rsidRDefault="00EC4659" w:rsidP="00463809">
            <w:pPr>
              <w:spacing w:line="240" w:lineRule="auto"/>
              <w:jc w:val="center"/>
              <w:rPr>
                <w:rFonts w:asciiTheme="minorHAnsi" w:eastAsiaTheme="minorHAnsi" w:hAnsiTheme="minorHAnsi" w:cstheme="minorBidi"/>
                <w:b/>
              </w:rPr>
            </w:pPr>
            <w:r w:rsidRPr="00463809">
              <w:rPr>
                <w:rFonts w:asciiTheme="minorHAnsi" w:eastAsiaTheme="minorHAnsi" w:hAnsiTheme="minorHAnsi" w:cstheme="minorBidi"/>
                <w:b/>
              </w:rPr>
              <w:lastRenderedPageBreak/>
              <w:t>Principle 3: Administer consistently, transparently and efficiently</w:t>
            </w:r>
          </w:p>
        </w:tc>
      </w:tr>
      <w:tr w:rsidR="00EC4659" w:rsidRPr="00EC4659" w14:paraId="6F10C2A7" w14:textId="77777777" w:rsidTr="00EC4659">
        <w:trPr>
          <w:cantSplit/>
        </w:trPr>
        <w:tc>
          <w:tcPr>
            <w:tcW w:w="9016" w:type="dxa"/>
          </w:tcPr>
          <w:p w14:paraId="16B66A17" w14:textId="77777777" w:rsidR="00EC4659" w:rsidRPr="00EC4659" w:rsidRDefault="00EC4659" w:rsidP="00463809">
            <w:pPr>
              <w:spacing w:line="240" w:lineRule="auto"/>
              <w:rPr>
                <w:rFonts w:ascii="Calibri" w:hAnsi="Calibri"/>
                <w:b/>
                <w:bCs/>
                <w:sz w:val="20"/>
              </w:rPr>
            </w:pPr>
            <w:r w:rsidRPr="00463809">
              <w:rPr>
                <w:rFonts w:asciiTheme="minorHAnsi" w:eastAsiaTheme="minorHAnsi" w:hAnsiTheme="minorHAnsi" w:cstheme="minorBidi"/>
              </w:rPr>
              <w:t>A quota administration system should be efficient, transparent and aim for consistency in applying management rules. This principle is related to considerations of administration costs and clarity in quota management for business planning purposes. In particular it should seek to minimise the use of discretionary decisions.</w:t>
            </w:r>
          </w:p>
        </w:tc>
      </w:tr>
      <w:tr w:rsidR="00EC4659" w:rsidRPr="00EC4659" w14:paraId="6D33A8F8" w14:textId="77777777" w:rsidTr="00EC4659">
        <w:trPr>
          <w:cantSplit/>
        </w:trPr>
        <w:tc>
          <w:tcPr>
            <w:tcW w:w="9016" w:type="dxa"/>
            <w:shd w:val="clear" w:color="auto" w:fill="DEEAF6"/>
          </w:tcPr>
          <w:p w14:paraId="710879C0" w14:textId="77777777" w:rsidR="00EC4659" w:rsidRPr="00463809" w:rsidRDefault="00EC4659" w:rsidP="00463809">
            <w:pPr>
              <w:spacing w:line="240" w:lineRule="auto"/>
              <w:jc w:val="center"/>
              <w:rPr>
                <w:rFonts w:asciiTheme="minorHAnsi" w:eastAsiaTheme="minorHAnsi" w:hAnsiTheme="minorHAnsi" w:cstheme="minorBidi"/>
                <w:b/>
              </w:rPr>
            </w:pPr>
            <w:r w:rsidRPr="00463809">
              <w:rPr>
                <w:rFonts w:asciiTheme="minorHAnsi" w:eastAsiaTheme="minorHAnsi" w:hAnsiTheme="minorHAnsi" w:cstheme="minorBidi"/>
                <w:b/>
              </w:rPr>
              <w:t>Principle 4: Minimise barriers to exporting</w:t>
            </w:r>
          </w:p>
        </w:tc>
      </w:tr>
      <w:tr w:rsidR="00EC4659" w:rsidRPr="00EC4659" w14:paraId="228414A4" w14:textId="77777777" w:rsidTr="00EC4659">
        <w:trPr>
          <w:cantSplit/>
        </w:trPr>
        <w:tc>
          <w:tcPr>
            <w:tcW w:w="9016" w:type="dxa"/>
          </w:tcPr>
          <w:p w14:paraId="71E6136C" w14:textId="77777777" w:rsidR="00EC4659" w:rsidRPr="00EC4659" w:rsidRDefault="00EC4659" w:rsidP="00463809">
            <w:pPr>
              <w:spacing w:line="240" w:lineRule="auto"/>
              <w:rPr>
                <w:rFonts w:ascii="Calibri" w:hAnsi="Calibri"/>
                <w:b/>
                <w:bCs/>
                <w:sz w:val="20"/>
              </w:rPr>
            </w:pPr>
            <w:r w:rsidRPr="00463809">
              <w:rPr>
                <w:rFonts w:asciiTheme="minorHAnsi" w:eastAsiaTheme="minorHAnsi" w:hAnsiTheme="minorHAnsi" w:cstheme="minorBidi"/>
              </w:rPr>
              <w:t>Quota management should aim to minimise the barriers to market participation. This principle relates to considerations about the design of quota rules and conditions that can affect the cost of market entry. The commercial value of the quota will be enhanced if there is a competitive and innovative group of exporters focused on market development.</w:t>
            </w:r>
          </w:p>
        </w:tc>
      </w:tr>
      <w:tr w:rsidR="00EC4659" w:rsidRPr="00EC4659" w14:paraId="0B13CD4F" w14:textId="77777777" w:rsidTr="00EC4659">
        <w:trPr>
          <w:cantSplit/>
        </w:trPr>
        <w:tc>
          <w:tcPr>
            <w:tcW w:w="9016" w:type="dxa"/>
            <w:shd w:val="clear" w:color="auto" w:fill="DEEAF6"/>
          </w:tcPr>
          <w:p w14:paraId="40189B8A" w14:textId="77777777" w:rsidR="00EC4659" w:rsidRPr="00463809" w:rsidRDefault="00EC4659" w:rsidP="00463809">
            <w:pPr>
              <w:spacing w:line="240" w:lineRule="auto"/>
              <w:jc w:val="center"/>
              <w:rPr>
                <w:rFonts w:asciiTheme="minorHAnsi" w:eastAsiaTheme="minorHAnsi" w:hAnsiTheme="minorHAnsi" w:cstheme="minorBidi"/>
                <w:b/>
              </w:rPr>
            </w:pPr>
            <w:r w:rsidRPr="00463809">
              <w:rPr>
                <w:rFonts w:asciiTheme="minorHAnsi" w:eastAsiaTheme="minorHAnsi" w:hAnsiTheme="minorHAnsi" w:cstheme="minorBidi"/>
                <w:b/>
              </w:rPr>
              <w:t>Principle 5: Consider commercial arrangements</w:t>
            </w:r>
          </w:p>
        </w:tc>
      </w:tr>
      <w:tr w:rsidR="00EC4659" w:rsidRPr="00EC4659" w14:paraId="5D69CF7B" w14:textId="77777777" w:rsidTr="00EC4659">
        <w:trPr>
          <w:cantSplit/>
        </w:trPr>
        <w:tc>
          <w:tcPr>
            <w:tcW w:w="9016" w:type="dxa"/>
          </w:tcPr>
          <w:p w14:paraId="11B810D1" w14:textId="77777777" w:rsidR="00EC4659" w:rsidRPr="00EC4659" w:rsidRDefault="00EC4659" w:rsidP="00463809">
            <w:pPr>
              <w:spacing w:line="240" w:lineRule="auto"/>
              <w:rPr>
                <w:rFonts w:ascii="Calibri" w:hAnsi="Calibri"/>
                <w:b/>
                <w:bCs/>
                <w:sz w:val="20"/>
              </w:rPr>
            </w:pPr>
            <w:r w:rsidRPr="00463809">
              <w:rPr>
                <w:rFonts w:asciiTheme="minorHAnsi" w:eastAsiaTheme="minorHAnsi" w:hAnsiTheme="minorHAnsi" w:cstheme="minorBidi"/>
              </w:rPr>
              <w:t>Changes to existing quota management arrangements need to consider existing commercial arrangement and relationships, and past investments in developing a capacity for market participation.</w:t>
            </w:r>
          </w:p>
        </w:tc>
      </w:tr>
      <w:tr w:rsidR="00EC4659" w:rsidRPr="00EC4659" w14:paraId="03987863" w14:textId="77777777" w:rsidTr="00EC4659">
        <w:trPr>
          <w:cantSplit/>
        </w:trPr>
        <w:tc>
          <w:tcPr>
            <w:tcW w:w="9016" w:type="dxa"/>
            <w:tcBorders>
              <w:bottom w:val="single" w:sz="4" w:space="0" w:color="auto"/>
            </w:tcBorders>
            <w:shd w:val="clear" w:color="auto" w:fill="DEEAF6"/>
          </w:tcPr>
          <w:p w14:paraId="3F498C4F" w14:textId="77777777" w:rsidR="00EC4659" w:rsidRPr="00463809" w:rsidRDefault="00EC4659" w:rsidP="00463809">
            <w:pPr>
              <w:spacing w:line="240" w:lineRule="auto"/>
              <w:jc w:val="center"/>
              <w:rPr>
                <w:rFonts w:asciiTheme="minorHAnsi" w:eastAsiaTheme="minorHAnsi" w:hAnsiTheme="minorHAnsi" w:cstheme="minorBidi"/>
                <w:b/>
              </w:rPr>
            </w:pPr>
            <w:r w:rsidRPr="00463809">
              <w:rPr>
                <w:rFonts w:asciiTheme="minorHAnsi" w:eastAsiaTheme="minorHAnsi" w:hAnsiTheme="minorHAnsi" w:cstheme="minorBidi"/>
                <w:b/>
              </w:rPr>
              <w:t>Principle 6: Reward market development</w:t>
            </w:r>
          </w:p>
        </w:tc>
      </w:tr>
      <w:tr w:rsidR="00EC4659" w:rsidRPr="00EC4659" w14:paraId="755582A2" w14:textId="77777777" w:rsidTr="00EC4659">
        <w:trPr>
          <w:cantSplit/>
        </w:trPr>
        <w:tc>
          <w:tcPr>
            <w:tcW w:w="9016" w:type="dxa"/>
            <w:tcBorders>
              <w:bottom w:val="single" w:sz="4" w:space="0" w:color="auto"/>
            </w:tcBorders>
          </w:tcPr>
          <w:p w14:paraId="0B4F1E99" w14:textId="77777777" w:rsidR="00EC4659" w:rsidRPr="00EC4659" w:rsidRDefault="00EC4659" w:rsidP="00463809">
            <w:pPr>
              <w:spacing w:line="240" w:lineRule="auto"/>
              <w:rPr>
                <w:rFonts w:ascii="Calibri" w:hAnsi="Calibri"/>
                <w:b/>
                <w:bCs/>
                <w:sz w:val="20"/>
              </w:rPr>
            </w:pPr>
            <w:r w:rsidRPr="00463809">
              <w:rPr>
                <w:rFonts w:asciiTheme="minorHAnsi" w:eastAsiaTheme="minorHAnsi" w:hAnsiTheme="minorHAnsi" w:cstheme="minorBidi"/>
              </w:rPr>
              <w:t>To optimise the value of the access, quota management should reward market development. Active market participants with commercial strategies to develop customer relationships are more likely to maximise the value of the quota rents.</w:t>
            </w:r>
          </w:p>
        </w:tc>
      </w:tr>
    </w:tbl>
    <w:p w14:paraId="6C8183C0"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 xml:space="preserve">These principles have therefore been used as an appropriate framework for evaluating the options considered in the RIS process regarding the administration of TRQs.  </w:t>
      </w:r>
    </w:p>
    <w:p w14:paraId="3FA8432D" w14:textId="77777777" w:rsidR="00EC4659" w:rsidRPr="00EC4659" w:rsidRDefault="00EC4659" w:rsidP="00463809">
      <w:pPr>
        <w:keepNext/>
        <w:keepLines/>
        <w:spacing w:before="200" w:after="160" w:line="276" w:lineRule="auto"/>
        <w:outlineLvl w:val="1"/>
        <w:rPr>
          <w:rFonts w:ascii="Calibri Light" w:eastAsia="SimSun" w:hAnsi="Calibri Light"/>
          <w:b/>
          <w:bCs/>
          <w:color w:val="5B9BD5"/>
          <w:sz w:val="26"/>
          <w:szCs w:val="26"/>
        </w:rPr>
      </w:pPr>
      <w:bookmarkStart w:id="153" w:name="_Toc27482945"/>
      <w:r w:rsidRPr="00EC4659">
        <w:rPr>
          <w:rFonts w:ascii="Calibri Light" w:eastAsia="SimSun" w:hAnsi="Calibri Light"/>
          <w:b/>
          <w:bCs/>
          <w:color w:val="5B9BD5"/>
          <w:sz w:val="26"/>
          <w:szCs w:val="26"/>
        </w:rPr>
        <w:t>vi.</w:t>
      </w:r>
      <w:r w:rsidRPr="00EC4659">
        <w:rPr>
          <w:rFonts w:ascii="Calibri Light" w:eastAsia="SimSun" w:hAnsi="Calibri Light"/>
          <w:b/>
          <w:bCs/>
          <w:color w:val="5B9BD5"/>
          <w:sz w:val="26"/>
          <w:szCs w:val="26"/>
        </w:rPr>
        <w:tab/>
        <w:t>Previous reviews</w:t>
      </w:r>
      <w:bookmarkEnd w:id="153"/>
    </w:p>
    <w:p w14:paraId="3525FAE0"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Quota is a commercially sensitive topic and as such, has undergone a number of reviews. These reviews contained recommendations on how the administration of quota could be improved to better reflect the above principles, and to maximise the appropriateness, effectiveness and efficiency of quota administration arrangements. </w:t>
      </w:r>
    </w:p>
    <w:p w14:paraId="0D1641F0" w14:textId="77777777" w:rsidR="00EC4659" w:rsidRPr="00EC4659" w:rsidRDefault="00EC4659" w:rsidP="00EC4659">
      <w:pPr>
        <w:spacing w:line="259" w:lineRule="auto"/>
        <w:rPr>
          <w:rFonts w:ascii="Calibri" w:hAnsi="Calibri"/>
          <w:szCs w:val="22"/>
        </w:rPr>
      </w:pPr>
      <w:r w:rsidRPr="00EC4659">
        <w:rPr>
          <w:rFonts w:ascii="Calibri" w:hAnsi="Calibri"/>
          <w:szCs w:val="22"/>
        </w:rPr>
        <w:t>The following documents were considered in the conduct of the RIS:</w:t>
      </w:r>
    </w:p>
    <w:p w14:paraId="29EC5082" w14:textId="77777777" w:rsidR="00EC4659" w:rsidRPr="00EC4659" w:rsidRDefault="00EC4659" w:rsidP="000F6D46">
      <w:pPr>
        <w:numPr>
          <w:ilvl w:val="0"/>
          <w:numId w:val="71"/>
        </w:numPr>
        <w:spacing w:after="160" w:line="259" w:lineRule="auto"/>
        <w:ind w:left="567"/>
        <w:contextualSpacing/>
        <w:rPr>
          <w:rFonts w:ascii="Calibri" w:hAnsi="Calibri"/>
          <w:szCs w:val="22"/>
        </w:rPr>
      </w:pPr>
      <w:r w:rsidRPr="00EC4659">
        <w:rPr>
          <w:rFonts w:ascii="Calibri" w:hAnsi="Calibri"/>
          <w:szCs w:val="22"/>
        </w:rPr>
        <w:t>Report of the 2005 Beef Quota Review Panel on Administrative Arrangements for the US Beef Quota</w:t>
      </w:r>
    </w:p>
    <w:p w14:paraId="69D9472B" w14:textId="77777777" w:rsidR="00EC4659" w:rsidRPr="00EC4659" w:rsidRDefault="00EC4659" w:rsidP="000F6D46">
      <w:pPr>
        <w:numPr>
          <w:ilvl w:val="0"/>
          <w:numId w:val="71"/>
        </w:numPr>
        <w:spacing w:after="160" w:line="259" w:lineRule="auto"/>
        <w:ind w:left="567"/>
        <w:contextualSpacing/>
        <w:rPr>
          <w:rFonts w:ascii="Calibri" w:hAnsi="Calibri"/>
          <w:szCs w:val="22"/>
        </w:rPr>
      </w:pPr>
      <w:r w:rsidRPr="00EC4659">
        <w:rPr>
          <w:rFonts w:ascii="Calibri" w:hAnsi="Calibri"/>
          <w:szCs w:val="22"/>
        </w:rPr>
        <w:t>Report of the 2008 Dairy Quota Review Panel on Administrative Arrangement for EU and USA Dairy Quotas Managed by Australia</w:t>
      </w:r>
    </w:p>
    <w:p w14:paraId="4F8C2273" w14:textId="77777777" w:rsidR="00EC4659" w:rsidRPr="00EC4659" w:rsidRDefault="00EC4659" w:rsidP="000F6D46">
      <w:pPr>
        <w:numPr>
          <w:ilvl w:val="0"/>
          <w:numId w:val="71"/>
        </w:numPr>
        <w:spacing w:after="120" w:line="259" w:lineRule="auto"/>
        <w:ind w:left="567"/>
        <w:contextualSpacing/>
        <w:rPr>
          <w:rFonts w:ascii="Calibri" w:hAnsi="Calibri"/>
          <w:szCs w:val="22"/>
        </w:rPr>
      </w:pPr>
      <w:r w:rsidRPr="00EC4659">
        <w:rPr>
          <w:rFonts w:ascii="Calibri" w:hAnsi="Calibri"/>
          <w:szCs w:val="22"/>
        </w:rPr>
        <w:t>Review of Administrative Arrangement for the Tariff-quota on EU High Quality Beef (2011).</w:t>
      </w:r>
    </w:p>
    <w:p w14:paraId="4E1269D9" w14:textId="77777777" w:rsidR="00EC4659" w:rsidRPr="00EC4659" w:rsidRDefault="00EC4659" w:rsidP="00EC4659">
      <w:pPr>
        <w:spacing w:line="259" w:lineRule="auto"/>
        <w:rPr>
          <w:rFonts w:ascii="Calibri" w:hAnsi="Calibri"/>
          <w:szCs w:val="22"/>
        </w:rPr>
      </w:pPr>
      <w:r w:rsidRPr="00EC4659">
        <w:rPr>
          <w:rFonts w:ascii="Calibri" w:hAnsi="Calibri"/>
          <w:szCs w:val="22"/>
        </w:rPr>
        <w:t>Additionally, in 2013, Mr David Harris completed a project on the effective administration of agricultural TRQs through the Rural Industries Research and Development Corporation. The project, while not based solely on Australian TRQs, reviews the administration of, and provides insight into, the effective use of TRQs.</w:t>
      </w:r>
    </w:p>
    <w:p w14:paraId="33737C08" w14:textId="77777777" w:rsidR="00EC4659" w:rsidRPr="00EC4659" w:rsidRDefault="00EC4659" w:rsidP="00EC4659">
      <w:pPr>
        <w:spacing w:after="160" w:line="259" w:lineRule="auto"/>
        <w:rPr>
          <w:rFonts w:ascii="Calibri Light" w:eastAsia="SimSun" w:hAnsi="Calibri Light"/>
          <w:color w:val="2E74B5"/>
          <w:sz w:val="32"/>
          <w:szCs w:val="32"/>
        </w:rPr>
      </w:pPr>
      <w:r w:rsidRPr="00EC4659">
        <w:rPr>
          <w:rFonts w:ascii="Calibri" w:hAnsi="Calibri"/>
          <w:szCs w:val="22"/>
        </w:rPr>
        <w:br w:type="page"/>
      </w:r>
    </w:p>
    <w:p w14:paraId="7069FC58"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pPr>
      <w:bookmarkStart w:id="154" w:name="_Toc27482946"/>
      <w:r w:rsidRPr="00EC4659">
        <w:rPr>
          <w:rFonts w:ascii="Calibri Light" w:eastAsia="SimSun" w:hAnsi="Calibri Light"/>
          <w:color w:val="2E74B5"/>
          <w:sz w:val="32"/>
          <w:szCs w:val="32"/>
        </w:rPr>
        <w:lastRenderedPageBreak/>
        <w:t>What is the problem?</w:t>
      </w:r>
      <w:bookmarkEnd w:id="154"/>
    </w:p>
    <w:p w14:paraId="2D02BA1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department administers certificates to over 100 exporters across 33 quotas. These exporters range from small family-owned businesses to large multinational companies.  Nearly half of these exporters are involved in multiple quotas.  The administrative arrangements for each quota have been developed in isolation, as different trade agreements were implemented (FTA, GATT and WTO). This means separate legislative instruments have been created with each agreement, containing varying rules. Many exporters are therefore required to understand multiple rule sets in order to comply with legislation.  Inconsistencies in how certain rules are applied between quotas and differences in the legislative language make this difficult.  Additionally, some rules result in inequitable outcomes, are unnecessarily burdensome, or increase the complexity of the system without adding value.  The majority of these rules are not requirements of the trade agreements; rather, they are determined by Australia.  Therefore these issues do not have to persist.</w:t>
      </w:r>
    </w:p>
    <w:p w14:paraId="5CA9395A" w14:textId="77777777" w:rsidR="00EC4659" w:rsidRPr="00EC4659" w:rsidRDefault="00EC4659" w:rsidP="00EC4659">
      <w:pPr>
        <w:spacing w:line="259" w:lineRule="auto"/>
        <w:rPr>
          <w:rFonts w:ascii="Calibri" w:hAnsi="Calibri"/>
          <w:szCs w:val="22"/>
        </w:rPr>
      </w:pPr>
      <w:r w:rsidRPr="00EC4659">
        <w:rPr>
          <w:rFonts w:ascii="Calibri" w:hAnsi="Calibri"/>
          <w:szCs w:val="22"/>
        </w:rPr>
        <w:t>Table 5 sets out current rules across Australian-managed TRQs to demonstrate the variance that exists.  Outcomes are then explained to show where one or more of these rules has resulted in unfavourable outcomes.  It is important to note at this point that variance between quotas is not inherently negative; consultation demonstrated the importance of quota administration catering for particular commodity and market needs.  Therefore, if there is variance between quotas that is not raised as an issue in this section, it should be inferred that it is not considered a problem.  Consideration of the quota principles against the rules helps to demonstrate why there are problems with the current arrangements.</w:t>
      </w:r>
    </w:p>
    <w:p w14:paraId="630A125A" w14:textId="77777777" w:rsidR="00EC4659" w:rsidRPr="00EC4659" w:rsidRDefault="00EC4659" w:rsidP="00EC4659">
      <w:pPr>
        <w:spacing w:line="259" w:lineRule="auto"/>
        <w:rPr>
          <w:rFonts w:ascii="Calibri" w:hAnsi="Calibri"/>
          <w:szCs w:val="22"/>
        </w:rPr>
      </w:pPr>
    </w:p>
    <w:p w14:paraId="146EECAD" w14:textId="77777777" w:rsidR="00EC4659" w:rsidRPr="00EC4659" w:rsidRDefault="00EC4659" w:rsidP="00EC4659">
      <w:pPr>
        <w:spacing w:line="259" w:lineRule="auto"/>
        <w:rPr>
          <w:rFonts w:ascii="Calibri" w:hAnsi="Calibri"/>
          <w:szCs w:val="22"/>
        </w:rPr>
      </w:pPr>
    </w:p>
    <w:p w14:paraId="7E7A647D" w14:textId="77777777" w:rsidR="00EC4659" w:rsidRPr="00EC4659" w:rsidRDefault="00EC4659" w:rsidP="00EC4659">
      <w:pPr>
        <w:spacing w:line="259" w:lineRule="auto"/>
        <w:rPr>
          <w:rFonts w:ascii="Calibri" w:hAnsi="Calibri"/>
          <w:szCs w:val="22"/>
        </w:rPr>
        <w:sectPr w:rsidR="00EC4659" w:rsidRPr="00EC4659" w:rsidSect="00EC4659">
          <w:pgSz w:w="11906" w:h="16838"/>
          <w:pgMar w:top="1440" w:right="1440" w:bottom="1135" w:left="1440" w:header="708" w:footer="708" w:gutter="0"/>
          <w:cols w:space="708"/>
          <w:docGrid w:linePitch="360"/>
        </w:sectPr>
      </w:pPr>
    </w:p>
    <w:p w14:paraId="386DFFBA" w14:textId="77777777" w:rsidR="00EC4659" w:rsidRPr="00EC4659" w:rsidRDefault="00EC4659" w:rsidP="00EC4659">
      <w:pPr>
        <w:spacing w:line="259" w:lineRule="auto"/>
        <w:rPr>
          <w:rFonts w:ascii="Calibri" w:hAnsi="Calibri"/>
          <w:szCs w:val="22"/>
        </w:rPr>
      </w:pPr>
      <w:r w:rsidRPr="00EC4659">
        <w:rPr>
          <w:rFonts w:ascii="Calibri" w:hAnsi="Calibri"/>
          <w:szCs w:val="22"/>
        </w:rPr>
        <w:lastRenderedPageBreak/>
        <w:t>Table 5. Current administrative rules and outcomes</w:t>
      </w:r>
    </w:p>
    <w:tbl>
      <w:tblPr>
        <w:tblStyle w:val="TableGrid1"/>
        <w:tblW w:w="4623" w:type="pct"/>
        <w:tblLook w:val="04A0" w:firstRow="1" w:lastRow="0" w:firstColumn="1" w:lastColumn="0" w:noHBand="0" w:noVBand="1"/>
        <w:tblCaption w:val="Table 5. Current administrative rules and their outcomes"/>
        <w:tblDescription w:val="This table sets out the broad administrative categories of the quotas, explains the different rules relating to each category across quotas, and summarises the outcomes and implications of these rules, particularly in regards to issues and inconsistencies."/>
      </w:tblPr>
      <w:tblGrid>
        <w:gridCol w:w="1556"/>
        <w:gridCol w:w="5811"/>
        <w:gridCol w:w="5811"/>
      </w:tblGrid>
      <w:tr w:rsidR="00463809" w:rsidRPr="00463809" w14:paraId="7AB6EE96" w14:textId="77777777" w:rsidTr="00EC4659">
        <w:trPr>
          <w:tblHeader/>
        </w:trPr>
        <w:tc>
          <w:tcPr>
            <w:tcW w:w="590" w:type="pct"/>
            <w:shd w:val="clear" w:color="auto" w:fill="DEEAF6"/>
          </w:tcPr>
          <w:p w14:paraId="6EF86732" w14:textId="1607FC15" w:rsidR="00463809" w:rsidRPr="00463809" w:rsidRDefault="0046380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 xml:space="preserve">Provisions </w:t>
            </w:r>
          </w:p>
        </w:tc>
        <w:tc>
          <w:tcPr>
            <w:tcW w:w="2205" w:type="pct"/>
            <w:shd w:val="clear" w:color="auto" w:fill="DEEAF6"/>
          </w:tcPr>
          <w:p w14:paraId="4A9BE731" w14:textId="4B5E7D02" w:rsidR="00463809" w:rsidRPr="00463809" w:rsidRDefault="0046380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Current rules</w:t>
            </w:r>
          </w:p>
        </w:tc>
        <w:tc>
          <w:tcPr>
            <w:tcW w:w="2205" w:type="pct"/>
            <w:shd w:val="clear" w:color="auto" w:fill="DEEAF6"/>
          </w:tcPr>
          <w:p w14:paraId="5A0130B8" w14:textId="02EE853B" w:rsidR="00463809" w:rsidRPr="00463809" w:rsidRDefault="0046380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Outcome</w:t>
            </w:r>
          </w:p>
        </w:tc>
      </w:tr>
      <w:tr w:rsidR="00463809" w:rsidRPr="00EC4659" w14:paraId="08E58052" w14:textId="77777777" w:rsidTr="00EC4659">
        <w:tc>
          <w:tcPr>
            <w:tcW w:w="590" w:type="pct"/>
          </w:tcPr>
          <w:p w14:paraId="56EBF856" w14:textId="77777777" w:rsidR="00463809" w:rsidRPr="00463809" w:rsidRDefault="0046380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New Entrant</w:t>
            </w:r>
          </w:p>
        </w:tc>
        <w:tc>
          <w:tcPr>
            <w:tcW w:w="2205" w:type="pct"/>
          </w:tcPr>
          <w:p w14:paraId="35A2E138" w14:textId="77777777" w:rsidR="00463809" w:rsidRPr="00463809" w:rsidRDefault="00463809" w:rsidP="000F6D46">
            <w:pPr>
              <w:numPr>
                <w:ilvl w:val="0"/>
                <w:numId w:val="6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new entrants can access a maximum allocation of 12 tonnes.</w:t>
            </w:r>
          </w:p>
          <w:p w14:paraId="44A7035A" w14:textId="77777777" w:rsidR="00463809" w:rsidRPr="00463809" w:rsidRDefault="00463809" w:rsidP="000F6D46">
            <w:pPr>
              <w:numPr>
                <w:ilvl w:val="0"/>
                <w:numId w:val="6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new entrants must first ship globally to build performance so they can potentially receive an allocation the following year.</w:t>
            </w:r>
          </w:p>
          <w:p w14:paraId="56385DA6" w14:textId="77777777" w:rsidR="00463809" w:rsidRPr="00463809" w:rsidRDefault="00463809" w:rsidP="000F6D46">
            <w:pPr>
              <w:numPr>
                <w:ilvl w:val="0"/>
                <w:numId w:val="6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Dairy quota has a set aside amount for small exporters accessible as an allocation.</w:t>
            </w:r>
          </w:p>
        </w:tc>
        <w:tc>
          <w:tcPr>
            <w:tcW w:w="2205" w:type="pct"/>
          </w:tcPr>
          <w:p w14:paraId="4B6D8DDC" w14:textId="77777777" w:rsidR="00463809" w:rsidRPr="00463809" w:rsidRDefault="00463809" w:rsidP="000F6D46">
            <w:pPr>
              <w:numPr>
                <w:ilvl w:val="0"/>
                <w:numId w:val="6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quota can only be accessed during the initial allocation process.  12 tonnes per year is unviable for a business to establish market access.</w:t>
            </w:r>
          </w:p>
          <w:p w14:paraId="44E8019F" w14:textId="77777777" w:rsidR="00463809" w:rsidRPr="00463809" w:rsidRDefault="00463809" w:rsidP="000F6D46">
            <w:pPr>
              <w:numPr>
                <w:ilvl w:val="0"/>
                <w:numId w:val="6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Delay for new entrants to access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can be seen as a barrier to market participation.</w:t>
            </w:r>
          </w:p>
          <w:p w14:paraId="1392FC4B" w14:textId="77777777" w:rsidR="00463809" w:rsidRPr="00463809" w:rsidRDefault="00463809" w:rsidP="000F6D46">
            <w:pPr>
              <w:numPr>
                <w:ilvl w:val="0"/>
                <w:numId w:val="6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Dairy new entrants or small exporters can be confident in receiving a quota allocation, supporting market access, but must apply during the initial allocation process, and access volume can be limited.</w:t>
            </w:r>
          </w:p>
        </w:tc>
      </w:tr>
      <w:tr w:rsidR="00463809" w:rsidRPr="00EC4659" w14:paraId="42A5F272" w14:textId="77777777" w:rsidTr="00EC4659">
        <w:tc>
          <w:tcPr>
            <w:tcW w:w="590" w:type="pct"/>
          </w:tcPr>
          <w:p w14:paraId="677890AB" w14:textId="77777777" w:rsidR="00463809" w:rsidRPr="00463809" w:rsidRDefault="0046380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Eligibility </w:t>
            </w:r>
          </w:p>
        </w:tc>
        <w:tc>
          <w:tcPr>
            <w:tcW w:w="2205" w:type="pct"/>
          </w:tcPr>
          <w:p w14:paraId="1752E9E2" w14:textId="77777777" w:rsidR="00463809" w:rsidRPr="00463809" w:rsidRDefault="00463809" w:rsidP="000F6D46">
            <w:pPr>
              <w:numPr>
                <w:ilvl w:val="0"/>
                <w:numId w:val="67"/>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Under the dairy TRQs only manufacturers can be allocated an annual allocation of quota. Non-manufacturers are eligible for first-come first-served quota only, otherwise must source a transfer from a manufacturer.</w:t>
            </w:r>
          </w:p>
        </w:tc>
        <w:tc>
          <w:tcPr>
            <w:tcW w:w="2205" w:type="pct"/>
          </w:tcPr>
          <w:p w14:paraId="62E33CF2" w14:textId="77777777" w:rsidR="00463809" w:rsidRPr="00463809" w:rsidRDefault="00463809" w:rsidP="000F6D46">
            <w:pPr>
              <w:numPr>
                <w:ilvl w:val="0"/>
                <w:numId w:val="67"/>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Non-manufacturers for dairy are not rewarded for their market development and have a barrier to market access.  Additionally, quota may be underutilised due to non-manufacturers being unable to receive an allocation, and manufacturers ‘hoarding’ unused quota.</w:t>
            </w:r>
          </w:p>
        </w:tc>
      </w:tr>
      <w:tr w:rsidR="00463809" w:rsidRPr="00EC4659" w14:paraId="4EF0DE6C" w14:textId="77777777" w:rsidTr="00EC4659">
        <w:tc>
          <w:tcPr>
            <w:tcW w:w="590" w:type="pct"/>
            <w:vMerge w:val="restart"/>
          </w:tcPr>
          <w:p w14:paraId="7352D3C8" w14:textId="77777777" w:rsidR="00463809" w:rsidRPr="00463809" w:rsidRDefault="0046380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Allocation Parameters</w:t>
            </w:r>
          </w:p>
          <w:p w14:paraId="4B938DBA" w14:textId="77777777" w:rsidR="00463809" w:rsidRPr="00463809" w:rsidRDefault="00463809" w:rsidP="00463809">
            <w:pPr>
              <w:spacing w:line="240" w:lineRule="auto"/>
              <w:rPr>
                <w:rFonts w:asciiTheme="minorHAnsi" w:eastAsiaTheme="minorHAnsi" w:hAnsiTheme="minorHAnsi" w:cstheme="minorBidi"/>
              </w:rPr>
            </w:pPr>
          </w:p>
        </w:tc>
        <w:tc>
          <w:tcPr>
            <w:tcW w:w="2205" w:type="pct"/>
          </w:tcPr>
          <w:p w14:paraId="76B0EBF6" w14:textId="77777777" w:rsidR="00463809" w:rsidRPr="00463809" w:rsidRDefault="00463809" w:rsidP="000F6D46">
            <w:pPr>
              <w:numPr>
                <w:ilvl w:val="0"/>
                <w:numId w:val="68"/>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quota is allocated based on shipments to the regulated market.</w:t>
            </w:r>
          </w:p>
          <w:p w14:paraId="7C5942EF" w14:textId="77777777" w:rsidR="00463809" w:rsidRPr="00463809" w:rsidRDefault="00463809" w:rsidP="000F6D46">
            <w:pPr>
              <w:numPr>
                <w:ilvl w:val="0"/>
                <w:numId w:val="68"/>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Dairy is allocated based on: 50 per cent exports to the regulated market and 50 per cent to any export markets (that is, global shipments).</w:t>
            </w:r>
          </w:p>
          <w:p w14:paraId="0769D3B9" w14:textId="77777777" w:rsidR="00463809" w:rsidRPr="00463809" w:rsidRDefault="00463809" w:rsidP="000F6D46">
            <w:pPr>
              <w:numPr>
                <w:ilvl w:val="0"/>
                <w:numId w:val="68"/>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is allocated based on: 80 per cent exports to the regulated market and 20 per cent to any export markets via EU accredited works.</w:t>
            </w:r>
          </w:p>
          <w:p w14:paraId="01EC0E4B" w14:textId="77777777" w:rsidR="00463809" w:rsidRPr="00463809" w:rsidRDefault="00463809" w:rsidP="000F6D46">
            <w:pPr>
              <w:numPr>
                <w:ilvl w:val="0"/>
                <w:numId w:val="68"/>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After a trigger point USA beef is allocated based on previous shipping history to the USA.</w:t>
            </w:r>
          </w:p>
        </w:tc>
        <w:tc>
          <w:tcPr>
            <w:tcW w:w="2205" w:type="pct"/>
          </w:tcPr>
          <w:p w14:paraId="57ECFB8E" w14:textId="77777777" w:rsidR="00463809" w:rsidRPr="00463809" w:rsidRDefault="00463809" w:rsidP="000F6D46">
            <w:pPr>
              <w:numPr>
                <w:ilvl w:val="0"/>
                <w:numId w:val="68"/>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Allocating a portion of quota based on global shipments does not reward market development based on the regulated market only.</w:t>
            </w:r>
          </w:p>
          <w:p w14:paraId="397B6C27" w14:textId="77777777" w:rsidR="00463809" w:rsidRPr="00463809" w:rsidRDefault="00463809" w:rsidP="000F6D46">
            <w:pPr>
              <w:numPr>
                <w:ilvl w:val="0"/>
                <w:numId w:val="68"/>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Global shipments are not a reflection of historical usage, which means the distribution of quota may not reflect expected quota usage.</w:t>
            </w:r>
          </w:p>
        </w:tc>
      </w:tr>
      <w:tr w:rsidR="00463809" w:rsidRPr="00EC4659" w14:paraId="115A6F95" w14:textId="77777777" w:rsidTr="00EC4659">
        <w:tc>
          <w:tcPr>
            <w:tcW w:w="590" w:type="pct"/>
            <w:vMerge/>
          </w:tcPr>
          <w:p w14:paraId="0991AF4D" w14:textId="77777777" w:rsidR="00463809" w:rsidRPr="00463809" w:rsidRDefault="00463809" w:rsidP="00463809">
            <w:pPr>
              <w:spacing w:line="240" w:lineRule="auto"/>
              <w:rPr>
                <w:rFonts w:asciiTheme="minorHAnsi" w:eastAsiaTheme="minorHAnsi" w:hAnsiTheme="minorHAnsi" w:cstheme="minorBidi"/>
              </w:rPr>
            </w:pPr>
          </w:p>
        </w:tc>
        <w:tc>
          <w:tcPr>
            <w:tcW w:w="2205" w:type="pct"/>
          </w:tcPr>
          <w:p w14:paraId="34FEDD30" w14:textId="77777777" w:rsidR="00463809" w:rsidRPr="00463809" w:rsidRDefault="00463809" w:rsidP="000F6D46">
            <w:pPr>
              <w:numPr>
                <w:ilvl w:val="0"/>
                <w:numId w:val="68"/>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and dairy allocation calculations do not allow further allocation to penalised parties even when quota is still available.</w:t>
            </w:r>
          </w:p>
        </w:tc>
        <w:tc>
          <w:tcPr>
            <w:tcW w:w="2205" w:type="pct"/>
          </w:tcPr>
          <w:p w14:paraId="30784777" w14:textId="77777777" w:rsidR="00463809" w:rsidRPr="00463809" w:rsidRDefault="00463809" w:rsidP="000F6D46">
            <w:pPr>
              <w:numPr>
                <w:ilvl w:val="0"/>
                <w:numId w:val="68"/>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Quota is not being distributed to optimise access/use and therefore value, remaining inaccessible until reallocation.</w:t>
            </w:r>
          </w:p>
        </w:tc>
      </w:tr>
      <w:tr w:rsidR="00463809" w:rsidRPr="00EC4659" w14:paraId="40807198" w14:textId="77777777" w:rsidTr="00EC4659">
        <w:trPr>
          <w:cantSplit/>
        </w:trPr>
        <w:tc>
          <w:tcPr>
            <w:tcW w:w="590" w:type="pct"/>
          </w:tcPr>
          <w:p w14:paraId="55776851" w14:textId="77777777" w:rsidR="00463809" w:rsidRPr="00463809" w:rsidRDefault="0046380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lastRenderedPageBreak/>
              <w:t>Transfers</w:t>
            </w:r>
          </w:p>
          <w:p w14:paraId="60E9C650" w14:textId="77777777" w:rsidR="00463809" w:rsidRPr="00463809" w:rsidRDefault="00463809" w:rsidP="00463809">
            <w:pPr>
              <w:spacing w:line="240" w:lineRule="auto"/>
              <w:rPr>
                <w:rFonts w:asciiTheme="minorHAnsi" w:eastAsiaTheme="minorHAnsi" w:hAnsiTheme="minorHAnsi" w:cstheme="minorBidi"/>
              </w:rPr>
            </w:pPr>
          </w:p>
        </w:tc>
        <w:tc>
          <w:tcPr>
            <w:tcW w:w="2205" w:type="pct"/>
          </w:tcPr>
          <w:p w14:paraId="0369D192"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Restrictions apply to transfers for EU HQB, which can result in being ineligible for a quota allocation for three years.</w:t>
            </w:r>
          </w:p>
          <w:p w14:paraId="0D996DBD"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When quota is allocated, USA beef only allows transfers for a 10 day period.</w:t>
            </w:r>
          </w:p>
          <w:p w14:paraId="521398C4"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has no limitations on transfers until the reclaim date.</w:t>
            </w:r>
          </w:p>
          <w:p w14:paraId="54D87E61"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allows for performance transfers.</w:t>
            </w:r>
          </w:p>
          <w:p w14:paraId="10752DA7"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Dairy exporters can transfer freely until 15 June but if the transfer is to a non-manufacturer and is unused at the end of the quota year penalties can apply to the manufacturer that transferred the quota.</w:t>
            </w:r>
          </w:p>
        </w:tc>
        <w:tc>
          <w:tcPr>
            <w:tcW w:w="2205" w:type="pct"/>
          </w:tcPr>
          <w:p w14:paraId="7A650E0C"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attempts to address risks of exporters retaining quota they are not in a position to use.</w:t>
            </w:r>
          </w:p>
          <w:p w14:paraId="11D8CCE9"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deters exporters requesting far more quota than they can use.  However, miscalculations in transfers risks loss of access.</w:t>
            </w:r>
          </w:p>
          <w:p w14:paraId="4539C582"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The USA beef 10 day transfer window forces speculation on quota needs.  Exporters over-estimate for safety, but this results in excessive costs for quota.</w:t>
            </w:r>
          </w:p>
          <w:p w14:paraId="545AF546" w14:textId="77777777" w:rsidR="00463809" w:rsidRPr="00463809" w:rsidRDefault="00463809" w:rsidP="000F6D46">
            <w:pPr>
              <w:numPr>
                <w:ilvl w:val="0"/>
                <w:numId w:val="69"/>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Transfers in dairy are restricted after only six months of the quota year.  Dairy exporters are having to speculate on future shipments, and are therefore more likely to suffer penalties or be unable to access the quota they need.</w:t>
            </w:r>
          </w:p>
        </w:tc>
      </w:tr>
      <w:tr w:rsidR="00463809" w:rsidRPr="00EC4659" w14:paraId="02509FD3" w14:textId="77777777" w:rsidTr="00EC4659">
        <w:tc>
          <w:tcPr>
            <w:tcW w:w="590" w:type="pct"/>
          </w:tcPr>
          <w:p w14:paraId="1A92B507" w14:textId="77777777" w:rsidR="00463809" w:rsidRPr="00463809" w:rsidRDefault="0046380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Penalties</w:t>
            </w:r>
          </w:p>
        </w:tc>
        <w:tc>
          <w:tcPr>
            <w:tcW w:w="2205" w:type="pct"/>
          </w:tcPr>
          <w:p w14:paraId="09379B19"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exporters are penalised 1:1 if they have shipped less than 92.5 per cent of their total entitlement by 15 May of the quota year.</w:t>
            </w:r>
          </w:p>
          <w:p w14:paraId="3545C17C"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Dairy exporters are penalised if any annual allocation is unused at the end of the quota year. Penalty is 1:1, applied in two years’ time. However quota accessed via first come, first served (FCFS) provisions can be held until the end of the year without penalty or payment.</w:t>
            </w:r>
          </w:p>
          <w:p w14:paraId="501C7CC0"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No penalties for dairy non-manufacturers.</w:t>
            </w:r>
          </w:p>
          <w:p w14:paraId="6FEAAF42"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USA beef and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do not have penalties for unused allocations.</w:t>
            </w:r>
          </w:p>
        </w:tc>
        <w:tc>
          <w:tcPr>
            <w:tcW w:w="2205" w:type="pct"/>
          </w:tcPr>
          <w:p w14:paraId="19526B31"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discourages exporters from retaining quota that they are not in a position to use.</w:t>
            </w:r>
          </w:p>
          <w:p w14:paraId="09E70627"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Dairy attempts to improve availability through penalising unused allocations, but does not do the same for FCFS, creating a loophole.</w:t>
            </w:r>
          </w:p>
          <w:p w14:paraId="7EE3C75A"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Non-manufacturers for dairy are not penalised for underutilisation; rather, the party they received the transfer from is penalised.</w:t>
            </w:r>
          </w:p>
          <w:p w14:paraId="0363C8F3"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A lack of penalty provisions can risk hoarding behaviour, however:</w:t>
            </w:r>
          </w:p>
          <w:p w14:paraId="2620D27E" w14:textId="77777777" w:rsidR="00463809" w:rsidRPr="00463809" w:rsidRDefault="00463809" w:rsidP="000F6D46">
            <w:pPr>
              <w:numPr>
                <w:ilvl w:val="1"/>
                <w:numId w:val="70"/>
              </w:numPr>
              <w:spacing w:line="240" w:lineRule="auto"/>
              <w:contextualSpacing/>
              <w:rPr>
                <w:rFonts w:asciiTheme="minorHAnsi" w:eastAsiaTheme="minorHAnsi" w:hAnsiTheme="minorHAnsi" w:cstheme="minorBidi"/>
              </w:rPr>
            </w:pPr>
            <w:proofErr w:type="gramStart"/>
            <w:r w:rsidRPr="00463809">
              <w:rPr>
                <w:rFonts w:asciiTheme="minorHAnsi" w:eastAsiaTheme="minorHAnsi" w:hAnsiTheme="minorHAnsi" w:cstheme="minorBidi"/>
              </w:rPr>
              <w:t>consignment</w:t>
            </w:r>
            <w:proofErr w:type="gramEnd"/>
            <w:r w:rsidRPr="00463809">
              <w:rPr>
                <w:rFonts w:asciiTheme="minorHAnsi" w:eastAsiaTheme="minorHAnsi" w:hAnsiTheme="minorHAnsi" w:cstheme="minorBidi"/>
              </w:rPr>
              <w:t xml:space="preserve"> information reduces the risk in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w:t>
            </w:r>
          </w:p>
          <w:p w14:paraId="5437F8CC" w14:textId="77777777" w:rsidR="00463809" w:rsidRPr="00463809" w:rsidRDefault="00463809" w:rsidP="000F6D46">
            <w:pPr>
              <w:numPr>
                <w:ilvl w:val="1"/>
                <w:numId w:val="70"/>
              </w:numPr>
              <w:spacing w:line="240" w:lineRule="auto"/>
              <w:contextualSpacing/>
              <w:rPr>
                <w:rFonts w:asciiTheme="minorHAnsi" w:eastAsiaTheme="minorHAnsi" w:hAnsiTheme="minorHAnsi" w:cstheme="minorBidi"/>
              </w:rPr>
            </w:pPr>
            <w:proofErr w:type="gramStart"/>
            <w:r w:rsidRPr="00463809">
              <w:rPr>
                <w:rFonts w:asciiTheme="minorHAnsi" w:eastAsiaTheme="minorHAnsi" w:hAnsiTheme="minorHAnsi" w:cstheme="minorBidi"/>
              </w:rPr>
              <w:t>the</w:t>
            </w:r>
            <w:proofErr w:type="gramEnd"/>
            <w:r w:rsidRPr="00463809">
              <w:rPr>
                <w:rFonts w:asciiTheme="minorHAnsi" w:eastAsiaTheme="minorHAnsi" w:hAnsiTheme="minorHAnsi" w:cstheme="minorBidi"/>
              </w:rPr>
              <w:t xml:space="preserve"> trigger in USA beef only occurs when quota is highly sought after.</w:t>
            </w:r>
          </w:p>
        </w:tc>
      </w:tr>
      <w:tr w:rsidR="00463809" w:rsidRPr="00EC4659" w14:paraId="0FBF9A9A" w14:textId="77777777" w:rsidTr="00EC4659">
        <w:trPr>
          <w:cantSplit/>
        </w:trPr>
        <w:tc>
          <w:tcPr>
            <w:tcW w:w="590" w:type="pct"/>
            <w:vMerge w:val="restart"/>
          </w:tcPr>
          <w:p w14:paraId="6A1022D6" w14:textId="77777777" w:rsidR="00463809" w:rsidRPr="00463809" w:rsidRDefault="0046380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lastRenderedPageBreak/>
              <w:t>Other</w:t>
            </w:r>
          </w:p>
        </w:tc>
        <w:tc>
          <w:tcPr>
            <w:tcW w:w="2205" w:type="pct"/>
          </w:tcPr>
          <w:p w14:paraId="08156D00"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JAEPA and USA beef quota rules define FCFS as being where a quota certificate is issued to match a consignment volume; this is only issued as complete consignment applications are received.</w:t>
            </w:r>
          </w:p>
          <w:p w14:paraId="390349C7"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Dairy quota rules define FCFS as being a long term allocation, issued to exporters in the order requested; this is not limited to one consignment and the volume is not limited.</w:t>
            </w:r>
          </w:p>
          <w:p w14:paraId="4E323AA6"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EU HQB rules define FCFS as being a reallocation process, issued proportionally to all eligible exporters who apply by a set date.  </w:t>
            </w:r>
          </w:p>
          <w:p w14:paraId="7800C699"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and dairy do not include true FCFS arrangements.</w:t>
            </w:r>
          </w:p>
        </w:tc>
        <w:tc>
          <w:tcPr>
            <w:tcW w:w="2205" w:type="pct"/>
          </w:tcPr>
          <w:p w14:paraId="50CFC2AF"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The term FCFS has three completely different meanings across the various quotas.  This inconsistency creates confusion for stakeholders which can have commercial implications.</w:t>
            </w:r>
          </w:p>
          <w:p w14:paraId="4D6C8B04"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While dairy exporters can access FCFS on a consignment-needs basis, the ability for a single exporter to take significant volumes can impede quota access for others.</w:t>
            </w:r>
          </w:p>
          <w:p w14:paraId="581DF151"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The use of FCFS for EU HQB is misleading, as it is actually a reallocation process.  Additionally, the legislation actually lacks a provision to issue certificates for any quota volume which remains unallocated following the reallocation process.  This is an impediment to access and usage.</w:t>
            </w:r>
          </w:p>
        </w:tc>
      </w:tr>
      <w:tr w:rsidR="00463809" w:rsidRPr="00EC4659" w14:paraId="65CC2D88" w14:textId="77777777" w:rsidTr="00EC4659">
        <w:tc>
          <w:tcPr>
            <w:tcW w:w="590" w:type="pct"/>
            <w:vMerge/>
          </w:tcPr>
          <w:p w14:paraId="449AC82F" w14:textId="77777777" w:rsidR="00463809" w:rsidRPr="00463809" w:rsidRDefault="00463809" w:rsidP="00463809">
            <w:pPr>
              <w:spacing w:line="240" w:lineRule="auto"/>
              <w:rPr>
                <w:rFonts w:asciiTheme="minorHAnsi" w:eastAsiaTheme="minorHAnsi" w:hAnsiTheme="minorHAnsi" w:cstheme="minorBidi"/>
              </w:rPr>
            </w:pPr>
          </w:p>
        </w:tc>
        <w:tc>
          <w:tcPr>
            <w:tcW w:w="2205" w:type="pct"/>
          </w:tcPr>
          <w:p w14:paraId="00FE7C6F"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Reclaim provision time periods are:</w:t>
            </w:r>
          </w:p>
          <w:p w14:paraId="3DF85B22" w14:textId="77777777" w:rsidR="00463809" w:rsidRPr="00463809" w:rsidRDefault="00463809" w:rsidP="000F6D46">
            <w:pPr>
              <w:numPr>
                <w:ilvl w:val="1"/>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all dairy – 15 June (5 ½ months out)</w:t>
            </w:r>
          </w:p>
          <w:p w14:paraId="7BCCF2A7" w14:textId="77777777" w:rsidR="00463809" w:rsidRPr="00463809" w:rsidRDefault="00463809" w:rsidP="000F6D46">
            <w:pPr>
              <w:numPr>
                <w:ilvl w:val="1"/>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 15 February (4 ½ months out)</w:t>
            </w:r>
          </w:p>
          <w:p w14:paraId="0085EB08" w14:textId="77777777" w:rsidR="00463809" w:rsidRPr="00463809" w:rsidRDefault="00463809" w:rsidP="000F6D46">
            <w:pPr>
              <w:numPr>
                <w:ilvl w:val="1"/>
                <w:numId w:val="70"/>
              </w:numPr>
              <w:spacing w:line="240" w:lineRule="auto"/>
              <w:contextualSpacing/>
              <w:rPr>
                <w:rFonts w:asciiTheme="minorHAnsi" w:eastAsiaTheme="minorHAnsi" w:hAnsiTheme="minorHAnsi" w:cstheme="minorBidi"/>
              </w:rPr>
            </w:pP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 1 November (2 months out)</w:t>
            </w:r>
          </w:p>
        </w:tc>
        <w:tc>
          <w:tcPr>
            <w:tcW w:w="2205" w:type="pct"/>
          </w:tcPr>
          <w:p w14:paraId="2C9636D9"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Dairy is too far out from the end of the year; exporters may not be aware of shipments that far in advance, which creates speculation. </w:t>
            </w:r>
          </w:p>
          <w:p w14:paraId="19C2EB5E"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is late, which some exporters have advised makes planning shipments more difficult.</w:t>
            </w:r>
          </w:p>
        </w:tc>
      </w:tr>
      <w:tr w:rsidR="00463809" w:rsidRPr="00EC4659" w14:paraId="74887F8A" w14:textId="77777777" w:rsidTr="00EC4659">
        <w:tc>
          <w:tcPr>
            <w:tcW w:w="590" w:type="pct"/>
            <w:vMerge/>
          </w:tcPr>
          <w:p w14:paraId="64FB9B53" w14:textId="77777777" w:rsidR="00463809" w:rsidRPr="00463809" w:rsidRDefault="00463809" w:rsidP="00463809">
            <w:pPr>
              <w:spacing w:line="240" w:lineRule="auto"/>
              <w:rPr>
                <w:rFonts w:asciiTheme="minorHAnsi" w:eastAsiaTheme="minorHAnsi" w:hAnsiTheme="minorHAnsi" w:cstheme="minorBidi"/>
              </w:rPr>
            </w:pPr>
          </w:p>
        </w:tc>
        <w:tc>
          <w:tcPr>
            <w:tcW w:w="2205" w:type="pct"/>
          </w:tcPr>
          <w:p w14:paraId="2382AA4D"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To retain quota for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exporters must provide consignment information</w:t>
            </w:r>
          </w:p>
          <w:p w14:paraId="66CC1C12"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To access FCFS quota for dairy, exporters must provide consignment information.</w:t>
            </w:r>
          </w:p>
        </w:tc>
        <w:tc>
          <w:tcPr>
            <w:tcW w:w="2205" w:type="pct"/>
          </w:tcPr>
          <w:p w14:paraId="3F5DBF0C"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Due to the nature of shipments, consignment information is often inaccurate.  It is also easily abused.</w:t>
            </w:r>
          </w:p>
          <w:p w14:paraId="0A770767"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The lack of detail required for dairy consignments means the system is misused and the policy intent is not delivered.</w:t>
            </w:r>
          </w:p>
          <w:p w14:paraId="1363BE4E"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This information is an additional regulatory burden.</w:t>
            </w:r>
          </w:p>
        </w:tc>
      </w:tr>
      <w:tr w:rsidR="00463809" w:rsidRPr="00EC4659" w14:paraId="70EAD058" w14:textId="77777777" w:rsidTr="00EC4659">
        <w:tc>
          <w:tcPr>
            <w:tcW w:w="590" w:type="pct"/>
            <w:vMerge/>
          </w:tcPr>
          <w:p w14:paraId="3391BCBB" w14:textId="77777777" w:rsidR="00463809" w:rsidRPr="00463809" w:rsidRDefault="00463809" w:rsidP="00463809">
            <w:pPr>
              <w:spacing w:line="240" w:lineRule="auto"/>
              <w:rPr>
                <w:rFonts w:asciiTheme="minorHAnsi" w:eastAsiaTheme="minorHAnsi" w:hAnsiTheme="minorHAnsi" w:cstheme="minorBidi"/>
              </w:rPr>
            </w:pPr>
          </w:p>
        </w:tc>
        <w:tc>
          <w:tcPr>
            <w:tcW w:w="2205" w:type="pct"/>
          </w:tcPr>
          <w:p w14:paraId="7902257A"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 has a process to return, retain or reallocate quota.</w:t>
            </w:r>
          </w:p>
          <w:p w14:paraId="6264A777"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There is no reallocation process in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(return/retain only).</w:t>
            </w:r>
          </w:p>
          <w:p w14:paraId="4A795AAB"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FCFS allocations in Dairy act as a reallocation process, but it is not proportional across applicants.</w:t>
            </w:r>
          </w:p>
        </w:tc>
        <w:tc>
          <w:tcPr>
            <w:tcW w:w="2205" w:type="pct"/>
          </w:tcPr>
          <w:p w14:paraId="2C98352E"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The EU HQB process achieves the intent of redistributing quota to those who can use it.</w:t>
            </w:r>
          </w:p>
          <w:p w14:paraId="663CDE21"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exporters expressed a lack of certainty in accessing FCFS is commercially risky.</w:t>
            </w:r>
          </w:p>
          <w:p w14:paraId="48228F93" w14:textId="77777777" w:rsidR="00463809" w:rsidRPr="00463809" w:rsidRDefault="00463809" w:rsidP="000F6D46">
            <w:pPr>
              <w:numPr>
                <w:ilvl w:val="0"/>
                <w:numId w:val="70"/>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The dairy process is not equitable, as one exporter can take entire quotas, even when it is unlikely they will use it.  This is a barrier to export that reduces quota use and value.</w:t>
            </w:r>
          </w:p>
        </w:tc>
      </w:tr>
    </w:tbl>
    <w:p w14:paraId="7B47A6EB" w14:textId="77777777" w:rsidR="00EC4659" w:rsidRPr="00EC4659" w:rsidRDefault="00EC4659" w:rsidP="00EC4659">
      <w:pPr>
        <w:spacing w:after="160" w:line="259" w:lineRule="auto"/>
        <w:rPr>
          <w:rFonts w:ascii="Calibri Light" w:eastAsia="SimSun" w:hAnsi="Calibri Light"/>
          <w:color w:val="2E74B5"/>
          <w:sz w:val="32"/>
          <w:szCs w:val="32"/>
        </w:rPr>
        <w:sectPr w:rsidR="00EC4659" w:rsidRPr="00EC4659" w:rsidSect="00EC4659">
          <w:pgSz w:w="16838" w:h="11906" w:orient="landscape"/>
          <w:pgMar w:top="1440" w:right="1440" w:bottom="1440" w:left="1135" w:header="708" w:footer="708" w:gutter="0"/>
          <w:cols w:space="708"/>
          <w:docGrid w:linePitch="360"/>
        </w:sectPr>
      </w:pPr>
    </w:p>
    <w:p w14:paraId="06DB756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lastRenderedPageBreak/>
        <w:t>The following elaborates on aspects of table 5 to explain in greater detail why many of the existing rules are resulting in undesirable outcomes and behaviours.</w:t>
      </w:r>
    </w:p>
    <w:p w14:paraId="2C334616"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 xml:space="preserve">Unviable new entrant provisions </w:t>
      </w:r>
    </w:p>
    <w:p w14:paraId="46147BC7"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An aspect of quota administration is that there must be a way for new entrants to gain access to the quota.  This is to encourage competition and innovation, and minimise barriers to exporting – quota Principle 4.  For example, TRQs that operate under the FCFS arrangement cater for new entrants as anyone is able to access the quota when exporting.  EU HQB includes a new entrant process, however, as determined through consultation, the process is not viable.  The tonnage available to new entrants does not allow exporters to build a commercially competitive quota allocation, and as a result, is a barrier.  EU </w:t>
      </w:r>
      <w:proofErr w:type="spellStart"/>
      <w:r w:rsidRPr="00EC4659">
        <w:rPr>
          <w:rFonts w:ascii="Calibri" w:hAnsi="Calibri"/>
          <w:szCs w:val="22"/>
        </w:rPr>
        <w:t>sheepmeat</w:t>
      </w:r>
      <w:proofErr w:type="spellEnd"/>
      <w:r w:rsidRPr="00EC4659">
        <w:rPr>
          <w:rFonts w:ascii="Calibri" w:hAnsi="Calibri"/>
          <w:szCs w:val="22"/>
        </w:rPr>
        <w:t xml:space="preserve"> relies on the global exports component of the annual allocation calculation (that is, global shipments) to enable new entrants to access the quota market, however, it requires that a new entrant ship to other countries first to build performance.  They can then apply for quota the following year.   This delay in access can be viewed as a barrier to export.</w:t>
      </w:r>
      <w:r w:rsidRPr="00EC4659" w:rsidDel="00C50E0B">
        <w:rPr>
          <w:rFonts w:ascii="Calibri" w:hAnsi="Calibri"/>
          <w:szCs w:val="22"/>
        </w:rPr>
        <w:t xml:space="preserve"> </w:t>
      </w:r>
    </w:p>
    <w:p w14:paraId="1ADD6D91"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Limitations for eligibility</w:t>
      </w:r>
    </w:p>
    <w:p w14:paraId="3BC1193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 barrier to trade exists in dairy TRQs which only allow allocations to be made to manufacturers.  Non-manufacturers can only access the quota by receiving a transfer or via FCFS if quota is available.  The aim of this rule was to have the benefits of TRQs flowing back to the industry and community</w:t>
      </w:r>
      <w:r w:rsidRPr="00EC4659">
        <w:rPr>
          <w:rFonts w:ascii="Calibri" w:hAnsi="Calibri"/>
          <w:szCs w:val="22"/>
          <w:vertAlign w:val="superscript"/>
        </w:rPr>
        <w:footnoteReference w:id="4"/>
      </w:r>
      <w:r w:rsidRPr="00EC4659">
        <w:rPr>
          <w:rFonts w:ascii="Calibri" w:hAnsi="Calibri"/>
          <w:szCs w:val="22"/>
        </w:rPr>
        <w:t xml:space="preserve"> rather than to individual companies.  It has, however, led to instances where manufacturers have requested and received allocations but have not used them.  Non-manufacturers that have wished to export have effectively been locked out until six months into the quota year when unused quota is reclaimed and made available as FCFS.  Rather than value-adding as intended, this rule is actually preventing optimal quota usage, in line with Principle 1. </w:t>
      </w:r>
    </w:p>
    <w:p w14:paraId="79F0F5AB"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Potential for underuse</w:t>
      </w:r>
    </w:p>
    <w:p w14:paraId="2C0DA52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To maximise the value of Australian exports, quota value and use should be optimised.  For this to occur, quota should be available to those in a position to use it, which necessitates having a disincentive to retain quota that will not be used.  In dairy TRQs, the FCFS rule does not penalise underutilisation, so does not create an incentive to return quota that will not be used.  This also applies to EU </w:t>
      </w:r>
      <w:proofErr w:type="spellStart"/>
      <w:r w:rsidRPr="00EC4659">
        <w:rPr>
          <w:rFonts w:ascii="Calibri" w:hAnsi="Calibri"/>
          <w:szCs w:val="22"/>
        </w:rPr>
        <w:t>sheepmeat</w:t>
      </w:r>
      <w:proofErr w:type="spellEnd"/>
      <w:r w:rsidRPr="00EC4659">
        <w:rPr>
          <w:rFonts w:ascii="Calibri" w:hAnsi="Calibri"/>
          <w:szCs w:val="22"/>
        </w:rPr>
        <w:t>, where exporters are not penalised for retained quota that they do not use.  In both cases this has resulted in quota being unused at the end of the year, even though other exporters would have utilised it, had they had access.</w:t>
      </w:r>
    </w:p>
    <w:p w14:paraId="22855861"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Use of global shipments</w:t>
      </w:r>
    </w:p>
    <w:p w14:paraId="709C563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process of calculating proportional quota allocations using export figures to any market (and not just exports to the quota market) is referred to as global shipments.  The rationale for its use in TRQ administration is that it encourages diversification, taking pressure off the quota market.  This has not been effective for dairy TRQs, as dairy exports tend to be commodity markets, and more ad hoc.  A side effect of using global shipments is that allocations do not reflect historical quota usage.  This results in the distribution of quota being unlikely to reflect expected quota usage.  Additionally, unlike meat exports, global exports data for dairy products must be sourced through Customs.  The Customs information is not as detailed as needed which may affect the accuracy of allocations.  Overall this means the use of global shipments is not contributing to better outcomes for dairy TRQs and is not supported by the dairy industry.</w:t>
      </w:r>
    </w:p>
    <w:p w14:paraId="38A4085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Conversely, consultation demonstrated that EU </w:t>
      </w:r>
      <w:proofErr w:type="spellStart"/>
      <w:r w:rsidRPr="00EC4659">
        <w:rPr>
          <w:rFonts w:ascii="Calibri" w:hAnsi="Calibri"/>
          <w:szCs w:val="22"/>
        </w:rPr>
        <w:t>sheepmeat</w:t>
      </w:r>
      <w:proofErr w:type="spellEnd"/>
      <w:r w:rsidRPr="00EC4659">
        <w:rPr>
          <w:rFonts w:ascii="Calibri" w:hAnsi="Calibri"/>
          <w:szCs w:val="22"/>
        </w:rPr>
        <w:t xml:space="preserve"> exporters felt the use of global shipments contributes to a more functional system for them.  Exporters expressed that this model </w:t>
      </w:r>
      <w:r w:rsidRPr="00EC4659">
        <w:rPr>
          <w:rFonts w:ascii="Calibri" w:hAnsi="Calibri"/>
          <w:szCs w:val="22"/>
        </w:rPr>
        <w:lastRenderedPageBreak/>
        <w:t xml:space="preserve">rewards diversification which is extremely beneficial in reducing the distortionary effect of the TRQ for their industry.  It also provides a pathway for exporters to enter the quota market, without having to provide an explicit new entrant provision.  Exporters did not believe that the distribution of quota not reflecting historical usage was an issue. The department has concerns that this approach results in suboptimal allocation, however, it acknowledges that the problem is not as significant as previously thought for the EU </w:t>
      </w:r>
      <w:proofErr w:type="spellStart"/>
      <w:r w:rsidRPr="00EC4659">
        <w:rPr>
          <w:rFonts w:ascii="Calibri" w:hAnsi="Calibri"/>
          <w:szCs w:val="22"/>
        </w:rPr>
        <w:t>sheepmeat</w:t>
      </w:r>
      <w:proofErr w:type="spellEnd"/>
      <w:r w:rsidRPr="00EC4659">
        <w:rPr>
          <w:rFonts w:ascii="Calibri" w:hAnsi="Calibri"/>
          <w:szCs w:val="22"/>
        </w:rPr>
        <w:t xml:space="preserve"> TRQ.</w:t>
      </w:r>
    </w:p>
    <w:p w14:paraId="07E0F0C3"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Inefficient regulations</w:t>
      </w:r>
    </w:p>
    <w:p w14:paraId="5B8125A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There are also shortfalls in some TRQs meeting Principle 2, which sets out the importance of minimising regulatory intervention.  Exporters of EU </w:t>
      </w:r>
      <w:proofErr w:type="spellStart"/>
      <w:r w:rsidRPr="00EC4659">
        <w:rPr>
          <w:rFonts w:ascii="Calibri" w:hAnsi="Calibri"/>
          <w:szCs w:val="22"/>
        </w:rPr>
        <w:t>sheepmeat</w:t>
      </w:r>
      <w:proofErr w:type="spellEnd"/>
      <w:r w:rsidRPr="00EC4659">
        <w:rPr>
          <w:rFonts w:ascii="Calibri" w:hAnsi="Calibri"/>
          <w:szCs w:val="22"/>
        </w:rPr>
        <w:t xml:space="preserve"> are required to provide information detailing all remaining consignments in order to justify retaining allocated quota for the final two months of the quota year.  The department must then monitor quota usage against this consignment information, including departure date.  The commercial reality is, however, that planned consignments change. If changes are significant or past the specified departure date, the department must reclaim the quota.  To avoid this risk, exporters are likely to estimate dates that are later in the year.  This means the information is very likely inaccurate.  This approach is not effective as it is time consuming, increases the regulatory burden, incentivises inaccuracy, and therefore is not likely to achieve the intent of improving access to unused quota. It also raises issues about discretionary decision-making, set out in Principle 3.  </w:t>
      </w:r>
      <w:proofErr w:type="spellStart"/>
      <w:r w:rsidRPr="00EC4659">
        <w:rPr>
          <w:rFonts w:ascii="Calibri" w:hAnsi="Calibri"/>
          <w:szCs w:val="22"/>
        </w:rPr>
        <w:t>Sheepmeat</w:t>
      </w:r>
      <w:proofErr w:type="spellEnd"/>
      <w:r w:rsidRPr="00EC4659">
        <w:rPr>
          <w:rFonts w:ascii="Calibri" w:hAnsi="Calibri"/>
          <w:szCs w:val="22"/>
        </w:rPr>
        <w:t xml:space="preserve"> exporters were supportive of addressing this issue.</w:t>
      </w:r>
    </w:p>
    <w:p w14:paraId="048F70F0"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EU HQB already manages this situation through the application of penalties, negating the need to ask for additional consignment information (dairy TRQs also do so for quota that is </w:t>
      </w:r>
      <w:r w:rsidRPr="00EC4659">
        <w:rPr>
          <w:rFonts w:ascii="Calibri" w:hAnsi="Calibri"/>
          <w:szCs w:val="22"/>
          <w:u w:val="single"/>
        </w:rPr>
        <w:t>retained</w:t>
      </w:r>
      <w:r w:rsidRPr="00EC4659">
        <w:rPr>
          <w:rFonts w:ascii="Calibri" w:hAnsi="Calibri"/>
          <w:szCs w:val="22"/>
        </w:rPr>
        <w:t xml:space="preserve"> as part of the reclaim process).  Proper penalty provisions deter quota holders from retaining quota they do not intend to use.  This reduces the oversight necessary from the regulator and reduces the likelihood of inconsistent rulings. </w:t>
      </w:r>
    </w:p>
    <w:p w14:paraId="0DEC49C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Rules that necessitate speculation are problematic as outcomes are unlikely to reflect exporters’ actual needs.  This occurs in dairy TRQs where exporters have to return or retain quota after only six months, and in US beef where exporters have to identify potential future shipments in a ten day window.  Exporters are likely to overestimate their needs to cover commercial arrangements, which increases the likelihood of quota remaining unused.</w:t>
      </w:r>
    </w:p>
    <w:p w14:paraId="3CD83A87"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EU </w:t>
      </w:r>
      <w:proofErr w:type="spellStart"/>
      <w:r w:rsidRPr="00EC4659">
        <w:rPr>
          <w:rFonts w:ascii="Calibri" w:hAnsi="Calibri"/>
          <w:szCs w:val="22"/>
        </w:rPr>
        <w:t>sheepmeat</w:t>
      </w:r>
      <w:proofErr w:type="spellEnd"/>
      <w:r w:rsidRPr="00EC4659">
        <w:rPr>
          <w:rFonts w:ascii="Calibri" w:hAnsi="Calibri"/>
          <w:szCs w:val="22"/>
        </w:rPr>
        <w:t xml:space="preserve"> exporters can be forced to speculate in a different way.  Any quota returned in EU </w:t>
      </w:r>
      <w:proofErr w:type="spellStart"/>
      <w:r w:rsidRPr="00EC4659">
        <w:rPr>
          <w:rFonts w:ascii="Calibri" w:hAnsi="Calibri"/>
          <w:szCs w:val="22"/>
        </w:rPr>
        <w:t>sheepmeat</w:t>
      </w:r>
      <w:proofErr w:type="spellEnd"/>
      <w:r w:rsidRPr="00EC4659">
        <w:rPr>
          <w:rFonts w:ascii="Calibri" w:hAnsi="Calibri"/>
          <w:szCs w:val="22"/>
        </w:rPr>
        <w:t xml:space="preserve"> can only be accessed by exporters via FCFS arrangements.  To access this, exporters must have a consignment prepared and apply to the department without knowing if they will receive quota.  Exporters expressed that, given the importance of having access to quota for a shipment to be viable to the EU, this can be too risky.  As a result, quota may remain unused by the end of the year, despite multiple exporters being willing to use it.</w:t>
      </w:r>
    </w:p>
    <w:p w14:paraId="4E4A2CF3"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Non-complementary rules</w:t>
      </w:r>
    </w:p>
    <w:p w14:paraId="0EAB534D"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Many rules and arrangements governing TRQs are complementary, and changing one rule can have implications for others.  This was an unforeseen outcome of recent changes to cost recovery arrangements.  Dairy exporters were previously charged an application fee for each category of quota applied for and a per tonnage fee applicable to the final allocated amount.  Due to the financial implications, the system encouraged exporters to only apply for what they would use, discouraging ‘hoarding’ behaviour. These fees were changed to a per certificate basis in 2015 and, as such, exporters no longer pay an application fee, or for their entitlement – they are only charged for a certificate.  This has removed the incentive for exporters to only apply for what they expect they will need.  As a result exporters are now asking for larger volumes of many quotas, despite being unlikely to use them.  The result has been other exporters, particularly non-manufacturers, being </w:t>
      </w:r>
      <w:r w:rsidRPr="00EC4659">
        <w:rPr>
          <w:rFonts w:ascii="Calibri" w:hAnsi="Calibri"/>
          <w:szCs w:val="22"/>
        </w:rPr>
        <w:lastRenderedPageBreak/>
        <w:t>unable to access the quota market.  This means quota use is unable to be maximised (and value realised) due to an unintended barrier to trade being created.</w:t>
      </w:r>
    </w:p>
    <w:p w14:paraId="5DA76F76"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Consistency</w:t>
      </w:r>
    </w:p>
    <w:p w14:paraId="7B6BEE6F" w14:textId="77777777" w:rsidR="00EC4659" w:rsidRPr="00EC4659" w:rsidRDefault="00EC4659" w:rsidP="00EC4659">
      <w:pPr>
        <w:spacing w:after="120" w:line="259" w:lineRule="auto"/>
        <w:rPr>
          <w:rFonts w:ascii="Calibri" w:hAnsi="Calibri"/>
          <w:i/>
          <w:szCs w:val="22"/>
        </w:rPr>
      </w:pPr>
      <w:r w:rsidRPr="00EC4659">
        <w:rPr>
          <w:rFonts w:ascii="Calibri" w:hAnsi="Calibri"/>
          <w:szCs w:val="22"/>
        </w:rPr>
        <w:t>Some consistency across quotas is valuable to assist stakeholders with understanding requirements.  The fact that FCFS is used in three different ways across the current legislative instruments is misleading for stakeholders.  Given that exporters are making commercial decisions based on the rules, it is appropriate to address risks of misinterpretation.</w:t>
      </w:r>
    </w:p>
    <w:p w14:paraId="76A72017"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Responsiveness</w:t>
      </w:r>
    </w:p>
    <w:p w14:paraId="048717A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There are some general aspects of quota administration which do not allow for responsiveness to changing industry or regulatory requirements.  The current structure is static, meaning that a quota management system cannot change for a given quota without significant effort, despite the fact that it may no longer be delivering efficient outcomes.  This is the case with many of the dairy TRQs today.</w:t>
      </w:r>
    </w:p>
    <w:p w14:paraId="4DA340E7"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Under the current arrangements, the ability to add new TRQs is limited and requires further legislative instruments.  It can also result in further rules and complexity, and IT systems changes to manage it.  This increases the complexity of the overall system and potentially increases the cost to exporters and industry in a cost-recovered environment.  It is also time-consuming and administratively burdensome, which presents risks in not being responsive enough when new free trade agreements are signed.  This was experienced with the introduction of JAEPA TRQs in 2015.</w:t>
      </w:r>
    </w:p>
    <w:p w14:paraId="0AFDB297" w14:textId="77777777" w:rsidR="00EC4659" w:rsidRPr="00EC4659" w:rsidRDefault="00EC4659" w:rsidP="00EC4659">
      <w:pPr>
        <w:spacing w:after="160" w:line="259" w:lineRule="auto"/>
        <w:rPr>
          <w:rFonts w:ascii="Calibri" w:hAnsi="Calibri"/>
          <w:szCs w:val="22"/>
        </w:rPr>
      </w:pPr>
    </w:p>
    <w:p w14:paraId="41B90812" w14:textId="77777777" w:rsidR="00EC4659" w:rsidRPr="00EC4659" w:rsidRDefault="00EC4659" w:rsidP="00EC4659">
      <w:pPr>
        <w:spacing w:after="160" w:line="259" w:lineRule="auto"/>
        <w:rPr>
          <w:rFonts w:ascii="Calibri" w:hAnsi="Calibri"/>
          <w:szCs w:val="22"/>
        </w:rPr>
      </w:pPr>
    </w:p>
    <w:p w14:paraId="727783BC"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sectPr w:rsidR="00EC4659" w:rsidRPr="00EC4659" w:rsidSect="00EC4659">
          <w:footerReference w:type="default" r:id="rId35"/>
          <w:pgSz w:w="11906" w:h="16838"/>
          <w:pgMar w:top="1440" w:right="1440" w:bottom="1135" w:left="1440" w:header="708" w:footer="708" w:gutter="0"/>
          <w:cols w:space="708"/>
          <w:docGrid w:linePitch="360"/>
        </w:sectPr>
      </w:pPr>
    </w:p>
    <w:p w14:paraId="6E05C465"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pPr>
      <w:bookmarkStart w:id="155" w:name="_Toc27482947"/>
      <w:r w:rsidRPr="00EC4659">
        <w:rPr>
          <w:rFonts w:ascii="Calibri Light" w:eastAsia="SimSun" w:hAnsi="Calibri Light"/>
          <w:color w:val="2E74B5"/>
          <w:sz w:val="32"/>
          <w:szCs w:val="32"/>
        </w:rPr>
        <w:lastRenderedPageBreak/>
        <w:t>Why is government action needed?</w:t>
      </w:r>
      <w:bookmarkEnd w:id="155"/>
    </w:p>
    <w:p w14:paraId="6E4C55B1"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Quota management requires an independent body that can provide regulatory oversight and objectivity.  In the case of TRQs under AUSFTA, it is stipulated that quota certificates can only be issued by a government entity.  This can include a statutory body, however this was ultimately not considered viable during discussions with stakeholders in 2015.  Establishing a statutory body would require significant legislative amendments, which the department did not consider favourable.  While the red meat industry preferred this, others did not, and it was considered unlikely that trading partners would agree to split quota management under two separate systems.</w:t>
      </w:r>
    </w:p>
    <w:p w14:paraId="0180630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Of particular importance is that if issues arise, they would still require government-to-government engagement, increasing the costs and duplication involved with a separate body, making it unfavourable.  The Department of Agriculture and Water Resources is already required to maintain market access rights, achieved through high level working groups, working trade relations and a mutual understanding of government-to-government requirements.  A separate statutory authority would need to duplicate some of this activity or have additional structures to work between organisations.</w:t>
      </w:r>
    </w:p>
    <w:p w14:paraId="3563195F"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Detail on the stages of the process to date, including discussions regarding options for quota management, are summarised in Appendix D.</w:t>
      </w:r>
    </w:p>
    <w:p w14:paraId="35D11C98" w14:textId="77777777" w:rsidR="00EC4659" w:rsidRPr="00EC4659" w:rsidRDefault="00EC4659" w:rsidP="000F6D46">
      <w:pPr>
        <w:keepNext/>
        <w:keepLines/>
        <w:numPr>
          <w:ilvl w:val="1"/>
          <w:numId w:val="72"/>
        </w:numPr>
        <w:spacing w:before="200" w:after="160" w:line="276" w:lineRule="auto"/>
        <w:outlineLvl w:val="1"/>
        <w:rPr>
          <w:rFonts w:ascii="Calibri Light" w:eastAsia="SimSun" w:hAnsi="Calibri Light"/>
          <w:b/>
          <w:bCs/>
          <w:color w:val="5B9BD5"/>
          <w:sz w:val="26"/>
          <w:szCs w:val="26"/>
        </w:rPr>
      </w:pPr>
      <w:bookmarkStart w:id="156" w:name="_Toc27482948"/>
      <w:r w:rsidRPr="00EC4659">
        <w:rPr>
          <w:rFonts w:ascii="Calibri Light" w:eastAsia="SimSun" w:hAnsi="Calibri Light"/>
          <w:b/>
          <w:bCs/>
          <w:color w:val="5B9BD5"/>
          <w:sz w:val="26"/>
          <w:szCs w:val="26"/>
        </w:rPr>
        <w:t>Objectives</w:t>
      </w:r>
      <w:bookmarkEnd w:id="156"/>
      <w:r w:rsidRPr="00EC4659">
        <w:rPr>
          <w:rFonts w:ascii="Calibri Light" w:eastAsia="SimSun" w:hAnsi="Calibri Light"/>
          <w:b/>
          <w:bCs/>
          <w:color w:val="5B9BD5"/>
          <w:sz w:val="26"/>
          <w:szCs w:val="26"/>
        </w:rPr>
        <w:t xml:space="preserve"> </w:t>
      </w:r>
    </w:p>
    <w:p w14:paraId="3242B24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objectives of the proposed changes to quota administration processes are as follows:</w:t>
      </w:r>
    </w:p>
    <w:p w14:paraId="43BF584A" w14:textId="77777777" w:rsidR="00EC4659" w:rsidRPr="00EC4659" w:rsidRDefault="00EC4659" w:rsidP="000F6D46">
      <w:pPr>
        <w:numPr>
          <w:ilvl w:val="0"/>
          <w:numId w:val="103"/>
        </w:numPr>
        <w:spacing w:after="160" w:line="259" w:lineRule="auto"/>
        <w:ind w:left="567"/>
        <w:contextualSpacing/>
        <w:rPr>
          <w:rFonts w:ascii="Calibri" w:hAnsi="Calibri"/>
          <w:szCs w:val="22"/>
        </w:rPr>
      </w:pPr>
      <w:r w:rsidRPr="00EC4659">
        <w:rPr>
          <w:rFonts w:ascii="Calibri" w:hAnsi="Calibri"/>
          <w:szCs w:val="22"/>
        </w:rPr>
        <w:t>To reduce behaviours and outcomes that impede quota access and usage.</w:t>
      </w:r>
    </w:p>
    <w:p w14:paraId="1EAAF5B0" w14:textId="77777777" w:rsidR="00EC4659" w:rsidRPr="00EC4659" w:rsidRDefault="00EC4659" w:rsidP="000F6D46">
      <w:pPr>
        <w:numPr>
          <w:ilvl w:val="0"/>
          <w:numId w:val="103"/>
        </w:numPr>
        <w:spacing w:after="160" w:line="259" w:lineRule="auto"/>
        <w:ind w:left="567"/>
        <w:contextualSpacing/>
        <w:rPr>
          <w:rFonts w:ascii="Calibri" w:hAnsi="Calibri"/>
          <w:szCs w:val="22"/>
        </w:rPr>
      </w:pPr>
      <w:r w:rsidRPr="00EC4659">
        <w:rPr>
          <w:rFonts w:ascii="Calibri" w:hAnsi="Calibri"/>
          <w:szCs w:val="22"/>
        </w:rPr>
        <w:t>To reduce the regulatory burden on stakeholders.</w:t>
      </w:r>
    </w:p>
    <w:p w14:paraId="1FA01C82" w14:textId="77777777" w:rsidR="00EC4659" w:rsidRPr="00EC4659" w:rsidRDefault="00EC4659" w:rsidP="000F6D46">
      <w:pPr>
        <w:numPr>
          <w:ilvl w:val="0"/>
          <w:numId w:val="103"/>
        </w:numPr>
        <w:spacing w:after="160" w:line="259" w:lineRule="auto"/>
        <w:ind w:left="567"/>
        <w:contextualSpacing/>
        <w:rPr>
          <w:rFonts w:ascii="Calibri" w:hAnsi="Calibri"/>
          <w:szCs w:val="22"/>
        </w:rPr>
      </w:pPr>
      <w:r w:rsidRPr="00EC4659">
        <w:rPr>
          <w:rFonts w:ascii="Calibri" w:hAnsi="Calibri"/>
          <w:szCs w:val="22"/>
        </w:rPr>
        <w:t>To provide a consistent framework that enables stakeholder understanding and enhances their decision-making ability.</w:t>
      </w:r>
    </w:p>
    <w:p w14:paraId="5C726A36" w14:textId="77777777" w:rsidR="00EC4659" w:rsidRPr="00EC4659" w:rsidRDefault="00EC4659" w:rsidP="000F6D46">
      <w:pPr>
        <w:numPr>
          <w:ilvl w:val="0"/>
          <w:numId w:val="103"/>
        </w:numPr>
        <w:spacing w:after="160" w:line="259" w:lineRule="auto"/>
        <w:ind w:left="567"/>
        <w:contextualSpacing/>
        <w:rPr>
          <w:rFonts w:ascii="Calibri" w:hAnsi="Calibri"/>
          <w:szCs w:val="22"/>
        </w:rPr>
      </w:pPr>
      <w:r w:rsidRPr="00EC4659">
        <w:rPr>
          <w:rFonts w:ascii="Calibri" w:hAnsi="Calibri"/>
          <w:szCs w:val="22"/>
        </w:rPr>
        <w:t>To streamline processes where possible to improve efficiency.</w:t>
      </w:r>
    </w:p>
    <w:p w14:paraId="2C61824B" w14:textId="77777777" w:rsidR="00EC4659" w:rsidRPr="00EC4659" w:rsidRDefault="00EC4659" w:rsidP="000F6D46">
      <w:pPr>
        <w:numPr>
          <w:ilvl w:val="0"/>
          <w:numId w:val="103"/>
        </w:numPr>
        <w:spacing w:after="160" w:line="259" w:lineRule="auto"/>
        <w:ind w:left="567"/>
        <w:contextualSpacing/>
        <w:rPr>
          <w:rFonts w:ascii="Calibri" w:hAnsi="Calibri"/>
          <w:szCs w:val="22"/>
        </w:rPr>
      </w:pPr>
      <w:r w:rsidRPr="00EC4659">
        <w:rPr>
          <w:rFonts w:ascii="Calibri" w:hAnsi="Calibri"/>
          <w:szCs w:val="22"/>
        </w:rPr>
        <w:t>To future-proof quota administration so that it is responsive to new quota markets, and changes to existing markets.</w:t>
      </w:r>
    </w:p>
    <w:p w14:paraId="33D04792" w14:textId="77777777" w:rsidR="00EC4659" w:rsidRPr="00EC4659" w:rsidRDefault="00EC4659" w:rsidP="00EC4659">
      <w:pPr>
        <w:spacing w:line="259" w:lineRule="auto"/>
        <w:rPr>
          <w:rFonts w:ascii="Calibri" w:hAnsi="Calibri"/>
          <w:szCs w:val="22"/>
        </w:rPr>
      </w:pPr>
    </w:p>
    <w:p w14:paraId="58567B16" w14:textId="77777777" w:rsidR="00EC4659" w:rsidRPr="00EC4659" w:rsidRDefault="00EC4659" w:rsidP="00EC4659">
      <w:pPr>
        <w:spacing w:line="259" w:lineRule="auto"/>
        <w:rPr>
          <w:rFonts w:ascii="Calibri" w:hAnsi="Calibri"/>
          <w:szCs w:val="22"/>
        </w:rPr>
      </w:pPr>
    </w:p>
    <w:p w14:paraId="08BCED09"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sectPr w:rsidR="00EC4659" w:rsidRPr="00EC4659" w:rsidSect="00EC4659">
          <w:pgSz w:w="11906" w:h="16838"/>
          <w:pgMar w:top="1440" w:right="1440" w:bottom="1135" w:left="1440" w:header="708" w:footer="708" w:gutter="0"/>
          <w:cols w:space="708"/>
          <w:docGrid w:linePitch="360"/>
        </w:sectPr>
      </w:pPr>
    </w:p>
    <w:p w14:paraId="52DE3747"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pPr>
      <w:bookmarkStart w:id="157" w:name="_Toc27482949"/>
      <w:r w:rsidRPr="00EC4659">
        <w:rPr>
          <w:rFonts w:ascii="Calibri Light" w:eastAsia="SimSun" w:hAnsi="Calibri Light"/>
          <w:color w:val="2E74B5"/>
          <w:sz w:val="32"/>
          <w:szCs w:val="32"/>
        </w:rPr>
        <w:lastRenderedPageBreak/>
        <w:t>What policy options are you considering?</w:t>
      </w:r>
      <w:bookmarkEnd w:id="157"/>
    </w:p>
    <w:p w14:paraId="31FB83CC" w14:textId="77777777" w:rsidR="00EC4659" w:rsidRPr="00EC4659" w:rsidRDefault="00EC4659" w:rsidP="00EC4659">
      <w:pPr>
        <w:spacing w:after="120" w:line="259" w:lineRule="auto"/>
        <w:rPr>
          <w:rFonts w:ascii="Calibri" w:hAnsi="Calibri"/>
          <w:b/>
          <w:szCs w:val="22"/>
        </w:rPr>
      </w:pPr>
      <w:r w:rsidRPr="00EC4659">
        <w:rPr>
          <w:rFonts w:ascii="Calibri" w:hAnsi="Calibri"/>
          <w:szCs w:val="22"/>
        </w:rPr>
        <w:t xml:space="preserve">In 2015 the government met with relevant industries regarding quota management and a decision was made to maintain government management of TRQs.  It was also agreed that the government would review the commonality of rules to consider possible streamlining.  With this in mind and in accordance with the Australian Government Guide to Regulation and the </w:t>
      </w:r>
      <w:r w:rsidRPr="00EC4659">
        <w:rPr>
          <w:rFonts w:ascii="Calibri" w:hAnsi="Calibri"/>
          <w:szCs w:val="22"/>
          <w:lang w:eastAsia="ja-JP"/>
        </w:rPr>
        <w:t xml:space="preserve">Office of Best Practice Regulation’s (OBPR) </w:t>
      </w:r>
      <w:r w:rsidRPr="00EC4659">
        <w:rPr>
          <w:rFonts w:ascii="Calibri" w:hAnsi="Calibri"/>
          <w:szCs w:val="22"/>
        </w:rPr>
        <w:t>guidelines, the government has considered the following policy options in regards to the administration of quota.</w:t>
      </w:r>
    </w:p>
    <w:p w14:paraId="18FBFD42" w14:textId="77777777" w:rsidR="00EC4659" w:rsidRPr="00EC4659" w:rsidRDefault="00EC4659" w:rsidP="00EC4659">
      <w:pPr>
        <w:spacing w:line="259" w:lineRule="auto"/>
        <w:rPr>
          <w:rFonts w:ascii="Calibri" w:hAnsi="Calibri"/>
          <w:szCs w:val="22"/>
        </w:rPr>
      </w:pPr>
      <w:r w:rsidRPr="00EC4659">
        <w:rPr>
          <w:rFonts w:ascii="Calibri" w:hAnsi="Calibri"/>
          <w:b/>
          <w:szCs w:val="22"/>
        </w:rPr>
        <w:t>Option 1:</w:t>
      </w:r>
      <w:r w:rsidRPr="00EC4659">
        <w:rPr>
          <w:rFonts w:ascii="Calibri" w:hAnsi="Calibri"/>
          <w:szCs w:val="22"/>
        </w:rPr>
        <w:t xml:space="preserve"> Status quo – retain all current regulations</w:t>
      </w:r>
    </w:p>
    <w:p w14:paraId="162F7FC8" w14:textId="77777777" w:rsidR="00EC4659" w:rsidRPr="00EC4659" w:rsidRDefault="00EC4659" w:rsidP="000F6D46">
      <w:pPr>
        <w:numPr>
          <w:ilvl w:val="0"/>
          <w:numId w:val="76"/>
        </w:numPr>
        <w:spacing w:after="120" w:line="259" w:lineRule="auto"/>
        <w:ind w:left="567"/>
        <w:contextualSpacing/>
        <w:rPr>
          <w:rFonts w:ascii="Calibri" w:hAnsi="Calibri"/>
          <w:szCs w:val="22"/>
        </w:rPr>
      </w:pPr>
      <w:r w:rsidRPr="00EC4659">
        <w:rPr>
          <w:rFonts w:ascii="Calibri" w:hAnsi="Calibri"/>
          <w:szCs w:val="22"/>
        </w:rPr>
        <w:t>This option would involve retaining the existing allocation arrangements to maintain the status quo.</w:t>
      </w:r>
    </w:p>
    <w:p w14:paraId="3745D4FA" w14:textId="77777777" w:rsidR="00EC4659" w:rsidRPr="00EC4659" w:rsidRDefault="00EC4659" w:rsidP="00EC4659">
      <w:pPr>
        <w:spacing w:line="259" w:lineRule="auto"/>
        <w:rPr>
          <w:rFonts w:ascii="Calibri" w:hAnsi="Calibri"/>
          <w:szCs w:val="22"/>
        </w:rPr>
      </w:pPr>
      <w:r w:rsidRPr="00EC4659">
        <w:rPr>
          <w:rFonts w:ascii="Calibri" w:hAnsi="Calibri"/>
          <w:b/>
          <w:szCs w:val="22"/>
        </w:rPr>
        <w:t>Option 2:</w:t>
      </w:r>
      <w:r w:rsidRPr="00EC4659">
        <w:rPr>
          <w:rFonts w:ascii="Calibri" w:hAnsi="Calibri"/>
          <w:szCs w:val="22"/>
        </w:rPr>
        <w:t xml:space="preserve"> Remove regulation – first come, first served system</w:t>
      </w:r>
    </w:p>
    <w:p w14:paraId="0D0852F0" w14:textId="77777777" w:rsidR="00EC4659" w:rsidRPr="00EC4659" w:rsidRDefault="00EC4659" w:rsidP="000F6D46">
      <w:pPr>
        <w:numPr>
          <w:ilvl w:val="0"/>
          <w:numId w:val="76"/>
        </w:numPr>
        <w:spacing w:after="120" w:line="259" w:lineRule="auto"/>
        <w:ind w:left="567"/>
        <w:contextualSpacing/>
        <w:rPr>
          <w:rFonts w:ascii="Calibri" w:hAnsi="Calibri"/>
          <w:szCs w:val="22"/>
        </w:rPr>
      </w:pPr>
      <w:r w:rsidRPr="00EC4659">
        <w:rPr>
          <w:rFonts w:ascii="Calibri" w:hAnsi="Calibri"/>
          <w:szCs w:val="22"/>
        </w:rPr>
        <w:t>This option would involve removing allocation rules for all quotas managed by Australia and having quotas operate under an FCFS arrangement.</w:t>
      </w:r>
    </w:p>
    <w:p w14:paraId="13628C0B" w14:textId="77777777" w:rsidR="00EC4659" w:rsidRPr="00EC4659" w:rsidRDefault="00EC4659" w:rsidP="00EC4659">
      <w:pPr>
        <w:spacing w:line="259" w:lineRule="auto"/>
        <w:rPr>
          <w:rFonts w:ascii="Calibri" w:hAnsi="Calibri"/>
          <w:szCs w:val="22"/>
        </w:rPr>
      </w:pPr>
      <w:r w:rsidRPr="00EC4659">
        <w:rPr>
          <w:rFonts w:ascii="Calibri" w:hAnsi="Calibri"/>
          <w:b/>
          <w:szCs w:val="22"/>
        </w:rPr>
        <w:t>Option 3:</w:t>
      </w:r>
      <w:r w:rsidRPr="00EC4659">
        <w:rPr>
          <w:rFonts w:ascii="Calibri" w:hAnsi="Calibri"/>
          <w:szCs w:val="22"/>
        </w:rPr>
        <w:t xml:space="preserve"> Tiered management system</w:t>
      </w:r>
    </w:p>
    <w:p w14:paraId="46A34714" w14:textId="77777777" w:rsidR="00EC4659" w:rsidRPr="00EC4659" w:rsidRDefault="00EC4659" w:rsidP="000F6D46">
      <w:pPr>
        <w:numPr>
          <w:ilvl w:val="0"/>
          <w:numId w:val="76"/>
        </w:numPr>
        <w:spacing w:after="120" w:line="259" w:lineRule="auto"/>
        <w:ind w:left="567"/>
        <w:contextualSpacing/>
        <w:rPr>
          <w:rFonts w:ascii="Calibri" w:hAnsi="Calibri"/>
          <w:szCs w:val="22"/>
        </w:rPr>
      </w:pPr>
      <w:r w:rsidRPr="00EC4659">
        <w:rPr>
          <w:rFonts w:ascii="Calibri" w:hAnsi="Calibri"/>
          <w:szCs w:val="22"/>
        </w:rPr>
        <w:t xml:space="preserve">This option would involve introducing a set system with tiered levels of regulation depending on the level of quota usage per TRQ. </w:t>
      </w:r>
    </w:p>
    <w:p w14:paraId="00EAB63E" w14:textId="77777777" w:rsidR="00EC4659" w:rsidRPr="00EC4659" w:rsidRDefault="00EC4659" w:rsidP="00EC4659">
      <w:pPr>
        <w:spacing w:line="259" w:lineRule="auto"/>
        <w:rPr>
          <w:rFonts w:ascii="Calibri" w:hAnsi="Calibri"/>
          <w:szCs w:val="22"/>
        </w:rPr>
      </w:pPr>
      <w:r w:rsidRPr="00EC4659">
        <w:rPr>
          <w:rFonts w:ascii="Calibri" w:hAnsi="Calibri"/>
          <w:b/>
          <w:szCs w:val="22"/>
        </w:rPr>
        <w:t>Option 4</w:t>
      </w:r>
      <w:r w:rsidRPr="00EC4659">
        <w:rPr>
          <w:rFonts w:ascii="Calibri" w:hAnsi="Calibri"/>
          <w:szCs w:val="22"/>
        </w:rPr>
        <w:t>: Industry-tailored tiered management system</w:t>
      </w:r>
    </w:p>
    <w:p w14:paraId="475E122F" w14:textId="77777777" w:rsidR="00EC4659" w:rsidRPr="00EC4659" w:rsidRDefault="00EC4659" w:rsidP="000F6D46">
      <w:pPr>
        <w:numPr>
          <w:ilvl w:val="0"/>
          <w:numId w:val="76"/>
        </w:numPr>
        <w:spacing w:after="120" w:line="259" w:lineRule="auto"/>
        <w:ind w:left="567"/>
        <w:contextualSpacing/>
        <w:rPr>
          <w:rFonts w:ascii="Calibri" w:hAnsi="Calibri"/>
          <w:szCs w:val="22"/>
        </w:rPr>
      </w:pPr>
      <w:r w:rsidRPr="00EC4659">
        <w:rPr>
          <w:rFonts w:ascii="Calibri" w:hAnsi="Calibri"/>
          <w:szCs w:val="22"/>
        </w:rPr>
        <w:t>This option would involve introducing a broader tiered system than Option 3 that allows regulation broadly based on the level of quota usage, but with elements tailored for specific industry needs.</w:t>
      </w:r>
    </w:p>
    <w:p w14:paraId="7EEC6E9C" w14:textId="77777777" w:rsidR="00EC4659" w:rsidRPr="00EC4659" w:rsidRDefault="00EC4659" w:rsidP="000F6D46">
      <w:pPr>
        <w:keepNext/>
        <w:keepLines/>
        <w:numPr>
          <w:ilvl w:val="1"/>
          <w:numId w:val="72"/>
        </w:numPr>
        <w:spacing w:before="200" w:after="160" w:line="276" w:lineRule="auto"/>
        <w:outlineLvl w:val="1"/>
        <w:rPr>
          <w:rFonts w:ascii="Calibri Light" w:eastAsia="SimSun" w:hAnsi="Calibri Light"/>
          <w:b/>
          <w:bCs/>
          <w:color w:val="5B9BD5"/>
          <w:sz w:val="26"/>
          <w:szCs w:val="26"/>
        </w:rPr>
      </w:pPr>
      <w:bookmarkStart w:id="158" w:name="_Toc27482950"/>
      <w:r w:rsidRPr="00EC4659">
        <w:rPr>
          <w:rFonts w:ascii="Calibri Light" w:eastAsia="SimSun" w:hAnsi="Calibri Light"/>
          <w:b/>
          <w:bCs/>
          <w:color w:val="5B9BD5"/>
          <w:sz w:val="26"/>
          <w:szCs w:val="26"/>
        </w:rPr>
        <w:t>Option 1: Status quo – retain all current regulations</w:t>
      </w:r>
      <w:bookmarkEnd w:id="158"/>
    </w:p>
    <w:p w14:paraId="4F5C64A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Option 1 is to keep the current regulatory arrangements and maintain the status quo.  This would mean current regulatory arrangements would remain for quota allocation, under the updated </w:t>
      </w:r>
      <w:r w:rsidRPr="00EC4659">
        <w:rPr>
          <w:rFonts w:ascii="Calibri" w:hAnsi="Calibri"/>
          <w:i/>
          <w:szCs w:val="22"/>
        </w:rPr>
        <w:t>Export Control Act 1982</w:t>
      </w:r>
      <w:r w:rsidRPr="00EC4659">
        <w:rPr>
          <w:rFonts w:ascii="Calibri" w:hAnsi="Calibri"/>
          <w:szCs w:val="22"/>
        </w:rPr>
        <w:t xml:space="preserve"> and the associated orders for each TRQ. Quota administration would continue to operate under five separately administered legislative orders with fixed rules and varying levels of complexity.  The current arrangements are summarised in Appendix C.</w:t>
      </w:r>
    </w:p>
    <w:p w14:paraId="268E895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EU HQB, EU </w:t>
      </w:r>
      <w:proofErr w:type="spellStart"/>
      <w:r w:rsidRPr="00EC4659">
        <w:rPr>
          <w:rFonts w:ascii="Calibri" w:hAnsi="Calibri"/>
          <w:szCs w:val="22"/>
        </w:rPr>
        <w:t>sheepmeat</w:t>
      </w:r>
      <w:proofErr w:type="spellEnd"/>
      <w:r w:rsidRPr="00EC4659">
        <w:rPr>
          <w:rFonts w:ascii="Calibri" w:hAnsi="Calibri"/>
          <w:szCs w:val="22"/>
        </w:rPr>
        <w:t xml:space="preserve"> and </w:t>
      </w:r>
      <w:proofErr w:type="spellStart"/>
      <w:r w:rsidRPr="00EC4659">
        <w:rPr>
          <w:rFonts w:ascii="Calibri" w:hAnsi="Calibri"/>
          <w:szCs w:val="22"/>
        </w:rPr>
        <w:t>goatmeat</w:t>
      </w:r>
      <w:proofErr w:type="spellEnd"/>
      <w:r w:rsidRPr="00EC4659">
        <w:rPr>
          <w:rFonts w:ascii="Calibri" w:hAnsi="Calibri"/>
          <w:szCs w:val="22"/>
        </w:rPr>
        <w:t>, and dairy TRQs would remain under their respective allocation systems.  The US beef TRQ would remain under its FCFS process with high usage triggering allocations.  The Japanese juice, preserved meats, poultry, pork and honey TRQs would remain under FCFS arrangements.  Japanese edible bovine offal (EBO) would continue to operate under a quarterly FCFS model.</w:t>
      </w:r>
    </w:p>
    <w:p w14:paraId="45371E80"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As this is the status quo, this option does not address the problems defined.</w:t>
      </w:r>
    </w:p>
    <w:p w14:paraId="6E99FD2C" w14:textId="77777777" w:rsidR="00EC4659" w:rsidRPr="00EC4659" w:rsidRDefault="00EC4659" w:rsidP="000F6D46">
      <w:pPr>
        <w:keepNext/>
        <w:keepLines/>
        <w:numPr>
          <w:ilvl w:val="1"/>
          <w:numId w:val="72"/>
        </w:numPr>
        <w:spacing w:before="200" w:after="160" w:line="276" w:lineRule="auto"/>
        <w:outlineLvl w:val="1"/>
        <w:rPr>
          <w:rFonts w:ascii="Calibri Light" w:eastAsia="SimSun" w:hAnsi="Calibri Light"/>
          <w:b/>
          <w:bCs/>
          <w:color w:val="5B9BD5"/>
          <w:sz w:val="26"/>
          <w:szCs w:val="26"/>
        </w:rPr>
      </w:pPr>
      <w:bookmarkStart w:id="159" w:name="_Toc27482951"/>
      <w:r w:rsidRPr="00EC4659">
        <w:rPr>
          <w:rFonts w:ascii="Calibri Light" w:eastAsia="SimSun" w:hAnsi="Calibri Light"/>
          <w:b/>
          <w:bCs/>
          <w:color w:val="5B9BD5"/>
          <w:sz w:val="26"/>
          <w:szCs w:val="26"/>
        </w:rPr>
        <w:t>Option 2: Remove regulation – first come, first served system</w:t>
      </w:r>
      <w:bookmarkEnd w:id="159"/>
    </w:p>
    <w:p w14:paraId="249277A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Option 2 is the fully deregulatory option.  The government would no longer allocate quota before the start of each annual quota period for TRQs that have historically been highly utilised or where a high-fill trigger had existed. It would also remove the restrictions of allocations only being available to one part of the export sector, such as dairy allocations being limited to manufacturers.  </w:t>
      </w:r>
    </w:p>
    <w:p w14:paraId="2205D08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Instead, all quota certificates would be issued on an FCFS basis whereby quota would be assigned only where a valid consignment application has been made and is ready to have the necessary </w:t>
      </w:r>
      <w:r w:rsidRPr="00EC4659">
        <w:rPr>
          <w:rFonts w:ascii="Calibri" w:hAnsi="Calibri"/>
          <w:szCs w:val="22"/>
        </w:rPr>
        <w:lastRenderedPageBreak/>
        <w:t>certification issued</w:t>
      </w:r>
      <w:r w:rsidRPr="00EC4659">
        <w:rPr>
          <w:rFonts w:ascii="Calibri" w:hAnsi="Calibri"/>
          <w:szCs w:val="22"/>
          <w:vertAlign w:val="superscript"/>
        </w:rPr>
        <w:footnoteReference w:customMarkFollows="1" w:id="5"/>
        <w:t>*</w:t>
      </w:r>
      <w:r w:rsidRPr="00EC4659">
        <w:rPr>
          <w:rFonts w:ascii="Calibri" w:hAnsi="Calibri"/>
          <w:szCs w:val="22"/>
        </w:rPr>
        <w:t>.  This would allow for any exporter, trader, manufacturer or processor to access available quota at any point in time.  However, once a quota is fully utilised, subsequent exports would become subject to the out-of-quota tariffs.</w:t>
      </w:r>
    </w:p>
    <w:p w14:paraId="541DE37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This option would resolve some aspects of the problem, such as improving access and efficiency and reducing complexity.  However, it would not resolve those relating to rewarding market access, and most significantly, would introduce a range of additional problems for highly utilised TRQs that had previously been allocated.  A details analysis is included in Section 5, below.</w:t>
      </w:r>
    </w:p>
    <w:p w14:paraId="19AB77CA" w14:textId="77777777" w:rsidR="00EC4659" w:rsidRPr="00EC4659" w:rsidRDefault="00EC4659" w:rsidP="000F6D46">
      <w:pPr>
        <w:keepNext/>
        <w:keepLines/>
        <w:numPr>
          <w:ilvl w:val="1"/>
          <w:numId w:val="72"/>
        </w:numPr>
        <w:spacing w:before="200" w:after="160" w:line="276" w:lineRule="auto"/>
        <w:outlineLvl w:val="1"/>
        <w:rPr>
          <w:rFonts w:ascii="Calibri Light" w:eastAsia="SimSun" w:hAnsi="Calibri Light"/>
          <w:b/>
          <w:bCs/>
          <w:color w:val="5B9BD5"/>
          <w:sz w:val="26"/>
          <w:szCs w:val="26"/>
        </w:rPr>
      </w:pPr>
      <w:bookmarkStart w:id="160" w:name="_Toc27482952"/>
      <w:r w:rsidRPr="00EC4659">
        <w:rPr>
          <w:rFonts w:ascii="Calibri Light" w:eastAsia="SimSun" w:hAnsi="Calibri Light"/>
          <w:b/>
          <w:bCs/>
          <w:color w:val="5B9BD5"/>
          <w:sz w:val="26"/>
          <w:szCs w:val="26"/>
        </w:rPr>
        <w:t>Option 3: Tiered management system</w:t>
      </w:r>
      <w:bookmarkEnd w:id="160"/>
    </w:p>
    <w:p w14:paraId="621F3F0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Option 3 is a tiered management system, offering a management process to cater for the primary levels of quota usage – low, medium and high.  This streamlines quota management by reducing the number of allocation methods and introducing a consistent approach to managing TRQs.  This would allow for a single legislative instrument to be drafted to govern all TRQs managed by the Australian Government, thereby reducing complexity.  </w:t>
      </w:r>
    </w:p>
    <w:p w14:paraId="63C19D5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 mechanism is generally proposed for each level of quota usage:</w:t>
      </w:r>
    </w:p>
    <w:p w14:paraId="15BD5252" w14:textId="77777777" w:rsidR="00EC4659" w:rsidRPr="00EC4659" w:rsidRDefault="00EC4659" w:rsidP="00EC4659">
      <w:pPr>
        <w:spacing w:before="120" w:line="276" w:lineRule="auto"/>
        <w:ind w:left="567" w:hanging="360"/>
        <w:rPr>
          <w:rFonts w:ascii="Calibri" w:hAnsi="Calibri"/>
          <w:szCs w:val="22"/>
        </w:rPr>
      </w:pPr>
      <w:r w:rsidRPr="00EC4659">
        <w:rPr>
          <w:rFonts w:ascii="Calibri" w:hAnsi="Calibri"/>
          <w:szCs w:val="22"/>
        </w:rPr>
        <w:t>For low quota utilisation markets, there would be no allocation. Quota would be made available in response to applications on a FCFS basis.</w:t>
      </w:r>
    </w:p>
    <w:p w14:paraId="1B0BCD1D" w14:textId="77777777" w:rsidR="00EC4659" w:rsidRPr="00EC4659" w:rsidRDefault="00EC4659" w:rsidP="00EC4659">
      <w:pPr>
        <w:spacing w:before="120" w:line="276" w:lineRule="auto"/>
        <w:ind w:left="567" w:hanging="360"/>
        <w:rPr>
          <w:rFonts w:ascii="Calibri" w:hAnsi="Calibri"/>
          <w:szCs w:val="22"/>
        </w:rPr>
      </w:pPr>
      <w:r w:rsidRPr="00EC4659">
        <w:rPr>
          <w:rFonts w:ascii="Calibri" w:hAnsi="Calibri"/>
          <w:szCs w:val="22"/>
        </w:rPr>
        <w:t xml:space="preserve">For medium quota utilisation markets, there would be no allocation until a trigger threshold is reached on or before a set date (known as FCFS with high-fill trigger). </w:t>
      </w:r>
    </w:p>
    <w:p w14:paraId="2EC8834A" w14:textId="77777777" w:rsidR="00EC4659" w:rsidRPr="00EC4659" w:rsidRDefault="00EC4659" w:rsidP="00EC4659">
      <w:pPr>
        <w:spacing w:before="120" w:after="120" w:line="276" w:lineRule="auto"/>
        <w:ind w:left="567" w:hanging="360"/>
        <w:rPr>
          <w:rFonts w:ascii="Calibri" w:hAnsi="Calibri"/>
          <w:szCs w:val="22"/>
        </w:rPr>
      </w:pPr>
      <w:r w:rsidRPr="00EC4659">
        <w:rPr>
          <w:rFonts w:ascii="Calibri" w:hAnsi="Calibri"/>
          <w:szCs w:val="22"/>
        </w:rPr>
        <w:t xml:space="preserve">For high quota utilisation markets, quota would be allocated under a rationalised administrative model (detailed below). </w:t>
      </w:r>
    </w:p>
    <w:p w14:paraId="5D6178B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However, the TRQs would not be fixed to a mechanism. If quota usage shifts between certain volumes, a review process would be triggered to consider whether another allocation mechanism would be more appropriate for future years.  This would occur where quota usage shifts between less than 80 per cent, 80-90 per cent and greater than 90 per cent in either two consecutive years or three times in a five year period.  Any review would consider a range of factors, including industry perspectives. This means the system can respond to long term changes.</w:t>
      </w:r>
    </w:p>
    <w:p w14:paraId="7F61AFB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Existing TRQs would therefore be managed as follows:</w:t>
      </w:r>
    </w:p>
    <w:tbl>
      <w:tblPr>
        <w:tblStyle w:val="TableGrid1"/>
        <w:tblW w:w="0" w:type="auto"/>
        <w:tblLook w:val="04A0" w:firstRow="1" w:lastRow="0" w:firstColumn="1" w:lastColumn="0" w:noHBand="0" w:noVBand="1"/>
        <w:tblCaption w:val="Proposed quota management mechanisms under Option 3"/>
        <w:tblDescription w:val="This table sets out which quota management mechanisms Option 3 would apply to each of the existing quotas."/>
      </w:tblPr>
      <w:tblGrid>
        <w:gridCol w:w="3114"/>
        <w:gridCol w:w="4961"/>
      </w:tblGrid>
      <w:tr w:rsidR="00EC4659" w:rsidRPr="00EC4659" w14:paraId="188A29CF" w14:textId="77777777" w:rsidTr="00EC4659">
        <w:tc>
          <w:tcPr>
            <w:tcW w:w="3114" w:type="dxa"/>
            <w:shd w:val="clear" w:color="auto" w:fill="DEEAF6"/>
          </w:tcPr>
          <w:p w14:paraId="619FF7FE" w14:textId="77777777" w:rsidR="00EC4659" w:rsidRPr="00463809" w:rsidRDefault="00EC465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Mechanism for Management</w:t>
            </w:r>
          </w:p>
        </w:tc>
        <w:tc>
          <w:tcPr>
            <w:tcW w:w="4961" w:type="dxa"/>
            <w:shd w:val="clear" w:color="auto" w:fill="DEEAF6"/>
          </w:tcPr>
          <w:p w14:paraId="50F9C1BC" w14:textId="77777777" w:rsidR="00EC4659" w:rsidRPr="00463809" w:rsidRDefault="00EC465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 xml:space="preserve">Quotas </w:t>
            </w:r>
          </w:p>
        </w:tc>
      </w:tr>
      <w:tr w:rsidR="00EC4659" w:rsidRPr="00EC4659" w14:paraId="4908F31D" w14:textId="77777777" w:rsidTr="00EC4659">
        <w:tc>
          <w:tcPr>
            <w:tcW w:w="3114" w:type="dxa"/>
          </w:tcPr>
          <w:p w14:paraId="07729BE1"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First come, first served</w:t>
            </w:r>
          </w:p>
        </w:tc>
        <w:tc>
          <w:tcPr>
            <w:tcW w:w="4961" w:type="dxa"/>
          </w:tcPr>
          <w:p w14:paraId="52D2CA9F" w14:textId="77777777" w:rsidR="00EC4659" w:rsidRPr="00463809" w:rsidRDefault="00EC4659" w:rsidP="000F6D46">
            <w:pPr>
              <w:numPr>
                <w:ilvl w:val="0"/>
                <w:numId w:val="7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6 of 8 JAEPA TRQs (excepting EBO and honey)</w:t>
            </w:r>
          </w:p>
          <w:p w14:paraId="7BB42554" w14:textId="77777777" w:rsidR="00EC4659" w:rsidRPr="00463809" w:rsidRDefault="00EC4659" w:rsidP="000F6D46">
            <w:pPr>
              <w:numPr>
                <w:ilvl w:val="0"/>
                <w:numId w:val="7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17 of 19 dairy TRQs (excepting US FTA cheddar and butter)</w:t>
            </w:r>
          </w:p>
        </w:tc>
      </w:tr>
      <w:tr w:rsidR="00EC4659" w:rsidRPr="00EC4659" w14:paraId="570D092F" w14:textId="77777777" w:rsidTr="00EC4659">
        <w:tc>
          <w:tcPr>
            <w:tcW w:w="3114" w:type="dxa"/>
          </w:tcPr>
          <w:p w14:paraId="77637314"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FCFS with high-fill trigger</w:t>
            </w:r>
          </w:p>
        </w:tc>
        <w:tc>
          <w:tcPr>
            <w:tcW w:w="4961" w:type="dxa"/>
          </w:tcPr>
          <w:p w14:paraId="3D42B469"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US beef </w:t>
            </w:r>
          </w:p>
          <w:p w14:paraId="430FFA95"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US FTA Cheddar</w:t>
            </w:r>
          </w:p>
        </w:tc>
      </w:tr>
      <w:tr w:rsidR="00EC4659" w:rsidRPr="00EC4659" w14:paraId="7AE1DA76" w14:textId="77777777" w:rsidTr="00EC4659">
        <w:tc>
          <w:tcPr>
            <w:tcW w:w="3114" w:type="dxa"/>
          </w:tcPr>
          <w:p w14:paraId="2A262EDC"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Allocation</w:t>
            </w:r>
          </w:p>
        </w:tc>
        <w:tc>
          <w:tcPr>
            <w:tcW w:w="4961" w:type="dxa"/>
          </w:tcPr>
          <w:p w14:paraId="15E07F26"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w:t>
            </w:r>
          </w:p>
          <w:p w14:paraId="607A8462"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and </w:t>
            </w:r>
            <w:proofErr w:type="spellStart"/>
            <w:r w:rsidRPr="00463809">
              <w:rPr>
                <w:rFonts w:asciiTheme="minorHAnsi" w:eastAsiaTheme="minorHAnsi" w:hAnsiTheme="minorHAnsi" w:cstheme="minorBidi"/>
              </w:rPr>
              <w:t>goatmeat</w:t>
            </w:r>
            <w:proofErr w:type="spellEnd"/>
          </w:p>
          <w:p w14:paraId="57358A8D"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US FTA butter </w:t>
            </w:r>
          </w:p>
          <w:p w14:paraId="3C113317"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Japan EBO and honey TRQs</w:t>
            </w:r>
          </w:p>
        </w:tc>
      </w:tr>
    </w:tbl>
    <w:p w14:paraId="4586CA4B"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 xml:space="preserve">Adjusting all underutilised TRQs to the FCFS mechanism resolves problems relating to barriers to trade and exporters being unable to access quota when in a position to use it.  It also minimises regulatory intervention by effectively applying a deregulatory approach. This acknowledges that </w:t>
      </w:r>
      <w:r w:rsidRPr="00EC4659">
        <w:rPr>
          <w:rFonts w:ascii="Calibri" w:hAnsi="Calibri"/>
          <w:szCs w:val="22"/>
        </w:rPr>
        <w:lastRenderedPageBreak/>
        <w:t>allocating low use quotas does not contribute to better outcomes.  Rather the allocation process merely adds unnecessary administration time and costs, and may actually interfere with the market.</w:t>
      </w:r>
    </w:p>
    <w:p w14:paraId="5F0B689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FCFS with high fill trigger would generally deliver the benefits of FCFS for the listed TRQs, but also offers exporters a level of commercial certainty if quota usage increases.  This allocation system has been demonstrated to be valuable for medium utilisation TRQs and is supported by industry.</w:t>
      </w:r>
    </w:p>
    <w:p w14:paraId="53B8AF1D"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proposed allocation process would address the issues relating to eligibility, access and rewarding market development for quota markets.  It would also successfully deter undesirable behaviour such as exporters retaining quota when they are not in a position to use it.  However, feedback from consultation flagged that this would not result in greater benefits for the EU </w:t>
      </w:r>
      <w:proofErr w:type="spellStart"/>
      <w:r w:rsidRPr="00EC4659">
        <w:rPr>
          <w:rFonts w:ascii="Calibri" w:hAnsi="Calibri"/>
          <w:szCs w:val="22"/>
        </w:rPr>
        <w:t>sheepmeat</w:t>
      </w:r>
      <w:proofErr w:type="spellEnd"/>
      <w:r w:rsidRPr="00EC4659">
        <w:rPr>
          <w:rFonts w:ascii="Calibri" w:hAnsi="Calibri"/>
          <w:szCs w:val="22"/>
        </w:rPr>
        <w:t xml:space="preserve"> TRQ, due to differences in how the </w:t>
      </w:r>
      <w:proofErr w:type="spellStart"/>
      <w:r w:rsidRPr="00EC4659">
        <w:rPr>
          <w:rFonts w:ascii="Calibri" w:hAnsi="Calibri"/>
          <w:szCs w:val="22"/>
        </w:rPr>
        <w:t>sheepmeat</w:t>
      </w:r>
      <w:proofErr w:type="spellEnd"/>
      <w:r w:rsidRPr="00EC4659">
        <w:rPr>
          <w:rFonts w:ascii="Calibri" w:hAnsi="Calibri"/>
          <w:szCs w:val="22"/>
        </w:rPr>
        <w:t xml:space="preserve"> industry operates compared to other commodities. Equally, feedback suggested that allocating Japan EBO will not result in better outcomes than its existing system.</w:t>
      </w:r>
    </w:p>
    <w:p w14:paraId="6F22DD3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A details analysis is included in Section 5, below. </w:t>
      </w:r>
    </w:p>
    <w:p w14:paraId="278CDC6C" w14:textId="77777777" w:rsidR="00EC4659" w:rsidRPr="00EC4659" w:rsidRDefault="00EC4659" w:rsidP="00EC4659">
      <w:pPr>
        <w:spacing w:after="120" w:line="240" w:lineRule="auto"/>
        <w:ind w:left="360" w:hanging="360"/>
        <w:rPr>
          <w:rFonts w:ascii="Calibri" w:hAnsi="Calibri"/>
          <w:szCs w:val="22"/>
        </w:rPr>
      </w:pPr>
      <w:r w:rsidRPr="00EC4659">
        <w:rPr>
          <w:rFonts w:ascii="Calibri" w:hAnsi="Calibri"/>
          <w:szCs w:val="22"/>
        </w:rPr>
        <w:t>The following is a breakdown of each allocation mechanism and the proposed rules within each.</w:t>
      </w:r>
    </w:p>
    <w:p w14:paraId="61F0EE7A"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61" w:name="_Toc27482953"/>
      <w:r w:rsidRPr="00EC4659">
        <w:rPr>
          <w:rFonts w:ascii="Calibri Light" w:eastAsia="SimSun" w:hAnsi="Calibri Light"/>
          <w:bCs/>
          <w:color w:val="5B9BD5"/>
          <w:sz w:val="24"/>
          <w:szCs w:val="24"/>
        </w:rPr>
        <w:t>First come, first served – low use</w:t>
      </w:r>
      <w:bookmarkEnd w:id="161"/>
    </w:p>
    <w:p w14:paraId="72F9B6F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Where TRQs have historically low usage and there is no expectation of reaching full utilisation, this mechanism would apply.  The department would issue all quota certificates necessary to access quota on a FCFS basis.  This would allow any exporter to access available quota at any point in time.</w:t>
      </w:r>
    </w:p>
    <w:p w14:paraId="70EC9969" w14:textId="77777777" w:rsidR="00EC4659" w:rsidRPr="00EC4659" w:rsidRDefault="00EC4659" w:rsidP="00463809">
      <w:pPr>
        <w:keepNext/>
        <w:keepLines/>
        <w:spacing w:before="40" w:after="160" w:line="259" w:lineRule="auto"/>
        <w:outlineLvl w:val="2"/>
        <w:rPr>
          <w:rFonts w:ascii="Calibri Light" w:eastAsia="SimSun" w:hAnsi="Calibri Light"/>
          <w:color w:val="1F4D78"/>
          <w:sz w:val="24"/>
          <w:szCs w:val="24"/>
        </w:rPr>
      </w:pPr>
      <w:bookmarkStart w:id="162" w:name="_Toc27482954"/>
      <w:r w:rsidRPr="00EC4659">
        <w:rPr>
          <w:rFonts w:ascii="Calibri Light" w:eastAsia="SimSun" w:hAnsi="Calibri Light"/>
          <w:bCs/>
          <w:color w:val="5B9BD5"/>
          <w:sz w:val="24"/>
          <w:szCs w:val="24"/>
        </w:rPr>
        <w:t>First come, first served with high-fill trigger – medium use</w:t>
      </w:r>
      <w:bookmarkEnd w:id="162"/>
    </w:p>
    <w:p w14:paraId="3FC64B3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Initially quota will be available as FCFS with quota certificates being issued per consignment.  A usage trigger will be in place which will transition the process from FCFS to an allocation process.  Based on the review of beef exports to the USA</w:t>
      </w:r>
      <w:r w:rsidRPr="00EC4659">
        <w:rPr>
          <w:rFonts w:ascii="Calibri" w:hAnsi="Calibri"/>
          <w:szCs w:val="22"/>
          <w:vertAlign w:val="superscript"/>
        </w:rPr>
        <w:footnoteReference w:id="6"/>
      </w:r>
      <w:r w:rsidRPr="00EC4659">
        <w:rPr>
          <w:rFonts w:ascii="Calibri" w:hAnsi="Calibri"/>
          <w:szCs w:val="22"/>
        </w:rPr>
        <w:t xml:space="preserve"> and the subsequent experience under the revised allocation system, the trigger would be enacted if quota usage reaches 85 per cent utilisation on or before three months from the end of a quota year.  If quota usage is below 85 per cent at or after that date the quota will remain FCFS for the remainder of the quota year.  </w:t>
      </w:r>
    </w:p>
    <w:p w14:paraId="353FDFAF"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When it is expected that the trigger will be reached in a given quota year the department would initiate the allocation process; this would be through requests to exporters to apply for an allocation.  Once the trigger is reached the following allocation parameters would apply.</w:t>
      </w:r>
    </w:p>
    <w:p w14:paraId="6E751596"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Allocation</w:t>
      </w:r>
    </w:p>
    <w:p w14:paraId="1CCA139B" w14:textId="77777777" w:rsidR="00EC4659" w:rsidRPr="00EC4659" w:rsidRDefault="00EC4659" w:rsidP="00EC4659">
      <w:pPr>
        <w:spacing w:after="120" w:line="259" w:lineRule="auto"/>
        <w:rPr>
          <w:rFonts w:ascii="Calibri" w:hAnsi="Calibri"/>
          <w:i/>
          <w:szCs w:val="22"/>
          <w:lang w:eastAsia="ja-JP"/>
        </w:rPr>
      </w:pPr>
      <w:r w:rsidRPr="00EC4659">
        <w:rPr>
          <w:rFonts w:ascii="Calibri" w:hAnsi="Calibri"/>
          <w:i/>
          <w:szCs w:val="22"/>
          <w:lang w:eastAsia="ja-JP"/>
        </w:rPr>
        <w:t>Shipping history parameter</w:t>
      </w:r>
    </w:p>
    <w:p w14:paraId="0F5EDB62"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same shipping history parameter currently used for US beef would be applied, being two years.</w:t>
      </w:r>
    </w:p>
    <w:p w14:paraId="4512E950" w14:textId="77777777" w:rsidR="00EC4659" w:rsidRPr="00EC4659" w:rsidRDefault="00EC4659" w:rsidP="00EC4659">
      <w:pPr>
        <w:spacing w:after="120" w:line="259" w:lineRule="auto"/>
        <w:rPr>
          <w:rFonts w:ascii="Calibri" w:hAnsi="Calibri"/>
          <w:i/>
          <w:szCs w:val="22"/>
          <w:lang w:eastAsia="ja-JP"/>
        </w:rPr>
      </w:pPr>
      <w:r w:rsidRPr="00EC4659">
        <w:rPr>
          <w:rFonts w:ascii="Calibri" w:hAnsi="Calibri"/>
          <w:i/>
          <w:szCs w:val="22"/>
          <w:lang w:eastAsia="ja-JP"/>
        </w:rPr>
        <w:t>Allocate proportionally</w:t>
      </w:r>
    </w:p>
    <w:p w14:paraId="018D6A1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All unallocated quota (less any accepted by new entrants, below) will then be allocated proportionally to applicants, based on shipping history.</w:t>
      </w:r>
    </w:p>
    <w:p w14:paraId="292AFD5F" w14:textId="77777777" w:rsidR="00EC4659" w:rsidRPr="00EC4659" w:rsidRDefault="00EC4659" w:rsidP="00EC4659">
      <w:pPr>
        <w:spacing w:after="120" w:line="259" w:lineRule="auto"/>
        <w:rPr>
          <w:rFonts w:ascii="Calibri" w:hAnsi="Calibri"/>
          <w:i/>
          <w:szCs w:val="22"/>
          <w:lang w:eastAsia="ja-JP"/>
        </w:rPr>
      </w:pPr>
      <w:r w:rsidRPr="00EC4659">
        <w:rPr>
          <w:rFonts w:ascii="Calibri" w:hAnsi="Calibri"/>
          <w:i/>
          <w:szCs w:val="22"/>
          <w:lang w:eastAsia="ja-JP"/>
        </w:rPr>
        <w:t>Include a new entrant provision</w:t>
      </w:r>
    </w:p>
    <w:p w14:paraId="7146EE44"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As new entrants will not have a shipping history, a proportion of the 15 per cent would be offered to new entrants.  An exporter would be considered a new entrant for the first two years of quota usage (reflecting the two year shipping history).</w:t>
      </w:r>
    </w:p>
    <w:p w14:paraId="492F9A5B" w14:textId="77777777" w:rsidR="00EC4659" w:rsidRPr="00EC4659" w:rsidRDefault="00EC4659" w:rsidP="00EC4659">
      <w:pPr>
        <w:keepNext/>
        <w:spacing w:after="120" w:line="259" w:lineRule="auto"/>
        <w:rPr>
          <w:rFonts w:ascii="Calibri" w:hAnsi="Calibri"/>
          <w:b/>
          <w:szCs w:val="22"/>
          <w:lang w:eastAsia="ja-JP"/>
        </w:rPr>
      </w:pPr>
      <w:r w:rsidRPr="00EC4659">
        <w:rPr>
          <w:rFonts w:ascii="Calibri" w:hAnsi="Calibri"/>
          <w:b/>
          <w:szCs w:val="22"/>
          <w:lang w:eastAsia="ja-JP"/>
        </w:rPr>
        <w:lastRenderedPageBreak/>
        <w:t>Transfers</w:t>
      </w:r>
    </w:p>
    <w:p w14:paraId="424169A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Transfers would not be allowed for any allocated quota.  </w:t>
      </w:r>
    </w:p>
    <w:p w14:paraId="627F0847"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Penalties</w:t>
      </w:r>
    </w:p>
    <w:p w14:paraId="3E6D791D"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Standard 1-for-1 penalties will apply for underutilisation of the allocated quota.  These penalties will be applied in the next period of allocation (that is, if the trigger point is not reached in the following year the penalties will carry over until applied, or until an agreed expiry is reached).  Exporters will receive penalties for any unused quota allocations, including on any returns.</w:t>
      </w:r>
    </w:p>
    <w:p w14:paraId="08CC27E7"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63" w:name="_Toc27482955"/>
      <w:r w:rsidRPr="00EC4659">
        <w:rPr>
          <w:rFonts w:ascii="Calibri Light" w:eastAsia="SimSun" w:hAnsi="Calibri Light"/>
          <w:bCs/>
          <w:color w:val="5B9BD5"/>
          <w:sz w:val="24"/>
          <w:szCs w:val="24"/>
        </w:rPr>
        <w:t>Rationalised allocation system – high use</w:t>
      </w:r>
      <w:bookmarkEnd w:id="163"/>
    </w:p>
    <w:p w14:paraId="1B237EA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This allocation mechanism would operate similarly to EU HQB and would be applied to TRQs that have high levels of usage, likely to be fully utilised.  Detail regarding the primary elements of the mechanism are as follows.</w:t>
      </w:r>
    </w:p>
    <w:p w14:paraId="3BBE3C7C" w14:textId="77777777" w:rsidR="00EC4659" w:rsidRPr="00EC4659" w:rsidRDefault="00EC4659" w:rsidP="00EC4659">
      <w:pPr>
        <w:spacing w:after="120" w:line="259" w:lineRule="auto"/>
        <w:rPr>
          <w:rFonts w:ascii="Calibri" w:hAnsi="Calibri"/>
          <w:b/>
          <w:szCs w:val="22"/>
        </w:rPr>
      </w:pPr>
      <w:r w:rsidRPr="00EC4659">
        <w:rPr>
          <w:rFonts w:ascii="Calibri" w:hAnsi="Calibri"/>
          <w:b/>
          <w:szCs w:val="22"/>
        </w:rPr>
        <w:t xml:space="preserve">Allocation </w:t>
      </w:r>
    </w:p>
    <w:p w14:paraId="0C2331E6" w14:textId="77777777" w:rsidR="00EC4659" w:rsidRPr="00EC4659" w:rsidRDefault="00EC4659" w:rsidP="00EC4659">
      <w:pPr>
        <w:spacing w:after="120" w:line="259" w:lineRule="auto"/>
        <w:rPr>
          <w:rFonts w:ascii="Calibri" w:hAnsi="Calibri"/>
          <w:b/>
          <w:szCs w:val="22"/>
        </w:rPr>
      </w:pPr>
      <w:r w:rsidRPr="00EC4659">
        <w:rPr>
          <w:rFonts w:ascii="Calibri" w:hAnsi="Calibri"/>
          <w:szCs w:val="22"/>
        </w:rPr>
        <w:t>Option 3 would remove the restriction on dairy quota allocations being limited to manufacturers.  Instead any exporter would be eligible.</w:t>
      </w:r>
    </w:p>
    <w:p w14:paraId="3D3DF7A8"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Shipping history parameter</w:t>
      </w:r>
    </w:p>
    <w:p w14:paraId="0D52BD3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Shipping history will only include the quota market.  Allocations would be determined by using an average of an exporter’s shipping history relative to all quota exports to the same market (as per current EU HQB rules).  </w:t>
      </w:r>
    </w:p>
    <w:p w14:paraId="3A3221B4"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Include a minimum allocation</w:t>
      </w:r>
    </w:p>
    <w:p w14:paraId="3043C2B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For practical purposes a minimum allocation parameter would be included, as is already used in each of the current allocation systems.  This is to avoid allocating volumes too small to be viable and that may therefore be wasted.  The minimum allocation would be set at one tonne. </w:t>
      </w:r>
    </w:p>
    <w:p w14:paraId="3292D063"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Include a new entrant provision</w:t>
      </w:r>
    </w:p>
    <w:p w14:paraId="455125E1"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New entrant access will be guaranteed through a new entrant provision.  For each TRQ the amount available will be determined on the basis of what is a viable amount for the commodity and market, and on how many new entrants should reasonably be catered for. </w:t>
      </w:r>
    </w:p>
    <w:p w14:paraId="55270041"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 xml:space="preserve">Apply a streamlined allocation process </w:t>
      </w:r>
    </w:p>
    <w:p w14:paraId="54419D7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allocation process would operate similarly to the existing process for the EU HQB quota system. Applications would be requested by a set date before the start of a quota year.  The department would then calculate and allocate the quota (less the new entrant provision) to all eligible applicants:</w:t>
      </w:r>
    </w:p>
    <w:p w14:paraId="74420477" w14:textId="77777777" w:rsidR="00EC4659" w:rsidRPr="00EC4659" w:rsidRDefault="00EC4659" w:rsidP="000F6D46">
      <w:pPr>
        <w:numPr>
          <w:ilvl w:val="0"/>
          <w:numId w:val="76"/>
        </w:numPr>
        <w:spacing w:after="160" w:line="259" w:lineRule="auto"/>
        <w:ind w:left="567"/>
        <w:contextualSpacing/>
        <w:rPr>
          <w:rFonts w:ascii="Calibri" w:hAnsi="Calibri"/>
          <w:szCs w:val="22"/>
        </w:rPr>
      </w:pPr>
      <w:r w:rsidRPr="00EC4659">
        <w:rPr>
          <w:rFonts w:ascii="Calibri" w:hAnsi="Calibri"/>
          <w:szCs w:val="22"/>
        </w:rPr>
        <w:t xml:space="preserve">Where the total volume applied for by exporters exceeds the available quota, it will be allocated proportionally against the shipping history.  </w:t>
      </w:r>
    </w:p>
    <w:p w14:paraId="23B23235" w14:textId="77777777" w:rsidR="00EC4659" w:rsidRPr="00EC4659" w:rsidRDefault="00EC4659" w:rsidP="000F6D46">
      <w:pPr>
        <w:numPr>
          <w:ilvl w:val="0"/>
          <w:numId w:val="76"/>
        </w:numPr>
        <w:spacing w:after="160" w:line="259" w:lineRule="auto"/>
        <w:ind w:left="567"/>
        <w:contextualSpacing/>
        <w:rPr>
          <w:rFonts w:ascii="Calibri" w:hAnsi="Calibri"/>
          <w:szCs w:val="22"/>
        </w:rPr>
      </w:pPr>
      <w:r w:rsidRPr="00EC4659">
        <w:rPr>
          <w:rFonts w:ascii="Calibri" w:hAnsi="Calibri"/>
          <w:szCs w:val="22"/>
        </w:rPr>
        <w:t>Where the total volume applied for is less than the available quota, all applicants will receive their requested amount, and any remaining quota will become available under FCFS arrangements (until the reclaim date).</w:t>
      </w:r>
    </w:p>
    <w:p w14:paraId="063CE12A" w14:textId="77777777" w:rsidR="00EC4659" w:rsidRPr="00EC4659" w:rsidRDefault="00EC4659" w:rsidP="000F6D46">
      <w:pPr>
        <w:numPr>
          <w:ilvl w:val="0"/>
          <w:numId w:val="76"/>
        </w:numPr>
        <w:spacing w:after="120" w:line="259" w:lineRule="auto"/>
        <w:ind w:left="567"/>
        <w:contextualSpacing/>
        <w:rPr>
          <w:rFonts w:ascii="Calibri" w:hAnsi="Calibri"/>
          <w:szCs w:val="22"/>
        </w:rPr>
      </w:pPr>
      <w:r w:rsidRPr="00EC4659">
        <w:rPr>
          <w:rFonts w:ascii="Calibri" w:hAnsi="Calibri"/>
          <w:szCs w:val="22"/>
        </w:rPr>
        <w:t>Any unused quota under the new entrant provision will not become available to standard quota users until the reclaim date is reached.</w:t>
      </w:r>
    </w:p>
    <w:p w14:paraId="6896CDCA" w14:textId="77777777" w:rsidR="00EC4659" w:rsidRPr="00EC4659" w:rsidRDefault="00EC4659" w:rsidP="00EC4659">
      <w:pPr>
        <w:keepNext/>
        <w:spacing w:after="120" w:line="259" w:lineRule="auto"/>
        <w:rPr>
          <w:rFonts w:ascii="Calibri" w:hAnsi="Calibri"/>
          <w:b/>
          <w:szCs w:val="22"/>
        </w:rPr>
      </w:pPr>
      <w:r w:rsidRPr="00EC4659">
        <w:rPr>
          <w:rFonts w:ascii="Calibri" w:hAnsi="Calibri"/>
          <w:b/>
          <w:szCs w:val="22"/>
        </w:rPr>
        <w:lastRenderedPageBreak/>
        <w:t>New entrants</w:t>
      </w:r>
    </w:p>
    <w:p w14:paraId="7C61ADC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As stated above, there would be a percentage of each TRQ set aside for new entrants.  An exporter would be considered a new entrant if they are a first, second or third year new entrant in relation to the quota year (reflecting the shipping history parameter).</w:t>
      </w:r>
    </w:p>
    <w:p w14:paraId="4A556F2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following process would apply: </w:t>
      </w:r>
    </w:p>
    <w:p w14:paraId="4A95474A" w14:textId="77777777" w:rsidR="00EC4659" w:rsidRPr="00EC4659" w:rsidRDefault="00EC4659" w:rsidP="000F6D46">
      <w:pPr>
        <w:numPr>
          <w:ilvl w:val="0"/>
          <w:numId w:val="77"/>
        </w:numPr>
        <w:spacing w:after="160" w:line="259" w:lineRule="auto"/>
        <w:ind w:left="567"/>
        <w:contextualSpacing/>
        <w:rPr>
          <w:rFonts w:ascii="Calibri" w:hAnsi="Calibri"/>
          <w:szCs w:val="22"/>
        </w:rPr>
      </w:pPr>
      <w:r w:rsidRPr="00EC4659">
        <w:rPr>
          <w:rFonts w:ascii="Calibri" w:hAnsi="Calibri"/>
          <w:szCs w:val="22"/>
        </w:rPr>
        <w:t>The new entrant provision would be available as FCFS until the reclaim date for the quota year.</w:t>
      </w:r>
    </w:p>
    <w:p w14:paraId="5BDCB6DA" w14:textId="77777777" w:rsidR="00EC4659" w:rsidRPr="00EC4659" w:rsidRDefault="00EC4659" w:rsidP="000F6D46">
      <w:pPr>
        <w:numPr>
          <w:ilvl w:val="0"/>
          <w:numId w:val="77"/>
        </w:numPr>
        <w:spacing w:after="160" w:line="259" w:lineRule="auto"/>
        <w:ind w:left="567"/>
        <w:contextualSpacing/>
        <w:rPr>
          <w:rFonts w:ascii="Calibri" w:hAnsi="Calibri"/>
          <w:szCs w:val="22"/>
        </w:rPr>
      </w:pPr>
      <w:r w:rsidRPr="00EC4659">
        <w:rPr>
          <w:rFonts w:ascii="Calibri" w:hAnsi="Calibri"/>
          <w:szCs w:val="22"/>
        </w:rPr>
        <w:t>A cap would be applied to ensure fair opportunity for access.</w:t>
      </w:r>
    </w:p>
    <w:p w14:paraId="3D5FA249" w14:textId="77777777" w:rsidR="00EC4659" w:rsidRPr="00EC4659" w:rsidRDefault="00EC4659" w:rsidP="000F6D46">
      <w:pPr>
        <w:numPr>
          <w:ilvl w:val="0"/>
          <w:numId w:val="77"/>
        </w:numPr>
        <w:spacing w:after="160" w:line="259" w:lineRule="auto"/>
        <w:ind w:left="567"/>
        <w:contextualSpacing/>
        <w:rPr>
          <w:rFonts w:ascii="Calibri" w:hAnsi="Calibri"/>
          <w:szCs w:val="22"/>
        </w:rPr>
      </w:pPr>
      <w:r w:rsidRPr="00EC4659">
        <w:rPr>
          <w:rFonts w:ascii="Calibri" w:hAnsi="Calibri"/>
          <w:szCs w:val="22"/>
        </w:rPr>
        <w:t>Once the reclaim date is reached new entrants will have first preference for any unused volume of the new entrant provision (maximum allocation still applying). This would be allocated quota.</w:t>
      </w:r>
    </w:p>
    <w:p w14:paraId="18E1A33D" w14:textId="77777777" w:rsidR="00EC4659" w:rsidRPr="00EC4659" w:rsidRDefault="00EC4659" w:rsidP="000F6D46">
      <w:pPr>
        <w:numPr>
          <w:ilvl w:val="0"/>
          <w:numId w:val="77"/>
        </w:numPr>
        <w:spacing w:after="160" w:line="259" w:lineRule="auto"/>
        <w:ind w:left="567"/>
        <w:contextualSpacing/>
        <w:rPr>
          <w:rFonts w:ascii="Calibri" w:hAnsi="Calibri"/>
          <w:szCs w:val="22"/>
        </w:rPr>
      </w:pPr>
      <w:r w:rsidRPr="00EC4659">
        <w:rPr>
          <w:rFonts w:ascii="Calibri" w:hAnsi="Calibri"/>
          <w:szCs w:val="22"/>
        </w:rPr>
        <w:t>To dissuade potential misuse of allocated quota the following mechanisms would apply:</w:t>
      </w:r>
    </w:p>
    <w:p w14:paraId="23401109" w14:textId="77777777" w:rsidR="00EC4659" w:rsidRPr="00EC4659" w:rsidRDefault="00EC4659" w:rsidP="000F6D46">
      <w:pPr>
        <w:numPr>
          <w:ilvl w:val="1"/>
          <w:numId w:val="79"/>
        </w:numPr>
        <w:spacing w:after="160" w:line="259" w:lineRule="auto"/>
        <w:ind w:left="993"/>
        <w:contextualSpacing/>
        <w:rPr>
          <w:rFonts w:ascii="Calibri" w:hAnsi="Calibri"/>
          <w:szCs w:val="22"/>
        </w:rPr>
      </w:pPr>
      <w:r w:rsidRPr="00EC4659">
        <w:rPr>
          <w:rFonts w:ascii="Calibri" w:hAnsi="Calibri"/>
          <w:szCs w:val="22"/>
        </w:rPr>
        <w:t>Only new entrants that have shipped in the first part of the quota year would be eligible to apply</w:t>
      </w:r>
    </w:p>
    <w:p w14:paraId="6BDA50BF" w14:textId="77777777" w:rsidR="00EC4659" w:rsidRPr="00EC4659" w:rsidRDefault="00EC4659" w:rsidP="000F6D46">
      <w:pPr>
        <w:numPr>
          <w:ilvl w:val="1"/>
          <w:numId w:val="79"/>
        </w:numPr>
        <w:spacing w:after="160" w:line="259" w:lineRule="auto"/>
        <w:ind w:left="993"/>
        <w:contextualSpacing/>
        <w:rPr>
          <w:rFonts w:ascii="Calibri" w:hAnsi="Calibri"/>
          <w:szCs w:val="22"/>
        </w:rPr>
      </w:pPr>
      <w:r w:rsidRPr="00EC4659">
        <w:rPr>
          <w:rFonts w:ascii="Calibri" w:hAnsi="Calibri"/>
          <w:szCs w:val="22"/>
        </w:rPr>
        <w:t>New entrants would not be permitted to transfer their quota allocation, nor any quota transferred to them by another exporter.</w:t>
      </w:r>
    </w:p>
    <w:p w14:paraId="31589E5B" w14:textId="77777777" w:rsidR="00EC4659" w:rsidRPr="00EC4659" w:rsidRDefault="00EC4659" w:rsidP="000F6D46">
      <w:pPr>
        <w:numPr>
          <w:ilvl w:val="1"/>
          <w:numId w:val="79"/>
        </w:numPr>
        <w:spacing w:after="160" w:line="259" w:lineRule="auto"/>
        <w:ind w:left="993"/>
        <w:contextualSpacing/>
        <w:rPr>
          <w:rFonts w:ascii="Calibri" w:hAnsi="Calibri"/>
          <w:szCs w:val="22"/>
        </w:rPr>
      </w:pPr>
      <w:r w:rsidRPr="00EC4659">
        <w:rPr>
          <w:rFonts w:ascii="Calibri" w:hAnsi="Calibri"/>
          <w:szCs w:val="22"/>
        </w:rPr>
        <w:t>If a first year new entrant requests allocation and does not use at least some, they will be excluded for the next two quota years.</w:t>
      </w:r>
    </w:p>
    <w:p w14:paraId="2FBFE359" w14:textId="77777777" w:rsidR="00EC4659" w:rsidRPr="00EC4659" w:rsidRDefault="00EC4659" w:rsidP="000F6D46">
      <w:pPr>
        <w:numPr>
          <w:ilvl w:val="1"/>
          <w:numId w:val="79"/>
        </w:numPr>
        <w:spacing w:after="120" w:line="259" w:lineRule="auto"/>
        <w:ind w:left="993"/>
        <w:contextualSpacing/>
        <w:rPr>
          <w:rFonts w:ascii="Calibri" w:hAnsi="Calibri"/>
          <w:szCs w:val="22"/>
        </w:rPr>
      </w:pPr>
      <w:r w:rsidRPr="00EC4659">
        <w:rPr>
          <w:rFonts w:ascii="Calibri" w:hAnsi="Calibri"/>
          <w:szCs w:val="22"/>
        </w:rPr>
        <w:t>If a second or third year new entrant requests allocation and does not use it, the average unused volume per year will be calculated as a penalty in their first year of standard quota allocation (if at least 90 per cent of allocation is used, no penalty will apply).</w:t>
      </w:r>
    </w:p>
    <w:p w14:paraId="6F81A273" w14:textId="77777777" w:rsidR="00EC4659" w:rsidRPr="00EC4659" w:rsidRDefault="00EC4659" w:rsidP="00EC4659">
      <w:pPr>
        <w:spacing w:after="120" w:line="259" w:lineRule="auto"/>
        <w:rPr>
          <w:rFonts w:ascii="Calibri" w:hAnsi="Calibri"/>
          <w:b/>
          <w:szCs w:val="22"/>
        </w:rPr>
      </w:pPr>
      <w:r w:rsidRPr="00EC4659">
        <w:rPr>
          <w:rFonts w:ascii="Calibri" w:hAnsi="Calibri"/>
          <w:b/>
          <w:szCs w:val="22"/>
        </w:rPr>
        <w:t>Transfers</w:t>
      </w:r>
    </w:p>
    <w:p w14:paraId="5B41FCCD"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 xml:space="preserve">Allow transfers under standard quota allocation, but with added safeguards </w:t>
      </w:r>
    </w:p>
    <w:p w14:paraId="0D8C3B6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Transfers would be allowed for the first part of a quota year, up until the reclaim date.  This is appropriate as exporter circumstances can change, and transfers allow for the movement of quota to reach an optimum distribution.  However, a limit of 50 per cent of an allocation will be able to be transferred in a single quota year, otherwise an exclusion will be applied.  This is to deter exporters requesting much more quota than they can use, with the primary intent of transferring quota for a profit.</w:t>
      </w:r>
    </w:p>
    <w:p w14:paraId="57CF028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Following the reclaim and reallocation processes, transfers would no longer be allowed. The intent of reclaiming unused quota and reallocating is to improve quota access for those who wish to use it.  Preventing trading of reallocated quota deters exporters from applying for quota that they do not intend to use.</w:t>
      </w:r>
    </w:p>
    <w:p w14:paraId="3BA1E744"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Do not allow new entrants to transfer out</w:t>
      </w:r>
    </w:p>
    <w:p w14:paraId="4D31E1D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Any quota allocated to new entrants through the reallocation process would not be transferable.  The intent of the new entrant provision is to provide a fair and reasonable avenue for market entry, not additional speculative or trader behaviour.  Additionally, new entrants can source transfers from other exporters, but cannot transfer any of that quota to others.  This is to support new exporters in building their shipping history.</w:t>
      </w:r>
    </w:p>
    <w:p w14:paraId="0DB1A92F" w14:textId="77777777" w:rsidR="00EC4659" w:rsidRPr="00EC4659" w:rsidRDefault="00EC4659" w:rsidP="00EC4659">
      <w:pPr>
        <w:keepLines/>
        <w:spacing w:after="120" w:line="259" w:lineRule="auto"/>
        <w:rPr>
          <w:rFonts w:ascii="Calibri" w:hAnsi="Calibri"/>
          <w:b/>
          <w:szCs w:val="22"/>
        </w:rPr>
      </w:pPr>
      <w:r w:rsidRPr="00EC4659">
        <w:rPr>
          <w:rFonts w:ascii="Calibri" w:hAnsi="Calibri"/>
          <w:b/>
          <w:szCs w:val="22"/>
        </w:rPr>
        <w:t>Reclaim and reallocation process</w:t>
      </w:r>
    </w:p>
    <w:p w14:paraId="73B42CC3" w14:textId="77777777" w:rsidR="00EC4659" w:rsidRPr="00EC4659" w:rsidRDefault="00EC4659" w:rsidP="00EC4659">
      <w:pPr>
        <w:keepLines/>
        <w:spacing w:after="120" w:line="259" w:lineRule="auto"/>
        <w:rPr>
          <w:rFonts w:ascii="Calibri" w:hAnsi="Calibri"/>
          <w:i/>
          <w:szCs w:val="22"/>
        </w:rPr>
      </w:pPr>
      <w:r w:rsidRPr="00EC4659">
        <w:rPr>
          <w:rFonts w:ascii="Calibri" w:hAnsi="Calibri"/>
          <w:i/>
          <w:szCs w:val="22"/>
        </w:rPr>
        <w:t>Reclaim timeframe</w:t>
      </w:r>
    </w:p>
    <w:p w14:paraId="622639FC" w14:textId="77777777" w:rsidR="00EC4659" w:rsidRPr="00EC4659" w:rsidRDefault="00EC4659" w:rsidP="00EC4659">
      <w:pPr>
        <w:keepLines/>
        <w:spacing w:after="120" w:line="259" w:lineRule="auto"/>
        <w:rPr>
          <w:rFonts w:ascii="Calibri" w:hAnsi="Calibri"/>
          <w:szCs w:val="22"/>
        </w:rPr>
      </w:pPr>
      <w:r w:rsidRPr="00EC4659">
        <w:rPr>
          <w:rFonts w:ascii="Calibri" w:hAnsi="Calibri"/>
          <w:szCs w:val="22"/>
        </w:rPr>
        <w:t xml:space="preserve">A reclaim date would be applied a set date prior to the end of a quota year.  The date would be dependent on the TRQ to reflect the commodity and market needs.  </w:t>
      </w:r>
    </w:p>
    <w:p w14:paraId="6F8B7034"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lastRenderedPageBreak/>
        <w:t>Allow for voluntary returns prior to the reclaim date</w:t>
      </w:r>
    </w:p>
    <w:p w14:paraId="535C7E2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Exporters would be able to return unused quota without penalty as long as it is returned prior to the reclaim date.</w:t>
      </w:r>
    </w:p>
    <w:p w14:paraId="1E60F417" w14:textId="77777777" w:rsidR="00EC4659" w:rsidRPr="00EC4659" w:rsidRDefault="00EC4659" w:rsidP="00EC4659">
      <w:pPr>
        <w:spacing w:after="120" w:line="259" w:lineRule="auto"/>
        <w:rPr>
          <w:rFonts w:ascii="Calibri" w:hAnsi="Calibri"/>
          <w:szCs w:val="22"/>
        </w:rPr>
      </w:pPr>
      <w:r w:rsidRPr="00EC4659">
        <w:rPr>
          <w:rFonts w:ascii="Calibri" w:hAnsi="Calibri"/>
          <w:i/>
          <w:szCs w:val="22"/>
        </w:rPr>
        <w:t>Unused allocation can be retained</w:t>
      </w:r>
    </w:p>
    <w:p w14:paraId="0880E03D"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In most instances exporters’ allocation requests at the start of the year are planned to cover the entire year.  In order to cater for their commercial arrangements, exporters would be able to retain any remaining annual quota allocation post-reallocation if they still intend to use it.  Confirmation to the department would have to be provided prior to the reclaim date.</w:t>
      </w:r>
    </w:p>
    <w:p w14:paraId="53273B6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To prevent underutilisation, however, where less than 25 per cent of an allocation is used by the reclaim date, all unused allocation will be forfeited.</w:t>
      </w:r>
    </w:p>
    <w:p w14:paraId="231DF36C"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A reallocation process for all unallocated quota</w:t>
      </w:r>
    </w:p>
    <w:p w14:paraId="4F10416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 reallocation process will be used to help maximise the availability of quota to those who wish to use it.  The process proposed is similar to the current EU HQB process and will work as follows:</w:t>
      </w:r>
    </w:p>
    <w:p w14:paraId="3DA953EC" w14:textId="77777777" w:rsidR="00EC4659" w:rsidRPr="00EC4659" w:rsidRDefault="00EC4659" w:rsidP="000F6D46">
      <w:pPr>
        <w:numPr>
          <w:ilvl w:val="0"/>
          <w:numId w:val="78"/>
        </w:numPr>
        <w:spacing w:after="160" w:line="259" w:lineRule="auto"/>
        <w:ind w:left="567"/>
        <w:contextualSpacing/>
        <w:rPr>
          <w:rFonts w:ascii="Calibri" w:hAnsi="Calibri"/>
          <w:szCs w:val="22"/>
        </w:rPr>
      </w:pPr>
      <w:r w:rsidRPr="00EC4659">
        <w:rPr>
          <w:rFonts w:ascii="Calibri" w:hAnsi="Calibri"/>
          <w:szCs w:val="22"/>
        </w:rPr>
        <w:t>New entrants will have first preference for any unused volume of the set aside amount (maximum new entrant cap still applying). This would be allocated quota.</w:t>
      </w:r>
    </w:p>
    <w:p w14:paraId="24056039" w14:textId="77777777" w:rsidR="00EC4659" w:rsidRPr="00EC4659" w:rsidRDefault="00EC4659" w:rsidP="000F6D46">
      <w:pPr>
        <w:numPr>
          <w:ilvl w:val="0"/>
          <w:numId w:val="78"/>
        </w:numPr>
        <w:spacing w:after="160" w:line="259" w:lineRule="auto"/>
        <w:ind w:left="567"/>
        <w:contextualSpacing/>
        <w:rPr>
          <w:rFonts w:ascii="Calibri" w:hAnsi="Calibri"/>
          <w:szCs w:val="22"/>
        </w:rPr>
      </w:pPr>
      <w:r w:rsidRPr="00EC4659">
        <w:rPr>
          <w:rFonts w:ascii="Calibri" w:hAnsi="Calibri"/>
          <w:szCs w:val="22"/>
        </w:rPr>
        <w:t>All unallocated quota (including any remaining new entrant provision) will be allocated based on exporter applications and using the same methodology as the initial allocation for the year.</w:t>
      </w:r>
    </w:p>
    <w:p w14:paraId="7D493C3A" w14:textId="77777777" w:rsidR="00EC4659" w:rsidRPr="00EC4659" w:rsidRDefault="00EC4659" w:rsidP="000F6D46">
      <w:pPr>
        <w:numPr>
          <w:ilvl w:val="1"/>
          <w:numId w:val="78"/>
        </w:numPr>
        <w:spacing w:after="160" w:line="259" w:lineRule="auto"/>
        <w:ind w:left="1134"/>
        <w:contextualSpacing/>
        <w:rPr>
          <w:rFonts w:ascii="Calibri" w:hAnsi="Calibri"/>
          <w:szCs w:val="22"/>
        </w:rPr>
      </w:pPr>
      <w:r w:rsidRPr="00EC4659">
        <w:rPr>
          <w:rFonts w:ascii="Calibri" w:hAnsi="Calibri"/>
          <w:szCs w:val="22"/>
        </w:rPr>
        <w:t>New entrants will not be eligible for this allocation.</w:t>
      </w:r>
    </w:p>
    <w:p w14:paraId="7D986EE2" w14:textId="77777777" w:rsidR="00EC4659" w:rsidRPr="00EC4659" w:rsidRDefault="00EC4659" w:rsidP="000F6D46">
      <w:pPr>
        <w:numPr>
          <w:ilvl w:val="0"/>
          <w:numId w:val="78"/>
        </w:numPr>
        <w:spacing w:after="160" w:line="259" w:lineRule="auto"/>
        <w:ind w:left="567"/>
        <w:contextualSpacing/>
        <w:rPr>
          <w:rFonts w:ascii="Calibri" w:hAnsi="Calibri"/>
          <w:szCs w:val="22"/>
        </w:rPr>
      </w:pPr>
      <w:r w:rsidRPr="00EC4659">
        <w:rPr>
          <w:rFonts w:ascii="Calibri" w:hAnsi="Calibri"/>
          <w:szCs w:val="22"/>
        </w:rPr>
        <w:t>Where the total volume applied for is less than the available quota, all applicants will receive their requested amount, and any remaining quota will become available under FCFS.</w:t>
      </w:r>
    </w:p>
    <w:p w14:paraId="5BE2D101" w14:textId="77777777" w:rsidR="00EC4659" w:rsidRPr="00EC4659" w:rsidRDefault="00EC4659" w:rsidP="000F6D46">
      <w:pPr>
        <w:numPr>
          <w:ilvl w:val="1"/>
          <w:numId w:val="78"/>
        </w:numPr>
        <w:spacing w:after="120" w:line="259" w:lineRule="auto"/>
        <w:ind w:left="1134"/>
        <w:contextualSpacing/>
        <w:rPr>
          <w:rFonts w:ascii="Calibri" w:hAnsi="Calibri"/>
          <w:szCs w:val="22"/>
        </w:rPr>
      </w:pPr>
      <w:r w:rsidRPr="00EC4659">
        <w:rPr>
          <w:rFonts w:ascii="Calibri" w:hAnsi="Calibri"/>
          <w:szCs w:val="22"/>
        </w:rPr>
        <w:t>New entrants will be eligible for FCFS and will no longer be limited to the maximum new entrant allocation.</w:t>
      </w:r>
    </w:p>
    <w:p w14:paraId="27790BC6" w14:textId="77777777" w:rsidR="00EC4659" w:rsidRPr="00EC4659" w:rsidRDefault="00EC4659" w:rsidP="00EC4659">
      <w:pPr>
        <w:spacing w:after="120" w:line="259" w:lineRule="auto"/>
        <w:rPr>
          <w:rFonts w:ascii="Calibri" w:hAnsi="Calibri"/>
          <w:b/>
          <w:szCs w:val="22"/>
        </w:rPr>
      </w:pPr>
      <w:r w:rsidRPr="00EC4659">
        <w:rPr>
          <w:rFonts w:ascii="Calibri" w:hAnsi="Calibri"/>
          <w:b/>
          <w:szCs w:val="22"/>
        </w:rPr>
        <w:t>Penalties</w:t>
      </w:r>
    </w:p>
    <w:p w14:paraId="69C580C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application of penalties under this mechanism is to deter behaviour that distorts the market or interferes with optimising the quota’s commercial value and use. </w:t>
      </w:r>
    </w:p>
    <w:p w14:paraId="58EAF217" w14:textId="77777777" w:rsidR="00EC4659" w:rsidRPr="00EC4659" w:rsidRDefault="00EC4659" w:rsidP="00EC4659">
      <w:pPr>
        <w:spacing w:after="120" w:line="259" w:lineRule="auto"/>
        <w:rPr>
          <w:rFonts w:ascii="Calibri" w:hAnsi="Calibri"/>
          <w:i/>
          <w:szCs w:val="22"/>
        </w:rPr>
      </w:pPr>
      <w:r w:rsidRPr="00EC4659">
        <w:rPr>
          <w:rFonts w:ascii="Calibri" w:hAnsi="Calibri"/>
          <w:i/>
          <w:szCs w:val="22"/>
        </w:rPr>
        <w:t>Exclusions will be applied in certain circumstances to deter distortionary behaviour</w:t>
      </w:r>
    </w:p>
    <w:p w14:paraId="4856505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To encourage only committed exporters to apply for quota, if a first year new entrant requests allocation and does not use at least some of it, they will be excluded for the next two quota years.</w:t>
      </w:r>
    </w:p>
    <w:p w14:paraId="325520B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Equally, to deter exporters requesting allocation which they do not intend to use, an exclusion will apply where an exporter transfers greater than 50 per cent of their allocation in a single year.  The exclusion period would be two years.</w:t>
      </w:r>
    </w:p>
    <w:p w14:paraId="06D45FFA" w14:textId="77777777" w:rsidR="00EC4659" w:rsidRPr="00EC4659" w:rsidRDefault="00EC4659" w:rsidP="00EC4659">
      <w:pPr>
        <w:tabs>
          <w:tab w:val="left" w:pos="7290"/>
        </w:tabs>
        <w:spacing w:after="120" w:line="259" w:lineRule="auto"/>
        <w:rPr>
          <w:rFonts w:ascii="Calibri" w:hAnsi="Calibri"/>
          <w:szCs w:val="22"/>
        </w:rPr>
      </w:pPr>
      <w:r w:rsidRPr="00EC4659">
        <w:rPr>
          <w:rFonts w:ascii="Calibri" w:hAnsi="Calibri"/>
          <w:i/>
          <w:szCs w:val="22"/>
        </w:rPr>
        <w:t>Underutilised quota will be penalised</w:t>
      </w:r>
      <w:r w:rsidRPr="00EC4659">
        <w:rPr>
          <w:rFonts w:ascii="Calibri" w:hAnsi="Calibri"/>
          <w:i/>
          <w:szCs w:val="22"/>
        </w:rPr>
        <w:tab/>
      </w:r>
    </w:p>
    <w:p w14:paraId="1C72B15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Standard 1-for-1 penalty provisions will apply for less significant underutilisation (that does not warrant exclusion).  The penalties will be applied to an exporter’s next year of quota allocation.  Exporters will incur penalties for any quota allocation retained or requested post-reallocation that remains unused by the end of the quota year.  Quota can be returned after the reclaim date, however, penalties will still apply.</w:t>
      </w:r>
    </w:p>
    <w:p w14:paraId="770A474B"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Despite the above provisions, exporters will not receive penalties if they have used at least 90 per cent of their allocation by a set date from the end of the quota year.</w:t>
      </w:r>
    </w:p>
    <w:p w14:paraId="605E0FA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As per the existing EU HQB model, Option 3 will withdraw quota allocations at the reclaim date if they are significantly underutilised.  Allocations will be removed if less than 25 per cent is used by the reclaim date.  In these instances exporters will not be able to retain any quota.</w:t>
      </w:r>
    </w:p>
    <w:p w14:paraId="138AE91D" w14:textId="77777777" w:rsidR="00EC4659" w:rsidRPr="00EC4659" w:rsidRDefault="00EC4659" w:rsidP="000F6D46">
      <w:pPr>
        <w:keepNext/>
        <w:keepLines/>
        <w:numPr>
          <w:ilvl w:val="1"/>
          <w:numId w:val="72"/>
        </w:numPr>
        <w:spacing w:before="200" w:after="160" w:line="276" w:lineRule="auto"/>
        <w:outlineLvl w:val="1"/>
        <w:rPr>
          <w:rFonts w:ascii="Calibri Light" w:eastAsia="SimSun" w:hAnsi="Calibri Light"/>
          <w:b/>
          <w:bCs/>
          <w:color w:val="5B9BD5"/>
          <w:sz w:val="26"/>
          <w:szCs w:val="26"/>
        </w:rPr>
      </w:pPr>
      <w:r w:rsidRPr="00EC4659">
        <w:rPr>
          <w:rFonts w:ascii="Calibri Light" w:eastAsia="SimSun" w:hAnsi="Calibri Light"/>
          <w:b/>
          <w:bCs/>
          <w:color w:val="5B9BD5"/>
          <w:sz w:val="26"/>
          <w:szCs w:val="26"/>
        </w:rPr>
        <w:lastRenderedPageBreak/>
        <w:t xml:space="preserve">  </w:t>
      </w:r>
      <w:bookmarkStart w:id="164" w:name="_Toc27482956"/>
      <w:r w:rsidRPr="00EC4659">
        <w:rPr>
          <w:rFonts w:ascii="Calibri Light" w:eastAsia="SimSun" w:hAnsi="Calibri Light"/>
          <w:b/>
          <w:bCs/>
          <w:color w:val="5B9BD5"/>
          <w:sz w:val="26"/>
          <w:szCs w:val="26"/>
        </w:rPr>
        <w:t>Option 4: Industry-tailored tiered management system</w:t>
      </w:r>
      <w:bookmarkEnd w:id="164"/>
    </w:p>
    <w:p w14:paraId="531DAB8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Option 4 represents a revision of Option 3 based on consultation discussion and feedback.  It remains a tiered management system, however two additional ‘tiers’ or mechanisms have been introduced to cater for TRQs that would not gain additional benefits by being managed under one of the three mechanisms of Option 3.  The option gives greater consideration to industry- and market-specific needs via the additional mechanisms and tailored inputs.</w:t>
      </w:r>
    </w:p>
    <w:p w14:paraId="344ABB34"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rPr>
        <w:t xml:space="preserve">This would still allow for a single legislative instrument to be drafted to govern all TRQs managed by the Australian Government.  </w:t>
      </w:r>
      <w:r w:rsidRPr="00EC4659">
        <w:rPr>
          <w:rFonts w:ascii="Calibri" w:hAnsi="Calibri"/>
          <w:szCs w:val="22"/>
          <w:lang w:eastAsia="ja-JP"/>
        </w:rPr>
        <w:t xml:space="preserve">The option presents separate mechanisms to cater for the different levels of quota usage. It includes FCFS, FCFS with high-fill trigger and a rationalised allocated model, generally applicable for low, medium and high use quotas.  In addition, this option includes a FCFS model that operates quarterly and includes the existing EU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allocation model with modifications.</w:t>
      </w:r>
    </w:p>
    <w:p w14:paraId="31FC8D3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Like Option 3, this includes a process to review whether a given TRQ would operate better under another mechanism, and the ability to adjust to a preferred mechanism in future quota years.</w:t>
      </w:r>
    </w:p>
    <w:p w14:paraId="40C229D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option also future-proofs quota administration to cater for new TRQs introduced through future bilateral or multilateral free trade agreements.  The most appropriate mechanism for managing a new TRQ can be selected based on commodity and market, and can be implemented with minimal changes required to legislation and IT systems.</w:t>
      </w:r>
    </w:p>
    <w:p w14:paraId="73CC9D3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Through consultation it was agreed that existing TRQs would be managed as follows:</w:t>
      </w:r>
    </w:p>
    <w:tbl>
      <w:tblPr>
        <w:tblStyle w:val="TableGrid1"/>
        <w:tblW w:w="0" w:type="auto"/>
        <w:tblLook w:val="04A0" w:firstRow="1" w:lastRow="0" w:firstColumn="1" w:lastColumn="0" w:noHBand="0" w:noVBand="1"/>
        <w:tblCaption w:val="Quota management mechanisms under Option 4"/>
        <w:tblDescription w:val="This table sets out which quota management mechanisms Option 4 would apply to each of the existing quotas."/>
      </w:tblPr>
      <w:tblGrid>
        <w:gridCol w:w="3114"/>
        <w:gridCol w:w="4961"/>
      </w:tblGrid>
      <w:tr w:rsidR="00EC4659" w:rsidRPr="00EC4659" w14:paraId="6A0A3022" w14:textId="77777777" w:rsidTr="00EC4659">
        <w:tc>
          <w:tcPr>
            <w:tcW w:w="3114" w:type="dxa"/>
            <w:shd w:val="clear" w:color="auto" w:fill="DEEAF6"/>
          </w:tcPr>
          <w:p w14:paraId="0BB7F49E" w14:textId="77777777" w:rsidR="00EC4659" w:rsidRPr="00463809" w:rsidRDefault="00EC465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Mechanism for Management</w:t>
            </w:r>
          </w:p>
        </w:tc>
        <w:tc>
          <w:tcPr>
            <w:tcW w:w="4961" w:type="dxa"/>
            <w:shd w:val="clear" w:color="auto" w:fill="DEEAF6"/>
          </w:tcPr>
          <w:p w14:paraId="2B2FF657" w14:textId="77777777" w:rsidR="00EC4659" w:rsidRPr="00463809" w:rsidRDefault="00EC465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 xml:space="preserve">Quotas </w:t>
            </w:r>
          </w:p>
        </w:tc>
      </w:tr>
      <w:tr w:rsidR="00EC4659" w:rsidRPr="00EC4659" w14:paraId="6F264487" w14:textId="77777777" w:rsidTr="00EC4659">
        <w:tc>
          <w:tcPr>
            <w:tcW w:w="3114" w:type="dxa"/>
          </w:tcPr>
          <w:p w14:paraId="23E581F6"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First come, first served</w:t>
            </w:r>
          </w:p>
        </w:tc>
        <w:tc>
          <w:tcPr>
            <w:tcW w:w="4961" w:type="dxa"/>
          </w:tcPr>
          <w:p w14:paraId="36B78CA4" w14:textId="77777777" w:rsidR="00EC4659" w:rsidRPr="00463809" w:rsidRDefault="00EC4659" w:rsidP="000F6D46">
            <w:pPr>
              <w:numPr>
                <w:ilvl w:val="0"/>
                <w:numId w:val="7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7 of 8 JAEPA TRQs (excepting EBO)</w:t>
            </w:r>
          </w:p>
          <w:p w14:paraId="3A9B33FD" w14:textId="77777777" w:rsidR="00EC4659" w:rsidRPr="00463809" w:rsidRDefault="00EC4659" w:rsidP="000F6D46">
            <w:pPr>
              <w:numPr>
                <w:ilvl w:val="0"/>
                <w:numId w:val="7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17 of 19 dairy TRQs (excepting US FTA cheddar and butter)</w:t>
            </w:r>
          </w:p>
        </w:tc>
      </w:tr>
      <w:tr w:rsidR="00EC4659" w:rsidRPr="00EC4659" w14:paraId="76D79063" w14:textId="77777777" w:rsidTr="00EC4659">
        <w:tc>
          <w:tcPr>
            <w:tcW w:w="3114" w:type="dxa"/>
          </w:tcPr>
          <w:p w14:paraId="2A1FE428"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FCFS Quarterly</w:t>
            </w:r>
          </w:p>
        </w:tc>
        <w:tc>
          <w:tcPr>
            <w:tcW w:w="4961" w:type="dxa"/>
          </w:tcPr>
          <w:p w14:paraId="2480A8C7" w14:textId="77777777" w:rsidR="00EC4659" w:rsidRPr="00463809" w:rsidRDefault="00EC4659" w:rsidP="000F6D46">
            <w:pPr>
              <w:numPr>
                <w:ilvl w:val="0"/>
                <w:numId w:val="76"/>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Japan EBO</w:t>
            </w:r>
          </w:p>
        </w:tc>
      </w:tr>
      <w:tr w:rsidR="00EC4659" w:rsidRPr="00EC4659" w14:paraId="17F5BF6B" w14:textId="77777777" w:rsidTr="00EC4659">
        <w:tc>
          <w:tcPr>
            <w:tcW w:w="3114" w:type="dxa"/>
          </w:tcPr>
          <w:p w14:paraId="46CB2BB6"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FCFS with High-fill Trigger</w:t>
            </w:r>
          </w:p>
        </w:tc>
        <w:tc>
          <w:tcPr>
            <w:tcW w:w="4961" w:type="dxa"/>
          </w:tcPr>
          <w:p w14:paraId="7B58C7CB"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USA beef </w:t>
            </w:r>
          </w:p>
        </w:tc>
      </w:tr>
      <w:tr w:rsidR="00EC4659" w:rsidRPr="00EC4659" w14:paraId="196980DC" w14:textId="77777777" w:rsidTr="00EC4659">
        <w:tc>
          <w:tcPr>
            <w:tcW w:w="3114" w:type="dxa"/>
          </w:tcPr>
          <w:p w14:paraId="49BD2B56"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Rationalised Allocation</w:t>
            </w:r>
          </w:p>
        </w:tc>
        <w:tc>
          <w:tcPr>
            <w:tcW w:w="4961" w:type="dxa"/>
          </w:tcPr>
          <w:p w14:paraId="7934564F"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EU HQB</w:t>
            </w:r>
          </w:p>
          <w:p w14:paraId="67E00D42"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US FTA cheddar and butter TRQs</w:t>
            </w:r>
          </w:p>
        </w:tc>
      </w:tr>
      <w:tr w:rsidR="00EC4659" w:rsidRPr="00EC4659" w14:paraId="2E44D0EE" w14:textId="77777777" w:rsidTr="00EC4659">
        <w:tc>
          <w:tcPr>
            <w:tcW w:w="3114" w:type="dxa"/>
          </w:tcPr>
          <w:p w14:paraId="7F813044"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&amp; </w:t>
            </w:r>
            <w:proofErr w:type="spellStart"/>
            <w:r w:rsidRPr="00463809">
              <w:rPr>
                <w:rFonts w:asciiTheme="minorHAnsi" w:eastAsiaTheme="minorHAnsi" w:hAnsiTheme="minorHAnsi" w:cstheme="minorBidi"/>
              </w:rPr>
              <w:t>goatmeat</w:t>
            </w:r>
            <w:proofErr w:type="spellEnd"/>
            <w:r w:rsidRPr="00463809">
              <w:rPr>
                <w:rFonts w:asciiTheme="minorHAnsi" w:eastAsiaTheme="minorHAnsi" w:hAnsiTheme="minorHAnsi" w:cstheme="minorBidi"/>
              </w:rPr>
              <w:t xml:space="preserve"> Allocation</w:t>
            </w:r>
          </w:p>
        </w:tc>
        <w:tc>
          <w:tcPr>
            <w:tcW w:w="4961" w:type="dxa"/>
          </w:tcPr>
          <w:p w14:paraId="1A259153" w14:textId="77777777" w:rsidR="00EC4659" w:rsidRPr="00463809" w:rsidRDefault="00EC4659" w:rsidP="000F6D46">
            <w:pPr>
              <w:numPr>
                <w:ilvl w:val="0"/>
                <w:numId w:val="104"/>
              </w:numPr>
              <w:spacing w:line="240" w:lineRule="auto"/>
              <w:contextualSpacing/>
              <w:rPr>
                <w:rFonts w:asciiTheme="minorHAnsi" w:eastAsiaTheme="minorHAnsi" w:hAnsiTheme="minorHAnsi" w:cstheme="minorBidi"/>
              </w:rPr>
            </w:pPr>
            <w:r w:rsidRPr="00463809">
              <w:rPr>
                <w:rFonts w:asciiTheme="minorHAnsi" w:eastAsiaTheme="minorHAnsi" w:hAnsiTheme="minorHAnsi" w:cstheme="minorBidi"/>
              </w:rPr>
              <w:t xml:space="preserve">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and </w:t>
            </w:r>
            <w:proofErr w:type="spellStart"/>
            <w:r w:rsidRPr="00463809">
              <w:rPr>
                <w:rFonts w:asciiTheme="minorHAnsi" w:eastAsiaTheme="minorHAnsi" w:hAnsiTheme="minorHAnsi" w:cstheme="minorBidi"/>
              </w:rPr>
              <w:t>goatmeat</w:t>
            </w:r>
            <w:proofErr w:type="spellEnd"/>
          </w:p>
        </w:tc>
      </w:tr>
    </w:tbl>
    <w:p w14:paraId="211001A5"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As per Option 3, adjusting all underutilised TRQs to the FCFS mechanism resolves problems relating to barriers to trade and exporters being unable to access quota when in a position to use it.  It also minimises regulatory intervention by effectively applying a deregulatory approach. This acknowledges that allocating low use TRQs does not contribute to better outcomes.  Rather, the allocation process merely adds unnecessary administration time and costs, and may actually interfere with the market.</w:t>
      </w:r>
    </w:p>
    <w:p w14:paraId="7E1BDFD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Despite being highly utilised, FCFS Quarterly is very effective for Japan EBO.  An allocation approach would not deliver better outcomes but would increase the regulatory burden.</w:t>
      </w:r>
    </w:p>
    <w:p w14:paraId="0E67578F"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Consultation found that due to the Japan honey TRQ being extremely small and highly sought-after, an allocation system would not deliver greater benefits.  Despite some flaws, the FCFS system remains the most appropriate for the honey TRQ.</w:t>
      </w:r>
      <w:r w:rsidRPr="00EC4659">
        <w:rPr>
          <w:rFonts w:ascii="Calibri" w:hAnsi="Calibri"/>
          <w:szCs w:val="22"/>
        </w:rPr>
        <w:t xml:space="preserve"> </w:t>
      </w:r>
    </w:p>
    <w:p w14:paraId="2D96C69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FCFS with high fill trigger would deliver the benefits of FCFS, but also offers exporters a level of commercial certainty if quota usage increases.  This allocation system has been valuable for the US beef TRQ.  The enhancements made compared to Option 3 better resolve the problems surrounding access that were raised regarding the US beef TRQ. </w:t>
      </w:r>
    </w:p>
    <w:p w14:paraId="0C4E61A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lastRenderedPageBreak/>
        <w:t xml:space="preserve">The proposed rationalised allocation process would address the issues relating to eligibility, access, and rewarding market development for quota markets.  It would also successfully deter undesirable behaviour such as exporters retaining quota when they are not in a position to use it.  The </w:t>
      </w:r>
      <w:proofErr w:type="spellStart"/>
      <w:r w:rsidRPr="00EC4659">
        <w:rPr>
          <w:rFonts w:ascii="Calibri" w:hAnsi="Calibri"/>
          <w:szCs w:val="22"/>
        </w:rPr>
        <w:t>sheepmeat</w:t>
      </w:r>
      <w:proofErr w:type="spellEnd"/>
      <w:r w:rsidRPr="00EC4659">
        <w:rPr>
          <w:rFonts w:ascii="Calibri" w:hAnsi="Calibri"/>
          <w:szCs w:val="22"/>
        </w:rPr>
        <w:t xml:space="preserve"> allocation process provides greater consideration to industry-specific needs to ensure that overall benefits realised do not reduce.</w:t>
      </w:r>
    </w:p>
    <w:p w14:paraId="3606389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 details analysis is included in Section 5, below.</w:t>
      </w:r>
    </w:p>
    <w:p w14:paraId="27B5AD4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following is a breakdown of each mechanism and the proposed rules within each.</w:t>
      </w:r>
    </w:p>
    <w:p w14:paraId="7FC668DE"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65" w:name="_Toc27482957"/>
      <w:r w:rsidRPr="00EC4659">
        <w:rPr>
          <w:rFonts w:ascii="Calibri Light" w:eastAsia="SimSun" w:hAnsi="Calibri Light"/>
          <w:bCs/>
          <w:color w:val="5B9BD5"/>
          <w:sz w:val="24"/>
          <w:szCs w:val="24"/>
        </w:rPr>
        <w:t>First come, first served</w:t>
      </w:r>
      <w:bookmarkEnd w:id="165"/>
    </w:p>
    <w:p w14:paraId="79B1FD30"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Quota certificates would be issued on the basis of complete requests for permit (RFPs) (or equivalent) during a quota year.  Alternatively the access amount can be made available on a quarterly basis, that is, the quota volume is split into quarters representing the maximum amount that can be accessed in a three month period.  FCFS is an effective system for TRQs that will not be fully utilised.  The FCFS on a quarterly basis can be effective for some highly utilised TRQs.</w:t>
      </w:r>
    </w:p>
    <w:p w14:paraId="3C4B140C"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66" w:name="_Toc27482958"/>
      <w:r w:rsidRPr="00EC4659">
        <w:rPr>
          <w:rFonts w:ascii="Calibri Light" w:eastAsia="SimSun" w:hAnsi="Calibri Light"/>
          <w:bCs/>
          <w:color w:val="5B9BD5"/>
          <w:sz w:val="24"/>
          <w:szCs w:val="24"/>
        </w:rPr>
        <w:t>First come, first served with high-fill trigger</w:t>
      </w:r>
      <w:bookmarkEnd w:id="166"/>
    </w:p>
    <w:p w14:paraId="274CE2B5"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Trigger</w:t>
      </w:r>
    </w:p>
    <w:p w14:paraId="4BA20522"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As per both Options 1 and 3, this mechanism would operate under FCFS arrangements, with allocations only being triggered if 85 per cent of the quota is used within the first nine months of the quota year. </w:t>
      </w:r>
    </w:p>
    <w:p w14:paraId="21ABB8DA"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Allocation</w:t>
      </w:r>
    </w:p>
    <w:p w14:paraId="53DF5252"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If the trigger is expected to be reached, the department will calculate allocations based on proportional use and advise exporters of their entitlement.  Depending on the TRQ, the shipping history used to calculate the allocations could vary.  In the case of the US beef TRQ, the existing two year period would remain as there is no significant justification for change, and the majority of industry feedback advised that two years is satisfactory.</w:t>
      </w:r>
    </w:p>
    <w:p w14:paraId="3965E67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Exporters would be able to accept their entitlement at any stage ahead of the trigger being reached.  Once the trigger is reached, any quota returned or not accepted will return to the quota pool (available as FCFS).</w:t>
      </w:r>
    </w:p>
    <w:p w14:paraId="15461794"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approach is consistent with the outcomes reached during consultation.</w:t>
      </w:r>
    </w:p>
    <w:p w14:paraId="3D0347C8"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Transfers</w:t>
      </w:r>
    </w:p>
    <w:p w14:paraId="41E5944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Transfers will be permitted at any stage following acceptance of post-trigger allocations.  As exporters are receiving proportional allocations (and not requesting specific amounts, as for Option 3) transfers are appropriate; they provide the necessary pathway for quota to be able to reach those who are in a position to use it.  The transfer window (per the status quo) will be removed as it was ineffective for US beef in 2015.</w:t>
      </w:r>
    </w:p>
    <w:p w14:paraId="1F7652B8"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Penalties</w:t>
      </w:r>
    </w:p>
    <w:p w14:paraId="1950180A"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Penalties will not be imposed under this mechanism.  The use of penalties does not contribute to better outcomes where allocations are purely proportional (that is, volumes are not requested) and where quota is transferable until the end of the quota year (both elements of which are considered beneficial).  Additionally, if the trigger is reached there is a very low risk of quota not being utilised.</w:t>
      </w:r>
    </w:p>
    <w:p w14:paraId="30B6FE24"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67" w:name="_Toc27482959"/>
      <w:r w:rsidRPr="00EC4659">
        <w:rPr>
          <w:rFonts w:ascii="Calibri Light" w:eastAsia="SimSun" w:hAnsi="Calibri Light"/>
          <w:bCs/>
          <w:color w:val="5B9BD5"/>
          <w:sz w:val="24"/>
          <w:szCs w:val="24"/>
        </w:rPr>
        <w:lastRenderedPageBreak/>
        <w:t>Rationalised allocation system</w:t>
      </w:r>
      <w:bookmarkEnd w:id="167"/>
    </w:p>
    <w:p w14:paraId="774081FE"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allocation mechanism is relatively consistent with Option 3, but makes adjustments to reduce complexity and provide industry-specific inputs.  Initially it would apply to the EU HQB, US FTA butter and US FTA cheddar cheese TRQs.</w:t>
      </w:r>
    </w:p>
    <w:p w14:paraId="00C7E217"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Eligibility</w:t>
      </w:r>
    </w:p>
    <w:p w14:paraId="0F3946BA"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As long as a company holds a relevant licence (if applicable), they would be eligible to apply for an allocation.  This only represents a change for dairy TRQs which do not currently permit non-manufacturers to apply for allocations.  This restriction would be removed.  </w:t>
      </w:r>
    </w:p>
    <w:p w14:paraId="235B1428"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Allocation</w:t>
      </w:r>
    </w:p>
    <w:p w14:paraId="7821058D" w14:textId="77777777" w:rsidR="00EC4659" w:rsidRPr="00EC4659" w:rsidRDefault="00EC4659" w:rsidP="00EC4659">
      <w:pPr>
        <w:spacing w:after="160" w:line="259" w:lineRule="auto"/>
        <w:rPr>
          <w:rFonts w:ascii="Calibri" w:hAnsi="Calibri"/>
          <w:szCs w:val="22"/>
          <w:lang w:eastAsia="ja-JP"/>
        </w:rPr>
      </w:pPr>
      <w:r w:rsidRPr="00EC4659">
        <w:rPr>
          <w:rFonts w:ascii="Calibri" w:hAnsi="Calibri"/>
          <w:i/>
          <w:szCs w:val="22"/>
          <w:lang w:eastAsia="ja-JP"/>
        </w:rPr>
        <w:t>Shipping history used for calculating allocations</w:t>
      </w:r>
    </w:p>
    <w:p w14:paraId="25DEF19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Allocations would be calculated based on exporters’ shipping history of quota exports.  The length of time of the shipping history would be determined in conjunction with relevant industries for a given TRQ; consultation feedback demonstrated that this should not necessarily be the same for all TRQs.  Overall support remained for three years for both EU HQB</w:t>
      </w:r>
      <w:r w:rsidRPr="00EC4659">
        <w:rPr>
          <w:rFonts w:ascii="Calibri" w:hAnsi="Calibri"/>
          <w:szCs w:val="22"/>
          <w:vertAlign w:val="superscript"/>
          <w:lang w:eastAsia="ja-JP"/>
        </w:rPr>
        <w:footnoteReference w:id="7"/>
      </w:r>
      <w:r w:rsidRPr="00EC4659">
        <w:rPr>
          <w:rFonts w:ascii="Calibri" w:hAnsi="Calibri"/>
          <w:szCs w:val="22"/>
          <w:lang w:eastAsia="ja-JP"/>
        </w:rPr>
        <w:t xml:space="preserve"> and those dairy TRQs remaining allocated</w:t>
      </w:r>
      <w:r w:rsidRPr="00EC4659">
        <w:rPr>
          <w:rFonts w:ascii="Calibri" w:hAnsi="Calibri"/>
          <w:szCs w:val="22"/>
          <w:vertAlign w:val="superscript"/>
          <w:lang w:eastAsia="ja-JP"/>
        </w:rPr>
        <w:footnoteReference w:id="8"/>
      </w:r>
      <w:r w:rsidRPr="00EC4659">
        <w:rPr>
          <w:rFonts w:ascii="Calibri" w:hAnsi="Calibri"/>
          <w:szCs w:val="22"/>
          <w:lang w:eastAsia="ja-JP"/>
        </w:rPr>
        <w:t xml:space="preserve">.  As per Option 3, the shipping history will only include exports under quota so the quota is more likely to be allocated to those who will use it.  </w:t>
      </w:r>
    </w:p>
    <w:p w14:paraId="74E602C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Additionally, the quota allocation calculations would use a TRQ’s ‘shipping year’ as the timeframe. This is more appropriate when determining what an exporter should be entitled to, but represents a change for dairy TRQs which currently use financial years.</w:t>
      </w:r>
    </w:p>
    <w:p w14:paraId="37060BA6" w14:textId="77777777" w:rsidR="00EC4659" w:rsidRPr="00EC4659" w:rsidRDefault="00EC4659" w:rsidP="00EC4659">
      <w:pPr>
        <w:spacing w:after="160" w:line="259" w:lineRule="auto"/>
        <w:rPr>
          <w:rFonts w:ascii="Calibri" w:hAnsi="Calibri"/>
          <w:i/>
          <w:szCs w:val="22"/>
          <w:lang w:eastAsia="ja-JP"/>
        </w:rPr>
      </w:pPr>
      <w:r w:rsidRPr="00EC4659">
        <w:rPr>
          <w:rFonts w:ascii="Calibri" w:hAnsi="Calibri"/>
          <w:i/>
          <w:szCs w:val="22"/>
          <w:lang w:eastAsia="ja-JP"/>
        </w:rPr>
        <w:t>Minimum allocation</w:t>
      </w:r>
    </w:p>
    <w:p w14:paraId="7DF9BA57" w14:textId="77777777" w:rsidR="00EC4659" w:rsidRPr="00EC4659" w:rsidRDefault="00EC4659" w:rsidP="00EC4659">
      <w:pPr>
        <w:spacing w:after="160" w:line="259" w:lineRule="auto"/>
        <w:rPr>
          <w:rFonts w:ascii="Calibri" w:hAnsi="Calibri"/>
          <w:szCs w:val="22"/>
          <w:lang w:eastAsia="ja-JP"/>
        </w:rPr>
      </w:pPr>
      <w:r w:rsidRPr="00EC4659">
        <w:rPr>
          <w:rFonts w:ascii="Calibri" w:hAnsi="Calibri"/>
          <w:szCs w:val="22"/>
          <w:lang w:eastAsia="ja-JP"/>
        </w:rPr>
        <w:t xml:space="preserve">A minimum allocation would still apply to any TRQ as currently occurs.  Consistent with Option 3, this would be set at one tonne by default.  The department and industries agreed in consultation that a change for a given TRQ could be considered where industry recommendation was provided. </w:t>
      </w:r>
    </w:p>
    <w:p w14:paraId="706E900B" w14:textId="77777777" w:rsidR="00EC4659" w:rsidRPr="00EC4659" w:rsidRDefault="00EC4659" w:rsidP="00EC4659">
      <w:pPr>
        <w:spacing w:after="120" w:line="259" w:lineRule="auto"/>
        <w:rPr>
          <w:rFonts w:ascii="Calibri" w:hAnsi="Calibri"/>
          <w:i/>
          <w:szCs w:val="22"/>
          <w:lang w:eastAsia="ja-JP"/>
        </w:rPr>
      </w:pPr>
      <w:r w:rsidRPr="00EC4659">
        <w:rPr>
          <w:rFonts w:ascii="Calibri" w:hAnsi="Calibri"/>
          <w:i/>
          <w:szCs w:val="22"/>
          <w:lang w:eastAsia="ja-JP"/>
        </w:rPr>
        <w:t>New entrant provision</w:t>
      </w:r>
    </w:p>
    <w:p w14:paraId="5C98DA5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new entrant process is proposed to work as follows:</w:t>
      </w:r>
    </w:p>
    <w:p w14:paraId="6EFC8461" w14:textId="77777777" w:rsidR="00EC4659" w:rsidRPr="00EC4659" w:rsidRDefault="00EC4659" w:rsidP="000F6D46">
      <w:pPr>
        <w:numPr>
          <w:ilvl w:val="0"/>
          <w:numId w:val="92"/>
        </w:numPr>
        <w:spacing w:after="160" w:line="240" w:lineRule="auto"/>
        <w:contextualSpacing/>
        <w:rPr>
          <w:rFonts w:ascii="Calibri" w:hAnsi="Calibri"/>
          <w:szCs w:val="22"/>
          <w:lang w:eastAsia="ja-JP"/>
        </w:rPr>
      </w:pPr>
      <w:r w:rsidRPr="00EC4659">
        <w:rPr>
          <w:rFonts w:ascii="Calibri" w:hAnsi="Calibri"/>
          <w:szCs w:val="22"/>
          <w:lang w:eastAsia="ja-JP"/>
        </w:rPr>
        <w:t>Exporters would be considered new entrants to a market for the first three years of accessing quota to a market.</w:t>
      </w:r>
    </w:p>
    <w:p w14:paraId="686F8275" w14:textId="77777777" w:rsidR="00EC4659" w:rsidRPr="00EC4659" w:rsidRDefault="00EC4659" w:rsidP="000F6D46">
      <w:pPr>
        <w:numPr>
          <w:ilvl w:val="0"/>
          <w:numId w:val="92"/>
        </w:numPr>
        <w:spacing w:before="120" w:after="160" w:line="240" w:lineRule="auto"/>
        <w:contextualSpacing/>
        <w:rPr>
          <w:rFonts w:ascii="Calibri" w:hAnsi="Calibri"/>
          <w:szCs w:val="22"/>
          <w:lang w:eastAsia="ja-JP"/>
        </w:rPr>
      </w:pPr>
      <w:r w:rsidRPr="00EC4659">
        <w:rPr>
          <w:rFonts w:ascii="Calibri" w:hAnsi="Calibri"/>
          <w:szCs w:val="22"/>
          <w:lang w:eastAsia="ja-JP"/>
        </w:rPr>
        <w:t>The new entrant provision would be available as FCFS until the reclaim date is reached.</w:t>
      </w:r>
    </w:p>
    <w:p w14:paraId="18ECC136" w14:textId="77777777" w:rsidR="00EC4659" w:rsidRPr="00EC4659" w:rsidRDefault="00EC4659" w:rsidP="000F6D46">
      <w:pPr>
        <w:numPr>
          <w:ilvl w:val="0"/>
          <w:numId w:val="92"/>
        </w:numPr>
        <w:spacing w:before="120" w:after="160" w:line="240" w:lineRule="auto"/>
        <w:contextualSpacing/>
        <w:rPr>
          <w:rFonts w:ascii="Calibri" w:hAnsi="Calibri"/>
          <w:szCs w:val="22"/>
          <w:lang w:eastAsia="ja-JP"/>
        </w:rPr>
      </w:pPr>
      <w:r w:rsidRPr="00EC4659">
        <w:rPr>
          <w:rFonts w:ascii="Calibri" w:hAnsi="Calibri"/>
          <w:szCs w:val="22"/>
          <w:lang w:eastAsia="ja-JP"/>
        </w:rPr>
        <w:t xml:space="preserve">A capped access amount would be applied to ensure fair opportunity for access and so existing quota holders are not disadvantaged. </w:t>
      </w:r>
    </w:p>
    <w:p w14:paraId="4DBCEE03" w14:textId="77777777" w:rsidR="00EC4659" w:rsidRPr="00EC4659" w:rsidRDefault="00EC4659" w:rsidP="000F6D46">
      <w:pPr>
        <w:numPr>
          <w:ilvl w:val="0"/>
          <w:numId w:val="92"/>
        </w:numPr>
        <w:spacing w:before="120" w:after="160" w:line="240" w:lineRule="auto"/>
        <w:contextualSpacing/>
        <w:rPr>
          <w:rFonts w:ascii="Calibri" w:hAnsi="Calibri"/>
          <w:szCs w:val="22"/>
          <w:lang w:eastAsia="ja-JP"/>
        </w:rPr>
      </w:pPr>
      <w:r w:rsidRPr="00EC4659">
        <w:rPr>
          <w:rFonts w:ascii="Calibri" w:hAnsi="Calibri"/>
          <w:szCs w:val="22"/>
          <w:lang w:eastAsia="ja-JP"/>
        </w:rPr>
        <w:t>Once the reclaim date is reached new entrants would have first preference for any unused volume of the new entrant provision (maximum cap still applying).  This would be allocated quota.  To dissuade misuse of allocated quota the following would apply:</w:t>
      </w:r>
    </w:p>
    <w:p w14:paraId="6403C82C" w14:textId="77777777" w:rsidR="00EC4659" w:rsidRPr="00EC4659" w:rsidRDefault="00EC4659" w:rsidP="000F6D46">
      <w:pPr>
        <w:numPr>
          <w:ilvl w:val="1"/>
          <w:numId w:val="92"/>
        </w:numPr>
        <w:spacing w:before="120" w:after="160" w:line="240" w:lineRule="auto"/>
        <w:contextualSpacing/>
        <w:rPr>
          <w:rFonts w:ascii="Calibri" w:hAnsi="Calibri"/>
          <w:szCs w:val="22"/>
          <w:lang w:eastAsia="ja-JP"/>
        </w:rPr>
      </w:pPr>
      <w:r w:rsidRPr="00EC4659">
        <w:rPr>
          <w:rFonts w:ascii="Calibri" w:hAnsi="Calibri"/>
          <w:szCs w:val="22"/>
          <w:lang w:eastAsia="ja-JP"/>
        </w:rPr>
        <w:t>Only new entrants that have shipped during the quota year would be eligible to apply.</w:t>
      </w:r>
    </w:p>
    <w:p w14:paraId="00232D16" w14:textId="77777777" w:rsidR="00EC4659" w:rsidRPr="00EC4659" w:rsidRDefault="00EC4659" w:rsidP="000F6D46">
      <w:pPr>
        <w:numPr>
          <w:ilvl w:val="1"/>
          <w:numId w:val="92"/>
        </w:numPr>
        <w:spacing w:before="120" w:after="160" w:line="240" w:lineRule="auto"/>
        <w:contextualSpacing/>
        <w:rPr>
          <w:rFonts w:ascii="Calibri" w:hAnsi="Calibri"/>
          <w:szCs w:val="22"/>
          <w:lang w:eastAsia="ja-JP"/>
        </w:rPr>
      </w:pPr>
      <w:r w:rsidRPr="00EC4659">
        <w:rPr>
          <w:rFonts w:ascii="Calibri" w:hAnsi="Calibri"/>
          <w:szCs w:val="22"/>
          <w:lang w:eastAsia="ja-JP"/>
        </w:rPr>
        <w:t>New entrants would be limited to allocations of no more than the volume already shipped during the quota year.  For example if a new entrant had shipped 24 tonnes during the quota year to date, they could not receive more than 24 tonnes as an allocation for the remainder of the year. The cap continues to apply.</w:t>
      </w:r>
    </w:p>
    <w:p w14:paraId="60854416" w14:textId="77777777" w:rsidR="00EC4659" w:rsidRPr="00EC4659" w:rsidRDefault="00EC4659" w:rsidP="000F6D46">
      <w:pPr>
        <w:numPr>
          <w:ilvl w:val="1"/>
          <w:numId w:val="92"/>
        </w:numPr>
        <w:spacing w:before="120" w:after="120" w:line="240" w:lineRule="auto"/>
        <w:contextualSpacing/>
        <w:rPr>
          <w:rFonts w:ascii="Calibri" w:hAnsi="Calibri"/>
          <w:szCs w:val="22"/>
          <w:lang w:eastAsia="ja-JP"/>
        </w:rPr>
      </w:pPr>
      <w:r w:rsidRPr="00EC4659">
        <w:rPr>
          <w:rFonts w:ascii="Calibri" w:hAnsi="Calibri"/>
          <w:szCs w:val="22"/>
          <w:lang w:eastAsia="ja-JP"/>
        </w:rPr>
        <w:t>New entrants would not be permitted to transfer their quota allocation, nor any quota transferred to them by another exporter.</w:t>
      </w:r>
    </w:p>
    <w:p w14:paraId="7391E87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lastRenderedPageBreak/>
        <w:t>In the case of the EU HQB quota the set aside amount would be maintained at 500 tonnes but the new entrant cap would be increased from 12 tonnes to 100 tonnes to address the issue of an unviable access amount.  Feedback stated that for dairy TRQs a viable new entrant is approximately 50 tonnes.  While the dairy industry posed a set-aside amount of 1.5 per cent per quota</w:t>
      </w:r>
      <w:r w:rsidRPr="00EC4659">
        <w:rPr>
          <w:rFonts w:ascii="Calibri" w:hAnsi="Calibri"/>
          <w:szCs w:val="22"/>
          <w:vertAlign w:val="superscript"/>
          <w:lang w:eastAsia="ja-JP"/>
        </w:rPr>
        <w:footnoteReference w:id="9"/>
      </w:r>
      <w:r w:rsidRPr="00EC4659">
        <w:rPr>
          <w:rFonts w:ascii="Calibri" w:hAnsi="Calibri"/>
          <w:szCs w:val="22"/>
          <w:lang w:eastAsia="ja-JP"/>
        </w:rPr>
        <w:t xml:space="preserve">, the department must ensure that the volume can cater for an appropriate number of new entrants, so will be determined on a per TRQ basis. </w:t>
      </w:r>
    </w:p>
    <w:p w14:paraId="3F8F273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i/>
          <w:szCs w:val="22"/>
          <w:lang w:eastAsia="ja-JP"/>
        </w:rPr>
        <w:t>Apply a streamlined allocation process</w:t>
      </w:r>
    </w:p>
    <w:p w14:paraId="71E0660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Applications would be requested by a set date before the start of a quota year.  The department would then calculate and allocate the quota (less the new entrant provision) to all eligible applicants.</w:t>
      </w:r>
    </w:p>
    <w:p w14:paraId="48B7472D" w14:textId="77777777" w:rsidR="00EC4659" w:rsidRPr="00EC4659" w:rsidRDefault="00EC4659" w:rsidP="000F6D46">
      <w:pPr>
        <w:numPr>
          <w:ilvl w:val="0"/>
          <w:numId w:val="91"/>
        </w:numPr>
        <w:spacing w:before="120" w:after="160" w:line="240" w:lineRule="auto"/>
        <w:contextualSpacing/>
        <w:rPr>
          <w:rFonts w:ascii="Calibri" w:hAnsi="Calibri"/>
          <w:szCs w:val="22"/>
          <w:lang w:eastAsia="ja-JP"/>
        </w:rPr>
      </w:pPr>
      <w:r w:rsidRPr="00EC4659">
        <w:rPr>
          <w:rFonts w:ascii="Calibri" w:hAnsi="Calibri"/>
          <w:szCs w:val="22"/>
          <w:lang w:eastAsia="ja-JP"/>
        </w:rPr>
        <w:t>Where the total volume applied for by exporters exceeds the access amount it will be allocated proportionally against the shipping history.</w:t>
      </w:r>
    </w:p>
    <w:p w14:paraId="3A32765E" w14:textId="77777777" w:rsidR="00EC4659" w:rsidRPr="00EC4659" w:rsidRDefault="00EC4659" w:rsidP="000F6D46">
      <w:pPr>
        <w:numPr>
          <w:ilvl w:val="0"/>
          <w:numId w:val="91"/>
        </w:numPr>
        <w:spacing w:before="120" w:after="160" w:line="240" w:lineRule="auto"/>
        <w:contextualSpacing/>
        <w:rPr>
          <w:rFonts w:ascii="Calibri" w:hAnsi="Calibri"/>
          <w:szCs w:val="22"/>
          <w:lang w:eastAsia="ja-JP"/>
        </w:rPr>
      </w:pPr>
      <w:r w:rsidRPr="00EC4659">
        <w:rPr>
          <w:rFonts w:ascii="Calibri" w:hAnsi="Calibri"/>
          <w:szCs w:val="22"/>
          <w:lang w:eastAsia="ja-JP"/>
        </w:rPr>
        <w:t>Where the total volume applied for is less than the access amount, all applicants will receive their requested amount and any remaining quota will become available as FCFS (until the reclaim date is reached).</w:t>
      </w:r>
    </w:p>
    <w:p w14:paraId="3CF3D901" w14:textId="77777777" w:rsidR="00EC4659" w:rsidRPr="00EC4659" w:rsidRDefault="00EC4659" w:rsidP="000F6D46">
      <w:pPr>
        <w:numPr>
          <w:ilvl w:val="0"/>
          <w:numId w:val="91"/>
        </w:numPr>
        <w:spacing w:before="120" w:after="160" w:line="240" w:lineRule="auto"/>
        <w:contextualSpacing/>
        <w:rPr>
          <w:rFonts w:ascii="Calibri" w:hAnsi="Calibri"/>
          <w:szCs w:val="22"/>
          <w:lang w:eastAsia="ja-JP"/>
        </w:rPr>
      </w:pPr>
      <w:r w:rsidRPr="00EC4659">
        <w:rPr>
          <w:rFonts w:ascii="Calibri" w:hAnsi="Calibri"/>
          <w:szCs w:val="22"/>
          <w:lang w:eastAsia="ja-JP"/>
        </w:rPr>
        <w:t>Any unused quota under the new entrant provision will not become available to standard quota users until the reclaim date is reached.</w:t>
      </w:r>
    </w:p>
    <w:p w14:paraId="71D8C192"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t xml:space="preserve">Additionally, this option adjusts the process so that once all exporters eligible to receive ‘supplementary quota’ (being quota reclaimed due to penalties) have received their request amounts, ineligible exporters (those who had been penalised) would then be considered eligible to receive any remaining supplementary quota volume.  This is to recognise that the quota is still in demand and should therefore be allocated rather than remain unallocated and inaccessible until the reallocation process takes place months later.  </w:t>
      </w:r>
    </w:p>
    <w:p w14:paraId="2386DF73" w14:textId="77777777" w:rsidR="00EC4659" w:rsidRPr="00EC4659" w:rsidRDefault="00EC4659" w:rsidP="00EC4659">
      <w:pPr>
        <w:spacing w:before="120" w:after="120" w:line="259" w:lineRule="auto"/>
        <w:rPr>
          <w:rFonts w:ascii="Calibri" w:hAnsi="Calibri"/>
          <w:b/>
          <w:szCs w:val="22"/>
          <w:lang w:eastAsia="ja-JP"/>
        </w:rPr>
      </w:pPr>
      <w:r w:rsidRPr="00EC4659">
        <w:rPr>
          <w:rFonts w:ascii="Calibri" w:hAnsi="Calibri"/>
          <w:b/>
          <w:szCs w:val="22"/>
          <w:lang w:eastAsia="ja-JP"/>
        </w:rPr>
        <w:t>Transfers</w:t>
      </w:r>
    </w:p>
    <w:p w14:paraId="0836F75A"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Transfers will be permitted for allocated quota prior to the reclaim date but a 50 per cent limit will be applied.  If more than 50 per cent of an exporter’s allocation is transferred in a single year, the exporter will be ineligible to receive an allocation for the next two quota years.  </w:t>
      </w:r>
    </w:p>
    <w:p w14:paraId="3FBBF07E" w14:textId="77777777" w:rsidR="00EC4659" w:rsidRPr="00EC4659" w:rsidRDefault="00EC4659" w:rsidP="00EC4659">
      <w:pPr>
        <w:spacing w:before="120" w:line="240" w:lineRule="auto"/>
        <w:rPr>
          <w:rFonts w:ascii="Calibri" w:hAnsi="Calibri"/>
          <w:b/>
          <w:szCs w:val="22"/>
          <w:lang w:eastAsia="ja-JP"/>
        </w:rPr>
      </w:pPr>
      <w:r w:rsidRPr="00EC4659">
        <w:rPr>
          <w:rFonts w:ascii="Calibri" w:hAnsi="Calibri"/>
          <w:szCs w:val="22"/>
          <w:lang w:eastAsia="ja-JP"/>
        </w:rPr>
        <w:t>As per the status quo and Option 3, exporters will not be permitted to transfer retained or reallocated quota after the reclaim date.  Similarly, new entrants will not be permitted to transfer their quota allocation.</w:t>
      </w:r>
    </w:p>
    <w:p w14:paraId="2805DF7A" w14:textId="77777777" w:rsidR="00EC4659" w:rsidRPr="00EC4659" w:rsidRDefault="00EC4659" w:rsidP="00EC4659">
      <w:pPr>
        <w:spacing w:before="120" w:line="240" w:lineRule="auto"/>
        <w:rPr>
          <w:rFonts w:ascii="Calibri" w:hAnsi="Calibri"/>
          <w:b/>
          <w:szCs w:val="22"/>
          <w:lang w:eastAsia="ja-JP"/>
        </w:rPr>
      </w:pPr>
      <w:r w:rsidRPr="00EC4659">
        <w:rPr>
          <w:rFonts w:ascii="Calibri" w:hAnsi="Calibri"/>
          <w:b/>
          <w:szCs w:val="22"/>
          <w:lang w:eastAsia="ja-JP"/>
        </w:rPr>
        <w:t>Reclaim and reallocation process</w:t>
      </w:r>
    </w:p>
    <w:p w14:paraId="045B0CA9"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t>The reclaim process will be conducted eight months into the quota year.  Commencing reclaim and reallocations after eight months provides a reasonable period for exporters to utilise allocations, while still providing sufficient time for reallocated quota to be used.  It is also an appropriate timeframe to expect exporters to be able to estimate shipments.</w:t>
      </w:r>
    </w:p>
    <w:p w14:paraId="340171DB"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t xml:space="preserve">Quota holders would be able to return unused quota prior to the reclaim date without incurring a penalty.  They would also be able to retain their unused quota allocations as long as they have used more than 25 per cent of the quota allocation.  If less than 25 per cent is used the remaining allocation amount would be surrendered. </w:t>
      </w:r>
    </w:p>
    <w:p w14:paraId="3679BCD2"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t>The reallocation process would work as follows:</w:t>
      </w:r>
    </w:p>
    <w:p w14:paraId="774D8B18" w14:textId="77777777" w:rsidR="00EC4659" w:rsidRPr="00EC4659" w:rsidRDefault="00EC4659" w:rsidP="000F6D46">
      <w:pPr>
        <w:numPr>
          <w:ilvl w:val="0"/>
          <w:numId w:val="93"/>
        </w:numPr>
        <w:spacing w:before="120" w:after="160" w:line="240" w:lineRule="auto"/>
        <w:contextualSpacing/>
        <w:rPr>
          <w:rFonts w:ascii="Calibri" w:hAnsi="Calibri"/>
          <w:szCs w:val="22"/>
          <w:lang w:eastAsia="ja-JP"/>
        </w:rPr>
      </w:pPr>
      <w:r w:rsidRPr="00EC4659">
        <w:rPr>
          <w:rFonts w:ascii="Calibri" w:hAnsi="Calibri"/>
          <w:szCs w:val="22"/>
          <w:lang w:eastAsia="ja-JP"/>
        </w:rPr>
        <w:t>Exporters could request an additional volume of quota to be allocated to them.</w:t>
      </w:r>
    </w:p>
    <w:p w14:paraId="74DE0A82" w14:textId="77777777" w:rsidR="00EC4659" w:rsidRPr="00EC4659" w:rsidRDefault="00EC4659" w:rsidP="000F6D46">
      <w:pPr>
        <w:numPr>
          <w:ilvl w:val="1"/>
          <w:numId w:val="93"/>
        </w:numPr>
        <w:spacing w:before="120" w:after="160" w:line="240" w:lineRule="auto"/>
        <w:contextualSpacing/>
        <w:rPr>
          <w:rFonts w:ascii="Calibri" w:hAnsi="Calibri"/>
          <w:szCs w:val="22"/>
          <w:lang w:eastAsia="ja-JP"/>
        </w:rPr>
      </w:pPr>
      <w:r w:rsidRPr="00EC4659">
        <w:rPr>
          <w:rFonts w:ascii="Calibri" w:hAnsi="Calibri"/>
          <w:szCs w:val="22"/>
          <w:lang w:eastAsia="ja-JP"/>
        </w:rPr>
        <w:t>If the available quota is more than the total amount requested, applicants will receive their request amount.</w:t>
      </w:r>
    </w:p>
    <w:p w14:paraId="0546018F" w14:textId="77777777" w:rsidR="00EC4659" w:rsidRPr="00EC4659" w:rsidRDefault="00EC4659" w:rsidP="000F6D46">
      <w:pPr>
        <w:numPr>
          <w:ilvl w:val="1"/>
          <w:numId w:val="93"/>
        </w:numPr>
        <w:spacing w:before="120" w:after="160" w:line="240" w:lineRule="auto"/>
        <w:contextualSpacing/>
        <w:rPr>
          <w:rFonts w:ascii="Calibri" w:hAnsi="Calibri"/>
          <w:szCs w:val="22"/>
          <w:lang w:eastAsia="ja-JP"/>
        </w:rPr>
      </w:pPr>
      <w:r w:rsidRPr="00EC4659">
        <w:rPr>
          <w:rFonts w:ascii="Calibri" w:hAnsi="Calibri"/>
          <w:szCs w:val="22"/>
          <w:lang w:eastAsia="ja-JP"/>
        </w:rPr>
        <w:t>If the available quota is less than the total amount requested, the quota will be allocated proportionally across the applicants, using the same parameters as the initial allocations.</w:t>
      </w:r>
    </w:p>
    <w:p w14:paraId="69B686D1" w14:textId="77777777" w:rsidR="00EC4659" w:rsidRPr="00EC4659" w:rsidRDefault="00EC4659" w:rsidP="000F6D46">
      <w:pPr>
        <w:numPr>
          <w:ilvl w:val="0"/>
          <w:numId w:val="93"/>
        </w:numPr>
        <w:spacing w:before="120" w:after="160" w:line="240" w:lineRule="auto"/>
        <w:contextualSpacing/>
        <w:rPr>
          <w:rFonts w:ascii="Calibri" w:hAnsi="Calibri"/>
          <w:szCs w:val="22"/>
          <w:lang w:eastAsia="ja-JP"/>
        </w:rPr>
      </w:pPr>
      <w:r w:rsidRPr="00EC4659">
        <w:rPr>
          <w:rFonts w:ascii="Calibri" w:hAnsi="Calibri"/>
          <w:szCs w:val="22"/>
          <w:lang w:eastAsia="ja-JP"/>
        </w:rPr>
        <w:t>Exporters would not be required to provide any consignment information details.</w:t>
      </w:r>
    </w:p>
    <w:p w14:paraId="1A5EDECA" w14:textId="77777777" w:rsidR="00EC4659" w:rsidRPr="00EC4659" w:rsidRDefault="00EC4659" w:rsidP="000F6D46">
      <w:pPr>
        <w:numPr>
          <w:ilvl w:val="0"/>
          <w:numId w:val="93"/>
        </w:numPr>
        <w:spacing w:before="120" w:after="120" w:line="240" w:lineRule="auto"/>
        <w:contextualSpacing/>
        <w:rPr>
          <w:rFonts w:ascii="Calibri" w:hAnsi="Calibri"/>
          <w:szCs w:val="22"/>
          <w:lang w:eastAsia="ja-JP"/>
        </w:rPr>
      </w:pPr>
      <w:r w:rsidRPr="00EC4659">
        <w:rPr>
          <w:rFonts w:ascii="Calibri" w:hAnsi="Calibri"/>
          <w:szCs w:val="22"/>
          <w:lang w:eastAsia="ja-JP"/>
        </w:rPr>
        <w:lastRenderedPageBreak/>
        <w:t>Retained and reallocated quota cannot be transferred and any unused volume would attract penalties (if the exporter used less than 90 per cent of their allocation for the quota year).</w:t>
      </w:r>
    </w:p>
    <w:p w14:paraId="44959D3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Following this process, if there is any quota remaining unallocated (or any quota returned after this point) it would be available as FCFS.  This would only be available where an exporter has a consignment application in EXDOC (or equivalent) that is ready to be issued export certification documents and only to exporters that do not have any remaining allocated quota.</w:t>
      </w:r>
    </w:p>
    <w:p w14:paraId="3ABCF271"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Penalties</w:t>
      </w:r>
    </w:p>
    <w:p w14:paraId="7DAD9A03" w14:textId="77777777" w:rsidR="00EC4659" w:rsidRPr="00EC4659" w:rsidRDefault="00EC4659" w:rsidP="00EC4659">
      <w:pPr>
        <w:spacing w:after="160" w:line="259" w:lineRule="auto"/>
        <w:rPr>
          <w:rFonts w:ascii="Calibri" w:hAnsi="Calibri"/>
          <w:szCs w:val="22"/>
          <w:lang w:eastAsia="ja-JP"/>
        </w:rPr>
      </w:pPr>
      <w:r w:rsidRPr="00EC4659">
        <w:rPr>
          <w:rFonts w:ascii="Calibri" w:hAnsi="Calibri"/>
          <w:szCs w:val="22"/>
          <w:lang w:eastAsia="ja-JP"/>
        </w:rPr>
        <w:t>Proposed penalty provisions remain consistent with Option 3.  Penalties will be incurred on a 1-for-1 basis for unused quota that was either retained or reallocated to exporters.  However, exporters will only receive penalties if they have not used at least 90 per cent of their allocation six weeks from the end of the quota year.  Penalties will be calculated and applied to the next year’s quota allocations.</w:t>
      </w:r>
    </w:p>
    <w:p w14:paraId="07FA517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represents a change for dairy TRQs which previously had a year delay in applying penalties.  There is no change for EU HQB beyond reducing the minimum usage level from 92.5 per cent to 90 per cent.</w:t>
      </w:r>
    </w:p>
    <w:p w14:paraId="29130257"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Consultation raised whether there can be an option of discretionary decision making due to unforeseen circumstance.  The department will investigate the possibility of allowing the return of quota without penalty due to instances such as fire or natural disasters impacting processing facilities.</w:t>
      </w:r>
    </w:p>
    <w:p w14:paraId="594D967A"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68" w:name="_Toc27482960"/>
      <w:r w:rsidRPr="00EC4659">
        <w:rPr>
          <w:rFonts w:ascii="Calibri Light" w:eastAsia="SimSun" w:hAnsi="Calibri Light"/>
          <w:bCs/>
          <w:color w:val="5B9BD5"/>
          <w:sz w:val="24"/>
          <w:szCs w:val="24"/>
        </w:rPr>
        <w:t xml:space="preserve">EU </w:t>
      </w:r>
      <w:proofErr w:type="spellStart"/>
      <w:r w:rsidRPr="00EC4659">
        <w:rPr>
          <w:rFonts w:ascii="Calibri Light" w:eastAsia="SimSun" w:hAnsi="Calibri Light"/>
          <w:bCs/>
          <w:color w:val="5B9BD5"/>
          <w:sz w:val="24"/>
          <w:szCs w:val="24"/>
        </w:rPr>
        <w:t>sheepmeat</w:t>
      </w:r>
      <w:proofErr w:type="spellEnd"/>
      <w:r w:rsidRPr="00EC4659">
        <w:rPr>
          <w:rFonts w:ascii="Calibri Light" w:eastAsia="SimSun" w:hAnsi="Calibri Light"/>
          <w:bCs/>
          <w:color w:val="5B9BD5"/>
          <w:sz w:val="24"/>
          <w:szCs w:val="24"/>
        </w:rPr>
        <w:t xml:space="preserve"> allocation system</w:t>
      </w:r>
      <w:bookmarkEnd w:id="168"/>
    </w:p>
    <w:p w14:paraId="10929C1E"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allocation system is proposed to remain relatively consistent with the status quo, with some changes to improve efficiency and clarity.  While it had been thought that Option 3 was offering greater benefits to the management of the quota, consultation feedback showed that the current system was better suited to how the industry and market operates and that overall the changes would only introduce a level of uncertainty.</w:t>
      </w:r>
    </w:p>
    <w:p w14:paraId="637BDD8C"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Allocations</w:t>
      </w:r>
    </w:p>
    <w:p w14:paraId="21EF3BF9"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Allocations would continue to be calculated based on 80 per cent exports under quota and on 20 per cent accredited exports (eligible meat through EU-accredited establishments).  The shipment history period used in the calculations would remain as one year, as agreed in consultation.</w:t>
      </w:r>
    </w:p>
    <w:p w14:paraId="71DC797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i/>
          <w:szCs w:val="22"/>
          <w:lang w:eastAsia="ja-JP"/>
        </w:rPr>
        <w:t>Minimum allocation</w:t>
      </w:r>
    </w:p>
    <w:p w14:paraId="322C213F"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The minimum allocation amount is proposed to remain as 12 tonnes, as a balance between limiting the number of very small allocations while still catering for new entrants in the process of building an allocation. </w:t>
      </w:r>
    </w:p>
    <w:p w14:paraId="62043A16"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Transfers</w:t>
      </w:r>
    </w:p>
    <w:p w14:paraId="573553C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Transfers would continue to be available prior to the reclaim date, however retained and reallocated quota would not be transferable.</w:t>
      </w:r>
    </w:p>
    <w:p w14:paraId="33DBE7D0"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Reclaim &amp; reallocation process</w:t>
      </w:r>
    </w:p>
    <w:p w14:paraId="1658ED55"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option proposes to conduct a reclaim process 10 months into the quota year.  Quota holders would be able to return unused quota prior to the reclaim date without incurring a penalty.  They would also be able to retain their unused quota allocations.</w:t>
      </w:r>
    </w:p>
    <w:p w14:paraId="6C959664" w14:textId="77777777" w:rsidR="00EC4659" w:rsidRPr="00EC4659" w:rsidRDefault="00EC4659" w:rsidP="00EC4659">
      <w:pPr>
        <w:keepNext/>
        <w:spacing w:after="120" w:line="259" w:lineRule="auto"/>
        <w:rPr>
          <w:rFonts w:ascii="Calibri" w:hAnsi="Calibri"/>
          <w:szCs w:val="22"/>
          <w:lang w:eastAsia="ja-JP"/>
        </w:rPr>
      </w:pPr>
      <w:r w:rsidRPr="00EC4659">
        <w:rPr>
          <w:rFonts w:ascii="Calibri" w:hAnsi="Calibri"/>
          <w:szCs w:val="22"/>
          <w:lang w:eastAsia="ja-JP"/>
        </w:rPr>
        <w:t>Additionally, exporters could request an additional volume of quota to be allocated to them.</w:t>
      </w:r>
    </w:p>
    <w:p w14:paraId="41B7633A" w14:textId="77777777" w:rsidR="00EC4659" w:rsidRPr="00EC4659" w:rsidRDefault="00EC4659" w:rsidP="000F6D46">
      <w:pPr>
        <w:numPr>
          <w:ilvl w:val="0"/>
          <w:numId w:val="93"/>
        </w:numPr>
        <w:spacing w:before="120" w:after="160" w:line="240" w:lineRule="auto"/>
        <w:contextualSpacing/>
        <w:rPr>
          <w:rFonts w:ascii="Calibri" w:hAnsi="Calibri"/>
          <w:szCs w:val="22"/>
          <w:lang w:eastAsia="ja-JP"/>
        </w:rPr>
      </w:pPr>
      <w:r w:rsidRPr="00EC4659">
        <w:rPr>
          <w:rFonts w:ascii="Calibri" w:hAnsi="Calibri"/>
          <w:szCs w:val="22"/>
          <w:lang w:eastAsia="ja-JP"/>
        </w:rPr>
        <w:t>If the available quota is more than the total amount requested applicants will receive their request amount.</w:t>
      </w:r>
    </w:p>
    <w:p w14:paraId="33668D4D" w14:textId="77777777" w:rsidR="00EC4659" w:rsidRPr="00EC4659" w:rsidRDefault="00EC4659" w:rsidP="000F6D46">
      <w:pPr>
        <w:numPr>
          <w:ilvl w:val="0"/>
          <w:numId w:val="93"/>
        </w:numPr>
        <w:spacing w:before="120" w:after="120" w:line="240" w:lineRule="auto"/>
        <w:contextualSpacing/>
        <w:rPr>
          <w:rFonts w:ascii="Calibri" w:hAnsi="Calibri"/>
          <w:szCs w:val="22"/>
          <w:lang w:eastAsia="ja-JP"/>
        </w:rPr>
      </w:pPr>
      <w:r w:rsidRPr="00EC4659">
        <w:rPr>
          <w:rFonts w:ascii="Calibri" w:hAnsi="Calibri"/>
          <w:szCs w:val="22"/>
          <w:lang w:eastAsia="ja-JP"/>
        </w:rPr>
        <w:lastRenderedPageBreak/>
        <w:t>If the available quota is less than the total amount requested the quota will be allocated proportionally across the applicants, using the same parameters as the initial allocations.</w:t>
      </w:r>
    </w:p>
    <w:p w14:paraId="004785AA" w14:textId="77777777" w:rsidR="00EC4659" w:rsidRPr="00EC4659" w:rsidRDefault="00EC4659" w:rsidP="00EC4659">
      <w:pPr>
        <w:spacing w:after="160" w:line="259" w:lineRule="auto"/>
        <w:rPr>
          <w:rFonts w:ascii="Calibri" w:hAnsi="Calibri"/>
          <w:szCs w:val="22"/>
          <w:lang w:eastAsia="ja-JP"/>
        </w:rPr>
      </w:pPr>
      <w:r w:rsidRPr="00EC4659">
        <w:rPr>
          <w:rFonts w:ascii="Calibri" w:hAnsi="Calibri"/>
          <w:szCs w:val="22"/>
          <w:lang w:eastAsia="ja-JP"/>
        </w:rPr>
        <w:t xml:space="preserve">Exporters would not be required to provide any consignment details for retained or reallocated quota.  </w:t>
      </w:r>
    </w:p>
    <w:p w14:paraId="52DF7132" w14:textId="77777777" w:rsidR="00EC4659" w:rsidRPr="00EC4659" w:rsidRDefault="00EC4659" w:rsidP="00EC4659">
      <w:pPr>
        <w:spacing w:after="120" w:line="259" w:lineRule="auto"/>
        <w:rPr>
          <w:rFonts w:ascii="Calibri" w:hAnsi="Calibri"/>
          <w:b/>
          <w:szCs w:val="22"/>
          <w:lang w:eastAsia="ja-JP"/>
        </w:rPr>
      </w:pPr>
      <w:r w:rsidRPr="00EC4659">
        <w:rPr>
          <w:rFonts w:ascii="Calibri" w:hAnsi="Calibri"/>
          <w:b/>
          <w:szCs w:val="22"/>
          <w:lang w:eastAsia="ja-JP"/>
        </w:rPr>
        <w:t>Penalties</w:t>
      </w:r>
    </w:p>
    <w:p w14:paraId="61066BF9"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Any unused volume would receive penalties.  Penalties would be a 1:1 ratio, applicable to the next year’s allocation.  Penalties would be applied where an exporter had used less than 90 per cent of their allocated quota six weeks from the end of the quota year (being aligned with the shipping year).</w:t>
      </w:r>
    </w:p>
    <w:p w14:paraId="4E690B65" w14:textId="77777777" w:rsidR="00EC4659" w:rsidRPr="00EC4659" w:rsidRDefault="00EC4659" w:rsidP="00EC4659">
      <w:pPr>
        <w:spacing w:after="160" w:line="259" w:lineRule="auto"/>
        <w:rPr>
          <w:rFonts w:ascii="Calibri" w:hAnsi="Calibri"/>
          <w:szCs w:val="22"/>
        </w:rPr>
      </w:pPr>
    </w:p>
    <w:p w14:paraId="2EE6F6A9" w14:textId="77777777" w:rsidR="00EC4659" w:rsidRPr="00EC4659" w:rsidRDefault="00EC4659" w:rsidP="00EC4659">
      <w:pPr>
        <w:spacing w:after="160" w:line="259" w:lineRule="auto"/>
        <w:rPr>
          <w:rFonts w:ascii="Calibri" w:hAnsi="Calibri"/>
          <w:szCs w:val="22"/>
        </w:rPr>
      </w:pPr>
    </w:p>
    <w:p w14:paraId="6D918A7B"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sectPr w:rsidR="00EC4659" w:rsidRPr="00EC4659" w:rsidSect="00EC4659">
          <w:pgSz w:w="11906" w:h="16838"/>
          <w:pgMar w:top="1440" w:right="1440" w:bottom="1135" w:left="1440" w:header="708" w:footer="708" w:gutter="0"/>
          <w:cols w:space="708"/>
          <w:docGrid w:linePitch="360"/>
        </w:sectPr>
      </w:pPr>
    </w:p>
    <w:p w14:paraId="037A8FC4"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pPr>
      <w:bookmarkStart w:id="169" w:name="_Toc27482961"/>
      <w:r w:rsidRPr="00EC4659">
        <w:rPr>
          <w:rFonts w:ascii="Calibri Light" w:eastAsia="SimSun" w:hAnsi="Calibri Light"/>
          <w:color w:val="2E74B5"/>
          <w:sz w:val="32"/>
          <w:szCs w:val="32"/>
        </w:rPr>
        <w:lastRenderedPageBreak/>
        <w:t>Consultation</w:t>
      </w:r>
      <w:bookmarkEnd w:id="169"/>
    </w:p>
    <w:p w14:paraId="0FEA0814"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department undertook a targeted consultation process in recognition of the well-defined business sectors directly affected by the proposed regulatory changes.  The department communicated directly with all stakeholders, inviting written responses to the Early Assessment RIS, and engaging stakeholders through planned teleconferences and face-to-face workshops held throughout the country.</w:t>
      </w:r>
    </w:p>
    <w:p w14:paraId="2044B1BF"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 revised option (Option 4) was developed based on what was learnt in consultation.  Additional Papers regarding this option were disseminated to stakeholders in order to receive additional feedback (see Appendix E for these Papers).  The formal consultation period ultimately ran for four and a half months to cater for all industries’ needs and ensure thorough feedback was gathered.  For full details regarding the consultation process and stakeholders engaged, please refer to Appendix A.</w:t>
      </w:r>
    </w:p>
    <w:p w14:paraId="0663B4FF"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The following section details the outcomes of the consultation process; the views of the stakeholders; the action taken to address concerns that were raised; and any concerns which did not reach a consensus position during consultation.</w:t>
      </w:r>
    </w:p>
    <w:p w14:paraId="3A234E7D" w14:textId="77777777" w:rsidR="00EC4659" w:rsidRPr="00EC4659" w:rsidRDefault="00EC4659" w:rsidP="000F6D46">
      <w:pPr>
        <w:keepNext/>
        <w:keepLines/>
        <w:numPr>
          <w:ilvl w:val="1"/>
          <w:numId w:val="72"/>
        </w:numPr>
        <w:spacing w:before="200" w:after="160" w:line="276" w:lineRule="auto"/>
        <w:outlineLvl w:val="1"/>
        <w:rPr>
          <w:rFonts w:ascii="Calibri Light" w:eastAsia="SimSun" w:hAnsi="Calibri Light"/>
          <w:b/>
          <w:bCs/>
          <w:color w:val="5B9BD5"/>
          <w:sz w:val="26"/>
          <w:szCs w:val="26"/>
        </w:rPr>
      </w:pPr>
      <w:bookmarkStart w:id="170" w:name="_Toc27482962"/>
      <w:r w:rsidRPr="00EC4659">
        <w:rPr>
          <w:rFonts w:ascii="Calibri Light" w:eastAsia="SimSun" w:hAnsi="Calibri Light"/>
          <w:b/>
          <w:bCs/>
          <w:color w:val="5B9BD5"/>
          <w:sz w:val="26"/>
          <w:szCs w:val="26"/>
        </w:rPr>
        <w:t>Outcomes of consultation</w:t>
      </w:r>
      <w:bookmarkEnd w:id="170"/>
    </w:p>
    <w:p w14:paraId="7786DF8F" w14:textId="77777777" w:rsidR="00EC4659" w:rsidRPr="00EC4659" w:rsidRDefault="00EC4659" w:rsidP="00463809">
      <w:pPr>
        <w:keepNext/>
        <w:keepLines/>
        <w:spacing w:before="120" w:after="160" w:line="259" w:lineRule="auto"/>
        <w:outlineLvl w:val="2"/>
        <w:rPr>
          <w:rFonts w:ascii="Calibri Light" w:eastAsia="SimSun" w:hAnsi="Calibri Light"/>
          <w:bCs/>
          <w:color w:val="5B9BD5"/>
          <w:sz w:val="24"/>
          <w:szCs w:val="24"/>
        </w:rPr>
      </w:pPr>
      <w:bookmarkStart w:id="171" w:name="_Toc27482963"/>
      <w:r w:rsidRPr="00EC4659">
        <w:rPr>
          <w:rFonts w:ascii="Calibri Light" w:eastAsia="SimSun" w:hAnsi="Calibri Light"/>
          <w:bCs/>
          <w:color w:val="5B9BD5"/>
          <w:sz w:val="24"/>
          <w:szCs w:val="24"/>
        </w:rPr>
        <w:t>General feedback</w:t>
      </w:r>
      <w:bookmarkEnd w:id="171"/>
    </w:p>
    <w:p w14:paraId="0C3B5C1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A range of general concerns were raised by stakeholders during consultation.  The Australian Meat Industry Council (AMIC) disagreed that the department was best placed to manage the TRQs and that they would prefer a statutory body.  </w:t>
      </w:r>
      <w:r w:rsidRPr="00EC4659">
        <w:rPr>
          <w:rFonts w:ascii="Calibri" w:hAnsi="Calibri"/>
          <w:szCs w:val="22"/>
          <w:lang w:eastAsia="ja-JP"/>
        </w:rPr>
        <w:t>T</w:t>
      </w:r>
      <w:r w:rsidRPr="00EC4659">
        <w:rPr>
          <w:rFonts w:ascii="Calibri" w:hAnsi="Calibri"/>
          <w:szCs w:val="22"/>
        </w:rPr>
        <w:t>he department acknowledges AMIC’s position but per the discussions in 2015, due to the legislative amendments that would have been required, a statutory authority model was not a viable option  and the ultimate position agreed by all peak industry bodies in 2015 was for the government to continue to manage TRQs.  This is reflected in Section 2.</w:t>
      </w:r>
    </w:p>
    <w:p w14:paraId="5C48FB5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Generally, stakeholders disagreed with the suggestion that greater consistency between quota management systems would be inherently beneficial across TRQs.  Feedback highlighted that many differences between TRQs were necessary due to differences between products and markets.  Specific examples are covered below.  The department acknowledged this feedback; as a result the problem definition was clarified and this approach informed the development of Option 4.  The department also refined examples given in the problem definition to better show which TRQs related to which elements of the problem.  This was in response to concerns that this had been too broadly stated.</w:t>
      </w:r>
    </w:p>
    <w:p w14:paraId="76DEB3F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AMIC raised concerns regarding the RIS process, particularly regarding the timing of consultation.  </w:t>
      </w:r>
      <w:r w:rsidRPr="00EC4659">
        <w:rPr>
          <w:rFonts w:ascii="Calibri" w:hAnsi="Calibri"/>
          <w:szCs w:val="22"/>
          <w:lang w:eastAsia="ja-JP"/>
        </w:rPr>
        <w:t>During consultation the department clarified that it was necessary to have options formulated to produce meaningful discussions, highlighting that no decisions had been made and all elements were open for discussion.  This approach is reflected in the ultimate development of a fourth option that has taken all consultation feedback into consideration.</w:t>
      </w:r>
    </w:p>
    <w:p w14:paraId="58AAB42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Additionally, during consultation and in their written submission, AMIC stated it considered at least 12 months’ notice is “essential” before any change to the existing allocation systems are made, to enable exporters to adjust their marketing programs. The department agreed that a 12 month transition time would be reasonable and could be catered for if required.</w:t>
      </w:r>
    </w:p>
    <w:p w14:paraId="27CE9A55" w14:textId="77777777" w:rsidR="00EC4659" w:rsidRPr="00EC4659" w:rsidRDefault="00EC4659" w:rsidP="00463809">
      <w:pPr>
        <w:keepNext/>
        <w:keepLines/>
        <w:spacing w:before="120" w:after="160" w:line="259" w:lineRule="auto"/>
        <w:outlineLvl w:val="2"/>
        <w:rPr>
          <w:rFonts w:ascii="Calibri Light" w:eastAsia="SimSun" w:hAnsi="Calibri Light"/>
          <w:bCs/>
          <w:color w:val="5B9BD5"/>
          <w:sz w:val="24"/>
          <w:szCs w:val="24"/>
        </w:rPr>
      </w:pPr>
      <w:bookmarkStart w:id="172" w:name="_Toc27482964"/>
      <w:r w:rsidRPr="00EC4659">
        <w:rPr>
          <w:rFonts w:ascii="Calibri Light" w:eastAsia="SimSun" w:hAnsi="Calibri Light"/>
          <w:bCs/>
          <w:color w:val="5B9BD5"/>
          <w:sz w:val="24"/>
          <w:szCs w:val="24"/>
        </w:rPr>
        <w:lastRenderedPageBreak/>
        <w:t>Option 1 – Status quo</w:t>
      </w:r>
      <w:bookmarkEnd w:id="172"/>
    </w:p>
    <w:p w14:paraId="3C037802"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Feedback regarding Japan EBO explained that while the quarterly FCFS system had originally been a compromise position, the system had resulted in effective outcomes, and there was not a desire to change.  This feedback contributed to the inclusion of the quarterly FCFS mechanism in Option 4.</w:t>
      </w:r>
    </w:p>
    <w:p w14:paraId="6C1FC95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In general, exporters of EU </w:t>
      </w:r>
      <w:proofErr w:type="spellStart"/>
      <w:r w:rsidRPr="00EC4659">
        <w:rPr>
          <w:rFonts w:ascii="Calibri" w:hAnsi="Calibri"/>
          <w:szCs w:val="22"/>
        </w:rPr>
        <w:t>sheepmeat</w:t>
      </w:r>
      <w:proofErr w:type="spellEnd"/>
      <w:r w:rsidRPr="00EC4659">
        <w:rPr>
          <w:rFonts w:ascii="Calibri" w:hAnsi="Calibri"/>
          <w:szCs w:val="22"/>
        </w:rPr>
        <w:t xml:space="preserve"> were supportive of the status quo.  The concerns raised regarding applying the other options to EU </w:t>
      </w:r>
      <w:proofErr w:type="spellStart"/>
      <w:r w:rsidRPr="00EC4659">
        <w:rPr>
          <w:rFonts w:ascii="Calibri" w:hAnsi="Calibri"/>
          <w:szCs w:val="22"/>
        </w:rPr>
        <w:t>sheepmeat</w:t>
      </w:r>
      <w:proofErr w:type="spellEnd"/>
      <w:r w:rsidRPr="00EC4659">
        <w:rPr>
          <w:rFonts w:ascii="Calibri" w:hAnsi="Calibri"/>
          <w:szCs w:val="22"/>
        </w:rPr>
        <w:t xml:space="preserve"> TRQ are captured under the relevant headings, below.</w:t>
      </w:r>
    </w:p>
    <w:p w14:paraId="1A7C7FBA" w14:textId="77777777" w:rsidR="00EC4659" w:rsidRPr="00EC4659" w:rsidRDefault="00EC4659" w:rsidP="00EC4659">
      <w:pPr>
        <w:spacing w:after="120" w:line="240" w:lineRule="auto"/>
        <w:rPr>
          <w:rFonts w:ascii="Calibri" w:hAnsi="Calibri"/>
          <w:szCs w:val="22"/>
        </w:rPr>
      </w:pPr>
      <w:r w:rsidRPr="00EC4659">
        <w:rPr>
          <w:rFonts w:ascii="Calibri" w:hAnsi="Calibri"/>
          <w:szCs w:val="22"/>
        </w:rPr>
        <w:t xml:space="preserve">EU </w:t>
      </w:r>
      <w:proofErr w:type="spellStart"/>
      <w:r w:rsidRPr="00EC4659">
        <w:rPr>
          <w:rFonts w:ascii="Calibri" w:hAnsi="Calibri"/>
          <w:szCs w:val="22"/>
        </w:rPr>
        <w:t>Sheepmeat</w:t>
      </w:r>
      <w:proofErr w:type="spellEnd"/>
      <w:r w:rsidRPr="00EC4659">
        <w:rPr>
          <w:rFonts w:ascii="Calibri" w:hAnsi="Calibri"/>
          <w:szCs w:val="22"/>
        </w:rPr>
        <w:t xml:space="preserve"> exporters raised concerns about having to provide consignment information to retain quota entitlements.  This information is difficult to provide accurately, and there was concern it can lead to exporters intentionally providing later shipment details.  </w:t>
      </w:r>
      <w:proofErr w:type="spellStart"/>
      <w:r w:rsidRPr="00EC4659">
        <w:rPr>
          <w:rFonts w:ascii="Calibri" w:hAnsi="Calibri"/>
          <w:szCs w:val="22"/>
        </w:rPr>
        <w:t>Sheepmeat</w:t>
      </w:r>
      <w:proofErr w:type="spellEnd"/>
      <w:r w:rsidRPr="00EC4659">
        <w:rPr>
          <w:rFonts w:ascii="Calibri" w:hAnsi="Calibri"/>
          <w:szCs w:val="22"/>
        </w:rPr>
        <w:t xml:space="preserve"> exporters indicated they wanted the department to be able to apply discretion not to reclaim entitlements if shipment dates changed.  The department explained that discretionary decision making was not favoured, and that a more flexible approach would be replacing the requirement with penalties to manage exporter behaviour.  This was included in Option 4.</w:t>
      </w:r>
    </w:p>
    <w:p w14:paraId="353CCA21" w14:textId="77777777" w:rsidR="00EC4659" w:rsidRPr="00EC4659" w:rsidRDefault="00EC4659" w:rsidP="00EC4659">
      <w:pPr>
        <w:spacing w:after="120" w:line="240" w:lineRule="auto"/>
        <w:rPr>
          <w:rFonts w:ascii="Calibri" w:hAnsi="Calibri"/>
          <w:szCs w:val="22"/>
        </w:rPr>
      </w:pPr>
      <w:r w:rsidRPr="00EC4659">
        <w:rPr>
          <w:rFonts w:ascii="Calibri" w:hAnsi="Calibri"/>
          <w:szCs w:val="22"/>
        </w:rPr>
        <w:t xml:space="preserve">A second issue was that after the reclaim process additional quota can only be accessed via FCFS.  A </w:t>
      </w:r>
      <w:proofErr w:type="spellStart"/>
      <w:r w:rsidRPr="00EC4659">
        <w:rPr>
          <w:rFonts w:ascii="Calibri" w:hAnsi="Calibri"/>
          <w:szCs w:val="22"/>
        </w:rPr>
        <w:t>sheepmeat</w:t>
      </w:r>
      <w:proofErr w:type="spellEnd"/>
      <w:r w:rsidRPr="00EC4659">
        <w:rPr>
          <w:rFonts w:ascii="Calibri" w:hAnsi="Calibri"/>
          <w:szCs w:val="22"/>
        </w:rPr>
        <w:t xml:space="preserve"> exporter described this as lacking certainty, stating that they ‘won’t put it in a container unless they’re sure [that they can access quota]’.  This was acknowledged and also included in Option 4.</w:t>
      </w:r>
    </w:p>
    <w:p w14:paraId="7823195E" w14:textId="77777777" w:rsidR="00EC4659" w:rsidRPr="00EC4659" w:rsidRDefault="00EC4659" w:rsidP="00EC4659">
      <w:pPr>
        <w:spacing w:after="120" w:line="240" w:lineRule="auto"/>
        <w:rPr>
          <w:rFonts w:ascii="Calibri" w:hAnsi="Calibri"/>
          <w:szCs w:val="22"/>
        </w:rPr>
      </w:pPr>
      <w:r w:rsidRPr="00EC4659">
        <w:rPr>
          <w:rFonts w:ascii="Calibri" w:hAnsi="Calibri"/>
          <w:szCs w:val="22"/>
        </w:rPr>
        <w:t xml:space="preserve">A </w:t>
      </w:r>
      <w:proofErr w:type="spellStart"/>
      <w:r w:rsidRPr="00EC4659">
        <w:rPr>
          <w:rFonts w:ascii="Calibri" w:hAnsi="Calibri"/>
          <w:szCs w:val="22"/>
        </w:rPr>
        <w:t>sheepmeat</w:t>
      </w:r>
      <w:proofErr w:type="spellEnd"/>
      <w:r w:rsidRPr="00EC4659">
        <w:rPr>
          <w:rFonts w:ascii="Calibri" w:hAnsi="Calibri"/>
          <w:szCs w:val="22"/>
        </w:rPr>
        <w:t xml:space="preserve"> exporter also advised that they believed the timing of quota return for EU </w:t>
      </w:r>
      <w:proofErr w:type="spellStart"/>
      <w:r w:rsidRPr="00EC4659">
        <w:rPr>
          <w:rFonts w:ascii="Calibri" w:hAnsi="Calibri"/>
          <w:szCs w:val="22"/>
        </w:rPr>
        <w:t>sheepmeat</w:t>
      </w:r>
      <w:proofErr w:type="spellEnd"/>
      <w:r w:rsidRPr="00EC4659">
        <w:rPr>
          <w:rFonts w:ascii="Calibri" w:hAnsi="Calibri"/>
          <w:szCs w:val="22"/>
        </w:rPr>
        <w:t xml:space="preserve"> (being 2 months) lacked time to effectively respond and use the remaining quota.  Opinions differed regarding this timeframe.  Other exporters believed that extending this timeframe to three months would result in a higher level of forecast uncertainty, and that given the importance of the Christmas period for exports this created greater risks.  As more stakeholders favoured remaining with two months, this was not changed in developing Option 4.</w:t>
      </w:r>
    </w:p>
    <w:p w14:paraId="759132FE" w14:textId="77777777" w:rsidR="00EC4659" w:rsidRPr="00EC4659" w:rsidRDefault="00EC4659" w:rsidP="00EC4659">
      <w:pPr>
        <w:spacing w:after="120" w:line="240" w:lineRule="auto"/>
        <w:rPr>
          <w:rFonts w:ascii="Calibri" w:hAnsi="Calibri"/>
          <w:szCs w:val="22"/>
        </w:rPr>
      </w:pPr>
      <w:r w:rsidRPr="00EC4659">
        <w:rPr>
          <w:rFonts w:ascii="Calibri" w:hAnsi="Calibri"/>
          <w:szCs w:val="22"/>
        </w:rPr>
        <w:t>A honey exporter raised concerns regarding the application of FCFS to the Japan honey TRQ.  Due to its small size and high demand, the TRQ is being fully utilised very early in the quota year.  The potential to apply an allocation mechanism is covered under Option 3, below.</w:t>
      </w:r>
    </w:p>
    <w:p w14:paraId="5E5E2040"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73" w:name="_Toc27482965"/>
      <w:r w:rsidRPr="00EC4659">
        <w:rPr>
          <w:rFonts w:ascii="Calibri Light" w:eastAsia="SimSun" w:hAnsi="Calibri Light"/>
          <w:bCs/>
          <w:color w:val="5B9BD5"/>
          <w:sz w:val="24"/>
          <w:szCs w:val="24"/>
        </w:rPr>
        <w:t>Option 2 – First come, first served</w:t>
      </w:r>
      <w:bookmarkEnd w:id="173"/>
    </w:p>
    <w:p w14:paraId="5C08195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There was a consensus across stakeholders that Option 2 was unworkable under conditions where demand for quota exceeds supply.  This includes EU HQB and EU </w:t>
      </w:r>
      <w:proofErr w:type="spellStart"/>
      <w:r w:rsidRPr="00EC4659">
        <w:rPr>
          <w:rFonts w:ascii="Calibri" w:hAnsi="Calibri"/>
          <w:szCs w:val="22"/>
        </w:rPr>
        <w:t>sheepmeat</w:t>
      </w:r>
      <w:proofErr w:type="spellEnd"/>
      <w:r w:rsidRPr="00EC4659">
        <w:rPr>
          <w:rFonts w:ascii="Calibri" w:hAnsi="Calibri"/>
          <w:szCs w:val="22"/>
        </w:rPr>
        <w:t xml:space="preserve">.  Stakeholders for the meat industry indicated this is preferable for the remaining JAEPA TRQs, noting that this currently applies under the status quo and is an available system under Option 3.  ADPF and Dairy Australia indicated support for a FCFS option for 17 of the 19 dairy TRQs, but also acknowledged that this system was available under Option 3.  </w:t>
      </w:r>
    </w:p>
    <w:p w14:paraId="3DC0A2CD" w14:textId="77777777" w:rsidR="00EC4659" w:rsidRPr="00EC4659" w:rsidRDefault="00EC4659" w:rsidP="00463809">
      <w:pPr>
        <w:keepNext/>
        <w:keepLines/>
        <w:spacing w:before="40" w:after="120" w:line="259" w:lineRule="auto"/>
        <w:outlineLvl w:val="2"/>
        <w:rPr>
          <w:rFonts w:ascii="Calibri Light" w:eastAsia="SimSun" w:hAnsi="Calibri Light"/>
          <w:bCs/>
          <w:color w:val="5B9BD5"/>
          <w:sz w:val="24"/>
          <w:szCs w:val="24"/>
        </w:rPr>
      </w:pPr>
      <w:bookmarkStart w:id="174" w:name="_Toc27482966"/>
      <w:r w:rsidRPr="00EC4659">
        <w:rPr>
          <w:rFonts w:ascii="Calibri Light" w:eastAsia="SimSun" w:hAnsi="Calibri Light"/>
          <w:bCs/>
          <w:color w:val="5B9BD5"/>
          <w:sz w:val="24"/>
          <w:szCs w:val="24"/>
        </w:rPr>
        <w:t>Option 3 – Tiered management system</w:t>
      </w:r>
      <w:bookmarkEnd w:id="174"/>
    </w:p>
    <w:p w14:paraId="223272E8" w14:textId="77777777" w:rsidR="00EC4659" w:rsidRPr="00EC4659" w:rsidRDefault="00EC4659" w:rsidP="00EC4659">
      <w:pPr>
        <w:spacing w:after="120" w:line="259" w:lineRule="auto"/>
        <w:rPr>
          <w:rFonts w:ascii="Calibri" w:hAnsi="Calibri"/>
          <w:szCs w:val="22"/>
        </w:rPr>
      </w:pPr>
      <w:r w:rsidRPr="00EC4659">
        <w:rPr>
          <w:rFonts w:ascii="Calibri" w:hAnsi="Calibri"/>
          <w:b/>
          <w:szCs w:val="22"/>
        </w:rPr>
        <w:t>Mechanism 1 – Low quota utilisation market allocation process (FCFS)</w:t>
      </w:r>
    </w:p>
    <w:p w14:paraId="046EFF5C" w14:textId="77777777" w:rsidR="00EC4659" w:rsidRPr="00EC4659" w:rsidRDefault="00EC4659" w:rsidP="00EC4659">
      <w:pPr>
        <w:spacing w:after="120" w:line="240" w:lineRule="auto"/>
        <w:rPr>
          <w:rFonts w:ascii="Calibri" w:hAnsi="Calibri"/>
          <w:szCs w:val="22"/>
        </w:rPr>
      </w:pPr>
      <w:r w:rsidRPr="00EC4659">
        <w:rPr>
          <w:rFonts w:ascii="Calibri" w:hAnsi="Calibri"/>
          <w:szCs w:val="22"/>
          <w:lang w:eastAsia="ja-JP"/>
        </w:rPr>
        <w:t>There was general agreement that a FCFS mechanism is an appropriate option for many TRQs, best applied to TRQs that will not be fully utilised.  The department recommended this apply to six of the eight JAEPA TRQs and 17 of the 19 dairy TRQs.</w:t>
      </w:r>
    </w:p>
    <w:p w14:paraId="31470E11" w14:textId="77777777" w:rsidR="00EC4659" w:rsidRPr="00EC4659" w:rsidRDefault="00EC4659" w:rsidP="00EC4659">
      <w:pPr>
        <w:spacing w:after="120" w:line="259" w:lineRule="auto"/>
        <w:rPr>
          <w:rFonts w:ascii="Calibri" w:hAnsi="Calibri"/>
          <w:szCs w:val="22"/>
        </w:rPr>
      </w:pPr>
      <w:r w:rsidRPr="00EC4659">
        <w:rPr>
          <w:rFonts w:ascii="Calibri" w:hAnsi="Calibri"/>
          <w:b/>
          <w:szCs w:val="22"/>
        </w:rPr>
        <w:t>Mechanism 2 – Medium quota utilisation market allocation process (FCFS with trigger point)</w:t>
      </w:r>
    </w:p>
    <w:p w14:paraId="0DF36B0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It was viewed by exporters that definitions of thresholds (for example setting the US beef trigger as 85 per cent by nine months) should be specific to each TRQ and that the department should work with each sector to this end.  As US beef is the only existing TRQ using this mechanism, this would be a consideration for any future TRQs.</w:t>
      </w:r>
    </w:p>
    <w:p w14:paraId="4E5CF47B" w14:textId="77777777" w:rsidR="00EC4659" w:rsidRPr="00EC4659" w:rsidRDefault="00EC4659" w:rsidP="00EC4659">
      <w:pPr>
        <w:spacing w:after="120" w:line="259" w:lineRule="auto"/>
        <w:rPr>
          <w:rFonts w:ascii="Calibri" w:hAnsi="Calibri"/>
          <w:szCs w:val="22"/>
        </w:rPr>
      </w:pPr>
      <w:r w:rsidRPr="00EC4659">
        <w:rPr>
          <w:rFonts w:ascii="Calibri" w:hAnsi="Calibri"/>
          <w:szCs w:val="22"/>
        </w:rPr>
        <w:lastRenderedPageBreak/>
        <w:t>AMIC expressed the view that following a trigger, entitlements should not be allocated to new entrants; if new entrants had shipped in the two previous years they would already have performance so would receive an allocation.  Additionally, new entrants were already able to access quota during the year as 85 per cent had been available as first come, first served.  Participants, including the department, viewed this as a valid assessment, and the approach was applied for Option 4.</w:t>
      </w:r>
    </w:p>
    <w:p w14:paraId="5F1BFAD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Meat exporters raised concerns with the proposal to require exporters to specify volumes when applying for a post-trigger entitlement.  They viewed it as extremely likely that the combined request amount would exceed the available quota amount, making the request redundant (as allocations would revert to proportional distribution).  Additionally, as this would mean exporters would be unlikely to receive their request amount, the rationale for not allowing transfers no longer applies.  The department acknowledged this line of argument, and included this alternative proposal in Option 4.</w:t>
      </w:r>
    </w:p>
    <w:p w14:paraId="4F72A9A6" w14:textId="77777777" w:rsidR="00EC4659" w:rsidRPr="00EC4659" w:rsidRDefault="00EC4659" w:rsidP="00EC4659">
      <w:pPr>
        <w:spacing w:after="120" w:line="259" w:lineRule="auto"/>
        <w:rPr>
          <w:rFonts w:ascii="Calibri" w:hAnsi="Calibri"/>
          <w:b/>
          <w:szCs w:val="22"/>
        </w:rPr>
      </w:pPr>
      <w:r w:rsidRPr="00EC4659">
        <w:rPr>
          <w:rFonts w:ascii="Calibri" w:hAnsi="Calibri"/>
          <w:b/>
          <w:szCs w:val="22"/>
        </w:rPr>
        <w:t>Mechanism 3 – High quota utilisation market allocation process</w:t>
      </w:r>
    </w:p>
    <w:p w14:paraId="7CE3313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Meat and dairy stakeholders highlighted the need for case-by-case discussions on the allocation process between the department and each sector due to sectors and markets operating differently.  During the first round of consultation, dairy industry representatives reserved their position on any change from current allocations pending further industry discussions and consultation (this is provided for in the summary of the second round of consultation, being Option 4, below).  Nonetheless a dairy exporter pointed out that the dairy industry situation surrounding manufacturers versus non-manufacturers had significantly changed in the last 15 years.  They explained that non-manufacturer exporters played a valuable role in the export supply chain, and that it was no longer justified to exclude non-manufacturers from receiving allocations.  Several other dairy industry participants agreed with this.</w:t>
      </w:r>
    </w:p>
    <w:p w14:paraId="32E360F2"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Stakeholders preferred that almost all timeframes, including the shipping histories used for allocation calculations, were TRQ-specific.  This has been taken into consideration and is encompassed in the problem definition.</w:t>
      </w:r>
    </w:p>
    <w:p w14:paraId="580B01A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rPr>
        <w:t>Meat exporters advised that an allocation system compared to a FCFS system for Japan EBO would not be more beneficial.  They explained that being a commodity market, the more flexible access granted from a FCFS system was better than an allocation.  The department took this into consideration in developing the revised option.</w:t>
      </w:r>
    </w:p>
    <w:p w14:paraId="394B2010"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 xml:space="preserve">A constant theme of the consultation was the importance of treating TRQs separately.  Dairy stakeholders agreed that market diversification was not a relevant consideration for the dairy sector regarding TRQs.  As such there are no benefits for the dairy industry to retain global shipment volumes in their allocation calculations.  This is distinct from the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industry, discussed below.</w:t>
      </w:r>
    </w:p>
    <w:p w14:paraId="1219C8B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Exporters using EU </w:t>
      </w:r>
      <w:proofErr w:type="spellStart"/>
      <w:r w:rsidRPr="00EC4659">
        <w:rPr>
          <w:rFonts w:ascii="Calibri" w:hAnsi="Calibri"/>
          <w:szCs w:val="22"/>
        </w:rPr>
        <w:t>sheepmeat</w:t>
      </w:r>
      <w:proofErr w:type="spellEnd"/>
      <w:r w:rsidRPr="00EC4659">
        <w:rPr>
          <w:rFonts w:ascii="Calibri" w:hAnsi="Calibri"/>
          <w:szCs w:val="22"/>
        </w:rPr>
        <w:t xml:space="preserve"> quota expressed a range of concerns regarding the changed allocation mechanism.</w:t>
      </w:r>
    </w:p>
    <w:p w14:paraId="023642EB"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80:20 allocation mechanism, in conjunction with performance accounts, allows EU-accredited establishments to receive quota entitlements, even when they have not been the exporter.  The department had viewed this as an inefficiency, however industry stakeholders explained that this should be viewed as reward for investment in EU accreditation.  The proposed mechanism under Option 3 would not allow this to occur, and as a result would remove a significant incentive.  The flow on would be fewer establishments willing to gain EU accreditation which would be to the detriment of market access for exporters.  The industry position included support from attending </w:t>
      </w:r>
      <w:r w:rsidRPr="00EC4659">
        <w:rPr>
          <w:rFonts w:ascii="Calibri" w:hAnsi="Calibri"/>
          <w:szCs w:val="22"/>
        </w:rPr>
        <w:lastRenderedPageBreak/>
        <w:t xml:space="preserve">non-packer exporters who are most impacted by the current arrangements.  That they are supportive of these arrangements, despite it reducing their potential quota entitlement, was considered important by the department.  </w:t>
      </w:r>
    </w:p>
    <w:p w14:paraId="76B1DF7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Similarly, </w:t>
      </w:r>
      <w:proofErr w:type="spellStart"/>
      <w:r w:rsidRPr="00EC4659">
        <w:rPr>
          <w:rFonts w:ascii="Calibri" w:hAnsi="Calibri"/>
          <w:szCs w:val="22"/>
        </w:rPr>
        <w:t>sheepmeat</w:t>
      </w:r>
      <w:proofErr w:type="spellEnd"/>
      <w:r w:rsidRPr="00EC4659">
        <w:rPr>
          <w:rFonts w:ascii="Calibri" w:hAnsi="Calibri"/>
          <w:szCs w:val="22"/>
        </w:rPr>
        <w:t xml:space="preserve"> exporters expressed concern with the combined impact of restricting transfers and removing performance accounts.  They explained that transfers were more often linked to repaying commercial lending agreements between parties and that lending and transfers were integral for this sector of the industry to maximise their returns:</w:t>
      </w:r>
    </w:p>
    <w:p w14:paraId="20D633D2" w14:textId="77777777" w:rsidR="00EC4659" w:rsidRPr="00EC4659" w:rsidRDefault="00EC4659" w:rsidP="000F6D46">
      <w:pPr>
        <w:numPr>
          <w:ilvl w:val="0"/>
          <w:numId w:val="95"/>
        </w:numPr>
        <w:spacing w:after="160" w:line="240" w:lineRule="auto"/>
        <w:ind w:left="567"/>
        <w:contextualSpacing/>
        <w:rPr>
          <w:rFonts w:ascii="Calibri" w:hAnsi="Calibri"/>
          <w:szCs w:val="22"/>
        </w:rPr>
      </w:pPr>
      <w:r w:rsidRPr="00EC4659">
        <w:rPr>
          <w:rFonts w:ascii="Calibri" w:hAnsi="Calibri"/>
          <w:szCs w:val="22"/>
        </w:rPr>
        <w:t xml:space="preserve">A </w:t>
      </w:r>
      <w:proofErr w:type="spellStart"/>
      <w:r w:rsidRPr="00EC4659">
        <w:rPr>
          <w:rFonts w:ascii="Calibri" w:hAnsi="Calibri"/>
          <w:szCs w:val="22"/>
        </w:rPr>
        <w:t>sheepmeat</w:t>
      </w:r>
      <w:proofErr w:type="spellEnd"/>
      <w:r w:rsidRPr="00EC4659">
        <w:rPr>
          <w:rFonts w:ascii="Calibri" w:hAnsi="Calibri"/>
          <w:szCs w:val="22"/>
        </w:rPr>
        <w:t xml:space="preserve"> exporter may hold quota but have the opportunity to gain greater value exporting their product to another market.  The exporter can provide another exporter with the quota on the basis of returning it the next year (effectively lending).  The result is two exported shipments, maximising value for Australian exports, and the exporter knowing they have maintained their quota access.</w:t>
      </w:r>
    </w:p>
    <w:p w14:paraId="548EBF34" w14:textId="77777777" w:rsidR="00EC4659" w:rsidRPr="00EC4659" w:rsidRDefault="00EC4659" w:rsidP="000F6D46">
      <w:pPr>
        <w:numPr>
          <w:ilvl w:val="0"/>
          <w:numId w:val="95"/>
        </w:numPr>
        <w:spacing w:after="160" w:line="240" w:lineRule="auto"/>
        <w:ind w:left="567"/>
        <w:contextualSpacing/>
        <w:rPr>
          <w:rFonts w:ascii="Calibri" w:hAnsi="Calibri"/>
          <w:szCs w:val="22"/>
        </w:rPr>
      </w:pPr>
      <w:r w:rsidRPr="00EC4659">
        <w:rPr>
          <w:rFonts w:ascii="Calibri" w:hAnsi="Calibri"/>
          <w:szCs w:val="22"/>
        </w:rPr>
        <w:t xml:space="preserve">If the </w:t>
      </w:r>
      <w:proofErr w:type="spellStart"/>
      <w:r w:rsidRPr="00EC4659">
        <w:rPr>
          <w:rFonts w:ascii="Calibri" w:hAnsi="Calibri"/>
          <w:szCs w:val="22"/>
        </w:rPr>
        <w:t>sheepmeat</w:t>
      </w:r>
      <w:proofErr w:type="spellEnd"/>
      <w:r w:rsidRPr="00EC4659">
        <w:rPr>
          <w:rFonts w:ascii="Calibri" w:hAnsi="Calibri"/>
          <w:szCs w:val="22"/>
        </w:rPr>
        <w:t xml:space="preserve"> exporter had not been able to lend the quota to another, the most likely outcome would have been them sending their product under quota instead, due to the importance of maintaining their quota access.  The result is a reduced return for the exporter, and the other exporter being unable to send their shipment.</w:t>
      </w:r>
    </w:p>
    <w:p w14:paraId="034A056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Additionally, it was explained that being able to transfer on a lends-basis protected businesses from unforeseen circumstance, for example a temporary plant shut down.  Removing this protection was a concern.</w:t>
      </w:r>
    </w:p>
    <w:p w14:paraId="49BE469D"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Both of the above issues would impact on exporters’ ability and incentive to diversify exports across markets, which stakeholders advised was an important aspect of the </w:t>
      </w:r>
      <w:proofErr w:type="spellStart"/>
      <w:r w:rsidRPr="00EC4659">
        <w:rPr>
          <w:rFonts w:ascii="Calibri" w:hAnsi="Calibri"/>
          <w:szCs w:val="22"/>
        </w:rPr>
        <w:t>sheepmeat</w:t>
      </w:r>
      <w:proofErr w:type="spellEnd"/>
      <w:r w:rsidRPr="00EC4659">
        <w:rPr>
          <w:rFonts w:ascii="Calibri" w:hAnsi="Calibri"/>
          <w:szCs w:val="22"/>
        </w:rPr>
        <w:t xml:space="preserve"> industry.  Diversification helps to reduce the distortionary effect that the quota can have on the market.</w:t>
      </w:r>
    </w:p>
    <w:p w14:paraId="23A7DB1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While the Option 3 new entrant process would give new entrants of EU </w:t>
      </w:r>
      <w:proofErr w:type="spellStart"/>
      <w:r w:rsidRPr="00EC4659">
        <w:rPr>
          <w:rFonts w:ascii="Calibri" w:hAnsi="Calibri"/>
          <w:szCs w:val="22"/>
        </w:rPr>
        <w:t>sheepmeat</w:t>
      </w:r>
      <w:proofErr w:type="spellEnd"/>
      <w:r w:rsidRPr="00EC4659">
        <w:rPr>
          <w:rFonts w:ascii="Calibri" w:hAnsi="Calibri"/>
          <w:szCs w:val="22"/>
        </w:rPr>
        <w:t xml:space="preserve"> faster access, stakeholders expressed concern with the impact this process would have on exporters’ ability to build a quota allocation.  In its written submission AMIC provided a worked example to demonstrate this; Option 3’s new entrant process could allow an allocation of only 60 tonnes to have been built after five years, whereas the current system could result in over 400 tonnes. </w:t>
      </w:r>
    </w:p>
    <w:p w14:paraId="798CDAF7"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 xml:space="preserve">The department acknowledged that this information shows the current EU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system is delivering a range of benefits to the industry that outweigh the identified issues.  As changing the system would introduce a level of uncertainty for business, it may not justify the change proposed in Option 3.  More modest changes were discussed with the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sector to improve the existing system and have been included in Option 4.  </w:t>
      </w:r>
    </w:p>
    <w:p w14:paraId="2BB93F3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Views regarding the application of penalties differed.  A beef exporter believed that current penalty provisions do not go far enough to deter withholding of unwanted quota, to the detriment of other exporters.  They suggested a higher penalty ratio, as used in New Zealand for quotas, could improve outcomes.  Other meat exporters disagreed, suggesting that in most cases unused quota indicated a lack of value for the entitlement at the time, due to the absence of a sufficient price premium in the controlled market to offset export costs.  They viewed penalty provisions as inefficient as they can actually encourage exports into the market despite a price premium not existing, simply to avoid penalties.</w:t>
      </w:r>
    </w:p>
    <w:p w14:paraId="7CBB538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department was able to provide examples where penalty provisions had not applied and exporters had held a quota allocation and did not use it, despite demand existing from others.  This did not support the broader industry position regarding demand, therefore the department’s view remains that penalties should be used to discourage exporters withholding quota.  However, the department does not see value in increasing the penalty ratio as this could begin to have a more negative impact on exporters than is justified.</w:t>
      </w:r>
    </w:p>
    <w:p w14:paraId="398082D7" w14:textId="77777777" w:rsidR="00EC4659" w:rsidRPr="00EC4659" w:rsidRDefault="00EC4659" w:rsidP="00EC4659">
      <w:pPr>
        <w:spacing w:after="120" w:line="259" w:lineRule="auto"/>
        <w:rPr>
          <w:rFonts w:ascii="Calibri" w:hAnsi="Calibri"/>
          <w:szCs w:val="22"/>
        </w:rPr>
      </w:pPr>
      <w:r w:rsidRPr="00EC4659">
        <w:rPr>
          <w:rFonts w:ascii="Calibri" w:hAnsi="Calibri"/>
          <w:szCs w:val="22"/>
        </w:rPr>
        <w:lastRenderedPageBreak/>
        <w:t xml:space="preserve">Some concerns were raised regarding the new entrant provision.  There was concern that under the FCFS proposal, once the access amount is reduced there may be too great a risk in preparing consignments, and therefore the access amount would not be reached.  An alternative approach was proposed, whereby a form of pre-RFP reservation could be used to remove this risk.  The department explained that a reservation scheme had already been extensively investigated as part of the current IT system upgrade and that it was unworkable.  The department acknowledged the risk raised, but explained that it was a necessary balance to improve access.  Additionally, the reallocation process helps resolve the problem.  </w:t>
      </w:r>
    </w:p>
    <w:p w14:paraId="1228447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Regarding EU HQB, meat exporters raised that the 36 tonne cap per exporter was not a viable amount and that this was the greatest contributor to underutilisation by new entrants.  On this basis the department decided to increase the new entrant cap to ensure viability.  Some meat industry stakeholders were concerned that this would lead to speculation and larger companies trying to take advantage of this.  The department does not view this as likely due to FCFS only be available once a completed RFP has been received, and the fact that the system already has a process in place to prevent related entities accessing quota as a new entrant.</w:t>
      </w:r>
    </w:p>
    <w:p w14:paraId="2DD6E18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Another alternative was proposed for the new entrant process.  A meat exporter suggested that a previous system whereby new entrants supply market plans for the department to assess and determine who should receive quota should be used.  The department advised that this has significant issues regarding timing, the level of discretion having to be applied, a lack of expertise to complete such assessments, and the increase in regulatory burden.  </w:t>
      </w:r>
    </w:p>
    <w:p w14:paraId="27967AD1"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Overall stakeholders recognised the need for a new entrant allocation but there was little enthusiasm for it and a desire to limit its impact.  As there is a level of vested interest involved, the department has taken a measured view of feedback.</w:t>
      </w:r>
      <w:r w:rsidRPr="00EC4659">
        <w:rPr>
          <w:rFonts w:ascii="Calibri" w:hAnsi="Calibri"/>
          <w:szCs w:val="22"/>
          <w:lang w:eastAsia="ja-JP"/>
        </w:rPr>
        <w:t xml:space="preserve"> Consultation demonstrated that regardless of the new entrant process adopted there would be disadvantages involved.  Adjustments were made to the new entrant allocation process in Option 4 to reduce opportunities for misuse.</w:t>
      </w:r>
    </w:p>
    <w:p w14:paraId="52F2730D"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When the department raised that the current EU HQB model lacked a true FCFS process, stakeholders advised that it had been their expectation that the system should have included the process originally.  Stakeholders supported including the process, as well as the proposal to amend legislative language to make these processes clearer.</w:t>
      </w:r>
    </w:p>
    <w:p w14:paraId="3A348C5F" w14:textId="77777777" w:rsidR="00EC4659" w:rsidRPr="00EC4659" w:rsidRDefault="00EC4659" w:rsidP="00EC4659">
      <w:pPr>
        <w:spacing w:after="120" w:line="240" w:lineRule="auto"/>
        <w:rPr>
          <w:rFonts w:ascii="Calibri" w:hAnsi="Calibri"/>
          <w:szCs w:val="22"/>
        </w:rPr>
      </w:pPr>
      <w:r w:rsidRPr="00EC4659">
        <w:rPr>
          <w:rFonts w:ascii="Calibri" w:hAnsi="Calibri"/>
          <w:szCs w:val="22"/>
        </w:rPr>
        <w:t>Regarding the Japan honey TRQ, there was discussion on the potential merits of allocating the quota.  While having an allocation was desirable, there were concerns with limitations in the size of the allocations exporters could expect, given the small volume of the total quota.</w:t>
      </w:r>
    </w:p>
    <w:p w14:paraId="0CF9D967"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75" w:name="_Toc27482967"/>
      <w:r w:rsidRPr="00EC4659">
        <w:rPr>
          <w:rFonts w:ascii="Calibri Light" w:eastAsia="SimSun" w:hAnsi="Calibri Light"/>
          <w:bCs/>
          <w:color w:val="5B9BD5"/>
          <w:sz w:val="24"/>
          <w:szCs w:val="24"/>
        </w:rPr>
        <w:t>Option 4 – Industry-tailored tiered management system</w:t>
      </w:r>
      <w:bookmarkEnd w:id="175"/>
    </w:p>
    <w:p w14:paraId="6816036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Following the development and provision of papers explaining Option 4, stakeholders provided the department with feedback on the additional option.</w:t>
      </w:r>
    </w:p>
    <w:p w14:paraId="2F8E89F3" w14:textId="77777777" w:rsidR="00EC4659" w:rsidRPr="00EC4659" w:rsidRDefault="00EC4659" w:rsidP="00EC4659">
      <w:pPr>
        <w:spacing w:after="120" w:line="259" w:lineRule="auto"/>
        <w:rPr>
          <w:rFonts w:ascii="Calibri" w:hAnsi="Calibri"/>
          <w:szCs w:val="22"/>
        </w:rPr>
      </w:pPr>
      <w:r w:rsidRPr="00EC4659">
        <w:rPr>
          <w:rFonts w:ascii="Calibri" w:hAnsi="Calibri"/>
          <w:b/>
          <w:szCs w:val="22"/>
        </w:rPr>
        <w:t>First come first served</w:t>
      </w:r>
    </w:p>
    <w:p w14:paraId="0A4EF3D7"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dairy industry were supportive of changing 17 of the 19 dairy TRQs to a FCFS mechanism and the meat industry were supportive of the proposal to maintain Japan EBO operating under the Quarterly FCFS arrangements. This is a consensus from all parties.  </w:t>
      </w:r>
    </w:p>
    <w:p w14:paraId="11ED3A4D" w14:textId="77777777" w:rsidR="00EC4659" w:rsidRPr="00EC4659" w:rsidRDefault="00EC4659" w:rsidP="00EC4659">
      <w:pPr>
        <w:spacing w:after="120" w:line="259" w:lineRule="auto"/>
        <w:rPr>
          <w:rFonts w:ascii="Calibri" w:hAnsi="Calibri"/>
          <w:szCs w:val="22"/>
        </w:rPr>
      </w:pPr>
      <w:r w:rsidRPr="00EC4659">
        <w:rPr>
          <w:rFonts w:ascii="Calibri" w:hAnsi="Calibri"/>
          <w:b/>
          <w:szCs w:val="22"/>
        </w:rPr>
        <w:t>First come first served, with high fill trigger</w:t>
      </w:r>
    </w:p>
    <w:p w14:paraId="54E2627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meat industry were supportive of the proposal to allow transfers at any stage should allocations be made, and that no penalties would apply.  No concerns were raised by stakeholders.</w:t>
      </w:r>
    </w:p>
    <w:p w14:paraId="0BE8DF9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The dairy industry submission had stated that, should any dairy TRQs operate under this mechanism in future, they proposed an adjustment to the trigger point to eight months.  The department </w:t>
      </w:r>
      <w:r w:rsidRPr="00EC4659">
        <w:rPr>
          <w:rFonts w:ascii="Calibri" w:hAnsi="Calibri"/>
          <w:szCs w:val="22"/>
          <w:lang w:eastAsia="ja-JP"/>
        </w:rPr>
        <w:lastRenderedPageBreak/>
        <w:t>clarified this position, highlighting that this would actually reduce certainty given it would make it less likely that allocations were triggered, even when usage may be high.  On this basis industry agreed to remain with nine months should any dairy TRQs use this mechanism.</w:t>
      </w:r>
    </w:p>
    <w:p w14:paraId="7FD6E564" w14:textId="77777777" w:rsidR="00EC4659" w:rsidRPr="00EC4659" w:rsidRDefault="00EC4659" w:rsidP="00EC4659">
      <w:pPr>
        <w:keepNext/>
        <w:spacing w:after="120" w:line="259" w:lineRule="auto"/>
        <w:rPr>
          <w:rFonts w:ascii="Calibri" w:hAnsi="Calibri"/>
          <w:szCs w:val="22"/>
          <w:lang w:eastAsia="ja-JP"/>
        </w:rPr>
      </w:pPr>
      <w:r w:rsidRPr="00EC4659">
        <w:rPr>
          <w:rFonts w:ascii="Calibri" w:hAnsi="Calibri"/>
          <w:b/>
          <w:szCs w:val="22"/>
          <w:lang w:eastAsia="ja-JP"/>
        </w:rPr>
        <w:t>Rationalised allocation system</w:t>
      </w:r>
    </w:p>
    <w:p w14:paraId="722B3459"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Regarding eligibility rules for dairy TRQs, there were differing positions regarding the access to quota that non-manufacturers should have.  Earlier consultation showed support for non-manufacturer access, whereas the dairy industry submission proposed a cap on access</w:t>
      </w:r>
      <w:r w:rsidRPr="00EC4659">
        <w:rPr>
          <w:rFonts w:ascii="Calibri" w:hAnsi="Calibri"/>
          <w:szCs w:val="22"/>
          <w:vertAlign w:val="superscript"/>
          <w:lang w:eastAsia="ja-JP"/>
        </w:rPr>
        <w:footnoteReference w:id="10"/>
      </w:r>
      <w:r w:rsidRPr="00EC4659">
        <w:rPr>
          <w:rFonts w:ascii="Calibri" w:hAnsi="Calibri"/>
          <w:szCs w:val="22"/>
          <w:lang w:eastAsia="ja-JP"/>
        </w:rPr>
        <w:t>.  Clarification on this position</w:t>
      </w:r>
      <w:r w:rsidRPr="00EC4659">
        <w:rPr>
          <w:rFonts w:ascii="Calibri" w:hAnsi="Calibri"/>
          <w:szCs w:val="22"/>
          <w:vertAlign w:val="superscript"/>
          <w:lang w:eastAsia="ja-JP"/>
        </w:rPr>
        <w:footnoteReference w:id="11"/>
      </w:r>
      <w:r w:rsidRPr="00EC4659">
        <w:rPr>
          <w:rFonts w:ascii="Calibri" w:hAnsi="Calibri"/>
          <w:szCs w:val="22"/>
          <w:lang w:eastAsia="ja-JP"/>
        </w:rPr>
        <w:t xml:space="preserve"> detailed that this was a compromise; objection centred from manufacturers who face reduced quota access which led to the proposed access cap.  </w:t>
      </w:r>
    </w:p>
    <w:p w14:paraId="7E842075"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department does not consider this sufficient justification to limit access to some quota users.  Feedback during the consultation sessions established that changes in the industry meant that non-manufacturers play an integral role in dairy exports and as such should be provided with the same access to allocations.  Furthermore, providing an equal opportunity to access will allow quota entitlements to reflect performance. Therefore, despite some differing views, the department proposed that the rule should remain as open to any eligible exporters.</w:t>
      </w:r>
    </w:p>
    <w:p w14:paraId="2DDE188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Dairy stakeholders agreed with ceasing to use global shipments in allocation calculations.  Feedback detailed the market specialisation of smaller dairy manufacturers and trading houses as needing to be recognised and rewarded, given their contribution to maximising the returns to the dairy supply chain in Australia</w:t>
      </w:r>
      <w:r w:rsidRPr="00EC4659">
        <w:rPr>
          <w:rFonts w:ascii="Calibri" w:hAnsi="Calibri"/>
          <w:szCs w:val="22"/>
          <w:vertAlign w:val="superscript"/>
          <w:lang w:eastAsia="ja-JP"/>
        </w:rPr>
        <w:footnoteReference w:id="12"/>
      </w:r>
      <w:r w:rsidRPr="00EC4659">
        <w:rPr>
          <w:rFonts w:ascii="Calibri" w:hAnsi="Calibri"/>
          <w:szCs w:val="22"/>
          <w:lang w:eastAsia="ja-JP"/>
        </w:rPr>
        <w:t>.  The dairy industry also agreed in principle to change from using financial years to shipping years in calculations</w:t>
      </w:r>
      <w:r w:rsidRPr="00EC4659">
        <w:rPr>
          <w:rFonts w:ascii="Calibri" w:hAnsi="Calibri"/>
          <w:szCs w:val="22"/>
          <w:vertAlign w:val="superscript"/>
          <w:lang w:eastAsia="ja-JP"/>
        </w:rPr>
        <w:footnoteReference w:id="13"/>
      </w:r>
      <w:r w:rsidRPr="00EC4659">
        <w:rPr>
          <w:rFonts w:ascii="Calibri" w:hAnsi="Calibri"/>
          <w:szCs w:val="22"/>
          <w:lang w:eastAsia="ja-JP"/>
        </w:rPr>
        <w:t xml:space="preserve">.  </w:t>
      </w:r>
    </w:p>
    <w:p w14:paraId="3C5F957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rPr>
        <w:t xml:space="preserve">The AMIC submission on behalf of meat exporters expressed concern with the proposed new entrant process, believing the FCFS approach would encourage speculation.  They put forward </w:t>
      </w:r>
      <w:r w:rsidRPr="00EC4659">
        <w:rPr>
          <w:rFonts w:ascii="Calibri" w:hAnsi="Calibri"/>
          <w:szCs w:val="22"/>
          <w:lang w:eastAsia="ja-JP"/>
        </w:rPr>
        <w:t>alternative approaches believed to address their concerns</w:t>
      </w:r>
      <w:r w:rsidRPr="00EC4659">
        <w:rPr>
          <w:rFonts w:ascii="Calibri" w:hAnsi="Calibri"/>
          <w:szCs w:val="22"/>
          <w:vertAlign w:val="superscript"/>
          <w:lang w:eastAsia="ja-JP"/>
        </w:rPr>
        <w:footnoteReference w:id="14"/>
      </w:r>
      <w:r w:rsidRPr="00EC4659">
        <w:rPr>
          <w:rFonts w:ascii="Calibri" w:hAnsi="Calibri"/>
          <w:szCs w:val="22"/>
          <w:lang w:eastAsia="ja-JP"/>
        </w:rPr>
        <w:t xml:space="preserve">.  Regarding EU HQB, the submission proposed one system of allocation (similar to the existing system with further controls) allowing for a total of 100 tonnes over three years (averaging 33 tonnes per year).  </w:t>
      </w:r>
    </w:p>
    <w:p w14:paraId="39F4AB7A"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department’s view is that this fails to address other problems already raised.  It was already established that 36 tonnes per year is an unviable new entrant amount.  To ensure a fair system, new entrant access must be viable, otherwise it has the same effect as no access at all.  To consider the meat industry’s proposed system the access amount would have to be increased significantly.  However, it is extremely likely that increasing the access amount and maintaining an allocation process would increase speculation.  It is likely that most, if not all, of the set aside amount would become allocated but be unlikely to be used (as currently occurs).  This would not produce the outcome industry intended and does not address the risks raised by the department.</w:t>
      </w:r>
    </w:p>
    <w:p w14:paraId="7A632D3A"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t>The AMIC submission alternatively stated support for the FCFS approach if allocations remained at 12 tonnes.  As stated above, this amount is unviable and therefore cannot be accepted.  The submission also suggested that the FCFS approach would encourage speculation.  The department does not agree that this would be the case as exporters would have to have a consignment prepared and a request for permit submitted and approved before they can receive FCFS quota.  This meets the intent of catering for genuine new entrants and reducing speculation.  Therefore, despite a lack of consensus, the process set out in Option 4 remains the recommended approach.</w:t>
      </w:r>
    </w:p>
    <w:p w14:paraId="49CAF5F7"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lastRenderedPageBreak/>
        <w:t>Regarding reclaim timeframes, the dairy industry supported six months, citing that eight months could hamper quota use being maximised</w:t>
      </w:r>
      <w:r w:rsidRPr="00EC4659">
        <w:rPr>
          <w:rFonts w:ascii="Calibri" w:hAnsi="Calibri"/>
          <w:szCs w:val="22"/>
          <w:vertAlign w:val="superscript"/>
          <w:lang w:eastAsia="ja-JP"/>
        </w:rPr>
        <w:footnoteReference w:id="15"/>
      </w:r>
      <w:r w:rsidRPr="00EC4659">
        <w:rPr>
          <w:rFonts w:ascii="Calibri" w:hAnsi="Calibri"/>
          <w:szCs w:val="22"/>
          <w:lang w:eastAsia="ja-JP"/>
        </w:rPr>
        <w:t>.  The department clarified this position</w:t>
      </w:r>
      <w:r w:rsidRPr="00EC4659">
        <w:rPr>
          <w:rFonts w:ascii="Calibri" w:hAnsi="Calibri"/>
          <w:szCs w:val="22"/>
          <w:vertAlign w:val="superscript"/>
          <w:lang w:eastAsia="ja-JP"/>
        </w:rPr>
        <w:footnoteReference w:id="16"/>
      </w:r>
      <w:r w:rsidRPr="00EC4659">
        <w:rPr>
          <w:rFonts w:ascii="Calibri" w:hAnsi="Calibri"/>
          <w:szCs w:val="22"/>
          <w:lang w:eastAsia="ja-JP"/>
        </w:rPr>
        <w:t>, advising that six months would be less favourable regarding exporter’s certainty.  It would make it more likely to lead to speculation in the latter part of the quota year as they would have to estimate the remaining six months rather than just four months.  The department also noted that the earlier reclaim had been in place to cater for non-manufacturers who could not request allocations and needed time to plan and complete shipments.  This no longer applies.  On this basis the dairy industry were amenable to apply the reclaim at eight months.</w:t>
      </w:r>
    </w:p>
    <w:p w14:paraId="0A4AF427"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t>Additionally, this timeframe is more appropriate given the application of penalties (see below).  It is more reasonable to expect exporters to be able to estimate their needs over four months rather than six months.</w:t>
      </w:r>
    </w:p>
    <w:p w14:paraId="78853376"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t>Meat and dairy industries agreed to remove the transfer limit of 33 per cent in two consecutive years.  The AMIC submission also supported removing the 50 per cent limit for EU HQB</w:t>
      </w:r>
      <w:r w:rsidRPr="00EC4659">
        <w:rPr>
          <w:rFonts w:ascii="Calibri" w:hAnsi="Calibri"/>
          <w:szCs w:val="22"/>
          <w:vertAlign w:val="superscript"/>
          <w:lang w:eastAsia="ja-JP"/>
        </w:rPr>
        <w:footnoteReference w:id="17"/>
      </w:r>
      <w:r w:rsidRPr="00EC4659">
        <w:rPr>
          <w:rFonts w:ascii="Calibri" w:hAnsi="Calibri"/>
          <w:szCs w:val="22"/>
          <w:lang w:eastAsia="ja-JP"/>
        </w:rPr>
        <w:t>.  The department does not support this; the rule contributes to the policy intent of deterring applications for quota an exporter is not in a position to use.  The dairy industry submission supports the 50 per cent limit for dairy TRQs in order to limit the ability to arbitrage</w:t>
      </w:r>
      <w:r w:rsidRPr="00EC4659">
        <w:rPr>
          <w:rFonts w:ascii="Calibri" w:hAnsi="Calibri"/>
          <w:szCs w:val="22"/>
          <w:vertAlign w:val="superscript"/>
          <w:lang w:eastAsia="ja-JP"/>
        </w:rPr>
        <w:footnoteReference w:id="18"/>
      </w:r>
      <w:r w:rsidRPr="00EC4659">
        <w:rPr>
          <w:rFonts w:ascii="Calibri" w:hAnsi="Calibri"/>
          <w:szCs w:val="22"/>
          <w:lang w:eastAsia="ja-JP"/>
        </w:rPr>
        <w:t>.</w:t>
      </w:r>
    </w:p>
    <w:p w14:paraId="29143805" w14:textId="77777777" w:rsidR="00EC4659" w:rsidRPr="00EC4659" w:rsidRDefault="00EC4659" w:rsidP="00EC4659">
      <w:pPr>
        <w:spacing w:before="120" w:line="240" w:lineRule="auto"/>
        <w:rPr>
          <w:rFonts w:ascii="Calibri" w:hAnsi="Calibri"/>
          <w:szCs w:val="22"/>
          <w:lang w:eastAsia="ja-JP"/>
        </w:rPr>
      </w:pPr>
      <w:r w:rsidRPr="00EC4659">
        <w:rPr>
          <w:rFonts w:ascii="Calibri" w:hAnsi="Calibri"/>
          <w:szCs w:val="22"/>
          <w:lang w:eastAsia="ja-JP"/>
        </w:rPr>
        <w:t>Stakeholders also supported simplifying the rules surrounding reclaim by removing the rule that cancelled a quota allocation where an exporter had ‘used less than 1 tonne when allocated more than 1 tonne’.  There was agreement that this reduced complexity without compromising the policy intent, which is covered by the existing 25 per cent usage rule.</w:t>
      </w:r>
    </w:p>
    <w:p w14:paraId="07B5DEED" w14:textId="77777777" w:rsidR="00EC4659" w:rsidRPr="00EC4659" w:rsidRDefault="00EC4659" w:rsidP="00EC4659">
      <w:pPr>
        <w:spacing w:before="120" w:after="120" w:line="240" w:lineRule="auto"/>
        <w:rPr>
          <w:rFonts w:ascii="Calibri" w:hAnsi="Calibri"/>
          <w:szCs w:val="22"/>
          <w:lang w:eastAsia="ja-JP"/>
        </w:rPr>
      </w:pPr>
      <w:r w:rsidRPr="00EC4659">
        <w:rPr>
          <w:rFonts w:ascii="Calibri" w:hAnsi="Calibri"/>
          <w:szCs w:val="22"/>
          <w:lang w:eastAsia="ja-JP"/>
        </w:rPr>
        <w:t>Regarding penalties, the dairy industry had requested that penalties not be applied, citing a risk that this would deter applications for quota</w:t>
      </w:r>
      <w:r w:rsidRPr="00EC4659">
        <w:rPr>
          <w:rFonts w:ascii="Calibri" w:hAnsi="Calibri"/>
          <w:szCs w:val="22"/>
          <w:vertAlign w:val="superscript"/>
          <w:lang w:eastAsia="ja-JP"/>
        </w:rPr>
        <w:footnoteReference w:id="19"/>
      </w:r>
      <w:r w:rsidRPr="00EC4659">
        <w:rPr>
          <w:rFonts w:ascii="Calibri" w:hAnsi="Calibri"/>
          <w:szCs w:val="22"/>
          <w:lang w:eastAsia="ja-JP"/>
        </w:rPr>
        <w:t>.  However, the department believes this would actually present a greater risk regarding ‘hoarding’ that is seen in the current dairy allocation system; if there are no penalties (as in dairy FCFS process currently) then there is no incentive for exporters to request quota volumes they realistically expect to use.  This is to the detriment of other quota users.  For this reason the department has chosen to retain penalty provisions.</w:t>
      </w:r>
    </w:p>
    <w:p w14:paraId="6735EC08" w14:textId="77777777" w:rsidR="00EC4659" w:rsidRPr="00EC4659" w:rsidRDefault="00EC4659" w:rsidP="00EC4659">
      <w:pPr>
        <w:spacing w:after="120" w:line="259" w:lineRule="auto"/>
        <w:rPr>
          <w:rFonts w:ascii="Calibri" w:hAnsi="Calibri"/>
          <w:b/>
          <w:szCs w:val="22"/>
        </w:rPr>
      </w:pPr>
      <w:r w:rsidRPr="00EC4659">
        <w:rPr>
          <w:rFonts w:ascii="Calibri" w:hAnsi="Calibri"/>
          <w:b/>
          <w:szCs w:val="22"/>
          <w:lang w:eastAsia="ja-JP"/>
        </w:rPr>
        <w:t xml:space="preserve">EU </w:t>
      </w:r>
      <w:proofErr w:type="spellStart"/>
      <w:r w:rsidRPr="00EC4659">
        <w:rPr>
          <w:rFonts w:ascii="Calibri" w:hAnsi="Calibri"/>
          <w:b/>
          <w:szCs w:val="22"/>
          <w:lang w:eastAsia="ja-JP"/>
        </w:rPr>
        <w:t>sheepmeat</w:t>
      </w:r>
      <w:proofErr w:type="spellEnd"/>
      <w:r w:rsidRPr="00EC4659">
        <w:rPr>
          <w:rFonts w:ascii="Calibri" w:hAnsi="Calibri"/>
          <w:b/>
          <w:szCs w:val="22"/>
          <w:lang w:eastAsia="ja-JP"/>
        </w:rPr>
        <w:t xml:space="preserve"> allocation system</w:t>
      </w:r>
    </w:p>
    <w:p w14:paraId="1AACE91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Overall, EU </w:t>
      </w:r>
      <w:proofErr w:type="spellStart"/>
      <w:r w:rsidRPr="00EC4659">
        <w:rPr>
          <w:rFonts w:ascii="Calibri" w:hAnsi="Calibri"/>
          <w:szCs w:val="22"/>
        </w:rPr>
        <w:t>sheepmeat</w:t>
      </w:r>
      <w:proofErr w:type="spellEnd"/>
      <w:r w:rsidRPr="00EC4659">
        <w:rPr>
          <w:rFonts w:ascii="Calibri" w:hAnsi="Calibri"/>
          <w:szCs w:val="22"/>
        </w:rPr>
        <w:t xml:space="preserve"> exporters supported maintaining the reclaim process at two months from the end of the quota year, as it provides more time for them to confirm their shipments leading into the busy Christmas period.  They also supported the change to allow exporters to request additional quota at this stage, rather than only return or retain quota, arguing it will give them greater certainty than only being able to access unallocated quota through FCFS arrangements.</w:t>
      </w:r>
    </w:p>
    <w:p w14:paraId="7677E13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There was full support for removing the need to provide consignment information.  Exporter feedback advised that the information cannot be provided with accuracy as it is a busy sales period where commercial arrangements, and therefore consignment details, can change regularly.  Noting this, and that the process can also be misused by exporters intentionally providing details that allow them to avoid any reclaim, the department agreed that a change is required as it is currently a regulatory burden that is not delivering the policy intent.</w:t>
      </w:r>
    </w:p>
    <w:p w14:paraId="7006DE9A"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The department proposed that penalties be applied instead of requiring the provision of consignment information.  This is to ensure that the policy intent is met, being that exporters should not be holding on to quota when they are not able to use it.  Stakeholders did not support applying </w:t>
      </w:r>
      <w:r w:rsidRPr="00EC4659">
        <w:rPr>
          <w:rFonts w:ascii="Calibri" w:hAnsi="Calibri"/>
          <w:szCs w:val="22"/>
          <w:lang w:eastAsia="ja-JP"/>
        </w:rPr>
        <w:lastRenderedPageBreak/>
        <w:t xml:space="preserve">penalties, with the meat industry submission citing the ‘use it or lose it’ (being the reclaim) as penalty enough.  </w:t>
      </w:r>
    </w:p>
    <w:p w14:paraId="5296B70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department does not agree with this rationale, as the reclaim does not deter retaining quota (even when consignment information is provided, as explained above).  Furthermore, where an exporter requests additional quota they are likely to have already shipped their entire original allocation; if they do not use the additional quota they do not suffer any reduction in allocation the next year, but it is likely they have prevented another exporter from accessing and using that quota.  The other exporter has been denied the opportunity to build their performance and add value to Australian exports.  Despite not having consensus, the department believes it is therefore necessary to include penalties to deter exporters retaining or requesting additional quota they do not need.  The inclusion of the rule to not penalise where 90 per cent of an allocation is used by the end of the shipping year provides a buffer to exporters to minimise the chance of unduly penalising.</w:t>
      </w:r>
    </w:p>
    <w:p w14:paraId="7AF75AFB"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 xml:space="preserve">The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industry supported maintaining unrestricted transfers for the first 10 months of the quota year, however they also believed this should be extended to the final two months post-reclaim.  Despite a lack of consensus, the department could not agree to this as doing so would undermine the reclaim and reallocation processes in place to help optimise the distribution of remaining quota; if transfers were allowed then the incentive for an exporter to only request the quota they need would be gone.</w:t>
      </w:r>
    </w:p>
    <w:p w14:paraId="7E6A432B" w14:textId="77777777" w:rsidR="00EC4659" w:rsidRPr="00EC4659" w:rsidRDefault="00EC4659" w:rsidP="00463809">
      <w:pPr>
        <w:keepNext/>
        <w:keepLines/>
        <w:spacing w:before="40" w:after="160" w:line="259" w:lineRule="auto"/>
        <w:outlineLvl w:val="2"/>
        <w:rPr>
          <w:rFonts w:ascii="Calibri Light" w:eastAsia="SimSun" w:hAnsi="Calibri Light"/>
          <w:bCs/>
          <w:color w:val="5B9BD5"/>
          <w:sz w:val="24"/>
          <w:szCs w:val="24"/>
        </w:rPr>
      </w:pPr>
      <w:bookmarkStart w:id="176" w:name="_Toc27482968"/>
      <w:r w:rsidRPr="00EC4659">
        <w:rPr>
          <w:rFonts w:ascii="Calibri Light" w:eastAsia="SimSun" w:hAnsi="Calibri Light"/>
          <w:bCs/>
          <w:color w:val="5B9BD5"/>
          <w:sz w:val="24"/>
          <w:szCs w:val="24"/>
        </w:rPr>
        <w:t>Regulatory burden estimate</w:t>
      </w:r>
      <w:bookmarkEnd w:id="176"/>
    </w:p>
    <w:p w14:paraId="4D9FCFB7"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Stakeholders did not express concerns over the regulatory burden estimate provided in the consultation process but noted it was of limited usefulness in comparing the relative benefits and costs of the three original options.  Subsequent to the workshops, a representative from AMIC provided some additional material to the department regarding exporter staff time inputs used for the regulatory burden estimate.  This material has been incorporated into Appendix B.</w:t>
      </w:r>
    </w:p>
    <w:p w14:paraId="06F08C81" w14:textId="77777777" w:rsidR="00EC4659" w:rsidRPr="00EC4659" w:rsidRDefault="00EC4659" w:rsidP="00EC4659">
      <w:pPr>
        <w:spacing w:after="160" w:line="259" w:lineRule="auto"/>
        <w:rPr>
          <w:rFonts w:ascii="Calibri" w:hAnsi="Calibri"/>
          <w:szCs w:val="22"/>
        </w:rPr>
      </w:pPr>
    </w:p>
    <w:p w14:paraId="554AEF5A" w14:textId="77777777" w:rsidR="00EC4659" w:rsidRPr="00EC4659" w:rsidRDefault="00EC4659" w:rsidP="00EC4659">
      <w:pPr>
        <w:spacing w:after="160" w:line="259" w:lineRule="auto"/>
        <w:rPr>
          <w:rFonts w:ascii="Calibri" w:hAnsi="Calibri"/>
          <w:szCs w:val="22"/>
        </w:rPr>
      </w:pPr>
    </w:p>
    <w:p w14:paraId="36CD3C44"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sectPr w:rsidR="00EC4659" w:rsidRPr="00EC4659" w:rsidSect="00EC4659">
          <w:pgSz w:w="11906" w:h="16838"/>
          <w:pgMar w:top="1440" w:right="1440" w:bottom="1135" w:left="1440" w:header="708" w:footer="708" w:gutter="0"/>
          <w:cols w:space="708"/>
          <w:docGrid w:linePitch="360"/>
        </w:sectPr>
      </w:pPr>
    </w:p>
    <w:p w14:paraId="7A8DDE1B"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pPr>
      <w:bookmarkStart w:id="177" w:name="_Toc27482969"/>
      <w:r w:rsidRPr="00EC4659">
        <w:rPr>
          <w:rFonts w:ascii="Calibri Light" w:eastAsia="SimSun" w:hAnsi="Calibri Light"/>
          <w:color w:val="2E74B5"/>
          <w:sz w:val="32"/>
          <w:szCs w:val="32"/>
        </w:rPr>
        <w:lastRenderedPageBreak/>
        <w:t>Impacts</w:t>
      </w:r>
      <w:bookmarkEnd w:id="177"/>
    </w:p>
    <w:p w14:paraId="2F8EB71B"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 xml:space="preserve">The following table summarises the strengths and weaknesses of each option to provide a useful comparison of their merits.  These merits are then discussed in detail following the table, including how they perform against the quota principles (see Table 4. for the quota principles). Overall this demonstrates that Option 4 provides the greatest benefits for each industry involved.  </w:t>
      </w:r>
    </w:p>
    <w:p w14:paraId="1113660C" w14:textId="77777777" w:rsidR="00EC4659" w:rsidRPr="00EC4659" w:rsidRDefault="00EC4659" w:rsidP="00EC4659">
      <w:pPr>
        <w:spacing w:line="259" w:lineRule="auto"/>
        <w:rPr>
          <w:rFonts w:ascii="Calibri" w:hAnsi="Calibri"/>
          <w:szCs w:val="22"/>
        </w:rPr>
      </w:pPr>
      <w:r w:rsidRPr="00EC4659">
        <w:rPr>
          <w:rFonts w:ascii="Calibri" w:hAnsi="Calibri"/>
          <w:szCs w:val="22"/>
        </w:rPr>
        <w:t>Table 6. Comparison of strength and weaknesses of each option.</w:t>
      </w:r>
    </w:p>
    <w:tbl>
      <w:tblPr>
        <w:tblStyle w:val="TableGrid1"/>
        <w:tblW w:w="0" w:type="auto"/>
        <w:tblLook w:val="04A0" w:firstRow="1" w:lastRow="0" w:firstColumn="1" w:lastColumn="0" w:noHBand="0" w:noVBand="1"/>
        <w:tblCaption w:val="Table 6. A comparison of the strengths and weaknesses of each option"/>
        <w:tblDescription w:val="This table lists each broad category of quota management, and summarises the strengths or weaknesses of each option against that category."/>
      </w:tblPr>
      <w:tblGrid>
        <w:gridCol w:w="1470"/>
        <w:gridCol w:w="3658"/>
        <w:gridCol w:w="3888"/>
      </w:tblGrid>
      <w:tr w:rsidR="00EC4659" w:rsidRPr="00EC4659" w14:paraId="320592CA" w14:textId="77777777" w:rsidTr="00EC4659">
        <w:trPr>
          <w:cantSplit/>
        </w:trPr>
        <w:tc>
          <w:tcPr>
            <w:tcW w:w="1470" w:type="dxa"/>
            <w:shd w:val="clear" w:color="auto" w:fill="DEEAF6"/>
          </w:tcPr>
          <w:p w14:paraId="303E88AB" w14:textId="77777777" w:rsidR="00EC4659" w:rsidRPr="00463809" w:rsidRDefault="00EC4659" w:rsidP="00EC4659">
            <w:pPr>
              <w:spacing w:after="120" w:line="240" w:lineRule="auto"/>
              <w:rPr>
                <w:rFonts w:asciiTheme="minorHAnsi" w:eastAsiaTheme="minorHAnsi" w:hAnsiTheme="minorHAnsi" w:cstheme="minorBidi"/>
                <w:b/>
              </w:rPr>
            </w:pPr>
            <w:r w:rsidRPr="00463809">
              <w:rPr>
                <w:rFonts w:asciiTheme="minorHAnsi" w:eastAsiaTheme="minorHAnsi" w:hAnsiTheme="minorHAnsi" w:cstheme="minorBidi"/>
                <w:b/>
              </w:rPr>
              <w:t>Provision</w:t>
            </w:r>
          </w:p>
        </w:tc>
        <w:tc>
          <w:tcPr>
            <w:tcW w:w="3658" w:type="dxa"/>
            <w:shd w:val="clear" w:color="auto" w:fill="DEEAF6"/>
          </w:tcPr>
          <w:p w14:paraId="6A0DC556" w14:textId="77777777" w:rsidR="00EC4659" w:rsidRPr="00463809" w:rsidRDefault="00EC4659" w:rsidP="00EC4659">
            <w:pPr>
              <w:spacing w:after="120" w:line="240" w:lineRule="auto"/>
              <w:rPr>
                <w:rFonts w:asciiTheme="minorHAnsi" w:eastAsiaTheme="minorHAnsi" w:hAnsiTheme="minorHAnsi" w:cstheme="minorBidi"/>
                <w:b/>
              </w:rPr>
            </w:pPr>
            <w:r w:rsidRPr="00463809">
              <w:rPr>
                <w:rFonts w:asciiTheme="minorHAnsi" w:eastAsiaTheme="minorHAnsi" w:hAnsiTheme="minorHAnsi" w:cstheme="minorBidi"/>
                <w:b/>
              </w:rPr>
              <w:t>Strengths</w:t>
            </w:r>
          </w:p>
        </w:tc>
        <w:tc>
          <w:tcPr>
            <w:tcW w:w="3888" w:type="dxa"/>
            <w:shd w:val="clear" w:color="auto" w:fill="DEEAF6"/>
          </w:tcPr>
          <w:p w14:paraId="2D585D71" w14:textId="77777777" w:rsidR="00EC4659" w:rsidRPr="00463809" w:rsidRDefault="00EC4659" w:rsidP="00EC4659">
            <w:pPr>
              <w:spacing w:after="120" w:line="240" w:lineRule="auto"/>
              <w:rPr>
                <w:rFonts w:asciiTheme="minorHAnsi" w:eastAsiaTheme="minorHAnsi" w:hAnsiTheme="minorHAnsi" w:cstheme="minorBidi"/>
                <w:b/>
              </w:rPr>
            </w:pPr>
            <w:r w:rsidRPr="00463809">
              <w:rPr>
                <w:rFonts w:asciiTheme="minorHAnsi" w:eastAsiaTheme="minorHAnsi" w:hAnsiTheme="minorHAnsi" w:cstheme="minorBidi"/>
                <w:b/>
              </w:rPr>
              <w:t>Weaknesses</w:t>
            </w:r>
          </w:p>
        </w:tc>
      </w:tr>
      <w:tr w:rsidR="00EC4659" w:rsidRPr="00EC4659" w14:paraId="1C2FB96E" w14:textId="77777777" w:rsidTr="00EC4659">
        <w:trPr>
          <w:cantSplit/>
        </w:trPr>
        <w:tc>
          <w:tcPr>
            <w:tcW w:w="1470" w:type="dxa"/>
          </w:tcPr>
          <w:p w14:paraId="1ADD27F3"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Mechanisms</w:t>
            </w:r>
          </w:p>
        </w:tc>
        <w:tc>
          <w:tcPr>
            <w:tcW w:w="3658" w:type="dxa"/>
          </w:tcPr>
          <w:p w14:paraId="31526394"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1 – appropriate mechanisms applied to EU HQB,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US beef, JAEPA TRQs, and 2 of the dairy TRQs.</w:t>
            </w:r>
          </w:p>
          <w:p w14:paraId="40C2F77D"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2 – appropriate mechanism for most JAEPA and dairy TRQs.</w:t>
            </w:r>
          </w:p>
          <w:p w14:paraId="129D3E45"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3 – appropriate mechanisms applied to EU HQB, US beef, dairy TRQs and most JAEPA TRQs.   </w:t>
            </w:r>
          </w:p>
          <w:p w14:paraId="356A97F6"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4 – appropriate mechanisms applied to all current TRQs.</w:t>
            </w:r>
          </w:p>
        </w:tc>
        <w:tc>
          <w:tcPr>
            <w:tcW w:w="3888" w:type="dxa"/>
          </w:tcPr>
          <w:p w14:paraId="5554895D"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1 – unfavourable mechanisms applied to most dairy TRQs.</w:t>
            </w:r>
          </w:p>
          <w:p w14:paraId="27269C30"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2 – unfavourable mechanisms applied to highly utilised TRQs.</w:t>
            </w:r>
          </w:p>
          <w:p w14:paraId="0F42AA64"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3 – less favourable mechanisms applied for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Japan EBO and Japan honey.</w:t>
            </w:r>
          </w:p>
          <w:p w14:paraId="0B8F86B6" w14:textId="77777777" w:rsidR="00EC4659" w:rsidRPr="00463809" w:rsidRDefault="00EC4659" w:rsidP="00463809">
            <w:pPr>
              <w:spacing w:line="240" w:lineRule="auto"/>
              <w:rPr>
                <w:rFonts w:asciiTheme="minorHAnsi" w:eastAsiaTheme="minorHAnsi" w:hAnsiTheme="minorHAnsi" w:cstheme="minorBidi"/>
              </w:rPr>
            </w:pPr>
          </w:p>
        </w:tc>
      </w:tr>
      <w:tr w:rsidR="00EC4659" w:rsidRPr="00EC4659" w14:paraId="6CE65C1A" w14:textId="77777777" w:rsidTr="00EC4659">
        <w:trPr>
          <w:cantSplit/>
        </w:trPr>
        <w:tc>
          <w:tcPr>
            <w:tcW w:w="1470" w:type="dxa"/>
          </w:tcPr>
          <w:p w14:paraId="6DE9651C"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New Entrant</w:t>
            </w:r>
          </w:p>
        </w:tc>
        <w:tc>
          <w:tcPr>
            <w:tcW w:w="3658" w:type="dxa"/>
          </w:tcPr>
          <w:p w14:paraId="2DD8CD32"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Options 1 &amp; 4 –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allows exporters to build effective entitlements over time.</w:t>
            </w:r>
          </w:p>
          <w:p w14:paraId="7144D1E6"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2 – open access for new entrants across all TRQs.</w:t>
            </w:r>
          </w:p>
          <w:p w14:paraId="7835637B"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Options 3 &amp; 4 – Viable EU HQB access for new entrants.</w:t>
            </w:r>
          </w:p>
        </w:tc>
        <w:tc>
          <w:tcPr>
            <w:tcW w:w="3888" w:type="dxa"/>
          </w:tcPr>
          <w:p w14:paraId="33365A7F"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1 – EU HQB continues to be unviable for new entrants. </w:t>
            </w:r>
          </w:p>
          <w:p w14:paraId="473A9ADE"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3 – reduces exporters’ ability to build larger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entitlements.</w:t>
            </w:r>
          </w:p>
          <w:p w14:paraId="2E542398" w14:textId="77777777" w:rsidR="00EC4659" w:rsidRPr="00463809" w:rsidRDefault="00EC4659" w:rsidP="00463809">
            <w:pPr>
              <w:spacing w:line="240" w:lineRule="auto"/>
              <w:rPr>
                <w:rFonts w:asciiTheme="minorHAnsi" w:eastAsiaTheme="minorHAnsi" w:hAnsiTheme="minorHAnsi" w:cstheme="minorBidi"/>
              </w:rPr>
            </w:pPr>
          </w:p>
        </w:tc>
      </w:tr>
      <w:tr w:rsidR="00EC4659" w:rsidRPr="00EC4659" w14:paraId="460A9BD7" w14:textId="77777777" w:rsidTr="00EC4659">
        <w:trPr>
          <w:cantSplit/>
        </w:trPr>
        <w:tc>
          <w:tcPr>
            <w:tcW w:w="1470" w:type="dxa"/>
          </w:tcPr>
          <w:p w14:paraId="5C684223"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Eligibility </w:t>
            </w:r>
          </w:p>
        </w:tc>
        <w:tc>
          <w:tcPr>
            <w:tcW w:w="3658" w:type="dxa"/>
          </w:tcPr>
          <w:p w14:paraId="26BE19C0"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2 – Open access to all exporters.</w:t>
            </w:r>
          </w:p>
          <w:p w14:paraId="65EE96D7"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Options 3 &amp; 4 – No limitation on dairy non-manufacturers.</w:t>
            </w:r>
          </w:p>
        </w:tc>
        <w:tc>
          <w:tcPr>
            <w:tcW w:w="3888" w:type="dxa"/>
          </w:tcPr>
          <w:p w14:paraId="0D1DA9E0"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1 – dairy non-manufacturers continue to be unable to receive allocations.</w:t>
            </w:r>
          </w:p>
        </w:tc>
      </w:tr>
      <w:tr w:rsidR="00EC4659" w:rsidRPr="00EC4659" w14:paraId="1B092B01" w14:textId="77777777" w:rsidTr="00EC4659">
        <w:trPr>
          <w:cantSplit/>
        </w:trPr>
        <w:tc>
          <w:tcPr>
            <w:tcW w:w="1470" w:type="dxa"/>
          </w:tcPr>
          <w:p w14:paraId="20095A0E"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Allocation Parameters</w:t>
            </w:r>
          </w:p>
        </w:tc>
        <w:tc>
          <w:tcPr>
            <w:tcW w:w="3658" w:type="dxa"/>
          </w:tcPr>
          <w:p w14:paraId="21D0817C"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Options 1, 3 &amp; 4 – EU HQB allocations are likely to reflect exporters’ quota needs.</w:t>
            </w:r>
          </w:p>
          <w:p w14:paraId="570446F1"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Options 3 &amp; 4 – allocated dairy TRQs will better reflect exporters’ quota needs.</w:t>
            </w:r>
          </w:p>
          <w:p w14:paraId="5A225DAC"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Options 1 &amp; 4 –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will cater for industry-specific needs.</w:t>
            </w:r>
          </w:p>
          <w:p w14:paraId="73706C51" w14:textId="77777777" w:rsidR="00EC4659" w:rsidRPr="00463809" w:rsidRDefault="00EC4659" w:rsidP="00463809">
            <w:pPr>
              <w:spacing w:line="240" w:lineRule="auto"/>
              <w:rPr>
                <w:rFonts w:asciiTheme="minorHAnsi" w:eastAsiaTheme="minorHAnsi" w:hAnsiTheme="minorHAnsi" w:cstheme="minorBidi"/>
              </w:rPr>
            </w:pPr>
          </w:p>
        </w:tc>
        <w:tc>
          <w:tcPr>
            <w:tcW w:w="3888" w:type="dxa"/>
          </w:tcPr>
          <w:p w14:paraId="3AF861A7"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1 – allocated dairy TRQs are unlikely to reflect quota needs, and new and small exporters will find access difficult.</w:t>
            </w:r>
          </w:p>
          <w:p w14:paraId="65C711D1"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2 – no allocations means highly utilised TRQs are likely to run out quickly and cause market distortion.</w:t>
            </w:r>
          </w:p>
          <w:p w14:paraId="21036A13"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3 – will impact commercial arrangements for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exporters by limiting flexibility and reducing investment incentives.</w:t>
            </w:r>
          </w:p>
        </w:tc>
      </w:tr>
      <w:tr w:rsidR="00EC4659" w:rsidRPr="00EC4659" w14:paraId="1E9AF379" w14:textId="77777777" w:rsidTr="00EC4659">
        <w:trPr>
          <w:cantSplit/>
        </w:trPr>
        <w:tc>
          <w:tcPr>
            <w:tcW w:w="1470" w:type="dxa"/>
          </w:tcPr>
          <w:p w14:paraId="49C37F82"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Transfers</w:t>
            </w:r>
          </w:p>
        </w:tc>
        <w:tc>
          <w:tcPr>
            <w:tcW w:w="3658" w:type="dxa"/>
          </w:tcPr>
          <w:p w14:paraId="6BFF7644"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1 &amp; 4 –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transfers provide flexibility to exporters that complements the allocation system.</w:t>
            </w:r>
          </w:p>
          <w:p w14:paraId="4268F8F4"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4 – unrestricted US beef transfers allows for quota distribution to reach an optimal state.</w:t>
            </w:r>
          </w:p>
        </w:tc>
        <w:tc>
          <w:tcPr>
            <w:tcW w:w="3888" w:type="dxa"/>
          </w:tcPr>
          <w:p w14:paraId="502371FF"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3 – limits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exporter flexibility.</w:t>
            </w:r>
          </w:p>
          <w:p w14:paraId="7AD916CE"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1 – US beef transfer window will continue to distort price.</w:t>
            </w:r>
          </w:p>
          <w:p w14:paraId="754CCE80"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3 – removing US beef transfers will not allow for distribution to reach an optimal state.</w:t>
            </w:r>
          </w:p>
        </w:tc>
      </w:tr>
      <w:tr w:rsidR="00EC4659" w:rsidRPr="00EC4659" w14:paraId="320E5D35" w14:textId="77777777" w:rsidTr="00EC4659">
        <w:trPr>
          <w:cantSplit/>
        </w:trPr>
        <w:tc>
          <w:tcPr>
            <w:tcW w:w="1470" w:type="dxa"/>
          </w:tcPr>
          <w:p w14:paraId="397B1CE2"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lastRenderedPageBreak/>
              <w:t>Penalties</w:t>
            </w:r>
          </w:p>
        </w:tc>
        <w:tc>
          <w:tcPr>
            <w:tcW w:w="3658" w:type="dxa"/>
          </w:tcPr>
          <w:p w14:paraId="430FDF38"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Options 1, 3 &amp; 4 – EU HQB provides exporters leeway by allowing a certain level of unused quota.</w:t>
            </w:r>
          </w:p>
          <w:p w14:paraId="52F34E5F"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4 – replacing consignment information with penalties for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and dairy, which reduces regulatory burden and provides more flexibility for exporters.</w:t>
            </w:r>
          </w:p>
        </w:tc>
        <w:tc>
          <w:tcPr>
            <w:tcW w:w="3888" w:type="dxa"/>
          </w:tcPr>
          <w:p w14:paraId="5B1262FC"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1 – delay in applying dairy penalties lacks visibility for exporters.</w:t>
            </w:r>
          </w:p>
          <w:p w14:paraId="6B6C3A88" w14:textId="77777777" w:rsidR="00EC4659" w:rsidRPr="00463809" w:rsidRDefault="00EC4659" w:rsidP="00463809">
            <w:pPr>
              <w:spacing w:line="240" w:lineRule="auto"/>
              <w:rPr>
                <w:rFonts w:asciiTheme="minorHAnsi" w:eastAsiaTheme="minorHAnsi" w:hAnsiTheme="minorHAnsi" w:cstheme="minorBidi"/>
              </w:rPr>
            </w:pPr>
          </w:p>
        </w:tc>
      </w:tr>
      <w:tr w:rsidR="00EC4659" w:rsidRPr="00EC4659" w14:paraId="4EC83B2E" w14:textId="77777777" w:rsidTr="00EC4659">
        <w:trPr>
          <w:cantSplit/>
        </w:trPr>
        <w:tc>
          <w:tcPr>
            <w:tcW w:w="1470" w:type="dxa"/>
          </w:tcPr>
          <w:p w14:paraId="6C1A8003"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FCFS arrangements</w:t>
            </w:r>
          </w:p>
        </w:tc>
        <w:tc>
          <w:tcPr>
            <w:tcW w:w="3658" w:type="dxa"/>
          </w:tcPr>
          <w:p w14:paraId="4FADD10D"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Options 3 &amp; 4 – apply a consistent definition of FCFS.  They also introduce FCFS for EU HQB to cater for when demand is reduced.</w:t>
            </w:r>
          </w:p>
        </w:tc>
        <w:tc>
          <w:tcPr>
            <w:tcW w:w="3888" w:type="dxa"/>
          </w:tcPr>
          <w:p w14:paraId="5A39B12B"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Option 1 – maintains multiple definitions of FCFS.</w:t>
            </w:r>
          </w:p>
          <w:p w14:paraId="724EA977"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Lacks FCFS arrangement for EU HQB limiting exporter access.</w:t>
            </w:r>
          </w:p>
        </w:tc>
      </w:tr>
      <w:tr w:rsidR="00EC4659" w:rsidRPr="00EC4659" w14:paraId="73BBB189" w14:textId="77777777" w:rsidTr="00EC4659">
        <w:trPr>
          <w:cantSplit/>
        </w:trPr>
        <w:tc>
          <w:tcPr>
            <w:tcW w:w="1470" w:type="dxa"/>
          </w:tcPr>
          <w:p w14:paraId="729344C6"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Reallocations</w:t>
            </w:r>
          </w:p>
        </w:tc>
        <w:tc>
          <w:tcPr>
            <w:tcW w:w="3658" w:type="dxa"/>
          </w:tcPr>
          <w:p w14:paraId="16C263CE"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Options 3 &amp; 4 – equitable reallocation processes for EU HQB, dairy and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TRQs.</w:t>
            </w:r>
          </w:p>
        </w:tc>
        <w:tc>
          <w:tcPr>
            <w:tcW w:w="3888" w:type="dxa"/>
          </w:tcPr>
          <w:p w14:paraId="3A7BA3B0"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Option 1 –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and dairy exporters required to provide consignment information.</w:t>
            </w:r>
          </w:p>
          <w:p w14:paraId="34436636"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Dairy system does not include a proportional reallocation process and is too early in the quota year.</w:t>
            </w:r>
          </w:p>
          <w:p w14:paraId="18B50634" w14:textId="77777777" w:rsidR="00EC4659" w:rsidRPr="00463809" w:rsidRDefault="00EC4659" w:rsidP="00463809">
            <w:p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 EU </w:t>
            </w:r>
            <w:proofErr w:type="spellStart"/>
            <w:r w:rsidRPr="00463809">
              <w:rPr>
                <w:rFonts w:asciiTheme="minorHAnsi" w:eastAsiaTheme="minorHAnsi" w:hAnsiTheme="minorHAnsi" w:cstheme="minorBidi"/>
              </w:rPr>
              <w:t>Sheepmeat</w:t>
            </w:r>
            <w:proofErr w:type="spellEnd"/>
            <w:r w:rsidRPr="00463809">
              <w:rPr>
                <w:rFonts w:asciiTheme="minorHAnsi" w:eastAsiaTheme="minorHAnsi" w:hAnsiTheme="minorHAnsi" w:cstheme="minorBidi"/>
              </w:rPr>
              <w:t xml:space="preserve"> does not include a reallocation process (only retain).</w:t>
            </w:r>
          </w:p>
        </w:tc>
      </w:tr>
    </w:tbl>
    <w:p w14:paraId="0296BAE7" w14:textId="77777777" w:rsidR="00EC4659" w:rsidRPr="00EC4659" w:rsidRDefault="00EC4659" w:rsidP="00EC4659">
      <w:pPr>
        <w:spacing w:before="120" w:after="120" w:line="259" w:lineRule="auto"/>
        <w:rPr>
          <w:rFonts w:ascii="Calibri" w:hAnsi="Calibri"/>
          <w:b/>
          <w:szCs w:val="22"/>
        </w:rPr>
      </w:pPr>
      <w:r w:rsidRPr="00EC4659">
        <w:rPr>
          <w:rFonts w:ascii="Calibri" w:hAnsi="Calibri"/>
          <w:b/>
          <w:szCs w:val="22"/>
        </w:rPr>
        <w:t>Option 1</w:t>
      </w:r>
    </w:p>
    <w:p w14:paraId="6B8CD335"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Option 1 would continue to deliver the best outcomes for the eight JAEPA TRQs.  Six of the TRQs have low utilisation rates so the FCFS system provides exporters access on request.  This is ideal for quota value and use being optimised (principle 1) as there is no market distortion.  </w:t>
      </w:r>
    </w:p>
    <w:p w14:paraId="148F874E"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Despite its high utilisation, the Japan honey TRQ would also remain in this system.  Normally an allocation mechanism would be applied to give exporters surety, however due to the small size of the quota (equating to roughly only 5-6 consignments) an allocation mechanism risks allocating exporters unviable amounts.  Therefore the better outcome is FCFS, despite the likelihood of the quota being used extremely quickly.</w:t>
      </w:r>
    </w:p>
    <w:p w14:paraId="614666DE"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The Japan EBO TRQ would maintain the Quarterly FCFS system which has been determined as the best approach for the TRQ.  While the quota can often be fully utilised some weeks before the end of a quarter, an exporter can still be confident of accessing quota in each quarter.  This reduces the distortionary effect of a highly sought-after TRQ and provides year-round access.  Overall exporters are also able to respond to the market signals, rather than also having to consider future quota allocations.  </w:t>
      </w:r>
      <w:r w:rsidRPr="00EC4659">
        <w:rPr>
          <w:rFonts w:ascii="Calibri" w:hAnsi="Calibri"/>
          <w:szCs w:val="22"/>
        </w:rPr>
        <w:t>Distributing usage across the year also means no production region in Australia (that is, north versus south) holds an advantage in access over the other.  This contributes to principles 2, 4 and 5.</w:t>
      </w:r>
    </w:p>
    <w:p w14:paraId="64E540F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US beef TRQ would also function well unchanged.  With a low likelihood of reaching the allocation trigger again, exporters would enjoy the same benefits as those in a FCFS system.  However, should allocations be triggered, they would still be impacted by the 10 day transfer window.  </w:t>
      </w:r>
      <w:r w:rsidRPr="00EC4659">
        <w:rPr>
          <w:rFonts w:ascii="Calibri" w:hAnsi="Calibri"/>
          <w:szCs w:val="22"/>
        </w:rPr>
        <w:t>Exporters would still be forced to over-estimate needs for safety, and due to this artificially high demand, would be forced to pay excessive costs for quota.  This has a negative impact on returns.</w:t>
      </w:r>
    </w:p>
    <w:p w14:paraId="49F945C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For the remainder of TRQs the problems with current quota administration as defined in Section 1 will continue to occur.</w:t>
      </w:r>
    </w:p>
    <w:p w14:paraId="7AF6B02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The majority of dairy TRQs would continue to be allocated, despite low utilisation.  This is inefficient and a barrier to trade for many exporters (principle 4).  There will continue to be barrier to trade for non-manufacturers, who will also not be rewarded for their market development.  The use of global </w:t>
      </w:r>
      <w:r w:rsidRPr="00EC4659">
        <w:rPr>
          <w:rFonts w:ascii="Calibri" w:hAnsi="Calibri"/>
          <w:szCs w:val="22"/>
          <w:lang w:eastAsia="ja-JP"/>
        </w:rPr>
        <w:lastRenderedPageBreak/>
        <w:t>shipments in calculations will continue to impact on allocations, not rewarding development of the quota market (principle 6), and being unlikely to distribute the quota against likely usage.  This is particularly disadvantageous for smaller and specialised dairy manufacturers and trading houses.  This all contributes to the optimal use and value of each TRQ not being realised (principle 1).</w:t>
      </w:r>
    </w:p>
    <w:p w14:paraId="64D14965"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New exporters would continue to have difficulty in establishing access to EU HQB, due to the new entrant volume not being commercially viable, representing a barrier to trade (principle 4).  The lack of FCFS access means that when demand is lower, underuse is compounded by being inaccessible to other exporters.  This is also a barrier to trade, and prevents optimal quota use (principle 1). </w:t>
      </w:r>
    </w:p>
    <w:p w14:paraId="4BF9978F"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EU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will be relatively effective for industry needs by rewarding diversification, rewarding investments towards improved access, and providing flexibility to seek out more commercially favourable deals (principle 5).</w:t>
      </w:r>
    </w:p>
    <w:p w14:paraId="41382A0E"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 xml:space="preserve">Some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exporters (primarily non-packer exporters) may not maintain their quota entitlement year-on-year, requiring them to source additional quota via transfers.  However, industry participants, including non-packers, are comfortable with this arrangement.  They saw value in EU accredited establishments gaining quota via global exports as a reward for their investment (being the costs involved with gaining and maintaining EU accreditation).  It incentivises establishments to be EU accredited, which enables other exporters to access a greater range of markets.  In other words, the cost to some exporters in reduced quota allocations is outweighed by the benefit of improved access the industry as a whole enjoys through having EU accredited establishments in Australia.</w:t>
      </w:r>
    </w:p>
    <w:p w14:paraId="22B2448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Unrestricted transfers in the first part of the quota year provide flexibility and allow for suboptimal distribution to be resolved (principle 2).  Overall, they are a complement to the allocation process.   There may be some exporters who take advantage of the system—recent years show some exporters receiving quota allocations consistently transfer their entire allocation, equating to 2 to 3 per cent of the quota—however considering the scale of this is small, it does not offset the benefits the vast majority of the industry are gaining. In the last three years every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exporter has utilised transfers without exception. This contributes to the accessibility of quota, including for new participants.</w:t>
      </w:r>
    </w:p>
    <w:p w14:paraId="2BFB1EDF"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However, providing consignment information will continue to be an issue, and uncertainty will remain for exporters wishing to access unallocated quota in the latter stages of the quota year, due to it only being available through FCFS arrangements.</w:t>
      </w:r>
    </w:p>
    <w:p w14:paraId="5BDC1D3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rPr>
        <w:t>The use of commodity-specific legislation (and rules) will mean that new markets will require new legislation to be drafted.  This is a time-consuming process which can potentially cause delays for implementation, as was experienced with the introduction of the JAEPA TRQs administered by the department.  Additionally this process may result in a new set of rules being developed which may also need to be incorporated into an IT system. This would add to time and costs.</w:t>
      </w:r>
    </w:p>
    <w:p w14:paraId="26599668" w14:textId="77777777" w:rsidR="00EC4659" w:rsidRPr="00EC4659" w:rsidRDefault="00EC4659" w:rsidP="00EC4659">
      <w:pPr>
        <w:spacing w:after="120" w:line="259" w:lineRule="auto"/>
        <w:rPr>
          <w:rFonts w:ascii="Calibri" w:hAnsi="Calibri"/>
          <w:b/>
          <w:szCs w:val="22"/>
        </w:rPr>
      </w:pPr>
      <w:r w:rsidRPr="00EC4659">
        <w:rPr>
          <w:rFonts w:ascii="Calibri" w:hAnsi="Calibri"/>
          <w:szCs w:val="22"/>
        </w:rPr>
        <w:t>The lack of flexibility in the allocation systems also means there will continue to be no capacity to respond to changes in existing TRQs.</w:t>
      </w:r>
    </w:p>
    <w:p w14:paraId="55EBDBF0" w14:textId="77777777" w:rsidR="00EC4659" w:rsidRPr="00EC4659" w:rsidRDefault="00EC4659" w:rsidP="00EC4659">
      <w:pPr>
        <w:keepNext/>
        <w:spacing w:after="120" w:line="259" w:lineRule="auto"/>
        <w:rPr>
          <w:rFonts w:ascii="Calibri" w:hAnsi="Calibri"/>
          <w:b/>
          <w:szCs w:val="22"/>
        </w:rPr>
      </w:pPr>
      <w:r w:rsidRPr="00EC4659">
        <w:rPr>
          <w:rFonts w:ascii="Calibri" w:hAnsi="Calibri"/>
          <w:b/>
          <w:szCs w:val="22"/>
        </w:rPr>
        <w:t>Option 2</w:t>
      </w:r>
    </w:p>
    <w:p w14:paraId="54615CF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Option 2 does not take into account the different commercial and market pressures at play with different levels of quota usage (principle 5).  In highly utilised TRQs this option could create significant market uncertainty and erode the value of quota rents</w:t>
      </w:r>
      <w:r w:rsidRPr="00EC4659">
        <w:rPr>
          <w:rFonts w:ascii="Calibri" w:hAnsi="Calibri"/>
          <w:szCs w:val="22"/>
          <w:vertAlign w:val="superscript"/>
        </w:rPr>
        <w:footnoteReference w:id="20"/>
      </w:r>
      <w:r w:rsidRPr="00EC4659">
        <w:rPr>
          <w:rFonts w:ascii="Calibri" w:hAnsi="Calibri"/>
          <w:szCs w:val="22"/>
        </w:rPr>
        <w:t xml:space="preserve"> (principle 1).  There would be incentive to export as much as possible quickly, potentially using up all quota early in the year.  The </w:t>
      </w:r>
      <w:r w:rsidRPr="00EC4659">
        <w:rPr>
          <w:rFonts w:ascii="Calibri" w:hAnsi="Calibri"/>
          <w:szCs w:val="22"/>
        </w:rPr>
        <w:lastRenderedPageBreak/>
        <w:t>likelihood of this is increased by the fact that businesses that did not previously have allocations can access the quota.  This increases the likelihood of market access becoming opportunistic and exports becoming ad hoc.  Depending on the commodity and market there may not be incentive to export outside of the TRQ.  This has flow-on effects for the supply chain; a TRQ being fully utilised early in the quota year will reduce demand for the quota products for the remainder of the year, which impacts on production. Disruption to normal trading activities could also limit the opportunity for long term market development</w:t>
      </w:r>
      <w:r w:rsidRPr="00EC4659">
        <w:rPr>
          <w:rFonts w:ascii="Calibri" w:hAnsi="Calibri"/>
          <w:szCs w:val="22"/>
          <w:vertAlign w:val="superscript"/>
        </w:rPr>
        <w:footnoteReference w:id="21"/>
      </w:r>
      <w:r w:rsidRPr="00EC4659">
        <w:rPr>
          <w:rFonts w:ascii="Calibri" w:hAnsi="Calibri"/>
          <w:szCs w:val="22"/>
        </w:rPr>
        <w:t>, in line with principle 6.</w:t>
      </w:r>
    </w:p>
    <w:p w14:paraId="3637E385"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Additionally, for highly utilised TRQs, exporters will have no certainty as to the volume of a commodity they can expect to export under quota, nor the period it will be available.  This can make business planning difficult as it forces businesses to be more reactive, which is generally not commercially favourable (principle 5).  </w:t>
      </w:r>
    </w:p>
    <w:p w14:paraId="192027DB"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 xml:space="preserve">In the case of EU HQB and EU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this is particularly unfavourable.  There are additional requirements and regulations that must be met for a product to be HQB-eligible, such as the animal coming from a European Union Cattle Accreditation Scheme (EUCAS) accredited feedlot and carcass evaluation being conducted.  Similarly, EU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eligibility relies on establishments being EU-accredited.  Outlay costs involved with these extra requirements become a risk because access, and therefore returns, are uncertain.  </w:t>
      </w:r>
      <w:r w:rsidRPr="00EC4659">
        <w:rPr>
          <w:rFonts w:ascii="Calibri" w:hAnsi="Calibri"/>
          <w:szCs w:val="22"/>
        </w:rPr>
        <w:t>Such instability is likely to be compounded in new markets where trading relationships are not yet established.  This option fails to meet the objective of minimising market distortion and, rather than reward market development (principle 6), it may create a disincentive to do so.</w:t>
      </w:r>
    </w:p>
    <w:p w14:paraId="01A5BB6D"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Option 2 would represent the same outcomes as Option 1 for seven of the eight JAEPA TRQs, being the same process.  US beef TRQ would also be unaffected where the allocation trigger is not reached.  However if quota utilisation increased then the risks as described above for highly utilised TRQs would apply.</w:t>
      </w:r>
    </w:p>
    <w:p w14:paraId="4E140749"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While Japan EBO can currently run out each quarter, the period without access is relatively short so the impact on the market is minimal.  If it instead operated as a yearly FCFS quota it would be extremely likely to be fully utilised months from the end of the quota year.  It would therefore suffer from the same problems as other highly utilised TRQs.</w:t>
      </w:r>
    </w:p>
    <w:p w14:paraId="71684852"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majority of dairy TRQs would operate effectively as they have low utilisation rates.  There would be significant benefits regarding access (principle 4); non-manufacturers would no longer be impeded, and access would be improved more broadly as no exporters would be able to ‘hoard’ quota they are not going to use.  This would allow exporters to purely respond to the market, which in turn delivers optimal quota value and use.  However, highly utilised dairy TRQs of US FTA butter and cheddar cheese would be negatively impacted as per other highly utilised TRQs.</w:t>
      </w:r>
    </w:p>
    <w:p w14:paraId="48AB5E0F" w14:textId="77777777" w:rsidR="00EC4659" w:rsidRPr="00EC4659" w:rsidRDefault="00EC4659" w:rsidP="00EC4659">
      <w:pPr>
        <w:spacing w:after="120" w:line="259" w:lineRule="auto"/>
        <w:rPr>
          <w:rFonts w:ascii="Calibri" w:hAnsi="Calibri"/>
          <w:b/>
          <w:szCs w:val="22"/>
        </w:rPr>
      </w:pPr>
      <w:r w:rsidRPr="00EC4659">
        <w:rPr>
          <w:rFonts w:ascii="Calibri" w:hAnsi="Calibri"/>
          <w:szCs w:val="22"/>
          <w:lang w:eastAsia="ja-JP"/>
        </w:rPr>
        <w:t>The effectiveness of this system for any new TRQs will be contingent on their level of utilisation.</w:t>
      </w:r>
    </w:p>
    <w:p w14:paraId="7144516B" w14:textId="77777777" w:rsidR="00EC4659" w:rsidRPr="00EC4659" w:rsidRDefault="00EC4659" w:rsidP="00EC4659">
      <w:pPr>
        <w:keepNext/>
        <w:spacing w:after="120" w:line="259" w:lineRule="auto"/>
        <w:rPr>
          <w:rFonts w:ascii="Calibri" w:hAnsi="Calibri"/>
          <w:b/>
          <w:szCs w:val="22"/>
        </w:rPr>
      </w:pPr>
      <w:r w:rsidRPr="00EC4659">
        <w:rPr>
          <w:rFonts w:ascii="Calibri" w:hAnsi="Calibri"/>
          <w:b/>
          <w:szCs w:val="22"/>
        </w:rPr>
        <w:t>Option 3</w:t>
      </w:r>
    </w:p>
    <w:p w14:paraId="64F46C4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Option 3’s tiered management system was intended to simplify processes while also delivering a flexible system that could cater for existing and future TRQs.  While it addresses many aspects of the defined problem, it does not cater for industry specific needs as well as required, resulting in some elements of the problem not being resolved. </w:t>
      </w:r>
    </w:p>
    <w:p w14:paraId="0FE9F98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Using a FCFS mechanism for low utilisation TRQs means exporters would be free to respond to market demands (principle 2).  Where it was clear that TRQ will not be filled the greatest benefits </w:t>
      </w:r>
      <w:r w:rsidRPr="00EC4659">
        <w:rPr>
          <w:rFonts w:ascii="Calibri" w:hAnsi="Calibri"/>
          <w:szCs w:val="22"/>
        </w:rPr>
        <w:lastRenderedPageBreak/>
        <w:t>come from an open market.  Market signals will steer commercial decisions and as there are no in-built incentives for companies to export just to retain or increase quota allocation, there would not be distortionary behaviour</w:t>
      </w:r>
      <w:r w:rsidRPr="00EC4659">
        <w:rPr>
          <w:rFonts w:ascii="Calibri" w:hAnsi="Calibri"/>
          <w:szCs w:val="22"/>
          <w:vertAlign w:val="superscript"/>
        </w:rPr>
        <w:footnoteReference w:id="22"/>
      </w:r>
      <w:r w:rsidRPr="00EC4659">
        <w:rPr>
          <w:rFonts w:ascii="Calibri" w:hAnsi="Calibri"/>
          <w:szCs w:val="22"/>
        </w:rPr>
        <w:t>.  This would continue to apply for all JAEPA TRQs (except Japan EBO and honey) and also be applied to 17 of the 19 dairy TRQs (except US FTA butter and cheddar cheese).  For the dairy TRQs, and in line with principle 4, this would resolve the access issues for non-manufacturers and prevent any ‘hoarding’ of quota that an exporter is not in a position to use.  It would also reduce regulation by not having to conduct any allocation processes.</w:t>
      </w:r>
    </w:p>
    <w:p w14:paraId="1E16191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As Japan EBO and honey are highly utilised TRQs, this option would necessitate shifting them to the allocation mechanism.  This was intended to provide greater business certainty; an exporter would know the volume of quota they would be entitled to, giving them the opportunity to plan and maximise their returns, rather than have to rush exports.  However, as set out in the impacts for Option 1, this may not be effective for honey.  D</w:t>
      </w:r>
      <w:r w:rsidRPr="00EC4659">
        <w:rPr>
          <w:rFonts w:ascii="Calibri" w:hAnsi="Calibri"/>
          <w:szCs w:val="22"/>
          <w:lang w:eastAsia="ja-JP"/>
        </w:rPr>
        <w:t>ue to the small size of the TRQ (equating to roughly only 5-6 consignments) allocating risks exporters receiving unviable amounts.  This in turn risks sub-optimal utilisation of the quota (principle 1), even though there is high demand.  Despite the likelihood of the quota being used extremely quickly under the FCFS model, the outcome is more likely to deliver better results.</w:t>
      </w:r>
    </w:p>
    <w:p w14:paraId="50CE576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Similarly, this would not guarantee better outcomes for the Japan EBO TRQ.  During consultation exporters explained that due to the type of product (a commodity that did not rely on market development like other products), the best conditions were those where they could be responsive to the market.  They expressed concern that an allocation system would be limiting for access, which would impact on the market.  </w:t>
      </w:r>
    </w:p>
    <w:p w14:paraId="16FC23E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rPr>
        <w:t xml:space="preserve">Option 3 made adjustments to the FCFS with high fill trigger mechanism with the intent to better align allocation processes between models.  </w:t>
      </w:r>
      <w:r w:rsidRPr="00EC4659">
        <w:rPr>
          <w:rFonts w:ascii="Calibri" w:hAnsi="Calibri"/>
          <w:szCs w:val="22"/>
          <w:lang w:eastAsia="ja-JP"/>
        </w:rPr>
        <w:t>The intent of the post-trigger allocation was to give exporters certainty by applying for the quota they need for the remainder of the year, and preventing trading was intended to deter speculative behaviour</w:t>
      </w:r>
      <w:r w:rsidRPr="00EC4659">
        <w:rPr>
          <w:rFonts w:ascii="Calibri" w:hAnsi="Calibri"/>
          <w:szCs w:val="22"/>
          <w:vertAlign w:val="superscript"/>
          <w:lang w:eastAsia="ja-JP"/>
        </w:rPr>
        <w:footnoteReference w:id="23"/>
      </w:r>
      <w:r w:rsidRPr="00EC4659">
        <w:rPr>
          <w:rFonts w:ascii="Calibri" w:hAnsi="Calibri"/>
          <w:szCs w:val="22"/>
          <w:lang w:eastAsia="ja-JP"/>
        </w:rPr>
        <w:t xml:space="preserve">.   </w:t>
      </w:r>
    </w:p>
    <w:p w14:paraId="61F8FBD9"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However, as detailed during consultation, this does not properly recognise the difference in TRQs, and that this is unlikely to work as well as it does in fully allocated TRQs.  Exporters may have to estimate their request amount weeks prior to the trigger occurring, meaning it is not likely to be accurate.  If they underestimate they may not cover their commercial needs, while if they overestimate they risk penalties for not using quota.  Additionally, if the TRQ is oversubscribed it will be allocated proportionately; this is highly unlikely to match exporter needs, but there will be no way to optimise the distribution without transfers.  Regarding the principles, this means that there is additional regulatory intervention but a reduced likelihood of optimising commercial value and use.</w:t>
      </w:r>
    </w:p>
    <w:p w14:paraId="27E2ABD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US FTA butter and cheddar cheese TRQs would see a range of benefits under the allocation mechanism of Option 3.  The expansion of eligibility conditions to include non-manufacturers would improve access (principle 4), maximising the number of potential exporters and therefore improving competition.  Competition breeds innovation and efficiency, so should be encouraged.  As detailed in consultation, the department did not agree with some stakeholders’ position that non-manufacturer access should be capped.  This does not align with wider industry feedback that the industry had changed over time and that non-manufacturers formed an important part of exports.  It is a barrier to trade for parts of the industry, and should be removed.</w:t>
      </w:r>
    </w:p>
    <w:p w14:paraId="3DE83D0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Allocations only being based on shipping history to the TRQ market (that is, the removal of global shipments) is expected to have a marked impact on the two dairy TRQs.  The dairy industry feedback made it clear that diversification was not a necessary consideration for the dairy TRQs so there were </w:t>
      </w:r>
      <w:r w:rsidRPr="00EC4659">
        <w:rPr>
          <w:rFonts w:ascii="Calibri" w:hAnsi="Calibri"/>
          <w:szCs w:val="22"/>
        </w:rPr>
        <w:lastRenderedPageBreak/>
        <w:t>not concerns with this change.  Allocations will be reflective of previous quota use and therefore be more likely to be allocated to those who will use it.  In conjunction with the expanded eligibility rules, this will reduce the likelihood of ‘hoarding’.  This enables rewarding market development (principle 6) which provides better opportunity for smaller and specialised manufacturers and traders.</w:t>
      </w:r>
    </w:p>
    <w:p w14:paraId="117A76D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revised reallocation process will enhance the access and distribution to the dairy TRQs.  By including penalty provisions there is a disincentive for exporters to request additional quota that they won’t use (this is lacking under the status quo where dairy exporters can request allocations of unused quota without risking penalties). </w:t>
      </w:r>
      <w:r w:rsidRPr="00EC4659">
        <w:rPr>
          <w:rFonts w:ascii="Calibri" w:hAnsi="Calibri"/>
          <w:szCs w:val="22"/>
          <w:lang w:eastAsia="ja-JP"/>
        </w:rPr>
        <w:t xml:space="preserve">This does risk being a deterrent to reapplying for some exporters, but the potential reduction in quota used as a result of this is far smaller than the reduction caused by the anti-competitive behaviour explained above.  </w:t>
      </w:r>
      <w:r w:rsidRPr="00EC4659">
        <w:rPr>
          <w:rFonts w:ascii="Calibri" w:hAnsi="Calibri"/>
          <w:szCs w:val="22"/>
        </w:rPr>
        <w:t>The result is a greater likelihood of quota being available to those who can use it, which will help optimise the use of quota.</w:t>
      </w:r>
    </w:p>
    <w:p w14:paraId="222EA1AD"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most significant impact on EU HQB is the change to new entrant access.  The increase in the new entrant cap ensures that the access is commercially viable for exporters, removing what has been a barrier to trade (Principle 4).  Applying FCFS to the new entrant process also improves access as a new entrant does not have to apply for an allocation at a set point in time.  The reallocation process for new entrants is introduced to provide the same certainty that standard quota holders are afforded.  Despite disagreement from the meat industry, this process is still viewed as the best approach.  Alternatives put forward by industry did not resolve the issue relating to viability and would be likely to result in an increase in speculation.  </w:t>
      </w:r>
    </w:p>
    <w:p w14:paraId="71FD35D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Option 3 uses penalty provisions and potential exclusion to mitigate the risk of speculation by new entrants.  This is consistent with the allocation system, however, concerns were raised that this may not be effective given new entrants are not necessarily committed to the market yet, and the result could be quota going unutilised, despite demand.  </w:t>
      </w:r>
    </w:p>
    <w:p w14:paraId="1A06C08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introduction of FCFS processes where TRQs are undersubscribed will resolve the issues surrounding access.  Where all applicants have received their request amount, and therefore have been catered for, it should be recognised that a reduction in demand has occurred, and that the remaining quota should be accessible to other potential exporters.  This can enhance the use of the quota and result in greater value being gained (per principle 1), rather than the quota remaining inaccessible and unused.</w:t>
      </w:r>
    </w:p>
    <w:p w14:paraId="10151C5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Several rules were removed for being excess to the system’s needs as the policy intent could be achieved without them.  This reduction in complexity contributes to a more accurate, transparent system, in line with principle 3.</w:t>
      </w:r>
    </w:p>
    <w:p w14:paraId="14EDF86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rationale for Option 3 to have a single allocation mechanism was to reduce the complexity of the system and enhance understanding.  It was also thought that this mechanism could deliver better results in line with quota principles.  However, as highlighted during consultation, this system would be less likely to complement the </w:t>
      </w:r>
      <w:proofErr w:type="spellStart"/>
      <w:r w:rsidRPr="00EC4659">
        <w:rPr>
          <w:rFonts w:ascii="Calibri" w:hAnsi="Calibri"/>
          <w:szCs w:val="22"/>
        </w:rPr>
        <w:t>sheepmeat</w:t>
      </w:r>
      <w:proofErr w:type="spellEnd"/>
      <w:r w:rsidRPr="00EC4659">
        <w:rPr>
          <w:rFonts w:ascii="Calibri" w:hAnsi="Calibri"/>
          <w:szCs w:val="22"/>
        </w:rPr>
        <w:t xml:space="preserve"> export market.</w:t>
      </w:r>
    </w:p>
    <w:p w14:paraId="085F280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While the system may allocate more closely with quota usage, it takes away a valuable function of the 80:20 rule in encouraging diversification, which industry have expressed reduces market distortion that is inherent with the quota (principle 2).  It also means that incentive for maintaining EU accreditation diminishes. This could result in fewer establishments being accredited, reducing export options and therefore flexibility.  Limiting transfers also has this effect.  This is negative as it is this flexibility which has contributed to exporters being able to make the best financial decision for their exports, and maximise returns.  Sometimes this is not to the quota market, so less pressure on maintaining quota access ‘in case’ is more beneficial.  Therefore in the instance of </w:t>
      </w:r>
      <w:proofErr w:type="spellStart"/>
      <w:r w:rsidRPr="00EC4659">
        <w:rPr>
          <w:rFonts w:ascii="Calibri" w:hAnsi="Calibri"/>
          <w:szCs w:val="22"/>
        </w:rPr>
        <w:t>sheepmeat</w:t>
      </w:r>
      <w:proofErr w:type="spellEnd"/>
      <w:r w:rsidRPr="00EC4659">
        <w:rPr>
          <w:rFonts w:ascii="Calibri" w:hAnsi="Calibri"/>
          <w:szCs w:val="22"/>
        </w:rPr>
        <w:t xml:space="preserve">, the </w:t>
      </w:r>
      <w:r w:rsidRPr="00EC4659">
        <w:rPr>
          <w:rFonts w:ascii="Calibri" w:hAnsi="Calibri"/>
          <w:szCs w:val="22"/>
        </w:rPr>
        <w:lastRenderedPageBreak/>
        <w:t xml:space="preserve">allocation mechanism in Option 3 does not give due consideration to commercial arrangements, per principle 5, and changing the system would risk introducing uncertainty for </w:t>
      </w:r>
      <w:proofErr w:type="gramStart"/>
      <w:r w:rsidRPr="00EC4659">
        <w:rPr>
          <w:rFonts w:ascii="Calibri" w:hAnsi="Calibri"/>
          <w:szCs w:val="22"/>
        </w:rPr>
        <w:t>businesses.</w:t>
      </w:r>
      <w:proofErr w:type="gramEnd"/>
      <w:r w:rsidRPr="00EC4659">
        <w:rPr>
          <w:rFonts w:ascii="Calibri" w:hAnsi="Calibri"/>
          <w:szCs w:val="22"/>
        </w:rPr>
        <w:t xml:space="preserve">  The flow on is that this option is not likely to be better at optimising the value and use of the quota for EU </w:t>
      </w:r>
      <w:proofErr w:type="spellStart"/>
      <w:r w:rsidRPr="00EC4659">
        <w:rPr>
          <w:rFonts w:ascii="Calibri" w:hAnsi="Calibri"/>
          <w:szCs w:val="22"/>
        </w:rPr>
        <w:t>sheepmeat</w:t>
      </w:r>
      <w:proofErr w:type="spellEnd"/>
      <w:r w:rsidRPr="00EC4659">
        <w:rPr>
          <w:rFonts w:ascii="Calibri" w:hAnsi="Calibri"/>
          <w:szCs w:val="22"/>
        </w:rPr>
        <w:t xml:space="preserve">. </w:t>
      </w:r>
    </w:p>
    <w:p w14:paraId="458ED57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new entrant provision in Option 3 would provide </w:t>
      </w:r>
      <w:proofErr w:type="spellStart"/>
      <w:r w:rsidRPr="00EC4659">
        <w:rPr>
          <w:rFonts w:ascii="Calibri" w:hAnsi="Calibri"/>
          <w:szCs w:val="22"/>
        </w:rPr>
        <w:t>sheepmeat</w:t>
      </w:r>
      <w:proofErr w:type="spellEnd"/>
      <w:r w:rsidRPr="00EC4659">
        <w:rPr>
          <w:rFonts w:ascii="Calibri" w:hAnsi="Calibri"/>
          <w:szCs w:val="22"/>
        </w:rPr>
        <w:t xml:space="preserve"> exporters faster access than the status quo, however as demonstrated in consultation the ability to build a quota entitlement would be diminished.  Of the two possibilities, it is far more favourable for exporters to be able to build a larger entitlement (despite the initial delay).  This reinforces that the use of global shipments for allocation calculations is more beneficial for the </w:t>
      </w:r>
      <w:proofErr w:type="spellStart"/>
      <w:r w:rsidRPr="00EC4659">
        <w:rPr>
          <w:rFonts w:ascii="Calibri" w:hAnsi="Calibri"/>
          <w:szCs w:val="22"/>
        </w:rPr>
        <w:t>sheepmeat</w:t>
      </w:r>
      <w:proofErr w:type="spellEnd"/>
      <w:r w:rsidRPr="00EC4659">
        <w:rPr>
          <w:rFonts w:ascii="Calibri" w:hAnsi="Calibri"/>
          <w:szCs w:val="22"/>
        </w:rPr>
        <w:t xml:space="preserve"> industry.</w:t>
      </w:r>
    </w:p>
    <w:p w14:paraId="139F9F3B" w14:textId="77777777" w:rsidR="00EC4659" w:rsidRPr="00EC4659" w:rsidRDefault="00EC4659" w:rsidP="00EC4659">
      <w:pPr>
        <w:spacing w:after="120" w:line="259" w:lineRule="auto"/>
        <w:rPr>
          <w:rFonts w:ascii="Calibri" w:hAnsi="Calibri"/>
          <w:b/>
          <w:szCs w:val="22"/>
        </w:rPr>
      </w:pPr>
      <w:r w:rsidRPr="00EC4659">
        <w:rPr>
          <w:rFonts w:ascii="Calibri" w:hAnsi="Calibri"/>
          <w:szCs w:val="22"/>
        </w:rPr>
        <w:t>Finally, the inclusion of the process to review and (if necessary) change a TRQ’s allocation mechanism means the system will be responsive to changes in quota usage over time and will not continue to apply an allocation mechanism that is no longer the best option. This will help ensure the most appropriate mechanism is applied in each instance, so efficient outcomes can be achieved and unnecessary regulatory intervention will not be applied.</w:t>
      </w:r>
    </w:p>
    <w:p w14:paraId="6DAC56F9" w14:textId="77777777" w:rsidR="00EC4659" w:rsidRPr="00EC4659" w:rsidRDefault="00EC4659" w:rsidP="00EC4659">
      <w:pPr>
        <w:keepNext/>
        <w:spacing w:after="120" w:line="259" w:lineRule="auto"/>
        <w:rPr>
          <w:rFonts w:ascii="Calibri" w:hAnsi="Calibri"/>
          <w:b/>
          <w:szCs w:val="22"/>
        </w:rPr>
      </w:pPr>
      <w:r w:rsidRPr="00EC4659">
        <w:rPr>
          <w:rFonts w:ascii="Calibri" w:hAnsi="Calibri"/>
          <w:b/>
          <w:szCs w:val="22"/>
        </w:rPr>
        <w:t>Option 4</w:t>
      </w:r>
    </w:p>
    <w:p w14:paraId="079185A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Option 4 creates a balance between the streamlining of Option 3 and meeting quota-specific needs of Option 1 which is reflected in the impacts of this option.</w:t>
      </w:r>
    </w:p>
    <w:p w14:paraId="74C1CAA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FCFS will apply to 17 of the 19 dairy TRQs and six of the eight JAEPA TRQs, resulting in the same impacts as specified in Option 3, above.  Option 4’s greater consideration of quota-specific needs recognises that not all highly utilised TRQs should be allocated.  This is applied to Japan honey, which will operate under FCFS arrangements.  Even though the quota is likely to be utilised quickly (resulting in reduced opportunity for considering the greatest value), this approach ensures that viable consignment loads can be made, so quota won’t be unused despite demand.  This delivers better results regarding principle 1.  </w:t>
      </w:r>
    </w:p>
    <w:p w14:paraId="4988918E"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Including the FCFS mechanism operating quarterly offers another option to quota management, catering for the needs of different TRQs.  There was consensus from consultation that this can be an effective approach for some TRQs with higher use.  This allows Japan EBO to remain consistent with the status quo, which stakeholders explained was the preferred approach.  The impacts of this are consistent with those set out in Option 1, above.</w:t>
      </w:r>
    </w:p>
    <w:p w14:paraId="1744DE9D"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In recognition of consultation feedback on the FCFS with high fill trigger mechanism, Option 4 applies the same allocation rules as Option 1.  This approach means exporters can be advised of potential allocations earlier, providing more time to plan.  As proportional allocations are unlikely to reflect exporters’ exact needs, transfers are included to ensure there is a pathway for optimal quota distribution.   </w:t>
      </w:r>
    </w:p>
    <w:p w14:paraId="481CE15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However, Option 4 introduces unrestricted transfers rather than applying the 10 day transfer window.  Transfers introduce a small chance of opportunistic trading, but this is offset by the greater benefit of exporters being able to respond to the market and transfer quota if they are not well-placed to use it (or seek transfers if they are).  This allows an exporter who is better placed to use the quota and so contributes to the principle of optimising the value and use of the quota.  Unrestricted transfers removes an artificial pressure that the 10 day window had created.  As a result exporters are more likely to be able to source transfers at a reasonable price.</w:t>
      </w:r>
    </w:p>
    <w:p w14:paraId="16FD71D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In general terms, if this mechanism is applied to new TRQs with medium usage (or those that tend to fluctuate) there will regularly be years where the trigger is not reached.  As a result the minimum level of regulation will be applied for the entire quota year, delivering the most cost-efficient outcome, per principles 2 and 3.  The benefits of a FCFS system will also be realised.  Where the </w:t>
      </w:r>
      <w:r w:rsidRPr="00EC4659">
        <w:rPr>
          <w:rFonts w:ascii="Calibri" w:hAnsi="Calibri"/>
          <w:szCs w:val="22"/>
          <w:lang w:eastAsia="ja-JP"/>
        </w:rPr>
        <w:lastRenderedPageBreak/>
        <w:t>trigger is reached and allocations occur there is an increase in regulatory costs due to allocations and potential transfers.  However these costs are offset by the benefit of the certainty created in receiving an allocation, and reduces the distortionary effect the quota can have on the market when highly utilised.</w:t>
      </w:r>
    </w:p>
    <w:p w14:paraId="1405178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The benefits of the rationalised allocation mechanism for US FTA butter and cheddar cheese under Option 4 are very similar to Option 3.  The impacts of non-manufacturer access, the removal of the global exports parameter for allocation calculations, and improved reallocation and penalty provisions are all consistent, set out above in Option 3.  </w:t>
      </w:r>
    </w:p>
    <w:p w14:paraId="22646864"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mechanism offers similar benefits for EU HQB as Option 3, with slight amendments regarding new entrant access providing improvements regarding equity and optimising quota use.  Option 4 provides the same benefits for new entrants by offering FCFS access for the first eight months, and certainty for the final four months by being able to receive an allocation.  The impacts of this are consistent with Option 3.</w:t>
      </w:r>
    </w:p>
    <w:p w14:paraId="01058FB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However, Option 4 provides improved equity by limiting new entrant allocation amounts commensurate with their use throughout the year (and still with consideration to the access cap).  This means that new entrants cannot receive an amount they are unlikely to use, which minimises speculation.  In turn, quota will be redistributed to standard quota holders in a position to use it.  This limitation allows for the removal of penalty and exclusion provisions on new entrants.  The small risk of underutilised quota is offset by the benefit of reducing the complexity of the system, per principle 3.  </w:t>
      </w:r>
    </w:p>
    <w:p w14:paraId="4D66E241"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 xml:space="preserve">The introduction of FCFS arrangements where quota is undersubscribed has the same impacts as described in Option 3.  Similarly, the removal of rules excess to needs </w:t>
      </w:r>
      <w:r w:rsidRPr="00EC4659">
        <w:rPr>
          <w:rFonts w:ascii="Calibri" w:hAnsi="Calibri"/>
          <w:szCs w:val="22"/>
        </w:rPr>
        <w:t>reduces complexity, contributing to a more accurate, transparent system.  Option 4 includes a slight reduction in the minimum usage cap compared to the status quo and Option 3.  The reduction to 90 per cent provides a slightly larger buffer for exporters to help cater for commercial realities.</w:t>
      </w:r>
    </w:p>
    <w:p w14:paraId="7F02A6BC"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Consultation feedback demonstrated that the existing EU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quota system was more beneficial to the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industry overall than that proposed in Option 3.  However, as set out in the impacts of Option 1, there are still problems.  Option 4 achieves the same benefits of Option 1 in being relatively effective for industry needs by rewarding diversification, rewarding investments contributing to improved access, and providing flexibility to seek out more commercially favourable deals.  Option 4 differs by addressing issues that would continue under Option 1.</w:t>
      </w:r>
    </w:p>
    <w:p w14:paraId="23C37EC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Industry feedback highlighted the importance placed on certainty regarding quota access.  Introducing the ability to request additional quota (rather than just retaining quota already allocated) will help provide this certainty to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exporters, rather than having to take risks regarding access through the FCFS pool.  This creates conditions where quota is more likely to be utilised and value gained, per principle 1.</w:t>
      </w:r>
    </w:p>
    <w:p w14:paraId="1DE32ACD"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 xml:space="preserve">Both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exporters and the department saw issues with providing consignment information in order to retain quota.  Option 4 replaces the need to provide consignment information with the application of penalty provisions.  The impact of this is that the policy intent (to encourage exporters to only retain or request quota they are able to use) is maintained, while reducing the regulatory burden and providing exporters greater flexibility.  The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industry do not support the introduction of penalties, believing their impact can be too significant on businesses.  However, if neither consignment information nor penalties were included the purpose of the ‘retain and reallocation’ process—to encourage highly sought-after quota to be available to those who can use it—would be compromised.  Additionally, including the rule that exporters are not penalised if they use over 90 per cent of their allocation mitigates the risk of penalising unnecessarily.</w:t>
      </w:r>
    </w:p>
    <w:p w14:paraId="2EEDCF25" w14:textId="77777777" w:rsidR="00EC4659" w:rsidRPr="00EC4659" w:rsidRDefault="00EC4659" w:rsidP="00EC4659">
      <w:pPr>
        <w:keepNext/>
        <w:spacing w:after="120" w:line="259" w:lineRule="auto"/>
        <w:rPr>
          <w:rFonts w:ascii="Calibri" w:hAnsi="Calibri"/>
          <w:b/>
          <w:szCs w:val="22"/>
        </w:rPr>
      </w:pPr>
      <w:r w:rsidRPr="00EC4659">
        <w:rPr>
          <w:rFonts w:ascii="Calibri" w:hAnsi="Calibri"/>
          <w:b/>
          <w:szCs w:val="22"/>
        </w:rPr>
        <w:lastRenderedPageBreak/>
        <w:t>Regulatory Burden Measure</w:t>
      </w:r>
    </w:p>
    <w:p w14:paraId="74307BA8"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eastAsia="ja-JP"/>
        </w:rPr>
        <w:t>The regulatory burden measurement show that there is very little difference in regulatory cost between each option.  As a result these impacts are of secondary importance.  It is estimated that 95 per cent of total direct compliance costs for exporters arise from the activity of applying for export certificates under one or more of the 33 TRQs</w:t>
      </w:r>
      <w:r w:rsidRPr="00EC4659">
        <w:rPr>
          <w:rFonts w:ascii="Calibri" w:hAnsi="Calibri"/>
          <w:szCs w:val="22"/>
        </w:rPr>
        <w:t xml:space="preserve">.  The compliance costs arising from applying for the certificates do not vary across options.  Differences between options are therefore limited to changes in entitlement management costs.  These costs are estimated to represent only five (5) per cent of total costs under Option 1. </w:t>
      </w:r>
    </w:p>
    <w:p w14:paraId="0304C53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This RIS has considered each option and the benefits and costs to business, community organisations and individuals.  The regulatory cost and savings have been calculated using the Commonwealth Regulatory Burden Measure (RBM).  The RBM calculates the compliance costs of regulatory proposals on business, community organisations and individuals using an activity-based costing methodology.  </w:t>
      </w:r>
    </w:p>
    <w:p w14:paraId="690F432B" w14:textId="77777777" w:rsidR="00EC4659" w:rsidRPr="00EC4659" w:rsidRDefault="00EC4659" w:rsidP="00EC4659">
      <w:pPr>
        <w:spacing w:before="120" w:line="259" w:lineRule="auto"/>
        <w:rPr>
          <w:rFonts w:ascii="Calibri" w:hAnsi="Calibri"/>
          <w:szCs w:val="22"/>
        </w:rPr>
      </w:pPr>
      <w:r w:rsidRPr="00EC4659">
        <w:rPr>
          <w:rFonts w:ascii="Calibri" w:eastAsia="SimSun" w:hAnsi="Calibri"/>
          <w:szCs w:val="24"/>
        </w:rPr>
        <w:t>Table B1. Regulatory burden and cost offset estimate table</w:t>
      </w:r>
    </w:p>
    <w:tbl>
      <w:tblPr>
        <w:tblStyle w:val="LightGrid-Accent22"/>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Table B1. Regulatory burden estimate table"/>
        <w:tblDescription w:val="This table shows the average annual change in regulatory costs (from business as usual) for each of four options.  "/>
      </w:tblPr>
      <w:tblGrid>
        <w:gridCol w:w="2977"/>
        <w:gridCol w:w="1163"/>
        <w:gridCol w:w="1800"/>
        <w:gridCol w:w="1440"/>
        <w:gridCol w:w="1620"/>
      </w:tblGrid>
      <w:tr w:rsidR="00EC4659" w:rsidRPr="00EC4659" w14:paraId="12445187" w14:textId="77777777" w:rsidTr="00EC4659">
        <w:trPr>
          <w:cnfStyle w:val="100000000000" w:firstRow="1" w:lastRow="0" w:firstColumn="0" w:lastColumn="0" w:oddVBand="0" w:evenVBand="0" w:oddHBand="0" w:evenHBand="0" w:firstRowFirstColumn="0" w:firstRowLastColumn="0" w:lastRowFirstColumn="0" w:lastRowLastColumn="0"/>
          <w:trHeight w:val="54"/>
          <w:tblHeader/>
        </w:trPr>
        <w:tc>
          <w:tcPr>
            <w:cnfStyle w:val="001000000000" w:firstRow="0" w:lastRow="0" w:firstColumn="1" w:lastColumn="0" w:oddVBand="0" w:evenVBand="0" w:oddHBand="0" w:evenHBand="0" w:firstRowFirstColumn="0" w:firstRowLastColumn="0" w:lastRowFirstColumn="0" w:lastRowLastColumn="0"/>
            <w:tcW w:w="9000" w:type="dxa"/>
            <w:gridSpan w:val="5"/>
            <w:tcBorders>
              <w:top w:val="single" w:sz="8" w:space="0" w:color="auto"/>
              <w:left w:val="single" w:sz="8" w:space="0" w:color="auto"/>
              <w:bottom w:val="single" w:sz="8" w:space="0" w:color="auto"/>
              <w:right w:val="single" w:sz="8" w:space="0" w:color="auto"/>
            </w:tcBorders>
            <w:shd w:val="clear" w:color="auto" w:fill="DEEAF6"/>
            <w:noWrap/>
          </w:tcPr>
          <w:p w14:paraId="0990C78E" w14:textId="77777777" w:rsidR="00EC4659" w:rsidRPr="00EC4659" w:rsidRDefault="00EC4659" w:rsidP="00463809">
            <w:pPr>
              <w:pStyle w:val="TableName"/>
              <w:rPr>
                <w:rFonts w:ascii="Calibri" w:hAnsi="Calibri"/>
              </w:rPr>
            </w:pPr>
            <w:r w:rsidRPr="00463809">
              <w:rPr>
                <w:rFonts w:asciiTheme="minorHAnsi" w:eastAsiaTheme="minorEastAsia" w:hAnsiTheme="minorHAnsi" w:cs="Times New Roman"/>
                <w:bCs w:val="0"/>
              </w:rPr>
              <w:t>Average annual regulatory costs (from business as usual)</w:t>
            </w:r>
          </w:p>
        </w:tc>
      </w:tr>
      <w:tr w:rsidR="00EC4659" w:rsidRPr="00EC4659" w14:paraId="2321C514" w14:textId="77777777" w:rsidTr="00EC46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8" w:space="0" w:color="auto"/>
              <w:left w:val="single" w:sz="4" w:space="0" w:color="auto"/>
              <w:bottom w:val="single" w:sz="4" w:space="0" w:color="auto"/>
              <w:right w:val="single" w:sz="4" w:space="0" w:color="auto"/>
            </w:tcBorders>
            <w:shd w:val="clear" w:color="auto" w:fill="auto"/>
            <w:noWrap/>
          </w:tcPr>
          <w:p w14:paraId="61F871B2" w14:textId="77777777" w:rsidR="00EC4659" w:rsidRPr="00EC4659" w:rsidRDefault="00EC4659" w:rsidP="00463809">
            <w:pPr>
              <w:keepNext/>
              <w:spacing w:line="240" w:lineRule="auto"/>
              <w:rPr>
                <w:rFonts w:ascii="Calibri" w:hAnsi="Calibri"/>
              </w:rPr>
            </w:pPr>
            <w:r w:rsidRPr="00EC4659">
              <w:rPr>
                <w:rFonts w:ascii="Calibri" w:hAnsi="Calibri"/>
              </w:rPr>
              <w:t xml:space="preserve">Change in costs </w:t>
            </w:r>
          </w:p>
        </w:tc>
        <w:tc>
          <w:tcPr>
            <w:tcW w:w="1163" w:type="dxa"/>
            <w:tcBorders>
              <w:top w:val="single" w:sz="8" w:space="0" w:color="auto"/>
              <w:left w:val="single" w:sz="4" w:space="0" w:color="auto"/>
              <w:bottom w:val="single" w:sz="4" w:space="0" w:color="auto"/>
              <w:right w:val="single" w:sz="4" w:space="0" w:color="auto"/>
            </w:tcBorders>
            <w:shd w:val="clear" w:color="auto" w:fill="auto"/>
            <w:noWrap/>
          </w:tcPr>
          <w:p w14:paraId="132EA8B6" w14:textId="77777777" w:rsidR="00EC4659" w:rsidRPr="00EC4659" w:rsidRDefault="00EC4659" w:rsidP="00463809">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b/>
              </w:rPr>
            </w:pPr>
            <w:r w:rsidRPr="00EC4659">
              <w:rPr>
                <w:rFonts w:ascii="Calibri" w:eastAsia="SimSun" w:hAnsi="Calibri"/>
                <w:b/>
              </w:rPr>
              <w:t>Business</w:t>
            </w:r>
          </w:p>
        </w:tc>
        <w:tc>
          <w:tcPr>
            <w:tcW w:w="1800" w:type="dxa"/>
            <w:tcBorders>
              <w:top w:val="single" w:sz="8" w:space="0" w:color="auto"/>
              <w:left w:val="single" w:sz="4" w:space="0" w:color="auto"/>
              <w:bottom w:val="single" w:sz="4" w:space="0" w:color="auto"/>
              <w:right w:val="single" w:sz="4" w:space="0" w:color="auto"/>
            </w:tcBorders>
            <w:shd w:val="clear" w:color="auto" w:fill="auto"/>
            <w:noWrap/>
          </w:tcPr>
          <w:p w14:paraId="000B08F1" w14:textId="77777777" w:rsidR="00EC4659" w:rsidRPr="00EC4659" w:rsidRDefault="00EC4659" w:rsidP="00463809">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b/>
              </w:rPr>
            </w:pPr>
            <w:r w:rsidRPr="00EC4659">
              <w:rPr>
                <w:rFonts w:ascii="Calibri" w:eastAsia="SimSun" w:hAnsi="Calibri"/>
                <w:b/>
              </w:rPr>
              <w:t>Community organisations</w:t>
            </w:r>
          </w:p>
        </w:tc>
        <w:tc>
          <w:tcPr>
            <w:tcW w:w="1440" w:type="dxa"/>
            <w:tcBorders>
              <w:top w:val="single" w:sz="8" w:space="0" w:color="auto"/>
              <w:left w:val="single" w:sz="4" w:space="0" w:color="auto"/>
              <w:bottom w:val="single" w:sz="4" w:space="0" w:color="auto"/>
              <w:right w:val="single" w:sz="4" w:space="0" w:color="auto"/>
            </w:tcBorders>
            <w:shd w:val="clear" w:color="auto" w:fill="auto"/>
            <w:noWrap/>
          </w:tcPr>
          <w:p w14:paraId="4262A938"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EC4659">
              <w:rPr>
                <w:rFonts w:ascii="Calibri" w:hAnsi="Calibri" w:cs="Arial"/>
                <w:b/>
              </w:rPr>
              <w:t>Individuals</w:t>
            </w:r>
          </w:p>
        </w:tc>
        <w:tc>
          <w:tcPr>
            <w:tcW w:w="1620" w:type="dxa"/>
            <w:tcBorders>
              <w:top w:val="single" w:sz="8" w:space="0" w:color="auto"/>
              <w:left w:val="single" w:sz="4" w:space="0" w:color="auto"/>
              <w:bottom w:val="single" w:sz="4" w:space="0" w:color="auto"/>
              <w:right w:val="single" w:sz="4" w:space="0" w:color="auto"/>
            </w:tcBorders>
            <w:shd w:val="clear" w:color="auto" w:fill="auto"/>
            <w:noWrap/>
          </w:tcPr>
          <w:p w14:paraId="5E028E81"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EC4659">
              <w:rPr>
                <w:rFonts w:ascii="Calibri" w:hAnsi="Calibri" w:cs="Arial"/>
                <w:b/>
              </w:rPr>
              <w:t>Total change in costs</w:t>
            </w:r>
          </w:p>
        </w:tc>
      </w:tr>
      <w:tr w:rsidR="00EC4659" w:rsidRPr="00EC4659" w14:paraId="12DD3E99" w14:textId="77777777" w:rsidTr="00EC46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noWrap/>
          </w:tcPr>
          <w:p w14:paraId="61925E6A" w14:textId="77777777" w:rsidR="00EC4659" w:rsidRPr="00EC4659" w:rsidRDefault="00EC4659" w:rsidP="00463809">
            <w:pPr>
              <w:keepNext/>
              <w:spacing w:line="240" w:lineRule="auto"/>
              <w:rPr>
                <w:rFonts w:ascii="Calibri" w:hAnsi="Calibri"/>
              </w:rPr>
            </w:pPr>
            <w:r w:rsidRPr="00EC4659">
              <w:rPr>
                <w:rFonts w:ascii="Calibri" w:hAnsi="Calibri"/>
              </w:rPr>
              <w:t>Option 1. Retain all current regulations, business as usual (status quo)</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473CF3A8" w14:textId="77777777" w:rsidR="00EC4659" w:rsidRPr="00EC4659" w:rsidRDefault="00EC4659" w:rsidP="00463809">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r w:rsidRPr="00EC4659">
              <w:rPr>
                <w:rFonts w:ascii="Calibri" w:eastAsia="SimSun" w:hAnsi="Calibri"/>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085C4422" w14:textId="77777777" w:rsidR="00EC4659" w:rsidRPr="00EC4659" w:rsidRDefault="00EC4659" w:rsidP="00463809">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r w:rsidRPr="00EC4659">
              <w:rPr>
                <w:rFonts w:ascii="Calibri" w:eastAsia="SimSun" w:hAnsi="Calibri"/>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6AE867F" w14:textId="77777777" w:rsidR="00EC4659" w:rsidRPr="00EC4659" w:rsidRDefault="00EC4659" w:rsidP="00EC4659">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s="Arial"/>
              </w:rPr>
            </w:pPr>
            <w:r w:rsidRPr="00EC4659">
              <w:rPr>
                <w:rFonts w:ascii="Calibri" w:hAnsi="Calibri" w:cs="Arial"/>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006A8E2F" w14:textId="77777777" w:rsidR="00EC4659" w:rsidRPr="00EC4659" w:rsidRDefault="00EC4659" w:rsidP="00EC4659">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s="Arial"/>
              </w:rPr>
            </w:pPr>
            <w:r w:rsidRPr="00EC4659">
              <w:rPr>
                <w:rFonts w:ascii="Calibri" w:hAnsi="Calibri" w:cs="Arial"/>
              </w:rPr>
              <w:t>$0</w:t>
            </w:r>
          </w:p>
        </w:tc>
      </w:tr>
      <w:tr w:rsidR="00EC4659" w:rsidRPr="00EC4659" w14:paraId="7A6EE7CC" w14:textId="77777777" w:rsidTr="00EC46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noWrap/>
          </w:tcPr>
          <w:p w14:paraId="4CB73CCA" w14:textId="77777777" w:rsidR="00EC4659" w:rsidRPr="00EC4659" w:rsidRDefault="00EC4659" w:rsidP="00463809">
            <w:pPr>
              <w:keepNext/>
              <w:spacing w:line="240" w:lineRule="auto"/>
              <w:rPr>
                <w:rFonts w:ascii="Calibri" w:hAnsi="Calibri"/>
              </w:rPr>
            </w:pPr>
            <w:r w:rsidRPr="00EC4659">
              <w:rPr>
                <w:rFonts w:ascii="Calibri" w:hAnsi="Calibri"/>
              </w:rPr>
              <w:t>Option 2. Remove Regulation – First Come, First Served (except the certification required by importing country governments)</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2CA3E21F" w14:textId="77777777" w:rsidR="00EC4659" w:rsidRPr="00EC4659" w:rsidRDefault="00EC4659" w:rsidP="00463809">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rPr>
            </w:pPr>
            <w:r w:rsidRPr="00EC4659">
              <w:rPr>
                <w:rFonts w:ascii="Calibri" w:eastAsia="SimSun" w:hAnsi="Calibri"/>
              </w:rPr>
              <w:t>-$0.027M</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26267B0E" w14:textId="77777777" w:rsidR="00EC4659" w:rsidRPr="00EC4659" w:rsidRDefault="00EC4659" w:rsidP="00463809">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rPr>
            </w:pPr>
            <w:r w:rsidRPr="00EC4659">
              <w:rPr>
                <w:rFonts w:ascii="Calibri" w:eastAsia="SimSun" w:hAnsi="Calibri"/>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D4B9FFA"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4659">
              <w:rPr>
                <w:rFonts w:ascii="Calibri" w:hAnsi="Calibri" w:cs="Arial"/>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9451622"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4659">
              <w:rPr>
                <w:rFonts w:ascii="Calibri" w:hAnsi="Calibri" w:cs="Arial"/>
              </w:rPr>
              <w:t>-$0.027M</w:t>
            </w:r>
          </w:p>
        </w:tc>
      </w:tr>
      <w:tr w:rsidR="00EC4659" w:rsidRPr="00EC4659" w14:paraId="4C99DEDA" w14:textId="77777777" w:rsidTr="00EC4659">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noWrap/>
          </w:tcPr>
          <w:p w14:paraId="0BBF67F6" w14:textId="77777777" w:rsidR="00EC4659" w:rsidRPr="00EC4659" w:rsidRDefault="00EC4659" w:rsidP="00463809">
            <w:pPr>
              <w:keepNext/>
              <w:spacing w:line="240" w:lineRule="auto"/>
              <w:rPr>
                <w:rFonts w:ascii="Calibri" w:hAnsi="Calibri"/>
              </w:rPr>
            </w:pPr>
            <w:r w:rsidRPr="00EC4659">
              <w:rPr>
                <w:rFonts w:ascii="Calibri" w:hAnsi="Calibri"/>
              </w:rPr>
              <w:t>Option 3. Tiered Management System</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4903FCBE" w14:textId="77777777" w:rsidR="00EC4659" w:rsidRPr="00EC4659" w:rsidRDefault="00EC4659" w:rsidP="00463809">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r w:rsidRPr="00EC4659">
              <w:rPr>
                <w:rFonts w:ascii="Calibri" w:eastAsia="SimSun" w:hAnsi="Calibri"/>
              </w:rPr>
              <w:t>$0.009M</w:t>
            </w:r>
          </w:p>
          <w:p w14:paraId="3903DD97" w14:textId="77777777" w:rsidR="00EC4659" w:rsidRPr="00EC4659" w:rsidRDefault="00EC4659" w:rsidP="00463809">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6458B827" w14:textId="77777777" w:rsidR="00EC4659" w:rsidRPr="00EC4659" w:rsidRDefault="00EC4659" w:rsidP="00463809">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r w:rsidRPr="00EC4659">
              <w:rPr>
                <w:rFonts w:ascii="Calibri" w:eastAsia="SimSun" w:hAnsi="Calibri"/>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3A9DA941" w14:textId="77777777" w:rsidR="00EC4659" w:rsidRPr="00EC4659" w:rsidRDefault="00EC4659" w:rsidP="00EC4659">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s="Arial"/>
              </w:rPr>
            </w:pPr>
            <w:r w:rsidRPr="00EC4659">
              <w:rPr>
                <w:rFonts w:ascii="Calibri" w:hAnsi="Calibri" w:cs="Arial"/>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D72EA78" w14:textId="77777777" w:rsidR="00EC4659" w:rsidRPr="00EC4659" w:rsidRDefault="00EC4659" w:rsidP="00EC4659">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s="Arial"/>
              </w:rPr>
            </w:pPr>
            <w:r w:rsidRPr="00EC4659">
              <w:rPr>
                <w:rFonts w:ascii="Calibri" w:hAnsi="Calibri" w:cs="Arial"/>
              </w:rPr>
              <w:t>$0.009M</w:t>
            </w:r>
          </w:p>
        </w:tc>
      </w:tr>
      <w:tr w:rsidR="00EC4659" w:rsidRPr="00EC4659" w14:paraId="1F949161" w14:textId="77777777" w:rsidTr="00EC4659">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noWrap/>
          </w:tcPr>
          <w:p w14:paraId="46072231" w14:textId="77777777" w:rsidR="00EC4659" w:rsidRPr="00EC4659" w:rsidRDefault="00EC4659" w:rsidP="00463809">
            <w:pPr>
              <w:keepNext/>
              <w:spacing w:line="240" w:lineRule="auto"/>
              <w:rPr>
                <w:rFonts w:ascii="Calibri" w:hAnsi="Calibri"/>
              </w:rPr>
            </w:pPr>
            <w:r w:rsidRPr="00EC4659">
              <w:rPr>
                <w:rFonts w:ascii="Calibri" w:hAnsi="Calibri"/>
              </w:rPr>
              <w:t>Option 4. Industry-tailored Tiered Management System</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1AB79934" w14:textId="77777777" w:rsidR="00EC4659" w:rsidRPr="00EC4659" w:rsidRDefault="00EC4659" w:rsidP="00463809">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rPr>
            </w:pPr>
            <w:r w:rsidRPr="00EC4659">
              <w:rPr>
                <w:rFonts w:ascii="Calibri" w:eastAsia="SimSun" w:hAnsi="Calibri"/>
              </w:rPr>
              <w:t>-$0.003M</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107D2CD8" w14:textId="77777777" w:rsidR="00EC4659" w:rsidRPr="00EC4659" w:rsidRDefault="00EC4659" w:rsidP="00463809">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rPr>
            </w:pPr>
            <w:r w:rsidRPr="00EC4659">
              <w:rPr>
                <w:rFonts w:ascii="Calibri" w:eastAsia="SimSun" w:hAnsi="Calibri"/>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D2E22DA"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4659">
              <w:rPr>
                <w:rFonts w:ascii="Calibri" w:hAnsi="Calibri" w:cs="Arial"/>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5DFBCA81"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4659">
              <w:rPr>
                <w:rFonts w:ascii="Calibri" w:hAnsi="Calibri" w:cs="Arial"/>
              </w:rPr>
              <w:t>-$0.003M</w:t>
            </w:r>
          </w:p>
        </w:tc>
      </w:tr>
      <w:tr w:rsidR="00EC4659" w:rsidRPr="00EC4659" w14:paraId="2B14C738" w14:textId="77777777" w:rsidTr="00EC4659">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9000" w:type="dxa"/>
            <w:gridSpan w:val="5"/>
            <w:tcBorders>
              <w:top w:val="single" w:sz="4" w:space="0" w:color="auto"/>
              <w:left w:val="single" w:sz="4" w:space="0" w:color="auto"/>
              <w:bottom w:val="single" w:sz="4" w:space="0" w:color="auto"/>
              <w:right w:val="single" w:sz="4" w:space="0" w:color="auto"/>
            </w:tcBorders>
            <w:shd w:val="clear" w:color="auto" w:fill="auto"/>
            <w:noWrap/>
          </w:tcPr>
          <w:p w14:paraId="2199F9E7" w14:textId="158C1A27" w:rsidR="00EC4659" w:rsidRPr="00EC4659" w:rsidRDefault="00EC4659" w:rsidP="00463809">
            <w:pPr>
              <w:spacing w:after="120" w:line="240" w:lineRule="auto"/>
              <w:rPr>
                <w:rFonts w:ascii="Calibri Light" w:hAnsi="Calibri Light" w:cs="Arial"/>
              </w:rPr>
            </w:pPr>
            <w:r w:rsidRPr="00463809">
              <w:rPr>
                <w:rFonts w:asciiTheme="minorHAnsi" w:eastAsiaTheme="minorHAnsi" w:hAnsiTheme="minorHAnsi" w:cstheme="minorBidi"/>
                <w:b w:val="0"/>
                <w:bCs w:val="0"/>
              </w:rPr>
              <w:t>Are all new costs offset?</w:t>
            </w:r>
            <w:r w:rsidRPr="00463809">
              <w:rPr>
                <w:rFonts w:asciiTheme="minorHAnsi" w:eastAsiaTheme="minorHAnsi" w:hAnsiTheme="minorHAnsi" w:cstheme="minorBidi"/>
                <w:b w:val="0"/>
                <w:bCs w:val="0"/>
              </w:rPr>
              <w:br/>
            </w:r>
            <w:sdt>
              <w:sdtPr>
                <w:rPr>
                  <w:rFonts w:asciiTheme="minorHAnsi" w:eastAsiaTheme="minorHAnsi" w:hAnsiTheme="minorHAnsi" w:cstheme="minorBidi"/>
                  <w:b w:val="0"/>
                  <w:bCs w:val="0"/>
                </w:rPr>
                <w:id w:val="509792888"/>
                <w14:checkbox>
                  <w14:checked w14:val="0"/>
                  <w14:checkedState w14:val="2612" w14:font="MS Gothic"/>
                  <w14:uncheckedState w14:val="2610" w14:font="MS Gothic"/>
                </w14:checkbox>
              </w:sdtPr>
              <w:sdtContent>
                <w:r w:rsidRPr="00463809">
                  <w:rPr>
                    <w:rFonts w:ascii="Segoe UI Symbol" w:eastAsiaTheme="minorHAnsi" w:hAnsi="Segoe UI Symbol" w:cs="Segoe UI Symbol"/>
                    <w:b w:val="0"/>
                    <w:bCs w:val="0"/>
                  </w:rPr>
                  <w:t>☐</w:t>
                </w:r>
              </w:sdtContent>
            </w:sdt>
            <w:r w:rsidRPr="00463809">
              <w:rPr>
                <w:rFonts w:asciiTheme="minorHAnsi" w:eastAsiaTheme="minorHAnsi" w:hAnsiTheme="minorHAnsi" w:cstheme="minorBidi"/>
                <w:b w:val="0"/>
                <w:bCs w:val="0"/>
              </w:rPr>
              <w:t xml:space="preserve">Yes, costs are offset    </w:t>
            </w:r>
            <w:sdt>
              <w:sdtPr>
                <w:rPr>
                  <w:rFonts w:asciiTheme="minorHAnsi" w:eastAsiaTheme="minorHAnsi" w:hAnsiTheme="minorHAnsi" w:cstheme="minorBidi"/>
                  <w:b w:val="0"/>
                  <w:bCs w:val="0"/>
                </w:rPr>
                <w:id w:val="-1453861739"/>
                <w14:checkbox>
                  <w14:checked w14:val="0"/>
                  <w14:checkedState w14:val="2612" w14:font="MS Gothic"/>
                  <w14:uncheckedState w14:val="2610" w14:font="MS Gothic"/>
                </w14:checkbox>
              </w:sdtPr>
              <w:sdtContent>
                <w:r w:rsidRPr="00463809">
                  <w:rPr>
                    <w:rFonts w:ascii="Segoe UI Symbol" w:eastAsiaTheme="minorHAnsi" w:hAnsi="Segoe UI Symbol" w:cs="Segoe UI Symbol"/>
                    <w:b w:val="0"/>
                    <w:bCs w:val="0"/>
                  </w:rPr>
                  <w:t>☐</w:t>
                </w:r>
              </w:sdtContent>
            </w:sdt>
            <w:r w:rsidRPr="00463809">
              <w:rPr>
                <w:rFonts w:asciiTheme="minorHAnsi" w:eastAsiaTheme="minorHAnsi" w:hAnsiTheme="minorHAnsi" w:cstheme="minorBidi"/>
                <w:b w:val="0"/>
                <w:bCs w:val="0"/>
              </w:rPr>
              <w:t xml:space="preserve">No, costs are not offset   </w:t>
            </w:r>
            <w:sdt>
              <w:sdtPr>
                <w:rPr>
                  <w:rFonts w:asciiTheme="minorHAnsi" w:eastAsiaTheme="minorHAnsi" w:hAnsiTheme="minorHAnsi" w:cstheme="minorBidi"/>
                  <w:b w:val="0"/>
                  <w:bCs w:val="0"/>
                </w:rPr>
                <w:id w:val="-900671670"/>
                <w14:checkbox>
                  <w14:checked w14:val="1"/>
                  <w14:checkedState w14:val="2612" w14:font="MS Gothic"/>
                  <w14:uncheckedState w14:val="2610" w14:font="MS Gothic"/>
                </w14:checkbox>
              </w:sdtPr>
              <w:sdtContent>
                <w:r w:rsidR="00463809">
                  <w:rPr>
                    <w:rFonts w:ascii="MS Gothic" w:eastAsia="MS Gothic" w:hAnsi="MS Gothic" w:cstheme="minorBidi" w:hint="eastAsia"/>
                    <w:b w:val="0"/>
                    <w:bCs w:val="0"/>
                  </w:rPr>
                  <w:t>☒</w:t>
                </w:r>
              </w:sdtContent>
            </w:sdt>
            <w:r w:rsidRPr="00463809">
              <w:rPr>
                <w:rFonts w:asciiTheme="minorHAnsi" w:eastAsiaTheme="minorHAnsi" w:hAnsiTheme="minorHAnsi" w:cstheme="minorBidi"/>
                <w:b w:val="0"/>
                <w:bCs w:val="0"/>
              </w:rPr>
              <w:t>Deregulatory—no offsets required</w:t>
            </w:r>
          </w:p>
        </w:tc>
      </w:tr>
      <w:tr w:rsidR="00EC4659" w:rsidRPr="00EC4659" w14:paraId="3AFE6FF9" w14:textId="77777777" w:rsidTr="00EC4659">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9000" w:type="dxa"/>
            <w:gridSpan w:val="5"/>
            <w:tcBorders>
              <w:top w:val="single" w:sz="4" w:space="0" w:color="auto"/>
              <w:left w:val="single" w:sz="4" w:space="0" w:color="auto"/>
              <w:bottom w:val="single" w:sz="4" w:space="0" w:color="auto"/>
              <w:right w:val="single" w:sz="4" w:space="0" w:color="auto"/>
            </w:tcBorders>
            <w:shd w:val="clear" w:color="auto" w:fill="auto"/>
            <w:noWrap/>
          </w:tcPr>
          <w:p w14:paraId="572B80F1" w14:textId="77777777" w:rsidR="00EC4659" w:rsidRPr="00EC4659" w:rsidRDefault="00EC4659" w:rsidP="00EC4659">
            <w:pPr>
              <w:spacing w:line="240" w:lineRule="auto"/>
              <w:rPr>
                <w:rFonts w:ascii="Calibri Light" w:hAnsi="Calibri Light" w:cs="Arial"/>
              </w:rPr>
            </w:pPr>
            <w:r w:rsidRPr="00EC4659">
              <w:rPr>
                <w:rFonts w:ascii="Calibri" w:hAnsi="Calibri"/>
              </w:rPr>
              <w:t>Total (Change in costs – Cost offset) ($million) = $0</w:t>
            </w:r>
          </w:p>
        </w:tc>
      </w:tr>
    </w:tbl>
    <w:p w14:paraId="4E1A75CD"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Table B1 (extracted from Appendix B) summarises the change in Average Annual Regulatory Costs for each option for Business and in total.  Option 1 (Status Quo) is the baseline cost on which the other options are compared and consequently is reflected as having zero change in annual regulatory cost. The total cost and the Business cost are identical as it is assumed there are no costs to community or individuals.</w:t>
      </w:r>
    </w:p>
    <w:p w14:paraId="68262B3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rPr>
        <w:t>The main outcome is that Option 3 (Tiered Management System) has the highest burden, while Option 2 (Remove Regulation) has the lowest burden.</w:t>
      </w:r>
      <w:r w:rsidRPr="00EC4659">
        <w:rPr>
          <w:rFonts w:ascii="Calibri" w:hAnsi="Calibri"/>
          <w:szCs w:val="22"/>
          <w:lang w:eastAsia="ja-JP"/>
        </w:rPr>
        <w:t xml:space="preserve">  Option 4 (Industry-tailored Tiered Management System) has a reduced regulatory burden compared to both Options 1 and 3.  However, for the significant reasons already detailed above, Option 2 is not the preferred option as it would result in far more costs outside of the regulatory costs.</w:t>
      </w:r>
    </w:p>
    <w:p w14:paraId="1B54AC7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Full details regarding the regulatory burden measure are contained in Appendix B.</w:t>
      </w:r>
      <w:bookmarkStart w:id="178" w:name="_Toc473126086"/>
    </w:p>
    <w:p w14:paraId="1A69B9CF"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sectPr w:rsidR="00EC4659" w:rsidRPr="00EC4659" w:rsidSect="00EC4659">
          <w:pgSz w:w="11906" w:h="16838"/>
          <w:pgMar w:top="1440" w:right="1440" w:bottom="1135" w:left="1440" w:header="708" w:footer="708" w:gutter="0"/>
          <w:cols w:space="708"/>
          <w:docGrid w:linePitch="360"/>
        </w:sectPr>
      </w:pPr>
    </w:p>
    <w:p w14:paraId="650A0CD8"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pPr>
      <w:bookmarkStart w:id="179" w:name="_Toc27482970"/>
      <w:r w:rsidRPr="00EC4659">
        <w:rPr>
          <w:rFonts w:ascii="Calibri Light" w:eastAsia="SimSun" w:hAnsi="Calibri Light"/>
          <w:color w:val="2E74B5"/>
          <w:sz w:val="32"/>
          <w:szCs w:val="32"/>
        </w:rPr>
        <w:lastRenderedPageBreak/>
        <w:t>Recommendations</w:t>
      </w:r>
      <w:bookmarkEnd w:id="179"/>
    </w:p>
    <w:p w14:paraId="4D9BA1B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It is recommended that Option 4 be adopted as it best resolves the stated problems with the current system and delivers better results in line with the quota principles.  Several TRQs have been streamlined, reducing the overall complexity of the system and improving consistency.  Improvements have been made regarding equity such as removing restrictions and enhancing access for exporters.  Reduced restrictions are expected to contribute to better quota utilisation for some dairy TRQs.  It reduces the regulatory burden on exporters by not requiring consignment information and adjusting many low-use TRQs to FCFS systems.  Importantly, Option 4 caters best for industry-specific needs determined through the consultation process.</w:t>
      </w:r>
    </w:p>
    <w:p w14:paraId="6697F53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Overall Option 4 is supported by stakeholders.  While there were some elements of the option that did not receive full support, in these instances the department has provided justification for the ultimate position.  In particular, this focused on the need to ensure that outcomes were aligned with quota principles as much as possible.  This includes ensuring viable access is delivered for new entrants, and that the combination of rules contribute to (and do not undermine) the policy intent of quota management.</w:t>
      </w:r>
    </w:p>
    <w:p w14:paraId="6EA75C5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With respect to the regulatory burden, Option 4 reduces costs compared to both Option 1 and Option 3.  Of the three options that involve entitlement management, Option 4 involves the lowest level of management across TRQs.  This is because it has the highest proportion of TRQ volumes that are not subject to entitlement processes.  This means there is a reduction in the regulatory burden across the various quota management activities.</w:t>
      </w:r>
    </w:p>
    <w:p w14:paraId="258DED71"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Option 2 (first come, first served) has the lowest regulatory burden of all the options considered.  This is because no entitlement management costs are incurred.  However, Option 2 is not consistent with the quota management principles, in particular principle 1 (optimise the commercial value and use of the quota), principle 5 (consider commercial arrangements), and principle 6 (reward market development).  For markets where demand for quota is high, this system would lead to a high level of uncertainty regarding quota access and therefore market access.  Under these conditions the benefits from greater certainty in market access exceed the higher regulatory burden.  Therefore despite having the lowest regulatory burden, Option 2 is not a more beneficial approach than Option 4. </w:t>
      </w:r>
    </w:p>
    <w:p w14:paraId="50DAC35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analysis of the RIS assumed that past behaviour was the best indicator of future behaviour.  However, some rule changes may result in unforeseen changes in behaviour which would have impacts on the identified costs and benefits.  Additionally, unless differing advice was received during consultation, the department assumes that the written responses provided on behalf of the meat and dairy industry bodies are representative of the position of the industry members.  This is because each industry body conducted internal discussions with their members when developing their written responses.</w:t>
      </w:r>
    </w:p>
    <w:p w14:paraId="7383EE43" w14:textId="77777777" w:rsidR="00EC4659" w:rsidRPr="00EC4659" w:rsidRDefault="00EC4659" w:rsidP="00EC4659">
      <w:pPr>
        <w:spacing w:after="160" w:line="259" w:lineRule="auto"/>
        <w:rPr>
          <w:rFonts w:ascii="Calibri" w:hAnsi="Calibri"/>
          <w:szCs w:val="22"/>
        </w:rPr>
      </w:pPr>
    </w:p>
    <w:p w14:paraId="27587980"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sectPr w:rsidR="00EC4659" w:rsidRPr="00EC4659" w:rsidSect="00EC4659">
          <w:pgSz w:w="11906" w:h="16838"/>
          <w:pgMar w:top="1440" w:right="1440" w:bottom="1135" w:left="1440" w:header="708" w:footer="708" w:gutter="0"/>
          <w:cols w:space="708"/>
          <w:docGrid w:linePitch="360"/>
        </w:sectPr>
      </w:pPr>
    </w:p>
    <w:p w14:paraId="0839F267" w14:textId="77777777" w:rsidR="00EC4659" w:rsidRPr="00EC4659" w:rsidRDefault="00EC4659" w:rsidP="000F6D46">
      <w:pPr>
        <w:keepNext/>
        <w:keepLines/>
        <w:numPr>
          <w:ilvl w:val="0"/>
          <w:numId w:val="72"/>
        </w:numPr>
        <w:spacing w:before="240" w:after="160" w:line="259" w:lineRule="auto"/>
        <w:outlineLvl w:val="0"/>
        <w:rPr>
          <w:rFonts w:ascii="Calibri Light" w:eastAsia="SimSun" w:hAnsi="Calibri Light"/>
          <w:color w:val="2E74B5"/>
          <w:sz w:val="32"/>
          <w:szCs w:val="32"/>
        </w:rPr>
      </w:pPr>
      <w:bookmarkStart w:id="180" w:name="_Toc27482971"/>
      <w:r w:rsidRPr="00EC4659">
        <w:rPr>
          <w:rFonts w:ascii="Calibri Light" w:eastAsia="SimSun" w:hAnsi="Calibri Light"/>
          <w:color w:val="2E74B5"/>
          <w:sz w:val="32"/>
          <w:szCs w:val="32"/>
        </w:rPr>
        <w:lastRenderedPageBreak/>
        <w:t>Implementation and evaluation</w:t>
      </w:r>
      <w:bookmarkEnd w:id="180"/>
    </w:p>
    <w:p w14:paraId="32151729" w14:textId="77777777" w:rsidR="00EC4659" w:rsidRPr="00EC4659" w:rsidRDefault="00EC4659" w:rsidP="00EC4659">
      <w:pPr>
        <w:spacing w:before="200" w:line="259" w:lineRule="auto"/>
        <w:ind w:left="426"/>
        <w:rPr>
          <w:rFonts w:ascii="Calibri Light" w:hAnsi="Calibri Light"/>
          <w:color w:val="5B9BD5"/>
          <w:sz w:val="26"/>
          <w:szCs w:val="26"/>
        </w:rPr>
      </w:pPr>
      <w:r w:rsidRPr="00EC4659">
        <w:rPr>
          <w:rFonts w:ascii="Calibri Light" w:hAnsi="Calibri Light"/>
          <w:color w:val="5B9BD5"/>
          <w:sz w:val="26"/>
          <w:szCs w:val="26"/>
        </w:rPr>
        <w:t>Implementation</w:t>
      </w:r>
    </w:p>
    <w:p w14:paraId="6E264D2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proposed changes will require the creation of replacement regulations (in the form of an Order).  It is intended that drafting will occur in 2018.  Leading to and during this time, discussions will be held with stakeholders to clarify any outstanding details.</w:t>
      </w:r>
    </w:p>
    <w:p w14:paraId="4E6A68B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implementation of the legislation will need to be aligned with the necessary updates to the information technology systems underpinning quota management.  The transition for each TRQ will be timed to align with the start of respective quota years.  The exception to this may be JAEPA TRQs.  As these TRQs will continue to operate under FCFS arrangements, they could be transitioned at the most convenient time following passage of the legislation.</w:t>
      </w:r>
    </w:p>
    <w:p w14:paraId="633F5000"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In consultation the department agreed that, where sought by the relevant sectors and where changes are significant, the changes to arrangements would not occur less than 12 months from stakeholders being informed of the decision.  This was to ensure stakeholders are given sufficient time for necessary transitions.  Given the timeframes required for necessary IT updates, it is unlikely that any change could occur in less than 12 months.  Should it be possible, the department would liaise with stakeholders to determine if a shorter transition timeframe could be </w:t>
      </w:r>
      <w:proofErr w:type="gramStart"/>
      <w:r w:rsidRPr="00EC4659">
        <w:rPr>
          <w:rFonts w:ascii="Calibri" w:hAnsi="Calibri"/>
          <w:szCs w:val="22"/>
        </w:rPr>
        <w:t>accommodated.</w:t>
      </w:r>
      <w:proofErr w:type="gramEnd"/>
    </w:p>
    <w:p w14:paraId="0EECF9F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department would use its existing communication channels and platforms to ensure transition timelines and practical implications are conveyed to exporters in a timely manner.  As a minimum, this would include the following:</w:t>
      </w:r>
    </w:p>
    <w:p w14:paraId="343DB2F9" w14:textId="77777777" w:rsidR="00EC4659" w:rsidRPr="00EC4659" w:rsidRDefault="00EC4659" w:rsidP="000F6D46">
      <w:pPr>
        <w:numPr>
          <w:ilvl w:val="0"/>
          <w:numId w:val="96"/>
        </w:numPr>
        <w:spacing w:after="160" w:line="259" w:lineRule="auto"/>
        <w:ind w:left="567"/>
        <w:contextualSpacing/>
        <w:rPr>
          <w:rFonts w:ascii="Calibri" w:hAnsi="Calibri"/>
          <w:szCs w:val="22"/>
        </w:rPr>
      </w:pPr>
      <w:r w:rsidRPr="00EC4659">
        <w:rPr>
          <w:rFonts w:ascii="Calibri" w:hAnsi="Calibri"/>
          <w:szCs w:val="22"/>
        </w:rPr>
        <w:t xml:space="preserve">A formal notice informing exporters of the final outcome of the present RIS process and the implementation timeline and major milestones.  </w:t>
      </w:r>
    </w:p>
    <w:p w14:paraId="3E07D02D" w14:textId="77777777" w:rsidR="00EC4659" w:rsidRPr="00EC4659" w:rsidRDefault="00EC4659" w:rsidP="000F6D46">
      <w:pPr>
        <w:numPr>
          <w:ilvl w:val="0"/>
          <w:numId w:val="96"/>
        </w:numPr>
        <w:spacing w:after="160" w:line="259" w:lineRule="auto"/>
        <w:ind w:left="567"/>
        <w:contextualSpacing/>
        <w:rPr>
          <w:rFonts w:ascii="Calibri" w:hAnsi="Calibri"/>
          <w:szCs w:val="22"/>
        </w:rPr>
      </w:pPr>
      <w:r w:rsidRPr="00EC4659">
        <w:rPr>
          <w:rFonts w:ascii="Calibri" w:hAnsi="Calibri"/>
          <w:szCs w:val="22"/>
        </w:rPr>
        <w:t xml:space="preserve">The administrative matters on which the department would seek further discussion with exporters in the lead up to the transition. </w:t>
      </w:r>
    </w:p>
    <w:p w14:paraId="4CCA2065" w14:textId="77777777" w:rsidR="00EC4659" w:rsidRPr="00EC4659" w:rsidRDefault="00EC4659" w:rsidP="000F6D46">
      <w:pPr>
        <w:numPr>
          <w:ilvl w:val="0"/>
          <w:numId w:val="96"/>
        </w:numPr>
        <w:spacing w:after="160" w:line="259" w:lineRule="auto"/>
        <w:ind w:left="567"/>
        <w:contextualSpacing/>
        <w:rPr>
          <w:rFonts w:ascii="Calibri" w:hAnsi="Calibri"/>
          <w:szCs w:val="22"/>
        </w:rPr>
      </w:pPr>
      <w:r w:rsidRPr="00EC4659">
        <w:rPr>
          <w:rFonts w:ascii="Calibri" w:hAnsi="Calibri"/>
          <w:szCs w:val="22"/>
        </w:rPr>
        <w:t xml:space="preserve">Various administrative communications in the lead up to the transition as well as change over to the new IT system.  </w:t>
      </w:r>
    </w:p>
    <w:p w14:paraId="01499890" w14:textId="77777777" w:rsidR="00EC4659" w:rsidRPr="00EC4659" w:rsidRDefault="00EC4659" w:rsidP="000F6D46">
      <w:pPr>
        <w:numPr>
          <w:ilvl w:val="0"/>
          <w:numId w:val="96"/>
        </w:numPr>
        <w:spacing w:after="120" w:line="259" w:lineRule="auto"/>
        <w:ind w:left="567"/>
        <w:contextualSpacing/>
        <w:rPr>
          <w:rFonts w:ascii="Calibri" w:hAnsi="Calibri"/>
          <w:szCs w:val="22"/>
        </w:rPr>
      </w:pPr>
      <w:r w:rsidRPr="00EC4659">
        <w:rPr>
          <w:rFonts w:ascii="Calibri" w:hAnsi="Calibri"/>
          <w:szCs w:val="22"/>
        </w:rPr>
        <w:t xml:space="preserve">Closely monitoring and responding to exporter feedback on the new arrangements, to ensure that any problems or difficulties are promptly identified and dealt with.  </w:t>
      </w:r>
    </w:p>
    <w:p w14:paraId="7F6E85E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In addition, the recommended option will be a platform for potential future TRQs.  If TRQs are established under new free trade agreements and are to be managed by Australia, then the mechanisms under Option 4 will form the basis of their management.  This will streamline the implementation process for new TRQs, minimising the legislation changes required and minimising changes to IT systems.  It also means a timelier implementation, ensuring there is no delay to quota access when an agreement comes into force.</w:t>
      </w:r>
    </w:p>
    <w:p w14:paraId="4E14EF73" w14:textId="77777777" w:rsidR="00EC4659" w:rsidRPr="00EC4659" w:rsidRDefault="00EC4659" w:rsidP="00EC4659">
      <w:pPr>
        <w:spacing w:before="200" w:line="259" w:lineRule="auto"/>
        <w:ind w:left="426"/>
        <w:rPr>
          <w:rFonts w:ascii="Calibri Light" w:hAnsi="Calibri Light"/>
          <w:color w:val="5B9BD5"/>
          <w:sz w:val="26"/>
          <w:szCs w:val="26"/>
        </w:rPr>
      </w:pPr>
      <w:r w:rsidRPr="00EC4659">
        <w:rPr>
          <w:rFonts w:ascii="Calibri Light" w:hAnsi="Calibri Light"/>
          <w:color w:val="5B9BD5"/>
          <w:sz w:val="26"/>
          <w:szCs w:val="26"/>
        </w:rPr>
        <w:t>Evaluation</w:t>
      </w:r>
    </w:p>
    <w:p w14:paraId="1432FB0D"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 xml:space="preserve">The department will evaluate the effectiveness of the changes to quota management, including impacts on quota usage and whether there are any unintended consequences.  An internal review of the effect of the changes to quota management will be conducted three years after the start of any transition to the new arrangements.    </w:t>
      </w:r>
    </w:p>
    <w:p w14:paraId="02D5E74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This review will determine the extent to which regulatory costs have reduced and whether the quota administration principles are being met.  This would include comparing the results to those expected in the RIS.  In this respect, the review would compare actual outcomes in regulatory burdens compared with the estimates in Appendix B.  To ensure consistency and comparability, the same framework would be applied and the OBPR’s Regulatory Burden Measurement tool would be used.  </w:t>
      </w:r>
    </w:p>
    <w:p w14:paraId="6315980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lastRenderedPageBreak/>
        <w:t>In addition, the department will focus on the following elements which did not receive full support during consultation:</w:t>
      </w:r>
    </w:p>
    <w:p w14:paraId="4E764892" w14:textId="77777777" w:rsidR="00EC4659" w:rsidRPr="00EC4659" w:rsidRDefault="00EC4659" w:rsidP="000F6D46">
      <w:pPr>
        <w:numPr>
          <w:ilvl w:val="0"/>
          <w:numId w:val="97"/>
        </w:numPr>
        <w:spacing w:after="160" w:line="252" w:lineRule="auto"/>
        <w:ind w:left="567"/>
        <w:contextualSpacing/>
        <w:rPr>
          <w:rFonts w:ascii="Calibri" w:hAnsi="Calibri"/>
          <w:szCs w:val="22"/>
        </w:rPr>
      </w:pPr>
      <w:r w:rsidRPr="00EC4659">
        <w:rPr>
          <w:rFonts w:ascii="Calibri" w:hAnsi="Calibri"/>
          <w:szCs w:val="22"/>
        </w:rPr>
        <w:t>The impact of opening allocation access to dairy non-manufacturers.</w:t>
      </w:r>
    </w:p>
    <w:p w14:paraId="2ACAD578" w14:textId="77777777" w:rsidR="00EC4659" w:rsidRPr="00EC4659" w:rsidRDefault="00EC4659" w:rsidP="000F6D46">
      <w:pPr>
        <w:numPr>
          <w:ilvl w:val="0"/>
          <w:numId w:val="97"/>
        </w:numPr>
        <w:spacing w:after="160" w:line="252" w:lineRule="auto"/>
        <w:ind w:left="567"/>
        <w:contextualSpacing/>
        <w:rPr>
          <w:rFonts w:ascii="Calibri" w:hAnsi="Calibri"/>
          <w:szCs w:val="22"/>
        </w:rPr>
      </w:pPr>
      <w:r w:rsidRPr="00EC4659">
        <w:rPr>
          <w:rFonts w:ascii="Calibri" w:hAnsi="Calibri"/>
          <w:szCs w:val="22"/>
        </w:rPr>
        <w:t xml:space="preserve">The effectiveness of the revised new entrant process for the allocated system; in particular, how EU HQB has operated compared to the previous process.  </w:t>
      </w:r>
    </w:p>
    <w:p w14:paraId="426C1A8F" w14:textId="77777777" w:rsidR="00EC4659" w:rsidRPr="00EC4659" w:rsidRDefault="00EC4659" w:rsidP="000F6D46">
      <w:pPr>
        <w:numPr>
          <w:ilvl w:val="0"/>
          <w:numId w:val="97"/>
        </w:numPr>
        <w:spacing w:after="160" w:line="252" w:lineRule="auto"/>
        <w:ind w:left="567"/>
        <w:contextualSpacing/>
        <w:rPr>
          <w:rFonts w:ascii="Calibri" w:hAnsi="Calibri"/>
          <w:szCs w:val="22"/>
        </w:rPr>
      </w:pPr>
      <w:r w:rsidRPr="00EC4659">
        <w:rPr>
          <w:rFonts w:ascii="Calibri" w:hAnsi="Calibri"/>
          <w:szCs w:val="22"/>
        </w:rPr>
        <w:t xml:space="preserve">The impact of replacing consignment information with penalties for EU </w:t>
      </w:r>
      <w:proofErr w:type="spellStart"/>
      <w:r w:rsidRPr="00EC4659">
        <w:rPr>
          <w:rFonts w:ascii="Calibri" w:hAnsi="Calibri"/>
          <w:szCs w:val="22"/>
        </w:rPr>
        <w:t>sheepmeat</w:t>
      </w:r>
      <w:proofErr w:type="spellEnd"/>
      <w:r w:rsidRPr="00EC4659">
        <w:rPr>
          <w:rFonts w:ascii="Calibri" w:hAnsi="Calibri"/>
          <w:szCs w:val="22"/>
        </w:rPr>
        <w:t>.</w:t>
      </w:r>
    </w:p>
    <w:p w14:paraId="4843C21B" w14:textId="77777777" w:rsidR="00EC4659" w:rsidRPr="00EC4659" w:rsidRDefault="00EC4659" w:rsidP="000F6D46">
      <w:pPr>
        <w:numPr>
          <w:ilvl w:val="0"/>
          <w:numId w:val="97"/>
        </w:numPr>
        <w:spacing w:after="120" w:line="252" w:lineRule="auto"/>
        <w:ind w:left="567"/>
        <w:contextualSpacing/>
        <w:rPr>
          <w:rFonts w:ascii="Calibri" w:hAnsi="Calibri"/>
          <w:szCs w:val="22"/>
        </w:rPr>
      </w:pPr>
      <w:r w:rsidRPr="00EC4659">
        <w:rPr>
          <w:rFonts w:ascii="Calibri" w:hAnsi="Calibri"/>
          <w:szCs w:val="22"/>
        </w:rPr>
        <w:t>Where possible the review will also consider the effectiveness of the revised system in introducing new TRQs from new bilateral or multilateral agreements.</w:t>
      </w:r>
    </w:p>
    <w:p w14:paraId="6A7A5DB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It is expected that a reduction in the regulatory burden under any of the change options would reduce department administrative costs.  For example, under Option 4, there is a significant reduction in the administration of entitlement management activities by the department.  Any reduction in departmental administrative costs would be fed into the next review of fees and charges conducted by the department.</w:t>
      </w:r>
    </w:p>
    <w:p w14:paraId="73697856" w14:textId="77777777" w:rsidR="00EC4659" w:rsidRPr="00EC4659" w:rsidRDefault="00EC4659" w:rsidP="00EC4659">
      <w:pPr>
        <w:spacing w:after="160" w:line="259" w:lineRule="auto"/>
        <w:rPr>
          <w:rFonts w:ascii="Calibri" w:hAnsi="Calibri"/>
          <w:szCs w:val="22"/>
        </w:rPr>
      </w:pPr>
    </w:p>
    <w:p w14:paraId="303A730E"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sectPr w:rsidR="00EC4659" w:rsidRPr="00EC4659" w:rsidSect="00EC4659">
          <w:pgSz w:w="11906" w:h="16838"/>
          <w:pgMar w:top="1440" w:right="1440" w:bottom="1135" w:left="1440" w:header="708" w:footer="708" w:gutter="0"/>
          <w:cols w:space="708"/>
          <w:docGrid w:linePitch="360"/>
        </w:sectPr>
      </w:pPr>
    </w:p>
    <w:p w14:paraId="4D5CA4A5"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pPr>
      <w:bookmarkStart w:id="181" w:name="_Toc27482972"/>
      <w:r w:rsidRPr="00EC4659">
        <w:rPr>
          <w:rFonts w:ascii="Calibri Light" w:eastAsia="SimSun" w:hAnsi="Calibri Light"/>
          <w:color w:val="2E74B5"/>
          <w:sz w:val="32"/>
          <w:szCs w:val="32"/>
        </w:rPr>
        <w:lastRenderedPageBreak/>
        <w:t>Appendix A - Consultation process</w:t>
      </w:r>
      <w:bookmarkEnd w:id="181"/>
    </w:p>
    <w:p w14:paraId="76252F7F"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In line with the Australian Government Guide to Regulation on consultation, the department undertook a targeted consultation process.  This was in recognition that there is a well-defined business sector directly affected by the proposed regulatory changes.  At the time of consultation there were approximately 106 exporters in Australia utilising export TRQs.</w:t>
      </w:r>
    </w:p>
    <w:p w14:paraId="0B9C080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following groups were considered the key stakeholders and were consulted with during the process:</w:t>
      </w:r>
    </w:p>
    <w:p w14:paraId="7BEC0BB7"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Australian Dairy Products Federation (Melbourne)</w:t>
      </w:r>
    </w:p>
    <w:p w14:paraId="298A6744"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Dairy Australia (Melbourne)</w:t>
      </w:r>
    </w:p>
    <w:p w14:paraId="3DA851E0"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Australian Meat Industry Council (Sydney)</w:t>
      </w:r>
    </w:p>
    <w:p w14:paraId="7D59E4B9"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Australian Honey Bee Industry Council (Brisbane)</w:t>
      </w:r>
    </w:p>
    <w:p w14:paraId="7CA8920D"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Australian Pork Limited (Canberra)</w:t>
      </w:r>
    </w:p>
    <w:p w14:paraId="69F7FEDF"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Australian Chicken Meat Federation (Sydney)</w:t>
      </w:r>
    </w:p>
    <w:p w14:paraId="69F99E7B"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Australian Beverages Council (Sydney)</w:t>
      </w:r>
    </w:p>
    <w:p w14:paraId="2841BCFC"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Red meat quota holders and exporters identified in our system</w:t>
      </w:r>
    </w:p>
    <w:p w14:paraId="7CFBE363"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Dairy quota holders and exporters identified in our system</w:t>
      </w:r>
    </w:p>
    <w:p w14:paraId="664F56FB" w14:textId="77777777" w:rsidR="00EC4659" w:rsidRPr="00EC4659" w:rsidRDefault="00EC4659" w:rsidP="00EC4659">
      <w:pPr>
        <w:tabs>
          <w:tab w:val="num" w:pos="643"/>
        </w:tabs>
        <w:spacing w:before="120" w:after="120" w:line="259" w:lineRule="auto"/>
        <w:ind w:left="641" w:hanging="357"/>
        <w:contextualSpacing/>
        <w:rPr>
          <w:rFonts w:ascii="Calibri" w:hAnsi="Calibri"/>
          <w:szCs w:val="22"/>
        </w:rPr>
      </w:pPr>
      <w:r w:rsidRPr="00EC4659">
        <w:rPr>
          <w:rFonts w:ascii="Calibri" w:hAnsi="Calibri"/>
          <w:szCs w:val="22"/>
        </w:rPr>
        <w:t>Japan quota exporters identified in our system</w:t>
      </w:r>
    </w:p>
    <w:p w14:paraId="0CC8CB81"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In addition, the department consulted with the Department of Foreign Affairs and Trade (DFAT) to ensure they were informed of proposed changes, and so that any unforeseen international treaty or trade agreement implications could be raised.</w:t>
      </w:r>
    </w:p>
    <w:p w14:paraId="0E33D20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formal consultation process was initiated by the publication of the </w:t>
      </w:r>
      <w:r w:rsidRPr="00EC4659">
        <w:rPr>
          <w:rFonts w:ascii="Calibri" w:hAnsi="Calibri"/>
          <w:i/>
          <w:szCs w:val="22"/>
        </w:rPr>
        <w:t>Regulation Impact Statement; export tariff rate quota regulatory streamlining</w:t>
      </w:r>
      <w:r w:rsidRPr="00EC4659">
        <w:rPr>
          <w:rFonts w:ascii="Calibri" w:hAnsi="Calibri"/>
          <w:szCs w:val="22"/>
        </w:rPr>
        <w:t xml:space="preserve">, on 31 March 2017.  The document was made available on the department’s website, as well as being provided directly to all relevant stakeholders identified by the department in accordance with the RIS consultation plan.  </w:t>
      </w:r>
    </w:p>
    <w:p w14:paraId="750E33C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On 6 and 7 April the department held meetings or teleconferences with industry body representatives to provide clarification on any matters ahead of the face-to-face consultation sessions.  These were attended by Australian Meat Industry Council (AMIC), Dairy Australia, the Australian Dairy Products Federation (ADPF), the Australian Chicken Meat Federation, the Australian Beverages Council and the Australian Honey Bee Industry Council.</w:t>
      </w:r>
    </w:p>
    <w:p w14:paraId="3CE5718C" w14:textId="77777777" w:rsidR="00EC4659" w:rsidRPr="00EC4659" w:rsidRDefault="00EC4659" w:rsidP="00EC4659">
      <w:pPr>
        <w:spacing w:before="200" w:line="259" w:lineRule="auto"/>
        <w:rPr>
          <w:rFonts w:ascii="Calibri" w:hAnsi="Calibri"/>
          <w:color w:val="5B9BD5"/>
          <w:sz w:val="26"/>
          <w:szCs w:val="26"/>
        </w:rPr>
      </w:pPr>
      <w:r w:rsidRPr="00EC4659">
        <w:rPr>
          <w:rFonts w:ascii="Calibri" w:hAnsi="Calibri"/>
          <w:color w:val="5B9BD5"/>
          <w:sz w:val="26"/>
          <w:szCs w:val="26"/>
        </w:rPr>
        <w:t>First round of consultation</w:t>
      </w:r>
    </w:p>
    <w:p w14:paraId="4941E54B"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Three consultation workshops were held in Brisbane (4 May), Sydney (9 May) and Melbourne (11 May).</w:t>
      </w:r>
    </w:p>
    <w:p w14:paraId="00065B7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Sectors represented at the workshops included:</w:t>
      </w:r>
    </w:p>
    <w:p w14:paraId="0EF0C42C" w14:textId="77777777" w:rsidR="00EC4659" w:rsidRPr="00EC4659" w:rsidRDefault="00EC4659" w:rsidP="000F6D46">
      <w:pPr>
        <w:numPr>
          <w:ilvl w:val="0"/>
          <w:numId w:val="87"/>
        </w:numPr>
        <w:spacing w:after="160" w:line="240" w:lineRule="auto"/>
        <w:contextualSpacing/>
        <w:rPr>
          <w:rFonts w:ascii="Calibri" w:hAnsi="Calibri"/>
          <w:szCs w:val="22"/>
        </w:rPr>
      </w:pPr>
      <w:r w:rsidRPr="00EC4659">
        <w:rPr>
          <w:rFonts w:ascii="Calibri" w:hAnsi="Calibri"/>
          <w:szCs w:val="22"/>
        </w:rPr>
        <w:t>Meat industry (exporters and industry representatives)</w:t>
      </w:r>
    </w:p>
    <w:p w14:paraId="45A285D5" w14:textId="77777777" w:rsidR="00EC4659" w:rsidRPr="00EC4659" w:rsidRDefault="00EC4659" w:rsidP="000F6D46">
      <w:pPr>
        <w:numPr>
          <w:ilvl w:val="0"/>
          <w:numId w:val="87"/>
        </w:numPr>
        <w:spacing w:after="160" w:line="240" w:lineRule="auto"/>
        <w:contextualSpacing/>
        <w:rPr>
          <w:rFonts w:ascii="Calibri" w:hAnsi="Calibri"/>
          <w:szCs w:val="22"/>
        </w:rPr>
      </w:pPr>
      <w:r w:rsidRPr="00EC4659">
        <w:rPr>
          <w:rFonts w:ascii="Calibri" w:hAnsi="Calibri"/>
          <w:szCs w:val="22"/>
        </w:rPr>
        <w:t>Dairy industry (manufacturers, exporters and industry representatives)</w:t>
      </w:r>
    </w:p>
    <w:p w14:paraId="06F50635" w14:textId="77777777" w:rsidR="00EC4659" w:rsidRPr="00EC4659" w:rsidRDefault="00EC4659" w:rsidP="000F6D46">
      <w:pPr>
        <w:numPr>
          <w:ilvl w:val="0"/>
          <w:numId w:val="87"/>
        </w:numPr>
        <w:spacing w:after="120" w:line="240" w:lineRule="auto"/>
        <w:contextualSpacing/>
        <w:rPr>
          <w:rFonts w:ascii="Calibri" w:hAnsi="Calibri"/>
          <w:szCs w:val="22"/>
        </w:rPr>
      </w:pPr>
      <w:r w:rsidRPr="00EC4659">
        <w:rPr>
          <w:rFonts w:ascii="Calibri" w:hAnsi="Calibri"/>
          <w:szCs w:val="22"/>
        </w:rPr>
        <w:t>Honey industry (exporter)</w:t>
      </w:r>
    </w:p>
    <w:p w14:paraId="00FBC7A5"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The following table lists the attendees.</w:t>
      </w:r>
    </w:p>
    <w:tbl>
      <w:tblPr>
        <w:tblStyle w:val="TableGrid1"/>
        <w:tblW w:w="0" w:type="auto"/>
        <w:tblLook w:val="04A0" w:firstRow="1" w:lastRow="0" w:firstColumn="1" w:lastColumn="0" w:noHBand="0" w:noVBand="1"/>
        <w:tblCaption w:val="Consultation workshop attendee list"/>
        <w:tblDescription w:val="This table lists the attendees at each of the three consultation workships held."/>
      </w:tblPr>
      <w:tblGrid>
        <w:gridCol w:w="2513"/>
        <w:gridCol w:w="2755"/>
        <w:gridCol w:w="3748"/>
      </w:tblGrid>
      <w:tr w:rsidR="00EC4659" w:rsidRPr="00EC4659" w14:paraId="294FDFF8" w14:textId="77777777" w:rsidTr="00EC4659">
        <w:tc>
          <w:tcPr>
            <w:tcW w:w="3321" w:type="dxa"/>
          </w:tcPr>
          <w:p w14:paraId="5626B4BF" w14:textId="77777777" w:rsidR="00EC4659" w:rsidRPr="00463809" w:rsidRDefault="00EC465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Brisbane</w:t>
            </w:r>
          </w:p>
        </w:tc>
        <w:tc>
          <w:tcPr>
            <w:tcW w:w="3620" w:type="dxa"/>
          </w:tcPr>
          <w:p w14:paraId="25F0D8E2" w14:textId="77777777" w:rsidR="00EC4659" w:rsidRPr="00463809" w:rsidRDefault="00EC465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Sydney</w:t>
            </w:r>
          </w:p>
        </w:tc>
        <w:tc>
          <w:tcPr>
            <w:tcW w:w="5245" w:type="dxa"/>
          </w:tcPr>
          <w:p w14:paraId="23BD1EB6" w14:textId="77777777" w:rsidR="00EC4659" w:rsidRPr="00463809" w:rsidRDefault="00EC4659" w:rsidP="00463809">
            <w:pPr>
              <w:spacing w:line="240" w:lineRule="auto"/>
              <w:rPr>
                <w:rFonts w:asciiTheme="minorHAnsi" w:eastAsiaTheme="minorHAnsi" w:hAnsiTheme="minorHAnsi" w:cstheme="minorBidi"/>
                <w:b/>
              </w:rPr>
            </w:pPr>
            <w:r w:rsidRPr="00463809">
              <w:rPr>
                <w:rFonts w:asciiTheme="minorHAnsi" w:eastAsiaTheme="minorHAnsi" w:hAnsiTheme="minorHAnsi" w:cstheme="minorBidi"/>
                <w:b/>
              </w:rPr>
              <w:t>Melbourne</w:t>
            </w:r>
          </w:p>
        </w:tc>
      </w:tr>
      <w:tr w:rsidR="00EC4659" w:rsidRPr="00EC4659" w14:paraId="1F9F91BE" w14:textId="77777777" w:rsidTr="00EC4659">
        <w:tc>
          <w:tcPr>
            <w:tcW w:w="3321" w:type="dxa"/>
          </w:tcPr>
          <w:p w14:paraId="784FFB3E"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Stephen Martyn - AMIC</w:t>
            </w:r>
          </w:p>
          <w:p w14:paraId="2F6664AC"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John Langbridge - Teys Australia</w:t>
            </w:r>
          </w:p>
          <w:p w14:paraId="0630EABD"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Ian Ball - John Dee Warwick</w:t>
            </w:r>
          </w:p>
          <w:p w14:paraId="1DA9F661"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lastRenderedPageBreak/>
              <w:t xml:space="preserve">Evelyn Telford - </w:t>
            </w:r>
            <w:proofErr w:type="spellStart"/>
            <w:r w:rsidRPr="00463809">
              <w:rPr>
                <w:rFonts w:asciiTheme="minorHAnsi" w:eastAsiaTheme="minorHAnsi" w:hAnsiTheme="minorHAnsi" w:cstheme="minorBidi"/>
              </w:rPr>
              <w:t>Capilano</w:t>
            </w:r>
            <w:proofErr w:type="spellEnd"/>
            <w:r w:rsidRPr="00463809">
              <w:rPr>
                <w:rFonts w:asciiTheme="minorHAnsi" w:eastAsiaTheme="minorHAnsi" w:hAnsiTheme="minorHAnsi" w:cstheme="minorBidi"/>
              </w:rPr>
              <w:t xml:space="preserve"> Honey</w:t>
            </w:r>
          </w:p>
        </w:tc>
        <w:tc>
          <w:tcPr>
            <w:tcW w:w="3620" w:type="dxa"/>
          </w:tcPr>
          <w:p w14:paraId="1C5DB70A"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lastRenderedPageBreak/>
              <w:t>Stephen Martyn - AMIC</w:t>
            </w:r>
          </w:p>
          <w:p w14:paraId="5243BF44"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Patrick Hutchinson - AMIC</w:t>
            </w:r>
          </w:p>
          <w:p w14:paraId="0C0D7C3B"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David Larkin - Thomas Foods International</w:t>
            </w:r>
          </w:p>
          <w:p w14:paraId="7C63A5D1"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proofErr w:type="spellStart"/>
            <w:r w:rsidRPr="00463809">
              <w:rPr>
                <w:rFonts w:asciiTheme="minorHAnsi" w:eastAsiaTheme="minorHAnsi" w:hAnsiTheme="minorHAnsi" w:cstheme="minorBidi"/>
              </w:rPr>
              <w:lastRenderedPageBreak/>
              <w:t>Keiran</w:t>
            </w:r>
            <w:proofErr w:type="spellEnd"/>
            <w:r w:rsidRPr="00463809">
              <w:rPr>
                <w:rFonts w:asciiTheme="minorHAnsi" w:eastAsiaTheme="minorHAnsi" w:hAnsiTheme="minorHAnsi" w:cstheme="minorBidi"/>
              </w:rPr>
              <w:t xml:space="preserve"> McLean - Fletcher International Exports</w:t>
            </w:r>
          </w:p>
          <w:p w14:paraId="15DD4095"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Debbie Fotiadis - </w:t>
            </w:r>
            <w:proofErr w:type="spellStart"/>
            <w:r w:rsidRPr="00463809">
              <w:rPr>
                <w:rFonts w:asciiTheme="minorHAnsi" w:eastAsiaTheme="minorHAnsi" w:hAnsiTheme="minorHAnsi" w:cstheme="minorBidi"/>
              </w:rPr>
              <w:t>Dunnett</w:t>
            </w:r>
            <w:proofErr w:type="spellEnd"/>
            <w:r w:rsidRPr="00463809">
              <w:rPr>
                <w:rFonts w:asciiTheme="minorHAnsi" w:eastAsiaTheme="minorHAnsi" w:hAnsiTheme="minorHAnsi" w:cstheme="minorBidi"/>
              </w:rPr>
              <w:t xml:space="preserve"> &amp; Johnston</w:t>
            </w:r>
          </w:p>
        </w:tc>
        <w:tc>
          <w:tcPr>
            <w:tcW w:w="5245" w:type="dxa"/>
          </w:tcPr>
          <w:p w14:paraId="64035F21"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lastRenderedPageBreak/>
              <w:t>Robert Pettit - Dairy Australia</w:t>
            </w:r>
          </w:p>
          <w:p w14:paraId="70656E5F"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Peter Stahle – Australian Dairy Products Federation</w:t>
            </w:r>
          </w:p>
          <w:p w14:paraId="7E48163D"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Peter Hurst - Australian Meat Group</w:t>
            </w:r>
          </w:p>
          <w:p w14:paraId="2E8A195F"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lastRenderedPageBreak/>
              <w:t>Michael White – Warrnambool Cheese and Butter/Saputo</w:t>
            </w:r>
          </w:p>
          <w:p w14:paraId="02FC2B0E"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Gibbs Woreta – Warrnambool Cheese and Butter/Saputo</w:t>
            </w:r>
          </w:p>
          <w:p w14:paraId="1F0C6DE3"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Phil Green – JBS Australia</w:t>
            </w:r>
          </w:p>
          <w:p w14:paraId="3AE060FA"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Matt </w:t>
            </w:r>
            <w:proofErr w:type="spellStart"/>
            <w:r w:rsidRPr="00463809">
              <w:rPr>
                <w:rFonts w:asciiTheme="minorHAnsi" w:eastAsiaTheme="minorHAnsi" w:hAnsiTheme="minorHAnsi" w:cstheme="minorBidi"/>
              </w:rPr>
              <w:t>Luttick</w:t>
            </w:r>
            <w:proofErr w:type="spellEnd"/>
            <w:r w:rsidRPr="00463809">
              <w:rPr>
                <w:rFonts w:asciiTheme="minorHAnsi" w:eastAsiaTheme="minorHAnsi" w:hAnsiTheme="minorHAnsi" w:cstheme="minorBidi"/>
              </w:rPr>
              <w:t xml:space="preserve"> - </w:t>
            </w:r>
            <w:proofErr w:type="spellStart"/>
            <w:r w:rsidRPr="00463809">
              <w:rPr>
                <w:rFonts w:asciiTheme="minorHAnsi" w:eastAsiaTheme="minorHAnsi" w:hAnsiTheme="minorHAnsi" w:cstheme="minorBidi"/>
              </w:rPr>
              <w:t>Luttick</w:t>
            </w:r>
            <w:proofErr w:type="spellEnd"/>
            <w:r w:rsidRPr="00463809">
              <w:rPr>
                <w:rFonts w:asciiTheme="minorHAnsi" w:eastAsiaTheme="minorHAnsi" w:hAnsiTheme="minorHAnsi" w:cstheme="minorBidi"/>
              </w:rPr>
              <w:t xml:space="preserve"> Australia</w:t>
            </w:r>
          </w:p>
          <w:p w14:paraId="4CF53A8D"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Bill </w:t>
            </w:r>
            <w:proofErr w:type="spellStart"/>
            <w:r w:rsidRPr="00463809">
              <w:rPr>
                <w:rFonts w:asciiTheme="minorHAnsi" w:eastAsiaTheme="minorHAnsi" w:hAnsiTheme="minorHAnsi" w:cstheme="minorBidi"/>
              </w:rPr>
              <w:t>Luttick</w:t>
            </w:r>
            <w:proofErr w:type="spellEnd"/>
            <w:r w:rsidRPr="00463809">
              <w:rPr>
                <w:rFonts w:asciiTheme="minorHAnsi" w:eastAsiaTheme="minorHAnsi" w:hAnsiTheme="minorHAnsi" w:cstheme="minorBidi"/>
              </w:rPr>
              <w:t xml:space="preserve"> - </w:t>
            </w:r>
            <w:proofErr w:type="spellStart"/>
            <w:r w:rsidRPr="00463809">
              <w:rPr>
                <w:rFonts w:asciiTheme="minorHAnsi" w:eastAsiaTheme="minorHAnsi" w:hAnsiTheme="minorHAnsi" w:cstheme="minorBidi"/>
              </w:rPr>
              <w:t>Luttick</w:t>
            </w:r>
            <w:proofErr w:type="spellEnd"/>
            <w:r w:rsidRPr="00463809">
              <w:rPr>
                <w:rFonts w:asciiTheme="minorHAnsi" w:eastAsiaTheme="minorHAnsi" w:hAnsiTheme="minorHAnsi" w:cstheme="minorBidi"/>
              </w:rPr>
              <w:t xml:space="preserve"> Australia</w:t>
            </w:r>
          </w:p>
          <w:p w14:paraId="76D403FE"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Matt Cooper - </w:t>
            </w:r>
            <w:proofErr w:type="spellStart"/>
            <w:r w:rsidRPr="00463809">
              <w:rPr>
                <w:rFonts w:asciiTheme="minorHAnsi" w:eastAsiaTheme="minorHAnsi" w:hAnsiTheme="minorHAnsi" w:cstheme="minorBidi"/>
              </w:rPr>
              <w:t>Ausfine</w:t>
            </w:r>
            <w:proofErr w:type="spellEnd"/>
            <w:r w:rsidRPr="00463809">
              <w:rPr>
                <w:rFonts w:asciiTheme="minorHAnsi" w:eastAsiaTheme="minorHAnsi" w:hAnsiTheme="minorHAnsi" w:cstheme="minorBidi"/>
              </w:rPr>
              <w:t xml:space="preserve"> Foods (dairy/meat)</w:t>
            </w:r>
          </w:p>
          <w:p w14:paraId="3EAA2022"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James Taylor - </w:t>
            </w:r>
            <w:proofErr w:type="spellStart"/>
            <w:r w:rsidRPr="00463809">
              <w:rPr>
                <w:rFonts w:asciiTheme="minorHAnsi" w:eastAsiaTheme="minorHAnsi" w:hAnsiTheme="minorHAnsi" w:cstheme="minorBidi"/>
              </w:rPr>
              <w:t>Warmoll</w:t>
            </w:r>
            <w:proofErr w:type="spellEnd"/>
            <w:r w:rsidRPr="00463809">
              <w:rPr>
                <w:rFonts w:asciiTheme="minorHAnsi" w:eastAsiaTheme="minorHAnsi" w:hAnsiTheme="minorHAnsi" w:cstheme="minorBidi"/>
              </w:rPr>
              <w:t xml:space="preserve"> Foods (via teleconference)</w:t>
            </w:r>
          </w:p>
        </w:tc>
      </w:tr>
      <w:tr w:rsidR="00EC4659" w:rsidRPr="00EC4659" w14:paraId="6A2012E7" w14:textId="77777777" w:rsidTr="00EC4659">
        <w:tc>
          <w:tcPr>
            <w:tcW w:w="3321" w:type="dxa"/>
          </w:tcPr>
          <w:p w14:paraId="47A6F440"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lastRenderedPageBreak/>
              <w:t>Ian Cattle - DAWR</w:t>
            </w:r>
          </w:p>
          <w:p w14:paraId="6AF50700"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Damien Gibbons - DAWR</w:t>
            </w:r>
          </w:p>
          <w:p w14:paraId="551A7D57"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Matthew Arthur - DAWR</w:t>
            </w:r>
          </w:p>
          <w:p w14:paraId="744753A2"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Simon Orme - </w:t>
            </w:r>
            <w:proofErr w:type="spellStart"/>
            <w:r w:rsidRPr="00463809">
              <w:rPr>
                <w:rFonts w:asciiTheme="minorHAnsi" w:eastAsiaTheme="minorHAnsi" w:hAnsiTheme="minorHAnsi" w:cstheme="minorBidi"/>
              </w:rPr>
              <w:t>Sapere</w:t>
            </w:r>
            <w:proofErr w:type="spellEnd"/>
          </w:p>
          <w:p w14:paraId="6F6076AB"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Howard Zhang - </w:t>
            </w:r>
            <w:proofErr w:type="spellStart"/>
            <w:r w:rsidRPr="00463809">
              <w:rPr>
                <w:rFonts w:asciiTheme="minorHAnsi" w:eastAsiaTheme="minorHAnsi" w:hAnsiTheme="minorHAnsi" w:cstheme="minorBidi"/>
              </w:rPr>
              <w:t>Sapere</w:t>
            </w:r>
            <w:proofErr w:type="spellEnd"/>
          </w:p>
        </w:tc>
        <w:tc>
          <w:tcPr>
            <w:tcW w:w="3620" w:type="dxa"/>
          </w:tcPr>
          <w:p w14:paraId="62B57209"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Ian Cattle - DAWR</w:t>
            </w:r>
          </w:p>
          <w:p w14:paraId="65E49D1B"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Damien Gibbons - DAWR</w:t>
            </w:r>
          </w:p>
          <w:p w14:paraId="0E6C0CD9"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Simon Orme - </w:t>
            </w:r>
            <w:proofErr w:type="spellStart"/>
            <w:r w:rsidRPr="00463809">
              <w:rPr>
                <w:rFonts w:asciiTheme="minorHAnsi" w:eastAsiaTheme="minorHAnsi" w:hAnsiTheme="minorHAnsi" w:cstheme="minorBidi"/>
              </w:rPr>
              <w:t>Sapere</w:t>
            </w:r>
            <w:proofErr w:type="spellEnd"/>
          </w:p>
          <w:p w14:paraId="623593DB"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James </w:t>
            </w:r>
            <w:proofErr w:type="spellStart"/>
            <w:r w:rsidRPr="00463809">
              <w:rPr>
                <w:rFonts w:asciiTheme="minorHAnsi" w:eastAsiaTheme="minorHAnsi" w:hAnsiTheme="minorHAnsi" w:cstheme="minorBidi"/>
              </w:rPr>
              <w:t>Swansson</w:t>
            </w:r>
            <w:proofErr w:type="spellEnd"/>
            <w:r w:rsidRPr="00463809">
              <w:rPr>
                <w:rFonts w:asciiTheme="minorHAnsi" w:eastAsiaTheme="minorHAnsi" w:hAnsiTheme="minorHAnsi" w:cstheme="minorBidi"/>
              </w:rPr>
              <w:t xml:space="preserve"> - </w:t>
            </w:r>
            <w:proofErr w:type="spellStart"/>
            <w:r w:rsidRPr="00463809">
              <w:rPr>
                <w:rFonts w:asciiTheme="minorHAnsi" w:eastAsiaTheme="minorHAnsi" w:hAnsiTheme="minorHAnsi" w:cstheme="minorBidi"/>
              </w:rPr>
              <w:t>Sapere</w:t>
            </w:r>
            <w:proofErr w:type="spellEnd"/>
          </w:p>
        </w:tc>
        <w:tc>
          <w:tcPr>
            <w:tcW w:w="5245" w:type="dxa"/>
          </w:tcPr>
          <w:p w14:paraId="3C762D26"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Ian Cattle - DAWR</w:t>
            </w:r>
          </w:p>
          <w:p w14:paraId="1CAED68F"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Damien Gibbons - DAWR</w:t>
            </w:r>
          </w:p>
          <w:p w14:paraId="7A69F7EC"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Matthew Arthur - DAWR</w:t>
            </w:r>
          </w:p>
          <w:p w14:paraId="4E591FFB"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Simon Orme - </w:t>
            </w:r>
            <w:proofErr w:type="spellStart"/>
            <w:r w:rsidRPr="00463809">
              <w:rPr>
                <w:rFonts w:asciiTheme="minorHAnsi" w:eastAsiaTheme="minorHAnsi" w:hAnsiTheme="minorHAnsi" w:cstheme="minorBidi"/>
              </w:rPr>
              <w:t>Sapere</w:t>
            </w:r>
            <w:proofErr w:type="spellEnd"/>
          </w:p>
          <w:p w14:paraId="4C2CB4C7" w14:textId="77777777" w:rsidR="00EC4659" w:rsidRPr="00463809" w:rsidRDefault="00EC4659" w:rsidP="000F6D46">
            <w:pPr>
              <w:pStyle w:val="ListParagraph"/>
              <w:numPr>
                <w:ilvl w:val="0"/>
                <w:numId w:val="90"/>
              </w:numPr>
              <w:spacing w:line="240" w:lineRule="auto"/>
              <w:rPr>
                <w:rFonts w:asciiTheme="minorHAnsi" w:eastAsiaTheme="minorHAnsi" w:hAnsiTheme="minorHAnsi" w:cstheme="minorBidi"/>
              </w:rPr>
            </w:pPr>
            <w:r w:rsidRPr="00463809">
              <w:rPr>
                <w:rFonts w:asciiTheme="minorHAnsi" w:eastAsiaTheme="minorHAnsi" w:hAnsiTheme="minorHAnsi" w:cstheme="minorBidi"/>
              </w:rPr>
              <w:t xml:space="preserve">James </w:t>
            </w:r>
            <w:proofErr w:type="spellStart"/>
            <w:r w:rsidRPr="00463809">
              <w:rPr>
                <w:rFonts w:asciiTheme="minorHAnsi" w:eastAsiaTheme="minorHAnsi" w:hAnsiTheme="minorHAnsi" w:cstheme="minorBidi"/>
              </w:rPr>
              <w:t>Swansson</w:t>
            </w:r>
            <w:proofErr w:type="spellEnd"/>
            <w:r w:rsidRPr="00463809">
              <w:rPr>
                <w:rFonts w:asciiTheme="minorHAnsi" w:eastAsiaTheme="minorHAnsi" w:hAnsiTheme="minorHAnsi" w:cstheme="minorBidi"/>
              </w:rPr>
              <w:t xml:space="preserve"> - </w:t>
            </w:r>
            <w:proofErr w:type="spellStart"/>
            <w:r w:rsidRPr="00463809">
              <w:rPr>
                <w:rFonts w:asciiTheme="minorHAnsi" w:eastAsiaTheme="minorHAnsi" w:hAnsiTheme="minorHAnsi" w:cstheme="minorBidi"/>
              </w:rPr>
              <w:t>Sapere</w:t>
            </w:r>
            <w:proofErr w:type="spellEnd"/>
          </w:p>
        </w:tc>
      </w:tr>
    </w:tbl>
    <w:p w14:paraId="6B82153C"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The agenda consisted of the following:</w:t>
      </w:r>
    </w:p>
    <w:p w14:paraId="78759F85" w14:textId="77777777" w:rsidR="00EC4659" w:rsidRPr="00EC4659" w:rsidRDefault="00EC4659" w:rsidP="000F6D46">
      <w:pPr>
        <w:numPr>
          <w:ilvl w:val="0"/>
          <w:numId w:val="88"/>
        </w:numPr>
        <w:spacing w:after="160" w:line="259" w:lineRule="auto"/>
        <w:contextualSpacing/>
        <w:rPr>
          <w:rFonts w:ascii="Calibri" w:hAnsi="Calibri"/>
          <w:szCs w:val="22"/>
        </w:rPr>
      </w:pPr>
      <w:r w:rsidRPr="00EC4659">
        <w:rPr>
          <w:rFonts w:ascii="Calibri" w:hAnsi="Calibri"/>
          <w:szCs w:val="22"/>
        </w:rPr>
        <w:t>Overview of the RIS and proposed streamlining options.</w:t>
      </w:r>
    </w:p>
    <w:p w14:paraId="5375B3EA" w14:textId="77777777" w:rsidR="00EC4659" w:rsidRPr="00EC4659" w:rsidRDefault="00EC4659" w:rsidP="000F6D46">
      <w:pPr>
        <w:numPr>
          <w:ilvl w:val="0"/>
          <w:numId w:val="88"/>
        </w:numPr>
        <w:spacing w:after="160" w:line="259" w:lineRule="auto"/>
        <w:contextualSpacing/>
        <w:rPr>
          <w:rFonts w:ascii="Calibri" w:hAnsi="Calibri"/>
          <w:szCs w:val="22"/>
        </w:rPr>
      </w:pPr>
      <w:r w:rsidRPr="00EC4659">
        <w:rPr>
          <w:rFonts w:ascii="Calibri" w:hAnsi="Calibri"/>
          <w:szCs w:val="22"/>
        </w:rPr>
        <w:t>Discussion – using the questions in the RIS (see below).</w:t>
      </w:r>
    </w:p>
    <w:p w14:paraId="658408EC" w14:textId="77777777" w:rsidR="00EC4659" w:rsidRPr="00EC4659" w:rsidRDefault="00EC4659" w:rsidP="000F6D46">
      <w:pPr>
        <w:numPr>
          <w:ilvl w:val="0"/>
          <w:numId w:val="88"/>
        </w:numPr>
        <w:spacing w:after="120" w:line="259" w:lineRule="auto"/>
        <w:contextualSpacing/>
        <w:rPr>
          <w:rFonts w:ascii="Calibri" w:hAnsi="Calibri"/>
          <w:szCs w:val="22"/>
        </w:rPr>
      </w:pPr>
      <w:r w:rsidRPr="00EC4659">
        <w:rPr>
          <w:rFonts w:ascii="Calibri" w:hAnsi="Calibri"/>
          <w:szCs w:val="22"/>
        </w:rPr>
        <w:t>Final questions and wrap up.</w:t>
      </w:r>
    </w:p>
    <w:p w14:paraId="15573BAD"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Consultation was to conclude on 30 May 2017 but was initially extended at the request of stakeholders until 30 June 2017.  A further extension was granted following requests from the industry body representatives with the consultation period formally concluding on 16 August 2017.</w:t>
      </w:r>
    </w:p>
    <w:p w14:paraId="4E990B9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Following the workshops, a written submission on the RIS was received from AMIC on 22 May 2017.</w:t>
      </w:r>
    </w:p>
    <w:p w14:paraId="605DFB4A" w14:textId="77777777" w:rsidR="00EC4659" w:rsidRPr="00EC4659" w:rsidRDefault="00EC4659" w:rsidP="00EC4659">
      <w:pPr>
        <w:spacing w:before="200" w:line="259" w:lineRule="auto"/>
        <w:rPr>
          <w:rFonts w:ascii="Calibri" w:hAnsi="Calibri"/>
          <w:color w:val="5B9BD5"/>
          <w:sz w:val="26"/>
          <w:szCs w:val="26"/>
        </w:rPr>
      </w:pPr>
      <w:r w:rsidRPr="00EC4659">
        <w:rPr>
          <w:rFonts w:ascii="Calibri" w:hAnsi="Calibri"/>
          <w:color w:val="5B9BD5"/>
          <w:sz w:val="26"/>
          <w:szCs w:val="26"/>
        </w:rPr>
        <w:t>Second round of consultation</w:t>
      </w:r>
    </w:p>
    <w:p w14:paraId="107E2D8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In response to stakeholder feedback at the workshops and AMIC’s written submission in May 2017, the department developed a fourth option in May.  This was provided in the form of a set of quota-specific papers presented to relevant stakeholders (see Appendix E).  A dairy quota paper was provided to dairy industry stakeholders via email on 22 May 2017.  Three meat quota papers were provided to meat industry stakeholders via email on 2 June 2017.  The department requested stakeholders review and comment on the proposals.  As the fourth option did not propose changes to the other TRQs, no papers were developed regarding these.</w:t>
      </w:r>
    </w:p>
    <w:p w14:paraId="53A4B61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respective industry bodies held discussions with their stakeholders and coordinated responses on their behalf.  The following responses were received: </w:t>
      </w:r>
    </w:p>
    <w:p w14:paraId="70EA2602" w14:textId="77777777" w:rsidR="00EC4659" w:rsidRPr="00EC4659" w:rsidRDefault="00EC4659" w:rsidP="000F6D46">
      <w:pPr>
        <w:numPr>
          <w:ilvl w:val="0"/>
          <w:numId w:val="94"/>
        </w:numPr>
        <w:spacing w:after="160" w:line="259" w:lineRule="auto"/>
        <w:contextualSpacing/>
        <w:rPr>
          <w:rFonts w:ascii="Calibri" w:hAnsi="Calibri"/>
          <w:szCs w:val="22"/>
        </w:rPr>
      </w:pPr>
      <w:r w:rsidRPr="00EC4659">
        <w:rPr>
          <w:rFonts w:ascii="Calibri" w:hAnsi="Calibri"/>
          <w:szCs w:val="22"/>
        </w:rPr>
        <w:t>AMIC (second submission) on behalf of meat stakeholders on 7 August 2017,</w:t>
      </w:r>
    </w:p>
    <w:p w14:paraId="61C10785" w14:textId="77777777" w:rsidR="00EC4659" w:rsidRPr="00EC4659" w:rsidRDefault="00EC4659" w:rsidP="000F6D46">
      <w:pPr>
        <w:numPr>
          <w:ilvl w:val="0"/>
          <w:numId w:val="89"/>
        </w:numPr>
        <w:spacing w:after="120" w:line="259" w:lineRule="auto"/>
        <w:contextualSpacing/>
        <w:rPr>
          <w:rFonts w:ascii="Calibri" w:hAnsi="Calibri"/>
          <w:szCs w:val="22"/>
        </w:rPr>
      </w:pPr>
      <w:r w:rsidRPr="00EC4659">
        <w:rPr>
          <w:rFonts w:ascii="Calibri" w:hAnsi="Calibri"/>
          <w:szCs w:val="22"/>
        </w:rPr>
        <w:t>ADPF on behalf of dairy stakeholders on 11 August 2017.</w:t>
      </w:r>
    </w:p>
    <w:p w14:paraId="454A6FA1"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In addition, JBS Australia provided a separate response in the form of marked up comments on AMIC’s second submission on 7 August.  JBS Australia is not a member of AMIC.  </w:t>
      </w:r>
    </w:p>
    <w:p w14:paraId="53A9460F" w14:textId="77777777" w:rsidR="00EC4659" w:rsidRPr="00EC4659" w:rsidRDefault="00EC4659" w:rsidP="00EC4659">
      <w:pPr>
        <w:spacing w:before="120" w:line="259" w:lineRule="auto"/>
        <w:rPr>
          <w:rFonts w:ascii="Calibri" w:hAnsi="Calibri"/>
          <w:szCs w:val="22"/>
        </w:rPr>
      </w:pPr>
      <w:r w:rsidRPr="00EC4659">
        <w:rPr>
          <w:rFonts w:ascii="Calibri" w:hAnsi="Calibri"/>
          <w:szCs w:val="22"/>
        </w:rPr>
        <w:t xml:space="preserve">On 16 August, the department sought and received clarification on aspects of the ADPF submission.  The consultation period closed following the receipt of this final information. </w:t>
      </w:r>
    </w:p>
    <w:p w14:paraId="1FF18DBC" w14:textId="77777777" w:rsidR="00EC4659" w:rsidRPr="00EC4659" w:rsidRDefault="00EC4659" w:rsidP="00EC4659">
      <w:pPr>
        <w:keepNext/>
        <w:spacing w:before="200" w:line="259" w:lineRule="auto"/>
        <w:rPr>
          <w:rFonts w:ascii="Calibri" w:hAnsi="Calibri"/>
          <w:color w:val="5B9BD5"/>
          <w:sz w:val="26"/>
          <w:szCs w:val="26"/>
        </w:rPr>
      </w:pPr>
      <w:r w:rsidRPr="00EC4659">
        <w:rPr>
          <w:rFonts w:ascii="Calibri" w:hAnsi="Calibri"/>
          <w:color w:val="5B9BD5"/>
          <w:sz w:val="26"/>
          <w:szCs w:val="26"/>
        </w:rPr>
        <w:lastRenderedPageBreak/>
        <w:t>Consultation topics</w:t>
      </w:r>
    </w:p>
    <w:p w14:paraId="10D7287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The topics provided for discussion during the consultation phase are set out below.  This is separated into high level considerations of the proposed systems and more targeted, system-specific questions. </w:t>
      </w:r>
    </w:p>
    <w:p w14:paraId="2936FA93" w14:textId="77777777" w:rsidR="00EC4659" w:rsidRPr="00EC4659" w:rsidRDefault="00EC4659" w:rsidP="00EC4659">
      <w:pPr>
        <w:spacing w:line="259" w:lineRule="auto"/>
        <w:ind w:firstLine="720"/>
        <w:rPr>
          <w:rFonts w:ascii="Calibri" w:hAnsi="Calibri"/>
          <w:color w:val="5B9BD5"/>
          <w:sz w:val="24"/>
          <w:szCs w:val="24"/>
        </w:rPr>
      </w:pPr>
      <w:r w:rsidRPr="00EC4659">
        <w:rPr>
          <w:rFonts w:ascii="Calibri" w:hAnsi="Calibri"/>
          <w:color w:val="5B9BD5"/>
          <w:sz w:val="24"/>
          <w:szCs w:val="24"/>
        </w:rPr>
        <w:t>Option 1</w:t>
      </w:r>
    </w:p>
    <w:tbl>
      <w:tblPr>
        <w:tblStyle w:val="TableGrid1"/>
        <w:tblW w:w="8789" w:type="dxa"/>
        <w:tblInd w:w="108" w:type="dxa"/>
        <w:tblLook w:val="04A0" w:firstRow="1" w:lastRow="0" w:firstColumn="1" w:lastColumn="0" w:noHBand="0" w:noVBand="1"/>
        <w:tblCaption w:val="Option 1 consultation questions"/>
        <w:tblDescription w:val="This table sets out the consultation questions ask regarding option 1."/>
      </w:tblPr>
      <w:tblGrid>
        <w:gridCol w:w="1418"/>
        <w:gridCol w:w="7371"/>
      </w:tblGrid>
      <w:tr w:rsidR="00EC4659" w:rsidRPr="00EC4659" w14:paraId="5FF70677" w14:textId="77777777" w:rsidTr="00EC4659">
        <w:tc>
          <w:tcPr>
            <w:tcW w:w="1418" w:type="dxa"/>
            <w:shd w:val="clear" w:color="auto" w:fill="DEEAF6"/>
          </w:tcPr>
          <w:p w14:paraId="3D37A17C" w14:textId="77777777" w:rsidR="00EC4659" w:rsidRPr="00EC4659" w:rsidRDefault="00EC4659" w:rsidP="00EC4659">
            <w:pPr>
              <w:spacing w:after="160" w:line="240" w:lineRule="auto"/>
              <w:rPr>
                <w:rFonts w:ascii="Calibri" w:hAnsi="Calibri"/>
                <w:b/>
                <w:bCs/>
                <w:sz w:val="20"/>
                <w:lang w:eastAsia="ja-JP"/>
              </w:rPr>
            </w:pPr>
            <w:r w:rsidRPr="00EC4659">
              <w:rPr>
                <w:rFonts w:ascii="Calibri" w:hAnsi="Calibri"/>
                <w:b/>
                <w:bCs/>
                <w:sz w:val="24"/>
                <w:szCs w:val="24"/>
              </w:rPr>
              <w:t>Parameter</w:t>
            </w:r>
          </w:p>
        </w:tc>
        <w:tc>
          <w:tcPr>
            <w:tcW w:w="7371" w:type="dxa"/>
            <w:shd w:val="clear" w:color="auto" w:fill="DEEAF6"/>
          </w:tcPr>
          <w:p w14:paraId="1A3AE1D9"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Question</w:t>
            </w:r>
          </w:p>
        </w:tc>
      </w:tr>
      <w:tr w:rsidR="00EC4659" w:rsidRPr="00EC4659" w14:paraId="7CE604B1" w14:textId="77777777" w:rsidTr="00EC4659">
        <w:tc>
          <w:tcPr>
            <w:tcW w:w="1418" w:type="dxa"/>
          </w:tcPr>
          <w:p w14:paraId="22BFEBC2" w14:textId="77777777" w:rsidR="00EC4659" w:rsidRPr="000F6D46" w:rsidRDefault="00EC4659" w:rsidP="000F6D46">
            <w:pPr>
              <w:spacing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General</w:t>
            </w:r>
          </w:p>
        </w:tc>
        <w:tc>
          <w:tcPr>
            <w:tcW w:w="7371" w:type="dxa"/>
          </w:tcPr>
          <w:p w14:paraId="37C433DD"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are the primary issues for exporters within the current systems?</w:t>
            </w:r>
          </w:p>
          <w:p w14:paraId="7D067C93"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are the favoured elements of the current systems and why?</w:t>
            </w:r>
          </w:p>
        </w:tc>
      </w:tr>
    </w:tbl>
    <w:p w14:paraId="1F4EECB8" w14:textId="77777777" w:rsidR="00EC4659" w:rsidRPr="00EC4659" w:rsidRDefault="00EC4659" w:rsidP="00EC4659">
      <w:pPr>
        <w:spacing w:line="259" w:lineRule="auto"/>
        <w:ind w:left="720"/>
        <w:rPr>
          <w:rFonts w:ascii="Calibri" w:hAnsi="Calibri"/>
          <w:color w:val="5B9BD5"/>
          <w:sz w:val="24"/>
          <w:szCs w:val="24"/>
        </w:rPr>
      </w:pPr>
      <w:r w:rsidRPr="00EC4659">
        <w:rPr>
          <w:rFonts w:ascii="Calibri" w:hAnsi="Calibri"/>
          <w:color w:val="5B9BD5"/>
          <w:sz w:val="24"/>
          <w:szCs w:val="24"/>
        </w:rPr>
        <w:br/>
        <w:t>Option 2</w:t>
      </w:r>
    </w:p>
    <w:tbl>
      <w:tblPr>
        <w:tblStyle w:val="TableGrid1"/>
        <w:tblW w:w="8759" w:type="dxa"/>
        <w:tblInd w:w="108" w:type="dxa"/>
        <w:tblLook w:val="04A0" w:firstRow="1" w:lastRow="0" w:firstColumn="1" w:lastColumn="0" w:noHBand="0" w:noVBand="1"/>
        <w:tblCaption w:val="Option 2 consultation questions"/>
        <w:tblDescription w:val="This table sets out the consultation questions ask regarding option 2."/>
      </w:tblPr>
      <w:tblGrid>
        <w:gridCol w:w="1417"/>
        <w:gridCol w:w="7342"/>
      </w:tblGrid>
      <w:tr w:rsidR="00EC4659" w:rsidRPr="00EC4659" w14:paraId="3A2CACB4" w14:textId="77777777" w:rsidTr="00EC4659">
        <w:trPr>
          <w:trHeight w:val="290"/>
        </w:trPr>
        <w:tc>
          <w:tcPr>
            <w:tcW w:w="1417" w:type="dxa"/>
            <w:shd w:val="clear" w:color="auto" w:fill="DEEAF6"/>
          </w:tcPr>
          <w:p w14:paraId="31DC1068"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Parameter</w:t>
            </w:r>
          </w:p>
        </w:tc>
        <w:tc>
          <w:tcPr>
            <w:tcW w:w="7342" w:type="dxa"/>
            <w:shd w:val="clear" w:color="auto" w:fill="DEEAF6"/>
          </w:tcPr>
          <w:p w14:paraId="626E3D25"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Question</w:t>
            </w:r>
          </w:p>
        </w:tc>
      </w:tr>
      <w:tr w:rsidR="00EC4659" w:rsidRPr="00EC4659" w14:paraId="28937555" w14:textId="77777777" w:rsidTr="00EC4659">
        <w:trPr>
          <w:trHeight w:val="403"/>
        </w:trPr>
        <w:tc>
          <w:tcPr>
            <w:tcW w:w="1417" w:type="dxa"/>
            <w:vMerge w:val="restart"/>
          </w:tcPr>
          <w:p w14:paraId="5EEA3D52" w14:textId="77777777" w:rsidR="00EC4659" w:rsidRPr="000F6D46" w:rsidRDefault="00EC4659" w:rsidP="000F6D46">
            <w:pPr>
              <w:spacing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General</w:t>
            </w:r>
          </w:p>
        </w:tc>
        <w:tc>
          <w:tcPr>
            <w:tcW w:w="7342" w:type="dxa"/>
          </w:tcPr>
          <w:p w14:paraId="5B3F5B03"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Is deregulation a favoured option?</w:t>
            </w:r>
          </w:p>
        </w:tc>
      </w:tr>
      <w:tr w:rsidR="00EC4659" w:rsidRPr="00EC4659" w14:paraId="0C182BFD" w14:textId="77777777" w:rsidTr="00EC4659">
        <w:trPr>
          <w:trHeight w:val="395"/>
        </w:trPr>
        <w:tc>
          <w:tcPr>
            <w:tcW w:w="1417" w:type="dxa"/>
            <w:vMerge/>
          </w:tcPr>
          <w:p w14:paraId="3C08FF4B" w14:textId="77777777" w:rsidR="00EC4659" w:rsidRPr="000F6D46" w:rsidRDefault="00EC4659" w:rsidP="000F6D46">
            <w:pPr>
              <w:spacing w:line="240" w:lineRule="auto"/>
              <w:rPr>
                <w:rFonts w:asciiTheme="minorHAnsi" w:eastAsiaTheme="minorHAnsi" w:hAnsiTheme="minorHAnsi" w:cstheme="minorBidi"/>
                <w:lang w:eastAsia="ja-JP"/>
              </w:rPr>
            </w:pPr>
          </w:p>
        </w:tc>
        <w:tc>
          <w:tcPr>
            <w:tcW w:w="7342" w:type="dxa"/>
          </w:tcPr>
          <w:p w14:paraId="4036A9AD"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are the favoured elements within a FCFS system and why?</w:t>
            </w:r>
          </w:p>
        </w:tc>
      </w:tr>
    </w:tbl>
    <w:p w14:paraId="165C5018" w14:textId="77777777" w:rsidR="00EC4659" w:rsidRPr="00EC4659" w:rsidRDefault="00EC4659" w:rsidP="00EC4659">
      <w:pPr>
        <w:spacing w:line="259" w:lineRule="auto"/>
        <w:ind w:firstLine="720"/>
        <w:rPr>
          <w:rFonts w:ascii="Calibri" w:hAnsi="Calibri"/>
          <w:color w:val="5B9BD5"/>
          <w:sz w:val="24"/>
          <w:szCs w:val="24"/>
        </w:rPr>
      </w:pPr>
    </w:p>
    <w:p w14:paraId="6E79719F" w14:textId="77777777" w:rsidR="00EC4659" w:rsidRPr="00EC4659" w:rsidRDefault="00EC4659" w:rsidP="00EC4659">
      <w:pPr>
        <w:spacing w:line="259" w:lineRule="auto"/>
        <w:ind w:firstLine="720"/>
        <w:rPr>
          <w:rFonts w:ascii="Calibri" w:hAnsi="Calibri"/>
          <w:szCs w:val="22"/>
        </w:rPr>
      </w:pPr>
      <w:r w:rsidRPr="00EC4659">
        <w:rPr>
          <w:rFonts w:ascii="Calibri" w:hAnsi="Calibri"/>
          <w:color w:val="5B9BD5"/>
          <w:sz w:val="24"/>
          <w:szCs w:val="24"/>
        </w:rPr>
        <w:t>Option 3</w:t>
      </w:r>
    </w:p>
    <w:tbl>
      <w:tblPr>
        <w:tblStyle w:val="TableGrid1"/>
        <w:tblW w:w="8789" w:type="dxa"/>
        <w:tblInd w:w="108" w:type="dxa"/>
        <w:tblLook w:val="04A0" w:firstRow="1" w:lastRow="0" w:firstColumn="1" w:lastColumn="0" w:noHBand="0" w:noVBand="1"/>
        <w:tblCaption w:val="Option 3 consultation questions - general."/>
        <w:tblDescription w:val="This table sets out the consultation questions ask regarding option 3 in general."/>
      </w:tblPr>
      <w:tblGrid>
        <w:gridCol w:w="1447"/>
        <w:gridCol w:w="7342"/>
      </w:tblGrid>
      <w:tr w:rsidR="00EC4659" w:rsidRPr="00EC4659" w14:paraId="530AB291" w14:textId="77777777" w:rsidTr="00EC4659">
        <w:tc>
          <w:tcPr>
            <w:tcW w:w="1447" w:type="dxa"/>
            <w:shd w:val="clear" w:color="auto" w:fill="DEEAF6"/>
          </w:tcPr>
          <w:p w14:paraId="4408D6D9"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Parameter</w:t>
            </w:r>
          </w:p>
        </w:tc>
        <w:tc>
          <w:tcPr>
            <w:tcW w:w="7342" w:type="dxa"/>
            <w:shd w:val="clear" w:color="auto" w:fill="DEEAF6"/>
          </w:tcPr>
          <w:p w14:paraId="222726DD"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Question</w:t>
            </w:r>
          </w:p>
        </w:tc>
      </w:tr>
      <w:tr w:rsidR="00EC4659" w:rsidRPr="00EC4659" w14:paraId="4FBE554D" w14:textId="77777777" w:rsidTr="00EC4659">
        <w:tc>
          <w:tcPr>
            <w:tcW w:w="1447" w:type="dxa"/>
          </w:tcPr>
          <w:p w14:paraId="5C714D0D" w14:textId="77777777" w:rsidR="00EC4659" w:rsidRPr="000F6D46" w:rsidRDefault="00EC4659" w:rsidP="000F6D46">
            <w:pPr>
              <w:spacing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Eligibility</w:t>
            </w:r>
          </w:p>
        </w:tc>
        <w:tc>
          <w:tcPr>
            <w:tcW w:w="7342" w:type="dxa"/>
          </w:tcPr>
          <w:p w14:paraId="01A5C68A" w14:textId="38D442A9"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there concerns with expanding the eligibilit</w:t>
            </w:r>
            <w:r w:rsidR="000F6D46" w:rsidRPr="000F6D46">
              <w:rPr>
                <w:rFonts w:asciiTheme="minorHAnsi" w:eastAsiaTheme="minorHAnsi" w:hAnsiTheme="minorHAnsi" w:cstheme="minorBidi"/>
                <w:lang w:eastAsia="ja-JP"/>
              </w:rPr>
              <w:t xml:space="preserve">y of accessing dairy quota from </w:t>
            </w:r>
            <w:r w:rsidRPr="000F6D46">
              <w:rPr>
                <w:rFonts w:asciiTheme="minorHAnsi" w:eastAsiaTheme="minorHAnsi" w:hAnsiTheme="minorHAnsi" w:cstheme="minorBidi"/>
                <w:lang w:eastAsia="ja-JP"/>
              </w:rPr>
              <w:t>manufacturers to anyone who wishes to export?</w:t>
            </w:r>
          </w:p>
        </w:tc>
      </w:tr>
      <w:tr w:rsidR="00EC4659" w:rsidRPr="00EC4659" w14:paraId="7D0A4544" w14:textId="77777777" w:rsidTr="00EC4659">
        <w:tc>
          <w:tcPr>
            <w:tcW w:w="1447" w:type="dxa"/>
          </w:tcPr>
          <w:p w14:paraId="53DB5B84" w14:textId="77777777" w:rsidR="00EC4659" w:rsidRPr="000F6D46" w:rsidRDefault="00EC4659" w:rsidP="000F6D46">
            <w:pPr>
              <w:spacing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Tiered Allocation system</w:t>
            </w:r>
          </w:p>
        </w:tc>
        <w:tc>
          <w:tcPr>
            <w:tcW w:w="7342" w:type="dxa"/>
          </w:tcPr>
          <w:p w14:paraId="2152B584"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there concerns with this approach being able to effectively administer quotas?</w:t>
            </w:r>
          </w:p>
        </w:tc>
      </w:tr>
      <w:tr w:rsidR="00EC4659" w:rsidRPr="00EC4659" w14:paraId="76E32C0A" w14:textId="77777777" w:rsidTr="00EC4659">
        <w:tc>
          <w:tcPr>
            <w:tcW w:w="1447" w:type="dxa"/>
          </w:tcPr>
          <w:p w14:paraId="0E104A60" w14:textId="77777777" w:rsidR="00EC4659" w:rsidRPr="000F6D46" w:rsidRDefault="00EC4659" w:rsidP="000F6D46">
            <w:pPr>
              <w:spacing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Review Mechanism</w:t>
            </w:r>
          </w:p>
        </w:tc>
        <w:tc>
          <w:tcPr>
            <w:tcW w:w="7342" w:type="dxa"/>
          </w:tcPr>
          <w:p w14:paraId="22020457"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Is there support for the inclusion of a review mechanism? Are there concerns with how it would function?  Is there support for including discussion with Industry and where possible, consideration of forecasts for future use, prior to any decision?</w:t>
            </w:r>
          </w:p>
          <w:p w14:paraId="426D51AD"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 proposed values to trigger the review appropriate? (</w:t>
            </w:r>
            <w:proofErr w:type="gramStart"/>
            <w:r w:rsidRPr="000F6D46">
              <w:rPr>
                <w:rFonts w:asciiTheme="minorHAnsi" w:eastAsiaTheme="minorHAnsi" w:hAnsiTheme="minorHAnsi" w:cstheme="minorBidi"/>
                <w:lang w:eastAsia="ja-JP"/>
              </w:rPr>
              <w:t>low</w:t>
            </w:r>
            <w:proofErr w:type="gramEnd"/>
            <w:r w:rsidRPr="000F6D46">
              <w:rPr>
                <w:rFonts w:asciiTheme="minorHAnsi" w:eastAsiaTheme="minorHAnsi" w:hAnsiTheme="minorHAnsi" w:cstheme="minorBidi"/>
                <w:lang w:eastAsia="ja-JP"/>
              </w:rPr>
              <w:t xml:space="preserve"> = &lt;80%, medium = 80-90% and high = &gt;90%)</w:t>
            </w:r>
          </w:p>
        </w:tc>
      </w:tr>
    </w:tbl>
    <w:p w14:paraId="041D85CE" w14:textId="77777777" w:rsidR="00EC4659" w:rsidRPr="00EC4659" w:rsidRDefault="00EC4659" w:rsidP="00EC4659">
      <w:pPr>
        <w:spacing w:before="120" w:line="259" w:lineRule="auto"/>
        <w:ind w:firstLine="720"/>
        <w:rPr>
          <w:rFonts w:ascii="Calibri" w:hAnsi="Calibri"/>
          <w:b/>
          <w:szCs w:val="22"/>
          <w:lang w:eastAsia="ja-JP"/>
        </w:rPr>
      </w:pPr>
      <w:r w:rsidRPr="00EC4659">
        <w:rPr>
          <w:rFonts w:ascii="Calibri" w:hAnsi="Calibri"/>
          <w:b/>
          <w:szCs w:val="22"/>
          <w:lang w:eastAsia="ja-JP"/>
        </w:rPr>
        <w:t>First come, first served</w:t>
      </w:r>
    </w:p>
    <w:tbl>
      <w:tblPr>
        <w:tblStyle w:val="TableGrid1"/>
        <w:tblW w:w="8789" w:type="dxa"/>
        <w:tblInd w:w="108" w:type="dxa"/>
        <w:tblLook w:val="04A0" w:firstRow="1" w:lastRow="0" w:firstColumn="1" w:lastColumn="0" w:noHBand="0" w:noVBand="1"/>
        <w:tblCaption w:val="Option 3 first come first served consultation questions"/>
        <w:tblDescription w:val="This table sets out the consultation questions ask regarding option 3 first come first served process."/>
      </w:tblPr>
      <w:tblGrid>
        <w:gridCol w:w="1447"/>
        <w:gridCol w:w="7342"/>
      </w:tblGrid>
      <w:tr w:rsidR="00EC4659" w:rsidRPr="00EC4659" w14:paraId="438781E6" w14:textId="77777777" w:rsidTr="00EC4659">
        <w:tc>
          <w:tcPr>
            <w:tcW w:w="1447" w:type="dxa"/>
            <w:shd w:val="clear" w:color="auto" w:fill="DEEAF6"/>
          </w:tcPr>
          <w:p w14:paraId="7BA2E136"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Parameter</w:t>
            </w:r>
          </w:p>
        </w:tc>
        <w:tc>
          <w:tcPr>
            <w:tcW w:w="7342" w:type="dxa"/>
            <w:shd w:val="clear" w:color="auto" w:fill="DEEAF6"/>
          </w:tcPr>
          <w:p w14:paraId="32A6C95B"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Question</w:t>
            </w:r>
          </w:p>
        </w:tc>
      </w:tr>
      <w:tr w:rsidR="00EC4659" w:rsidRPr="00EC4659" w14:paraId="5DE07517" w14:textId="77777777" w:rsidTr="00EC4659">
        <w:tc>
          <w:tcPr>
            <w:tcW w:w="1447" w:type="dxa"/>
          </w:tcPr>
          <w:p w14:paraId="408F263A" w14:textId="77777777" w:rsidR="00EC4659" w:rsidRPr="00EC4659" w:rsidRDefault="00EC4659" w:rsidP="000F6D46">
            <w:pPr>
              <w:spacing w:line="240" w:lineRule="auto"/>
              <w:ind w:left="6"/>
              <w:rPr>
                <w:rFonts w:ascii="Calibri" w:hAnsi="Calibri"/>
                <w:b/>
                <w:bCs/>
                <w:sz w:val="20"/>
                <w:lang w:eastAsia="ja-JP"/>
              </w:rPr>
            </w:pPr>
            <w:r w:rsidRPr="000F6D46">
              <w:rPr>
                <w:rFonts w:asciiTheme="minorHAnsi" w:eastAsiaTheme="minorHAnsi" w:hAnsiTheme="minorHAnsi" w:cstheme="minorBidi"/>
                <w:lang w:eastAsia="ja-JP"/>
              </w:rPr>
              <w:t>Transition</w:t>
            </w:r>
          </w:p>
        </w:tc>
        <w:tc>
          <w:tcPr>
            <w:tcW w:w="7342" w:type="dxa"/>
          </w:tcPr>
          <w:p w14:paraId="4EBA5876" w14:textId="77777777" w:rsidR="00EC4659" w:rsidRPr="00EC4659" w:rsidRDefault="00EC4659" w:rsidP="000F6D46">
            <w:pPr>
              <w:pStyle w:val="ListParagraph"/>
              <w:numPr>
                <w:ilvl w:val="0"/>
                <w:numId w:val="89"/>
              </w:numPr>
              <w:spacing w:before="60" w:line="240" w:lineRule="auto"/>
              <w:rPr>
                <w:rFonts w:ascii="Calibri" w:hAnsi="Calibri"/>
                <w:b/>
                <w:bCs/>
                <w:sz w:val="20"/>
                <w:lang w:eastAsia="ja-JP"/>
              </w:rPr>
            </w:pPr>
            <w:r w:rsidRPr="000F6D46">
              <w:rPr>
                <w:rFonts w:asciiTheme="minorHAnsi" w:eastAsiaTheme="minorHAnsi" w:hAnsiTheme="minorHAnsi" w:cstheme="minorBidi"/>
                <w:lang w:eastAsia="ja-JP"/>
              </w:rPr>
              <w:t>Would there be concerns with any low-use quotas currently under an allocation process changing to a fully FCFS system?  If so, why?</w:t>
            </w:r>
          </w:p>
        </w:tc>
      </w:tr>
    </w:tbl>
    <w:p w14:paraId="06F8E57A" w14:textId="77777777" w:rsidR="00EC4659" w:rsidRPr="00EC4659" w:rsidRDefault="00EC4659" w:rsidP="00EC4659">
      <w:pPr>
        <w:spacing w:before="120" w:line="259" w:lineRule="auto"/>
        <w:ind w:firstLine="720"/>
        <w:rPr>
          <w:rFonts w:ascii="Calibri" w:hAnsi="Calibri"/>
          <w:b/>
          <w:szCs w:val="22"/>
          <w:lang w:eastAsia="ja-JP"/>
        </w:rPr>
      </w:pPr>
      <w:r w:rsidRPr="00EC4659">
        <w:rPr>
          <w:rFonts w:ascii="Calibri" w:hAnsi="Calibri"/>
          <w:b/>
          <w:szCs w:val="22"/>
          <w:lang w:eastAsia="ja-JP"/>
        </w:rPr>
        <w:t>First come, first served with high fill trigger</w:t>
      </w:r>
    </w:p>
    <w:tbl>
      <w:tblPr>
        <w:tblStyle w:val="TableGrid1"/>
        <w:tblW w:w="8789" w:type="dxa"/>
        <w:tblInd w:w="108" w:type="dxa"/>
        <w:tblLook w:val="04A0" w:firstRow="1" w:lastRow="0" w:firstColumn="1" w:lastColumn="0" w:noHBand="0" w:noVBand="1"/>
        <w:tblCaption w:val="Option 3 first come first served with trigger consultation questions"/>
        <w:tblDescription w:val="This table sets out the consultation questions ask regarding option 3 first come first served with high-fill trigger process."/>
      </w:tblPr>
      <w:tblGrid>
        <w:gridCol w:w="1447"/>
        <w:gridCol w:w="7342"/>
      </w:tblGrid>
      <w:tr w:rsidR="00EC4659" w:rsidRPr="00EC4659" w14:paraId="7E23CF45" w14:textId="77777777" w:rsidTr="00EC4659">
        <w:tc>
          <w:tcPr>
            <w:tcW w:w="1447" w:type="dxa"/>
            <w:shd w:val="clear" w:color="auto" w:fill="DEEAF6"/>
          </w:tcPr>
          <w:p w14:paraId="15881EF0"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Parameter</w:t>
            </w:r>
          </w:p>
        </w:tc>
        <w:tc>
          <w:tcPr>
            <w:tcW w:w="7342" w:type="dxa"/>
            <w:shd w:val="clear" w:color="auto" w:fill="DEEAF6"/>
          </w:tcPr>
          <w:p w14:paraId="221797B5"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Question</w:t>
            </w:r>
          </w:p>
        </w:tc>
      </w:tr>
      <w:tr w:rsidR="00EC4659" w:rsidRPr="00EC4659" w14:paraId="3A17C40B" w14:textId="77777777" w:rsidTr="00EC4659">
        <w:tc>
          <w:tcPr>
            <w:tcW w:w="1447" w:type="dxa"/>
          </w:tcPr>
          <w:p w14:paraId="3ED38613"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Trigger</w:t>
            </w:r>
          </w:p>
        </w:tc>
        <w:tc>
          <w:tcPr>
            <w:tcW w:w="7342" w:type="dxa"/>
          </w:tcPr>
          <w:p w14:paraId="53CB520E"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timeframe and percentage should be applied for the allocation trigger? (recommending 85 per cent prior to reaching 3 months from the end of the quota year)</w:t>
            </w:r>
          </w:p>
        </w:tc>
      </w:tr>
      <w:tr w:rsidR="00EC4659" w:rsidRPr="00EC4659" w14:paraId="081F9C67" w14:textId="77777777" w:rsidTr="00EC4659">
        <w:tc>
          <w:tcPr>
            <w:tcW w:w="1447" w:type="dxa"/>
          </w:tcPr>
          <w:p w14:paraId="3CC8B57C"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Post trigger allocation</w:t>
            </w:r>
          </w:p>
        </w:tc>
        <w:tc>
          <w:tcPr>
            <w:tcW w:w="7342" w:type="dxa"/>
          </w:tcPr>
          <w:p w14:paraId="7AE72791"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Should applications be made, or should the department issue notional allocations to be accepted or declined by exporters? </w:t>
            </w:r>
          </w:p>
          <w:p w14:paraId="10E5D77F"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What shipping history period is preferred in calculating allocation? </w:t>
            </w:r>
          </w:p>
          <w:p w14:paraId="5C88D350"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it include the current year? (this would have flow-on effects depending on preferred options above)</w:t>
            </w:r>
          </w:p>
        </w:tc>
      </w:tr>
      <w:tr w:rsidR="00EC4659" w:rsidRPr="00EC4659" w14:paraId="70DFABA3" w14:textId="77777777" w:rsidTr="00EC4659">
        <w:tc>
          <w:tcPr>
            <w:tcW w:w="1447" w:type="dxa"/>
          </w:tcPr>
          <w:p w14:paraId="3FBFC3F4"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lastRenderedPageBreak/>
              <w:t xml:space="preserve">Transfers </w:t>
            </w:r>
          </w:p>
        </w:tc>
        <w:tc>
          <w:tcPr>
            <w:tcW w:w="7342" w:type="dxa"/>
          </w:tcPr>
          <w:p w14:paraId="3ACD4BBF"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transfers be allowable? (Need to discuss the range of implications depending on preference).</w:t>
            </w:r>
          </w:p>
        </w:tc>
      </w:tr>
      <w:tr w:rsidR="00EC4659" w:rsidRPr="00EC4659" w14:paraId="615889D6" w14:textId="77777777" w:rsidTr="00EC4659">
        <w:tc>
          <w:tcPr>
            <w:tcW w:w="1447" w:type="dxa"/>
          </w:tcPr>
          <w:p w14:paraId="4FC87078"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Penalties</w:t>
            </w:r>
          </w:p>
        </w:tc>
        <w:tc>
          <w:tcPr>
            <w:tcW w:w="7342" w:type="dxa"/>
          </w:tcPr>
          <w:p w14:paraId="578F86EE"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penalty provisions should apply? (Dependent on transfer discussions)</w:t>
            </w:r>
          </w:p>
          <w:p w14:paraId="38384269"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How should they be applied in future years?</w:t>
            </w:r>
          </w:p>
        </w:tc>
      </w:tr>
    </w:tbl>
    <w:p w14:paraId="1CACD2D3" w14:textId="77777777" w:rsidR="00EC4659" w:rsidRPr="00EC4659" w:rsidRDefault="00EC4659" w:rsidP="00EC4659">
      <w:pPr>
        <w:spacing w:before="120" w:line="259" w:lineRule="auto"/>
        <w:ind w:firstLine="720"/>
        <w:rPr>
          <w:rFonts w:ascii="Calibri" w:hAnsi="Calibri"/>
          <w:b/>
          <w:szCs w:val="22"/>
          <w:lang w:eastAsia="ja-JP"/>
        </w:rPr>
      </w:pPr>
      <w:r w:rsidRPr="00EC4659">
        <w:rPr>
          <w:rFonts w:ascii="Calibri" w:hAnsi="Calibri"/>
          <w:b/>
          <w:szCs w:val="22"/>
          <w:lang w:eastAsia="ja-JP"/>
        </w:rPr>
        <w:t>Full allocation mechanism</w:t>
      </w:r>
    </w:p>
    <w:tbl>
      <w:tblPr>
        <w:tblStyle w:val="TableGrid1"/>
        <w:tblW w:w="8789" w:type="dxa"/>
        <w:tblInd w:w="108" w:type="dxa"/>
        <w:tblLayout w:type="fixed"/>
        <w:tblLook w:val="04A0" w:firstRow="1" w:lastRow="0" w:firstColumn="1" w:lastColumn="0" w:noHBand="0" w:noVBand="1"/>
        <w:tblCaption w:val="Option 3 allocation mechanism consultation questions"/>
        <w:tblDescription w:val="This table sets out the consultation questions ask regarding option 3 allocation process."/>
      </w:tblPr>
      <w:tblGrid>
        <w:gridCol w:w="1418"/>
        <w:gridCol w:w="7371"/>
      </w:tblGrid>
      <w:tr w:rsidR="00EC4659" w:rsidRPr="00EC4659" w14:paraId="398B432D" w14:textId="77777777" w:rsidTr="00EC4659">
        <w:tc>
          <w:tcPr>
            <w:tcW w:w="1418" w:type="dxa"/>
            <w:shd w:val="clear" w:color="auto" w:fill="DEEAF6"/>
          </w:tcPr>
          <w:p w14:paraId="2D20BAB3"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Parameter</w:t>
            </w:r>
          </w:p>
        </w:tc>
        <w:tc>
          <w:tcPr>
            <w:tcW w:w="7371" w:type="dxa"/>
            <w:shd w:val="clear" w:color="auto" w:fill="DEEAF6"/>
          </w:tcPr>
          <w:p w14:paraId="5BA73AE5" w14:textId="77777777" w:rsidR="00EC4659" w:rsidRPr="00EC4659" w:rsidRDefault="00EC4659" w:rsidP="00EC4659">
            <w:pPr>
              <w:spacing w:after="160" w:line="240" w:lineRule="auto"/>
              <w:rPr>
                <w:rFonts w:ascii="Calibri" w:hAnsi="Calibri"/>
                <w:bCs/>
                <w:sz w:val="24"/>
                <w:szCs w:val="24"/>
              </w:rPr>
            </w:pPr>
            <w:r w:rsidRPr="00EC4659">
              <w:rPr>
                <w:rFonts w:ascii="Calibri" w:hAnsi="Calibri"/>
                <w:b/>
                <w:bCs/>
                <w:sz w:val="24"/>
                <w:szCs w:val="24"/>
              </w:rPr>
              <w:t>Question</w:t>
            </w:r>
          </w:p>
        </w:tc>
      </w:tr>
      <w:tr w:rsidR="00EC4659" w:rsidRPr="00EC4659" w14:paraId="6DD2EA8F" w14:textId="77777777" w:rsidTr="00EC4659">
        <w:tc>
          <w:tcPr>
            <w:tcW w:w="1418" w:type="dxa"/>
          </w:tcPr>
          <w:p w14:paraId="2E9CE2FA"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New entrant</w:t>
            </w:r>
          </w:p>
        </w:tc>
        <w:tc>
          <w:tcPr>
            <w:tcW w:w="7371" w:type="dxa"/>
          </w:tcPr>
          <w:p w14:paraId="53BC4B30"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Industry feedback on mandatory new entrant provision.</w:t>
            </w:r>
          </w:p>
          <w:p w14:paraId="799D5D61"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What percentage should be considered for the new entrant provision? </w:t>
            </w:r>
          </w:p>
          <w:p w14:paraId="2514567D"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What should the maximum new entrant allocation be? </w:t>
            </w:r>
          </w:p>
          <w:p w14:paraId="1846C3D1"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How many years should exporters be considered ‘new entrants’? (Proposing 3 years)</w:t>
            </w:r>
          </w:p>
        </w:tc>
      </w:tr>
      <w:tr w:rsidR="00EC4659" w:rsidRPr="00EC4659" w14:paraId="4F3B59E1" w14:textId="77777777" w:rsidTr="00EC4659">
        <w:tc>
          <w:tcPr>
            <w:tcW w:w="1418" w:type="dxa"/>
          </w:tcPr>
          <w:p w14:paraId="4F7D74A6"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Allocation</w:t>
            </w:r>
          </w:p>
        </w:tc>
        <w:tc>
          <w:tcPr>
            <w:tcW w:w="7371" w:type="dxa"/>
          </w:tcPr>
          <w:p w14:paraId="1AF0D228"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Industry feedback on not including a global shipments provision (for those quotas that currently have one)?</w:t>
            </w:r>
          </w:p>
          <w:p w14:paraId="23BB17CF"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What time period should be applied for the shipping history parameter and why? </w:t>
            </w:r>
          </w:p>
          <w:p w14:paraId="5B8D1A6B"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What should the minimum allocation be? </w:t>
            </w:r>
          </w:p>
        </w:tc>
      </w:tr>
      <w:tr w:rsidR="00EC4659" w:rsidRPr="00EC4659" w14:paraId="79F3BDBE" w14:textId="77777777" w:rsidTr="00EC4659">
        <w:tc>
          <w:tcPr>
            <w:tcW w:w="1418" w:type="dxa"/>
          </w:tcPr>
          <w:p w14:paraId="32F3F2DE"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Unused/unallocated quota</w:t>
            </w:r>
          </w:p>
        </w:tc>
        <w:tc>
          <w:tcPr>
            <w:tcW w:w="7371" w:type="dxa"/>
          </w:tcPr>
          <w:p w14:paraId="53B8F83A"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should the reclaim date be? (proposing 4 months)</w:t>
            </w:r>
          </w:p>
          <w:p w14:paraId="7A17B124"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there be forced returns when underutilised? (proposing &lt; 25 per cent used)</w:t>
            </w:r>
          </w:p>
        </w:tc>
      </w:tr>
      <w:tr w:rsidR="00EC4659" w:rsidRPr="00EC4659" w14:paraId="2AE9A048" w14:textId="77777777" w:rsidTr="00EC4659">
        <w:tc>
          <w:tcPr>
            <w:tcW w:w="1418" w:type="dxa"/>
          </w:tcPr>
          <w:p w14:paraId="16C3120B"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Transfers</w:t>
            </w:r>
          </w:p>
        </w:tc>
        <w:tc>
          <w:tcPr>
            <w:tcW w:w="7371" w:type="dxa"/>
          </w:tcPr>
          <w:p w14:paraId="5497F8C0"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transfers be allowed for standard issue quota? For reallocated quota?</w:t>
            </w:r>
          </w:p>
          <w:p w14:paraId="652EC5E6"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If so, what controls should be included in each case?</w:t>
            </w:r>
          </w:p>
          <w:p w14:paraId="4E6AF4D3"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there be a maximum transfer limit?</w:t>
            </w:r>
          </w:p>
          <w:p w14:paraId="783F2E8C"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there be penalties?</w:t>
            </w:r>
          </w:p>
        </w:tc>
      </w:tr>
      <w:tr w:rsidR="00EC4659" w:rsidRPr="00EC4659" w14:paraId="53AFCF31" w14:textId="77777777" w:rsidTr="00EC4659">
        <w:tc>
          <w:tcPr>
            <w:tcW w:w="1418" w:type="dxa"/>
          </w:tcPr>
          <w:p w14:paraId="5FB6A187"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Penalties</w:t>
            </w:r>
          </w:p>
        </w:tc>
        <w:tc>
          <w:tcPr>
            <w:tcW w:w="7371" w:type="dxa"/>
          </w:tcPr>
          <w:p w14:paraId="7C5F9ACC"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there be penalties for:</w:t>
            </w:r>
          </w:p>
          <w:p w14:paraId="7AC26D61"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proofErr w:type="gramStart"/>
            <w:r w:rsidRPr="000F6D46">
              <w:rPr>
                <w:rFonts w:asciiTheme="minorHAnsi" w:eastAsiaTheme="minorHAnsi" w:hAnsiTheme="minorHAnsi" w:cstheme="minorBidi"/>
                <w:lang w:eastAsia="ja-JP"/>
              </w:rPr>
              <w:t>new</w:t>
            </w:r>
            <w:proofErr w:type="gramEnd"/>
            <w:r w:rsidRPr="000F6D46">
              <w:rPr>
                <w:rFonts w:asciiTheme="minorHAnsi" w:eastAsiaTheme="minorHAnsi" w:hAnsiTheme="minorHAnsi" w:cstheme="minorBidi"/>
                <w:lang w:eastAsia="ja-JP"/>
              </w:rPr>
              <w:t xml:space="preserve"> entrants who do not use allocation (post-reallocation)?</w:t>
            </w:r>
          </w:p>
          <w:p w14:paraId="0FEB2A63"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proofErr w:type="gramStart"/>
            <w:r w:rsidRPr="000F6D46">
              <w:rPr>
                <w:rFonts w:asciiTheme="minorHAnsi" w:eastAsiaTheme="minorHAnsi" w:hAnsiTheme="minorHAnsi" w:cstheme="minorBidi"/>
                <w:lang w:eastAsia="ja-JP"/>
              </w:rPr>
              <w:t>unused</w:t>
            </w:r>
            <w:proofErr w:type="gramEnd"/>
            <w:r w:rsidRPr="000F6D46">
              <w:rPr>
                <w:rFonts w:asciiTheme="minorHAnsi" w:eastAsiaTheme="minorHAnsi" w:hAnsiTheme="minorHAnsi" w:cstheme="minorBidi"/>
                <w:lang w:eastAsia="ja-JP"/>
              </w:rPr>
              <w:t xml:space="preserve"> quota that is not returned by reclaim date?</w:t>
            </w:r>
          </w:p>
          <w:p w14:paraId="4BC5CD17"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proofErr w:type="gramStart"/>
            <w:r w:rsidRPr="000F6D46">
              <w:rPr>
                <w:rFonts w:asciiTheme="minorHAnsi" w:eastAsiaTheme="minorHAnsi" w:hAnsiTheme="minorHAnsi" w:cstheme="minorBidi"/>
                <w:lang w:eastAsia="ja-JP"/>
              </w:rPr>
              <w:t>unused</w:t>
            </w:r>
            <w:proofErr w:type="gramEnd"/>
            <w:r w:rsidRPr="000F6D46">
              <w:rPr>
                <w:rFonts w:asciiTheme="minorHAnsi" w:eastAsiaTheme="minorHAnsi" w:hAnsiTheme="minorHAnsi" w:cstheme="minorBidi"/>
                <w:lang w:eastAsia="ja-JP"/>
              </w:rPr>
              <w:t xml:space="preserve"> quota by the end of the quota year?</w:t>
            </w:r>
          </w:p>
          <w:p w14:paraId="7E59BCE0"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percentage of allocation should be considered ‘fully utilised’ and so not receive penalties? By what date? (</w:t>
            </w:r>
            <w:proofErr w:type="gramStart"/>
            <w:r w:rsidRPr="000F6D46">
              <w:rPr>
                <w:rFonts w:asciiTheme="minorHAnsi" w:eastAsiaTheme="minorHAnsi" w:hAnsiTheme="minorHAnsi" w:cstheme="minorBidi"/>
                <w:lang w:eastAsia="ja-JP"/>
              </w:rPr>
              <w:t>enough</w:t>
            </w:r>
            <w:proofErr w:type="gramEnd"/>
            <w:r w:rsidRPr="000F6D46">
              <w:rPr>
                <w:rFonts w:asciiTheme="minorHAnsi" w:eastAsiaTheme="minorHAnsi" w:hAnsiTheme="minorHAnsi" w:cstheme="minorBidi"/>
                <w:lang w:eastAsia="ja-JP"/>
              </w:rPr>
              <w:t xml:space="preserve"> time is needed to allow penalty calculations for the next quota year).</w:t>
            </w:r>
          </w:p>
        </w:tc>
      </w:tr>
    </w:tbl>
    <w:p w14:paraId="1AAC6158" w14:textId="77777777" w:rsidR="00EC4659" w:rsidRPr="00EC4659" w:rsidRDefault="00EC4659" w:rsidP="00EC4659">
      <w:pPr>
        <w:spacing w:line="259" w:lineRule="auto"/>
        <w:rPr>
          <w:rFonts w:ascii="Calibri" w:hAnsi="Calibri"/>
          <w:szCs w:val="22"/>
          <w:lang w:eastAsia="ja-JP"/>
        </w:rPr>
      </w:pPr>
    </w:p>
    <w:p w14:paraId="621F3EF0" w14:textId="77777777" w:rsidR="00EC4659" w:rsidRPr="00EC4659" w:rsidRDefault="00EC4659" w:rsidP="00EC4659">
      <w:pPr>
        <w:spacing w:line="259" w:lineRule="auto"/>
        <w:ind w:firstLine="720"/>
        <w:rPr>
          <w:rFonts w:ascii="Calibri" w:hAnsi="Calibri"/>
          <w:szCs w:val="22"/>
        </w:rPr>
      </w:pPr>
      <w:r w:rsidRPr="00EC4659">
        <w:rPr>
          <w:rFonts w:ascii="Calibri" w:hAnsi="Calibri"/>
          <w:bCs/>
          <w:color w:val="5B9BD5"/>
          <w:szCs w:val="22"/>
        </w:rPr>
        <w:t xml:space="preserve">RBM estimate questions </w:t>
      </w:r>
    </w:p>
    <w:tbl>
      <w:tblPr>
        <w:tblStyle w:val="TableGrid1"/>
        <w:tblW w:w="8789" w:type="dxa"/>
        <w:tblInd w:w="108" w:type="dxa"/>
        <w:tblLook w:val="04A0" w:firstRow="1" w:lastRow="0" w:firstColumn="1" w:lastColumn="0" w:noHBand="0" w:noVBand="1"/>
        <w:tblCaption w:val="Regulation Burden Measure consultation questions"/>
        <w:tblDescription w:val="This table sets out the consultation questions ask regarding the Regulation Burden Measure calculations."/>
      </w:tblPr>
      <w:tblGrid>
        <w:gridCol w:w="1418"/>
        <w:gridCol w:w="7371"/>
      </w:tblGrid>
      <w:tr w:rsidR="00EC4659" w:rsidRPr="00EC4659" w14:paraId="666B705A" w14:textId="77777777" w:rsidTr="00EC4659">
        <w:tc>
          <w:tcPr>
            <w:tcW w:w="1418" w:type="dxa"/>
            <w:shd w:val="clear" w:color="auto" w:fill="DEEAF6"/>
          </w:tcPr>
          <w:p w14:paraId="63BE7273" w14:textId="77777777" w:rsidR="00EC4659" w:rsidRPr="00EC4659" w:rsidRDefault="00EC4659" w:rsidP="00EC4659">
            <w:pPr>
              <w:spacing w:after="160" w:line="240" w:lineRule="auto"/>
              <w:ind w:left="6"/>
              <w:rPr>
                <w:rFonts w:ascii="Calibri Light" w:eastAsia="SimSun" w:hAnsi="Calibri Light"/>
                <w:b/>
                <w:bCs/>
                <w:color w:val="2E74B5"/>
                <w:sz w:val="32"/>
                <w:szCs w:val="32"/>
              </w:rPr>
            </w:pPr>
            <w:r w:rsidRPr="00EC4659">
              <w:rPr>
                <w:rFonts w:ascii="Calibri" w:hAnsi="Calibri"/>
                <w:b/>
                <w:bCs/>
                <w:sz w:val="24"/>
                <w:szCs w:val="24"/>
              </w:rPr>
              <w:t>Parameter</w:t>
            </w:r>
          </w:p>
        </w:tc>
        <w:tc>
          <w:tcPr>
            <w:tcW w:w="7371" w:type="dxa"/>
            <w:shd w:val="clear" w:color="auto" w:fill="DEEAF6"/>
          </w:tcPr>
          <w:p w14:paraId="1C3989E2" w14:textId="77777777" w:rsidR="00EC4659" w:rsidRPr="00EC4659" w:rsidRDefault="00EC4659" w:rsidP="00EC4659">
            <w:pPr>
              <w:spacing w:after="160" w:line="240" w:lineRule="auto"/>
              <w:ind w:left="6"/>
              <w:rPr>
                <w:rFonts w:ascii="Calibri Light" w:eastAsia="SimSun" w:hAnsi="Calibri Light"/>
                <w:b/>
                <w:bCs/>
                <w:color w:val="2E74B5"/>
                <w:sz w:val="32"/>
                <w:szCs w:val="32"/>
              </w:rPr>
            </w:pPr>
            <w:r w:rsidRPr="00EC4659">
              <w:rPr>
                <w:rFonts w:ascii="Calibri" w:hAnsi="Calibri"/>
                <w:b/>
                <w:bCs/>
                <w:sz w:val="24"/>
                <w:szCs w:val="24"/>
              </w:rPr>
              <w:t>Question</w:t>
            </w:r>
          </w:p>
        </w:tc>
      </w:tr>
      <w:tr w:rsidR="00EC4659" w:rsidRPr="00EC4659" w14:paraId="6C71523D" w14:textId="77777777" w:rsidTr="00EC4659">
        <w:tc>
          <w:tcPr>
            <w:tcW w:w="1418" w:type="dxa"/>
          </w:tcPr>
          <w:p w14:paraId="42C210F3"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Overall estimate</w:t>
            </w:r>
          </w:p>
        </w:tc>
        <w:tc>
          <w:tcPr>
            <w:tcW w:w="7371" w:type="dxa"/>
          </w:tcPr>
          <w:p w14:paraId="2A111577"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 total regulatory burden estimates for entitlement management activities under each option broadly accurate for your business?</w:t>
            </w:r>
          </w:p>
        </w:tc>
      </w:tr>
      <w:tr w:rsidR="00EC4659" w:rsidRPr="00EC4659" w14:paraId="316FD1B4" w14:textId="77777777" w:rsidTr="00EC4659">
        <w:tc>
          <w:tcPr>
            <w:tcW w:w="1418" w:type="dxa"/>
          </w:tcPr>
          <w:p w14:paraId="526CF076"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Time used</w:t>
            </w:r>
          </w:p>
        </w:tc>
        <w:tc>
          <w:tcPr>
            <w:tcW w:w="7371" w:type="dxa"/>
          </w:tcPr>
          <w:p w14:paraId="3851B3E9"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Are the estimates of the duration of these activities too high or too low for your business (Table A6, Appendix A)?  Please provide evidence to support your views.  </w:t>
            </w:r>
          </w:p>
        </w:tc>
      </w:tr>
      <w:tr w:rsidR="00EC4659" w:rsidRPr="00EC4659" w14:paraId="3D4715DA" w14:textId="77777777" w:rsidTr="00EC4659">
        <w:tc>
          <w:tcPr>
            <w:tcW w:w="1418" w:type="dxa"/>
          </w:tcPr>
          <w:p w14:paraId="29CCBAFD"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Volume of activities</w:t>
            </w:r>
          </w:p>
        </w:tc>
        <w:tc>
          <w:tcPr>
            <w:tcW w:w="7371" w:type="dxa"/>
          </w:tcPr>
          <w:p w14:paraId="2E2E3229"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Is there any foreseeable change in terms of the level of usage for each TRQ? </w:t>
            </w:r>
          </w:p>
        </w:tc>
      </w:tr>
      <w:tr w:rsidR="00EC4659" w:rsidRPr="00EC4659" w14:paraId="57FF1324" w14:textId="77777777" w:rsidTr="00EC4659">
        <w:tc>
          <w:tcPr>
            <w:tcW w:w="1418" w:type="dxa"/>
          </w:tcPr>
          <w:p w14:paraId="6B1E268E"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Labour cost</w:t>
            </w:r>
          </w:p>
        </w:tc>
        <w:tc>
          <w:tcPr>
            <w:tcW w:w="7371" w:type="dxa"/>
          </w:tcPr>
          <w:p w14:paraId="7EBA1808"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 unit labour cost estimates too high or too low?</w:t>
            </w:r>
          </w:p>
          <w:p w14:paraId="4438F440"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Is the mix of different types of labour appropriate?</w:t>
            </w:r>
          </w:p>
        </w:tc>
      </w:tr>
      <w:tr w:rsidR="00EC4659" w:rsidRPr="00EC4659" w14:paraId="76D777D9" w14:textId="77777777" w:rsidTr="00EC4659">
        <w:tc>
          <w:tcPr>
            <w:tcW w:w="1418" w:type="dxa"/>
          </w:tcPr>
          <w:p w14:paraId="6F8E2863"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Relinquish or retain entitlements</w:t>
            </w:r>
          </w:p>
        </w:tc>
        <w:tc>
          <w:tcPr>
            <w:tcW w:w="7371" w:type="dxa"/>
          </w:tcPr>
          <w:p w14:paraId="3BB055C7"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In your experience, what is the likelihood your business will need to make a decision on whether to retain or relinquish a TRQ entitlement? </w:t>
            </w:r>
          </w:p>
        </w:tc>
      </w:tr>
      <w:tr w:rsidR="00EC4659" w:rsidRPr="00EC4659" w14:paraId="5108536B" w14:textId="77777777" w:rsidTr="00EC4659">
        <w:tc>
          <w:tcPr>
            <w:tcW w:w="1418" w:type="dxa"/>
          </w:tcPr>
          <w:p w14:paraId="431DC7C1"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lastRenderedPageBreak/>
              <w:t>US Beef TRQ</w:t>
            </w:r>
          </w:p>
        </w:tc>
        <w:tc>
          <w:tcPr>
            <w:tcW w:w="7371" w:type="dxa"/>
          </w:tcPr>
          <w:p w14:paraId="6884FDC5"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Do you agree with the assumption that the US beef TRQ entitlement allocation threshold would not be triggered (usage level &gt; 85 per cent) in coming years?  Note this is not relevant to Option 2.  </w:t>
            </w:r>
          </w:p>
        </w:tc>
      </w:tr>
      <w:tr w:rsidR="00EC4659" w:rsidRPr="00EC4659" w14:paraId="5671F370" w14:textId="77777777" w:rsidTr="00EC4659">
        <w:tc>
          <w:tcPr>
            <w:tcW w:w="1418" w:type="dxa"/>
          </w:tcPr>
          <w:p w14:paraId="47751C71"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EU </w:t>
            </w:r>
            <w:proofErr w:type="spellStart"/>
            <w:r w:rsidRPr="000F6D46">
              <w:rPr>
                <w:rFonts w:asciiTheme="minorHAnsi" w:eastAsiaTheme="minorHAnsi" w:hAnsiTheme="minorHAnsi" w:cstheme="minorBidi"/>
                <w:lang w:eastAsia="ja-JP"/>
              </w:rPr>
              <w:t>Sheepmeat</w:t>
            </w:r>
            <w:proofErr w:type="spellEnd"/>
            <w:r w:rsidRPr="000F6D46">
              <w:rPr>
                <w:rFonts w:asciiTheme="minorHAnsi" w:eastAsiaTheme="minorHAnsi" w:hAnsiTheme="minorHAnsi" w:cstheme="minorBidi"/>
                <w:lang w:eastAsia="ja-JP"/>
              </w:rPr>
              <w:t xml:space="preserve"> TRQ</w:t>
            </w:r>
          </w:p>
        </w:tc>
        <w:tc>
          <w:tcPr>
            <w:tcW w:w="7371" w:type="dxa"/>
          </w:tcPr>
          <w:p w14:paraId="72D0FC74"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Under Option 3, is it reasonable to assume the level of transfer activity will decrease to a quarter of the current level?  Please provide evidence or reasons.  </w:t>
            </w:r>
          </w:p>
        </w:tc>
      </w:tr>
      <w:tr w:rsidR="00EC4659" w:rsidRPr="00EC4659" w14:paraId="69AF5B25" w14:textId="77777777" w:rsidTr="00EC4659">
        <w:tc>
          <w:tcPr>
            <w:tcW w:w="1418" w:type="dxa"/>
          </w:tcPr>
          <w:p w14:paraId="6C94EEEB"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Japan Honey and EBO TRQs</w:t>
            </w:r>
          </w:p>
        </w:tc>
        <w:tc>
          <w:tcPr>
            <w:tcW w:w="7371" w:type="dxa"/>
          </w:tcPr>
          <w:p w14:paraId="289EA868"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What is your view on the estimate of the additional regulatory burden under Option 3 compared with Option 1 (or 2)? </w:t>
            </w:r>
          </w:p>
        </w:tc>
      </w:tr>
      <w:tr w:rsidR="00EC4659" w:rsidRPr="00EC4659" w14:paraId="22D4BCA8" w14:textId="77777777" w:rsidTr="00EC4659">
        <w:tc>
          <w:tcPr>
            <w:tcW w:w="1418" w:type="dxa"/>
          </w:tcPr>
          <w:p w14:paraId="07489195" w14:textId="77777777" w:rsidR="00EC4659" w:rsidRPr="000F6D46" w:rsidRDefault="00EC4659" w:rsidP="000F6D46">
            <w:pPr>
              <w:spacing w:line="240" w:lineRule="auto"/>
              <w:ind w:left="6"/>
              <w:rPr>
                <w:rFonts w:asciiTheme="minorHAnsi" w:eastAsiaTheme="minorHAnsi" w:hAnsiTheme="minorHAnsi" w:cstheme="minorBidi"/>
                <w:lang w:eastAsia="ja-JP"/>
              </w:rPr>
            </w:pPr>
            <w:r w:rsidRPr="000F6D46">
              <w:rPr>
                <w:rFonts w:asciiTheme="minorHAnsi" w:eastAsiaTheme="minorHAnsi" w:hAnsiTheme="minorHAnsi" w:cstheme="minorBidi"/>
                <w:lang w:eastAsia="ja-JP"/>
              </w:rPr>
              <w:t>Other entitlement management costs</w:t>
            </w:r>
          </w:p>
        </w:tc>
        <w:tc>
          <w:tcPr>
            <w:tcW w:w="7371" w:type="dxa"/>
          </w:tcPr>
          <w:p w14:paraId="0605AD44" w14:textId="77777777" w:rsidR="00EC4659" w:rsidRPr="000F6D46" w:rsidRDefault="00EC4659" w:rsidP="000F6D46">
            <w:pPr>
              <w:pStyle w:val="ListParagraph"/>
              <w:numPr>
                <w:ilvl w:val="0"/>
                <w:numId w:val="89"/>
              </w:numPr>
              <w:spacing w:before="6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 xml:space="preserve">In order to be able to apply for and manage TRQ entitlements, are there any significant costs other than the types of (activity) costs identified in Appendix A?  </w:t>
            </w:r>
          </w:p>
        </w:tc>
      </w:tr>
    </w:tbl>
    <w:p w14:paraId="56564049"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pPr>
    </w:p>
    <w:p w14:paraId="45ED26C2" w14:textId="77777777" w:rsidR="00EC4659" w:rsidRPr="00EC4659" w:rsidRDefault="00EC4659" w:rsidP="00EC4659">
      <w:pPr>
        <w:spacing w:after="160" w:line="259" w:lineRule="auto"/>
        <w:rPr>
          <w:rFonts w:ascii="Calibri" w:hAnsi="Calibri"/>
          <w:szCs w:val="22"/>
        </w:rPr>
      </w:pPr>
    </w:p>
    <w:p w14:paraId="35F4AC15"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sectPr w:rsidR="00EC4659" w:rsidRPr="00EC4659" w:rsidSect="00EC4659">
          <w:pgSz w:w="11906" w:h="16838"/>
          <w:pgMar w:top="1440" w:right="1440" w:bottom="1135" w:left="1440" w:header="708" w:footer="708" w:gutter="0"/>
          <w:cols w:space="708"/>
          <w:docGrid w:linePitch="360"/>
        </w:sectPr>
      </w:pPr>
    </w:p>
    <w:p w14:paraId="067A5FAC"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pPr>
      <w:bookmarkStart w:id="182" w:name="_Toc27482973"/>
      <w:r w:rsidRPr="00EC4659">
        <w:rPr>
          <w:rFonts w:ascii="Calibri Light" w:eastAsia="SimSun" w:hAnsi="Calibri Light"/>
          <w:color w:val="2E74B5"/>
          <w:sz w:val="32"/>
          <w:szCs w:val="32"/>
        </w:rPr>
        <w:lastRenderedPageBreak/>
        <w:t>Appendix B. Regulatory Burden Measure calculations</w:t>
      </w:r>
      <w:bookmarkEnd w:id="178"/>
      <w:bookmarkEnd w:id="182"/>
    </w:p>
    <w:p w14:paraId="1FB50C3F" w14:textId="77777777" w:rsidR="00EC4659" w:rsidRPr="00EC4659" w:rsidRDefault="00EC4659" w:rsidP="00EC4659">
      <w:pPr>
        <w:spacing w:before="200" w:line="259" w:lineRule="auto"/>
        <w:rPr>
          <w:rFonts w:ascii="Calibri Light" w:hAnsi="Calibri Light"/>
          <w:color w:val="5B9BD5"/>
          <w:sz w:val="26"/>
          <w:szCs w:val="26"/>
        </w:rPr>
      </w:pPr>
      <w:r w:rsidRPr="00EC4659">
        <w:rPr>
          <w:rFonts w:ascii="Calibri" w:hAnsi="Calibri"/>
          <w:szCs w:val="22"/>
        </w:rPr>
        <w:t xml:space="preserve"> </w:t>
      </w:r>
      <w:r w:rsidRPr="00EC4659">
        <w:rPr>
          <w:rFonts w:ascii="Calibri Light" w:hAnsi="Calibri Light"/>
          <w:color w:val="5B9BD5"/>
          <w:sz w:val="26"/>
          <w:szCs w:val="26"/>
        </w:rPr>
        <w:t>Introduction</w:t>
      </w:r>
    </w:p>
    <w:p w14:paraId="7FA3A0A7"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All regulatory costs, whether arising from new regulations, or changes to existing regulation, must be quantified using the Commonwealth Regulatory Burden Measurement framework.  All Regulation Impact Statements need to be accompanied by a regulatory costing.  </w:t>
      </w:r>
    </w:p>
    <w:p w14:paraId="435729B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This Appendix sets out the regulatory costing under the framework.  The framework is supported by the Regulatory Burden Measure (RBM), a cost calculator tool available from the Office of Best Practice Regulation (OBPR) website.  The tool calculates the compliance costs of regulatory proposals on business, individuals and community organisations, using an activity-based costing method.  </w:t>
      </w:r>
    </w:p>
    <w:p w14:paraId="01E845D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costs must be presented in real terms (also referred to as constant prices) as average annual figures in all cases.  The default regulatory costing is for a ten year duration.  Shorter timeframes require agreement from the OBPR.  Ten year results are presented in both gross (nominal) and present value terms; in the latter case using the OBPR’s default seven per cent discount rate.  </w:t>
      </w:r>
    </w:p>
    <w:p w14:paraId="46CC4CA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Regulatory costings of $2 million per annum and above need to be agreed by the OBPR.  Where the OBPR agrees that a proposal is likely to involve average costs of less than $2 million per annum, agencies can self-assess these costs.  </w:t>
      </w:r>
    </w:p>
    <w:p w14:paraId="26A6878E" w14:textId="77777777" w:rsidR="00EC4659" w:rsidRPr="00EC4659" w:rsidRDefault="00EC4659" w:rsidP="00EC4659">
      <w:pPr>
        <w:spacing w:before="120" w:line="259" w:lineRule="auto"/>
        <w:rPr>
          <w:rFonts w:ascii="Calibri Light" w:hAnsi="Calibri Light"/>
          <w:color w:val="5B9BD5"/>
          <w:sz w:val="26"/>
          <w:szCs w:val="26"/>
        </w:rPr>
      </w:pPr>
      <w:bookmarkStart w:id="183" w:name="_Toc473126088"/>
      <w:r w:rsidRPr="00EC4659">
        <w:rPr>
          <w:rFonts w:ascii="Calibri Light" w:hAnsi="Calibri Light"/>
          <w:color w:val="5B9BD5"/>
          <w:sz w:val="26"/>
          <w:szCs w:val="26"/>
        </w:rPr>
        <w:t>Regulatory costing</w:t>
      </w:r>
      <w:bookmarkEnd w:id="183"/>
      <w:r w:rsidRPr="00EC4659">
        <w:rPr>
          <w:rFonts w:ascii="Calibri Light" w:hAnsi="Calibri Light"/>
          <w:color w:val="5B9BD5"/>
          <w:sz w:val="26"/>
          <w:szCs w:val="26"/>
        </w:rPr>
        <w:t xml:space="preserve">  </w:t>
      </w:r>
    </w:p>
    <w:p w14:paraId="5DAB22F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In Table B1 below we provide summary of the regulatory burden estimate (RBE) tables, including the changes in regulatory cost from Option 1 (status quo).  </w:t>
      </w:r>
    </w:p>
    <w:p w14:paraId="0969F391" w14:textId="77777777" w:rsidR="00EC4659" w:rsidRPr="00EC4659" w:rsidRDefault="00EC4659" w:rsidP="000F6D46">
      <w:pPr>
        <w:keepNext/>
        <w:spacing w:after="160" w:line="240" w:lineRule="auto"/>
        <w:rPr>
          <w:rFonts w:ascii="Calibri" w:eastAsia="SimSun" w:hAnsi="Calibri"/>
          <w:szCs w:val="24"/>
        </w:rPr>
      </w:pPr>
      <w:r w:rsidRPr="00EC4659">
        <w:rPr>
          <w:rFonts w:ascii="Calibri" w:eastAsia="SimSun" w:hAnsi="Calibri"/>
          <w:szCs w:val="24"/>
        </w:rPr>
        <w:t>Table B1. Regulatory burden and cost offset estimate table</w:t>
      </w:r>
    </w:p>
    <w:tbl>
      <w:tblPr>
        <w:tblStyle w:val="LightGrid-Accent22"/>
        <w:tblW w:w="90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Table B1. Regulatory burden estimate table"/>
        <w:tblDescription w:val="This table shows the average annual change in regulatory costs (from business as usual) for each of the four options."/>
      </w:tblPr>
      <w:tblGrid>
        <w:gridCol w:w="2977"/>
        <w:gridCol w:w="1163"/>
        <w:gridCol w:w="1800"/>
        <w:gridCol w:w="1440"/>
        <w:gridCol w:w="1620"/>
      </w:tblGrid>
      <w:tr w:rsidR="00EC4659" w:rsidRPr="00EC4659" w14:paraId="7F81C82D" w14:textId="77777777" w:rsidTr="00EC4659">
        <w:trPr>
          <w:cnfStyle w:val="100000000000" w:firstRow="1" w:lastRow="0" w:firstColumn="0" w:lastColumn="0" w:oddVBand="0" w:evenVBand="0" w:oddHBand="0" w:evenHBand="0" w:firstRowFirstColumn="0" w:firstRowLastColumn="0" w:lastRowFirstColumn="0" w:lastRowLastColumn="0"/>
          <w:trHeight w:val="54"/>
          <w:tblHeader/>
        </w:trPr>
        <w:tc>
          <w:tcPr>
            <w:cnfStyle w:val="001000000000" w:firstRow="0" w:lastRow="0" w:firstColumn="1" w:lastColumn="0" w:oddVBand="0" w:evenVBand="0" w:oddHBand="0" w:evenHBand="0" w:firstRowFirstColumn="0" w:firstRowLastColumn="0" w:lastRowFirstColumn="0" w:lastRowLastColumn="0"/>
            <w:tcW w:w="9000" w:type="dxa"/>
            <w:gridSpan w:val="5"/>
            <w:tcBorders>
              <w:top w:val="single" w:sz="8" w:space="0" w:color="auto"/>
              <w:left w:val="single" w:sz="8" w:space="0" w:color="auto"/>
              <w:bottom w:val="single" w:sz="8" w:space="0" w:color="auto"/>
              <w:right w:val="single" w:sz="8" w:space="0" w:color="auto"/>
            </w:tcBorders>
            <w:shd w:val="clear" w:color="auto" w:fill="DEEAF6"/>
            <w:noWrap/>
          </w:tcPr>
          <w:p w14:paraId="40B1C93C" w14:textId="77777777" w:rsidR="00EC4659" w:rsidRPr="00EC4659" w:rsidRDefault="00EC4659" w:rsidP="000F6D46">
            <w:pPr>
              <w:keepNext/>
              <w:spacing w:line="240" w:lineRule="auto"/>
              <w:rPr>
                <w:rFonts w:ascii="Calibri" w:hAnsi="Calibri"/>
              </w:rPr>
            </w:pPr>
            <w:r w:rsidRPr="00EC4659">
              <w:rPr>
                <w:rFonts w:ascii="Calibri" w:hAnsi="Calibri"/>
              </w:rPr>
              <w:t>Average annual regulatory costs (from business as usual)</w:t>
            </w:r>
          </w:p>
        </w:tc>
      </w:tr>
      <w:tr w:rsidR="00EC4659" w:rsidRPr="00EC4659" w14:paraId="6CF4F15D" w14:textId="77777777" w:rsidTr="00EC46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8" w:space="0" w:color="auto"/>
              <w:left w:val="single" w:sz="4" w:space="0" w:color="auto"/>
              <w:bottom w:val="single" w:sz="4" w:space="0" w:color="auto"/>
              <w:right w:val="single" w:sz="4" w:space="0" w:color="auto"/>
            </w:tcBorders>
            <w:shd w:val="clear" w:color="auto" w:fill="auto"/>
            <w:noWrap/>
          </w:tcPr>
          <w:p w14:paraId="30E96E32" w14:textId="77777777" w:rsidR="00EC4659" w:rsidRPr="00EC4659" w:rsidRDefault="00EC4659" w:rsidP="000F6D46">
            <w:pPr>
              <w:keepNext/>
              <w:spacing w:line="240" w:lineRule="auto"/>
              <w:rPr>
                <w:rFonts w:ascii="Calibri" w:hAnsi="Calibri"/>
              </w:rPr>
            </w:pPr>
            <w:r w:rsidRPr="00EC4659">
              <w:rPr>
                <w:rFonts w:ascii="Calibri" w:hAnsi="Calibri"/>
              </w:rPr>
              <w:t xml:space="preserve">Change in costs </w:t>
            </w:r>
          </w:p>
        </w:tc>
        <w:tc>
          <w:tcPr>
            <w:tcW w:w="1163" w:type="dxa"/>
            <w:tcBorders>
              <w:top w:val="single" w:sz="8" w:space="0" w:color="auto"/>
              <w:left w:val="single" w:sz="4" w:space="0" w:color="auto"/>
              <w:bottom w:val="single" w:sz="4" w:space="0" w:color="auto"/>
              <w:right w:val="single" w:sz="4" w:space="0" w:color="auto"/>
            </w:tcBorders>
            <w:shd w:val="clear" w:color="auto" w:fill="auto"/>
            <w:noWrap/>
          </w:tcPr>
          <w:p w14:paraId="063533C8" w14:textId="77777777" w:rsidR="00EC4659" w:rsidRPr="00EC4659" w:rsidRDefault="00EC4659" w:rsidP="000F6D46">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b/>
              </w:rPr>
            </w:pPr>
            <w:r w:rsidRPr="00EC4659">
              <w:rPr>
                <w:rFonts w:ascii="Calibri" w:eastAsia="SimSun" w:hAnsi="Calibri"/>
                <w:b/>
              </w:rPr>
              <w:t>Business</w:t>
            </w:r>
          </w:p>
        </w:tc>
        <w:tc>
          <w:tcPr>
            <w:tcW w:w="1800" w:type="dxa"/>
            <w:tcBorders>
              <w:top w:val="single" w:sz="8" w:space="0" w:color="auto"/>
              <w:left w:val="single" w:sz="4" w:space="0" w:color="auto"/>
              <w:bottom w:val="single" w:sz="4" w:space="0" w:color="auto"/>
              <w:right w:val="single" w:sz="4" w:space="0" w:color="auto"/>
            </w:tcBorders>
            <w:shd w:val="clear" w:color="auto" w:fill="auto"/>
            <w:noWrap/>
          </w:tcPr>
          <w:p w14:paraId="42103B4D" w14:textId="77777777" w:rsidR="00EC4659" w:rsidRPr="00EC4659" w:rsidRDefault="00EC4659" w:rsidP="000F6D46">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b/>
              </w:rPr>
            </w:pPr>
            <w:r w:rsidRPr="00EC4659">
              <w:rPr>
                <w:rFonts w:ascii="Calibri" w:eastAsia="SimSun" w:hAnsi="Calibri"/>
                <w:b/>
              </w:rPr>
              <w:t>Community organisations</w:t>
            </w:r>
          </w:p>
        </w:tc>
        <w:tc>
          <w:tcPr>
            <w:tcW w:w="1440" w:type="dxa"/>
            <w:tcBorders>
              <w:top w:val="single" w:sz="8" w:space="0" w:color="auto"/>
              <w:left w:val="single" w:sz="4" w:space="0" w:color="auto"/>
              <w:bottom w:val="single" w:sz="4" w:space="0" w:color="auto"/>
              <w:right w:val="single" w:sz="4" w:space="0" w:color="auto"/>
            </w:tcBorders>
            <w:shd w:val="clear" w:color="auto" w:fill="auto"/>
            <w:noWrap/>
          </w:tcPr>
          <w:p w14:paraId="03BFC2EE"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EC4659">
              <w:rPr>
                <w:rFonts w:ascii="Calibri" w:hAnsi="Calibri" w:cs="Arial"/>
                <w:b/>
              </w:rPr>
              <w:t>Individuals</w:t>
            </w:r>
          </w:p>
        </w:tc>
        <w:tc>
          <w:tcPr>
            <w:tcW w:w="1620" w:type="dxa"/>
            <w:tcBorders>
              <w:top w:val="single" w:sz="8" w:space="0" w:color="auto"/>
              <w:left w:val="single" w:sz="4" w:space="0" w:color="auto"/>
              <w:bottom w:val="single" w:sz="4" w:space="0" w:color="auto"/>
              <w:right w:val="single" w:sz="4" w:space="0" w:color="auto"/>
            </w:tcBorders>
            <w:shd w:val="clear" w:color="auto" w:fill="auto"/>
            <w:noWrap/>
          </w:tcPr>
          <w:p w14:paraId="6EA5E2A6"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EC4659">
              <w:rPr>
                <w:rFonts w:ascii="Calibri" w:hAnsi="Calibri" w:cs="Arial"/>
                <w:b/>
              </w:rPr>
              <w:t>Total change in costs</w:t>
            </w:r>
          </w:p>
        </w:tc>
      </w:tr>
      <w:tr w:rsidR="00EC4659" w:rsidRPr="00EC4659" w14:paraId="3FF6A65F" w14:textId="77777777" w:rsidTr="00EC465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noWrap/>
          </w:tcPr>
          <w:p w14:paraId="0BDC6EC1" w14:textId="77777777" w:rsidR="00EC4659" w:rsidRPr="00EC4659" w:rsidRDefault="00EC4659" w:rsidP="000F6D46">
            <w:pPr>
              <w:keepNext/>
              <w:spacing w:line="240" w:lineRule="auto"/>
              <w:rPr>
                <w:rFonts w:ascii="Calibri" w:hAnsi="Calibri"/>
              </w:rPr>
            </w:pPr>
            <w:r w:rsidRPr="00EC4659">
              <w:rPr>
                <w:rFonts w:ascii="Calibri" w:hAnsi="Calibri"/>
              </w:rPr>
              <w:t>Option 1. Retain all current regulations, business as usual (status quo)</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2291A03B" w14:textId="77777777" w:rsidR="00EC4659" w:rsidRPr="00EC4659" w:rsidRDefault="00EC4659" w:rsidP="000F6D46">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r w:rsidRPr="00EC4659">
              <w:rPr>
                <w:rFonts w:ascii="Calibri" w:eastAsia="SimSun" w:hAnsi="Calibri"/>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47BCC12A" w14:textId="77777777" w:rsidR="00EC4659" w:rsidRPr="00EC4659" w:rsidRDefault="00EC4659" w:rsidP="000F6D46">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r w:rsidRPr="00EC4659">
              <w:rPr>
                <w:rFonts w:ascii="Calibri" w:eastAsia="SimSun" w:hAnsi="Calibri"/>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2F4B37E8" w14:textId="77777777" w:rsidR="00EC4659" w:rsidRPr="00EC4659" w:rsidRDefault="00EC4659" w:rsidP="00EC4659">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s="Arial"/>
              </w:rPr>
            </w:pPr>
            <w:r w:rsidRPr="00EC4659">
              <w:rPr>
                <w:rFonts w:ascii="Calibri" w:hAnsi="Calibri" w:cs="Arial"/>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73AC9C57" w14:textId="77777777" w:rsidR="00EC4659" w:rsidRPr="00EC4659" w:rsidRDefault="00EC4659" w:rsidP="00EC4659">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s="Arial"/>
              </w:rPr>
            </w:pPr>
            <w:r w:rsidRPr="00EC4659">
              <w:rPr>
                <w:rFonts w:ascii="Calibri" w:hAnsi="Calibri" w:cs="Arial"/>
              </w:rPr>
              <w:t>$0</w:t>
            </w:r>
          </w:p>
        </w:tc>
      </w:tr>
      <w:tr w:rsidR="00EC4659" w:rsidRPr="00EC4659" w14:paraId="04E19C8D" w14:textId="77777777" w:rsidTr="00EC46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noWrap/>
          </w:tcPr>
          <w:p w14:paraId="74597296" w14:textId="77777777" w:rsidR="00EC4659" w:rsidRPr="00EC4659" w:rsidRDefault="00EC4659" w:rsidP="000F6D46">
            <w:pPr>
              <w:keepNext/>
              <w:spacing w:line="240" w:lineRule="auto"/>
              <w:rPr>
                <w:rFonts w:ascii="Calibri" w:hAnsi="Calibri"/>
              </w:rPr>
            </w:pPr>
            <w:r w:rsidRPr="00EC4659">
              <w:rPr>
                <w:rFonts w:ascii="Calibri" w:hAnsi="Calibri"/>
              </w:rPr>
              <w:t>Option 2. Remove Regulation – First Come, First Served (except the certification required by importing country governments)</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268DC9CC" w14:textId="77777777" w:rsidR="00EC4659" w:rsidRPr="00EC4659" w:rsidRDefault="00EC4659" w:rsidP="000F6D46">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rPr>
            </w:pPr>
            <w:r w:rsidRPr="00EC4659">
              <w:rPr>
                <w:rFonts w:ascii="Calibri" w:eastAsia="SimSun" w:hAnsi="Calibri"/>
              </w:rPr>
              <w:t>-$0.027M</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288360C4" w14:textId="77777777" w:rsidR="00EC4659" w:rsidRPr="00EC4659" w:rsidRDefault="00EC4659" w:rsidP="000F6D46">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rPr>
            </w:pPr>
            <w:r w:rsidRPr="00EC4659">
              <w:rPr>
                <w:rFonts w:ascii="Calibri" w:eastAsia="SimSun" w:hAnsi="Calibri"/>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532407E2"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4659">
              <w:rPr>
                <w:rFonts w:ascii="Calibri" w:hAnsi="Calibri" w:cs="Arial"/>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84F4A49"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4659">
              <w:rPr>
                <w:rFonts w:ascii="Calibri" w:hAnsi="Calibri" w:cs="Arial"/>
              </w:rPr>
              <w:t>-$0.027M</w:t>
            </w:r>
          </w:p>
        </w:tc>
      </w:tr>
      <w:tr w:rsidR="00EC4659" w:rsidRPr="00EC4659" w14:paraId="70B82E53" w14:textId="77777777" w:rsidTr="00EC4659">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noWrap/>
          </w:tcPr>
          <w:p w14:paraId="5E3F9261" w14:textId="77777777" w:rsidR="00EC4659" w:rsidRPr="00EC4659" w:rsidRDefault="00EC4659" w:rsidP="000F6D46">
            <w:pPr>
              <w:keepNext/>
              <w:spacing w:line="240" w:lineRule="auto"/>
              <w:rPr>
                <w:rFonts w:ascii="Calibri" w:hAnsi="Calibri"/>
              </w:rPr>
            </w:pPr>
            <w:r w:rsidRPr="00EC4659">
              <w:rPr>
                <w:rFonts w:ascii="Calibri" w:hAnsi="Calibri"/>
              </w:rPr>
              <w:t>Option 3. Tiered Allocation System</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47DF862E" w14:textId="77777777" w:rsidR="00EC4659" w:rsidRPr="00EC4659" w:rsidRDefault="00EC4659" w:rsidP="000F6D46">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r w:rsidRPr="00EC4659">
              <w:rPr>
                <w:rFonts w:ascii="Calibri" w:eastAsia="SimSun" w:hAnsi="Calibri"/>
              </w:rPr>
              <w:t>$0.009M</w:t>
            </w:r>
          </w:p>
          <w:p w14:paraId="652B5E9D" w14:textId="77777777" w:rsidR="00EC4659" w:rsidRPr="00EC4659" w:rsidRDefault="00EC4659" w:rsidP="000F6D46">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4BD986F3" w14:textId="77777777" w:rsidR="00EC4659" w:rsidRPr="00EC4659" w:rsidRDefault="00EC4659" w:rsidP="000F6D46">
            <w:pPr>
              <w:keepNext/>
              <w:spacing w:line="240" w:lineRule="auto"/>
              <w:cnfStyle w:val="000000010000" w:firstRow="0" w:lastRow="0" w:firstColumn="0" w:lastColumn="0" w:oddVBand="0" w:evenVBand="0" w:oddHBand="0" w:evenHBand="1" w:firstRowFirstColumn="0" w:firstRowLastColumn="0" w:lastRowFirstColumn="0" w:lastRowLastColumn="0"/>
              <w:rPr>
                <w:rFonts w:ascii="Calibri" w:eastAsia="SimSun" w:hAnsi="Calibri"/>
              </w:rPr>
            </w:pPr>
            <w:r w:rsidRPr="00EC4659">
              <w:rPr>
                <w:rFonts w:ascii="Calibri" w:eastAsia="SimSun" w:hAnsi="Calibri"/>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731AF0EA" w14:textId="77777777" w:rsidR="00EC4659" w:rsidRPr="00EC4659" w:rsidRDefault="00EC4659" w:rsidP="00EC4659">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s="Arial"/>
              </w:rPr>
            </w:pPr>
            <w:r w:rsidRPr="00EC4659">
              <w:rPr>
                <w:rFonts w:ascii="Calibri" w:hAnsi="Calibri" w:cs="Arial"/>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6B993CA3" w14:textId="77777777" w:rsidR="00EC4659" w:rsidRPr="00EC4659" w:rsidRDefault="00EC4659" w:rsidP="00EC4659">
            <w:pPr>
              <w:spacing w:line="240" w:lineRule="auto"/>
              <w:cnfStyle w:val="000000010000" w:firstRow="0" w:lastRow="0" w:firstColumn="0" w:lastColumn="0" w:oddVBand="0" w:evenVBand="0" w:oddHBand="0" w:evenHBand="1" w:firstRowFirstColumn="0" w:firstRowLastColumn="0" w:lastRowFirstColumn="0" w:lastRowLastColumn="0"/>
              <w:rPr>
                <w:rFonts w:ascii="Calibri" w:hAnsi="Calibri" w:cs="Arial"/>
              </w:rPr>
            </w:pPr>
            <w:r w:rsidRPr="00EC4659">
              <w:rPr>
                <w:rFonts w:ascii="Calibri" w:hAnsi="Calibri" w:cs="Arial"/>
              </w:rPr>
              <w:t>$0.009M</w:t>
            </w:r>
          </w:p>
        </w:tc>
      </w:tr>
      <w:tr w:rsidR="00EC4659" w:rsidRPr="00EC4659" w14:paraId="1C16971D" w14:textId="77777777" w:rsidTr="00EC4659">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shd w:val="clear" w:color="auto" w:fill="auto"/>
            <w:noWrap/>
          </w:tcPr>
          <w:p w14:paraId="64D622C2" w14:textId="77777777" w:rsidR="00EC4659" w:rsidRPr="00EC4659" w:rsidRDefault="00EC4659" w:rsidP="000F6D46">
            <w:pPr>
              <w:keepNext/>
              <w:spacing w:line="240" w:lineRule="auto"/>
              <w:rPr>
                <w:rFonts w:ascii="Calibri" w:hAnsi="Calibri"/>
              </w:rPr>
            </w:pPr>
            <w:r w:rsidRPr="00EC4659">
              <w:rPr>
                <w:rFonts w:ascii="Calibri" w:hAnsi="Calibri"/>
              </w:rPr>
              <w:t>Option 4. Revised Tiered Allocation System</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14:paraId="06004904" w14:textId="77777777" w:rsidR="00EC4659" w:rsidRPr="00EC4659" w:rsidRDefault="00EC4659" w:rsidP="000F6D46">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rPr>
            </w:pPr>
            <w:r w:rsidRPr="00EC4659">
              <w:rPr>
                <w:rFonts w:ascii="Calibri" w:eastAsia="SimSun" w:hAnsi="Calibri"/>
              </w:rPr>
              <w:t>-$0.003M</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53FDDE71" w14:textId="77777777" w:rsidR="00EC4659" w:rsidRPr="00EC4659" w:rsidRDefault="00EC4659" w:rsidP="000F6D46">
            <w:pPr>
              <w:keepNext/>
              <w:spacing w:line="240" w:lineRule="auto"/>
              <w:cnfStyle w:val="000000100000" w:firstRow="0" w:lastRow="0" w:firstColumn="0" w:lastColumn="0" w:oddVBand="0" w:evenVBand="0" w:oddHBand="1" w:evenHBand="0" w:firstRowFirstColumn="0" w:firstRowLastColumn="0" w:lastRowFirstColumn="0" w:lastRowLastColumn="0"/>
              <w:rPr>
                <w:rFonts w:ascii="Calibri" w:eastAsia="SimSun" w:hAnsi="Calibri"/>
              </w:rPr>
            </w:pPr>
            <w:r w:rsidRPr="00EC4659">
              <w:rPr>
                <w:rFonts w:ascii="Calibri" w:eastAsia="SimSun" w:hAnsi="Calibri"/>
              </w:rPr>
              <w:t>$0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14:paraId="4D4B7389"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4659">
              <w:rPr>
                <w:rFonts w:ascii="Calibri" w:hAnsi="Calibri" w:cs="Arial"/>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629C2A7B" w14:textId="77777777" w:rsidR="00EC4659" w:rsidRPr="00EC4659" w:rsidRDefault="00EC4659" w:rsidP="00EC465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rsidRPr="00EC4659">
              <w:rPr>
                <w:rFonts w:ascii="Calibri" w:hAnsi="Calibri" w:cs="Arial"/>
              </w:rPr>
              <w:t>-$0.003M</w:t>
            </w:r>
          </w:p>
        </w:tc>
      </w:tr>
      <w:tr w:rsidR="00EC4659" w:rsidRPr="00EC4659" w14:paraId="5DFBBBB7" w14:textId="77777777" w:rsidTr="00EC4659">
        <w:trPr>
          <w:cnfStyle w:val="000000010000" w:firstRow="0" w:lastRow="0" w:firstColumn="0" w:lastColumn="0" w:oddVBand="0" w:evenVBand="0" w:oddHBand="0" w:evenHBand="1"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9000" w:type="dxa"/>
            <w:gridSpan w:val="5"/>
            <w:tcBorders>
              <w:top w:val="single" w:sz="4" w:space="0" w:color="auto"/>
              <w:left w:val="single" w:sz="4" w:space="0" w:color="auto"/>
              <w:bottom w:val="single" w:sz="4" w:space="0" w:color="auto"/>
              <w:right w:val="single" w:sz="4" w:space="0" w:color="auto"/>
            </w:tcBorders>
            <w:shd w:val="clear" w:color="auto" w:fill="auto"/>
            <w:noWrap/>
          </w:tcPr>
          <w:p w14:paraId="29AFF2A0" w14:textId="77777777" w:rsidR="00EC4659" w:rsidRPr="00EC4659" w:rsidRDefault="00EC4659" w:rsidP="000F6D46">
            <w:pPr>
              <w:spacing w:after="120" w:line="240" w:lineRule="auto"/>
              <w:rPr>
                <w:rFonts w:ascii="Calibri" w:hAnsi="Calibri"/>
              </w:rPr>
            </w:pPr>
            <w:r w:rsidRPr="000F6D46">
              <w:rPr>
                <w:rFonts w:asciiTheme="minorHAnsi" w:eastAsiaTheme="minorHAnsi" w:hAnsiTheme="minorHAnsi" w:cstheme="minorBidi"/>
                <w:b w:val="0"/>
                <w:bCs w:val="0"/>
              </w:rPr>
              <w:t>Are all new costs offset?</w:t>
            </w:r>
            <w:r w:rsidRPr="000F6D46">
              <w:rPr>
                <w:rFonts w:asciiTheme="minorHAnsi" w:eastAsiaTheme="minorHAnsi" w:hAnsiTheme="minorHAnsi" w:cstheme="minorBidi"/>
                <w:b w:val="0"/>
                <w:bCs w:val="0"/>
              </w:rPr>
              <w:br/>
            </w:r>
            <w:sdt>
              <w:sdtPr>
                <w:rPr>
                  <w:rFonts w:asciiTheme="minorHAnsi" w:eastAsiaTheme="minorHAnsi" w:hAnsiTheme="minorHAnsi" w:cstheme="minorBidi"/>
                  <w:b w:val="0"/>
                  <w:bCs w:val="0"/>
                </w:rPr>
                <w:id w:val="-1042826816"/>
                <w14:checkbox>
                  <w14:checked w14:val="0"/>
                  <w14:checkedState w14:val="2612" w14:font="MS Gothic"/>
                  <w14:uncheckedState w14:val="2610" w14:font="MS Gothic"/>
                </w14:checkbox>
              </w:sdtPr>
              <w:sdtContent>
                <w:r w:rsidRPr="000F6D46">
                  <w:rPr>
                    <w:rFonts w:ascii="Segoe UI Symbol" w:eastAsiaTheme="minorHAnsi" w:hAnsi="Segoe UI Symbol" w:cs="Segoe UI Symbol"/>
                    <w:b w:val="0"/>
                    <w:bCs w:val="0"/>
                  </w:rPr>
                  <w:t>☐</w:t>
                </w:r>
              </w:sdtContent>
            </w:sdt>
            <w:r w:rsidRPr="000F6D46">
              <w:rPr>
                <w:rFonts w:asciiTheme="minorHAnsi" w:eastAsiaTheme="minorHAnsi" w:hAnsiTheme="minorHAnsi" w:cstheme="minorBidi"/>
                <w:b w:val="0"/>
                <w:bCs w:val="0"/>
              </w:rPr>
              <w:t xml:space="preserve">Yes, costs are offset    </w:t>
            </w:r>
            <w:sdt>
              <w:sdtPr>
                <w:rPr>
                  <w:rFonts w:asciiTheme="minorHAnsi" w:eastAsiaTheme="minorHAnsi" w:hAnsiTheme="minorHAnsi" w:cstheme="minorBidi"/>
                  <w:b w:val="0"/>
                  <w:bCs w:val="0"/>
                </w:rPr>
                <w:id w:val="-1288882579"/>
                <w14:checkbox>
                  <w14:checked w14:val="0"/>
                  <w14:checkedState w14:val="2612" w14:font="MS Gothic"/>
                  <w14:uncheckedState w14:val="2610" w14:font="MS Gothic"/>
                </w14:checkbox>
              </w:sdtPr>
              <w:sdtContent>
                <w:r w:rsidRPr="000F6D46">
                  <w:rPr>
                    <w:rFonts w:ascii="Segoe UI Symbol" w:eastAsiaTheme="minorHAnsi" w:hAnsi="Segoe UI Symbol" w:cs="Segoe UI Symbol"/>
                    <w:b w:val="0"/>
                    <w:bCs w:val="0"/>
                  </w:rPr>
                  <w:t>☐</w:t>
                </w:r>
              </w:sdtContent>
            </w:sdt>
            <w:r w:rsidRPr="000F6D46">
              <w:rPr>
                <w:rFonts w:asciiTheme="minorHAnsi" w:eastAsiaTheme="minorHAnsi" w:hAnsiTheme="minorHAnsi" w:cstheme="minorBidi"/>
                <w:b w:val="0"/>
                <w:bCs w:val="0"/>
              </w:rPr>
              <w:t xml:space="preserve">No, costs are not offset   </w:t>
            </w:r>
            <w:sdt>
              <w:sdtPr>
                <w:rPr>
                  <w:rFonts w:asciiTheme="minorHAnsi" w:eastAsiaTheme="minorHAnsi" w:hAnsiTheme="minorHAnsi" w:cstheme="minorBidi"/>
                  <w:b w:val="0"/>
                  <w:bCs w:val="0"/>
                </w:rPr>
                <w:id w:val="1496907228"/>
                <w14:checkbox>
                  <w14:checked w14:val="1"/>
                  <w14:checkedState w14:val="2612" w14:font="MS Gothic"/>
                  <w14:uncheckedState w14:val="2610" w14:font="MS Gothic"/>
                </w14:checkbox>
              </w:sdtPr>
              <w:sdtContent>
                <w:r w:rsidRPr="000F6D46">
                  <w:rPr>
                    <w:rFonts w:ascii="Segoe UI Symbol" w:eastAsiaTheme="minorHAnsi" w:hAnsi="Segoe UI Symbol" w:cs="Segoe UI Symbol"/>
                    <w:b w:val="0"/>
                    <w:bCs w:val="0"/>
                  </w:rPr>
                  <w:t>☒</w:t>
                </w:r>
              </w:sdtContent>
            </w:sdt>
            <w:r w:rsidRPr="000F6D46">
              <w:rPr>
                <w:rFonts w:asciiTheme="minorHAnsi" w:eastAsiaTheme="minorHAnsi" w:hAnsiTheme="minorHAnsi" w:cstheme="minorBidi"/>
                <w:b w:val="0"/>
                <w:bCs w:val="0"/>
              </w:rPr>
              <w:t>Deregulatory—no offsets required</w:t>
            </w:r>
          </w:p>
        </w:tc>
      </w:tr>
      <w:tr w:rsidR="00EC4659" w:rsidRPr="00EC4659" w14:paraId="1DC4A617" w14:textId="77777777" w:rsidTr="00EC4659">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9000" w:type="dxa"/>
            <w:gridSpan w:val="5"/>
            <w:tcBorders>
              <w:top w:val="single" w:sz="4" w:space="0" w:color="auto"/>
              <w:left w:val="single" w:sz="4" w:space="0" w:color="auto"/>
              <w:bottom w:val="single" w:sz="4" w:space="0" w:color="auto"/>
              <w:right w:val="single" w:sz="4" w:space="0" w:color="auto"/>
            </w:tcBorders>
            <w:shd w:val="clear" w:color="auto" w:fill="auto"/>
            <w:noWrap/>
          </w:tcPr>
          <w:p w14:paraId="1D5D4249" w14:textId="77777777" w:rsidR="00EC4659" w:rsidRPr="00EC4659" w:rsidRDefault="00EC4659" w:rsidP="00EC4659">
            <w:pPr>
              <w:spacing w:line="240" w:lineRule="auto"/>
              <w:rPr>
                <w:rFonts w:ascii="Calibri" w:hAnsi="Calibri"/>
              </w:rPr>
            </w:pPr>
            <w:r w:rsidRPr="00EC4659">
              <w:rPr>
                <w:rFonts w:ascii="Calibri" w:hAnsi="Calibri"/>
              </w:rPr>
              <w:t>Total (Change in costs – Cost offset) ($million) = $0</w:t>
            </w:r>
          </w:p>
        </w:tc>
      </w:tr>
    </w:tbl>
    <w:p w14:paraId="1C248358"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All Options are well under the OBPR’s $2 million materiality threshold.</w:t>
      </w:r>
      <w:r w:rsidRPr="00EC4659">
        <w:rPr>
          <w:rFonts w:ascii="Calibri" w:hAnsi="Calibri"/>
          <w:szCs w:val="22"/>
          <w:vertAlign w:val="superscript"/>
        </w:rPr>
        <w:footnoteReference w:id="24"/>
      </w:r>
      <w:r w:rsidRPr="00EC4659">
        <w:rPr>
          <w:rFonts w:ascii="Calibri" w:hAnsi="Calibri"/>
          <w:szCs w:val="22"/>
        </w:rPr>
        <w:t xml:space="preserve">    </w:t>
      </w:r>
    </w:p>
    <w:p w14:paraId="3FCF8948"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lastRenderedPageBreak/>
        <w:t xml:space="preserve">Table B2 summarises results in gross and present value (discounted) terms over 10 years.  </w:t>
      </w:r>
    </w:p>
    <w:p w14:paraId="17D25F7B" w14:textId="77777777" w:rsidR="00EC4659" w:rsidRPr="00EC4659" w:rsidRDefault="00EC4659" w:rsidP="00EC4659">
      <w:pPr>
        <w:spacing w:line="259" w:lineRule="auto"/>
        <w:rPr>
          <w:rFonts w:ascii="Calibri" w:hAnsi="Calibri"/>
          <w:szCs w:val="22"/>
        </w:rPr>
      </w:pPr>
      <w:r w:rsidRPr="00EC4659">
        <w:rPr>
          <w:rFonts w:ascii="Calibri" w:hAnsi="Calibri"/>
          <w:szCs w:val="22"/>
        </w:rPr>
        <w:t>Table B2: Compliance cost summary table</w:t>
      </w:r>
    </w:p>
    <w:tbl>
      <w:tblPr>
        <w:tblStyle w:val="TableGrid1"/>
        <w:tblW w:w="9058" w:type="dxa"/>
        <w:tblInd w:w="108" w:type="dxa"/>
        <w:tblLook w:val="04A0" w:firstRow="1" w:lastRow="0" w:firstColumn="1" w:lastColumn="0" w:noHBand="0" w:noVBand="1"/>
        <w:tblCaption w:val="Table B2. Compliance cost summary"/>
        <w:tblDescription w:val="This table sets out the costs of compliance over a ten year period for each option, how the option differs from Option 1, and the percentage of overal costs compared to Option 1."/>
      </w:tblPr>
      <w:tblGrid>
        <w:gridCol w:w="1134"/>
        <w:gridCol w:w="1701"/>
        <w:gridCol w:w="1418"/>
        <w:gridCol w:w="1507"/>
        <w:gridCol w:w="1980"/>
        <w:gridCol w:w="1318"/>
      </w:tblGrid>
      <w:tr w:rsidR="00EC4659" w:rsidRPr="00EC4659" w14:paraId="66E670D8" w14:textId="77777777" w:rsidTr="00EC4659">
        <w:trPr>
          <w:trHeight w:val="961"/>
        </w:trPr>
        <w:tc>
          <w:tcPr>
            <w:tcW w:w="1134" w:type="dxa"/>
            <w:shd w:val="clear" w:color="auto" w:fill="DEEAF6"/>
          </w:tcPr>
          <w:p w14:paraId="7CA5C0BB" w14:textId="77777777" w:rsidR="00EC4659" w:rsidRPr="00EC4659" w:rsidRDefault="00EC4659" w:rsidP="00EC4659">
            <w:pPr>
              <w:spacing w:after="160" w:line="240" w:lineRule="auto"/>
              <w:rPr>
                <w:rFonts w:ascii="Calibri" w:hAnsi="Calibri"/>
                <w:bCs/>
                <w:sz w:val="20"/>
              </w:rPr>
            </w:pPr>
          </w:p>
        </w:tc>
        <w:tc>
          <w:tcPr>
            <w:tcW w:w="1701" w:type="dxa"/>
            <w:shd w:val="clear" w:color="auto" w:fill="DEEAF6"/>
          </w:tcPr>
          <w:p w14:paraId="7DDFB7F9" w14:textId="77777777" w:rsidR="00EC4659" w:rsidRPr="00EC4659" w:rsidRDefault="00EC4659" w:rsidP="000F6D46">
            <w:pPr>
              <w:spacing w:line="240" w:lineRule="auto"/>
              <w:rPr>
                <w:rFonts w:ascii="Calibri" w:hAnsi="Calibri"/>
                <w:bCs/>
                <w:sz w:val="20"/>
              </w:rPr>
            </w:pPr>
            <w:r w:rsidRPr="000F6D46">
              <w:rPr>
                <w:rFonts w:asciiTheme="minorHAnsi" w:eastAsiaTheme="minorHAnsi" w:hAnsiTheme="minorHAnsi" w:cstheme="minorBidi"/>
                <w:b/>
              </w:rPr>
              <w:t>Total gross compliance cost (10 years)</w:t>
            </w:r>
          </w:p>
        </w:tc>
        <w:tc>
          <w:tcPr>
            <w:tcW w:w="1418" w:type="dxa"/>
            <w:shd w:val="clear" w:color="auto" w:fill="DEEAF6"/>
          </w:tcPr>
          <w:p w14:paraId="0AA1B6FC"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Present value (10 years)</w:t>
            </w:r>
          </w:p>
        </w:tc>
        <w:tc>
          <w:tcPr>
            <w:tcW w:w="1507" w:type="dxa"/>
            <w:shd w:val="clear" w:color="auto" w:fill="DEEAF6"/>
          </w:tcPr>
          <w:p w14:paraId="78F587D5"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Gross change from Option 1 (10 years)</w:t>
            </w:r>
          </w:p>
        </w:tc>
        <w:tc>
          <w:tcPr>
            <w:tcW w:w="1980" w:type="dxa"/>
            <w:shd w:val="clear" w:color="auto" w:fill="DEEAF6"/>
          </w:tcPr>
          <w:p w14:paraId="7E68EF9C"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Present value change from Option 1 (10 years)</w:t>
            </w:r>
          </w:p>
        </w:tc>
        <w:tc>
          <w:tcPr>
            <w:tcW w:w="1318" w:type="dxa"/>
            <w:shd w:val="clear" w:color="auto" w:fill="DEEAF6"/>
          </w:tcPr>
          <w:p w14:paraId="1ABD2FFB"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Percentage of Option 1</w:t>
            </w:r>
          </w:p>
        </w:tc>
      </w:tr>
      <w:tr w:rsidR="00EC4659" w:rsidRPr="00EC4659" w14:paraId="63DE63BC" w14:textId="77777777" w:rsidTr="00EC4659">
        <w:tc>
          <w:tcPr>
            <w:tcW w:w="1134" w:type="dxa"/>
          </w:tcPr>
          <w:p w14:paraId="3184054E"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Option 1</w:t>
            </w:r>
          </w:p>
        </w:tc>
        <w:tc>
          <w:tcPr>
            <w:tcW w:w="1701" w:type="dxa"/>
          </w:tcPr>
          <w:p w14:paraId="30CC5E53"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$5.04M</w:t>
            </w:r>
          </w:p>
        </w:tc>
        <w:tc>
          <w:tcPr>
            <w:tcW w:w="1418" w:type="dxa"/>
          </w:tcPr>
          <w:p w14:paraId="2B4B5997"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$3.788M</w:t>
            </w:r>
          </w:p>
        </w:tc>
        <w:tc>
          <w:tcPr>
            <w:tcW w:w="1507" w:type="dxa"/>
          </w:tcPr>
          <w:p w14:paraId="04B8BB9E"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w:t>
            </w:r>
          </w:p>
        </w:tc>
        <w:tc>
          <w:tcPr>
            <w:tcW w:w="1980" w:type="dxa"/>
          </w:tcPr>
          <w:p w14:paraId="3E0253FF"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w:t>
            </w:r>
          </w:p>
        </w:tc>
        <w:tc>
          <w:tcPr>
            <w:tcW w:w="1318" w:type="dxa"/>
          </w:tcPr>
          <w:p w14:paraId="7A5D2EEE"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100%</w:t>
            </w:r>
          </w:p>
        </w:tc>
      </w:tr>
      <w:tr w:rsidR="00EC4659" w:rsidRPr="00EC4659" w14:paraId="3F854333" w14:textId="77777777" w:rsidTr="00EC4659">
        <w:tc>
          <w:tcPr>
            <w:tcW w:w="1134" w:type="dxa"/>
          </w:tcPr>
          <w:p w14:paraId="65A50620"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Option 2</w:t>
            </w:r>
          </w:p>
        </w:tc>
        <w:tc>
          <w:tcPr>
            <w:tcW w:w="1701" w:type="dxa"/>
          </w:tcPr>
          <w:p w14:paraId="06E8E9DF"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$4.77M</w:t>
            </w:r>
          </w:p>
        </w:tc>
        <w:tc>
          <w:tcPr>
            <w:tcW w:w="1418" w:type="dxa"/>
          </w:tcPr>
          <w:p w14:paraId="3060C73C"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$3.585M</w:t>
            </w:r>
          </w:p>
        </w:tc>
        <w:tc>
          <w:tcPr>
            <w:tcW w:w="1507" w:type="dxa"/>
          </w:tcPr>
          <w:p w14:paraId="0BC81D9F"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-$0.27M</w:t>
            </w:r>
          </w:p>
        </w:tc>
        <w:tc>
          <w:tcPr>
            <w:tcW w:w="1980" w:type="dxa"/>
          </w:tcPr>
          <w:p w14:paraId="1725018E"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-$0.20M</w:t>
            </w:r>
          </w:p>
        </w:tc>
        <w:tc>
          <w:tcPr>
            <w:tcW w:w="1318" w:type="dxa"/>
          </w:tcPr>
          <w:p w14:paraId="01B95F2F"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95%</w:t>
            </w:r>
          </w:p>
        </w:tc>
      </w:tr>
      <w:tr w:rsidR="00EC4659" w:rsidRPr="00EC4659" w14:paraId="5DD5D84B" w14:textId="77777777" w:rsidTr="00EC4659">
        <w:tc>
          <w:tcPr>
            <w:tcW w:w="1134" w:type="dxa"/>
          </w:tcPr>
          <w:p w14:paraId="766FCD0C"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Option 3</w:t>
            </w:r>
          </w:p>
        </w:tc>
        <w:tc>
          <w:tcPr>
            <w:tcW w:w="1701" w:type="dxa"/>
          </w:tcPr>
          <w:p w14:paraId="3A1A4E2E"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$5.11M</w:t>
            </w:r>
          </w:p>
        </w:tc>
        <w:tc>
          <w:tcPr>
            <w:tcW w:w="1418" w:type="dxa"/>
          </w:tcPr>
          <w:p w14:paraId="1E360844"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$3.840M</w:t>
            </w:r>
          </w:p>
        </w:tc>
        <w:tc>
          <w:tcPr>
            <w:tcW w:w="1507" w:type="dxa"/>
          </w:tcPr>
          <w:p w14:paraId="19E7CC1B"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$0.07M</w:t>
            </w:r>
          </w:p>
        </w:tc>
        <w:tc>
          <w:tcPr>
            <w:tcW w:w="1980" w:type="dxa"/>
          </w:tcPr>
          <w:p w14:paraId="6C8DF282"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$0.05M</w:t>
            </w:r>
          </w:p>
        </w:tc>
        <w:tc>
          <w:tcPr>
            <w:tcW w:w="1318" w:type="dxa"/>
          </w:tcPr>
          <w:p w14:paraId="1C9D691A"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101%</w:t>
            </w:r>
          </w:p>
        </w:tc>
      </w:tr>
      <w:tr w:rsidR="00EC4659" w:rsidRPr="00EC4659" w14:paraId="00433212" w14:textId="77777777" w:rsidTr="00EC4659">
        <w:tc>
          <w:tcPr>
            <w:tcW w:w="1134" w:type="dxa"/>
          </w:tcPr>
          <w:p w14:paraId="6FD7AAE2"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Option 4</w:t>
            </w:r>
          </w:p>
        </w:tc>
        <w:tc>
          <w:tcPr>
            <w:tcW w:w="1701" w:type="dxa"/>
          </w:tcPr>
          <w:p w14:paraId="3FC380AF"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$5.01M</w:t>
            </w:r>
          </w:p>
        </w:tc>
        <w:tc>
          <w:tcPr>
            <w:tcW w:w="1418" w:type="dxa"/>
          </w:tcPr>
          <w:p w14:paraId="4A2C98A8"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$3.765M</w:t>
            </w:r>
          </w:p>
        </w:tc>
        <w:tc>
          <w:tcPr>
            <w:tcW w:w="1507" w:type="dxa"/>
          </w:tcPr>
          <w:p w14:paraId="2BE95221"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-$0.03M</w:t>
            </w:r>
          </w:p>
        </w:tc>
        <w:tc>
          <w:tcPr>
            <w:tcW w:w="1980" w:type="dxa"/>
          </w:tcPr>
          <w:p w14:paraId="31008173"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-$0.02M</w:t>
            </w:r>
          </w:p>
        </w:tc>
        <w:tc>
          <w:tcPr>
            <w:tcW w:w="1318" w:type="dxa"/>
          </w:tcPr>
          <w:p w14:paraId="7B72DADC"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99%</w:t>
            </w:r>
          </w:p>
        </w:tc>
      </w:tr>
    </w:tbl>
    <w:p w14:paraId="2CE491AA" w14:textId="77777777" w:rsidR="00EC4659" w:rsidRPr="00EC4659" w:rsidRDefault="00EC4659" w:rsidP="00EC4659">
      <w:pPr>
        <w:spacing w:after="160" w:line="259" w:lineRule="auto"/>
        <w:rPr>
          <w:rFonts w:ascii="Calibri" w:hAnsi="Calibri"/>
          <w:b/>
          <w:szCs w:val="22"/>
        </w:rPr>
      </w:pPr>
      <w:r w:rsidRPr="00EC4659">
        <w:rPr>
          <w:rFonts w:ascii="Calibri" w:hAnsi="Calibri"/>
          <w:b/>
          <w:szCs w:val="22"/>
        </w:rPr>
        <w:t xml:space="preserve">Note: </w:t>
      </w:r>
      <w:r w:rsidRPr="00EC4659">
        <w:rPr>
          <w:rFonts w:ascii="Calibri" w:hAnsi="Calibri"/>
          <w:szCs w:val="22"/>
        </w:rPr>
        <w:t>numbers may not add due to rounding.</w:t>
      </w:r>
    </w:p>
    <w:p w14:paraId="57B4F848"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 xml:space="preserve">In comparison with Option 1, there is a slightly reduced regulatory burden under Option 4.  Option 3 (Tiered allocation) is assessed to have the highest burden.  Option 2 (Remove regulation) has the lowest burden.  The differences between the regulatory costings are small.  </w:t>
      </w:r>
    </w:p>
    <w:p w14:paraId="54A5BBFF"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 xml:space="preserve">It is estimated that 95 per cent of total direct compliance costs for exporters arise from the activity of applying for export certificates under one or more of the 33 Tariff Rate Quotas (TRQs) operating under various international trade instruments for different products and markets.  The compliance costs arising from applying for export certificates do not vary across options.  </w:t>
      </w:r>
    </w:p>
    <w:p w14:paraId="7529F74E"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 xml:space="preserve">Differences between options are limited to changes in entitlement management costs.  These costs are estimated to represent five (5) per cent of total costs under Option 1.  </w:t>
      </w:r>
    </w:p>
    <w:p w14:paraId="66016B1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Under Option 2 the compliance cost is 95 per cent of the cost under Option 1.  This is because there would be no entitlement related costs under this option; there are only certificate application costs.  </w:t>
      </w:r>
    </w:p>
    <w:p w14:paraId="5F761FA7"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Under Option 3, the compliance cost is 102 per cent of the cost under Option 1.  While the number of TRQs that are subject to entitlement allocation is reduced from 21 to 5, for two TRQs (Japan honey and Japan EBO), entitlements would move from FCFS to allocation under Option 3.  </w:t>
      </w:r>
    </w:p>
    <w:p w14:paraId="51A942C0"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While the volume of certificates for the two specified JAEPA TRQs is modest, the impact is significant for entitlement management costs.  This is because of the large number of businesses operating under these TRQs.  For entitlement management costs, additional activities arise for each participating business.  The number of businesses is therefore a major cost driver.  Excluding the two JAEPA TRQs, Option 3 would have a lower regulatory cost than Option 1.  </w:t>
      </w:r>
    </w:p>
    <w:p w14:paraId="6572ADF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value differences between the options are very small.  This reflects the estimate that certificate application activities and costs represent 95 per cent of the total regulatory burden under Option 1.  This in turn is because:</w:t>
      </w:r>
      <w:r w:rsidRPr="00EC4659">
        <w:rPr>
          <w:rFonts w:ascii="Calibri" w:hAnsi="Calibri"/>
          <w:szCs w:val="22"/>
          <w:vertAlign w:val="superscript"/>
        </w:rPr>
        <w:footnoteReference w:id="25"/>
      </w:r>
    </w:p>
    <w:p w14:paraId="7B88E459" w14:textId="77777777" w:rsidR="00EC4659" w:rsidRPr="00EC4659" w:rsidRDefault="00EC4659" w:rsidP="000F6D46">
      <w:pPr>
        <w:numPr>
          <w:ilvl w:val="0"/>
          <w:numId w:val="86"/>
        </w:numPr>
        <w:spacing w:after="160" w:line="259" w:lineRule="auto"/>
        <w:contextualSpacing/>
        <w:rPr>
          <w:rFonts w:ascii="Calibri" w:hAnsi="Calibri"/>
          <w:szCs w:val="22"/>
        </w:rPr>
      </w:pPr>
      <w:r w:rsidRPr="00EC4659">
        <w:rPr>
          <w:rFonts w:ascii="Calibri" w:hAnsi="Calibri"/>
          <w:szCs w:val="22"/>
        </w:rPr>
        <w:t>Only a minority of exporters are assumed to require entitlement allocation; and</w:t>
      </w:r>
    </w:p>
    <w:p w14:paraId="4DAD21B1" w14:textId="77777777" w:rsidR="00EC4659" w:rsidRPr="00EC4659" w:rsidRDefault="00EC4659" w:rsidP="000F6D46">
      <w:pPr>
        <w:numPr>
          <w:ilvl w:val="0"/>
          <w:numId w:val="86"/>
        </w:numPr>
        <w:spacing w:after="120" w:line="259" w:lineRule="auto"/>
        <w:contextualSpacing/>
        <w:rPr>
          <w:rFonts w:ascii="Calibri" w:hAnsi="Calibri"/>
          <w:szCs w:val="22"/>
        </w:rPr>
      </w:pPr>
      <w:r w:rsidRPr="00EC4659">
        <w:rPr>
          <w:rFonts w:ascii="Calibri" w:hAnsi="Calibri"/>
          <w:szCs w:val="22"/>
        </w:rPr>
        <w:t>For those TRQs where entitlement allocation is assumed, the additional cost of managing entitlements represents 37 per cent of the total direct burden (entitlement management and certificate application) of obtaining export certificates.</w:t>
      </w:r>
    </w:p>
    <w:p w14:paraId="05F26AC8"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If these assumptions are varied, such that certificate application costs represent a lower proportion of the total burden (lower than the estimated 95 per cent), then the differences between the options would be greater than estimated above.  Alternatively, if the certificate application costs represent a higher proportion of the total burden, then the differences between the options would be lower than estimated above.  </w:t>
      </w:r>
    </w:p>
    <w:p w14:paraId="3FF72837" w14:textId="77777777" w:rsidR="00EC4659" w:rsidRPr="00EC4659" w:rsidRDefault="00EC4659" w:rsidP="00EC4659">
      <w:pPr>
        <w:spacing w:after="120" w:line="259" w:lineRule="auto"/>
        <w:rPr>
          <w:rFonts w:ascii="Calibri" w:hAnsi="Calibri"/>
          <w:szCs w:val="22"/>
        </w:rPr>
      </w:pPr>
      <w:r w:rsidRPr="00EC4659">
        <w:rPr>
          <w:rFonts w:ascii="Calibri" w:hAnsi="Calibri"/>
          <w:szCs w:val="22"/>
        </w:rPr>
        <w:lastRenderedPageBreak/>
        <w:t xml:space="preserve">The RBM calculator output does not consider or take into account possible efficiency benefits under each option.  Among other things, these may include reduced department costs and lower department fees and charges.  It may also include improvements in the value of quota trading benefits and increased quota </w:t>
      </w:r>
      <w:bookmarkStart w:id="184" w:name="_Toc473126092"/>
      <w:r w:rsidRPr="00EC4659">
        <w:rPr>
          <w:rFonts w:ascii="Calibri" w:hAnsi="Calibri"/>
          <w:szCs w:val="22"/>
        </w:rPr>
        <w:t>utilisation.</w:t>
      </w:r>
    </w:p>
    <w:p w14:paraId="07CE8A3E" w14:textId="77777777" w:rsidR="00EC4659" w:rsidRPr="00EC4659" w:rsidRDefault="00EC4659" w:rsidP="00EC4659">
      <w:pPr>
        <w:spacing w:before="200" w:line="259" w:lineRule="auto"/>
        <w:rPr>
          <w:rFonts w:ascii="Calibri Light" w:hAnsi="Calibri Light"/>
          <w:color w:val="5B9BD5"/>
          <w:sz w:val="26"/>
          <w:szCs w:val="26"/>
        </w:rPr>
      </w:pPr>
      <w:r w:rsidRPr="00EC4659">
        <w:rPr>
          <w:rFonts w:ascii="Calibri Light" w:hAnsi="Calibri Light"/>
          <w:color w:val="5B9BD5"/>
          <w:sz w:val="26"/>
          <w:szCs w:val="26"/>
        </w:rPr>
        <w:t>Key results drivers</w:t>
      </w:r>
    </w:p>
    <w:p w14:paraId="199A323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key results drivers are not explicitly reported under the RBM calculator.  These relate to the volume of TRQ certificates that require entitlement management activity, and the amount of additional activity required for TRQs with entitlement management.  </w:t>
      </w:r>
    </w:p>
    <w:p w14:paraId="4B84F23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Under Option 1, managing entitlements is estimated to represent around 5 per cent of the overall cost of acquiring an export certificate.  This is shown in Table B3 below.</w:t>
      </w:r>
    </w:p>
    <w:p w14:paraId="464E304E" w14:textId="77777777" w:rsidR="00EC4659" w:rsidRPr="00EC4659" w:rsidRDefault="00EC4659" w:rsidP="00EC4659">
      <w:pPr>
        <w:spacing w:line="259" w:lineRule="auto"/>
        <w:rPr>
          <w:rFonts w:ascii="Calibri" w:hAnsi="Calibri"/>
          <w:szCs w:val="22"/>
        </w:rPr>
      </w:pPr>
      <w:r w:rsidRPr="00EC4659">
        <w:rPr>
          <w:rFonts w:ascii="Calibri" w:hAnsi="Calibri"/>
          <w:szCs w:val="22"/>
        </w:rPr>
        <w:t xml:space="preserve">Table B3: Option 1 compliance costs </w:t>
      </w:r>
    </w:p>
    <w:tbl>
      <w:tblPr>
        <w:tblStyle w:val="TableGrid1"/>
        <w:tblW w:w="4869" w:type="pct"/>
        <w:tblInd w:w="108" w:type="dxa"/>
        <w:tblLook w:val="04A0" w:firstRow="1" w:lastRow="0" w:firstColumn="1" w:lastColumn="0" w:noHBand="0" w:noVBand="1"/>
        <w:tblCaption w:val="Table B3. Option 1 compliance costs"/>
        <w:tblDescription w:val="This table sets out the costs and percentage for exporters applying for certificates, managing quota entitlements and the total under Option 1."/>
      </w:tblPr>
      <w:tblGrid>
        <w:gridCol w:w="4873"/>
        <w:gridCol w:w="3907"/>
      </w:tblGrid>
      <w:tr w:rsidR="00EC4659" w:rsidRPr="00EC4659" w14:paraId="399D1745" w14:textId="77777777" w:rsidTr="00EC4659">
        <w:trPr>
          <w:trHeight w:val="156"/>
        </w:trPr>
        <w:tc>
          <w:tcPr>
            <w:tcW w:w="2775" w:type="pct"/>
          </w:tcPr>
          <w:p w14:paraId="409FFCDF"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Apply for TRQ certificates</w:t>
            </w:r>
          </w:p>
        </w:tc>
        <w:tc>
          <w:tcPr>
            <w:tcW w:w="2225" w:type="pct"/>
          </w:tcPr>
          <w:p w14:paraId="54B4DD5D"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$477,000 (95% of total)</w:t>
            </w:r>
          </w:p>
        </w:tc>
      </w:tr>
      <w:tr w:rsidR="00EC4659" w:rsidRPr="00EC4659" w14:paraId="5327054C" w14:textId="77777777" w:rsidTr="00EC4659">
        <w:trPr>
          <w:trHeight w:val="148"/>
        </w:trPr>
        <w:tc>
          <w:tcPr>
            <w:tcW w:w="2775" w:type="pct"/>
          </w:tcPr>
          <w:p w14:paraId="5A928DC7"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Total entitlement management cost</w:t>
            </w:r>
          </w:p>
        </w:tc>
        <w:tc>
          <w:tcPr>
            <w:tcW w:w="2225" w:type="pct"/>
          </w:tcPr>
          <w:p w14:paraId="4355F1B8"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$27,000 (5% of total)</w:t>
            </w:r>
          </w:p>
        </w:tc>
      </w:tr>
      <w:tr w:rsidR="00EC4659" w:rsidRPr="00EC4659" w14:paraId="67726372" w14:textId="77777777" w:rsidTr="00EC4659">
        <w:trPr>
          <w:trHeight w:val="302"/>
        </w:trPr>
        <w:tc>
          <w:tcPr>
            <w:tcW w:w="2775" w:type="pct"/>
          </w:tcPr>
          <w:p w14:paraId="1B030C34"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Total cost</w:t>
            </w:r>
          </w:p>
        </w:tc>
        <w:tc>
          <w:tcPr>
            <w:tcW w:w="2225" w:type="pct"/>
          </w:tcPr>
          <w:p w14:paraId="5EF7E754"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$504,000</w:t>
            </w:r>
          </w:p>
        </w:tc>
      </w:tr>
    </w:tbl>
    <w:p w14:paraId="2A5DF5C4" w14:textId="77777777" w:rsidR="00EC4659" w:rsidRPr="00EC4659" w:rsidRDefault="00EC4659" w:rsidP="00EC4659">
      <w:pPr>
        <w:spacing w:before="120" w:after="120" w:line="259" w:lineRule="auto"/>
        <w:rPr>
          <w:rFonts w:ascii="Calibri" w:hAnsi="Calibri"/>
          <w:szCs w:val="22"/>
        </w:rPr>
      </w:pPr>
      <w:r w:rsidRPr="00EC4659">
        <w:rPr>
          <w:rFonts w:ascii="Calibri" w:hAnsi="Calibri"/>
          <w:szCs w:val="22"/>
        </w:rPr>
        <w:t>As shown in Table B4 below, 70 per cent of TRQs require entitlement management, but these represent only 6 per cent of the total export certificates issued.  Then, as shown in Table B5, for this 6 per cent, the estimated entitlement management cost represents 37 per cent of the total cost for this group.</w:t>
      </w:r>
    </w:p>
    <w:p w14:paraId="71AA2283" w14:textId="77777777" w:rsidR="00EC4659" w:rsidRPr="00EC4659" w:rsidRDefault="00EC4659" w:rsidP="00EC4659">
      <w:pPr>
        <w:spacing w:line="259" w:lineRule="auto"/>
        <w:rPr>
          <w:rFonts w:ascii="Calibri" w:hAnsi="Calibri"/>
          <w:szCs w:val="22"/>
        </w:rPr>
      </w:pPr>
      <w:r w:rsidRPr="00EC4659">
        <w:rPr>
          <w:rFonts w:ascii="Calibri" w:hAnsi="Calibri"/>
          <w:szCs w:val="22"/>
        </w:rPr>
        <w:t xml:space="preserve">Table B4: Cost division between TRQs </w:t>
      </w:r>
    </w:p>
    <w:tbl>
      <w:tblPr>
        <w:tblStyle w:val="TableGrid1"/>
        <w:tblW w:w="9000" w:type="dxa"/>
        <w:tblInd w:w="108" w:type="dxa"/>
        <w:tblLook w:val="04A0" w:firstRow="1" w:lastRow="0" w:firstColumn="1" w:lastColumn="0" w:noHBand="0" w:noVBand="1"/>
        <w:tblCaption w:val="Table B4. Cost division between TRQs"/>
        <w:tblDescription w:val="This table sets out the percentage of TRQs that issue entitlements versus those that do not, and the percentage of certificates issued against each category."/>
      </w:tblPr>
      <w:tblGrid>
        <w:gridCol w:w="1843"/>
        <w:gridCol w:w="3544"/>
        <w:gridCol w:w="3613"/>
      </w:tblGrid>
      <w:tr w:rsidR="00EC4659" w:rsidRPr="00EC4659" w14:paraId="173FF4D1" w14:textId="77777777" w:rsidTr="00EC4659">
        <w:trPr>
          <w:trHeight w:val="711"/>
        </w:trPr>
        <w:tc>
          <w:tcPr>
            <w:tcW w:w="1843" w:type="dxa"/>
            <w:shd w:val="clear" w:color="auto" w:fill="DEEAF6"/>
          </w:tcPr>
          <w:p w14:paraId="26FAF247" w14:textId="77777777" w:rsidR="00EC4659" w:rsidRPr="00EC4659" w:rsidRDefault="00EC4659" w:rsidP="00EC4659">
            <w:pPr>
              <w:spacing w:after="160" w:line="240" w:lineRule="auto"/>
              <w:rPr>
                <w:rFonts w:ascii="Calibri" w:hAnsi="Calibri"/>
                <w:b/>
                <w:bCs/>
                <w:sz w:val="20"/>
              </w:rPr>
            </w:pPr>
          </w:p>
        </w:tc>
        <w:tc>
          <w:tcPr>
            <w:tcW w:w="3544" w:type="dxa"/>
            <w:shd w:val="clear" w:color="auto" w:fill="DEEAF6"/>
          </w:tcPr>
          <w:p w14:paraId="042D5CD9"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TRQs with entitlement management (per cent of total)</w:t>
            </w:r>
          </w:p>
        </w:tc>
        <w:tc>
          <w:tcPr>
            <w:tcW w:w="3613" w:type="dxa"/>
            <w:shd w:val="clear" w:color="auto" w:fill="DEEAF6"/>
          </w:tcPr>
          <w:p w14:paraId="5B4F9625"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TRQs with no entitlement management (per cent of total)</w:t>
            </w:r>
          </w:p>
        </w:tc>
      </w:tr>
      <w:tr w:rsidR="00EC4659" w:rsidRPr="00EC4659" w14:paraId="2BF3B0D3" w14:textId="77777777" w:rsidTr="00EC4659">
        <w:trPr>
          <w:trHeight w:val="274"/>
        </w:trPr>
        <w:tc>
          <w:tcPr>
            <w:tcW w:w="1843" w:type="dxa"/>
          </w:tcPr>
          <w:p w14:paraId="0B9FB492"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 xml:space="preserve">TRQs </w:t>
            </w:r>
          </w:p>
        </w:tc>
        <w:tc>
          <w:tcPr>
            <w:tcW w:w="3544" w:type="dxa"/>
          </w:tcPr>
          <w:p w14:paraId="08DEF2D3"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70%</w:t>
            </w:r>
          </w:p>
        </w:tc>
        <w:tc>
          <w:tcPr>
            <w:tcW w:w="3613" w:type="dxa"/>
          </w:tcPr>
          <w:p w14:paraId="6C163B74"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30%</w:t>
            </w:r>
          </w:p>
        </w:tc>
      </w:tr>
      <w:tr w:rsidR="00EC4659" w:rsidRPr="00EC4659" w14:paraId="793BD199" w14:textId="77777777" w:rsidTr="00EC4659">
        <w:trPr>
          <w:trHeight w:val="254"/>
        </w:trPr>
        <w:tc>
          <w:tcPr>
            <w:tcW w:w="1843" w:type="dxa"/>
          </w:tcPr>
          <w:p w14:paraId="3ED366D8"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No. of certificates</w:t>
            </w:r>
          </w:p>
        </w:tc>
        <w:tc>
          <w:tcPr>
            <w:tcW w:w="3544" w:type="dxa"/>
          </w:tcPr>
          <w:p w14:paraId="4F1D3E4A"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6%</w:t>
            </w:r>
          </w:p>
        </w:tc>
        <w:tc>
          <w:tcPr>
            <w:tcW w:w="3613" w:type="dxa"/>
          </w:tcPr>
          <w:p w14:paraId="2FEB8436"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94%</w:t>
            </w:r>
          </w:p>
        </w:tc>
      </w:tr>
    </w:tbl>
    <w:p w14:paraId="06E4CD73" w14:textId="77777777" w:rsidR="00EC4659" w:rsidRPr="00EC4659" w:rsidRDefault="00EC4659" w:rsidP="00EC4659">
      <w:pPr>
        <w:spacing w:before="240" w:line="259" w:lineRule="auto"/>
        <w:rPr>
          <w:rFonts w:ascii="Calibri" w:hAnsi="Calibri"/>
          <w:szCs w:val="22"/>
        </w:rPr>
      </w:pPr>
      <w:r w:rsidRPr="00EC4659">
        <w:rPr>
          <w:rFonts w:ascii="Calibri" w:hAnsi="Calibri"/>
          <w:szCs w:val="22"/>
        </w:rPr>
        <w:t>Table B5: Cost division of TRQs with entitlement management</w:t>
      </w:r>
    </w:p>
    <w:tbl>
      <w:tblPr>
        <w:tblStyle w:val="TableGrid1"/>
        <w:tblW w:w="9018" w:type="dxa"/>
        <w:tblInd w:w="108" w:type="dxa"/>
        <w:tblLook w:val="04A0" w:firstRow="1" w:lastRow="0" w:firstColumn="1" w:lastColumn="0" w:noHBand="0" w:noVBand="1"/>
        <w:tblCaption w:val="Table B5. Cost division for TRQs with entitlement management"/>
        <w:tblDescription w:val="This table shows the percentage split in costs between applying for certificates and managing entitlements for those quotas that are allocated."/>
      </w:tblPr>
      <w:tblGrid>
        <w:gridCol w:w="2835"/>
        <w:gridCol w:w="3119"/>
        <w:gridCol w:w="3064"/>
      </w:tblGrid>
      <w:tr w:rsidR="00EC4659" w:rsidRPr="00EC4659" w14:paraId="52485C51" w14:textId="77777777" w:rsidTr="00EC4659">
        <w:trPr>
          <w:trHeight w:val="258"/>
        </w:trPr>
        <w:tc>
          <w:tcPr>
            <w:tcW w:w="2835" w:type="dxa"/>
            <w:shd w:val="clear" w:color="auto" w:fill="DEEAF6"/>
          </w:tcPr>
          <w:p w14:paraId="12AA79CA" w14:textId="77777777" w:rsidR="00EC4659" w:rsidRPr="00EC4659" w:rsidRDefault="00EC4659" w:rsidP="00EC4659">
            <w:pPr>
              <w:spacing w:after="160" w:line="240" w:lineRule="auto"/>
              <w:rPr>
                <w:rFonts w:ascii="Calibri" w:hAnsi="Calibri"/>
                <w:b/>
                <w:bCs/>
                <w:sz w:val="20"/>
              </w:rPr>
            </w:pPr>
          </w:p>
        </w:tc>
        <w:tc>
          <w:tcPr>
            <w:tcW w:w="3119" w:type="dxa"/>
            <w:shd w:val="clear" w:color="auto" w:fill="DEEAF6"/>
          </w:tcPr>
          <w:p w14:paraId="310EF906"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Cost of applying for certificates</w:t>
            </w:r>
          </w:p>
        </w:tc>
        <w:tc>
          <w:tcPr>
            <w:tcW w:w="3064" w:type="dxa"/>
            <w:shd w:val="clear" w:color="auto" w:fill="DEEAF6"/>
          </w:tcPr>
          <w:p w14:paraId="26742F53"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Entitlement management cost</w:t>
            </w:r>
          </w:p>
        </w:tc>
      </w:tr>
      <w:tr w:rsidR="00EC4659" w:rsidRPr="00EC4659" w14:paraId="1DEAD9BF" w14:textId="77777777" w:rsidTr="00EC4659">
        <w:trPr>
          <w:trHeight w:val="299"/>
        </w:trPr>
        <w:tc>
          <w:tcPr>
            <w:tcW w:w="2835" w:type="dxa"/>
          </w:tcPr>
          <w:p w14:paraId="3D0A6F1C"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For TRQs with entitlement management</w:t>
            </w:r>
          </w:p>
        </w:tc>
        <w:tc>
          <w:tcPr>
            <w:tcW w:w="3119" w:type="dxa"/>
          </w:tcPr>
          <w:p w14:paraId="54555D49"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62%</w:t>
            </w:r>
          </w:p>
        </w:tc>
        <w:tc>
          <w:tcPr>
            <w:tcW w:w="3064" w:type="dxa"/>
          </w:tcPr>
          <w:p w14:paraId="69E8AABC" w14:textId="77777777" w:rsidR="00EC4659" w:rsidRPr="000F6D46" w:rsidRDefault="00EC4659" w:rsidP="000F6D46">
            <w:pPr>
              <w:pStyle w:val="ListParagraph"/>
              <w:spacing w:line="240" w:lineRule="auto"/>
              <w:ind w:left="360"/>
              <w:rPr>
                <w:rFonts w:asciiTheme="minorHAnsi" w:eastAsiaTheme="minorHAnsi" w:hAnsiTheme="minorHAnsi" w:cstheme="minorBidi"/>
                <w:lang w:val="en-NZ"/>
              </w:rPr>
            </w:pPr>
            <w:r w:rsidRPr="000F6D46">
              <w:rPr>
                <w:rFonts w:asciiTheme="minorHAnsi" w:eastAsiaTheme="minorHAnsi" w:hAnsiTheme="minorHAnsi" w:cstheme="minorBidi"/>
                <w:lang w:val="en-NZ"/>
              </w:rPr>
              <w:t>38%</w:t>
            </w:r>
          </w:p>
        </w:tc>
      </w:tr>
    </w:tbl>
    <w:p w14:paraId="55B039FE" w14:textId="77777777" w:rsidR="00EC4659" w:rsidRPr="00EC4659" w:rsidRDefault="00EC4659" w:rsidP="00EC4659">
      <w:pPr>
        <w:spacing w:before="200" w:line="259" w:lineRule="auto"/>
        <w:rPr>
          <w:rFonts w:ascii="Calibri Light" w:hAnsi="Calibri Light"/>
          <w:color w:val="5B9BD5"/>
          <w:sz w:val="26"/>
          <w:szCs w:val="26"/>
        </w:rPr>
      </w:pPr>
      <w:r w:rsidRPr="00EC4659">
        <w:rPr>
          <w:rFonts w:ascii="Calibri Light" w:hAnsi="Calibri Light"/>
          <w:color w:val="5B9BD5"/>
          <w:sz w:val="26"/>
          <w:szCs w:val="26"/>
        </w:rPr>
        <w:t>Notes on method, data and assumptions</w:t>
      </w:r>
      <w:bookmarkEnd w:id="184"/>
    </w:p>
    <w:p w14:paraId="64ADBBA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framework includes consideration of the following regulatory costs:</w:t>
      </w:r>
    </w:p>
    <w:p w14:paraId="78051BEE" w14:textId="77777777" w:rsidR="00EC4659" w:rsidRPr="00EC4659" w:rsidRDefault="00EC4659" w:rsidP="000F6D46">
      <w:pPr>
        <w:numPr>
          <w:ilvl w:val="0"/>
          <w:numId w:val="85"/>
        </w:numPr>
        <w:spacing w:after="160" w:line="259" w:lineRule="auto"/>
        <w:contextualSpacing/>
        <w:rPr>
          <w:rFonts w:ascii="Calibri" w:hAnsi="Calibri"/>
          <w:szCs w:val="22"/>
        </w:rPr>
      </w:pPr>
      <w:r w:rsidRPr="00EC4659">
        <w:rPr>
          <w:rFonts w:ascii="Calibri" w:hAnsi="Calibri"/>
          <w:szCs w:val="22"/>
        </w:rPr>
        <w:t>Compliance costs:</w:t>
      </w:r>
    </w:p>
    <w:p w14:paraId="770D7BFC" w14:textId="77777777" w:rsidR="00EC4659" w:rsidRPr="00EC4659" w:rsidRDefault="00EC4659" w:rsidP="000F6D46">
      <w:pPr>
        <w:numPr>
          <w:ilvl w:val="2"/>
          <w:numId w:val="85"/>
        </w:numPr>
        <w:spacing w:after="160" w:line="259" w:lineRule="auto"/>
        <w:contextualSpacing/>
        <w:rPr>
          <w:rFonts w:ascii="Calibri" w:hAnsi="Calibri"/>
          <w:szCs w:val="22"/>
        </w:rPr>
      </w:pPr>
      <w:r w:rsidRPr="00EC4659">
        <w:rPr>
          <w:rFonts w:ascii="Calibri" w:hAnsi="Calibri"/>
          <w:szCs w:val="22"/>
        </w:rPr>
        <w:t>Administrative costs – costs incurred to demonstrate compliance with regulation (for example record keeping and reporting costs).</w:t>
      </w:r>
    </w:p>
    <w:p w14:paraId="5B5A5C92" w14:textId="77777777" w:rsidR="00EC4659" w:rsidRPr="00EC4659" w:rsidRDefault="00EC4659" w:rsidP="000F6D46">
      <w:pPr>
        <w:numPr>
          <w:ilvl w:val="2"/>
          <w:numId w:val="85"/>
        </w:numPr>
        <w:spacing w:after="160" w:line="259" w:lineRule="auto"/>
        <w:contextualSpacing/>
        <w:rPr>
          <w:rFonts w:ascii="Calibri" w:hAnsi="Calibri"/>
          <w:szCs w:val="22"/>
        </w:rPr>
      </w:pPr>
      <w:r w:rsidRPr="00EC4659">
        <w:rPr>
          <w:rFonts w:ascii="Calibri" w:hAnsi="Calibri"/>
          <w:szCs w:val="22"/>
        </w:rPr>
        <w:t>Substantive compliance costs – costs incurred to deliver the regulated outcomes being sought (usually purchase and maintenance costs).</w:t>
      </w:r>
    </w:p>
    <w:p w14:paraId="349E27C7" w14:textId="77777777" w:rsidR="00EC4659" w:rsidRPr="00EC4659" w:rsidRDefault="00EC4659" w:rsidP="000F6D46">
      <w:pPr>
        <w:numPr>
          <w:ilvl w:val="0"/>
          <w:numId w:val="85"/>
        </w:numPr>
        <w:spacing w:after="160" w:line="259" w:lineRule="auto"/>
        <w:contextualSpacing/>
        <w:rPr>
          <w:rFonts w:ascii="Calibri" w:hAnsi="Calibri"/>
          <w:szCs w:val="22"/>
        </w:rPr>
      </w:pPr>
      <w:r w:rsidRPr="00EC4659">
        <w:rPr>
          <w:rFonts w:ascii="Calibri" w:hAnsi="Calibri"/>
          <w:szCs w:val="22"/>
        </w:rPr>
        <w:t xml:space="preserve">Delay costs: </w:t>
      </w:r>
    </w:p>
    <w:p w14:paraId="3268D5DC" w14:textId="77777777" w:rsidR="00EC4659" w:rsidRPr="00EC4659" w:rsidRDefault="00EC4659" w:rsidP="000F6D46">
      <w:pPr>
        <w:numPr>
          <w:ilvl w:val="2"/>
          <w:numId w:val="85"/>
        </w:numPr>
        <w:spacing w:after="160" w:line="259" w:lineRule="auto"/>
        <w:contextualSpacing/>
        <w:rPr>
          <w:rFonts w:ascii="Calibri" w:hAnsi="Calibri"/>
          <w:szCs w:val="22"/>
        </w:rPr>
      </w:pPr>
      <w:r w:rsidRPr="00EC4659">
        <w:rPr>
          <w:rFonts w:ascii="Calibri" w:hAnsi="Calibri"/>
          <w:szCs w:val="22"/>
        </w:rPr>
        <w:t>Application delay and</w:t>
      </w:r>
    </w:p>
    <w:p w14:paraId="7AE12738" w14:textId="77777777" w:rsidR="00EC4659" w:rsidRPr="00EC4659" w:rsidRDefault="00EC4659" w:rsidP="000F6D46">
      <w:pPr>
        <w:numPr>
          <w:ilvl w:val="2"/>
          <w:numId w:val="85"/>
        </w:numPr>
        <w:spacing w:after="120" w:line="259" w:lineRule="auto"/>
        <w:contextualSpacing/>
        <w:rPr>
          <w:rFonts w:ascii="Calibri" w:hAnsi="Calibri"/>
          <w:szCs w:val="22"/>
        </w:rPr>
      </w:pPr>
      <w:r w:rsidRPr="00EC4659">
        <w:rPr>
          <w:rFonts w:ascii="Calibri" w:hAnsi="Calibri"/>
          <w:szCs w:val="22"/>
        </w:rPr>
        <w:t xml:space="preserve">Approval delay.  </w:t>
      </w:r>
    </w:p>
    <w:p w14:paraId="2AAA886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following costs are excluded from the RBM framework and are not required to be considered in a regulatory costing.  </w:t>
      </w:r>
    </w:p>
    <w:p w14:paraId="6B40ABD1" w14:textId="77777777" w:rsidR="00EC4659" w:rsidRPr="00EC4659" w:rsidRDefault="00EC4659" w:rsidP="000F6D46">
      <w:pPr>
        <w:numPr>
          <w:ilvl w:val="0"/>
          <w:numId w:val="84"/>
        </w:numPr>
        <w:spacing w:after="160" w:line="259" w:lineRule="auto"/>
        <w:contextualSpacing/>
        <w:rPr>
          <w:rFonts w:ascii="Calibri" w:hAnsi="Calibri"/>
          <w:szCs w:val="22"/>
        </w:rPr>
      </w:pPr>
      <w:r w:rsidRPr="00EC4659">
        <w:rPr>
          <w:rFonts w:ascii="Calibri" w:hAnsi="Calibri"/>
          <w:szCs w:val="22"/>
        </w:rPr>
        <w:t>Opportunity costs (unless they relate to a delay)</w:t>
      </w:r>
    </w:p>
    <w:p w14:paraId="2B0C522F" w14:textId="77777777" w:rsidR="00EC4659" w:rsidRPr="00EC4659" w:rsidRDefault="00EC4659" w:rsidP="000F6D46">
      <w:pPr>
        <w:numPr>
          <w:ilvl w:val="0"/>
          <w:numId w:val="84"/>
        </w:numPr>
        <w:spacing w:after="160" w:line="259" w:lineRule="auto"/>
        <w:contextualSpacing/>
        <w:rPr>
          <w:rFonts w:ascii="Calibri" w:hAnsi="Calibri"/>
          <w:szCs w:val="22"/>
        </w:rPr>
      </w:pPr>
      <w:r w:rsidRPr="00EC4659">
        <w:rPr>
          <w:rFonts w:ascii="Calibri" w:hAnsi="Calibri"/>
          <w:szCs w:val="22"/>
        </w:rPr>
        <w:t>Business as usual costs (costs that would be incurred in the absence of the regulation)</w:t>
      </w:r>
    </w:p>
    <w:p w14:paraId="12B9A63A" w14:textId="77777777" w:rsidR="00EC4659" w:rsidRPr="00EC4659" w:rsidRDefault="00EC4659" w:rsidP="000F6D46">
      <w:pPr>
        <w:numPr>
          <w:ilvl w:val="0"/>
          <w:numId w:val="84"/>
        </w:numPr>
        <w:spacing w:after="120" w:line="259" w:lineRule="auto"/>
        <w:contextualSpacing/>
        <w:rPr>
          <w:rFonts w:ascii="Calibri" w:hAnsi="Calibri"/>
          <w:szCs w:val="22"/>
        </w:rPr>
      </w:pPr>
      <w:r w:rsidRPr="00EC4659">
        <w:rPr>
          <w:rFonts w:ascii="Calibri" w:hAnsi="Calibri"/>
          <w:szCs w:val="22"/>
        </w:rPr>
        <w:lastRenderedPageBreak/>
        <w:t>Non-compliance and enforcement costs</w:t>
      </w:r>
    </w:p>
    <w:p w14:paraId="772AA7AE"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calculator was populated using departmental data (typically to 30 June 2016, except for fill rate data which may be up to 31 October 2016).  Where data do not exist, or are so far not available, inputs to the calculator are based on explicit assumptions.  </w:t>
      </w:r>
    </w:p>
    <w:p w14:paraId="3A6FA949" w14:textId="77777777" w:rsidR="00EC4659" w:rsidRPr="00EC4659" w:rsidRDefault="00EC4659" w:rsidP="00EC4659">
      <w:pPr>
        <w:spacing w:after="120" w:line="259" w:lineRule="auto"/>
        <w:rPr>
          <w:rFonts w:ascii="Calibri" w:hAnsi="Calibri"/>
          <w:szCs w:val="22"/>
        </w:rPr>
      </w:pPr>
      <w:r w:rsidRPr="00EC4659">
        <w:rPr>
          <w:rFonts w:ascii="Calibri" w:hAnsi="Calibri"/>
          <w:b/>
          <w:noProof/>
          <w:szCs w:val="22"/>
          <w:lang w:eastAsia="en-AU"/>
        </w:rPr>
        <mc:AlternateContent>
          <mc:Choice Requires="wps">
            <w:drawing>
              <wp:anchor distT="0" distB="0" distL="114300" distR="114300" simplePos="0" relativeHeight="251659264" behindDoc="1" locked="0" layoutInCell="1" allowOverlap="1" wp14:anchorId="16E2F1A1" wp14:editId="1B5C7DF7">
                <wp:simplePos x="0" y="0"/>
                <wp:positionH relativeFrom="column">
                  <wp:posOffset>-28575</wp:posOffset>
                </wp:positionH>
                <wp:positionV relativeFrom="paragraph">
                  <wp:posOffset>762635</wp:posOffset>
                </wp:positionV>
                <wp:extent cx="5695950" cy="15525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5695950" cy="1552575"/>
                        </a:xfrm>
                        <a:prstGeom prst="rect">
                          <a:avLst/>
                        </a:prstGeom>
                        <a:solidFill>
                          <a:srgbClr val="E7E6E6">
                            <a:lumMod val="90000"/>
                          </a:srgbClr>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9B5B5" id="Rectangle 11" o:spid="_x0000_s1026" style="position:absolute;margin-left:-2.25pt;margin-top:60.05pt;width:448.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" fillcolor="#d0cece" strokecolor="#787878" strokeweight="1pt"/>
            </w:pict>
          </mc:Fallback>
        </mc:AlternateContent>
      </w:r>
      <w:r w:rsidRPr="00EC4659">
        <w:rPr>
          <w:rFonts w:ascii="Calibri" w:hAnsi="Calibri"/>
          <w:szCs w:val="22"/>
        </w:rPr>
        <w:t xml:space="preserve">These assumptions are liable to change drawing on new information and data emerging from stakeholder consultation.  Accordingly, outputs from the RBM calculator, as set out below, should be seen merely as indicative and liable to change as assumptions are replaced or modified following stakeholder consultation.  </w:t>
      </w:r>
    </w:p>
    <w:p w14:paraId="68BE1EB9" w14:textId="77777777" w:rsidR="00EC4659" w:rsidRPr="00EC4659" w:rsidRDefault="00EC4659" w:rsidP="00EC4659">
      <w:pPr>
        <w:spacing w:after="120" w:line="259" w:lineRule="auto"/>
        <w:rPr>
          <w:rFonts w:ascii="Calibri" w:hAnsi="Calibri"/>
          <w:b/>
          <w:szCs w:val="22"/>
          <w:lang w:val="en-NZ"/>
        </w:rPr>
      </w:pPr>
      <w:r w:rsidRPr="00EC4659">
        <w:rPr>
          <w:rFonts w:ascii="Calibri" w:hAnsi="Calibri"/>
          <w:b/>
          <w:szCs w:val="22"/>
          <w:lang w:val="en-NZ"/>
        </w:rPr>
        <w:t>Box B1:</w:t>
      </w:r>
      <w:r w:rsidRPr="00EC4659">
        <w:rPr>
          <w:rFonts w:ascii="Calibri" w:hAnsi="Calibri"/>
          <w:b/>
          <w:szCs w:val="22"/>
        </w:rPr>
        <w:t xml:space="preserve"> general methodology of the RBM calculator</w:t>
      </w:r>
    </w:p>
    <w:p w14:paraId="60AD8ACD" w14:textId="77777777" w:rsidR="00EC4659" w:rsidRPr="00EC4659" w:rsidRDefault="00EC4659" w:rsidP="00EC4659">
      <w:pPr>
        <w:tabs>
          <w:tab w:val="center" w:pos="4513"/>
        </w:tabs>
        <w:spacing w:after="120" w:line="259" w:lineRule="auto"/>
        <w:rPr>
          <w:rFonts w:ascii="Calibri" w:hAnsi="Calibri"/>
          <w:szCs w:val="22"/>
          <w:lang w:val="en-NZ"/>
        </w:rPr>
      </w:pPr>
      <w:r w:rsidRPr="00EC4659">
        <w:rPr>
          <w:rFonts w:ascii="Calibri" w:hAnsi="Calibri"/>
          <w:szCs w:val="22"/>
          <w:lang w:val="en-NZ"/>
        </w:rPr>
        <w:t>Total activity cost is:</w:t>
      </w:r>
      <w:r w:rsidRPr="00EC4659">
        <w:rPr>
          <w:rFonts w:ascii="Calibri" w:hAnsi="Calibri"/>
          <w:szCs w:val="22"/>
          <w:lang w:val="en-NZ"/>
        </w:rPr>
        <w:tab/>
      </w:r>
    </w:p>
    <w:p w14:paraId="7CB2D461" w14:textId="77777777" w:rsidR="00EC4659" w:rsidRPr="00EC4659" w:rsidRDefault="00EC4659" w:rsidP="000F6D46">
      <w:pPr>
        <w:numPr>
          <w:ilvl w:val="0"/>
          <w:numId w:val="80"/>
        </w:numPr>
        <w:spacing w:after="160" w:line="259" w:lineRule="auto"/>
        <w:contextualSpacing/>
        <w:rPr>
          <w:rFonts w:ascii="Calibri" w:hAnsi="Calibri"/>
          <w:szCs w:val="22"/>
          <w:lang w:val="en-NZ"/>
        </w:rPr>
      </w:pPr>
      <w:r w:rsidRPr="00EC4659">
        <w:rPr>
          <w:rFonts w:ascii="Calibri" w:hAnsi="Calibri"/>
          <w:szCs w:val="22"/>
          <w:lang w:val="en-NZ"/>
        </w:rPr>
        <w:t>number of businesses affected by activity; multiplied by</w:t>
      </w:r>
    </w:p>
    <w:p w14:paraId="738A7B61" w14:textId="77777777" w:rsidR="00EC4659" w:rsidRPr="00EC4659" w:rsidRDefault="00EC4659" w:rsidP="000F6D46">
      <w:pPr>
        <w:numPr>
          <w:ilvl w:val="0"/>
          <w:numId w:val="80"/>
        </w:numPr>
        <w:spacing w:after="160" w:line="259" w:lineRule="auto"/>
        <w:contextualSpacing/>
        <w:rPr>
          <w:rFonts w:ascii="Calibri" w:hAnsi="Calibri"/>
          <w:szCs w:val="22"/>
          <w:lang w:val="en-NZ"/>
        </w:rPr>
      </w:pPr>
      <w:r w:rsidRPr="00EC4659">
        <w:rPr>
          <w:rFonts w:ascii="Calibri" w:hAnsi="Calibri"/>
          <w:szCs w:val="22"/>
          <w:lang w:val="en-NZ"/>
        </w:rPr>
        <w:t>number of staff per business performing activity; multiplied by</w:t>
      </w:r>
    </w:p>
    <w:p w14:paraId="22AC390B" w14:textId="77777777" w:rsidR="00EC4659" w:rsidRPr="00EC4659" w:rsidRDefault="00EC4659" w:rsidP="000F6D46">
      <w:pPr>
        <w:numPr>
          <w:ilvl w:val="0"/>
          <w:numId w:val="80"/>
        </w:numPr>
        <w:spacing w:after="160" w:line="259" w:lineRule="auto"/>
        <w:contextualSpacing/>
        <w:rPr>
          <w:rFonts w:ascii="Calibri" w:hAnsi="Calibri"/>
          <w:szCs w:val="22"/>
          <w:lang w:val="en-NZ"/>
        </w:rPr>
      </w:pPr>
      <w:r w:rsidRPr="00EC4659">
        <w:rPr>
          <w:rFonts w:ascii="Calibri" w:hAnsi="Calibri"/>
          <w:szCs w:val="22"/>
          <w:lang w:val="en-NZ"/>
        </w:rPr>
        <w:t>number of times activity performed per staff; multiplied by</w:t>
      </w:r>
    </w:p>
    <w:p w14:paraId="441517C3" w14:textId="77777777" w:rsidR="00EC4659" w:rsidRPr="00EC4659" w:rsidRDefault="00EC4659" w:rsidP="000F6D46">
      <w:pPr>
        <w:numPr>
          <w:ilvl w:val="0"/>
          <w:numId w:val="80"/>
        </w:numPr>
        <w:spacing w:after="160" w:line="259" w:lineRule="auto"/>
        <w:contextualSpacing/>
        <w:rPr>
          <w:rFonts w:ascii="Calibri" w:hAnsi="Calibri"/>
          <w:szCs w:val="22"/>
          <w:lang w:val="en-NZ"/>
        </w:rPr>
      </w:pPr>
      <w:r w:rsidRPr="00EC4659">
        <w:rPr>
          <w:rFonts w:ascii="Calibri" w:hAnsi="Calibri"/>
          <w:szCs w:val="22"/>
          <w:lang w:val="en-NZ"/>
        </w:rPr>
        <w:t>average time of each staff to do activity (in hours); multiplied by</w:t>
      </w:r>
    </w:p>
    <w:p w14:paraId="783D7997" w14:textId="77777777" w:rsidR="00EC4659" w:rsidRPr="00EC4659" w:rsidRDefault="00EC4659" w:rsidP="000F6D46">
      <w:pPr>
        <w:numPr>
          <w:ilvl w:val="0"/>
          <w:numId w:val="80"/>
        </w:numPr>
        <w:spacing w:after="120" w:line="259" w:lineRule="auto"/>
        <w:contextualSpacing/>
        <w:rPr>
          <w:rFonts w:ascii="Calibri" w:hAnsi="Calibri"/>
          <w:szCs w:val="22"/>
          <w:lang w:val="en-NZ"/>
        </w:rPr>
      </w:pPr>
      <w:r w:rsidRPr="00EC4659">
        <w:rPr>
          <w:rFonts w:ascii="Calibri" w:hAnsi="Calibri"/>
          <w:szCs w:val="22"/>
          <w:lang w:val="en-NZ"/>
        </w:rPr>
        <w:t>labour cost ($/hr) (which is wage plus non-wage labour costs)</w:t>
      </w:r>
    </w:p>
    <w:p w14:paraId="696E8951" w14:textId="16FAF71C" w:rsidR="00EC4659" w:rsidRPr="00EC4659" w:rsidRDefault="000F6D46" w:rsidP="00EC4659">
      <w:pPr>
        <w:spacing w:before="120" w:after="120" w:line="259" w:lineRule="auto"/>
        <w:rPr>
          <w:rFonts w:ascii="Calibri" w:hAnsi="Calibri"/>
          <w:szCs w:val="22"/>
          <w:lang w:val="en-NZ"/>
        </w:rPr>
      </w:pPr>
      <w:r>
        <w:rPr>
          <w:rFonts w:ascii="Calibri" w:hAnsi="Calibri"/>
          <w:szCs w:val="22"/>
          <w:lang w:val="en-NZ"/>
        </w:rPr>
        <w:br/>
      </w:r>
      <w:r w:rsidR="00EC4659" w:rsidRPr="00EC4659">
        <w:rPr>
          <w:rFonts w:ascii="Calibri" w:hAnsi="Calibri"/>
          <w:szCs w:val="22"/>
          <w:lang w:val="en-NZ"/>
        </w:rPr>
        <w:t>Departmental transaction data and estimates of volumes for different types of transactions are used for RBM inputs.  For the purpose of applying the RBM calculator exporter activities (transactions associated with managing TRQ entitlements and acquiring TRQ certificates) are divided into four components/activities:</w:t>
      </w:r>
    </w:p>
    <w:tbl>
      <w:tblPr>
        <w:tblStyle w:val="TableGrid1"/>
        <w:tblW w:w="790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3284"/>
      </w:tblGrid>
      <w:tr w:rsidR="00EC4659" w:rsidRPr="00EC4659" w14:paraId="6A880950" w14:textId="77777777" w:rsidTr="00EC4659">
        <w:tc>
          <w:tcPr>
            <w:tcW w:w="4621" w:type="dxa"/>
          </w:tcPr>
          <w:p w14:paraId="5096E52E" w14:textId="77777777" w:rsidR="00EC4659" w:rsidRPr="00EC4659" w:rsidRDefault="00EC4659" w:rsidP="000F6D46">
            <w:pPr>
              <w:numPr>
                <w:ilvl w:val="0"/>
                <w:numId w:val="81"/>
              </w:numPr>
              <w:spacing w:after="160" w:line="240" w:lineRule="auto"/>
              <w:contextualSpacing/>
              <w:rPr>
                <w:rFonts w:ascii="Calibri" w:hAnsi="Calibri"/>
                <w:b/>
                <w:bCs/>
                <w:sz w:val="20"/>
                <w:lang w:val="en-NZ"/>
              </w:rPr>
            </w:pPr>
            <w:r w:rsidRPr="00EC4659">
              <w:rPr>
                <w:rFonts w:ascii="Calibri" w:hAnsi="Calibri"/>
                <w:b/>
                <w:bCs/>
                <w:noProof/>
                <w:sz w:val="20"/>
                <w:lang w:eastAsia="en-AU"/>
              </w:rPr>
              <mc:AlternateContent>
                <mc:Choice Requires="wps">
                  <w:drawing>
                    <wp:anchor distT="0" distB="0" distL="114300" distR="114300" simplePos="0" relativeHeight="251661312" behindDoc="0" locked="0" layoutInCell="1" allowOverlap="1" wp14:anchorId="4659235A" wp14:editId="64AE1D7E">
                      <wp:simplePos x="0" y="0"/>
                      <wp:positionH relativeFrom="column">
                        <wp:posOffset>2554014</wp:posOffset>
                      </wp:positionH>
                      <wp:positionV relativeFrom="paragraph">
                        <wp:posOffset>96279</wp:posOffset>
                      </wp:positionV>
                      <wp:extent cx="296129" cy="0"/>
                      <wp:effectExtent l="0" t="76200" r="27940" b="114300"/>
                      <wp:wrapNone/>
                      <wp:docPr id="12" name="Straight Arrow Connector 12"/>
                      <wp:cNvGraphicFramePr/>
                      <a:graphic xmlns:a="http://schemas.openxmlformats.org/drawingml/2006/main">
                        <a:graphicData uri="http://schemas.microsoft.com/office/word/2010/wordprocessingShape">
                          <wps:wsp>
                            <wps:cNvCnPr/>
                            <wps:spPr>
                              <a:xfrm>
                                <a:off x="0" y="0"/>
                                <a:ext cx="296129"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type w14:anchorId="63B92353" id="_x0000_t32" coordsize="21600,21600" o:spt="32" o:oned="t" path="m,l21600,21600e" filled="f">
                      <v:path arrowok="t" fillok="f" o:connecttype="none"/>
                      <o:lock v:ext="edit" shapetype="t"/>
                    </v:shapetype>
                    <v:shape id="Straight Arrow Connector 12" o:spid="_x0000_s1026" type="#_x0000_t32" style="position:absolute;margin-left:201.1pt;margin-top:7.6pt;width:23.3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" strokecolor="#5b9bd5" strokeweight=".5pt">
                      <v:stroke endarrow="open" joinstyle="miter"/>
                    </v:shape>
                  </w:pict>
                </mc:Fallback>
              </mc:AlternateContent>
            </w:r>
            <w:r w:rsidRPr="00EC4659">
              <w:rPr>
                <w:rFonts w:ascii="Calibri" w:hAnsi="Calibri"/>
                <w:b/>
                <w:bCs/>
                <w:sz w:val="20"/>
                <w:lang w:val="en-NZ"/>
              </w:rPr>
              <w:t>Apply for TRQ certificates</w:t>
            </w:r>
          </w:p>
        </w:tc>
        <w:tc>
          <w:tcPr>
            <w:tcW w:w="3284" w:type="dxa"/>
          </w:tcPr>
          <w:p w14:paraId="47E3001C" w14:textId="77777777" w:rsidR="00EC4659" w:rsidRPr="00EC4659" w:rsidRDefault="00EC4659" w:rsidP="00EC4659">
            <w:pPr>
              <w:spacing w:after="160" w:line="240" w:lineRule="auto"/>
              <w:rPr>
                <w:rFonts w:ascii="Calibri" w:hAnsi="Calibri"/>
                <w:bCs/>
                <w:sz w:val="20"/>
                <w:lang w:val="en-NZ"/>
              </w:rPr>
            </w:pPr>
            <w:r w:rsidRPr="00EC4659">
              <w:rPr>
                <w:rFonts w:ascii="Calibri" w:hAnsi="Calibri"/>
                <w:b/>
                <w:bCs/>
                <w:sz w:val="20"/>
                <w:lang w:val="en-NZ"/>
              </w:rPr>
              <w:t>Applying for certificates</w:t>
            </w:r>
          </w:p>
        </w:tc>
      </w:tr>
      <w:tr w:rsidR="00EC4659" w:rsidRPr="00EC4659" w14:paraId="131328EA" w14:textId="77777777" w:rsidTr="00EC4659">
        <w:tc>
          <w:tcPr>
            <w:tcW w:w="4621" w:type="dxa"/>
          </w:tcPr>
          <w:p w14:paraId="7FDA256A" w14:textId="77777777" w:rsidR="00EC4659" w:rsidRPr="00EC4659" w:rsidRDefault="00EC4659" w:rsidP="000F6D46">
            <w:pPr>
              <w:numPr>
                <w:ilvl w:val="1"/>
                <w:numId w:val="81"/>
              </w:numPr>
              <w:spacing w:after="160" w:line="240" w:lineRule="auto"/>
              <w:contextualSpacing/>
              <w:rPr>
                <w:rFonts w:ascii="Calibri" w:hAnsi="Calibri"/>
                <w:b/>
                <w:bCs/>
                <w:sz w:val="20"/>
                <w:lang w:val="en-NZ"/>
              </w:rPr>
            </w:pPr>
            <w:r w:rsidRPr="00EC4659">
              <w:rPr>
                <w:rFonts w:ascii="Calibri" w:hAnsi="Calibri"/>
                <w:b/>
                <w:bCs/>
                <w:noProof/>
                <w:sz w:val="20"/>
                <w:lang w:eastAsia="en-AU"/>
              </w:rPr>
              <mc:AlternateContent>
                <mc:Choice Requires="wps">
                  <w:drawing>
                    <wp:anchor distT="0" distB="0" distL="114300" distR="114300" simplePos="0" relativeHeight="251662336" behindDoc="0" locked="0" layoutInCell="1" allowOverlap="1" wp14:anchorId="06AE56E6" wp14:editId="69486D26">
                      <wp:simplePos x="0" y="0"/>
                      <wp:positionH relativeFrom="column">
                        <wp:posOffset>2591851</wp:posOffset>
                      </wp:positionH>
                      <wp:positionV relativeFrom="paragraph">
                        <wp:posOffset>13751</wp:posOffset>
                      </wp:positionV>
                      <wp:extent cx="258292" cy="655320"/>
                      <wp:effectExtent l="0" t="0" r="46990" b="11430"/>
                      <wp:wrapNone/>
                      <wp:docPr id="13" name="Right Brace 13"/>
                      <wp:cNvGraphicFramePr/>
                      <a:graphic xmlns:a="http://schemas.openxmlformats.org/drawingml/2006/main">
                        <a:graphicData uri="http://schemas.microsoft.com/office/word/2010/wordprocessingShape">
                          <wps:wsp>
                            <wps:cNvSpPr/>
                            <wps:spPr>
                              <a:xfrm>
                                <a:off x="0" y="0"/>
                                <a:ext cx="258292" cy="65532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F953A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204.1pt;margin-top:1.1pt;width:20.35pt;height:51.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" adj="709" strokecolor="#5b9bd5" strokeweight=".5pt">
                      <v:stroke joinstyle="miter"/>
                    </v:shape>
                  </w:pict>
                </mc:Fallback>
              </mc:AlternateContent>
            </w:r>
            <w:r w:rsidRPr="00EC4659">
              <w:rPr>
                <w:rFonts w:ascii="Calibri" w:hAnsi="Calibri"/>
                <w:b/>
                <w:bCs/>
                <w:sz w:val="20"/>
                <w:lang w:val="en-NZ"/>
              </w:rPr>
              <w:t>Apply for TRQ entitlements</w:t>
            </w:r>
          </w:p>
        </w:tc>
        <w:tc>
          <w:tcPr>
            <w:tcW w:w="3284" w:type="dxa"/>
            <w:vMerge w:val="restart"/>
          </w:tcPr>
          <w:p w14:paraId="6EDA4E2A" w14:textId="77777777" w:rsidR="00EC4659" w:rsidRPr="00EC4659" w:rsidRDefault="00EC4659" w:rsidP="00EC4659">
            <w:pPr>
              <w:spacing w:after="160" w:line="240" w:lineRule="auto"/>
              <w:rPr>
                <w:rFonts w:ascii="Calibri" w:hAnsi="Calibri"/>
                <w:b/>
                <w:bCs/>
                <w:sz w:val="20"/>
                <w:lang w:val="en-NZ"/>
              </w:rPr>
            </w:pPr>
          </w:p>
          <w:p w14:paraId="47F5886F" w14:textId="77777777" w:rsidR="00EC4659" w:rsidRPr="00EC4659" w:rsidRDefault="00EC4659" w:rsidP="00EC4659">
            <w:pPr>
              <w:spacing w:before="140" w:after="160" w:line="240" w:lineRule="auto"/>
              <w:rPr>
                <w:rFonts w:ascii="Calibri" w:hAnsi="Calibri"/>
                <w:bCs/>
                <w:sz w:val="20"/>
                <w:lang w:val="en-NZ"/>
              </w:rPr>
            </w:pPr>
            <w:r w:rsidRPr="00EC4659">
              <w:rPr>
                <w:rFonts w:ascii="Calibri" w:hAnsi="Calibri"/>
                <w:b/>
                <w:bCs/>
                <w:sz w:val="20"/>
                <w:lang w:val="en-NZ"/>
              </w:rPr>
              <w:t>Managing entitlements</w:t>
            </w:r>
          </w:p>
          <w:p w14:paraId="317FE8CF" w14:textId="77777777" w:rsidR="00EC4659" w:rsidRPr="00EC4659" w:rsidRDefault="00EC4659" w:rsidP="00EC4659">
            <w:pPr>
              <w:spacing w:after="160" w:line="240" w:lineRule="auto"/>
              <w:rPr>
                <w:rFonts w:ascii="Calibri" w:hAnsi="Calibri"/>
                <w:b/>
                <w:bCs/>
                <w:sz w:val="20"/>
                <w:lang w:val="en-NZ"/>
              </w:rPr>
            </w:pPr>
          </w:p>
        </w:tc>
      </w:tr>
      <w:tr w:rsidR="00EC4659" w:rsidRPr="00EC4659" w14:paraId="23BEA3DE" w14:textId="77777777" w:rsidTr="00EC4659">
        <w:trPr>
          <w:trHeight w:val="527"/>
        </w:trPr>
        <w:tc>
          <w:tcPr>
            <w:tcW w:w="4621" w:type="dxa"/>
          </w:tcPr>
          <w:p w14:paraId="61155912" w14:textId="77777777" w:rsidR="00EC4659" w:rsidRPr="00EC4659" w:rsidRDefault="00EC4659" w:rsidP="000F6D46">
            <w:pPr>
              <w:numPr>
                <w:ilvl w:val="1"/>
                <w:numId w:val="81"/>
              </w:numPr>
              <w:spacing w:after="160" w:line="240" w:lineRule="auto"/>
              <w:contextualSpacing/>
              <w:rPr>
                <w:rFonts w:ascii="Calibri" w:hAnsi="Calibri"/>
                <w:b/>
                <w:bCs/>
                <w:sz w:val="20"/>
                <w:lang w:val="en-NZ"/>
              </w:rPr>
            </w:pPr>
            <w:r w:rsidRPr="00EC4659">
              <w:rPr>
                <w:rFonts w:ascii="Calibri" w:hAnsi="Calibri"/>
                <w:b/>
                <w:bCs/>
                <w:sz w:val="20"/>
                <w:lang w:val="en-NZ"/>
              </w:rPr>
              <w:t>Relinquish or retain entitlements and associated decision making</w:t>
            </w:r>
          </w:p>
        </w:tc>
        <w:tc>
          <w:tcPr>
            <w:tcW w:w="3284" w:type="dxa"/>
            <w:vMerge/>
          </w:tcPr>
          <w:p w14:paraId="0B06ECFF" w14:textId="77777777" w:rsidR="00EC4659" w:rsidRPr="00EC4659" w:rsidRDefault="00EC4659" w:rsidP="00EC4659">
            <w:pPr>
              <w:spacing w:after="160" w:line="240" w:lineRule="auto"/>
              <w:rPr>
                <w:rFonts w:ascii="Calibri" w:hAnsi="Calibri"/>
                <w:b/>
                <w:bCs/>
                <w:sz w:val="20"/>
                <w:lang w:val="en-NZ"/>
              </w:rPr>
            </w:pPr>
          </w:p>
        </w:tc>
      </w:tr>
      <w:tr w:rsidR="00EC4659" w:rsidRPr="00EC4659" w14:paraId="5DA2BC15" w14:textId="77777777" w:rsidTr="00EC4659">
        <w:tc>
          <w:tcPr>
            <w:tcW w:w="4621" w:type="dxa"/>
          </w:tcPr>
          <w:p w14:paraId="63A13C16" w14:textId="77777777" w:rsidR="00EC4659" w:rsidRPr="00EC4659" w:rsidRDefault="00EC4659" w:rsidP="000F6D46">
            <w:pPr>
              <w:numPr>
                <w:ilvl w:val="1"/>
                <w:numId w:val="81"/>
              </w:numPr>
              <w:spacing w:after="160" w:line="240" w:lineRule="auto"/>
              <w:contextualSpacing/>
              <w:rPr>
                <w:rFonts w:ascii="Calibri" w:hAnsi="Calibri"/>
                <w:b/>
                <w:bCs/>
                <w:sz w:val="20"/>
                <w:lang w:val="en-NZ"/>
              </w:rPr>
            </w:pPr>
            <w:r w:rsidRPr="00EC4659">
              <w:rPr>
                <w:rFonts w:ascii="Calibri" w:hAnsi="Calibri"/>
                <w:b/>
                <w:bCs/>
                <w:sz w:val="20"/>
                <w:lang w:val="en-NZ"/>
              </w:rPr>
              <w:t>Entitlement transfers</w:t>
            </w:r>
          </w:p>
        </w:tc>
        <w:tc>
          <w:tcPr>
            <w:tcW w:w="3284" w:type="dxa"/>
            <w:vMerge/>
          </w:tcPr>
          <w:p w14:paraId="3B8AF9ED" w14:textId="77777777" w:rsidR="00EC4659" w:rsidRPr="00EC4659" w:rsidRDefault="00EC4659" w:rsidP="00EC4659">
            <w:pPr>
              <w:spacing w:after="160" w:line="240" w:lineRule="auto"/>
              <w:rPr>
                <w:rFonts w:ascii="Calibri" w:hAnsi="Calibri"/>
                <w:b/>
                <w:bCs/>
                <w:sz w:val="20"/>
                <w:lang w:val="en-NZ"/>
              </w:rPr>
            </w:pPr>
          </w:p>
        </w:tc>
      </w:tr>
    </w:tbl>
    <w:p w14:paraId="47165A4E" w14:textId="77777777" w:rsidR="00EC4659" w:rsidRPr="00EC4659" w:rsidRDefault="00EC4659" w:rsidP="00EC4659">
      <w:pPr>
        <w:spacing w:before="200" w:line="259" w:lineRule="auto"/>
        <w:rPr>
          <w:rFonts w:ascii="Calibri Light" w:hAnsi="Calibri Light"/>
          <w:color w:val="5B9BD5"/>
          <w:sz w:val="26"/>
          <w:szCs w:val="26"/>
        </w:rPr>
      </w:pPr>
      <w:bookmarkStart w:id="185" w:name="_Toc473126093"/>
      <w:r w:rsidRPr="00EC4659">
        <w:rPr>
          <w:rFonts w:ascii="Calibri Light" w:hAnsi="Calibri Light"/>
          <w:color w:val="5B9BD5"/>
          <w:sz w:val="26"/>
          <w:szCs w:val="26"/>
        </w:rPr>
        <w:t>Inputs and assumptions</w:t>
      </w:r>
      <w:bookmarkEnd w:id="185"/>
    </w:p>
    <w:p w14:paraId="3F9332A9"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val="en-NZ"/>
        </w:rPr>
        <w:t xml:space="preserve">In line with the Regulatory Burden Measurement Framework Guidance Note, dated </w:t>
      </w:r>
      <w:r w:rsidRPr="00EC4659">
        <w:rPr>
          <w:rFonts w:ascii="Calibri" w:hAnsi="Calibri"/>
          <w:szCs w:val="22"/>
        </w:rPr>
        <w:t>February 2016</w:t>
      </w:r>
      <w:r w:rsidRPr="00EC4659">
        <w:rPr>
          <w:rFonts w:ascii="Calibri" w:hAnsi="Calibri"/>
          <w:szCs w:val="22"/>
          <w:lang w:val="en-NZ"/>
        </w:rPr>
        <w:t xml:space="preserve">, fees and charges payable to the department are excluded from the RBM calculations.  This means any reduced department costs, and lower fees and charges payable by business, from a more efficient TRQ entitlement and allocation system, are excluded from the RBM results.  It is assumed that exporting businesses bear the entire regulatory burden relating to TRQ entitlement allocation.  Therefore it is assumed there is no cost incurred by individuals and communities.  The calculator is limited to compliance costs, while all enforcement costs are excluded.  </w:t>
      </w:r>
    </w:p>
    <w:p w14:paraId="0D0B4C73"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val="en-NZ"/>
        </w:rPr>
        <w:t xml:space="preserve">Table B6 below sets out the assumptions used to derive cost for each component/activity.  </w:t>
      </w:r>
    </w:p>
    <w:p w14:paraId="05807D18" w14:textId="77777777" w:rsidR="00EC4659" w:rsidRPr="00EC4659" w:rsidRDefault="00EC4659" w:rsidP="00EC4659">
      <w:pPr>
        <w:spacing w:after="160" w:line="259" w:lineRule="auto"/>
        <w:rPr>
          <w:rFonts w:ascii="Calibri" w:hAnsi="Calibri"/>
          <w:szCs w:val="22"/>
          <w:lang w:val="en-NZ"/>
        </w:rPr>
      </w:pPr>
    </w:p>
    <w:p w14:paraId="2D4BC6BB" w14:textId="77777777" w:rsidR="00EC4659" w:rsidRPr="00EC4659" w:rsidRDefault="00EC4659" w:rsidP="00EC4659">
      <w:pPr>
        <w:keepNext/>
        <w:spacing w:line="259" w:lineRule="auto"/>
        <w:rPr>
          <w:rFonts w:ascii="Calibri" w:hAnsi="Calibri"/>
          <w:szCs w:val="22"/>
          <w:lang w:val="en-NZ"/>
        </w:rPr>
        <w:sectPr w:rsidR="00EC4659" w:rsidRPr="00EC4659" w:rsidSect="00EC4659">
          <w:pgSz w:w="11906" w:h="16838"/>
          <w:pgMar w:top="1440" w:right="1440" w:bottom="1135" w:left="1440" w:header="708" w:footer="708" w:gutter="0"/>
          <w:cols w:space="708"/>
          <w:docGrid w:linePitch="360"/>
        </w:sectPr>
      </w:pPr>
    </w:p>
    <w:p w14:paraId="4F13B293" w14:textId="77777777" w:rsidR="00EC4659" w:rsidRPr="00EC4659" w:rsidRDefault="00EC4659" w:rsidP="00EC4659">
      <w:pPr>
        <w:keepNext/>
        <w:spacing w:line="259" w:lineRule="auto"/>
        <w:rPr>
          <w:rFonts w:ascii="Calibri" w:hAnsi="Calibri"/>
          <w:szCs w:val="22"/>
          <w:lang w:val="en-NZ"/>
        </w:rPr>
      </w:pPr>
      <w:r w:rsidRPr="00EC4659">
        <w:rPr>
          <w:rFonts w:ascii="Calibri" w:hAnsi="Calibri"/>
          <w:szCs w:val="22"/>
          <w:lang w:val="en-NZ"/>
        </w:rPr>
        <w:lastRenderedPageBreak/>
        <w:t>Table B6: Time taken for each activity</w:t>
      </w:r>
    </w:p>
    <w:tbl>
      <w:tblPr>
        <w:tblStyle w:val="TableGrid1"/>
        <w:tblpPr w:leftFromText="180" w:rightFromText="180" w:vertAnchor="text" w:tblpX="108" w:tblpY="1"/>
        <w:tblOverlap w:val="never"/>
        <w:tblW w:w="0" w:type="auto"/>
        <w:tblLayout w:type="fixed"/>
        <w:tblLook w:val="04A0" w:firstRow="1" w:lastRow="0" w:firstColumn="1" w:lastColumn="0" w:noHBand="0" w:noVBand="1"/>
        <w:tblCaption w:val="Table B6. Time taken for each activity"/>
        <w:tblDescription w:val="This table sets out the estimated time taken for each activity related to quota management.  This details the quota management type and the relevant quotas that relate to each activity."/>
      </w:tblPr>
      <w:tblGrid>
        <w:gridCol w:w="1121"/>
        <w:gridCol w:w="1543"/>
        <w:gridCol w:w="2429"/>
        <w:gridCol w:w="1355"/>
        <w:gridCol w:w="2558"/>
      </w:tblGrid>
      <w:tr w:rsidR="00EC4659" w:rsidRPr="00EC4659" w14:paraId="122E2507" w14:textId="77777777" w:rsidTr="00EC4659">
        <w:trPr>
          <w:trHeight w:val="299"/>
        </w:trPr>
        <w:tc>
          <w:tcPr>
            <w:tcW w:w="9006" w:type="dxa"/>
            <w:gridSpan w:val="5"/>
            <w:shd w:val="clear" w:color="auto" w:fill="BDD6EE"/>
            <w:noWrap/>
            <w:hideMark/>
          </w:tcPr>
          <w:p w14:paraId="41B6858C" w14:textId="77777777" w:rsidR="00EC4659" w:rsidRPr="00EC4659" w:rsidRDefault="00EC4659" w:rsidP="00EC4659">
            <w:pPr>
              <w:spacing w:after="120" w:line="240" w:lineRule="auto"/>
              <w:jc w:val="center"/>
              <w:rPr>
                <w:rFonts w:ascii="Calibri" w:hAnsi="Calibri"/>
                <w:bCs/>
                <w:sz w:val="20"/>
                <w:lang w:val="en-NZ"/>
              </w:rPr>
            </w:pPr>
            <w:r w:rsidRPr="000F6D46">
              <w:rPr>
                <w:rFonts w:asciiTheme="minorHAnsi" w:eastAsiaTheme="minorHAnsi" w:hAnsiTheme="minorHAnsi" w:cstheme="minorBidi"/>
                <w:b/>
                <w:lang w:val="en-NZ"/>
              </w:rPr>
              <w:t>Apply for TRQ Certificates</w:t>
            </w:r>
          </w:p>
        </w:tc>
      </w:tr>
      <w:tr w:rsidR="00EC4659" w:rsidRPr="00EC4659" w14:paraId="4580CF3A" w14:textId="77777777" w:rsidTr="00EC4659">
        <w:trPr>
          <w:trHeight w:val="299"/>
        </w:trPr>
        <w:tc>
          <w:tcPr>
            <w:tcW w:w="1121" w:type="dxa"/>
            <w:shd w:val="clear" w:color="auto" w:fill="DEEAF6"/>
            <w:noWrap/>
            <w:hideMark/>
          </w:tcPr>
          <w:p w14:paraId="0F4F36DE"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Type</w:t>
            </w:r>
          </w:p>
        </w:tc>
        <w:tc>
          <w:tcPr>
            <w:tcW w:w="1543" w:type="dxa"/>
            <w:shd w:val="clear" w:color="auto" w:fill="DEEAF6"/>
            <w:noWrap/>
            <w:hideMark/>
          </w:tcPr>
          <w:p w14:paraId="6CF89466"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Quota</w:t>
            </w:r>
          </w:p>
        </w:tc>
        <w:tc>
          <w:tcPr>
            <w:tcW w:w="2429" w:type="dxa"/>
            <w:shd w:val="clear" w:color="auto" w:fill="DEEAF6"/>
            <w:noWrap/>
            <w:hideMark/>
          </w:tcPr>
          <w:p w14:paraId="1761FE46"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 xml:space="preserve">Description of Process </w:t>
            </w:r>
          </w:p>
        </w:tc>
        <w:tc>
          <w:tcPr>
            <w:tcW w:w="1355" w:type="dxa"/>
            <w:shd w:val="clear" w:color="auto" w:fill="DEEAF6"/>
            <w:noWrap/>
            <w:hideMark/>
          </w:tcPr>
          <w:p w14:paraId="25648897"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Time taken</w:t>
            </w:r>
          </w:p>
        </w:tc>
        <w:tc>
          <w:tcPr>
            <w:tcW w:w="2558" w:type="dxa"/>
            <w:shd w:val="clear" w:color="auto" w:fill="DEEAF6"/>
            <w:noWrap/>
            <w:hideMark/>
          </w:tcPr>
          <w:p w14:paraId="1CD8D56F"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Assumptions</w:t>
            </w:r>
          </w:p>
        </w:tc>
      </w:tr>
      <w:tr w:rsidR="00EC4659" w:rsidRPr="00EC4659" w14:paraId="1E2574D3" w14:textId="77777777" w:rsidTr="00EC4659">
        <w:trPr>
          <w:trHeight w:val="1598"/>
        </w:trPr>
        <w:tc>
          <w:tcPr>
            <w:tcW w:w="1121" w:type="dxa"/>
            <w:vMerge w:val="restart"/>
            <w:noWrap/>
            <w:hideMark/>
          </w:tcPr>
          <w:p w14:paraId="799ABDFB"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FCFS</w:t>
            </w:r>
          </w:p>
        </w:tc>
        <w:tc>
          <w:tcPr>
            <w:tcW w:w="1543" w:type="dxa"/>
            <w:hideMark/>
          </w:tcPr>
          <w:p w14:paraId="40774530"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Non Prescribed Goods:          Japan - Honey, Orange Juice, Apple Juice                                                                   </w:t>
            </w:r>
          </w:p>
        </w:tc>
        <w:tc>
          <w:tcPr>
            <w:tcW w:w="2429" w:type="dxa"/>
            <w:hideMark/>
          </w:tcPr>
          <w:p w14:paraId="3AA617C8"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Exporters do no need to be registered and lodge application through EXDOC. Exporters complete an online application form and email it to quota unit. They receive electronic certificate and send to importer via email.  </w:t>
            </w:r>
          </w:p>
        </w:tc>
        <w:tc>
          <w:tcPr>
            <w:tcW w:w="1355" w:type="dxa"/>
            <w:hideMark/>
          </w:tcPr>
          <w:p w14:paraId="10EB293A"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staff - 10 minutes</w:t>
            </w:r>
          </w:p>
        </w:tc>
        <w:tc>
          <w:tcPr>
            <w:tcW w:w="2558" w:type="dxa"/>
            <w:hideMark/>
          </w:tcPr>
          <w:p w14:paraId="28995A2F"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1 staff member applies via email.  Once the certificate is received, 1 staff member emails it on to importer.</w:t>
            </w:r>
          </w:p>
        </w:tc>
      </w:tr>
      <w:tr w:rsidR="00EC4659" w:rsidRPr="00EC4659" w14:paraId="3413C8B6" w14:textId="77777777" w:rsidTr="00EC4659">
        <w:trPr>
          <w:trHeight w:val="896"/>
        </w:trPr>
        <w:tc>
          <w:tcPr>
            <w:tcW w:w="1121" w:type="dxa"/>
            <w:vMerge/>
            <w:hideMark/>
          </w:tcPr>
          <w:p w14:paraId="1DFF7B86" w14:textId="77777777" w:rsidR="00EC4659" w:rsidRPr="000F6D46" w:rsidRDefault="00EC4659" w:rsidP="000F6D46">
            <w:pPr>
              <w:spacing w:line="240" w:lineRule="auto"/>
              <w:rPr>
                <w:rFonts w:asciiTheme="minorHAnsi" w:eastAsiaTheme="minorHAnsi" w:hAnsiTheme="minorHAnsi" w:cstheme="minorBidi"/>
                <w:sz w:val="20"/>
                <w:lang w:val="en-NZ"/>
              </w:rPr>
            </w:pPr>
          </w:p>
        </w:tc>
        <w:tc>
          <w:tcPr>
            <w:tcW w:w="1543" w:type="dxa"/>
            <w:hideMark/>
          </w:tcPr>
          <w:p w14:paraId="6D329859"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Japan - Bovine Offal, Preserved &amp; Prepared Meats 1 &amp;2, Poultry, Pork                                             </w:t>
            </w:r>
          </w:p>
        </w:tc>
        <w:tc>
          <w:tcPr>
            <w:tcW w:w="2429" w:type="dxa"/>
            <w:hideMark/>
          </w:tcPr>
          <w:p w14:paraId="490B71E9"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Exporter lodges Request for Permit through EXDOC. They receive electronic certificate and send to importer via email.  </w:t>
            </w:r>
          </w:p>
        </w:tc>
        <w:tc>
          <w:tcPr>
            <w:tcW w:w="1355" w:type="dxa"/>
            <w:hideMark/>
          </w:tcPr>
          <w:p w14:paraId="571DE0EB"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staff - 15 minutes</w:t>
            </w:r>
          </w:p>
        </w:tc>
        <w:tc>
          <w:tcPr>
            <w:tcW w:w="2558" w:type="dxa"/>
            <w:hideMark/>
          </w:tcPr>
          <w:p w14:paraId="304A7914"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1 staff member applies via EXDOC.  Once the certificate is received, 1 staff member emails it on to importer.</w:t>
            </w:r>
          </w:p>
        </w:tc>
      </w:tr>
      <w:tr w:rsidR="00EC4659" w:rsidRPr="00EC4659" w14:paraId="56B55DF7" w14:textId="77777777" w:rsidTr="00EC4659">
        <w:trPr>
          <w:trHeight w:val="896"/>
        </w:trPr>
        <w:tc>
          <w:tcPr>
            <w:tcW w:w="1121" w:type="dxa"/>
            <w:hideMark/>
          </w:tcPr>
          <w:p w14:paraId="7607BCCA"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FCFS with Trigger</w:t>
            </w:r>
          </w:p>
        </w:tc>
        <w:tc>
          <w:tcPr>
            <w:tcW w:w="1543" w:type="dxa"/>
            <w:hideMark/>
          </w:tcPr>
          <w:p w14:paraId="21E286F3"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USA Beef</w:t>
            </w:r>
          </w:p>
        </w:tc>
        <w:tc>
          <w:tcPr>
            <w:tcW w:w="2429" w:type="dxa"/>
            <w:hideMark/>
          </w:tcPr>
          <w:p w14:paraId="0A5FCB9B"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Exporter lodges Request for Permit through EXDOC. They receive electronic certificate and send to importer via email. </w:t>
            </w:r>
          </w:p>
        </w:tc>
        <w:tc>
          <w:tcPr>
            <w:tcW w:w="1355" w:type="dxa"/>
            <w:hideMark/>
          </w:tcPr>
          <w:p w14:paraId="1812BD0C"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staff - 15 minutes</w:t>
            </w:r>
          </w:p>
        </w:tc>
        <w:tc>
          <w:tcPr>
            <w:tcW w:w="2558" w:type="dxa"/>
            <w:hideMark/>
          </w:tcPr>
          <w:p w14:paraId="21EB30A1"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1 staff member applies via EXDOC.  Once the certificate is received, 1 staff member emails it on to importer.</w:t>
            </w:r>
          </w:p>
        </w:tc>
      </w:tr>
      <w:tr w:rsidR="00EC4659" w:rsidRPr="00EC4659" w14:paraId="6332D109" w14:textId="77777777" w:rsidTr="00EC4659">
        <w:trPr>
          <w:trHeight w:val="896"/>
        </w:trPr>
        <w:tc>
          <w:tcPr>
            <w:tcW w:w="1121" w:type="dxa"/>
            <w:vMerge w:val="restart"/>
            <w:hideMark/>
          </w:tcPr>
          <w:p w14:paraId="06E29F88"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Allocated</w:t>
            </w:r>
          </w:p>
        </w:tc>
        <w:tc>
          <w:tcPr>
            <w:tcW w:w="1543" w:type="dxa"/>
            <w:hideMark/>
          </w:tcPr>
          <w:p w14:paraId="3F0ECCDE"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Dairy - USA WTO &amp; FTA </w:t>
            </w:r>
          </w:p>
        </w:tc>
        <w:tc>
          <w:tcPr>
            <w:tcW w:w="2429" w:type="dxa"/>
            <w:hideMark/>
          </w:tcPr>
          <w:p w14:paraId="35D63DC9"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Exporter lodges Request for Permit through EXDOC. They receive electronic certificate and send to importer via email.  </w:t>
            </w:r>
          </w:p>
        </w:tc>
        <w:tc>
          <w:tcPr>
            <w:tcW w:w="1355" w:type="dxa"/>
            <w:hideMark/>
          </w:tcPr>
          <w:p w14:paraId="770D1963"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staff - 15 minutes</w:t>
            </w:r>
          </w:p>
        </w:tc>
        <w:tc>
          <w:tcPr>
            <w:tcW w:w="2558" w:type="dxa"/>
            <w:hideMark/>
          </w:tcPr>
          <w:p w14:paraId="4C93F535"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1 staff member applies via EXDOC.  Once the certificate is received, 1 staff member emails it on to importer.</w:t>
            </w:r>
          </w:p>
        </w:tc>
      </w:tr>
      <w:tr w:rsidR="00EC4659" w:rsidRPr="00EC4659" w14:paraId="056E00CA" w14:textId="77777777" w:rsidTr="00EC4659">
        <w:trPr>
          <w:trHeight w:val="896"/>
        </w:trPr>
        <w:tc>
          <w:tcPr>
            <w:tcW w:w="1121" w:type="dxa"/>
            <w:vMerge/>
            <w:hideMark/>
          </w:tcPr>
          <w:p w14:paraId="2F8A3DDB" w14:textId="77777777" w:rsidR="00EC4659" w:rsidRPr="000F6D46" w:rsidRDefault="00EC4659" w:rsidP="000F6D46">
            <w:pPr>
              <w:spacing w:line="240" w:lineRule="auto"/>
              <w:rPr>
                <w:rFonts w:asciiTheme="minorHAnsi" w:eastAsiaTheme="minorHAnsi" w:hAnsiTheme="minorHAnsi" w:cstheme="minorBidi"/>
                <w:sz w:val="20"/>
                <w:lang w:val="en-NZ"/>
              </w:rPr>
            </w:pPr>
          </w:p>
        </w:tc>
        <w:tc>
          <w:tcPr>
            <w:tcW w:w="1543" w:type="dxa"/>
            <w:noWrap/>
            <w:hideMark/>
          </w:tcPr>
          <w:p w14:paraId="6573D080"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Dairy - EU, EU </w:t>
            </w:r>
            <w:proofErr w:type="spellStart"/>
            <w:r w:rsidRPr="000F6D46">
              <w:rPr>
                <w:rFonts w:asciiTheme="minorHAnsi" w:eastAsiaTheme="minorHAnsi" w:hAnsiTheme="minorHAnsi" w:cstheme="minorBidi"/>
                <w:sz w:val="20"/>
                <w:lang w:val="en-NZ"/>
              </w:rPr>
              <w:t>Sheepmeat</w:t>
            </w:r>
            <w:proofErr w:type="spellEnd"/>
            <w:r w:rsidRPr="000F6D46">
              <w:rPr>
                <w:rFonts w:asciiTheme="minorHAnsi" w:eastAsiaTheme="minorHAnsi" w:hAnsiTheme="minorHAnsi" w:cstheme="minorBidi"/>
                <w:sz w:val="20"/>
                <w:lang w:val="en-NZ"/>
              </w:rPr>
              <w:t xml:space="preserve">, EU HQB &amp; Buffalo, EU </w:t>
            </w:r>
            <w:proofErr w:type="spellStart"/>
            <w:r w:rsidRPr="000F6D46">
              <w:rPr>
                <w:rFonts w:asciiTheme="minorHAnsi" w:eastAsiaTheme="minorHAnsi" w:hAnsiTheme="minorHAnsi" w:cstheme="minorBidi"/>
                <w:sz w:val="20"/>
                <w:lang w:val="en-NZ"/>
              </w:rPr>
              <w:t>Grainfed</w:t>
            </w:r>
            <w:proofErr w:type="spellEnd"/>
          </w:p>
        </w:tc>
        <w:tc>
          <w:tcPr>
            <w:tcW w:w="2429" w:type="dxa"/>
            <w:hideMark/>
          </w:tcPr>
          <w:p w14:paraId="2712A574"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Exporter lodges Request for Permit through EXDOC. They receive a paper certificate and post it to the importer.   </w:t>
            </w:r>
          </w:p>
        </w:tc>
        <w:tc>
          <w:tcPr>
            <w:tcW w:w="1355" w:type="dxa"/>
            <w:hideMark/>
          </w:tcPr>
          <w:p w14:paraId="11621CA6"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staff - 25 minutes</w:t>
            </w:r>
          </w:p>
        </w:tc>
        <w:tc>
          <w:tcPr>
            <w:tcW w:w="2558" w:type="dxa"/>
            <w:hideMark/>
          </w:tcPr>
          <w:p w14:paraId="7BF1C70C"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1 staff member applies via EXDOC.  Once the certificate is received, 1 staff member organises for posting paper certificate to the importer.</w:t>
            </w:r>
          </w:p>
        </w:tc>
      </w:tr>
    </w:tbl>
    <w:tbl>
      <w:tblPr>
        <w:tblStyle w:val="TableGrid1"/>
        <w:tblW w:w="8959" w:type="dxa"/>
        <w:tblInd w:w="108" w:type="dxa"/>
        <w:tblLayout w:type="fixed"/>
        <w:tblLook w:val="04A0" w:firstRow="1" w:lastRow="0" w:firstColumn="1" w:lastColumn="0" w:noHBand="0" w:noVBand="1"/>
        <w:tblCaption w:val="Table B6. Time taken for each activity"/>
        <w:tblDescription w:val="This table sets out the estimated time taken for each activity related to quota management.  This details the quota management type and the relevant quotas that relate to each activity."/>
      </w:tblPr>
      <w:tblGrid>
        <w:gridCol w:w="1058"/>
        <w:gridCol w:w="22"/>
        <w:gridCol w:w="12"/>
        <w:gridCol w:w="1555"/>
        <w:gridCol w:w="32"/>
        <w:gridCol w:w="15"/>
        <w:gridCol w:w="2296"/>
        <w:gridCol w:w="11"/>
        <w:gridCol w:w="102"/>
        <w:gridCol w:w="1279"/>
        <w:gridCol w:w="26"/>
        <w:gridCol w:w="2551"/>
      </w:tblGrid>
      <w:tr w:rsidR="00EC4659" w:rsidRPr="00EC4659" w14:paraId="517F7E0B" w14:textId="77777777" w:rsidTr="00EC4659">
        <w:trPr>
          <w:trHeight w:val="300"/>
        </w:trPr>
        <w:tc>
          <w:tcPr>
            <w:tcW w:w="8959" w:type="dxa"/>
            <w:gridSpan w:val="12"/>
            <w:shd w:val="clear" w:color="auto" w:fill="BDD6EE"/>
            <w:noWrap/>
            <w:hideMark/>
          </w:tcPr>
          <w:p w14:paraId="6820E85F" w14:textId="77777777" w:rsidR="00EC4659" w:rsidRPr="00EC4659" w:rsidRDefault="00EC4659" w:rsidP="00EC4659">
            <w:pPr>
              <w:spacing w:after="120" w:line="240" w:lineRule="auto"/>
              <w:jc w:val="center"/>
              <w:rPr>
                <w:rFonts w:ascii="Calibri" w:hAnsi="Calibri"/>
                <w:bCs/>
                <w:sz w:val="20"/>
                <w:lang w:val="en-NZ"/>
              </w:rPr>
            </w:pPr>
            <w:r w:rsidRPr="000F6D46">
              <w:rPr>
                <w:rFonts w:asciiTheme="minorHAnsi" w:eastAsiaTheme="minorHAnsi" w:hAnsiTheme="minorHAnsi" w:cstheme="minorBidi"/>
                <w:b/>
                <w:lang w:val="en-NZ"/>
              </w:rPr>
              <w:t>Apply for TRQ Entitlements</w:t>
            </w:r>
          </w:p>
        </w:tc>
      </w:tr>
      <w:tr w:rsidR="00EC4659" w:rsidRPr="00EC4659" w14:paraId="39F7E05F" w14:textId="77777777" w:rsidTr="00EC4659">
        <w:trPr>
          <w:trHeight w:val="300"/>
        </w:trPr>
        <w:tc>
          <w:tcPr>
            <w:tcW w:w="1080" w:type="dxa"/>
            <w:gridSpan w:val="2"/>
            <w:shd w:val="clear" w:color="auto" w:fill="DEEAF6"/>
            <w:noWrap/>
            <w:hideMark/>
          </w:tcPr>
          <w:p w14:paraId="23135DAA"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Type</w:t>
            </w:r>
          </w:p>
        </w:tc>
        <w:tc>
          <w:tcPr>
            <w:tcW w:w="1614" w:type="dxa"/>
            <w:gridSpan w:val="4"/>
            <w:shd w:val="clear" w:color="auto" w:fill="DEEAF6"/>
            <w:noWrap/>
            <w:hideMark/>
          </w:tcPr>
          <w:p w14:paraId="38FD0B4A"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Quota</w:t>
            </w:r>
          </w:p>
        </w:tc>
        <w:tc>
          <w:tcPr>
            <w:tcW w:w="2409" w:type="dxa"/>
            <w:gridSpan w:val="3"/>
            <w:shd w:val="clear" w:color="auto" w:fill="DEEAF6"/>
            <w:noWrap/>
            <w:hideMark/>
          </w:tcPr>
          <w:p w14:paraId="5EA6E920"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 xml:space="preserve">Description of Process </w:t>
            </w:r>
          </w:p>
        </w:tc>
        <w:tc>
          <w:tcPr>
            <w:tcW w:w="1305" w:type="dxa"/>
            <w:gridSpan w:val="2"/>
            <w:shd w:val="clear" w:color="auto" w:fill="DEEAF6"/>
            <w:noWrap/>
            <w:hideMark/>
          </w:tcPr>
          <w:p w14:paraId="444A6942"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Time taken</w:t>
            </w:r>
          </w:p>
        </w:tc>
        <w:tc>
          <w:tcPr>
            <w:tcW w:w="2551" w:type="dxa"/>
            <w:shd w:val="clear" w:color="auto" w:fill="DEEAF6"/>
            <w:noWrap/>
            <w:hideMark/>
          </w:tcPr>
          <w:p w14:paraId="75B4F3BF"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Assumptions</w:t>
            </w:r>
          </w:p>
        </w:tc>
      </w:tr>
      <w:tr w:rsidR="00EC4659" w:rsidRPr="00EC4659" w14:paraId="7FB49093" w14:textId="77777777" w:rsidTr="00EC4659">
        <w:trPr>
          <w:trHeight w:val="1500"/>
        </w:trPr>
        <w:tc>
          <w:tcPr>
            <w:tcW w:w="1080" w:type="dxa"/>
            <w:gridSpan w:val="2"/>
            <w:vMerge w:val="restart"/>
            <w:hideMark/>
          </w:tcPr>
          <w:p w14:paraId="75676B42"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Allocated</w:t>
            </w:r>
          </w:p>
        </w:tc>
        <w:tc>
          <w:tcPr>
            <w:tcW w:w="1614" w:type="dxa"/>
            <w:gridSpan w:val="4"/>
            <w:hideMark/>
          </w:tcPr>
          <w:p w14:paraId="1B8ABF83"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Dairy - USA WTO &amp; FTA, Dairy - EU, </w:t>
            </w:r>
            <w:r w:rsidRPr="000F6D46">
              <w:rPr>
                <w:rFonts w:asciiTheme="minorHAnsi" w:eastAsiaTheme="minorHAnsi" w:hAnsiTheme="minorHAnsi" w:cstheme="minorBidi"/>
                <w:sz w:val="20"/>
                <w:lang w:val="en-NZ"/>
              </w:rPr>
              <w:br/>
              <w:t>EU HQB &amp; Buffalo</w:t>
            </w:r>
          </w:p>
        </w:tc>
        <w:tc>
          <w:tcPr>
            <w:tcW w:w="2409" w:type="dxa"/>
            <w:gridSpan w:val="3"/>
            <w:hideMark/>
          </w:tcPr>
          <w:p w14:paraId="34E1B3DF"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Determine required volumes and complete application form and submit to quota unit.</w:t>
            </w:r>
          </w:p>
        </w:tc>
        <w:tc>
          <w:tcPr>
            <w:tcW w:w="1305" w:type="dxa"/>
            <w:gridSpan w:val="2"/>
            <w:hideMark/>
          </w:tcPr>
          <w:p w14:paraId="51BE3D17"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staff - 40 mins</w:t>
            </w:r>
            <w:r w:rsidRPr="000F6D46">
              <w:rPr>
                <w:rFonts w:asciiTheme="minorHAnsi" w:eastAsiaTheme="minorHAnsi" w:hAnsiTheme="minorHAnsi" w:cstheme="minorBidi"/>
                <w:sz w:val="20"/>
                <w:lang w:val="en-NZ"/>
              </w:rPr>
              <w:br/>
              <w:t>Senior staff - 30 mins</w:t>
            </w:r>
          </w:p>
        </w:tc>
        <w:tc>
          <w:tcPr>
            <w:tcW w:w="2551" w:type="dxa"/>
            <w:hideMark/>
          </w:tcPr>
          <w:p w14:paraId="0A3A7559"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To determine required quota volumes, exporters would need to hold discussions, including with senior staff.  This estimates an average of 2 staff for 30 minutes each. </w:t>
            </w:r>
            <w:r w:rsidRPr="000F6D46">
              <w:rPr>
                <w:rFonts w:asciiTheme="minorHAnsi" w:eastAsiaTheme="minorHAnsi" w:hAnsiTheme="minorHAnsi" w:cstheme="minorBidi"/>
                <w:sz w:val="20"/>
                <w:lang w:val="en-NZ"/>
              </w:rPr>
              <w:br/>
              <w:t>To complete the form will require 1 staff member to print, fill in, scan and email the completed form.</w:t>
            </w:r>
          </w:p>
        </w:tc>
      </w:tr>
      <w:tr w:rsidR="00EC4659" w:rsidRPr="00EC4659" w14:paraId="72A94997" w14:textId="77777777" w:rsidTr="00EC4659">
        <w:trPr>
          <w:trHeight w:val="900"/>
        </w:trPr>
        <w:tc>
          <w:tcPr>
            <w:tcW w:w="1080" w:type="dxa"/>
            <w:gridSpan w:val="2"/>
            <w:vMerge/>
            <w:hideMark/>
          </w:tcPr>
          <w:p w14:paraId="4D1B4EEA" w14:textId="77777777" w:rsidR="00EC4659" w:rsidRPr="000F6D46" w:rsidRDefault="00EC4659" w:rsidP="000F6D46">
            <w:pPr>
              <w:spacing w:line="240" w:lineRule="auto"/>
              <w:rPr>
                <w:rFonts w:asciiTheme="minorHAnsi" w:eastAsiaTheme="minorHAnsi" w:hAnsiTheme="minorHAnsi" w:cstheme="minorBidi"/>
                <w:sz w:val="20"/>
                <w:lang w:val="en-NZ"/>
              </w:rPr>
            </w:pPr>
          </w:p>
        </w:tc>
        <w:tc>
          <w:tcPr>
            <w:tcW w:w="1614" w:type="dxa"/>
            <w:gridSpan w:val="4"/>
            <w:hideMark/>
          </w:tcPr>
          <w:p w14:paraId="2BAF360F"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EU </w:t>
            </w:r>
            <w:proofErr w:type="spellStart"/>
            <w:r w:rsidRPr="000F6D46">
              <w:rPr>
                <w:rFonts w:asciiTheme="minorHAnsi" w:eastAsiaTheme="minorHAnsi" w:hAnsiTheme="minorHAnsi" w:cstheme="minorBidi"/>
                <w:sz w:val="20"/>
                <w:lang w:val="en-NZ"/>
              </w:rPr>
              <w:t>Sheepmeat</w:t>
            </w:r>
            <w:proofErr w:type="spellEnd"/>
          </w:p>
        </w:tc>
        <w:tc>
          <w:tcPr>
            <w:tcW w:w="2409" w:type="dxa"/>
            <w:gridSpan w:val="3"/>
            <w:hideMark/>
          </w:tcPr>
          <w:p w14:paraId="7BB9A920"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Complete application form and submit to quota unit.</w:t>
            </w:r>
          </w:p>
        </w:tc>
        <w:tc>
          <w:tcPr>
            <w:tcW w:w="1305" w:type="dxa"/>
            <w:gridSpan w:val="2"/>
            <w:hideMark/>
          </w:tcPr>
          <w:p w14:paraId="1C9A1C00"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staff - 10 mins</w:t>
            </w:r>
          </w:p>
        </w:tc>
        <w:tc>
          <w:tcPr>
            <w:tcW w:w="2551" w:type="dxa"/>
            <w:hideMark/>
          </w:tcPr>
          <w:p w14:paraId="5F30EAB7"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As exporters are not required to provide a requested volume of quota, only a signed declaration form needs to be provided.</w:t>
            </w:r>
          </w:p>
        </w:tc>
      </w:tr>
      <w:tr w:rsidR="00EC4659" w:rsidRPr="00EC4659" w14:paraId="06BC321F" w14:textId="77777777" w:rsidTr="00EC4659">
        <w:trPr>
          <w:trHeight w:val="699"/>
        </w:trPr>
        <w:tc>
          <w:tcPr>
            <w:tcW w:w="1080" w:type="dxa"/>
            <w:gridSpan w:val="2"/>
            <w:hideMark/>
          </w:tcPr>
          <w:p w14:paraId="63792143"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FCFS with Trigger</w:t>
            </w:r>
          </w:p>
        </w:tc>
        <w:tc>
          <w:tcPr>
            <w:tcW w:w="1614" w:type="dxa"/>
            <w:gridSpan w:val="4"/>
            <w:hideMark/>
          </w:tcPr>
          <w:p w14:paraId="38FDE779"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US Beef</w:t>
            </w:r>
          </w:p>
        </w:tc>
        <w:tc>
          <w:tcPr>
            <w:tcW w:w="2409" w:type="dxa"/>
            <w:gridSpan w:val="3"/>
            <w:hideMark/>
          </w:tcPr>
          <w:p w14:paraId="7FA5E884"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Provision trigger entitlement notice is sent and exporters need to respond to this detailing </w:t>
            </w:r>
            <w:r w:rsidRPr="000F6D46">
              <w:rPr>
                <w:rFonts w:asciiTheme="minorHAnsi" w:eastAsiaTheme="minorHAnsi" w:hAnsiTheme="minorHAnsi" w:cstheme="minorBidi"/>
                <w:sz w:val="20"/>
                <w:lang w:val="en-NZ"/>
              </w:rPr>
              <w:lastRenderedPageBreak/>
              <w:t>how much quota they will use</w:t>
            </w:r>
          </w:p>
        </w:tc>
        <w:tc>
          <w:tcPr>
            <w:tcW w:w="1305" w:type="dxa"/>
            <w:gridSpan w:val="2"/>
            <w:hideMark/>
          </w:tcPr>
          <w:p w14:paraId="1AD60ECF"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lastRenderedPageBreak/>
              <w:t>Admin staff - 40 mins</w:t>
            </w:r>
            <w:r w:rsidRPr="000F6D46">
              <w:rPr>
                <w:rFonts w:asciiTheme="minorHAnsi" w:eastAsiaTheme="minorHAnsi" w:hAnsiTheme="minorHAnsi" w:cstheme="minorBidi"/>
                <w:sz w:val="20"/>
                <w:lang w:val="en-NZ"/>
              </w:rPr>
              <w:br/>
              <w:t>Senior staff - 30 mins</w:t>
            </w:r>
          </w:p>
        </w:tc>
        <w:tc>
          <w:tcPr>
            <w:tcW w:w="2551" w:type="dxa"/>
            <w:hideMark/>
          </w:tcPr>
          <w:p w14:paraId="2102E29C"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To determine required quota volumes, exporters would need to hold discussions, including with </w:t>
            </w:r>
            <w:r w:rsidRPr="000F6D46">
              <w:rPr>
                <w:rFonts w:asciiTheme="minorHAnsi" w:eastAsiaTheme="minorHAnsi" w:hAnsiTheme="minorHAnsi" w:cstheme="minorBidi"/>
                <w:sz w:val="20"/>
                <w:lang w:val="en-NZ"/>
              </w:rPr>
              <w:lastRenderedPageBreak/>
              <w:t xml:space="preserve">senior staff.  This estimates an average of 2 staff for 30 minutes each. </w:t>
            </w:r>
            <w:r w:rsidRPr="000F6D46">
              <w:rPr>
                <w:rFonts w:asciiTheme="minorHAnsi" w:eastAsiaTheme="minorHAnsi" w:hAnsiTheme="minorHAnsi" w:cstheme="minorBidi"/>
                <w:sz w:val="20"/>
                <w:lang w:val="en-NZ"/>
              </w:rPr>
              <w:br/>
              <w:t>To complete the form will require 1 staff member to print, fill in, scan and email the completed form.</w:t>
            </w:r>
          </w:p>
        </w:tc>
      </w:tr>
      <w:tr w:rsidR="00EC4659" w:rsidRPr="00EC4659" w14:paraId="0E94C2EB" w14:textId="77777777" w:rsidTr="00EC4659">
        <w:trPr>
          <w:trHeight w:val="300"/>
        </w:trPr>
        <w:tc>
          <w:tcPr>
            <w:tcW w:w="8959" w:type="dxa"/>
            <w:gridSpan w:val="12"/>
            <w:shd w:val="clear" w:color="auto" w:fill="BDD6EE"/>
            <w:noWrap/>
            <w:hideMark/>
          </w:tcPr>
          <w:p w14:paraId="7CDB929E" w14:textId="77777777" w:rsidR="00EC4659" w:rsidRPr="00EC4659" w:rsidRDefault="00EC4659" w:rsidP="000F6D46">
            <w:pPr>
              <w:spacing w:after="120" w:line="240" w:lineRule="auto"/>
              <w:jc w:val="center"/>
              <w:rPr>
                <w:rFonts w:ascii="Calibri" w:hAnsi="Calibri"/>
                <w:bCs/>
                <w:sz w:val="20"/>
                <w:lang w:val="en-NZ"/>
              </w:rPr>
            </w:pPr>
            <w:r w:rsidRPr="000F6D46">
              <w:rPr>
                <w:rFonts w:asciiTheme="minorHAnsi" w:eastAsiaTheme="minorHAnsi" w:hAnsiTheme="minorHAnsi" w:cstheme="minorBidi"/>
                <w:b/>
                <w:lang w:val="en-NZ"/>
              </w:rPr>
              <w:lastRenderedPageBreak/>
              <w:t>Relinquish or Retain Entitlements and Associated Decision Making</w:t>
            </w:r>
          </w:p>
        </w:tc>
      </w:tr>
      <w:tr w:rsidR="00EC4659" w:rsidRPr="00EC4659" w14:paraId="392A93E7" w14:textId="77777777" w:rsidTr="00EC4659">
        <w:trPr>
          <w:trHeight w:val="300"/>
        </w:trPr>
        <w:tc>
          <w:tcPr>
            <w:tcW w:w="1092" w:type="dxa"/>
            <w:gridSpan w:val="3"/>
            <w:shd w:val="clear" w:color="auto" w:fill="DEEAF6"/>
            <w:noWrap/>
            <w:hideMark/>
          </w:tcPr>
          <w:p w14:paraId="7C066D3C"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Type</w:t>
            </w:r>
          </w:p>
        </w:tc>
        <w:tc>
          <w:tcPr>
            <w:tcW w:w="1587" w:type="dxa"/>
            <w:gridSpan w:val="2"/>
            <w:shd w:val="clear" w:color="auto" w:fill="DEEAF6"/>
            <w:noWrap/>
            <w:hideMark/>
          </w:tcPr>
          <w:p w14:paraId="1D999C06"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Quota</w:t>
            </w:r>
          </w:p>
        </w:tc>
        <w:tc>
          <w:tcPr>
            <w:tcW w:w="2322" w:type="dxa"/>
            <w:gridSpan w:val="3"/>
            <w:shd w:val="clear" w:color="auto" w:fill="DEEAF6"/>
            <w:noWrap/>
            <w:hideMark/>
          </w:tcPr>
          <w:p w14:paraId="29034429"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 xml:space="preserve">Description of Process </w:t>
            </w:r>
          </w:p>
        </w:tc>
        <w:tc>
          <w:tcPr>
            <w:tcW w:w="1381" w:type="dxa"/>
            <w:gridSpan w:val="2"/>
            <w:shd w:val="clear" w:color="auto" w:fill="DEEAF6"/>
            <w:noWrap/>
            <w:hideMark/>
          </w:tcPr>
          <w:p w14:paraId="7D5A9249"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Time taken</w:t>
            </w:r>
          </w:p>
        </w:tc>
        <w:tc>
          <w:tcPr>
            <w:tcW w:w="2577" w:type="dxa"/>
            <w:gridSpan w:val="2"/>
            <w:shd w:val="clear" w:color="auto" w:fill="DEEAF6"/>
            <w:noWrap/>
            <w:hideMark/>
          </w:tcPr>
          <w:p w14:paraId="16AAFFF8"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Assumptions</w:t>
            </w:r>
          </w:p>
        </w:tc>
      </w:tr>
      <w:tr w:rsidR="00EC4659" w:rsidRPr="00EC4659" w14:paraId="7BA656A6" w14:textId="77777777" w:rsidTr="00EC4659">
        <w:trPr>
          <w:trHeight w:val="557"/>
        </w:trPr>
        <w:tc>
          <w:tcPr>
            <w:tcW w:w="1092" w:type="dxa"/>
            <w:gridSpan w:val="3"/>
            <w:vMerge w:val="restart"/>
            <w:hideMark/>
          </w:tcPr>
          <w:p w14:paraId="3178D159"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Allocated</w:t>
            </w:r>
          </w:p>
        </w:tc>
        <w:tc>
          <w:tcPr>
            <w:tcW w:w="1587" w:type="dxa"/>
            <w:gridSpan w:val="2"/>
            <w:hideMark/>
          </w:tcPr>
          <w:p w14:paraId="0304014D"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Dairy - USA WTO &amp; FTA, Dairy - EU, </w:t>
            </w:r>
            <w:r w:rsidRPr="000F6D46">
              <w:rPr>
                <w:rFonts w:asciiTheme="minorHAnsi" w:eastAsiaTheme="minorHAnsi" w:hAnsiTheme="minorHAnsi" w:cstheme="minorBidi"/>
                <w:sz w:val="20"/>
                <w:lang w:val="en-NZ"/>
              </w:rPr>
              <w:br/>
              <w:t xml:space="preserve">EU </w:t>
            </w:r>
            <w:proofErr w:type="spellStart"/>
            <w:r w:rsidRPr="000F6D46">
              <w:rPr>
                <w:rFonts w:asciiTheme="minorHAnsi" w:eastAsiaTheme="minorHAnsi" w:hAnsiTheme="minorHAnsi" w:cstheme="minorBidi"/>
                <w:sz w:val="20"/>
                <w:lang w:val="en-NZ"/>
              </w:rPr>
              <w:t>Sheepmeat</w:t>
            </w:r>
            <w:proofErr w:type="spellEnd"/>
          </w:p>
        </w:tc>
        <w:tc>
          <w:tcPr>
            <w:tcW w:w="2322" w:type="dxa"/>
            <w:gridSpan w:val="3"/>
            <w:hideMark/>
          </w:tcPr>
          <w:p w14:paraId="4BB2A2C4"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Exporters estimate shipping and quota utilisation for the rest of the year.  Notify quota unit if they relinquish or keep quota, including consignment details. FCFS approach for residual.</w:t>
            </w:r>
          </w:p>
        </w:tc>
        <w:tc>
          <w:tcPr>
            <w:tcW w:w="1381" w:type="dxa"/>
            <w:gridSpan w:val="2"/>
            <w:hideMark/>
          </w:tcPr>
          <w:p w14:paraId="1F1B1119"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for 3 hrs, Senior staff for 1 hr</w:t>
            </w:r>
          </w:p>
        </w:tc>
        <w:tc>
          <w:tcPr>
            <w:tcW w:w="2577" w:type="dxa"/>
            <w:gridSpan w:val="2"/>
            <w:hideMark/>
          </w:tcPr>
          <w:p w14:paraId="6C6BB908"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To estimate shipping exporters would need to hold discussions and confirm planned shipments. This estimates 2 staff members discussing for 1 hour each; 1 staff to then collate consignment details, complete the required form and provide to the department - estimated to take 2 hour.</w:t>
            </w:r>
          </w:p>
        </w:tc>
      </w:tr>
      <w:tr w:rsidR="00EC4659" w:rsidRPr="00EC4659" w14:paraId="6BC06C2C" w14:textId="77777777" w:rsidTr="00EC4659">
        <w:trPr>
          <w:trHeight w:val="1800"/>
        </w:trPr>
        <w:tc>
          <w:tcPr>
            <w:tcW w:w="1092" w:type="dxa"/>
            <w:gridSpan w:val="3"/>
            <w:vMerge/>
            <w:hideMark/>
          </w:tcPr>
          <w:p w14:paraId="37570A21" w14:textId="77777777" w:rsidR="00EC4659" w:rsidRPr="000F6D46" w:rsidRDefault="00EC4659" w:rsidP="000F6D46">
            <w:pPr>
              <w:spacing w:line="240" w:lineRule="auto"/>
              <w:rPr>
                <w:rFonts w:asciiTheme="minorHAnsi" w:eastAsiaTheme="minorHAnsi" w:hAnsiTheme="minorHAnsi" w:cstheme="minorBidi"/>
                <w:sz w:val="20"/>
                <w:lang w:val="en-NZ"/>
              </w:rPr>
            </w:pPr>
          </w:p>
        </w:tc>
        <w:tc>
          <w:tcPr>
            <w:tcW w:w="1587" w:type="dxa"/>
            <w:gridSpan w:val="2"/>
            <w:hideMark/>
          </w:tcPr>
          <w:p w14:paraId="212C5627"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EU HQB &amp; Buffalo</w:t>
            </w:r>
          </w:p>
        </w:tc>
        <w:tc>
          <w:tcPr>
            <w:tcW w:w="2322" w:type="dxa"/>
            <w:gridSpan w:val="3"/>
            <w:hideMark/>
          </w:tcPr>
          <w:p w14:paraId="3CF1D88E"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Exporter advises if they wish to retain quota.  Apply for FCFS for unallocated quota.</w:t>
            </w:r>
          </w:p>
        </w:tc>
        <w:tc>
          <w:tcPr>
            <w:tcW w:w="1381" w:type="dxa"/>
            <w:gridSpan w:val="2"/>
            <w:hideMark/>
          </w:tcPr>
          <w:p w14:paraId="250D96E1"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Admin for 1 hr 15 min, Senior Staff for 1 hr</w:t>
            </w:r>
          </w:p>
        </w:tc>
        <w:tc>
          <w:tcPr>
            <w:tcW w:w="2577" w:type="dxa"/>
            <w:gridSpan w:val="2"/>
            <w:hideMark/>
          </w:tcPr>
          <w:p w14:paraId="156200AB"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To estimate shipping exporters would need to hold discussions and confirm planned shipments. This estimates 2 staff members discussing for 1 hour each; 1 staff to then complete the required form and provide to the department - estimated to take 15 minutes (consignment information is not required for EU HQB).</w:t>
            </w:r>
          </w:p>
        </w:tc>
      </w:tr>
      <w:tr w:rsidR="00EC4659" w:rsidRPr="00EC4659" w14:paraId="13ECD14B" w14:textId="77777777" w:rsidTr="00EC4659">
        <w:trPr>
          <w:trHeight w:val="300"/>
        </w:trPr>
        <w:tc>
          <w:tcPr>
            <w:tcW w:w="8959" w:type="dxa"/>
            <w:gridSpan w:val="12"/>
            <w:shd w:val="clear" w:color="auto" w:fill="BDD6EE"/>
            <w:noWrap/>
            <w:hideMark/>
          </w:tcPr>
          <w:p w14:paraId="5002BBD6" w14:textId="77777777" w:rsidR="00EC4659" w:rsidRPr="00EC4659" w:rsidRDefault="00EC4659" w:rsidP="000F6D46">
            <w:pPr>
              <w:spacing w:after="120" w:line="240" w:lineRule="auto"/>
              <w:jc w:val="center"/>
              <w:rPr>
                <w:rFonts w:ascii="Calibri" w:hAnsi="Calibri"/>
                <w:bCs/>
                <w:sz w:val="20"/>
                <w:lang w:val="en-NZ"/>
              </w:rPr>
            </w:pPr>
            <w:r w:rsidRPr="000F6D46">
              <w:rPr>
                <w:rFonts w:asciiTheme="minorHAnsi" w:eastAsiaTheme="minorHAnsi" w:hAnsiTheme="minorHAnsi" w:cstheme="minorBidi"/>
                <w:b/>
                <w:lang w:val="en-NZ"/>
              </w:rPr>
              <w:t>Entitlement Transfers</w:t>
            </w:r>
          </w:p>
        </w:tc>
      </w:tr>
      <w:tr w:rsidR="00EC4659" w:rsidRPr="00EC4659" w14:paraId="2E7C17BD" w14:textId="77777777" w:rsidTr="00EC4659">
        <w:trPr>
          <w:trHeight w:val="300"/>
        </w:trPr>
        <w:tc>
          <w:tcPr>
            <w:tcW w:w="1058" w:type="dxa"/>
            <w:shd w:val="clear" w:color="auto" w:fill="DEEAF6"/>
            <w:noWrap/>
            <w:hideMark/>
          </w:tcPr>
          <w:p w14:paraId="7F25E7D5"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Type</w:t>
            </w:r>
          </w:p>
        </w:tc>
        <w:tc>
          <w:tcPr>
            <w:tcW w:w="1589" w:type="dxa"/>
            <w:gridSpan w:val="3"/>
            <w:shd w:val="clear" w:color="auto" w:fill="DEEAF6"/>
            <w:noWrap/>
            <w:hideMark/>
          </w:tcPr>
          <w:p w14:paraId="6C3BE26B"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Quota</w:t>
            </w:r>
          </w:p>
        </w:tc>
        <w:tc>
          <w:tcPr>
            <w:tcW w:w="2343" w:type="dxa"/>
            <w:gridSpan w:val="3"/>
            <w:shd w:val="clear" w:color="auto" w:fill="DEEAF6"/>
            <w:noWrap/>
            <w:hideMark/>
          </w:tcPr>
          <w:p w14:paraId="506A0F71"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 xml:space="preserve">Description of Process </w:t>
            </w:r>
          </w:p>
        </w:tc>
        <w:tc>
          <w:tcPr>
            <w:tcW w:w="1418" w:type="dxa"/>
            <w:gridSpan w:val="4"/>
            <w:shd w:val="clear" w:color="auto" w:fill="DEEAF6"/>
            <w:noWrap/>
            <w:hideMark/>
          </w:tcPr>
          <w:p w14:paraId="0FDF4389"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Time taken</w:t>
            </w:r>
          </w:p>
        </w:tc>
        <w:tc>
          <w:tcPr>
            <w:tcW w:w="2551" w:type="dxa"/>
            <w:shd w:val="clear" w:color="auto" w:fill="DEEAF6"/>
            <w:noWrap/>
            <w:hideMark/>
          </w:tcPr>
          <w:p w14:paraId="032E9E50"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Assumptions</w:t>
            </w:r>
          </w:p>
        </w:tc>
      </w:tr>
      <w:tr w:rsidR="00EC4659" w:rsidRPr="00EC4659" w14:paraId="5A276437" w14:textId="77777777" w:rsidTr="00EC4659">
        <w:trPr>
          <w:trHeight w:val="1230"/>
        </w:trPr>
        <w:tc>
          <w:tcPr>
            <w:tcW w:w="1058" w:type="dxa"/>
            <w:hideMark/>
          </w:tcPr>
          <w:p w14:paraId="69A77BBC"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Allocated</w:t>
            </w:r>
          </w:p>
        </w:tc>
        <w:tc>
          <w:tcPr>
            <w:tcW w:w="1589" w:type="dxa"/>
            <w:gridSpan w:val="3"/>
            <w:hideMark/>
          </w:tcPr>
          <w:p w14:paraId="5942D67A"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Dairy - USA WTO &amp; FTA, Dairy - EU, EU </w:t>
            </w:r>
            <w:proofErr w:type="spellStart"/>
            <w:r w:rsidRPr="000F6D46">
              <w:rPr>
                <w:rFonts w:asciiTheme="minorHAnsi" w:eastAsiaTheme="minorHAnsi" w:hAnsiTheme="minorHAnsi" w:cstheme="minorBidi"/>
                <w:sz w:val="20"/>
                <w:lang w:val="en-NZ"/>
              </w:rPr>
              <w:t>Sheepmeat</w:t>
            </w:r>
            <w:proofErr w:type="spellEnd"/>
            <w:r w:rsidRPr="000F6D46">
              <w:rPr>
                <w:rFonts w:asciiTheme="minorHAnsi" w:eastAsiaTheme="minorHAnsi" w:hAnsiTheme="minorHAnsi" w:cstheme="minorBidi"/>
                <w:sz w:val="20"/>
                <w:lang w:val="en-NZ"/>
              </w:rPr>
              <w:t>, EU HQB &amp; Buffalo</w:t>
            </w:r>
          </w:p>
        </w:tc>
        <w:tc>
          <w:tcPr>
            <w:tcW w:w="2343" w:type="dxa"/>
            <w:gridSpan w:val="3"/>
            <w:hideMark/>
          </w:tcPr>
          <w:p w14:paraId="742AF7D5"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Exporter with quota negotiates transfers with other exporters and then completes a template and sends it to quota unit </w:t>
            </w:r>
          </w:p>
        </w:tc>
        <w:tc>
          <w:tcPr>
            <w:tcW w:w="1418" w:type="dxa"/>
            <w:gridSpan w:val="4"/>
            <w:hideMark/>
          </w:tcPr>
          <w:p w14:paraId="2F72ADB3"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1 hr 20 mins</w:t>
            </w:r>
          </w:p>
        </w:tc>
        <w:tc>
          <w:tcPr>
            <w:tcW w:w="2551" w:type="dxa"/>
            <w:vMerge w:val="restart"/>
            <w:hideMark/>
          </w:tcPr>
          <w:p w14:paraId="5D7E87AA"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1 staff member for discovery - estimate 15 minutes.</w:t>
            </w:r>
            <w:r w:rsidRPr="000F6D46">
              <w:rPr>
                <w:rFonts w:asciiTheme="minorHAnsi" w:eastAsiaTheme="minorHAnsi" w:hAnsiTheme="minorHAnsi" w:cstheme="minorBidi"/>
                <w:sz w:val="20"/>
                <w:lang w:val="en-NZ"/>
              </w:rPr>
              <w:br/>
              <w:t>1 staff member for each exporter negotiating volume and price for transfer - estimate 2x 20 minutes.</w:t>
            </w:r>
            <w:r w:rsidRPr="000F6D46">
              <w:rPr>
                <w:rFonts w:asciiTheme="minorHAnsi" w:eastAsiaTheme="minorHAnsi" w:hAnsiTheme="minorHAnsi" w:cstheme="minorBidi"/>
                <w:sz w:val="20"/>
                <w:lang w:val="en-NZ"/>
              </w:rPr>
              <w:br/>
              <w:t>1 staff member from the seller creating an invoice/request for payment - estimate 10 minutes</w:t>
            </w:r>
            <w:r w:rsidRPr="000F6D46">
              <w:rPr>
                <w:rFonts w:asciiTheme="minorHAnsi" w:eastAsiaTheme="minorHAnsi" w:hAnsiTheme="minorHAnsi" w:cstheme="minorBidi"/>
                <w:sz w:val="20"/>
                <w:lang w:val="en-NZ"/>
              </w:rPr>
              <w:br/>
              <w:t>1 staff member from the buyer to pay the invoice estimate 10 minutes.</w:t>
            </w:r>
            <w:r w:rsidRPr="000F6D46">
              <w:rPr>
                <w:rFonts w:asciiTheme="minorHAnsi" w:eastAsiaTheme="minorHAnsi" w:hAnsiTheme="minorHAnsi" w:cstheme="minorBidi"/>
                <w:sz w:val="20"/>
                <w:lang w:val="en-NZ"/>
              </w:rPr>
              <w:br/>
              <w:t>1 staff member to complete and submit transfer form to the department - estimate 5 minutes.</w:t>
            </w:r>
          </w:p>
        </w:tc>
      </w:tr>
      <w:tr w:rsidR="00EC4659" w:rsidRPr="00EC4659" w14:paraId="171EA097" w14:textId="77777777" w:rsidTr="00EC4659">
        <w:trPr>
          <w:trHeight w:val="825"/>
        </w:trPr>
        <w:tc>
          <w:tcPr>
            <w:tcW w:w="1058" w:type="dxa"/>
            <w:hideMark/>
          </w:tcPr>
          <w:p w14:paraId="343C7B8E"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FCFS with Trigger</w:t>
            </w:r>
          </w:p>
        </w:tc>
        <w:tc>
          <w:tcPr>
            <w:tcW w:w="1589" w:type="dxa"/>
            <w:gridSpan w:val="3"/>
            <w:hideMark/>
          </w:tcPr>
          <w:p w14:paraId="0F5CCDCE"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USA Beef</w:t>
            </w:r>
          </w:p>
        </w:tc>
        <w:tc>
          <w:tcPr>
            <w:tcW w:w="2343" w:type="dxa"/>
            <w:gridSpan w:val="3"/>
            <w:hideMark/>
          </w:tcPr>
          <w:p w14:paraId="76501BCB"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 xml:space="preserve">Exporter with quota negotiates transfers with other exporters and then completes a template and sends it to quota unit </w:t>
            </w:r>
          </w:p>
        </w:tc>
        <w:tc>
          <w:tcPr>
            <w:tcW w:w="1418" w:type="dxa"/>
            <w:gridSpan w:val="4"/>
            <w:hideMark/>
          </w:tcPr>
          <w:p w14:paraId="7A473148" w14:textId="77777777" w:rsidR="00EC4659" w:rsidRPr="000F6D46" w:rsidRDefault="00EC4659" w:rsidP="000F6D46">
            <w:pPr>
              <w:spacing w:line="240" w:lineRule="auto"/>
              <w:rPr>
                <w:rFonts w:asciiTheme="minorHAnsi" w:eastAsiaTheme="minorHAnsi" w:hAnsiTheme="minorHAnsi" w:cstheme="minorBidi"/>
                <w:sz w:val="20"/>
                <w:lang w:val="en-NZ"/>
              </w:rPr>
            </w:pPr>
            <w:r w:rsidRPr="000F6D46">
              <w:rPr>
                <w:rFonts w:asciiTheme="minorHAnsi" w:eastAsiaTheme="minorHAnsi" w:hAnsiTheme="minorHAnsi" w:cstheme="minorBidi"/>
                <w:sz w:val="20"/>
                <w:lang w:val="en-NZ"/>
              </w:rPr>
              <w:t>1 hr 20 mins</w:t>
            </w:r>
          </w:p>
        </w:tc>
        <w:tc>
          <w:tcPr>
            <w:tcW w:w="2551" w:type="dxa"/>
            <w:vMerge/>
            <w:hideMark/>
          </w:tcPr>
          <w:p w14:paraId="183A7EC9" w14:textId="77777777" w:rsidR="00EC4659" w:rsidRPr="00EC4659" w:rsidRDefault="00EC4659" w:rsidP="00EC4659">
            <w:pPr>
              <w:spacing w:after="160" w:line="240" w:lineRule="auto"/>
              <w:ind w:left="-142"/>
              <w:rPr>
                <w:rFonts w:ascii="Calibri" w:hAnsi="Calibri"/>
                <w:b/>
                <w:bCs/>
                <w:sz w:val="20"/>
                <w:lang w:val="en-NZ"/>
              </w:rPr>
            </w:pPr>
          </w:p>
        </w:tc>
      </w:tr>
    </w:tbl>
    <w:p w14:paraId="0D0383D8"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val="en-NZ"/>
        </w:rPr>
        <w:lastRenderedPageBreak/>
        <w:t>A weighted average of time taken (for each activity) is calculated.  For example, if 30 certificates are applied for under a given TRQ (and each certificate takes 15 minutes to apply under the rules of such TRQ) and 20 certificates are applied for under another TRQ (each certificate takes 40 minutes to apply under the rules of that TRQ), then the total time is 1250 minutes for 50 certificates -- the weighted average time taken is 25 minutes per certificate.</w:t>
      </w:r>
    </w:p>
    <w:p w14:paraId="5AE5B7C7"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val="en-NZ"/>
        </w:rPr>
        <w:t>Similarly, if three businesses are applying for entitlements under a TRQ (each spends 40 minutes to apply for TRQ entitlements), whereas one business accesses entitlements under another TRQ (and the business spends 60 minutes to apply for TRQ entitlements), then the total time required is 180 minutes for four businesses.  Hence, the weighted average of time taken applying for entitlements is 45 minutes for each business.  Using department data, the weighted averages are as set out in table below.</w:t>
      </w:r>
    </w:p>
    <w:p w14:paraId="39C843FB" w14:textId="77777777" w:rsidR="00EC4659" w:rsidRPr="00EC4659" w:rsidRDefault="00EC4659" w:rsidP="00EC4659">
      <w:pPr>
        <w:spacing w:line="259" w:lineRule="auto"/>
        <w:rPr>
          <w:rFonts w:ascii="Calibri" w:hAnsi="Calibri"/>
          <w:szCs w:val="22"/>
          <w:lang w:val="en-NZ"/>
        </w:rPr>
      </w:pPr>
      <w:r w:rsidRPr="00EC4659">
        <w:rPr>
          <w:rFonts w:ascii="Calibri" w:hAnsi="Calibri"/>
          <w:szCs w:val="22"/>
          <w:lang w:val="en-NZ"/>
        </w:rPr>
        <w:t>Table B7: Weighted average time taken for each activity</w:t>
      </w:r>
    </w:p>
    <w:tbl>
      <w:tblPr>
        <w:tblStyle w:val="TableGrid1"/>
        <w:tblW w:w="0" w:type="auto"/>
        <w:tblInd w:w="108" w:type="dxa"/>
        <w:tblLook w:val="04A0" w:firstRow="1" w:lastRow="0" w:firstColumn="1" w:lastColumn="0" w:noHBand="0" w:noVBand="1"/>
        <w:tblCaption w:val="Table B7. Weighted average time for each activity"/>
        <w:tblDescription w:val="This table summarises the weighted average time for each activity. These times were then used in completing the RBM calculations."/>
      </w:tblPr>
      <w:tblGrid>
        <w:gridCol w:w="4470"/>
        <w:gridCol w:w="4438"/>
      </w:tblGrid>
      <w:tr w:rsidR="00EC4659" w:rsidRPr="00EC4659" w14:paraId="24732D55" w14:textId="77777777" w:rsidTr="00EC4659">
        <w:tc>
          <w:tcPr>
            <w:tcW w:w="4513" w:type="dxa"/>
            <w:shd w:val="clear" w:color="auto" w:fill="DEEAF6"/>
          </w:tcPr>
          <w:p w14:paraId="52E4C33B"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Activity</w:t>
            </w:r>
          </w:p>
        </w:tc>
        <w:tc>
          <w:tcPr>
            <w:tcW w:w="4487" w:type="dxa"/>
            <w:shd w:val="clear" w:color="auto" w:fill="DEEAF6"/>
          </w:tcPr>
          <w:p w14:paraId="2D22A07A"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Time taken</w:t>
            </w:r>
          </w:p>
        </w:tc>
      </w:tr>
      <w:tr w:rsidR="00EC4659" w:rsidRPr="00EC4659" w14:paraId="7709761B" w14:textId="77777777" w:rsidTr="00EC4659">
        <w:tc>
          <w:tcPr>
            <w:tcW w:w="4513" w:type="dxa"/>
          </w:tcPr>
          <w:p w14:paraId="719ED484"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Apply for TRQ certificates</w:t>
            </w:r>
          </w:p>
        </w:tc>
        <w:tc>
          <w:tcPr>
            <w:tcW w:w="4487" w:type="dxa"/>
          </w:tcPr>
          <w:p w14:paraId="754BC675"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Admin staff: 16 min (0.27 hour)</w:t>
            </w:r>
          </w:p>
        </w:tc>
      </w:tr>
      <w:tr w:rsidR="00EC4659" w:rsidRPr="00EC4659" w14:paraId="037D0AC3" w14:textId="77777777" w:rsidTr="00EC4659">
        <w:tc>
          <w:tcPr>
            <w:tcW w:w="4513" w:type="dxa"/>
          </w:tcPr>
          <w:p w14:paraId="4104D089"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Apply for TRQ entitlements</w:t>
            </w:r>
          </w:p>
        </w:tc>
        <w:tc>
          <w:tcPr>
            <w:tcW w:w="4487" w:type="dxa"/>
          </w:tcPr>
          <w:p w14:paraId="70C0F2CE"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Admin staff: 27 min (0.45 hour)</w:t>
            </w:r>
          </w:p>
          <w:p w14:paraId="352FBD47"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Senior staff: 17 min (0.28 hour)</w:t>
            </w:r>
          </w:p>
        </w:tc>
      </w:tr>
      <w:tr w:rsidR="00EC4659" w:rsidRPr="00EC4659" w14:paraId="0795F190" w14:textId="77777777" w:rsidTr="00EC4659">
        <w:tc>
          <w:tcPr>
            <w:tcW w:w="4513" w:type="dxa"/>
          </w:tcPr>
          <w:p w14:paraId="6F1296A1"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Relinquish or retain entitlements and associated decision making</w:t>
            </w:r>
          </w:p>
        </w:tc>
        <w:tc>
          <w:tcPr>
            <w:tcW w:w="4487" w:type="dxa"/>
          </w:tcPr>
          <w:p w14:paraId="37299CBE"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Admin staff: 139 min (2.32 hour)</w:t>
            </w:r>
          </w:p>
          <w:p w14:paraId="526F0169"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Senior staff: 60 min (1 hour)</w:t>
            </w:r>
          </w:p>
        </w:tc>
      </w:tr>
      <w:tr w:rsidR="00EC4659" w:rsidRPr="00EC4659" w14:paraId="78F9E6AB" w14:textId="77777777" w:rsidTr="00EC4659">
        <w:tc>
          <w:tcPr>
            <w:tcW w:w="4513" w:type="dxa"/>
          </w:tcPr>
          <w:p w14:paraId="1E60E1AE"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Entitlement transfers</w:t>
            </w:r>
          </w:p>
        </w:tc>
        <w:tc>
          <w:tcPr>
            <w:tcW w:w="4487" w:type="dxa"/>
          </w:tcPr>
          <w:p w14:paraId="05BE84D1" w14:textId="77777777" w:rsidR="00EC4659" w:rsidRPr="000F6D46" w:rsidRDefault="00EC4659" w:rsidP="000F6D46">
            <w:pPr>
              <w:spacing w:line="240" w:lineRule="auto"/>
              <w:rPr>
                <w:rFonts w:asciiTheme="minorHAnsi" w:eastAsiaTheme="minorHAnsi" w:hAnsiTheme="minorHAnsi" w:cstheme="minorBidi"/>
                <w:lang w:val="en-NZ"/>
              </w:rPr>
            </w:pPr>
            <w:r w:rsidRPr="000F6D46">
              <w:rPr>
                <w:rFonts w:asciiTheme="minorHAnsi" w:eastAsiaTheme="minorHAnsi" w:hAnsiTheme="minorHAnsi" w:cstheme="minorBidi"/>
                <w:lang w:val="en-NZ"/>
              </w:rPr>
              <w:t>General staff: 80 min (1.33 hour)</w:t>
            </w:r>
          </w:p>
        </w:tc>
      </w:tr>
    </w:tbl>
    <w:p w14:paraId="2613166C" w14:textId="77777777" w:rsidR="00EC4659" w:rsidRPr="00EC4659" w:rsidRDefault="00EC4659" w:rsidP="00EC4659">
      <w:pPr>
        <w:spacing w:before="120" w:after="120" w:line="259" w:lineRule="auto"/>
        <w:rPr>
          <w:rFonts w:ascii="Calibri" w:hAnsi="Calibri"/>
          <w:szCs w:val="22"/>
          <w:lang w:val="en-NZ"/>
        </w:rPr>
      </w:pPr>
      <w:r w:rsidRPr="00EC4659">
        <w:rPr>
          <w:rFonts w:ascii="Calibri" w:hAnsi="Calibri" w:hint="eastAsia"/>
          <w:szCs w:val="22"/>
          <w:lang w:eastAsia="zh-CN"/>
        </w:rPr>
        <w:t xml:space="preserve">The business total compliance cost is </w:t>
      </w:r>
      <w:r w:rsidRPr="00EC4659">
        <w:rPr>
          <w:rFonts w:ascii="Calibri" w:hAnsi="Calibri"/>
          <w:szCs w:val="22"/>
          <w:lang w:eastAsia="zh-CN"/>
        </w:rPr>
        <w:t>calculated by</w:t>
      </w:r>
      <w:r w:rsidRPr="00EC4659">
        <w:rPr>
          <w:rFonts w:ascii="Calibri" w:hAnsi="Calibri" w:hint="eastAsia"/>
          <w:szCs w:val="22"/>
          <w:lang w:eastAsia="zh-CN"/>
        </w:rPr>
        <w:t xml:space="preserve"> summing up the cost of each activity</w:t>
      </w:r>
      <w:r w:rsidRPr="00EC4659">
        <w:rPr>
          <w:rFonts w:ascii="Calibri" w:hAnsi="Calibri"/>
          <w:szCs w:val="22"/>
          <w:lang w:eastAsia="zh-CN"/>
        </w:rPr>
        <w:t>.  Additional general assumptions include the following</w:t>
      </w:r>
      <w:r w:rsidRPr="00EC4659">
        <w:rPr>
          <w:rFonts w:ascii="Calibri" w:hAnsi="Calibri"/>
          <w:szCs w:val="22"/>
          <w:lang w:val="en-NZ"/>
        </w:rPr>
        <w:t>:</w:t>
      </w:r>
    </w:p>
    <w:p w14:paraId="45500114"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 xml:space="preserve">A labour wage rate of $43.70 per hour is applied for a senior staff member and $30.40 per hour is applied for an “administrative” staff member.  Otherwise, a general wage rate of $39.31 per hour is applied.  </w:t>
      </w:r>
    </w:p>
    <w:p w14:paraId="29463FEC"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All labour costs also include a non-wage component, which is 75 per cent of the labour wage rate.</w:t>
      </w:r>
    </w:p>
    <w:p w14:paraId="070F0A8B"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 xml:space="preserve">The number of staff per business performing the activities is normalised to one administrative staff member, and in some cases an additional senior staff member.  This representative staff member is assumed to be constant (that is the representative staff undertake relevant tasks multiple times).  </w:t>
      </w:r>
    </w:p>
    <w:p w14:paraId="671426BF"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The number of affected businesses is calculated using the most recent three year average (or fewer years if data is not available) of department data for TRQ certificate volumes.  All businesses need to apply for TRQ certificates, but not all businesses are involved in quota entitlement management.</w:t>
      </w:r>
    </w:p>
    <w:p w14:paraId="0B1F6CB2" w14:textId="77777777" w:rsidR="00EC4659" w:rsidRPr="00EC4659" w:rsidRDefault="00EC4659" w:rsidP="000F6D46">
      <w:pPr>
        <w:numPr>
          <w:ilvl w:val="0"/>
          <w:numId w:val="82"/>
        </w:numPr>
        <w:spacing w:after="120" w:line="259" w:lineRule="auto"/>
        <w:ind w:left="567"/>
        <w:contextualSpacing/>
        <w:rPr>
          <w:rFonts w:ascii="Calibri" w:hAnsi="Calibri"/>
          <w:szCs w:val="22"/>
          <w:lang w:val="en-NZ"/>
        </w:rPr>
      </w:pPr>
      <w:r w:rsidRPr="00EC4659">
        <w:rPr>
          <w:rFonts w:ascii="Calibri" w:hAnsi="Calibri"/>
          <w:szCs w:val="22"/>
          <w:lang w:val="en-NZ"/>
        </w:rPr>
        <w:t>Some businesses may use more than one TRQ.  If a business operates in two markets, using for example, both sheep and beef TRQ, it is counted as two separate businesses for the purpose of the RBM calculation.</w:t>
      </w:r>
    </w:p>
    <w:p w14:paraId="4F998D14"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Below we discuss more specific assumptions.  There are broadly two groups of assumptions:</w:t>
      </w:r>
    </w:p>
    <w:p w14:paraId="50C61CBE" w14:textId="77777777" w:rsidR="00EC4659" w:rsidRPr="00EC4659" w:rsidRDefault="00EC4659" w:rsidP="000F6D46">
      <w:pPr>
        <w:numPr>
          <w:ilvl w:val="0"/>
          <w:numId w:val="83"/>
        </w:numPr>
        <w:spacing w:after="160" w:line="259" w:lineRule="auto"/>
        <w:ind w:left="567"/>
        <w:contextualSpacing/>
        <w:rPr>
          <w:rFonts w:ascii="Calibri" w:hAnsi="Calibri"/>
          <w:szCs w:val="22"/>
        </w:rPr>
      </w:pPr>
      <w:r w:rsidRPr="00EC4659">
        <w:rPr>
          <w:rFonts w:ascii="Calibri" w:hAnsi="Calibri"/>
          <w:szCs w:val="22"/>
        </w:rPr>
        <w:t>assumptions about the cost of applying for TRQ certificates; and</w:t>
      </w:r>
    </w:p>
    <w:p w14:paraId="5B49951D" w14:textId="77777777" w:rsidR="00EC4659" w:rsidRPr="00EC4659" w:rsidRDefault="00EC4659" w:rsidP="000F6D46">
      <w:pPr>
        <w:numPr>
          <w:ilvl w:val="0"/>
          <w:numId w:val="83"/>
        </w:numPr>
        <w:spacing w:after="120" w:line="259" w:lineRule="auto"/>
        <w:ind w:left="567"/>
        <w:contextualSpacing/>
        <w:rPr>
          <w:rFonts w:ascii="Calibri" w:hAnsi="Calibri"/>
          <w:szCs w:val="22"/>
        </w:rPr>
      </w:pPr>
      <w:r w:rsidRPr="00EC4659">
        <w:rPr>
          <w:rFonts w:ascii="Calibri" w:hAnsi="Calibri"/>
          <w:szCs w:val="22"/>
        </w:rPr>
        <w:t>assumptions about the cost of managing entitlements</w:t>
      </w:r>
    </w:p>
    <w:p w14:paraId="30EA6F8C" w14:textId="77777777" w:rsidR="00EC4659" w:rsidRPr="00EC4659" w:rsidRDefault="00EC4659" w:rsidP="00EC4659">
      <w:pPr>
        <w:spacing w:before="120" w:line="259" w:lineRule="auto"/>
        <w:rPr>
          <w:rFonts w:ascii="Calibri Light" w:hAnsi="Calibri Light"/>
          <w:color w:val="1F4E79"/>
          <w:sz w:val="24"/>
          <w:szCs w:val="24"/>
        </w:rPr>
      </w:pPr>
      <w:bookmarkStart w:id="186" w:name="_Toc473126094"/>
      <w:r w:rsidRPr="00EC4659">
        <w:rPr>
          <w:rFonts w:ascii="Calibri Light" w:hAnsi="Calibri Light"/>
          <w:color w:val="1F4E79"/>
          <w:sz w:val="24"/>
          <w:szCs w:val="24"/>
        </w:rPr>
        <w:t>The cost of applying for TRQ certificates</w:t>
      </w:r>
      <w:bookmarkEnd w:id="186"/>
    </w:p>
    <w:p w14:paraId="2CC62AEC"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eastAsia="zh-CN"/>
        </w:rPr>
        <w:t xml:space="preserve">The estimate of the volume of certificate applications is derived by averaging the past three years’ historical data (or fewer years if data is not available).  The exception is JAEPA TRQs.  For TRQs to Japan, the estimation was based on 2015 data only, because in 2014 the quota was in a transitional phase and is not a </w:t>
      </w:r>
      <w:r w:rsidRPr="00EC4659">
        <w:rPr>
          <w:rFonts w:ascii="Calibri" w:hAnsi="Calibri"/>
          <w:szCs w:val="22"/>
          <w:lang w:val="en-NZ"/>
        </w:rPr>
        <w:t xml:space="preserve">useful guide to future outcomes.  </w:t>
      </w:r>
    </w:p>
    <w:p w14:paraId="49696A23"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val="en-NZ"/>
        </w:rPr>
        <w:lastRenderedPageBreak/>
        <w:t>The total number of certificate applications is estimated to be 33,131.  The per-unit cost of applying for certificates is based on Table B7.</w:t>
      </w:r>
    </w:p>
    <w:p w14:paraId="6C19A8B7" w14:textId="77777777" w:rsidR="00EC4659" w:rsidRPr="00EC4659" w:rsidRDefault="00EC4659" w:rsidP="00EC4659">
      <w:pPr>
        <w:spacing w:after="120" w:line="259" w:lineRule="auto"/>
        <w:rPr>
          <w:rFonts w:ascii="Calibri" w:hAnsi="Calibri"/>
          <w:szCs w:val="22"/>
          <w:lang w:eastAsia="zh-CN"/>
        </w:rPr>
      </w:pPr>
      <w:r w:rsidRPr="00EC4659">
        <w:rPr>
          <w:rFonts w:ascii="Calibri" w:hAnsi="Calibri"/>
          <w:szCs w:val="22"/>
          <w:lang w:val="en-NZ"/>
        </w:rPr>
        <w:t xml:space="preserve">A placeholder assumption of 210 businesses has been used (reflecting businesses being counted multiple times if using multiple TRQs).  This assumption is required by the design of the RBM calculator.  This is an estimation using averaged historical data. </w:t>
      </w:r>
    </w:p>
    <w:p w14:paraId="2F6A52D1" w14:textId="77777777" w:rsidR="00EC4659" w:rsidRPr="00EC4659" w:rsidRDefault="00EC4659" w:rsidP="00EC4659">
      <w:pPr>
        <w:spacing w:before="120" w:line="259" w:lineRule="auto"/>
        <w:rPr>
          <w:rFonts w:ascii="Calibri Light" w:hAnsi="Calibri Light"/>
          <w:color w:val="1F4E79"/>
          <w:sz w:val="24"/>
          <w:szCs w:val="24"/>
        </w:rPr>
      </w:pPr>
      <w:bookmarkStart w:id="187" w:name="_Toc473126095"/>
      <w:r w:rsidRPr="00EC4659">
        <w:rPr>
          <w:rFonts w:ascii="Calibri Light" w:hAnsi="Calibri Light"/>
          <w:color w:val="1F4E79"/>
          <w:sz w:val="24"/>
          <w:szCs w:val="24"/>
        </w:rPr>
        <w:t>The cost of managing entitlements</w:t>
      </w:r>
      <w:bookmarkEnd w:id="187"/>
    </w:p>
    <w:p w14:paraId="1CF7E9C7"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val="en-NZ"/>
        </w:rPr>
        <w:t>Table B8 provides a summary of the assumptions on which the estimate of the volume of entitlement management is derived:</w:t>
      </w:r>
    </w:p>
    <w:p w14:paraId="6DD04691" w14:textId="77777777" w:rsidR="00EC4659" w:rsidRPr="00EC4659" w:rsidRDefault="00EC4659" w:rsidP="00EC4659">
      <w:pPr>
        <w:spacing w:line="259" w:lineRule="auto"/>
        <w:rPr>
          <w:rFonts w:ascii="Calibri" w:hAnsi="Calibri"/>
          <w:szCs w:val="22"/>
          <w:lang w:val="en-NZ"/>
        </w:rPr>
      </w:pPr>
      <w:r w:rsidRPr="00EC4659">
        <w:rPr>
          <w:rFonts w:ascii="Calibri" w:hAnsi="Calibri"/>
          <w:szCs w:val="22"/>
          <w:lang w:val="en-NZ"/>
        </w:rPr>
        <w:t>Table B8: Summary of assumptions – volume of entitlement management</w:t>
      </w:r>
    </w:p>
    <w:tbl>
      <w:tblPr>
        <w:tblStyle w:val="TableGrid1"/>
        <w:tblW w:w="9101" w:type="dxa"/>
        <w:tblInd w:w="108" w:type="dxa"/>
        <w:tblLook w:val="04A0" w:firstRow="1" w:lastRow="0" w:firstColumn="1" w:lastColumn="0" w:noHBand="0" w:noVBand="1"/>
        <w:tblCaption w:val="Table B8. Assumed volume of entitlement management activities"/>
        <w:tblDescription w:val="This table sets out the estimated number of business and activities per business for entitlement-related activities."/>
      </w:tblPr>
      <w:tblGrid>
        <w:gridCol w:w="1139"/>
        <w:gridCol w:w="1197"/>
        <w:gridCol w:w="1468"/>
        <w:gridCol w:w="1197"/>
        <w:gridCol w:w="1367"/>
        <w:gridCol w:w="1197"/>
        <w:gridCol w:w="1536"/>
      </w:tblGrid>
      <w:tr w:rsidR="00EC4659" w:rsidRPr="00EC4659" w14:paraId="21F39629" w14:textId="77777777" w:rsidTr="00EC4659">
        <w:tc>
          <w:tcPr>
            <w:tcW w:w="1139" w:type="dxa"/>
            <w:shd w:val="clear" w:color="auto" w:fill="BDD6EE"/>
          </w:tcPr>
          <w:p w14:paraId="6A300942" w14:textId="77777777" w:rsidR="00EC4659" w:rsidRPr="00EC4659" w:rsidRDefault="00EC4659" w:rsidP="00EC4659">
            <w:pPr>
              <w:spacing w:after="160" w:line="240" w:lineRule="auto"/>
              <w:rPr>
                <w:rFonts w:ascii="Calibri" w:hAnsi="Calibri"/>
                <w:bCs/>
                <w:sz w:val="20"/>
                <w:lang w:val="en-NZ"/>
              </w:rPr>
            </w:pPr>
          </w:p>
        </w:tc>
        <w:tc>
          <w:tcPr>
            <w:tcW w:w="2665" w:type="dxa"/>
            <w:gridSpan w:val="2"/>
            <w:shd w:val="clear" w:color="auto" w:fill="BDD6EE"/>
          </w:tcPr>
          <w:p w14:paraId="4FE0080F"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Apply for TRQ entitlements</w:t>
            </w:r>
          </w:p>
        </w:tc>
        <w:tc>
          <w:tcPr>
            <w:tcW w:w="2564" w:type="dxa"/>
            <w:gridSpan w:val="2"/>
            <w:shd w:val="clear" w:color="auto" w:fill="BDD6EE"/>
          </w:tcPr>
          <w:p w14:paraId="60A2148B"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Relinquish or retain entitlements</w:t>
            </w:r>
          </w:p>
        </w:tc>
        <w:tc>
          <w:tcPr>
            <w:tcW w:w="2733" w:type="dxa"/>
            <w:gridSpan w:val="2"/>
            <w:shd w:val="clear" w:color="auto" w:fill="BDD6EE"/>
          </w:tcPr>
          <w:p w14:paraId="44FB0451" w14:textId="77777777" w:rsidR="00EC4659" w:rsidRPr="000F6D46" w:rsidRDefault="00EC4659" w:rsidP="000F6D46">
            <w:pPr>
              <w:spacing w:line="240" w:lineRule="auto"/>
              <w:rPr>
                <w:rFonts w:asciiTheme="minorHAnsi" w:eastAsiaTheme="minorHAnsi" w:hAnsiTheme="minorHAnsi" w:cstheme="minorBidi"/>
                <w:b/>
                <w:lang w:val="en-NZ"/>
              </w:rPr>
            </w:pPr>
            <w:r w:rsidRPr="000F6D46">
              <w:rPr>
                <w:rFonts w:asciiTheme="minorHAnsi" w:eastAsiaTheme="minorHAnsi" w:hAnsiTheme="minorHAnsi" w:cstheme="minorBidi"/>
                <w:b/>
                <w:lang w:val="en-NZ"/>
              </w:rPr>
              <w:t>Entitlement transfers</w:t>
            </w:r>
          </w:p>
          <w:p w14:paraId="6CE17FE0" w14:textId="77777777" w:rsidR="00EC4659" w:rsidRPr="000F6D46" w:rsidRDefault="00EC4659" w:rsidP="000F6D46">
            <w:pPr>
              <w:spacing w:line="240" w:lineRule="auto"/>
              <w:rPr>
                <w:rFonts w:asciiTheme="minorHAnsi" w:eastAsiaTheme="minorHAnsi" w:hAnsiTheme="minorHAnsi" w:cstheme="minorBidi"/>
                <w:b/>
                <w:lang w:val="en-NZ"/>
              </w:rPr>
            </w:pPr>
          </w:p>
        </w:tc>
      </w:tr>
      <w:tr w:rsidR="00EC4659" w:rsidRPr="00EC4659" w14:paraId="43DB7082" w14:textId="77777777" w:rsidTr="00EC4659">
        <w:tc>
          <w:tcPr>
            <w:tcW w:w="1139" w:type="dxa"/>
            <w:shd w:val="clear" w:color="auto" w:fill="DEEAF6"/>
          </w:tcPr>
          <w:p w14:paraId="18D45805" w14:textId="77777777" w:rsidR="00EC4659" w:rsidRPr="00EC4659" w:rsidRDefault="00EC4659" w:rsidP="00EC4659">
            <w:pPr>
              <w:tabs>
                <w:tab w:val="left" w:pos="1260"/>
              </w:tabs>
              <w:spacing w:after="160" w:line="240" w:lineRule="auto"/>
              <w:rPr>
                <w:rFonts w:ascii="Calibri" w:hAnsi="Calibri"/>
                <w:bCs/>
                <w:sz w:val="20"/>
              </w:rPr>
            </w:pPr>
          </w:p>
        </w:tc>
        <w:tc>
          <w:tcPr>
            <w:tcW w:w="1197" w:type="dxa"/>
            <w:shd w:val="clear" w:color="auto" w:fill="DEEAF6"/>
          </w:tcPr>
          <w:p w14:paraId="25418957"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No. of businesses affected</w:t>
            </w:r>
          </w:p>
        </w:tc>
        <w:tc>
          <w:tcPr>
            <w:tcW w:w="1468" w:type="dxa"/>
            <w:shd w:val="clear" w:color="auto" w:fill="DEEAF6"/>
          </w:tcPr>
          <w:p w14:paraId="5E3E9A0F"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 xml:space="preserve">Average No. of activities per business  </w:t>
            </w:r>
          </w:p>
        </w:tc>
        <w:tc>
          <w:tcPr>
            <w:tcW w:w="1197" w:type="dxa"/>
            <w:shd w:val="clear" w:color="auto" w:fill="DEEAF6"/>
          </w:tcPr>
          <w:p w14:paraId="22A907EB"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No. of businesses affected</w:t>
            </w:r>
          </w:p>
        </w:tc>
        <w:tc>
          <w:tcPr>
            <w:tcW w:w="1367" w:type="dxa"/>
            <w:shd w:val="clear" w:color="auto" w:fill="DEEAF6"/>
          </w:tcPr>
          <w:p w14:paraId="49A18D60" w14:textId="77777777" w:rsidR="00EC4659" w:rsidRPr="000F6D46" w:rsidRDefault="00EC4659" w:rsidP="000F6D46">
            <w:pPr>
              <w:spacing w:line="240" w:lineRule="auto"/>
              <w:ind w:right="-21"/>
              <w:rPr>
                <w:rFonts w:asciiTheme="minorHAnsi" w:eastAsiaTheme="minorHAnsi" w:hAnsiTheme="minorHAnsi" w:cstheme="minorBidi"/>
                <w:b/>
              </w:rPr>
            </w:pPr>
            <w:r w:rsidRPr="000F6D46">
              <w:rPr>
                <w:rFonts w:asciiTheme="minorHAnsi" w:eastAsiaTheme="minorHAnsi" w:hAnsiTheme="minorHAnsi" w:cstheme="minorBidi"/>
                <w:b/>
              </w:rPr>
              <w:t xml:space="preserve">Average No. of activities per business  </w:t>
            </w:r>
          </w:p>
        </w:tc>
        <w:tc>
          <w:tcPr>
            <w:tcW w:w="1197" w:type="dxa"/>
            <w:shd w:val="clear" w:color="auto" w:fill="DEEAF6"/>
          </w:tcPr>
          <w:p w14:paraId="55B96EE5"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No. of businesses affected</w:t>
            </w:r>
          </w:p>
        </w:tc>
        <w:tc>
          <w:tcPr>
            <w:tcW w:w="1536" w:type="dxa"/>
            <w:shd w:val="clear" w:color="auto" w:fill="DEEAF6"/>
          </w:tcPr>
          <w:p w14:paraId="45E02AEC"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 xml:space="preserve">Average No. of activities per business  </w:t>
            </w:r>
          </w:p>
        </w:tc>
      </w:tr>
      <w:tr w:rsidR="00EC4659" w:rsidRPr="00EC4659" w14:paraId="451F0E3A" w14:textId="77777777" w:rsidTr="00EC4659">
        <w:tc>
          <w:tcPr>
            <w:tcW w:w="1139" w:type="dxa"/>
          </w:tcPr>
          <w:p w14:paraId="5477FDB9"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Option 1</w:t>
            </w:r>
            <w:r w:rsidRPr="000F6D46">
              <w:rPr>
                <w:rFonts w:asciiTheme="minorHAnsi" w:eastAsiaTheme="minorHAnsi" w:hAnsiTheme="minorHAnsi" w:cstheme="minorBidi"/>
              </w:rPr>
              <w:tab/>
            </w:r>
          </w:p>
        </w:tc>
        <w:tc>
          <w:tcPr>
            <w:tcW w:w="1197" w:type="dxa"/>
          </w:tcPr>
          <w:p w14:paraId="1A4D7B86"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64</w:t>
            </w:r>
          </w:p>
        </w:tc>
        <w:tc>
          <w:tcPr>
            <w:tcW w:w="1468" w:type="dxa"/>
          </w:tcPr>
          <w:p w14:paraId="29888AF0"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w:t>
            </w:r>
          </w:p>
        </w:tc>
        <w:tc>
          <w:tcPr>
            <w:tcW w:w="1197" w:type="dxa"/>
          </w:tcPr>
          <w:p w14:paraId="7646E90F"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64</w:t>
            </w:r>
          </w:p>
        </w:tc>
        <w:tc>
          <w:tcPr>
            <w:tcW w:w="1367" w:type="dxa"/>
          </w:tcPr>
          <w:p w14:paraId="1967D66B"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w:t>
            </w:r>
          </w:p>
        </w:tc>
        <w:tc>
          <w:tcPr>
            <w:tcW w:w="1197" w:type="dxa"/>
          </w:tcPr>
          <w:p w14:paraId="3F9984FD"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30</w:t>
            </w:r>
          </w:p>
        </w:tc>
        <w:tc>
          <w:tcPr>
            <w:tcW w:w="1536" w:type="dxa"/>
          </w:tcPr>
          <w:p w14:paraId="7F8FA7A3"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4</w:t>
            </w:r>
          </w:p>
        </w:tc>
      </w:tr>
      <w:tr w:rsidR="00EC4659" w:rsidRPr="00EC4659" w14:paraId="6F1C0022" w14:textId="77777777" w:rsidTr="00EC4659">
        <w:tc>
          <w:tcPr>
            <w:tcW w:w="1139" w:type="dxa"/>
          </w:tcPr>
          <w:p w14:paraId="5371A435"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Option 2</w:t>
            </w:r>
          </w:p>
        </w:tc>
        <w:tc>
          <w:tcPr>
            <w:tcW w:w="1197" w:type="dxa"/>
          </w:tcPr>
          <w:p w14:paraId="49B556A0"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0</w:t>
            </w:r>
          </w:p>
        </w:tc>
        <w:tc>
          <w:tcPr>
            <w:tcW w:w="1468" w:type="dxa"/>
          </w:tcPr>
          <w:p w14:paraId="4CC91C01"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0</w:t>
            </w:r>
          </w:p>
        </w:tc>
        <w:tc>
          <w:tcPr>
            <w:tcW w:w="1197" w:type="dxa"/>
          </w:tcPr>
          <w:p w14:paraId="5A443112"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0</w:t>
            </w:r>
          </w:p>
        </w:tc>
        <w:tc>
          <w:tcPr>
            <w:tcW w:w="1367" w:type="dxa"/>
          </w:tcPr>
          <w:p w14:paraId="051B7029"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0</w:t>
            </w:r>
          </w:p>
        </w:tc>
        <w:tc>
          <w:tcPr>
            <w:tcW w:w="1197" w:type="dxa"/>
          </w:tcPr>
          <w:p w14:paraId="08AA8899"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0</w:t>
            </w:r>
          </w:p>
        </w:tc>
        <w:tc>
          <w:tcPr>
            <w:tcW w:w="1536" w:type="dxa"/>
          </w:tcPr>
          <w:p w14:paraId="114715CC"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0</w:t>
            </w:r>
          </w:p>
        </w:tc>
      </w:tr>
      <w:tr w:rsidR="00EC4659" w:rsidRPr="00EC4659" w14:paraId="1E48F917" w14:textId="77777777" w:rsidTr="00EC4659">
        <w:tc>
          <w:tcPr>
            <w:tcW w:w="1139" w:type="dxa"/>
          </w:tcPr>
          <w:p w14:paraId="203E0E11"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Option 3</w:t>
            </w:r>
          </w:p>
        </w:tc>
        <w:tc>
          <w:tcPr>
            <w:tcW w:w="1197" w:type="dxa"/>
          </w:tcPr>
          <w:p w14:paraId="07AE6371"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111</w:t>
            </w:r>
          </w:p>
        </w:tc>
        <w:tc>
          <w:tcPr>
            <w:tcW w:w="1468" w:type="dxa"/>
          </w:tcPr>
          <w:p w14:paraId="4829A18B"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1</w:t>
            </w:r>
          </w:p>
        </w:tc>
        <w:tc>
          <w:tcPr>
            <w:tcW w:w="1197" w:type="dxa"/>
          </w:tcPr>
          <w:p w14:paraId="002733E2"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111</w:t>
            </w:r>
          </w:p>
        </w:tc>
        <w:tc>
          <w:tcPr>
            <w:tcW w:w="1367" w:type="dxa"/>
          </w:tcPr>
          <w:p w14:paraId="7AFE052B"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1</w:t>
            </w:r>
          </w:p>
        </w:tc>
        <w:tc>
          <w:tcPr>
            <w:tcW w:w="1197" w:type="dxa"/>
          </w:tcPr>
          <w:p w14:paraId="7E1938EE"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87</w:t>
            </w:r>
          </w:p>
        </w:tc>
        <w:tc>
          <w:tcPr>
            <w:tcW w:w="1536" w:type="dxa"/>
          </w:tcPr>
          <w:p w14:paraId="28AA09DC"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1.2</w:t>
            </w:r>
          </w:p>
        </w:tc>
      </w:tr>
      <w:tr w:rsidR="00EC4659" w:rsidRPr="00EC4659" w14:paraId="4829C032" w14:textId="77777777" w:rsidTr="00EC4659">
        <w:tc>
          <w:tcPr>
            <w:tcW w:w="1139" w:type="dxa"/>
          </w:tcPr>
          <w:p w14:paraId="7088BBB9"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Option 4</w:t>
            </w:r>
          </w:p>
        </w:tc>
        <w:tc>
          <w:tcPr>
            <w:tcW w:w="1197" w:type="dxa"/>
          </w:tcPr>
          <w:p w14:paraId="48969647"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56</w:t>
            </w:r>
          </w:p>
        </w:tc>
        <w:tc>
          <w:tcPr>
            <w:tcW w:w="1468" w:type="dxa"/>
          </w:tcPr>
          <w:p w14:paraId="540FF530"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1</w:t>
            </w:r>
          </w:p>
        </w:tc>
        <w:tc>
          <w:tcPr>
            <w:tcW w:w="1197" w:type="dxa"/>
          </w:tcPr>
          <w:p w14:paraId="033E12A6"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56</w:t>
            </w:r>
          </w:p>
        </w:tc>
        <w:tc>
          <w:tcPr>
            <w:tcW w:w="1367" w:type="dxa"/>
          </w:tcPr>
          <w:p w14:paraId="7F5E2678"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1</w:t>
            </w:r>
          </w:p>
        </w:tc>
        <w:tc>
          <w:tcPr>
            <w:tcW w:w="1197" w:type="dxa"/>
          </w:tcPr>
          <w:p w14:paraId="59F6C454"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30</w:t>
            </w:r>
          </w:p>
        </w:tc>
        <w:tc>
          <w:tcPr>
            <w:tcW w:w="1536" w:type="dxa"/>
          </w:tcPr>
          <w:p w14:paraId="6AD6A94C" w14:textId="77777777" w:rsidR="00EC4659" w:rsidRPr="000F6D46" w:rsidRDefault="00EC4659" w:rsidP="000F6D46">
            <w:pPr>
              <w:tabs>
                <w:tab w:val="left" w:pos="1260"/>
              </w:tabs>
              <w:spacing w:line="240" w:lineRule="auto"/>
              <w:ind w:right="-382"/>
              <w:rPr>
                <w:rFonts w:asciiTheme="minorHAnsi" w:eastAsiaTheme="minorHAnsi" w:hAnsiTheme="minorHAnsi" w:cstheme="minorBidi"/>
              </w:rPr>
            </w:pPr>
            <w:r w:rsidRPr="000F6D46">
              <w:rPr>
                <w:rFonts w:asciiTheme="minorHAnsi" w:eastAsiaTheme="minorHAnsi" w:hAnsiTheme="minorHAnsi" w:cstheme="minorBidi"/>
              </w:rPr>
              <w:t>4</w:t>
            </w:r>
          </w:p>
        </w:tc>
      </w:tr>
    </w:tbl>
    <w:p w14:paraId="04BF141C" w14:textId="77777777" w:rsidR="00EC4659" w:rsidRPr="00EC4659" w:rsidRDefault="00EC4659" w:rsidP="00EC4659">
      <w:pPr>
        <w:spacing w:before="120" w:after="120" w:line="259" w:lineRule="auto"/>
        <w:rPr>
          <w:rFonts w:ascii="Calibri" w:hAnsi="Calibri"/>
          <w:szCs w:val="22"/>
          <w:lang w:val="en-NZ"/>
        </w:rPr>
      </w:pPr>
      <w:r w:rsidRPr="00EC4659">
        <w:rPr>
          <w:rFonts w:ascii="Calibri" w:hAnsi="Calibri"/>
          <w:szCs w:val="22"/>
          <w:lang w:val="en-NZ"/>
        </w:rPr>
        <w:t>The number of businesses involved in distinct quota entitlement management activities is calculated using averaged historical data.  The major exception is the US beef TRQ.  Here, it is assumed that the recent historical data is not a useful guide to future outcomes.  In 2015, due to a combination of factors—for example exchange rate, the US supply shortage caused by a severe draught—the allocation phase of the US beef TRQ was triggered for the first time.  Based on past experience and independent analysis,</w:t>
      </w:r>
      <w:r w:rsidRPr="00EC4659">
        <w:rPr>
          <w:rFonts w:ascii="Calibri" w:hAnsi="Calibri"/>
          <w:szCs w:val="22"/>
          <w:vertAlign w:val="superscript"/>
          <w:lang w:val="en-NZ"/>
        </w:rPr>
        <w:footnoteReference w:id="26"/>
      </w:r>
      <w:r w:rsidRPr="00EC4659">
        <w:rPr>
          <w:rFonts w:ascii="Calibri" w:hAnsi="Calibri"/>
          <w:szCs w:val="22"/>
          <w:lang w:val="en-NZ"/>
        </w:rPr>
        <w:t xml:space="preserve"> entitlement allocation is unlikely to be triggered again in the near future.  Thus, it is assumed no entitlement management is required for this TRQ in the future.</w:t>
      </w:r>
    </w:p>
    <w:p w14:paraId="317336C3" w14:textId="77777777" w:rsidR="00EC4659" w:rsidRPr="00EC4659" w:rsidRDefault="00EC4659" w:rsidP="00EC4659">
      <w:pPr>
        <w:spacing w:before="120" w:after="120" w:line="259" w:lineRule="auto"/>
        <w:rPr>
          <w:rFonts w:ascii="Calibri" w:hAnsi="Calibri"/>
          <w:szCs w:val="22"/>
          <w:lang w:val="en-NZ"/>
        </w:rPr>
      </w:pPr>
      <w:r w:rsidRPr="00EC4659">
        <w:rPr>
          <w:rFonts w:ascii="Calibri" w:hAnsi="Calibri"/>
          <w:szCs w:val="22"/>
          <w:lang w:val="en-NZ"/>
        </w:rPr>
        <w:t xml:space="preserve">No change in entitlement transfers is assumed.  </w:t>
      </w:r>
      <w:r w:rsidRPr="00EC4659">
        <w:rPr>
          <w:rFonts w:ascii="Calibri" w:hAnsi="Calibri"/>
          <w:szCs w:val="22"/>
        </w:rPr>
        <w:t xml:space="preserve">The proposed changes to the transfer rules under Option 4 are assumed not to have a significant impact on the volume of entitlement transfers for either EU </w:t>
      </w:r>
      <w:proofErr w:type="spellStart"/>
      <w:r w:rsidRPr="00EC4659">
        <w:rPr>
          <w:rFonts w:ascii="Calibri" w:hAnsi="Calibri"/>
          <w:szCs w:val="22"/>
        </w:rPr>
        <w:t>sheepmeat</w:t>
      </w:r>
      <w:proofErr w:type="spellEnd"/>
      <w:r w:rsidRPr="00EC4659">
        <w:rPr>
          <w:rFonts w:ascii="Calibri" w:hAnsi="Calibri"/>
          <w:szCs w:val="22"/>
        </w:rPr>
        <w:t xml:space="preserve"> or EU HQB.</w:t>
      </w:r>
      <w:r w:rsidRPr="00EC4659">
        <w:rPr>
          <w:rFonts w:ascii="Calibri" w:hAnsi="Calibri"/>
          <w:szCs w:val="22"/>
          <w:lang w:val="en-NZ"/>
        </w:rPr>
        <w:t xml:space="preserve">  </w:t>
      </w:r>
      <w:r w:rsidRPr="00EC4659">
        <w:rPr>
          <w:rFonts w:ascii="Calibri" w:hAnsi="Calibri"/>
          <w:szCs w:val="22"/>
        </w:rPr>
        <w:t xml:space="preserve">While many dairy TRQs move from allocated to FCFS, there were negligible transfers in dairy TRQs previously.  Option 4 would leave Japan EBO as FCFS.  </w:t>
      </w:r>
    </w:p>
    <w:p w14:paraId="2C08A059" w14:textId="77777777" w:rsidR="00EC4659" w:rsidRPr="00EC4659" w:rsidRDefault="00EC4659" w:rsidP="00EC4659">
      <w:pPr>
        <w:spacing w:before="120" w:line="259" w:lineRule="auto"/>
        <w:rPr>
          <w:rFonts w:ascii="Calibri Light" w:hAnsi="Calibri Light"/>
          <w:color w:val="1F4E79"/>
          <w:sz w:val="24"/>
          <w:szCs w:val="24"/>
        </w:rPr>
      </w:pPr>
      <w:bookmarkStart w:id="188" w:name="_Toc473126097"/>
      <w:r w:rsidRPr="00EC4659">
        <w:rPr>
          <w:rFonts w:ascii="Calibri Light" w:hAnsi="Calibri Light"/>
          <w:color w:val="1F4E79"/>
          <w:sz w:val="24"/>
          <w:szCs w:val="24"/>
        </w:rPr>
        <w:t>Supporting assumptions</w:t>
      </w:r>
      <w:bookmarkEnd w:id="188"/>
    </w:p>
    <w:p w14:paraId="61FC3113"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val="en-NZ"/>
        </w:rPr>
        <w:t>Other assumptions relative to each process step include:</w:t>
      </w:r>
    </w:p>
    <w:p w14:paraId="22F38F54"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Costs, activity levels and quota utilisation levels do not vary over the ten year forecast period.</w:t>
      </w:r>
    </w:p>
    <w:p w14:paraId="74CE52CB"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There are no transition costs or timing matters to consider.</w:t>
      </w:r>
    </w:p>
    <w:p w14:paraId="2A4B2850"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T</w:t>
      </w:r>
      <w:r w:rsidRPr="00EC4659">
        <w:rPr>
          <w:rFonts w:ascii="Calibri" w:hAnsi="Calibri" w:hint="eastAsia"/>
          <w:szCs w:val="22"/>
          <w:lang w:val="en-NZ"/>
        </w:rPr>
        <w:t xml:space="preserve">he number of unsuccessful applications </w:t>
      </w:r>
      <w:r w:rsidRPr="00EC4659">
        <w:rPr>
          <w:rFonts w:ascii="Calibri" w:hAnsi="Calibri"/>
          <w:szCs w:val="22"/>
          <w:lang w:val="en-NZ"/>
        </w:rPr>
        <w:t xml:space="preserve">for certificates and entitlements </w:t>
      </w:r>
      <w:r w:rsidRPr="00EC4659">
        <w:rPr>
          <w:rFonts w:ascii="Calibri" w:hAnsi="Calibri" w:hint="eastAsia"/>
          <w:szCs w:val="22"/>
          <w:lang w:val="en-NZ"/>
        </w:rPr>
        <w:t>is</w:t>
      </w:r>
      <w:r w:rsidRPr="00EC4659">
        <w:rPr>
          <w:rFonts w:ascii="Calibri" w:hAnsi="Calibri"/>
          <w:szCs w:val="22"/>
          <w:lang w:val="en-NZ"/>
        </w:rPr>
        <w:t xml:space="preserve"> zero.</w:t>
      </w:r>
      <w:r w:rsidRPr="00EC4659">
        <w:rPr>
          <w:rFonts w:ascii="Calibri" w:hAnsi="Calibri" w:hint="eastAsia"/>
          <w:szCs w:val="22"/>
          <w:lang w:val="en-NZ"/>
        </w:rPr>
        <w:t xml:space="preserve"> </w:t>
      </w:r>
    </w:p>
    <w:p w14:paraId="20565490"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Businesses</w:t>
      </w:r>
      <w:r w:rsidRPr="00EC4659">
        <w:rPr>
          <w:rFonts w:ascii="Calibri" w:hAnsi="Calibri" w:hint="eastAsia"/>
          <w:szCs w:val="22"/>
          <w:lang w:val="en-NZ"/>
        </w:rPr>
        <w:t xml:space="preserve"> apply for entitlements once per year</w:t>
      </w:r>
      <w:r w:rsidRPr="00EC4659">
        <w:rPr>
          <w:rFonts w:ascii="Calibri" w:hAnsi="Calibri"/>
          <w:szCs w:val="22"/>
          <w:lang w:val="en-NZ"/>
        </w:rPr>
        <w:t xml:space="preserve">.  </w:t>
      </w:r>
    </w:p>
    <w:p w14:paraId="2AF6E770"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R</w:t>
      </w:r>
      <w:r w:rsidRPr="00EC4659">
        <w:rPr>
          <w:rFonts w:ascii="Calibri" w:hAnsi="Calibri" w:hint="eastAsia"/>
          <w:szCs w:val="22"/>
          <w:lang w:val="en-NZ"/>
        </w:rPr>
        <w:t xml:space="preserve">elevant </w:t>
      </w:r>
      <w:r w:rsidRPr="00EC4659">
        <w:rPr>
          <w:rFonts w:ascii="Calibri" w:hAnsi="Calibri"/>
          <w:szCs w:val="22"/>
          <w:lang w:val="en-NZ"/>
        </w:rPr>
        <w:t>businesse</w:t>
      </w:r>
      <w:r w:rsidRPr="00EC4659">
        <w:rPr>
          <w:rFonts w:ascii="Calibri" w:hAnsi="Calibri" w:hint="eastAsia"/>
          <w:szCs w:val="22"/>
          <w:lang w:val="en-NZ"/>
        </w:rPr>
        <w:t xml:space="preserve">s only need to make </w:t>
      </w:r>
      <w:r w:rsidRPr="00EC4659">
        <w:rPr>
          <w:rFonts w:ascii="Calibri" w:hAnsi="Calibri"/>
          <w:szCs w:val="22"/>
          <w:lang w:val="en-NZ"/>
        </w:rPr>
        <w:t xml:space="preserve">a </w:t>
      </w:r>
      <w:r w:rsidRPr="00EC4659">
        <w:rPr>
          <w:rFonts w:ascii="Calibri" w:hAnsi="Calibri" w:hint="eastAsia"/>
          <w:szCs w:val="22"/>
          <w:lang w:val="en-NZ"/>
        </w:rPr>
        <w:t xml:space="preserve">decision </w:t>
      </w:r>
      <w:r w:rsidRPr="00EC4659">
        <w:rPr>
          <w:rFonts w:ascii="Calibri" w:hAnsi="Calibri"/>
          <w:szCs w:val="22"/>
          <w:lang w:val="en-NZ"/>
        </w:rPr>
        <w:t xml:space="preserve">to relinquish or retain an entitlement </w:t>
      </w:r>
      <w:r w:rsidRPr="00EC4659">
        <w:rPr>
          <w:rFonts w:ascii="Calibri" w:hAnsi="Calibri" w:hint="eastAsia"/>
          <w:szCs w:val="22"/>
          <w:lang w:val="en-NZ"/>
        </w:rPr>
        <w:t>once per year</w:t>
      </w:r>
      <w:r w:rsidRPr="00EC4659">
        <w:rPr>
          <w:rFonts w:ascii="Calibri" w:hAnsi="Calibri"/>
          <w:szCs w:val="22"/>
          <w:lang w:val="en-NZ"/>
        </w:rPr>
        <w:t xml:space="preserve"> for each TRQ.</w:t>
      </w:r>
    </w:p>
    <w:p w14:paraId="5D198655"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All the businesses involved in the quota entitlement allocation process will also be involved in relinquish-or-retain quota activity.</w:t>
      </w:r>
    </w:p>
    <w:p w14:paraId="37435222"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There is no, or negligible, delay costs arising from a transition from Option 1.</w:t>
      </w:r>
    </w:p>
    <w:p w14:paraId="2CB2A15E" w14:textId="77777777" w:rsidR="00EC4659" w:rsidRPr="00EC4659" w:rsidRDefault="00EC4659" w:rsidP="000F6D46">
      <w:pPr>
        <w:numPr>
          <w:ilvl w:val="0"/>
          <w:numId w:val="82"/>
        </w:numPr>
        <w:spacing w:after="160" w:line="259" w:lineRule="auto"/>
        <w:ind w:left="567"/>
        <w:contextualSpacing/>
        <w:rPr>
          <w:rFonts w:ascii="Calibri" w:hAnsi="Calibri"/>
          <w:szCs w:val="22"/>
          <w:lang w:val="en-NZ"/>
        </w:rPr>
      </w:pPr>
      <w:r w:rsidRPr="00EC4659">
        <w:rPr>
          <w:rFonts w:ascii="Calibri" w:hAnsi="Calibri"/>
          <w:szCs w:val="22"/>
          <w:lang w:val="en-NZ"/>
        </w:rPr>
        <w:t>No attempt has been made to estimate the burden for businesses operating within the new entrant arrangements.</w:t>
      </w:r>
    </w:p>
    <w:p w14:paraId="5BE563C5" w14:textId="77777777" w:rsidR="00EC4659" w:rsidRPr="00EC4659" w:rsidRDefault="00EC4659" w:rsidP="00EC4659">
      <w:pPr>
        <w:keepNext/>
        <w:spacing w:before="120" w:line="259" w:lineRule="auto"/>
        <w:rPr>
          <w:rFonts w:ascii="Calibri Light" w:hAnsi="Calibri Light"/>
          <w:color w:val="1F4E79"/>
          <w:sz w:val="24"/>
          <w:szCs w:val="24"/>
        </w:rPr>
      </w:pPr>
      <w:bookmarkStart w:id="189" w:name="_Toc473126098"/>
      <w:r w:rsidRPr="00EC4659">
        <w:rPr>
          <w:rFonts w:ascii="Calibri Light" w:hAnsi="Calibri Light"/>
          <w:color w:val="5B9BD5"/>
          <w:sz w:val="26"/>
          <w:szCs w:val="26"/>
        </w:rPr>
        <w:lastRenderedPageBreak/>
        <w:t>Generation of Option 1 (Retain all current regulations)</w:t>
      </w:r>
      <w:bookmarkEnd w:id="189"/>
    </w:p>
    <w:p w14:paraId="0A31677E" w14:textId="77777777" w:rsidR="00EC4659" w:rsidRPr="00EC4659" w:rsidRDefault="00EC4659" w:rsidP="00EC4659">
      <w:pPr>
        <w:spacing w:after="120" w:line="259" w:lineRule="auto"/>
        <w:rPr>
          <w:rFonts w:ascii="Calibri" w:hAnsi="Calibri"/>
          <w:szCs w:val="22"/>
        </w:rPr>
      </w:pPr>
      <w:r w:rsidRPr="00EC4659">
        <w:rPr>
          <w:rFonts w:ascii="Calibri" w:hAnsi="Calibri"/>
          <w:b/>
          <w:noProof/>
          <w:szCs w:val="22"/>
          <w:lang w:eastAsia="en-AU"/>
        </w:rPr>
        <mc:AlternateContent>
          <mc:Choice Requires="wps">
            <w:drawing>
              <wp:anchor distT="0" distB="0" distL="114300" distR="114300" simplePos="0" relativeHeight="251660288" behindDoc="1" locked="0" layoutInCell="1" allowOverlap="1" wp14:anchorId="1A904278" wp14:editId="2B52AC25">
                <wp:simplePos x="0" y="0"/>
                <wp:positionH relativeFrom="column">
                  <wp:posOffset>-47625</wp:posOffset>
                </wp:positionH>
                <wp:positionV relativeFrom="paragraph">
                  <wp:posOffset>391795</wp:posOffset>
                </wp:positionV>
                <wp:extent cx="5791200" cy="4362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791200" cy="4362450"/>
                        </a:xfrm>
                        <a:prstGeom prst="rect">
                          <a:avLst/>
                        </a:prstGeom>
                        <a:solidFill>
                          <a:srgbClr val="E7E6E6">
                            <a:lumMod val="90000"/>
                          </a:srgbClr>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03B78" id="Rectangle 14" o:spid="_x0000_s1026" style="position:absolute;margin-left:-3.75pt;margin-top:30.85pt;width:456pt;height:3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" fillcolor="#d0cece" strokecolor="#787878" strokeweight="1pt"/>
            </w:pict>
          </mc:Fallback>
        </mc:AlternateContent>
      </w:r>
      <w:r w:rsidRPr="00EC4659">
        <w:rPr>
          <w:rFonts w:ascii="Calibri" w:hAnsi="Calibri"/>
          <w:szCs w:val="22"/>
        </w:rPr>
        <w:t>The general methodology is described in the previous section.  In Box B2 below an example is provided which applies the methodology to calculate “Quota transfer” cost under Option 1.</w:t>
      </w:r>
    </w:p>
    <w:p w14:paraId="245C07F8" w14:textId="77777777" w:rsidR="00EC4659" w:rsidRPr="00EC4659" w:rsidRDefault="00EC4659" w:rsidP="00EC4659">
      <w:pPr>
        <w:spacing w:line="360" w:lineRule="auto"/>
        <w:rPr>
          <w:rFonts w:ascii="Calibri" w:hAnsi="Calibri"/>
          <w:b/>
          <w:szCs w:val="22"/>
          <w:lang w:val="en-NZ"/>
        </w:rPr>
      </w:pPr>
      <w:r w:rsidRPr="00EC4659">
        <w:rPr>
          <w:rFonts w:ascii="Calibri" w:hAnsi="Calibri"/>
          <w:b/>
          <w:szCs w:val="22"/>
          <w:lang w:val="en-NZ"/>
        </w:rPr>
        <w:t>Box B2: Calculation for quota entitlement transfer cost under Option 1</w:t>
      </w:r>
    </w:p>
    <w:p w14:paraId="79AA7B99" w14:textId="77777777" w:rsidR="00EC4659" w:rsidRPr="00EC4659" w:rsidRDefault="00EC4659" w:rsidP="00EC4659">
      <w:pPr>
        <w:spacing w:after="120" w:line="240" w:lineRule="auto"/>
        <w:rPr>
          <w:rFonts w:ascii="Calibri" w:hAnsi="Calibri"/>
          <w:szCs w:val="22"/>
          <w:lang w:val="en-NZ"/>
        </w:rPr>
      </w:pPr>
      <w:r w:rsidRPr="00EC4659">
        <w:rPr>
          <w:rFonts w:ascii="Calibri" w:hAnsi="Calibri"/>
          <w:szCs w:val="22"/>
          <w:lang w:val="en-NZ"/>
        </w:rPr>
        <w:t xml:space="preserve">Using 2014 and 2015 data (where full year data is available) as the baseline value, there were on average 120 quota entitlement transfers by 30 businesses (under EU </w:t>
      </w:r>
      <w:proofErr w:type="spellStart"/>
      <w:r w:rsidRPr="00EC4659">
        <w:rPr>
          <w:rFonts w:ascii="Calibri" w:hAnsi="Calibri"/>
          <w:szCs w:val="22"/>
          <w:lang w:val="en-NZ"/>
        </w:rPr>
        <w:t>sheepmeat</w:t>
      </w:r>
      <w:proofErr w:type="spellEnd"/>
      <w:r w:rsidRPr="00EC4659">
        <w:rPr>
          <w:rFonts w:ascii="Calibri" w:hAnsi="Calibri"/>
          <w:szCs w:val="22"/>
          <w:lang w:val="en-NZ"/>
        </w:rPr>
        <w:t xml:space="preserve"> quota and EU HQB quota).  We do not include 2016 data in the calculation because full year data was not available at the time the analysis was undertaken, and transfer activities are likely to be more frequent towards the end of the year.  </w:t>
      </w:r>
    </w:p>
    <w:p w14:paraId="1C5499DD" w14:textId="77777777" w:rsidR="00EC4659" w:rsidRPr="00EC4659" w:rsidRDefault="00EC4659" w:rsidP="00EC4659">
      <w:pPr>
        <w:tabs>
          <w:tab w:val="left" w:pos="3075"/>
        </w:tabs>
        <w:spacing w:after="120" w:line="240" w:lineRule="auto"/>
        <w:rPr>
          <w:rFonts w:ascii="Calibri" w:hAnsi="Calibri"/>
          <w:szCs w:val="22"/>
          <w:lang w:val="en-NZ"/>
        </w:rPr>
      </w:pPr>
      <w:r w:rsidRPr="00EC4659">
        <w:rPr>
          <w:rFonts w:ascii="Calibri" w:hAnsi="Calibri"/>
          <w:szCs w:val="22"/>
          <w:lang w:val="en-NZ"/>
        </w:rPr>
        <w:t>Steps in the RBM calculator:</w:t>
      </w:r>
      <w:r w:rsidRPr="00EC4659">
        <w:rPr>
          <w:rFonts w:ascii="Calibri" w:hAnsi="Calibri"/>
          <w:szCs w:val="22"/>
          <w:lang w:val="en-NZ"/>
        </w:rPr>
        <w:tab/>
      </w:r>
    </w:p>
    <w:p w14:paraId="749F81BB" w14:textId="77777777" w:rsidR="00EC4659" w:rsidRPr="00EC4659" w:rsidRDefault="00EC4659" w:rsidP="00EC4659">
      <w:pPr>
        <w:spacing w:line="240" w:lineRule="auto"/>
        <w:ind w:left="1418" w:hanging="709"/>
        <w:rPr>
          <w:rFonts w:ascii="Calibri" w:hAnsi="Calibri"/>
          <w:szCs w:val="22"/>
          <w:lang w:val="en-NZ"/>
        </w:rPr>
      </w:pPr>
      <w:r w:rsidRPr="00EC4659">
        <w:rPr>
          <w:rFonts w:ascii="Calibri" w:hAnsi="Calibri"/>
          <w:szCs w:val="22"/>
          <w:lang w:val="en-NZ"/>
        </w:rPr>
        <w:t>Step 1: number of businesses affected by activity: 30</w:t>
      </w:r>
    </w:p>
    <w:p w14:paraId="2640E9F5" w14:textId="77777777" w:rsidR="00EC4659" w:rsidRPr="00EC4659" w:rsidRDefault="00EC4659" w:rsidP="00EC4659">
      <w:pPr>
        <w:spacing w:line="240" w:lineRule="auto"/>
        <w:ind w:left="709"/>
        <w:rPr>
          <w:rFonts w:ascii="Calibri" w:hAnsi="Calibri"/>
          <w:szCs w:val="22"/>
          <w:lang w:val="en-NZ"/>
        </w:rPr>
      </w:pPr>
      <w:r w:rsidRPr="00EC4659">
        <w:rPr>
          <w:rFonts w:ascii="Calibri" w:hAnsi="Calibri"/>
          <w:szCs w:val="22"/>
          <w:lang w:val="en-NZ"/>
        </w:rPr>
        <w:t xml:space="preserve">Step 2: number of staff per business performing activity: it is assumed one staff person performs the activity multiple times. Where possible we have separated admin staff and senior staff to get a more accurate result, however in this case the process could be more or less informal (or relationship based) so we assumed one representative personal is responsible for the process.  </w:t>
      </w:r>
    </w:p>
    <w:p w14:paraId="235C1BC5" w14:textId="77777777" w:rsidR="00EC4659" w:rsidRPr="00EC4659" w:rsidRDefault="00EC4659" w:rsidP="00EC4659">
      <w:pPr>
        <w:spacing w:line="240" w:lineRule="auto"/>
        <w:ind w:left="709"/>
        <w:rPr>
          <w:rFonts w:ascii="Calibri" w:hAnsi="Calibri"/>
          <w:szCs w:val="22"/>
          <w:lang w:val="en-NZ"/>
        </w:rPr>
      </w:pPr>
      <w:r w:rsidRPr="00EC4659">
        <w:rPr>
          <w:rFonts w:ascii="Calibri" w:hAnsi="Calibri"/>
          <w:szCs w:val="22"/>
          <w:lang w:val="en-NZ"/>
        </w:rPr>
        <w:t>Step 3: number of times activity performed per staff: the (averaged) number of transfers is 120 per year and the (averaged) number of businesses is 30, so this number is 120/30 = 4 times</w:t>
      </w:r>
    </w:p>
    <w:p w14:paraId="1FA21E26" w14:textId="77777777" w:rsidR="00EC4659" w:rsidRPr="00EC4659" w:rsidRDefault="00EC4659" w:rsidP="00EC4659">
      <w:pPr>
        <w:spacing w:line="240" w:lineRule="auto"/>
        <w:ind w:left="709"/>
        <w:rPr>
          <w:rFonts w:ascii="Calibri" w:hAnsi="Calibri"/>
          <w:szCs w:val="22"/>
          <w:lang w:val="en-NZ"/>
        </w:rPr>
      </w:pPr>
      <w:r w:rsidRPr="00EC4659">
        <w:rPr>
          <w:rFonts w:ascii="Calibri" w:hAnsi="Calibri"/>
          <w:szCs w:val="22"/>
          <w:lang w:val="en-NZ"/>
        </w:rPr>
        <w:t>Step 4: average time to do a quota transfer:  1 hour and 20 minutes (1.3 hours) is the assumed average, as in Table A7 above</w:t>
      </w:r>
    </w:p>
    <w:p w14:paraId="296B5985" w14:textId="77777777" w:rsidR="00EC4659" w:rsidRPr="00EC4659" w:rsidRDefault="00EC4659" w:rsidP="00EC4659">
      <w:pPr>
        <w:spacing w:after="120" w:line="240" w:lineRule="auto"/>
        <w:ind w:left="709"/>
        <w:rPr>
          <w:rFonts w:ascii="Calibri" w:hAnsi="Calibri"/>
          <w:szCs w:val="22"/>
          <w:lang w:val="en-NZ"/>
        </w:rPr>
      </w:pPr>
      <w:r w:rsidRPr="00EC4659">
        <w:rPr>
          <w:rFonts w:ascii="Calibri" w:hAnsi="Calibri"/>
          <w:szCs w:val="22"/>
          <w:lang w:val="en-NZ"/>
        </w:rPr>
        <w:t>Step 5: Labour cost ($/hr): general wage rate is used here ($39.31), plus a non-wage component ($39.31 * 75% = $29.48), gives a per hour labour cost of $68.79.</w:t>
      </w:r>
    </w:p>
    <w:p w14:paraId="16560242" w14:textId="77777777" w:rsidR="00EC4659" w:rsidRPr="00EC4659" w:rsidRDefault="00EC4659" w:rsidP="00EC4659">
      <w:pPr>
        <w:spacing w:after="120" w:line="259" w:lineRule="auto"/>
        <w:rPr>
          <w:rFonts w:ascii="Calibri" w:hAnsi="Calibri"/>
          <w:szCs w:val="22"/>
          <w:lang w:val="en-NZ"/>
        </w:rPr>
      </w:pPr>
      <w:r w:rsidRPr="00EC4659">
        <w:rPr>
          <w:rFonts w:ascii="Calibri" w:hAnsi="Calibri"/>
          <w:szCs w:val="22"/>
          <w:lang w:val="en-NZ"/>
        </w:rPr>
        <w:t xml:space="preserve">Following the format of the RBM calculator, the total quota entitlement transfer cost for a representative year (in Option 1) is expected to be 30 businesses * 1 staff * 4 times per business * 1.3 hours * $68.69 = $10,715. </w:t>
      </w:r>
    </w:p>
    <w:p w14:paraId="7CA167A1"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result of the calculation is for a representative year.  The gross cost is derived by multiplying the cost for the representative year by ten.  For the purpose of calculating the present value over a ten year forecast period, a discount rate of 7 per cent is applied which is the default rate for the RBM calculator.</w:t>
      </w:r>
      <w:r w:rsidRPr="00EC4659">
        <w:rPr>
          <w:rFonts w:ascii="Calibri" w:hAnsi="Calibri"/>
          <w:szCs w:val="22"/>
          <w:vertAlign w:val="superscript"/>
        </w:rPr>
        <w:footnoteReference w:id="27"/>
      </w:r>
    </w:p>
    <w:p w14:paraId="57117A88" w14:textId="77777777" w:rsidR="00EC4659" w:rsidRPr="00EC4659" w:rsidRDefault="00EC4659" w:rsidP="00EC4659">
      <w:pPr>
        <w:spacing w:before="120" w:line="259" w:lineRule="auto"/>
        <w:rPr>
          <w:rFonts w:ascii="Calibri Light" w:hAnsi="Calibri Light"/>
          <w:color w:val="5B9BD5"/>
          <w:sz w:val="26"/>
          <w:szCs w:val="26"/>
        </w:rPr>
      </w:pPr>
      <w:bookmarkStart w:id="190" w:name="_Toc473126099"/>
      <w:r w:rsidRPr="00EC4659">
        <w:rPr>
          <w:rFonts w:ascii="Calibri Light" w:hAnsi="Calibri Light"/>
          <w:color w:val="5B9BD5"/>
          <w:sz w:val="26"/>
          <w:szCs w:val="26"/>
        </w:rPr>
        <w:t>Generation of variances from Option 1</w:t>
      </w:r>
      <w:bookmarkEnd w:id="190"/>
    </w:p>
    <w:p w14:paraId="549694BD" w14:textId="77777777" w:rsidR="00EC4659" w:rsidRPr="00EC4659" w:rsidRDefault="00EC4659" w:rsidP="00EC4659">
      <w:pPr>
        <w:spacing w:after="120" w:line="259" w:lineRule="auto"/>
        <w:rPr>
          <w:rFonts w:ascii="Calibri" w:hAnsi="Calibri"/>
          <w:szCs w:val="22"/>
        </w:rPr>
      </w:pPr>
      <w:r w:rsidRPr="00EC4659">
        <w:rPr>
          <w:rFonts w:ascii="Calibri" w:hAnsi="Calibri"/>
          <w:szCs w:val="22"/>
          <w:lang w:val="en-NZ"/>
        </w:rPr>
        <w:t xml:space="preserve">Variances from Option 1 are driven by changes to entitlement management costs.  Under Option 2 there would be no entitlements and no associated activities and costs.  </w:t>
      </w:r>
      <w:r w:rsidRPr="00EC4659">
        <w:rPr>
          <w:rFonts w:ascii="Calibri" w:hAnsi="Calibri"/>
          <w:szCs w:val="22"/>
        </w:rPr>
        <w:t xml:space="preserve">Table A9 summaries the change from Option 1 to Option 3 and Option 4.  </w:t>
      </w:r>
    </w:p>
    <w:p w14:paraId="2FD4EEA1" w14:textId="77777777" w:rsidR="00EC4659" w:rsidRPr="00EC4659" w:rsidRDefault="00EC4659" w:rsidP="00EC4659">
      <w:pPr>
        <w:spacing w:line="259" w:lineRule="auto"/>
        <w:rPr>
          <w:rFonts w:ascii="Calibri" w:hAnsi="Calibri"/>
          <w:noProof/>
          <w:szCs w:val="22"/>
          <w:lang w:val="en-NZ" w:eastAsia="zh-CN"/>
        </w:rPr>
      </w:pPr>
      <w:r w:rsidRPr="00EC4659">
        <w:rPr>
          <w:rFonts w:ascii="Calibri" w:hAnsi="Calibri"/>
          <w:szCs w:val="22"/>
        </w:rPr>
        <w:t>Table B9: TRQs – entitlement vs no entitlement</w:t>
      </w:r>
    </w:p>
    <w:tbl>
      <w:tblPr>
        <w:tblStyle w:val="TableGrid1"/>
        <w:tblW w:w="4908" w:type="pct"/>
        <w:tblInd w:w="108" w:type="dxa"/>
        <w:tblLayout w:type="fixed"/>
        <w:tblLook w:val="04A0" w:firstRow="1" w:lastRow="0" w:firstColumn="1" w:lastColumn="0" w:noHBand="0" w:noVBand="1"/>
        <w:tblCaption w:val="Table B9. TRQs to have entitlements under each option"/>
        <w:tblDescription w:val="This table summarises the number of quotas that would be managed under each mechanism category for options 3 and 4, and how this differs from option 1. "/>
      </w:tblPr>
      <w:tblGrid>
        <w:gridCol w:w="2014"/>
        <w:gridCol w:w="1275"/>
        <w:gridCol w:w="1560"/>
        <w:gridCol w:w="1275"/>
        <w:gridCol w:w="1560"/>
        <w:gridCol w:w="1166"/>
      </w:tblGrid>
      <w:tr w:rsidR="00EC4659" w:rsidRPr="00EC4659" w14:paraId="681784D3" w14:textId="77777777" w:rsidTr="00EC4659">
        <w:trPr>
          <w:trHeight w:val="422"/>
        </w:trPr>
        <w:tc>
          <w:tcPr>
            <w:tcW w:w="2014" w:type="dxa"/>
            <w:shd w:val="clear" w:color="auto" w:fill="DEEAF6"/>
            <w:noWrap/>
            <w:hideMark/>
          </w:tcPr>
          <w:p w14:paraId="16D35368" w14:textId="77777777" w:rsidR="00EC4659" w:rsidRPr="00EC4659" w:rsidRDefault="00EC4659" w:rsidP="00EC4659">
            <w:pPr>
              <w:spacing w:after="160" w:line="240" w:lineRule="auto"/>
              <w:rPr>
                <w:rFonts w:ascii="Calibri" w:hAnsi="Calibri"/>
                <w:bCs/>
                <w:sz w:val="20"/>
              </w:rPr>
            </w:pPr>
          </w:p>
        </w:tc>
        <w:tc>
          <w:tcPr>
            <w:tcW w:w="1275" w:type="dxa"/>
            <w:shd w:val="clear" w:color="auto" w:fill="DEEAF6"/>
            <w:hideMark/>
          </w:tcPr>
          <w:p w14:paraId="44338A1B"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TRQs (Option 1)</w:t>
            </w:r>
          </w:p>
        </w:tc>
        <w:tc>
          <w:tcPr>
            <w:tcW w:w="1560" w:type="dxa"/>
            <w:shd w:val="clear" w:color="auto" w:fill="DEEAF6"/>
          </w:tcPr>
          <w:p w14:paraId="08461909"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TRQs (Option 3 proposed)</w:t>
            </w:r>
          </w:p>
        </w:tc>
        <w:tc>
          <w:tcPr>
            <w:tcW w:w="1275" w:type="dxa"/>
            <w:shd w:val="clear" w:color="auto" w:fill="DEEAF6"/>
          </w:tcPr>
          <w:p w14:paraId="043B1EFA"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Change (Option 3)</w:t>
            </w:r>
          </w:p>
        </w:tc>
        <w:tc>
          <w:tcPr>
            <w:tcW w:w="1560" w:type="dxa"/>
            <w:shd w:val="clear" w:color="auto" w:fill="DEEAF6"/>
            <w:hideMark/>
          </w:tcPr>
          <w:p w14:paraId="6B2012D7"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TRQs (Option 4 proposed)</w:t>
            </w:r>
          </w:p>
        </w:tc>
        <w:tc>
          <w:tcPr>
            <w:tcW w:w="1166" w:type="dxa"/>
            <w:shd w:val="clear" w:color="auto" w:fill="DEEAF6"/>
            <w:noWrap/>
            <w:hideMark/>
          </w:tcPr>
          <w:p w14:paraId="487FC0E2" w14:textId="77777777" w:rsidR="00EC4659" w:rsidRPr="000F6D46" w:rsidRDefault="00EC4659" w:rsidP="000F6D46">
            <w:pPr>
              <w:spacing w:line="240" w:lineRule="auto"/>
              <w:rPr>
                <w:rFonts w:asciiTheme="minorHAnsi" w:eastAsiaTheme="minorHAnsi" w:hAnsiTheme="minorHAnsi" w:cstheme="minorBidi"/>
                <w:b/>
              </w:rPr>
            </w:pPr>
            <w:r w:rsidRPr="000F6D46">
              <w:rPr>
                <w:rFonts w:asciiTheme="minorHAnsi" w:eastAsiaTheme="minorHAnsi" w:hAnsiTheme="minorHAnsi" w:cstheme="minorBidi"/>
                <w:b/>
              </w:rPr>
              <w:t>Change (Option 4)</w:t>
            </w:r>
          </w:p>
        </w:tc>
      </w:tr>
      <w:tr w:rsidR="00EC4659" w:rsidRPr="00EC4659" w14:paraId="21E891F4" w14:textId="77777777" w:rsidTr="00EC4659">
        <w:trPr>
          <w:trHeight w:val="292"/>
        </w:trPr>
        <w:tc>
          <w:tcPr>
            <w:tcW w:w="2014" w:type="dxa"/>
            <w:noWrap/>
            <w:hideMark/>
          </w:tcPr>
          <w:p w14:paraId="694F93FA"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No entitlement</w:t>
            </w:r>
          </w:p>
        </w:tc>
        <w:tc>
          <w:tcPr>
            <w:tcW w:w="1275" w:type="dxa"/>
            <w:noWrap/>
            <w:hideMark/>
          </w:tcPr>
          <w:p w14:paraId="2CECCB4B"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8</w:t>
            </w:r>
          </w:p>
        </w:tc>
        <w:tc>
          <w:tcPr>
            <w:tcW w:w="1560" w:type="dxa"/>
          </w:tcPr>
          <w:p w14:paraId="133FBE30" w14:textId="77777777" w:rsidR="00EC4659" w:rsidRPr="000F6D46" w:rsidRDefault="00EC4659" w:rsidP="000F6D46">
            <w:pPr>
              <w:tabs>
                <w:tab w:val="center" w:pos="909"/>
              </w:tabs>
              <w:spacing w:line="240" w:lineRule="auto"/>
              <w:rPr>
                <w:rFonts w:asciiTheme="minorHAnsi" w:eastAsiaTheme="minorHAnsi" w:hAnsiTheme="minorHAnsi" w:cstheme="minorBidi"/>
              </w:rPr>
            </w:pPr>
            <w:r w:rsidRPr="000F6D46">
              <w:rPr>
                <w:rFonts w:asciiTheme="minorHAnsi" w:eastAsiaTheme="minorHAnsi" w:hAnsiTheme="minorHAnsi" w:cstheme="minorBidi"/>
              </w:rPr>
              <w:t>23</w:t>
            </w:r>
            <w:r w:rsidRPr="000F6D46">
              <w:rPr>
                <w:rFonts w:asciiTheme="minorHAnsi" w:eastAsiaTheme="minorHAnsi" w:hAnsiTheme="minorHAnsi" w:cstheme="minorBidi"/>
              </w:rPr>
              <w:tab/>
            </w:r>
          </w:p>
        </w:tc>
        <w:tc>
          <w:tcPr>
            <w:tcW w:w="1275" w:type="dxa"/>
          </w:tcPr>
          <w:p w14:paraId="0F6FE4EC"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15</w:t>
            </w:r>
          </w:p>
        </w:tc>
        <w:tc>
          <w:tcPr>
            <w:tcW w:w="1560" w:type="dxa"/>
            <w:noWrap/>
            <w:hideMark/>
          </w:tcPr>
          <w:p w14:paraId="52ADEF06"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25</w:t>
            </w:r>
          </w:p>
        </w:tc>
        <w:tc>
          <w:tcPr>
            <w:tcW w:w="1166" w:type="dxa"/>
            <w:noWrap/>
            <w:hideMark/>
          </w:tcPr>
          <w:p w14:paraId="75B7A958"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17</w:t>
            </w:r>
          </w:p>
        </w:tc>
      </w:tr>
      <w:tr w:rsidR="00EC4659" w:rsidRPr="00EC4659" w14:paraId="7BACA10E" w14:textId="77777777" w:rsidTr="00EC4659">
        <w:trPr>
          <w:trHeight w:val="292"/>
        </w:trPr>
        <w:tc>
          <w:tcPr>
            <w:tcW w:w="2014" w:type="dxa"/>
            <w:noWrap/>
            <w:hideMark/>
          </w:tcPr>
          <w:p w14:paraId="7233F037"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FCFS with trigger</w:t>
            </w:r>
          </w:p>
        </w:tc>
        <w:tc>
          <w:tcPr>
            <w:tcW w:w="1275" w:type="dxa"/>
            <w:noWrap/>
            <w:hideMark/>
          </w:tcPr>
          <w:p w14:paraId="4D935F1F"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w:t>
            </w:r>
          </w:p>
        </w:tc>
        <w:tc>
          <w:tcPr>
            <w:tcW w:w="1560" w:type="dxa"/>
          </w:tcPr>
          <w:p w14:paraId="29B50CE4"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2</w:t>
            </w:r>
          </w:p>
        </w:tc>
        <w:tc>
          <w:tcPr>
            <w:tcW w:w="1275" w:type="dxa"/>
          </w:tcPr>
          <w:p w14:paraId="21BC5E7F"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w:t>
            </w:r>
          </w:p>
        </w:tc>
        <w:tc>
          <w:tcPr>
            <w:tcW w:w="1560" w:type="dxa"/>
            <w:noWrap/>
            <w:hideMark/>
          </w:tcPr>
          <w:p w14:paraId="5281F58B"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w:t>
            </w:r>
          </w:p>
        </w:tc>
        <w:tc>
          <w:tcPr>
            <w:tcW w:w="1166" w:type="dxa"/>
            <w:noWrap/>
            <w:hideMark/>
          </w:tcPr>
          <w:p w14:paraId="5EB5B34E"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0</w:t>
            </w:r>
          </w:p>
        </w:tc>
      </w:tr>
      <w:tr w:rsidR="00EC4659" w:rsidRPr="00EC4659" w14:paraId="452CB29C" w14:textId="77777777" w:rsidTr="00EC4659">
        <w:trPr>
          <w:trHeight w:val="292"/>
        </w:trPr>
        <w:tc>
          <w:tcPr>
            <w:tcW w:w="2014" w:type="dxa"/>
            <w:noWrap/>
            <w:hideMark/>
          </w:tcPr>
          <w:p w14:paraId="28ABA19B"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Entitlement</w:t>
            </w:r>
          </w:p>
        </w:tc>
        <w:tc>
          <w:tcPr>
            <w:tcW w:w="1275" w:type="dxa"/>
            <w:noWrap/>
            <w:hideMark/>
          </w:tcPr>
          <w:p w14:paraId="5B63732D"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21</w:t>
            </w:r>
          </w:p>
        </w:tc>
        <w:tc>
          <w:tcPr>
            <w:tcW w:w="1560" w:type="dxa"/>
          </w:tcPr>
          <w:p w14:paraId="11466436"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5</w:t>
            </w:r>
          </w:p>
        </w:tc>
        <w:tc>
          <w:tcPr>
            <w:tcW w:w="1275" w:type="dxa"/>
          </w:tcPr>
          <w:p w14:paraId="547F1D72"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-16</w:t>
            </w:r>
          </w:p>
        </w:tc>
        <w:tc>
          <w:tcPr>
            <w:tcW w:w="1560" w:type="dxa"/>
            <w:noWrap/>
            <w:hideMark/>
          </w:tcPr>
          <w:p w14:paraId="2B99703D"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4</w:t>
            </w:r>
          </w:p>
        </w:tc>
        <w:tc>
          <w:tcPr>
            <w:tcW w:w="1166" w:type="dxa"/>
            <w:noWrap/>
            <w:hideMark/>
          </w:tcPr>
          <w:p w14:paraId="38739520"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-17</w:t>
            </w:r>
          </w:p>
        </w:tc>
      </w:tr>
      <w:tr w:rsidR="00EC4659" w:rsidRPr="00EC4659" w14:paraId="72733D90" w14:textId="77777777" w:rsidTr="00EC4659">
        <w:trPr>
          <w:trHeight w:val="292"/>
        </w:trPr>
        <w:tc>
          <w:tcPr>
            <w:tcW w:w="2014" w:type="dxa"/>
            <w:noWrap/>
            <w:hideMark/>
          </w:tcPr>
          <w:p w14:paraId="5ECCD72C"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Total</w:t>
            </w:r>
            <w:r w:rsidRPr="000F6D46">
              <w:rPr>
                <w:rFonts w:asciiTheme="minorHAnsi" w:eastAsiaTheme="minorHAnsi" w:hAnsiTheme="minorHAnsi" w:cstheme="minorBidi"/>
              </w:rPr>
              <w:footnoteReference w:id="28"/>
            </w:r>
          </w:p>
        </w:tc>
        <w:tc>
          <w:tcPr>
            <w:tcW w:w="1275" w:type="dxa"/>
            <w:noWrap/>
            <w:hideMark/>
          </w:tcPr>
          <w:p w14:paraId="73679E47"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30</w:t>
            </w:r>
          </w:p>
        </w:tc>
        <w:tc>
          <w:tcPr>
            <w:tcW w:w="1560" w:type="dxa"/>
          </w:tcPr>
          <w:p w14:paraId="69300E30"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30</w:t>
            </w:r>
          </w:p>
        </w:tc>
        <w:tc>
          <w:tcPr>
            <w:tcW w:w="1275" w:type="dxa"/>
          </w:tcPr>
          <w:p w14:paraId="739D4623" w14:textId="77777777" w:rsidR="00EC4659" w:rsidRPr="000F6D46" w:rsidRDefault="00EC4659" w:rsidP="000F6D46">
            <w:pPr>
              <w:spacing w:line="240" w:lineRule="auto"/>
              <w:rPr>
                <w:rFonts w:asciiTheme="minorHAnsi" w:eastAsiaTheme="minorHAnsi" w:hAnsiTheme="minorHAnsi" w:cstheme="minorBidi"/>
              </w:rPr>
            </w:pPr>
          </w:p>
        </w:tc>
        <w:tc>
          <w:tcPr>
            <w:tcW w:w="1560" w:type="dxa"/>
            <w:noWrap/>
            <w:hideMark/>
          </w:tcPr>
          <w:p w14:paraId="7398B2D5" w14:textId="77777777" w:rsidR="00EC4659" w:rsidRPr="000F6D46" w:rsidRDefault="00EC4659" w:rsidP="000F6D46">
            <w:pPr>
              <w:spacing w:line="240" w:lineRule="auto"/>
              <w:rPr>
                <w:rFonts w:asciiTheme="minorHAnsi" w:eastAsiaTheme="minorHAnsi" w:hAnsiTheme="minorHAnsi" w:cstheme="minorBidi"/>
              </w:rPr>
            </w:pPr>
            <w:r w:rsidRPr="000F6D46">
              <w:rPr>
                <w:rFonts w:asciiTheme="minorHAnsi" w:eastAsiaTheme="minorHAnsi" w:hAnsiTheme="minorHAnsi" w:cstheme="minorBidi"/>
              </w:rPr>
              <w:t>30</w:t>
            </w:r>
          </w:p>
        </w:tc>
        <w:tc>
          <w:tcPr>
            <w:tcW w:w="1166" w:type="dxa"/>
            <w:noWrap/>
            <w:hideMark/>
          </w:tcPr>
          <w:p w14:paraId="44119AFA" w14:textId="77777777" w:rsidR="00EC4659" w:rsidRPr="000F6D46" w:rsidRDefault="00EC4659" w:rsidP="000F6D46">
            <w:pPr>
              <w:spacing w:line="240" w:lineRule="auto"/>
              <w:rPr>
                <w:rFonts w:asciiTheme="minorHAnsi" w:eastAsiaTheme="minorHAnsi" w:hAnsiTheme="minorHAnsi" w:cstheme="minorBidi"/>
              </w:rPr>
            </w:pPr>
          </w:p>
        </w:tc>
      </w:tr>
    </w:tbl>
    <w:p w14:paraId="4A0DA7DC" w14:textId="77777777" w:rsidR="00EC4659" w:rsidRPr="00EC4659" w:rsidRDefault="00EC4659" w:rsidP="00EC4659">
      <w:pPr>
        <w:keepNext/>
        <w:spacing w:before="200" w:line="259" w:lineRule="auto"/>
        <w:rPr>
          <w:rFonts w:ascii="Calibri Light" w:hAnsi="Calibri Light"/>
          <w:color w:val="5B9BD5"/>
          <w:sz w:val="26"/>
          <w:szCs w:val="26"/>
        </w:rPr>
      </w:pPr>
      <w:r w:rsidRPr="00EC4659">
        <w:rPr>
          <w:rFonts w:ascii="Calibri Light" w:hAnsi="Calibri Light"/>
          <w:color w:val="5B9BD5"/>
          <w:sz w:val="26"/>
          <w:szCs w:val="26"/>
        </w:rPr>
        <w:lastRenderedPageBreak/>
        <w:t>Feedback on Appendix B assumptions</w:t>
      </w:r>
    </w:p>
    <w:p w14:paraId="08ED8827"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In the consultation workshops, and in subsequent correspondence, there appears to be broad agreement that the assumptions listed above are accurate.</w:t>
      </w:r>
    </w:p>
    <w:p w14:paraId="1B8D02DB" w14:textId="77777777" w:rsidR="00EC4659" w:rsidRPr="00EC4659" w:rsidRDefault="00EC4659" w:rsidP="00EC4659">
      <w:pPr>
        <w:spacing w:after="160" w:line="259" w:lineRule="auto"/>
        <w:rPr>
          <w:rFonts w:ascii="Calibri" w:hAnsi="Calibri"/>
          <w:szCs w:val="22"/>
        </w:rPr>
      </w:pPr>
    </w:p>
    <w:p w14:paraId="0BB3585D" w14:textId="77777777" w:rsidR="00EC4659" w:rsidRPr="00EC4659" w:rsidRDefault="00EC4659" w:rsidP="00EC4659">
      <w:pPr>
        <w:spacing w:after="160" w:line="259" w:lineRule="auto"/>
        <w:rPr>
          <w:rFonts w:ascii="Calibri" w:hAnsi="Calibri"/>
          <w:szCs w:val="22"/>
        </w:rPr>
        <w:sectPr w:rsidR="00EC4659" w:rsidRPr="00EC4659" w:rsidSect="00EC4659">
          <w:pgSz w:w="11906" w:h="16838"/>
          <w:pgMar w:top="1440" w:right="1440" w:bottom="1135" w:left="1440" w:header="708" w:footer="708" w:gutter="0"/>
          <w:cols w:space="708"/>
          <w:docGrid w:linePitch="360"/>
        </w:sectPr>
      </w:pPr>
    </w:p>
    <w:p w14:paraId="7A51A23A"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pPr>
      <w:bookmarkStart w:id="191" w:name="_Toc27482974"/>
      <w:r w:rsidRPr="00EC4659">
        <w:rPr>
          <w:rFonts w:ascii="Calibri Light" w:eastAsia="SimSun" w:hAnsi="Calibri Light"/>
          <w:color w:val="2E74B5"/>
          <w:sz w:val="32"/>
          <w:szCs w:val="32"/>
        </w:rPr>
        <w:lastRenderedPageBreak/>
        <w:t>Appendix C. Summary of tariff rate quota Order rules</w:t>
      </w:r>
      <w:bookmarkEnd w:id="191"/>
    </w:p>
    <w:tbl>
      <w:tblPr>
        <w:tblpPr w:leftFromText="180" w:rightFromText="180" w:horzAnchor="page" w:tblpX="826" w:tblpY="675"/>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Appendix C table.  Summary of quota rules "/>
        <w:tblDescription w:val="This table summarises the rules that apply to each quota under the current regulations."/>
      </w:tblPr>
      <w:tblGrid>
        <w:gridCol w:w="1696"/>
        <w:gridCol w:w="2840"/>
        <w:gridCol w:w="2977"/>
        <w:gridCol w:w="2972"/>
        <w:gridCol w:w="2551"/>
        <w:gridCol w:w="2557"/>
      </w:tblGrid>
      <w:tr w:rsidR="00EC4659" w:rsidRPr="00EC4659" w14:paraId="7B23ABA7" w14:textId="77777777" w:rsidTr="00EC4659">
        <w:trPr>
          <w:tblHeader/>
        </w:trPr>
        <w:tc>
          <w:tcPr>
            <w:tcW w:w="1696" w:type="dxa"/>
            <w:shd w:val="clear" w:color="auto" w:fill="DEEAF6"/>
          </w:tcPr>
          <w:p w14:paraId="28C97EFC" w14:textId="77777777" w:rsidR="00EC4659" w:rsidRPr="00EC4659" w:rsidRDefault="00EC4659" w:rsidP="00EC4659">
            <w:pPr>
              <w:spacing w:before="60" w:after="200" w:line="276" w:lineRule="auto"/>
              <w:rPr>
                <w:rFonts w:ascii="Cambria" w:hAnsi="Cambria"/>
                <w:b/>
                <w:sz w:val="20"/>
                <w:lang w:eastAsia="en-AU"/>
              </w:rPr>
            </w:pPr>
            <w:r w:rsidRPr="00EC4659">
              <w:rPr>
                <w:rFonts w:ascii="Cambria" w:hAnsi="Cambria"/>
                <w:b/>
                <w:sz w:val="20"/>
                <w:lang w:eastAsia="en-AU"/>
              </w:rPr>
              <w:t>Order Provision</w:t>
            </w:r>
          </w:p>
        </w:tc>
        <w:tc>
          <w:tcPr>
            <w:tcW w:w="2840" w:type="dxa"/>
            <w:shd w:val="clear" w:color="auto" w:fill="DEEAF6"/>
          </w:tcPr>
          <w:p w14:paraId="55196363" w14:textId="77777777" w:rsidR="00EC4659" w:rsidRPr="00EC4659" w:rsidRDefault="00EC4659" w:rsidP="00EC4659">
            <w:pPr>
              <w:spacing w:before="60" w:after="200" w:line="276" w:lineRule="auto"/>
              <w:rPr>
                <w:rFonts w:ascii="Cambria" w:hAnsi="Cambria"/>
                <w:b/>
                <w:sz w:val="20"/>
                <w:lang w:eastAsia="en-AU"/>
              </w:rPr>
            </w:pPr>
            <w:r w:rsidRPr="00EC4659">
              <w:rPr>
                <w:rFonts w:ascii="Cambria" w:hAnsi="Cambria"/>
                <w:b/>
                <w:sz w:val="20"/>
                <w:lang w:eastAsia="en-AU"/>
              </w:rPr>
              <w:t>Dairy Produce Regulations</w:t>
            </w:r>
          </w:p>
        </w:tc>
        <w:tc>
          <w:tcPr>
            <w:tcW w:w="2977" w:type="dxa"/>
            <w:shd w:val="clear" w:color="auto" w:fill="DEEAF6"/>
          </w:tcPr>
          <w:p w14:paraId="4A069EA3" w14:textId="77777777" w:rsidR="00EC4659" w:rsidRPr="00EC4659" w:rsidRDefault="00EC4659" w:rsidP="00EC4659">
            <w:pPr>
              <w:spacing w:before="60" w:after="200" w:line="276" w:lineRule="auto"/>
              <w:rPr>
                <w:rFonts w:ascii="Cambria" w:hAnsi="Cambria"/>
                <w:b/>
                <w:sz w:val="20"/>
                <w:lang w:eastAsia="en-AU"/>
              </w:rPr>
            </w:pPr>
            <w:r w:rsidRPr="00EC4659">
              <w:rPr>
                <w:rFonts w:ascii="Cambria" w:hAnsi="Cambria"/>
                <w:b/>
                <w:sz w:val="20"/>
                <w:lang w:eastAsia="en-AU"/>
              </w:rPr>
              <w:t>High Quality Beef Export EU</w:t>
            </w:r>
          </w:p>
        </w:tc>
        <w:tc>
          <w:tcPr>
            <w:tcW w:w="2972" w:type="dxa"/>
            <w:shd w:val="clear" w:color="auto" w:fill="DEEAF6"/>
          </w:tcPr>
          <w:p w14:paraId="7B00AC9A" w14:textId="77777777" w:rsidR="00EC4659" w:rsidRPr="00EC4659" w:rsidRDefault="00EC4659" w:rsidP="00EC4659">
            <w:pPr>
              <w:spacing w:before="60" w:after="200" w:line="276" w:lineRule="auto"/>
              <w:rPr>
                <w:rFonts w:ascii="Cambria" w:hAnsi="Cambria"/>
                <w:b/>
                <w:sz w:val="20"/>
                <w:lang w:eastAsia="en-AU"/>
              </w:rPr>
            </w:pPr>
            <w:proofErr w:type="spellStart"/>
            <w:r w:rsidRPr="00EC4659">
              <w:rPr>
                <w:rFonts w:ascii="Cambria" w:hAnsi="Cambria"/>
                <w:b/>
                <w:sz w:val="20"/>
                <w:lang w:eastAsia="en-AU"/>
              </w:rPr>
              <w:t>Sheepmeat</w:t>
            </w:r>
            <w:proofErr w:type="spellEnd"/>
            <w:r w:rsidRPr="00EC4659">
              <w:rPr>
                <w:rFonts w:ascii="Cambria" w:hAnsi="Cambria"/>
                <w:b/>
                <w:sz w:val="20"/>
                <w:lang w:eastAsia="en-AU"/>
              </w:rPr>
              <w:t xml:space="preserve"> and </w:t>
            </w:r>
            <w:proofErr w:type="spellStart"/>
            <w:r w:rsidRPr="00EC4659">
              <w:rPr>
                <w:rFonts w:ascii="Cambria" w:hAnsi="Cambria"/>
                <w:b/>
                <w:sz w:val="20"/>
                <w:lang w:eastAsia="en-AU"/>
              </w:rPr>
              <w:t>Goatmeat</w:t>
            </w:r>
            <w:proofErr w:type="spellEnd"/>
            <w:r w:rsidRPr="00EC4659">
              <w:rPr>
                <w:rFonts w:ascii="Cambria" w:hAnsi="Cambria"/>
                <w:b/>
                <w:sz w:val="20"/>
                <w:lang w:eastAsia="en-AU"/>
              </w:rPr>
              <w:t xml:space="preserve"> Export EU</w:t>
            </w:r>
          </w:p>
        </w:tc>
        <w:tc>
          <w:tcPr>
            <w:tcW w:w="2551" w:type="dxa"/>
            <w:shd w:val="clear" w:color="auto" w:fill="DEEAF6"/>
          </w:tcPr>
          <w:p w14:paraId="63EA8488" w14:textId="77777777" w:rsidR="00EC4659" w:rsidRPr="00EC4659" w:rsidRDefault="00EC4659" w:rsidP="00EC4659">
            <w:pPr>
              <w:spacing w:before="60" w:after="200" w:line="276" w:lineRule="auto"/>
              <w:rPr>
                <w:rFonts w:ascii="Cambria" w:hAnsi="Cambria"/>
                <w:b/>
                <w:sz w:val="20"/>
                <w:lang w:eastAsia="en-AU"/>
              </w:rPr>
            </w:pPr>
            <w:r w:rsidRPr="00EC4659">
              <w:rPr>
                <w:rFonts w:ascii="Cambria" w:hAnsi="Cambria"/>
                <w:b/>
                <w:sz w:val="20"/>
                <w:lang w:eastAsia="en-AU"/>
              </w:rPr>
              <w:t>Beef Export USA</w:t>
            </w:r>
          </w:p>
        </w:tc>
        <w:tc>
          <w:tcPr>
            <w:tcW w:w="2557" w:type="dxa"/>
            <w:shd w:val="clear" w:color="auto" w:fill="DEEAF6"/>
          </w:tcPr>
          <w:p w14:paraId="36EB4786" w14:textId="77777777" w:rsidR="00EC4659" w:rsidRPr="00EC4659" w:rsidRDefault="00EC4659" w:rsidP="00EC4659">
            <w:pPr>
              <w:spacing w:before="60" w:after="200" w:line="276" w:lineRule="auto"/>
              <w:rPr>
                <w:rFonts w:ascii="Cambria" w:hAnsi="Cambria"/>
                <w:b/>
                <w:sz w:val="20"/>
                <w:lang w:eastAsia="en-AU"/>
              </w:rPr>
            </w:pPr>
            <w:r w:rsidRPr="00EC4659">
              <w:rPr>
                <w:rFonts w:ascii="Cambria" w:hAnsi="Cambria"/>
                <w:b/>
                <w:sz w:val="20"/>
                <w:lang w:eastAsia="en-AU"/>
              </w:rPr>
              <w:t>Export Control Japan</w:t>
            </w:r>
          </w:p>
        </w:tc>
      </w:tr>
      <w:tr w:rsidR="00EC4659" w:rsidRPr="00EC4659" w14:paraId="1F4B72BD" w14:textId="77777777" w:rsidTr="00EC4659">
        <w:tc>
          <w:tcPr>
            <w:tcW w:w="1696" w:type="dxa"/>
          </w:tcPr>
          <w:p w14:paraId="227D2CEA"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Allocation parameters for determining tariff rate quota entitlements</w:t>
            </w:r>
          </w:p>
        </w:tc>
        <w:tc>
          <w:tcPr>
            <w:tcW w:w="2840" w:type="dxa"/>
          </w:tcPr>
          <w:p w14:paraId="3730E19A"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i/>
                <w:sz w:val="20"/>
                <w:lang w:eastAsia="en-AU"/>
              </w:rPr>
              <w:t>Preliminary allocation:</w:t>
            </w:r>
          </w:p>
          <w:p w14:paraId="694BAD8E"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Historical export-weighted calculation (with set-aside amount):</w:t>
            </w:r>
          </w:p>
          <w:p w14:paraId="174E0DE9" w14:textId="77777777" w:rsidR="00EC4659" w:rsidRPr="00EC4659" w:rsidRDefault="00EC4659" w:rsidP="00EC4659">
            <w:pPr>
              <w:spacing w:before="60" w:after="200" w:line="276" w:lineRule="auto"/>
              <w:rPr>
                <w:rFonts w:ascii="Cambria" w:hAnsi="Cambria"/>
                <w:sz w:val="20"/>
                <w:lang w:eastAsia="en-AU"/>
              </w:rPr>
            </w:pPr>
            <m:oMathPara>
              <m:oMath>
                <m:r>
                  <m:rPr>
                    <m:nor/>
                  </m:rPr>
                  <w:rPr>
                    <w:rFonts w:ascii="Cambria" w:hAnsi="Cambria"/>
                    <w:sz w:val="18"/>
                    <w:lang w:eastAsia="en-AU"/>
                  </w:rPr>
                  <m:t xml:space="preserve">GAA × </m:t>
                </m:r>
                <m:d>
                  <m:dPr>
                    <m:ctrlPr>
                      <w:rPr>
                        <w:rFonts w:ascii="Cambria Math" w:hAnsi="Cambria Math"/>
                        <w:i/>
                        <w:sz w:val="18"/>
                        <w:lang w:eastAsia="en-AU"/>
                      </w:rPr>
                    </m:ctrlPr>
                  </m:dPr>
                  <m:e>
                    <m:d>
                      <m:dPr>
                        <m:ctrlPr>
                          <w:rPr>
                            <w:rFonts w:ascii="Cambria Math" w:hAnsi="Cambria Math"/>
                            <w:i/>
                            <w:sz w:val="18"/>
                            <w:lang w:eastAsia="en-AU"/>
                          </w:rPr>
                        </m:ctrlPr>
                      </m:dPr>
                      <m:e>
                        <m:f>
                          <m:fPr>
                            <m:ctrlPr>
                              <w:rPr>
                                <w:rFonts w:ascii="Cambria Math" w:hAnsi="Cambria Math"/>
                                <w:i/>
                                <w:sz w:val="18"/>
                                <w:lang w:eastAsia="en-AU"/>
                              </w:rPr>
                            </m:ctrlPr>
                          </m:fPr>
                          <m:num>
                            <m:r>
                              <m:rPr>
                                <m:nor/>
                              </m:rPr>
                              <w:rPr>
                                <w:rFonts w:ascii="Cambria" w:hAnsi="Cambria"/>
                                <w:sz w:val="18"/>
                                <w:lang w:eastAsia="en-AU"/>
                              </w:rPr>
                              <m:t>ARME</m:t>
                            </m:r>
                          </m:num>
                          <m:den>
                            <m:r>
                              <m:rPr>
                                <m:nor/>
                              </m:rPr>
                              <w:rPr>
                                <w:rFonts w:ascii="Cambria" w:hAnsi="Cambria"/>
                                <w:sz w:val="18"/>
                                <w:lang w:eastAsia="en-AU"/>
                              </w:rPr>
                              <m:t>TRME</m:t>
                            </m:r>
                          </m:den>
                        </m:f>
                        <m:r>
                          <m:rPr>
                            <m:nor/>
                          </m:rPr>
                          <w:rPr>
                            <w:rFonts w:ascii="Cambria" w:hAnsi="Cambria"/>
                            <w:sz w:val="18"/>
                            <w:lang w:eastAsia="en-AU"/>
                          </w:rPr>
                          <m:t xml:space="preserve"> +</m:t>
                        </m:r>
                        <m:f>
                          <m:fPr>
                            <m:ctrlPr>
                              <w:rPr>
                                <w:rFonts w:ascii="Cambria Math" w:hAnsi="Cambria Math"/>
                                <w:i/>
                                <w:sz w:val="18"/>
                                <w:lang w:eastAsia="en-AU"/>
                              </w:rPr>
                            </m:ctrlPr>
                          </m:fPr>
                          <m:num>
                            <m:r>
                              <m:rPr>
                                <m:nor/>
                              </m:rPr>
                              <w:rPr>
                                <w:rFonts w:ascii="Cambria" w:hAnsi="Cambria"/>
                                <w:sz w:val="18"/>
                                <w:lang w:eastAsia="en-AU"/>
                              </w:rPr>
                              <m:t>AGE</m:t>
                            </m:r>
                          </m:num>
                          <m:den>
                            <m:r>
                              <m:rPr>
                                <m:nor/>
                              </m:rPr>
                              <w:rPr>
                                <w:rFonts w:ascii="Cambria" w:hAnsi="Cambria"/>
                                <w:sz w:val="18"/>
                                <w:lang w:eastAsia="en-AU"/>
                              </w:rPr>
                              <m:t>TGE</m:t>
                            </m:r>
                          </m:den>
                        </m:f>
                      </m:e>
                    </m:d>
                    <m:r>
                      <m:rPr>
                        <m:nor/>
                      </m:rPr>
                      <w:rPr>
                        <w:rFonts w:ascii="Cambria" w:hAnsi="Cambria"/>
                        <w:sz w:val="18"/>
                        <w:lang w:eastAsia="en-AU"/>
                      </w:rPr>
                      <m:t>÷2</m:t>
                    </m:r>
                  </m:e>
                </m:d>
                <m:r>
                  <m:rPr>
                    <m:nor/>
                  </m:rPr>
                  <w:rPr>
                    <w:rFonts w:ascii="Cambria" w:hAnsi="Cambria"/>
                    <w:sz w:val="18"/>
                    <w:lang w:eastAsia="en-AU"/>
                  </w:rPr>
                  <m:t xml:space="preserve"> </m:t>
                </m:r>
              </m:oMath>
            </m:oMathPara>
          </w:p>
          <w:p w14:paraId="287857A6"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where</w:t>
            </w:r>
          </w:p>
          <w:p w14:paraId="2BC73108"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GAA is the access amount for the quota year minus the set-aside amount</w:t>
            </w:r>
          </w:p>
          <w:p w14:paraId="13B0BC74"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ARME is the weight of an exporter’s regulated market exports for a category of dairy produce during the previous 3 financial years</w:t>
            </w:r>
          </w:p>
          <w:p w14:paraId="7E3A589F"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TRME is the total weight of regulated market exports for a category of dairy produce during the previous 3 financial years</w:t>
            </w:r>
          </w:p>
          <w:p w14:paraId="1F66CB97"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AGE is the weight of an exporter’s global exports for a category of dairy produce during the previous 3 financial years</w:t>
            </w:r>
          </w:p>
          <w:p w14:paraId="459D3533"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 xml:space="preserve">TGE is the total weight of global exports for a category of dairy produce during the </w:t>
            </w:r>
            <w:r w:rsidRPr="00EC4659">
              <w:rPr>
                <w:rFonts w:ascii="Cambria" w:eastAsia="Times" w:hAnsi="Cambria"/>
                <w:sz w:val="18"/>
                <w:lang w:eastAsia="en-AU"/>
              </w:rPr>
              <w:lastRenderedPageBreak/>
              <w:t>previous 3 financial years</w:t>
            </w:r>
            <w:r w:rsidRPr="00EC4659">
              <w:rPr>
                <w:rFonts w:ascii="Cambria" w:eastAsia="Times" w:hAnsi="Cambria"/>
                <w:sz w:val="18"/>
                <w:lang w:eastAsia="en-AU"/>
              </w:rPr>
              <w:br/>
            </w:r>
          </w:p>
          <w:p w14:paraId="3B0EBB19"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Exporter allocations less than 60 tonnes are considered </w:t>
            </w:r>
            <w:r w:rsidRPr="00EC4659">
              <w:rPr>
                <w:rFonts w:ascii="Cambria" w:hAnsi="Cambria"/>
                <w:i/>
                <w:sz w:val="20"/>
                <w:lang w:eastAsia="en-AU"/>
              </w:rPr>
              <w:t>small applicants</w:t>
            </w:r>
            <w:r w:rsidRPr="00EC4659">
              <w:rPr>
                <w:rFonts w:ascii="Cambria" w:hAnsi="Cambria"/>
                <w:sz w:val="20"/>
                <w:lang w:eastAsia="en-AU"/>
              </w:rPr>
              <w:t>. The set-aside amount is divided between small applicants who received less than their requested amount and/or 60 tonnes.</w:t>
            </w:r>
          </w:p>
          <w:p w14:paraId="3F2C7231"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If there is any set-aside amount remaining after allocating to all small applicants, allocate the remainder to eligible applicants that have not reached their max allocation.</w:t>
            </w:r>
          </w:p>
          <w:p w14:paraId="27259FEA"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Historical export-weighted calculation (with zero set-aside amount)</w:t>
            </w:r>
          </w:p>
          <w:p w14:paraId="69748CE0" w14:textId="77777777" w:rsidR="00EC4659" w:rsidRPr="00EC4659" w:rsidRDefault="00EC4659" w:rsidP="00EC4659">
            <w:pPr>
              <w:spacing w:before="60" w:after="200" w:line="276" w:lineRule="auto"/>
              <w:rPr>
                <w:rFonts w:ascii="Cambria" w:hAnsi="Cambria"/>
                <w:sz w:val="20"/>
                <w:lang w:eastAsia="en-AU"/>
              </w:rPr>
            </w:pPr>
            <m:oMathPara>
              <m:oMath>
                <m:r>
                  <m:rPr>
                    <m:nor/>
                  </m:rPr>
                  <w:rPr>
                    <w:rFonts w:ascii="Cambria" w:hAnsi="Cambria"/>
                    <w:sz w:val="18"/>
                    <w:lang w:eastAsia="en-AU"/>
                  </w:rPr>
                  <m:t xml:space="preserve">AA × </m:t>
                </m:r>
                <m:d>
                  <m:dPr>
                    <m:ctrlPr>
                      <w:rPr>
                        <w:rFonts w:ascii="Cambria Math" w:hAnsi="Cambria Math"/>
                        <w:i/>
                        <w:sz w:val="18"/>
                        <w:lang w:eastAsia="en-AU"/>
                      </w:rPr>
                    </m:ctrlPr>
                  </m:dPr>
                  <m:e>
                    <m:d>
                      <m:dPr>
                        <m:ctrlPr>
                          <w:rPr>
                            <w:rFonts w:ascii="Cambria Math" w:hAnsi="Cambria Math"/>
                            <w:i/>
                            <w:sz w:val="18"/>
                            <w:lang w:eastAsia="en-AU"/>
                          </w:rPr>
                        </m:ctrlPr>
                      </m:dPr>
                      <m:e>
                        <m:f>
                          <m:fPr>
                            <m:ctrlPr>
                              <w:rPr>
                                <w:rFonts w:ascii="Cambria Math" w:hAnsi="Cambria Math"/>
                                <w:i/>
                                <w:sz w:val="18"/>
                                <w:lang w:eastAsia="en-AU"/>
                              </w:rPr>
                            </m:ctrlPr>
                          </m:fPr>
                          <m:num>
                            <m:r>
                              <m:rPr>
                                <m:nor/>
                              </m:rPr>
                              <w:rPr>
                                <w:rFonts w:ascii="Cambria" w:hAnsi="Cambria"/>
                                <w:sz w:val="18"/>
                                <w:lang w:eastAsia="en-AU"/>
                              </w:rPr>
                              <m:t>ARME</m:t>
                            </m:r>
                          </m:num>
                          <m:den>
                            <m:r>
                              <m:rPr>
                                <m:nor/>
                              </m:rPr>
                              <w:rPr>
                                <w:rFonts w:ascii="Cambria" w:hAnsi="Cambria"/>
                                <w:sz w:val="18"/>
                                <w:lang w:eastAsia="en-AU"/>
                              </w:rPr>
                              <m:t>TRME</m:t>
                            </m:r>
                          </m:den>
                        </m:f>
                        <m:r>
                          <m:rPr>
                            <m:nor/>
                          </m:rPr>
                          <w:rPr>
                            <w:rFonts w:ascii="Cambria" w:hAnsi="Cambria"/>
                            <w:sz w:val="18"/>
                            <w:lang w:eastAsia="en-AU"/>
                          </w:rPr>
                          <m:t xml:space="preserve"> +</m:t>
                        </m:r>
                        <m:f>
                          <m:fPr>
                            <m:ctrlPr>
                              <w:rPr>
                                <w:rFonts w:ascii="Cambria Math" w:hAnsi="Cambria Math"/>
                                <w:i/>
                                <w:sz w:val="18"/>
                                <w:lang w:eastAsia="en-AU"/>
                              </w:rPr>
                            </m:ctrlPr>
                          </m:fPr>
                          <m:num>
                            <m:r>
                              <m:rPr>
                                <m:nor/>
                              </m:rPr>
                              <w:rPr>
                                <w:rFonts w:ascii="Cambria" w:hAnsi="Cambria"/>
                                <w:sz w:val="18"/>
                                <w:lang w:eastAsia="en-AU"/>
                              </w:rPr>
                              <m:t>AGE</m:t>
                            </m:r>
                          </m:num>
                          <m:den>
                            <m:r>
                              <m:rPr>
                                <m:nor/>
                              </m:rPr>
                              <w:rPr>
                                <w:rFonts w:ascii="Cambria" w:hAnsi="Cambria"/>
                                <w:sz w:val="18"/>
                                <w:lang w:eastAsia="en-AU"/>
                              </w:rPr>
                              <m:t>TGE</m:t>
                            </m:r>
                          </m:den>
                        </m:f>
                      </m:e>
                    </m:d>
                    <m:r>
                      <m:rPr>
                        <m:nor/>
                      </m:rPr>
                      <w:rPr>
                        <w:rFonts w:ascii="Cambria" w:hAnsi="Cambria"/>
                        <w:sz w:val="18"/>
                        <w:lang w:eastAsia="en-AU"/>
                      </w:rPr>
                      <m:t>÷2</m:t>
                    </m:r>
                  </m:e>
                </m:d>
              </m:oMath>
            </m:oMathPara>
          </w:p>
          <w:p w14:paraId="374D6868"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where</w:t>
            </w:r>
          </w:p>
          <w:p w14:paraId="2FAB415D"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TAA is the access amount for the quota year</w:t>
            </w:r>
          </w:p>
          <w:p w14:paraId="57F74F9F"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ARME is the weight of an exporter’s regulated market exports for a category of dairy produce during the previous 3 financial years</w:t>
            </w:r>
          </w:p>
          <w:p w14:paraId="45B66180"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 xml:space="preserve">TRME is the total weight of regulated market exports for a category of dairy produce </w:t>
            </w:r>
            <w:r w:rsidRPr="00EC4659">
              <w:rPr>
                <w:rFonts w:ascii="Cambria" w:eastAsia="Times" w:hAnsi="Cambria"/>
                <w:sz w:val="18"/>
                <w:lang w:eastAsia="en-AU"/>
              </w:rPr>
              <w:lastRenderedPageBreak/>
              <w:t>during the previous 3 financial years</w:t>
            </w:r>
          </w:p>
          <w:p w14:paraId="00C74412"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AGE is the weight of an exporter’s global exports for a category of dairy produce during the previous 3 financial years</w:t>
            </w:r>
          </w:p>
          <w:p w14:paraId="778B0E79"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TGE is the total weight of global exports for a category of dairy produce during the previous 3 financial years</w:t>
            </w:r>
          </w:p>
          <w:p w14:paraId="2CB7310B"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Subsequent allocation:</w:t>
            </w:r>
          </w:p>
          <w:p w14:paraId="0AE14665"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First-come first-serve</w:t>
            </w:r>
          </w:p>
          <w:p w14:paraId="7F564A88"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 xml:space="preserve">Unallocated tariff quota entitlements are available at any time during the year where unallocated quota exists.  Consignment information is required (but not the consignment application(s)). </w:t>
            </w:r>
          </w:p>
        </w:tc>
        <w:tc>
          <w:tcPr>
            <w:tcW w:w="2977" w:type="dxa"/>
          </w:tcPr>
          <w:p w14:paraId="2C764C4D"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i/>
                <w:sz w:val="20"/>
                <w:lang w:eastAsia="en-AU"/>
              </w:rPr>
              <w:lastRenderedPageBreak/>
              <w:t>Preliminary allocation:</w:t>
            </w:r>
          </w:p>
          <w:p w14:paraId="5159FA6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Historical export-weighted calculation:</w:t>
            </w:r>
            <w:r w:rsidRPr="00EC4659">
              <w:rPr>
                <w:rFonts w:ascii="Cambria" w:hAnsi="Cambria"/>
                <w:sz w:val="20"/>
                <w:lang w:eastAsia="en-AU"/>
              </w:rPr>
              <w:br/>
            </w:r>
          </w:p>
          <w:p w14:paraId="03E8A98D" w14:textId="77777777" w:rsidR="00EC4659" w:rsidRPr="00EC4659" w:rsidRDefault="00EC4659" w:rsidP="00EC4659">
            <w:pPr>
              <w:spacing w:before="60" w:after="200" w:line="276" w:lineRule="auto"/>
              <w:rPr>
                <w:rFonts w:ascii="Cambria Math" w:hAnsi="Cambria Math"/>
                <w:sz w:val="18"/>
                <w:szCs w:val="18"/>
                <w:lang w:eastAsia="en-AU"/>
                <w:oMath/>
              </w:rPr>
            </w:pPr>
            <m:oMathPara>
              <m:oMath>
                <m:r>
                  <m:rPr>
                    <m:nor/>
                  </m:rPr>
                  <w:rPr>
                    <w:rFonts w:ascii="Cambria" w:hAnsi="Cambria"/>
                    <w:sz w:val="18"/>
                    <w:szCs w:val="18"/>
                    <w:lang w:eastAsia="en-AU"/>
                  </w:rPr>
                  <m:t xml:space="preserve">(AA </m:t>
                </m:r>
                <m:r>
                  <m:rPr>
                    <m:sty m:val="p"/>
                  </m:rPr>
                  <w:rPr>
                    <w:rFonts w:ascii="Cambria Math" w:hAnsi="Cambria Math"/>
                    <w:sz w:val="18"/>
                    <w:szCs w:val="18"/>
                    <w:lang w:eastAsia="en-AU"/>
                  </w:rPr>
                  <m:t>-</m:t>
                </m:r>
                <m:r>
                  <m:rPr>
                    <m:nor/>
                  </m:rPr>
                  <w:rPr>
                    <w:rFonts w:ascii="Cambria" w:hAnsi="Cambria"/>
                    <w:sz w:val="18"/>
                    <w:szCs w:val="18"/>
                    <w:lang w:eastAsia="en-AU"/>
                  </w:rPr>
                  <m:t xml:space="preserve"> 500 tonnes) ×  </m:t>
                </m:r>
                <m:f>
                  <m:fPr>
                    <m:ctrlPr>
                      <w:rPr>
                        <w:rFonts w:ascii="Cambria Math" w:hAnsi="Cambria Math"/>
                        <w:i/>
                        <w:sz w:val="18"/>
                        <w:szCs w:val="18"/>
                        <w:lang w:eastAsia="en-AU"/>
                      </w:rPr>
                    </m:ctrlPr>
                  </m:fPr>
                  <m:num>
                    <m:r>
                      <m:rPr>
                        <m:nor/>
                      </m:rPr>
                      <w:rPr>
                        <w:rFonts w:ascii="Cambria" w:hAnsi="Cambria"/>
                        <w:sz w:val="18"/>
                        <w:szCs w:val="18"/>
                        <w:lang w:eastAsia="en-AU"/>
                      </w:rPr>
                      <m:t>ERS</m:t>
                    </m:r>
                  </m:num>
                  <m:den>
                    <m:r>
                      <m:rPr>
                        <m:nor/>
                      </m:rPr>
                      <w:rPr>
                        <w:rFonts w:ascii="Cambria" w:hAnsi="Cambria"/>
                        <w:sz w:val="18"/>
                        <w:szCs w:val="18"/>
                        <w:lang w:eastAsia="en-AU"/>
                      </w:rPr>
                      <m:t>TRS</m:t>
                    </m:r>
                  </m:den>
                </m:f>
              </m:oMath>
            </m:oMathPara>
          </w:p>
          <w:p w14:paraId="0FBD2F10"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where</w:t>
            </w:r>
          </w:p>
          <w:p w14:paraId="67C32C10"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AA is the access amount for the quota year;</w:t>
            </w:r>
          </w:p>
          <w:p w14:paraId="457E44F1"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ERS is the total weight of an exporter’s exports of HGB to the EU over the previous 38 months prior the start of the quota year</w:t>
            </w:r>
          </w:p>
          <w:p w14:paraId="1827B74E"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TRS is the total weight of all exporters’ exports of HGB to the EU over the previous 38 months prior the start of the quota year</w:t>
            </w:r>
          </w:p>
          <w:p w14:paraId="46AFF870" w14:textId="77777777" w:rsidR="00EC4659" w:rsidRPr="00EC4659" w:rsidRDefault="00EC4659" w:rsidP="00EC4659">
            <w:pPr>
              <w:spacing w:before="60" w:after="200" w:line="276" w:lineRule="auto"/>
              <w:rPr>
                <w:rFonts w:ascii="Cambria" w:hAnsi="Cambria"/>
                <w:sz w:val="20"/>
                <w:lang w:eastAsia="en-AU"/>
              </w:rPr>
            </w:pPr>
          </w:p>
          <w:p w14:paraId="67DAB701"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Standard quota allocations are calculated from the above formula. New entrants are allocated </w:t>
            </w:r>
            <w:r w:rsidRPr="00EC4659">
              <w:rPr>
                <w:rFonts w:ascii="Cambria" w:hAnsi="Cambria"/>
                <w:i/>
                <w:sz w:val="20"/>
                <w:lang w:eastAsia="en-AU"/>
              </w:rPr>
              <w:t xml:space="preserve">non-standard </w:t>
            </w:r>
            <w:r w:rsidRPr="00EC4659">
              <w:rPr>
                <w:rFonts w:ascii="Cambria" w:hAnsi="Cambria"/>
                <w:sz w:val="20"/>
                <w:lang w:eastAsia="en-AU"/>
              </w:rPr>
              <w:t>TRQ entitlements from the set-aside access amount (equal to 500 tonnes).</w:t>
            </w:r>
          </w:p>
          <w:p w14:paraId="4CAB84C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lastRenderedPageBreak/>
              <w:t>Standard quota holders are also eligible for additional non-standard quota allocations, subject to a number of qualifying conditions (section 13)</w:t>
            </w:r>
          </w:p>
          <w:p w14:paraId="6B123B02" w14:textId="77777777" w:rsidR="00EC4659" w:rsidRPr="00EC4659" w:rsidRDefault="00EC4659" w:rsidP="00EC4659">
            <w:pPr>
              <w:spacing w:before="60" w:after="200" w:line="276" w:lineRule="auto"/>
              <w:rPr>
                <w:rFonts w:ascii="Cambria" w:hAnsi="Cambria"/>
                <w:i/>
                <w:sz w:val="20"/>
                <w:lang w:eastAsia="en-AU"/>
              </w:rPr>
            </w:pPr>
          </w:p>
          <w:p w14:paraId="356E9EB5"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Subsequent allocation:</w:t>
            </w:r>
          </w:p>
          <w:p w14:paraId="6FCB5DA4"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Supplementary</w:t>
            </w:r>
          </w:p>
          <w:p w14:paraId="67D45F40"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Any unallocated quota (including any remaining set aside amount) becomes supplementary.</w:t>
            </w:r>
          </w:p>
          <w:p w14:paraId="5957120F"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Supplementary quota entitlements are equal to an exporter’s application for standard quota allocation less the actual standard quota allocated to the exporter</w:t>
            </w:r>
          </w:p>
          <w:p w14:paraId="7C5CB44B"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Only standard quota holders, which were not eligible for non-standard quota entitlements, are eligible for supplementary allocations.</w:t>
            </w:r>
          </w:p>
          <w:p w14:paraId="0B7DA234" w14:textId="77777777" w:rsidR="00EC4659" w:rsidRPr="00EC4659" w:rsidRDefault="00EC4659" w:rsidP="00EC4659">
            <w:pPr>
              <w:spacing w:before="60" w:after="200" w:line="276" w:lineRule="auto"/>
              <w:rPr>
                <w:rFonts w:ascii="Cambria" w:hAnsi="Cambria"/>
                <w:sz w:val="18"/>
                <w:lang w:eastAsia="en-AU"/>
              </w:rPr>
            </w:pPr>
          </w:p>
          <w:p w14:paraId="6DC4493A"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First-come first-served </w:t>
            </w:r>
          </w:p>
          <w:p w14:paraId="1E3A39F2"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 xml:space="preserve">Unallocated tariff quota entitlements are available for allocation to those who apply before 16 February in the quota year. This is allocated proportionally based the number of exporters who requested it and the amounts </w:t>
            </w:r>
            <w:r w:rsidRPr="00EC4659">
              <w:rPr>
                <w:rFonts w:ascii="Cambria" w:eastAsia="Times" w:hAnsi="Cambria"/>
                <w:sz w:val="18"/>
                <w:lang w:eastAsia="en-AU"/>
              </w:rPr>
              <w:lastRenderedPageBreak/>
              <w:t>requested – not a true FCFS process.</w:t>
            </w:r>
          </w:p>
          <w:p w14:paraId="3ACDC6C4" w14:textId="77777777" w:rsidR="00EC4659" w:rsidRPr="00EC4659" w:rsidRDefault="00EC4659" w:rsidP="00EC4659">
            <w:pPr>
              <w:spacing w:before="60" w:after="200" w:line="276" w:lineRule="auto"/>
              <w:rPr>
                <w:rFonts w:ascii="Cambria" w:hAnsi="Cambria"/>
                <w:sz w:val="18"/>
                <w:lang w:eastAsia="en-AU"/>
              </w:rPr>
            </w:pPr>
          </w:p>
          <w:p w14:paraId="034F1C7B" w14:textId="77777777" w:rsidR="00EC4659" w:rsidRPr="00EC4659" w:rsidRDefault="00EC4659" w:rsidP="00EC4659">
            <w:pPr>
              <w:spacing w:before="60" w:after="200" w:line="276" w:lineRule="auto"/>
              <w:rPr>
                <w:rFonts w:ascii="Cambria" w:hAnsi="Cambria"/>
                <w:sz w:val="20"/>
                <w:lang w:eastAsia="en-AU"/>
              </w:rPr>
            </w:pPr>
          </w:p>
        </w:tc>
        <w:tc>
          <w:tcPr>
            <w:tcW w:w="2972" w:type="dxa"/>
          </w:tcPr>
          <w:p w14:paraId="0D0454E8"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lastRenderedPageBreak/>
              <w:t>Preliminary allocation</w:t>
            </w:r>
          </w:p>
          <w:p w14:paraId="7A3A00ED"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Historical export-weighted calculation</w:t>
            </w:r>
            <w:r w:rsidRPr="00EC4659">
              <w:rPr>
                <w:rFonts w:ascii="Cambria" w:hAnsi="Cambria"/>
                <w:sz w:val="20"/>
                <w:lang w:eastAsia="en-AU"/>
              </w:rPr>
              <w:br/>
            </w:r>
          </w:p>
          <w:p w14:paraId="1E428139" w14:textId="77777777" w:rsidR="00EC4659" w:rsidRPr="00EC4659" w:rsidRDefault="00EC4659" w:rsidP="00EC4659">
            <w:pPr>
              <w:spacing w:before="60" w:after="200" w:line="276" w:lineRule="auto"/>
              <w:rPr>
                <w:rFonts w:ascii="Cambria" w:eastAsia="SimSun" w:hAnsi="Cambria"/>
                <w:sz w:val="18"/>
                <w:lang w:eastAsia="en-AU"/>
              </w:rPr>
            </w:pPr>
            <m:oMathPara>
              <m:oMath>
                <m:r>
                  <m:rPr>
                    <m:nor/>
                  </m:rPr>
                  <w:rPr>
                    <w:rFonts w:ascii="Cambria" w:hAnsi="Cambria"/>
                    <w:sz w:val="18"/>
                    <w:lang w:eastAsia="en-AU"/>
                  </w:rPr>
                  <m:t xml:space="preserve">0.8 × AA × </m:t>
                </m:r>
                <m:f>
                  <m:fPr>
                    <m:ctrlPr>
                      <w:rPr>
                        <w:rFonts w:ascii="Cambria Math" w:hAnsi="Cambria Math"/>
                        <w:i/>
                        <w:sz w:val="18"/>
                        <w:lang w:eastAsia="en-AU"/>
                      </w:rPr>
                    </m:ctrlPr>
                  </m:fPr>
                  <m:num>
                    <m:r>
                      <m:rPr>
                        <m:nor/>
                      </m:rPr>
                      <w:rPr>
                        <w:rFonts w:ascii="Cambria" w:hAnsi="Cambria"/>
                        <w:sz w:val="18"/>
                        <w:lang w:eastAsia="en-AU"/>
                      </w:rPr>
                      <m:t>TE</m:t>
                    </m:r>
                  </m:num>
                  <m:den>
                    <m:r>
                      <m:rPr>
                        <m:nor/>
                      </m:rPr>
                      <w:rPr>
                        <w:rFonts w:ascii="Cambria" w:hAnsi="Cambria"/>
                        <w:sz w:val="18"/>
                        <w:lang w:eastAsia="en-AU"/>
                      </w:rPr>
                      <m:t>TA</m:t>
                    </m:r>
                  </m:den>
                </m:f>
                <m:r>
                  <m:rPr>
                    <m:nor/>
                  </m:rPr>
                  <w:rPr>
                    <w:rFonts w:ascii="Cambria" w:hAnsi="Cambria"/>
                    <w:sz w:val="18"/>
                    <w:lang w:eastAsia="en-AU"/>
                  </w:rPr>
                  <m:t xml:space="preserve">+0.2 × AA × </m:t>
                </m:r>
                <m:f>
                  <m:fPr>
                    <m:ctrlPr>
                      <w:rPr>
                        <w:rFonts w:ascii="Cambria Math" w:hAnsi="Cambria Math"/>
                        <w:i/>
                        <w:sz w:val="18"/>
                        <w:lang w:eastAsia="en-AU"/>
                      </w:rPr>
                    </m:ctrlPr>
                  </m:fPr>
                  <m:num>
                    <m:r>
                      <m:rPr>
                        <m:nor/>
                      </m:rPr>
                      <w:rPr>
                        <w:rFonts w:ascii="Cambria" w:hAnsi="Cambria"/>
                        <w:sz w:val="18"/>
                        <w:lang w:eastAsia="en-AU"/>
                      </w:rPr>
                      <m:t>EU</m:t>
                    </m:r>
                  </m:num>
                  <m:den>
                    <m:r>
                      <m:rPr>
                        <m:nor/>
                      </m:rPr>
                      <w:rPr>
                        <w:rFonts w:ascii="Cambria" w:hAnsi="Cambria"/>
                        <w:sz w:val="18"/>
                        <w:lang w:eastAsia="en-AU"/>
                      </w:rPr>
                      <m:t>TU</m:t>
                    </m:r>
                  </m:den>
                </m:f>
              </m:oMath>
            </m:oMathPara>
          </w:p>
          <w:p w14:paraId="78641915" w14:textId="77777777" w:rsidR="00EC4659" w:rsidRPr="00EC4659" w:rsidRDefault="00EC4659" w:rsidP="00EC4659">
            <w:pPr>
              <w:spacing w:before="60" w:after="200" w:line="276" w:lineRule="auto"/>
              <w:rPr>
                <w:rFonts w:ascii="Cambria" w:eastAsia="SimSun" w:hAnsi="Cambria"/>
                <w:sz w:val="18"/>
                <w:lang w:eastAsia="en-AU"/>
              </w:rPr>
            </w:pPr>
            <w:r w:rsidRPr="00EC4659">
              <w:rPr>
                <w:rFonts w:ascii="Cambria" w:eastAsia="SimSun" w:hAnsi="Cambria"/>
                <w:sz w:val="18"/>
                <w:lang w:eastAsia="en-AU"/>
              </w:rPr>
              <w:t>where</w:t>
            </w:r>
          </w:p>
          <w:p w14:paraId="33232F5E"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AA is the access amount for the quota year;</w:t>
            </w:r>
          </w:p>
          <w:p w14:paraId="67DD02FC"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TE is the weight of the exporter’s quota meat exports in the previous quota year</w:t>
            </w:r>
          </w:p>
          <w:p w14:paraId="24C87595"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TA is the total weight of all quota meat exports in the previous quota year</w:t>
            </w:r>
          </w:p>
          <w:p w14:paraId="3953AE85"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 xml:space="preserve">EU is the weight of the exporter’s exports of </w:t>
            </w:r>
            <w:proofErr w:type="spellStart"/>
            <w:r w:rsidRPr="00EC4659">
              <w:rPr>
                <w:rFonts w:ascii="Cambria" w:eastAsia="Times" w:hAnsi="Cambria"/>
                <w:sz w:val="18"/>
                <w:lang w:eastAsia="en-AU"/>
              </w:rPr>
              <w:t>sheepmeat</w:t>
            </w:r>
            <w:proofErr w:type="spellEnd"/>
            <w:r w:rsidRPr="00EC4659">
              <w:rPr>
                <w:rFonts w:ascii="Cambria" w:eastAsia="Times" w:hAnsi="Cambria"/>
                <w:sz w:val="18"/>
                <w:lang w:eastAsia="en-AU"/>
              </w:rPr>
              <w:t xml:space="preserve"> and </w:t>
            </w:r>
            <w:proofErr w:type="spellStart"/>
            <w:r w:rsidRPr="00EC4659">
              <w:rPr>
                <w:rFonts w:ascii="Cambria" w:eastAsia="Times" w:hAnsi="Cambria"/>
                <w:sz w:val="18"/>
                <w:lang w:eastAsia="en-AU"/>
              </w:rPr>
              <w:t>goatmeat</w:t>
            </w:r>
            <w:proofErr w:type="spellEnd"/>
            <w:r w:rsidRPr="00EC4659">
              <w:rPr>
                <w:rFonts w:ascii="Cambria" w:eastAsia="Times" w:hAnsi="Cambria"/>
                <w:sz w:val="18"/>
                <w:lang w:eastAsia="en-AU"/>
              </w:rPr>
              <w:t xml:space="preserve"> from an EU-accredited establishment in the previous quota year</w:t>
            </w:r>
          </w:p>
          <w:p w14:paraId="5A5AF28A"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 xml:space="preserve">TU is the total weight of exports of </w:t>
            </w:r>
            <w:proofErr w:type="spellStart"/>
            <w:r w:rsidRPr="00EC4659">
              <w:rPr>
                <w:rFonts w:ascii="Cambria" w:eastAsia="Times" w:hAnsi="Cambria"/>
                <w:sz w:val="18"/>
                <w:lang w:eastAsia="en-AU"/>
              </w:rPr>
              <w:t>sheepmeat</w:t>
            </w:r>
            <w:proofErr w:type="spellEnd"/>
            <w:r w:rsidRPr="00EC4659">
              <w:rPr>
                <w:rFonts w:ascii="Cambria" w:eastAsia="Times" w:hAnsi="Cambria"/>
                <w:sz w:val="18"/>
                <w:lang w:eastAsia="en-AU"/>
              </w:rPr>
              <w:t xml:space="preserve"> and </w:t>
            </w:r>
            <w:proofErr w:type="spellStart"/>
            <w:r w:rsidRPr="00EC4659">
              <w:rPr>
                <w:rFonts w:ascii="Cambria" w:eastAsia="Times" w:hAnsi="Cambria"/>
                <w:sz w:val="18"/>
                <w:lang w:eastAsia="en-AU"/>
              </w:rPr>
              <w:t>goatmeat</w:t>
            </w:r>
            <w:proofErr w:type="spellEnd"/>
            <w:r w:rsidRPr="00EC4659">
              <w:rPr>
                <w:rFonts w:ascii="Cambria" w:eastAsia="Times" w:hAnsi="Cambria"/>
                <w:sz w:val="18"/>
                <w:lang w:eastAsia="en-AU"/>
              </w:rPr>
              <w:t xml:space="preserve"> from an EU-accredited establishment in the previous quota year</w:t>
            </w:r>
          </w:p>
          <w:p w14:paraId="6E178A3F" w14:textId="77777777" w:rsidR="00EC4659" w:rsidRPr="00EC4659" w:rsidRDefault="00EC4659" w:rsidP="00EC4659">
            <w:pPr>
              <w:spacing w:before="60" w:after="200" w:line="276" w:lineRule="auto"/>
              <w:rPr>
                <w:rFonts w:ascii="Cambria" w:hAnsi="Cambria"/>
                <w:sz w:val="18"/>
                <w:lang w:eastAsia="en-AU"/>
              </w:rPr>
            </w:pPr>
          </w:p>
          <w:p w14:paraId="181F853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Calculated allocations under 12 tonnes are void and </w:t>
            </w:r>
            <w:r w:rsidRPr="00EC4659">
              <w:rPr>
                <w:rFonts w:ascii="Cambria" w:hAnsi="Cambria"/>
                <w:sz w:val="20"/>
                <w:lang w:eastAsia="en-AU"/>
              </w:rPr>
              <w:lastRenderedPageBreak/>
              <w:t>redistributed proportionally to eligible applicants.</w:t>
            </w:r>
          </w:p>
          <w:p w14:paraId="0C46E31B" w14:textId="77777777" w:rsidR="00EC4659" w:rsidRPr="00EC4659" w:rsidRDefault="00EC4659" w:rsidP="00EC4659">
            <w:pPr>
              <w:spacing w:before="60" w:after="200" w:line="276" w:lineRule="auto"/>
              <w:rPr>
                <w:rFonts w:ascii="Cambria" w:hAnsi="Cambria"/>
                <w:sz w:val="18"/>
                <w:lang w:eastAsia="en-AU"/>
              </w:rPr>
            </w:pPr>
          </w:p>
          <w:p w14:paraId="16833EE7"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 xml:space="preserve">Subsequent allocation </w:t>
            </w:r>
          </w:p>
          <w:p w14:paraId="4410F152"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First-come first served</w:t>
            </w:r>
          </w:p>
          <w:p w14:paraId="5906A29E"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All unused quota allocation after 31 October in a quota year which has not been identified to be used is considered lapsed and eligible for reallocation on a FCFS basis. </w:t>
            </w:r>
          </w:p>
        </w:tc>
        <w:tc>
          <w:tcPr>
            <w:tcW w:w="2551" w:type="dxa"/>
          </w:tcPr>
          <w:p w14:paraId="6E995A57"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lastRenderedPageBreak/>
              <w:t>Pre trigger threshold (&lt;85%):</w:t>
            </w:r>
          </w:p>
          <w:p w14:paraId="0C2BBEBC"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First-come first served</w:t>
            </w:r>
          </w:p>
          <w:p w14:paraId="0540E0FB"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Tariff quotas must be allocated on request, subject to: a) the total weight allocated is not more than the access amount; b) the trigger threshold has not been met; and c) approving allocation will not result in the trigger threshold being reached</w:t>
            </w:r>
          </w:p>
          <w:p w14:paraId="2503B6E1" w14:textId="77777777" w:rsidR="00EC4659" w:rsidRPr="00EC4659" w:rsidRDefault="00EC4659" w:rsidP="00EC4659">
            <w:pPr>
              <w:spacing w:before="60" w:after="200" w:line="276" w:lineRule="auto"/>
              <w:rPr>
                <w:rFonts w:ascii="Cambria" w:hAnsi="Cambria"/>
                <w:i/>
                <w:sz w:val="20"/>
                <w:lang w:eastAsia="en-AU"/>
              </w:rPr>
            </w:pPr>
          </w:p>
          <w:p w14:paraId="1A8BAA56"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Post trigger threshold:</w:t>
            </w:r>
          </w:p>
          <w:p w14:paraId="7B125B7D"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Export-weighted calculation</w:t>
            </w:r>
            <w:r w:rsidRPr="00EC4659">
              <w:rPr>
                <w:rFonts w:ascii="Cambria" w:hAnsi="Cambria"/>
                <w:sz w:val="20"/>
                <w:lang w:eastAsia="en-AU"/>
              </w:rPr>
              <w:br/>
            </w:r>
          </w:p>
          <w:p w14:paraId="0A4CB7BC" w14:textId="77777777" w:rsidR="00EC4659" w:rsidRPr="00EC4659" w:rsidRDefault="00EC4659" w:rsidP="00EC4659">
            <w:pPr>
              <w:spacing w:before="60" w:after="200" w:line="276" w:lineRule="auto"/>
              <w:rPr>
                <w:rFonts w:ascii="Cambria" w:eastAsia="SimSun" w:hAnsi="Cambria"/>
                <w:sz w:val="18"/>
                <w:lang w:eastAsia="en-AU"/>
              </w:rPr>
            </w:pPr>
            <m:oMathPara>
              <m:oMath>
                <m:r>
                  <m:rPr>
                    <m:nor/>
                  </m:rPr>
                  <w:rPr>
                    <w:rFonts w:ascii="Cambria" w:hAnsi="Cambria"/>
                    <w:sz w:val="18"/>
                    <w:lang w:eastAsia="en-AU"/>
                  </w:rPr>
                  <m:t xml:space="preserve">0.15 × AA × </m:t>
                </m:r>
                <m:f>
                  <m:fPr>
                    <m:ctrlPr>
                      <w:rPr>
                        <w:rFonts w:ascii="Cambria Math" w:hAnsi="Cambria Math"/>
                        <w:i/>
                        <w:sz w:val="18"/>
                        <w:lang w:eastAsia="en-AU"/>
                      </w:rPr>
                    </m:ctrlPr>
                  </m:fPr>
                  <m:num>
                    <m:r>
                      <m:rPr>
                        <m:nor/>
                      </m:rPr>
                      <w:rPr>
                        <w:rFonts w:ascii="Cambria" w:hAnsi="Cambria"/>
                        <w:sz w:val="18"/>
                        <w:lang w:eastAsia="en-AU"/>
                      </w:rPr>
                      <m:t>TE</m:t>
                    </m:r>
                  </m:num>
                  <m:den>
                    <m:r>
                      <m:rPr>
                        <m:nor/>
                      </m:rPr>
                      <w:rPr>
                        <w:rFonts w:ascii="Cambria" w:hAnsi="Cambria"/>
                        <w:sz w:val="18"/>
                        <w:lang w:eastAsia="en-AU"/>
                      </w:rPr>
                      <m:t>TA</m:t>
                    </m:r>
                  </m:den>
                </m:f>
              </m:oMath>
            </m:oMathPara>
          </w:p>
          <w:p w14:paraId="3C315B5F"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where</w:t>
            </w:r>
          </w:p>
          <w:p w14:paraId="4C8B2E91"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AA is the access amount for the quota year;</w:t>
            </w:r>
          </w:p>
          <w:p w14:paraId="12864F77"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TA is the total of all eligible exports in the quota year;</w:t>
            </w:r>
          </w:p>
          <w:p w14:paraId="45A33317" w14:textId="77777777" w:rsidR="00EC4659" w:rsidRPr="00EC4659" w:rsidRDefault="00EC4659" w:rsidP="00EC4659">
            <w:pPr>
              <w:spacing w:before="60" w:line="240" w:lineRule="auto"/>
              <w:ind w:left="380"/>
              <w:contextualSpacing/>
              <w:rPr>
                <w:rFonts w:ascii="Cambria" w:eastAsia="Times" w:hAnsi="Cambria"/>
                <w:sz w:val="18"/>
                <w:lang w:eastAsia="en-AU"/>
              </w:rPr>
            </w:pPr>
          </w:p>
          <w:p w14:paraId="20EBCF4D" w14:textId="77777777" w:rsidR="00EC4659" w:rsidRPr="00EC4659" w:rsidRDefault="00EC4659" w:rsidP="00EC4659">
            <w:pPr>
              <w:spacing w:before="60" w:after="200" w:line="276" w:lineRule="auto"/>
              <w:rPr>
                <w:rFonts w:ascii="Cambria" w:hAnsi="Cambria"/>
                <w:sz w:val="18"/>
                <w:lang w:eastAsia="en-AU"/>
              </w:rPr>
            </w:pPr>
            <w:r w:rsidRPr="00EC4659">
              <w:rPr>
                <w:rFonts w:ascii="Cambria" w:hAnsi="Cambria"/>
                <w:sz w:val="18"/>
                <w:lang w:eastAsia="en-AU"/>
              </w:rPr>
              <w:t>TE is the total of the exporter’s eligible exports in the quota year</w:t>
            </w:r>
          </w:p>
          <w:p w14:paraId="117C7D90"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Exporters are notified of allocation.  </w:t>
            </w:r>
          </w:p>
          <w:p w14:paraId="6FE9C6D1" w14:textId="77777777" w:rsidR="00EC4659" w:rsidRPr="00EC4659" w:rsidRDefault="00EC4659" w:rsidP="000F6D46">
            <w:pPr>
              <w:numPr>
                <w:ilvl w:val="0"/>
                <w:numId w:val="74"/>
              </w:numPr>
              <w:spacing w:before="60" w:after="160" w:line="240" w:lineRule="auto"/>
              <w:ind w:left="380" w:hanging="284"/>
              <w:contextualSpacing/>
              <w:rPr>
                <w:rFonts w:ascii="Cambria" w:hAnsi="Cambria"/>
                <w:sz w:val="18"/>
                <w:szCs w:val="18"/>
                <w:lang w:eastAsia="en-AU"/>
              </w:rPr>
            </w:pPr>
            <w:r w:rsidRPr="00EC4659">
              <w:rPr>
                <w:rFonts w:ascii="Cambria" w:hAnsi="Cambria"/>
                <w:sz w:val="18"/>
                <w:szCs w:val="18"/>
                <w:lang w:eastAsia="en-AU"/>
              </w:rPr>
              <w:t>If they want all or part of the allocation they must advise</w:t>
            </w:r>
          </w:p>
          <w:p w14:paraId="767D2108" w14:textId="77777777" w:rsidR="00EC4659" w:rsidRPr="00EC4659" w:rsidRDefault="00EC4659" w:rsidP="000F6D46">
            <w:pPr>
              <w:numPr>
                <w:ilvl w:val="0"/>
                <w:numId w:val="74"/>
              </w:numPr>
              <w:spacing w:before="60" w:after="160" w:line="240" w:lineRule="auto"/>
              <w:ind w:left="380" w:hanging="284"/>
              <w:contextualSpacing/>
              <w:rPr>
                <w:rFonts w:ascii="Cambria" w:hAnsi="Cambria"/>
                <w:sz w:val="18"/>
                <w:szCs w:val="18"/>
                <w:lang w:eastAsia="en-AU"/>
              </w:rPr>
            </w:pPr>
            <w:r w:rsidRPr="00EC4659">
              <w:rPr>
                <w:rFonts w:ascii="Cambria" w:hAnsi="Cambria"/>
                <w:sz w:val="18"/>
                <w:szCs w:val="18"/>
                <w:lang w:eastAsia="en-AU"/>
              </w:rPr>
              <w:t>If the exporter does not confirm they want the quota, it is not issued</w:t>
            </w:r>
          </w:p>
          <w:p w14:paraId="39691955" w14:textId="77777777" w:rsidR="00EC4659" w:rsidRPr="00EC4659" w:rsidRDefault="00EC4659" w:rsidP="000F6D46">
            <w:pPr>
              <w:numPr>
                <w:ilvl w:val="0"/>
                <w:numId w:val="74"/>
              </w:numPr>
              <w:spacing w:before="60" w:after="160" w:line="240" w:lineRule="auto"/>
              <w:ind w:left="380" w:hanging="284"/>
              <w:contextualSpacing/>
              <w:rPr>
                <w:rFonts w:ascii="Cambria" w:hAnsi="Cambria"/>
                <w:sz w:val="18"/>
                <w:szCs w:val="18"/>
                <w:lang w:eastAsia="en-AU"/>
              </w:rPr>
            </w:pPr>
            <w:r w:rsidRPr="00EC4659">
              <w:rPr>
                <w:rFonts w:ascii="Cambria" w:hAnsi="Cambria"/>
                <w:sz w:val="18"/>
                <w:szCs w:val="18"/>
                <w:lang w:eastAsia="en-AU"/>
              </w:rPr>
              <w:t>If the exporter advises they do not want all or part of the quota, that amount is returned.</w:t>
            </w:r>
          </w:p>
          <w:p w14:paraId="0FFD9B3D" w14:textId="77777777" w:rsidR="00EC4659" w:rsidRPr="00EC4659" w:rsidRDefault="00EC4659" w:rsidP="00EC4659">
            <w:pPr>
              <w:spacing w:before="60" w:line="240" w:lineRule="auto"/>
              <w:contextualSpacing/>
              <w:rPr>
                <w:rFonts w:ascii="Cambria" w:hAnsi="Cambria"/>
                <w:sz w:val="20"/>
                <w:lang w:eastAsia="en-AU"/>
              </w:rPr>
            </w:pPr>
          </w:p>
          <w:p w14:paraId="0F391FF8" w14:textId="77777777" w:rsidR="00EC4659" w:rsidRPr="00EC4659" w:rsidRDefault="00EC4659" w:rsidP="00EC4659">
            <w:pPr>
              <w:spacing w:before="60" w:line="240" w:lineRule="auto"/>
              <w:contextualSpacing/>
              <w:rPr>
                <w:rFonts w:ascii="Cambria" w:hAnsi="Cambria"/>
                <w:sz w:val="20"/>
                <w:lang w:eastAsia="en-AU"/>
              </w:rPr>
            </w:pPr>
            <w:r w:rsidRPr="00EC4659">
              <w:rPr>
                <w:rFonts w:ascii="Cambria" w:hAnsi="Cambria"/>
                <w:sz w:val="20"/>
                <w:lang w:eastAsia="en-AU"/>
              </w:rPr>
              <w:t>Any amount not claimed or returned becomes uncommitted and is available as FCFS (to those with no remaining allocation).</w:t>
            </w:r>
          </w:p>
        </w:tc>
        <w:tc>
          <w:tcPr>
            <w:tcW w:w="2557" w:type="dxa"/>
          </w:tcPr>
          <w:p w14:paraId="1D8C3866"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lastRenderedPageBreak/>
              <w:t>First-come first-served</w:t>
            </w:r>
          </w:p>
          <w:p w14:paraId="275C6996"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 xml:space="preserve">Tariff quotas are available as FCFS on an annual basis with the exception of Edible </w:t>
            </w:r>
            <w:r w:rsidRPr="00EC4659">
              <w:rPr>
                <w:rFonts w:eastAsia="Times"/>
                <w:sz w:val="18"/>
                <w:lang w:eastAsia="en-AU"/>
              </w:rPr>
              <w:t>Bovine Offal which divides the access amount to be available on a quarterly basis.</w:t>
            </w:r>
          </w:p>
        </w:tc>
      </w:tr>
      <w:tr w:rsidR="00EC4659" w:rsidRPr="00EC4659" w14:paraId="2FAEEB39" w14:textId="77777777" w:rsidTr="00EC4659">
        <w:tc>
          <w:tcPr>
            <w:tcW w:w="1696" w:type="dxa"/>
          </w:tcPr>
          <w:p w14:paraId="2C7D8EEF"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lastRenderedPageBreak/>
              <w:t>Minimum allocation</w:t>
            </w:r>
          </w:p>
        </w:tc>
        <w:tc>
          <w:tcPr>
            <w:tcW w:w="2840" w:type="dxa"/>
          </w:tcPr>
          <w:p w14:paraId="67E12B3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For a US WTO category – minimum application is 10 tonnes.</w:t>
            </w:r>
          </w:p>
        </w:tc>
        <w:tc>
          <w:tcPr>
            <w:tcW w:w="2977" w:type="dxa"/>
          </w:tcPr>
          <w:p w14:paraId="4444706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Minimum allocation of 1 tonne</w:t>
            </w:r>
          </w:p>
        </w:tc>
        <w:tc>
          <w:tcPr>
            <w:tcW w:w="2972" w:type="dxa"/>
          </w:tcPr>
          <w:p w14:paraId="109987A0"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Minimum allocation of 12 tonnes</w:t>
            </w:r>
          </w:p>
        </w:tc>
        <w:tc>
          <w:tcPr>
            <w:tcW w:w="2551" w:type="dxa"/>
          </w:tcPr>
          <w:p w14:paraId="6CF4B4ED"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Post trigger – minimum allocation of 1 tonne</w:t>
            </w:r>
          </w:p>
        </w:tc>
        <w:tc>
          <w:tcPr>
            <w:tcW w:w="2557" w:type="dxa"/>
          </w:tcPr>
          <w:p w14:paraId="02CDE3F5"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N/A</w:t>
            </w:r>
          </w:p>
        </w:tc>
      </w:tr>
      <w:tr w:rsidR="00EC4659" w:rsidRPr="00EC4659" w14:paraId="04A540EC" w14:textId="77777777" w:rsidTr="00EC4659">
        <w:tc>
          <w:tcPr>
            <w:tcW w:w="1696" w:type="dxa"/>
          </w:tcPr>
          <w:p w14:paraId="6482AC8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Eligibility requirements</w:t>
            </w:r>
          </w:p>
        </w:tc>
        <w:tc>
          <w:tcPr>
            <w:tcW w:w="2840" w:type="dxa"/>
          </w:tcPr>
          <w:p w14:paraId="0422423E"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A dairy manufacturer may apply for an allocation of annual quota in relation to a category of dairy produce.</w:t>
            </w:r>
          </w:p>
          <w:p w14:paraId="3153EDA9"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For the purposes of this instrument, a dairy manufacturer means a person that:</w:t>
            </w:r>
          </w:p>
          <w:p w14:paraId="7BD13B84"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lastRenderedPageBreak/>
              <w:t>collects milk from farms and processes it; or</w:t>
            </w:r>
          </w:p>
          <w:p w14:paraId="24E52FF7"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purchases dairy produce and subjects it to a process that changes it from one kind of produce to another; or</w:t>
            </w:r>
          </w:p>
          <w:p w14:paraId="076DD7B2"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owns dairy produce and sub-contracts for the produce to be processed or transformed; or</w:t>
            </w:r>
          </w:p>
          <w:p w14:paraId="1BF88DA6"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proofErr w:type="gramStart"/>
            <w:r w:rsidRPr="00EC4659">
              <w:rPr>
                <w:rFonts w:ascii="Cambria" w:eastAsia="Times" w:hAnsi="Cambria"/>
                <w:sz w:val="18"/>
                <w:lang w:eastAsia="en-AU"/>
              </w:rPr>
              <w:t>purchases</w:t>
            </w:r>
            <w:proofErr w:type="gramEnd"/>
            <w:r w:rsidRPr="00EC4659">
              <w:rPr>
                <w:rFonts w:ascii="Cambria" w:eastAsia="Times" w:hAnsi="Cambria"/>
                <w:sz w:val="18"/>
                <w:lang w:eastAsia="en-AU"/>
              </w:rPr>
              <w:t xml:space="preserve"> dairy produce and repackages it.</w:t>
            </w:r>
          </w:p>
          <w:p w14:paraId="295EE5CF" w14:textId="77777777" w:rsidR="00EC4659" w:rsidRPr="00EC4659" w:rsidRDefault="00EC4659" w:rsidP="00EC4659">
            <w:pPr>
              <w:spacing w:before="60" w:line="240" w:lineRule="auto"/>
              <w:contextualSpacing/>
              <w:rPr>
                <w:rFonts w:ascii="Cambria" w:eastAsia="Times" w:hAnsi="Cambria"/>
                <w:sz w:val="18"/>
                <w:lang w:eastAsia="en-AU"/>
              </w:rPr>
            </w:pPr>
          </w:p>
          <w:p w14:paraId="38A2FB22" w14:textId="77777777" w:rsidR="00EC4659" w:rsidRPr="00EC4659" w:rsidRDefault="00EC4659" w:rsidP="00EC4659">
            <w:pPr>
              <w:spacing w:before="60" w:line="240" w:lineRule="auto"/>
              <w:contextualSpacing/>
              <w:rPr>
                <w:rFonts w:ascii="Cambria" w:eastAsia="Times" w:hAnsi="Cambria"/>
                <w:sz w:val="20"/>
                <w:lang w:eastAsia="en-AU"/>
              </w:rPr>
            </w:pPr>
            <w:r w:rsidRPr="00EC4659">
              <w:rPr>
                <w:rFonts w:ascii="Cambria" w:eastAsia="Times" w:hAnsi="Cambria"/>
                <w:sz w:val="20"/>
                <w:lang w:eastAsia="en-AU"/>
              </w:rPr>
              <w:t>Anyone may apply for unallocated quota available under FCFS.</w:t>
            </w:r>
          </w:p>
        </w:tc>
        <w:tc>
          <w:tcPr>
            <w:tcW w:w="2977" w:type="dxa"/>
          </w:tcPr>
          <w:p w14:paraId="5F892563"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lastRenderedPageBreak/>
              <w:t>An eligible exporter must hold a meat export licence allowing the holder to export high quality beef to the EU.</w:t>
            </w:r>
          </w:p>
          <w:p w14:paraId="2B6C1F3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An exporter is not eligible to be allocated a quota entitlement if:</w:t>
            </w:r>
          </w:p>
          <w:p w14:paraId="6DF6F339"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 xml:space="preserve">in any of the 3 preceding quota years, the exporter transferred 50% or more of its combined standard quota and </w:t>
            </w:r>
            <w:r w:rsidRPr="00EC4659">
              <w:rPr>
                <w:rFonts w:ascii="Cambria" w:eastAsia="Times" w:hAnsi="Cambria"/>
                <w:sz w:val="18"/>
                <w:lang w:eastAsia="en-AU"/>
              </w:rPr>
              <w:lastRenderedPageBreak/>
              <w:t>supplementary quota entitlements; or</w:t>
            </w:r>
          </w:p>
          <w:p w14:paraId="35DDB4EA"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proofErr w:type="gramStart"/>
            <w:r w:rsidRPr="00EC4659">
              <w:rPr>
                <w:rFonts w:ascii="Cambria" w:eastAsia="Times" w:hAnsi="Cambria"/>
                <w:sz w:val="18"/>
                <w:lang w:eastAsia="en-AU"/>
              </w:rPr>
              <w:t>in</w:t>
            </w:r>
            <w:proofErr w:type="gramEnd"/>
            <w:r w:rsidRPr="00EC4659">
              <w:rPr>
                <w:rFonts w:ascii="Cambria" w:eastAsia="Times" w:hAnsi="Cambria"/>
                <w:sz w:val="18"/>
                <w:lang w:eastAsia="en-AU"/>
              </w:rPr>
              <w:t xml:space="preserve"> any 2 consecutive years of the 4 preceding quota years, the exporter transferred 33% or more of its combined quota entitlements</w:t>
            </w:r>
            <w:r w:rsidRPr="00EC4659">
              <w:rPr>
                <w:rFonts w:ascii="Cambria" w:eastAsia="Times" w:hAnsi="Cambria"/>
                <w:sz w:val="20"/>
                <w:lang w:eastAsia="en-AU"/>
              </w:rPr>
              <w:t>.</w:t>
            </w:r>
          </w:p>
        </w:tc>
        <w:tc>
          <w:tcPr>
            <w:tcW w:w="2972" w:type="dxa"/>
          </w:tcPr>
          <w:p w14:paraId="15723B5E"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lastRenderedPageBreak/>
              <w:t>An eligible exporter must hold a meat export licence allowing the holder to export sheep meat and/or goat meat to the EU.</w:t>
            </w:r>
          </w:p>
          <w:p w14:paraId="5A5C4E21" w14:textId="77777777" w:rsidR="00EC4659" w:rsidRPr="00EC4659" w:rsidRDefault="00EC4659" w:rsidP="00EC4659">
            <w:pPr>
              <w:spacing w:before="60" w:after="200" w:line="276" w:lineRule="auto"/>
              <w:rPr>
                <w:rFonts w:ascii="Cambria" w:hAnsi="Cambria"/>
                <w:sz w:val="20"/>
                <w:lang w:eastAsia="en-AU"/>
              </w:rPr>
            </w:pPr>
          </w:p>
        </w:tc>
        <w:tc>
          <w:tcPr>
            <w:tcW w:w="2551" w:type="dxa"/>
          </w:tcPr>
          <w:p w14:paraId="222E1EAF"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An eligible exporter must hold a meat export licence, issued under Section 10 of the Australian Meat and Live-Stock Industry Act 1997, that permits the holder to export beef product to the USA.</w:t>
            </w:r>
          </w:p>
        </w:tc>
        <w:tc>
          <w:tcPr>
            <w:tcW w:w="2557" w:type="dxa"/>
          </w:tcPr>
          <w:p w14:paraId="5E5BD91E"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An eligible exporter intending to export a consignment of a kind of quota goods to Japan must apply for a tariff rate quota certificate to the Secretary, no more than 3 weeks before the export goods leave Australia.</w:t>
            </w:r>
          </w:p>
        </w:tc>
      </w:tr>
      <w:tr w:rsidR="00EC4659" w:rsidRPr="00EC4659" w14:paraId="343EE6B4" w14:textId="77777777" w:rsidTr="00EC4659">
        <w:tc>
          <w:tcPr>
            <w:tcW w:w="1696" w:type="dxa"/>
          </w:tcPr>
          <w:p w14:paraId="52B85C39"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New entrant provisions</w:t>
            </w:r>
          </w:p>
        </w:tc>
        <w:tc>
          <w:tcPr>
            <w:tcW w:w="2840" w:type="dxa"/>
          </w:tcPr>
          <w:p w14:paraId="05B6E348"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Yes, set aside amount of 2% for small exporters for all commodities except US FTA Non-fat Dried Milk Powder and Skim Milk Powder.</w:t>
            </w:r>
          </w:p>
          <w:p w14:paraId="5439FC33"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Maximum new entrant allocation of 60 tonnes.</w:t>
            </w:r>
          </w:p>
          <w:p w14:paraId="4F8D0F76" w14:textId="77777777" w:rsidR="00EC4659" w:rsidRPr="00EC4659" w:rsidRDefault="00EC4659" w:rsidP="00EC4659">
            <w:pPr>
              <w:spacing w:before="60" w:after="200" w:line="276" w:lineRule="auto"/>
              <w:rPr>
                <w:rFonts w:ascii="Cambria" w:hAnsi="Cambria"/>
                <w:sz w:val="18"/>
                <w:lang w:eastAsia="en-AU"/>
              </w:rPr>
            </w:pPr>
            <w:r w:rsidRPr="00EC4659">
              <w:rPr>
                <w:rFonts w:ascii="Cambria" w:hAnsi="Cambria"/>
                <w:sz w:val="20"/>
                <w:lang w:eastAsia="en-AU"/>
              </w:rPr>
              <w:t>No limit if available under FCFS</w:t>
            </w:r>
          </w:p>
        </w:tc>
        <w:tc>
          <w:tcPr>
            <w:tcW w:w="2977" w:type="dxa"/>
          </w:tcPr>
          <w:p w14:paraId="71970106"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500 tonnes of quota entitlement is set aside for new entrants as non-standard allocation.</w:t>
            </w:r>
          </w:p>
          <w:p w14:paraId="490F373E"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lang w:eastAsia="en-AU"/>
              </w:rPr>
            </w:pPr>
            <w:r w:rsidRPr="00EC4659">
              <w:rPr>
                <w:rFonts w:ascii="Cambria" w:eastAsia="Times" w:hAnsi="Cambria"/>
                <w:sz w:val="18"/>
                <w:lang w:eastAsia="en-AU"/>
              </w:rPr>
              <w:t>Non-standard quotas are allocated on request, subject to a number of rules. Entitlements cannot exceed 36 tonnes.</w:t>
            </w:r>
          </w:p>
          <w:p w14:paraId="67C72D4C" w14:textId="77777777" w:rsidR="00EC4659" w:rsidRPr="00EC4659" w:rsidRDefault="00EC4659" w:rsidP="00EC4659">
            <w:pPr>
              <w:spacing w:before="60" w:line="240" w:lineRule="auto"/>
              <w:contextualSpacing/>
              <w:rPr>
                <w:rFonts w:ascii="Cambria" w:eastAsia="Times" w:hAnsi="Cambria"/>
                <w:sz w:val="18"/>
                <w:lang w:eastAsia="en-AU"/>
              </w:rPr>
            </w:pPr>
          </w:p>
          <w:p w14:paraId="5F21AC67" w14:textId="77777777" w:rsidR="00EC4659" w:rsidRPr="00EC4659" w:rsidRDefault="00EC4659" w:rsidP="00EC4659">
            <w:pPr>
              <w:spacing w:before="60" w:line="240" w:lineRule="auto"/>
              <w:contextualSpacing/>
              <w:rPr>
                <w:rFonts w:ascii="Cambria" w:eastAsia="Times" w:hAnsi="Cambria"/>
                <w:sz w:val="18"/>
                <w:lang w:eastAsia="en-AU"/>
              </w:rPr>
            </w:pPr>
            <w:r w:rsidRPr="00EC4659">
              <w:rPr>
                <w:rFonts w:ascii="Cambria" w:hAnsi="Cambria"/>
                <w:sz w:val="20"/>
                <w:lang w:eastAsia="en-AU"/>
              </w:rPr>
              <w:t>Considered new entrant for the first 3 years.</w:t>
            </w:r>
          </w:p>
        </w:tc>
        <w:tc>
          <w:tcPr>
            <w:tcW w:w="2972" w:type="dxa"/>
          </w:tcPr>
          <w:p w14:paraId="29DFC58F"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Has the 20:80 split for global/in-quota </w:t>
            </w:r>
            <w:proofErr w:type="gramStart"/>
            <w:r w:rsidRPr="00EC4659">
              <w:rPr>
                <w:rFonts w:ascii="Cambria" w:hAnsi="Cambria"/>
                <w:sz w:val="20"/>
                <w:lang w:eastAsia="en-AU"/>
              </w:rPr>
              <w:t>shipments.</w:t>
            </w:r>
            <w:proofErr w:type="gramEnd"/>
            <w:r w:rsidRPr="00EC4659">
              <w:rPr>
                <w:rFonts w:ascii="Cambria" w:hAnsi="Cambria"/>
                <w:sz w:val="20"/>
                <w:lang w:eastAsia="en-AU"/>
              </w:rPr>
              <w:t xml:space="preserve"> 20% allows new entrants to get an allocation.</w:t>
            </w:r>
          </w:p>
        </w:tc>
        <w:tc>
          <w:tcPr>
            <w:tcW w:w="2551" w:type="dxa"/>
          </w:tcPr>
          <w:p w14:paraId="08AAC623"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N/A</w:t>
            </w:r>
          </w:p>
        </w:tc>
        <w:tc>
          <w:tcPr>
            <w:tcW w:w="2557" w:type="dxa"/>
          </w:tcPr>
          <w:p w14:paraId="1A7FCF42"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N/A</w:t>
            </w:r>
          </w:p>
        </w:tc>
      </w:tr>
      <w:tr w:rsidR="00EC4659" w:rsidRPr="00EC4659" w14:paraId="71F05522" w14:textId="77777777" w:rsidTr="00EC4659">
        <w:tc>
          <w:tcPr>
            <w:tcW w:w="1696" w:type="dxa"/>
          </w:tcPr>
          <w:p w14:paraId="6C25450E"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Quota transfer arrangements</w:t>
            </w:r>
          </w:p>
        </w:tc>
        <w:tc>
          <w:tcPr>
            <w:tcW w:w="2840" w:type="dxa"/>
          </w:tcPr>
          <w:p w14:paraId="6CD716B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Tariff quota entitlements may be transferred in part or full to another exporter for a quota year, but not after 15 June in a quota year.</w:t>
            </w:r>
          </w:p>
          <w:p w14:paraId="128FEC76"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There are no provisions to allow the transfer of FCFS entitlement.</w:t>
            </w:r>
          </w:p>
        </w:tc>
        <w:tc>
          <w:tcPr>
            <w:tcW w:w="2977" w:type="dxa"/>
          </w:tcPr>
          <w:p w14:paraId="366F2D54"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Standard tariff quota entitlements may be transferred in part or full to another exporter for a quota year.</w:t>
            </w:r>
          </w:p>
          <w:p w14:paraId="622ACDC6"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Non-standard and FCFS tariff quota entitlements cannot be transferred.</w:t>
            </w:r>
          </w:p>
          <w:p w14:paraId="1F25121A"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lastRenderedPageBreak/>
              <w:t>New entrants cannot transfer any quota entitlements transferred to it.</w:t>
            </w:r>
          </w:p>
          <w:p w14:paraId="6C343BDF"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If an exporter who holds standard quota requests FCFS quota, they may no longer transfer any of the standard quota. </w:t>
            </w:r>
          </w:p>
        </w:tc>
        <w:tc>
          <w:tcPr>
            <w:tcW w:w="2972" w:type="dxa"/>
          </w:tcPr>
          <w:p w14:paraId="2AE9BE58"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lastRenderedPageBreak/>
              <w:t>Tariff quota entitlements may be transferred in part or full to another exporter for a quota year.</w:t>
            </w:r>
          </w:p>
        </w:tc>
        <w:tc>
          <w:tcPr>
            <w:tcW w:w="2551" w:type="dxa"/>
          </w:tcPr>
          <w:p w14:paraId="6437F1D6"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Under the post trigger threshold exporters may advise if they wish to transfer part or all of their provisional entitlement.  Once allocated, no more transfers can be done.  </w:t>
            </w:r>
          </w:p>
        </w:tc>
        <w:tc>
          <w:tcPr>
            <w:tcW w:w="2557" w:type="dxa"/>
          </w:tcPr>
          <w:p w14:paraId="51457D9A"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Tariff quota entitlements are not transferable.</w:t>
            </w:r>
          </w:p>
        </w:tc>
      </w:tr>
      <w:tr w:rsidR="00EC4659" w:rsidRPr="00EC4659" w14:paraId="445A4B23" w14:textId="77777777" w:rsidTr="00EC4659">
        <w:tc>
          <w:tcPr>
            <w:tcW w:w="1696" w:type="dxa"/>
          </w:tcPr>
          <w:p w14:paraId="2BFEF18A"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Measures employed to deal with unused quota (including incentives and/or penalties)</w:t>
            </w:r>
          </w:p>
        </w:tc>
        <w:tc>
          <w:tcPr>
            <w:tcW w:w="2840" w:type="dxa"/>
          </w:tcPr>
          <w:p w14:paraId="6E84FC18"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Penalties</w:t>
            </w:r>
          </w:p>
          <w:p w14:paraId="7EC81110"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A penalty is imposed to a quota holder if:</w:t>
            </w:r>
          </w:p>
          <w:p w14:paraId="5C4385D3"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20"/>
                <w:lang w:eastAsia="en-AU"/>
              </w:rPr>
            </w:pPr>
            <w:r w:rsidRPr="00EC4659">
              <w:rPr>
                <w:rFonts w:ascii="Cambria" w:eastAsia="Times" w:hAnsi="Cambria"/>
                <w:sz w:val="18"/>
                <w:lang w:eastAsia="en-AU"/>
              </w:rPr>
              <w:t>The total available quota for a category is less than 3,000 tonnes; and</w:t>
            </w:r>
          </w:p>
          <w:p w14:paraId="2571E8F7"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20"/>
                <w:lang w:eastAsia="en-AU"/>
              </w:rPr>
            </w:pPr>
            <w:r w:rsidRPr="00EC4659">
              <w:rPr>
                <w:rFonts w:ascii="Cambria" w:eastAsia="Times" w:hAnsi="Cambria"/>
                <w:sz w:val="18"/>
                <w:lang w:eastAsia="en-AU"/>
              </w:rPr>
              <w:t xml:space="preserve">The dairy manufacturer’s </w:t>
            </w:r>
            <w:r w:rsidRPr="00EC4659">
              <w:rPr>
                <w:rFonts w:ascii="Cambria" w:eastAsia="Times" w:hAnsi="Cambria"/>
                <w:i/>
                <w:sz w:val="18"/>
                <w:lang w:eastAsia="en-AU"/>
              </w:rPr>
              <w:t>surplus quota</w:t>
            </w:r>
            <w:r w:rsidRPr="00EC4659">
              <w:rPr>
                <w:rFonts w:ascii="Cambria" w:eastAsia="Times" w:hAnsi="Cambria"/>
                <w:sz w:val="18"/>
                <w:lang w:eastAsia="en-AU"/>
              </w:rPr>
              <w:t xml:space="preserve"> is more than 2 per cent of their annual quota </w:t>
            </w:r>
          </w:p>
          <w:p w14:paraId="1E030221" w14:textId="77777777" w:rsidR="00EC4659" w:rsidRPr="00EC4659" w:rsidRDefault="00EC4659" w:rsidP="00EC4659">
            <w:pPr>
              <w:spacing w:before="60" w:line="240" w:lineRule="auto"/>
              <w:contextualSpacing/>
              <w:rPr>
                <w:rFonts w:ascii="Cambria" w:eastAsia="Times" w:hAnsi="Cambria"/>
                <w:sz w:val="18"/>
                <w:lang w:eastAsia="en-AU"/>
              </w:rPr>
            </w:pPr>
            <w:r w:rsidRPr="00EC4659">
              <w:rPr>
                <w:rFonts w:ascii="Cambria" w:eastAsia="Times" w:hAnsi="Cambria"/>
                <w:sz w:val="18"/>
                <w:lang w:eastAsia="en-AU"/>
              </w:rPr>
              <w:t>OR</w:t>
            </w:r>
          </w:p>
          <w:p w14:paraId="747580E1"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20"/>
                <w:lang w:eastAsia="en-AU"/>
              </w:rPr>
            </w:pPr>
            <w:r w:rsidRPr="00EC4659">
              <w:rPr>
                <w:rFonts w:ascii="Cambria" w:eastAsia="Times" w:hAnsi="Cambria"/>
                <w:sz w:val="18"/>
                <w:lang w:eastAsia="en-AU"/>
              </w:rPr>
              <w:t>The total available quota for a category is at least 3,000 tonnes; and</w:t>
            </w:r>
          </w:p>
          <w:p w14:paraId="5ADE3039"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20"/>
                <w:lang w:eastAsia="en-AU"/>
              </w:rPr>
            </w:pPr>
            <w:r w:rsidRPr="00EC4659">
              <w:rPr>
                <w:rFonts w:ascii="Cambria" w:eastAsia="Times" w:hAnsi="Cambria"/>
                <w:sz w:val="18"/>
                <w:lang w:eastAsia="en-AU"/>
              </w:rPr>
              <w:t xml:space="preserve">The dairy manufacturer’s </w:t>
            </w:r>
            <w:r w:rsidRPr="00EC4659">
              <w:rPr>
                <w:rFonts w:ascii="Cambria" w:eastAsia="Times" w:hAnsi="Cambria"/>
                <w:i/>
                <w:sz w:val="18"/>
                <w:lang w:eastAsia="en-AU"/>
              </w:rPr>
              <w:t>surplus quota</w:t>
            </w:r>
            <w:r w:rsidRPr="00EC4659">
              <w:rPr>
                <w:rFonts w:ascii="Cambria" w:eastAsia="Times" w:hAnsi="Cambria"/>
                <w:sz w:val="18"/>
                <w:lang w:eastAsia="en-AU"/>
              </w:rPr>
              <w:t xml:space="preserve"> is more than 1 per cent of their annual quota</w:t>
            </w:r>
            <w:r w:rsidRPr="00EC4659">
              <w:rPr>
                <w:rFonts w:ascii="Cambria" w:eastAsia="Times" w:hAnsi="Cambria"/>
                <w:sz w:val="18"/>
                <w:lang w:eastAsia="en-AU"/>
              </w:rPr>
              <w:br/>
            </w:r>
          </w:p>
          <w:p w14:paraId="18ECD78C"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Surplus quota is the sum of:</w:t>
            </w:r>
          </w:p>
          <w:p w14:paraId="5115CB5C"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szCs w:val="18"/>
                <w:lang w:eastAsia="en-AU"/>
              </w:rPr>
            </w:pPr>
            <w:r w:rsidRPr="00EC4659">
              <w:rPr>
                <w:rFonts w:ascii="Cambria" w:eastAsia="Times" w:hAnsi="Cambria"/>
                <w:sz w:val="18"/>
                <w:szCs w:val="18"/>
                <w:lang w:eastAsia="en-AU"/>
              </w:rPr>
              <w:t>Unused quota at 31 December</w:t>
            </w:r>
          </w:p>
          <w:p w14:paraId="4C27566C"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szCs w:val="18"/>
                <w:lang w:eastAsia="en-AU"/>
              </w:rPr>
            </w:pPr>
            <w:r w:rsidRPr="00EC4659">
              <w:rPr>
                <w:rFonts w:ascii="Cambria" w:eastAsia="Times" w:hAnsi="Cambria"/>
                <w:sz w:val="18"/>
                <w:szCs w:val="18"/>
                <w:lang w:eastAsia="en-AU"/>
              </w:rPr>
              <w:t>Allocated quota returned by an exporter after 15 June</w:t>
            </w:r>
          </w:p>
          <w:p w14:paraId="1C2B4A73"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szCs w:val="18"/>
                <w:lang w:eastAsia="en-AU"/>
              </w:rPr>
            </w:pPr>
            <w:r w:rsidRPr="00EC4659">
              <w:rPr>
                <w:rFonts w:ascii="Cambria" w:eastAsia="Times" w:hAnsi="Cambria"/>
                <w:sz w:val="18"/>
                <w:szCs w:val="18"/>
                <w:lang w:eastAsia="en-AU"/>
              </w:rPr>
              <w:t xml:space="preserve">Allocated quota transferred to a non-dairy manufactured </w:t>
            </w:r>
          </w:p>
          <w:p w14:paraId="43D3CFC1" w14:textId="77777777" w:rsidR="00EC4659" w:rsidRPr="00EC4659" w:rsidRDefault="00EC4659" w:rsidP="000F6D46">
            <w:pPr>
              <w:numPr>
                <w:ilvl w:val="0"/>
                <w:numId w:val="74"/>
              </w:numPr>
              <w:spacing w:before="60" w:after="160" w:line="240" w:lineRule="auto"/>
              <w:ind w:left="380" w:hanging="284"/>
              <w:contextualSpacing/>
              <w:rPr>
                <w:rFonts w:ascii="Cambria" w:eastAsia="Times" w:hAnsi="Cambria"/>
                <w:sz w:val="18"/>
                <w:szCs w:val="18"/>
                <w:lang w:eastAsia="en-AU"/>
              </w:rPr>
            </w:pPr>
            <w:r w:rsidRPr="00EC4659">
              <w:rPr>
                <w:rFonts w:ascii="Cambria" w:eastAsia="Times" w:hAnsi="Cambria"/>
                <w:sz w:val="18"/>
                <w:szCs w:val="18"/>
                <w:lang w:eastAsia="en-AU"/>
              </w:rPr>
              <w:lastRenderedPageBreak/>
              <w:t>Unused quota allocation transferred (held by the transferee) at 31 December</w:t>
            </w:r>
          </w:p>
          <w:p w14:paraId="2FD5FEDF" w14:textId="77777777" w:rsidR="00EC4659" w:rsidRPr="00EC4659" w:rsidRDefault="00EC4659" w:rsidP="00EC4659">
            <w:pPr>
              <w:spacing w:before="60" w:after="200" w:line="276" w:lineRule="auto"/>
              <w:rPr>
                <w:rFonts w:ascii="Cambria" w:hAnsi="Cambria"/>
                <w:sz w:val="20"/>
                <w:lang w:eastAsia="en-AU"/>
              </w:rPr>
            </w:pPr>
          </w:p>
          <w:p w14:paraId="3F9F9019"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The penalty amount is equal to the surplus quota.  The penalty applies to the </w:t>
            </w:r>
            <w:r w:rsidRPr="00EC4659">
              <w:rPr>
                <w:rFonts w:ascii="Cambria" w:hAnsi="Cambria"/>
                <w:i/>
                <w:sz w:val="20"/>
                <w:lang w:eastAsia="en-AU"/>
              </w:rPr>
              <w:t>next</w:t>
            </w:r>
            <w:r w:rsidRPr="00EC4659">
              <w:rPr>
                <w:rFonts w:ascii="Cambria" w:hAnsi="Cambria"/>
                <w:sz w:val="20"/>
                <w:lang w:eastAsia="en-AU"/>
              </w:rPr>
              <w:t xml:space="preserve"> allocation which will be the year after next at the earliest.</w:t>
            </w:r>
          </w:p>
          <w:p w14:paraId="6767D5D0"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Loss of allocation</w:t>
            </w:r>
          </w:p>
          <w:p w14:paraId="15827863"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Exporters must, before 15 June, provide the Secretary with details for how any unused quota will be dealt with. If notice is not given, any unused quota is revoked at the start of that day.</w:t>
            </w:r>
          </w:p>
        </w:tc>
        <w:tc>
          <w:tcPr>
            <w:tcW w:w="2977" w:type="dxa"/>
          </w:tcPr>
          <w:p w14:paraId="4951300D"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lastRenderedPageBreak/>
              <w:t xml:space="preserve">Penalties </w:t>
            </w:r>
          </w:p>
          <w:p w14:paraId="4AAD4481"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If an exporter has on 16 May in a quota year an unused portion of quota entitlement more than 7.5%, the unused portion is the</w:t>
            </w:r>
            <w:r w:rsidRPr="00EC4659">
              <w:rPr>
                <w:rFonts w:ascii="Cambria" w:hAnsi="Cambria"/>
                <w:i/>
                <w:sz w:val="20"/>
                <w:lang w:eastAsia="en-AU"/>
              </w:rPr>
              <w:t xml:space="preserve"> preceding year penalty amount</w:t>
            </w:r>
            <w:r w:rsidRPr="00EC4659">
              <w:rPr>
                <w:rFonts w:ascii="Cambria" w:hAnsi="Cambria"/>
                <w:sz w:val="20"/>
                <w:lang w:eastAsia="en-AU"/>
              </w:rPr>
              <w:t xml:space="preserve"> for the following quota year. Entitlements are reduced by the amount of the preceding year penalty </w:t>
            </w:r>
          </w:p>
          <w:p w14:paraId="7429E446"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Loss of allocation</w:t>
            </w:r>
          </w:p>
          <w:p w14:paraId="0627425A"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Exporters must, before 16 February, provide the Secretary with details for how any unused quota will be dealt with. If notice is not given, any unused quota lapses at the start of that day.</w:t>
            </w:r>
          </w:p>
          <w:p w14:paraId="2B291FFB"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lastRenderedPageBreak/>
              <w:t>If less than 25% of entitlement is used by 16 February, all unused quota entitlement is forfeited.</w:t>
            </w:r>
          </w:p>
          <w:p w14:paraId="63BCBD3E"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If an exporter was allocated more than 1 tonne, and exported less than 1 tone of quota entitlement by 16 February, all unused quota entitlement is forfeited.</w:t>
            </w:r>
          </w:p>
        </w:tc>
        <w:tc>
          <w:tcPr>
            <w:tcW w:w="2972" w:type="dxa"/>
          </w:tcPr>
          <w:p w14:paraId="5AB4E44A"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lastRenderedPageBreak/>
              <w:t>Loss of allocation</w:t>
            </w:r>
          </w:p>
          <w:p w14:paraId="68A6D2E2"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Exporters must, before 18 October in a quota year, provide the Secretary with details for how any unused quota will be dealt with. If an exporter does not either: a) make an application for approval; or b) provide relevant intended export information, by 1 November, all unused quota is lapsed. </w:t>
            </w:r>
          </w:p>
        </w:tc>
        <w:tc>
          <w:tcPr>
            <w:tcW w:w="2551" w:type="dxa"/>
          </w:tcPr>
          <w:p w14:paraId="62F5066F"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No penalty provisions.</w:t>
            </w:r>
          </w:p>
          <w:p w14:paraId="6D04C476" w14:textId="77777777" w:rsidR="00EC4659" w:rsidRPr="00EC4659" w:rsidRDefault="00EC4659" w:rsidP="00EC4659">
            <w:pPr>
              <w:spacing w:before="60" w:after="200" w:line="276" w:lineRule="auto"/>
              <w:rPr>
                <w:rFonts w:ascii="Cambria" w:hAnsi="Cambria"/>
                <w:i/>
                <w:sz w:val="20"/>
                <w:lang w:eastAsia="en-AU"/>
              </w:rPr>
            </w:pPr>
          </w:p>
          <w:p w14:paraId="6AF1D189"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Loss of allocation</w:t>
            </w:r>
          </w:p>
          <w:p w14:paraId="5A00598C"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Exporters must provide notice to the QA Unit if an export consignment cannot be completed by the export deadline.</w:t>
            </w:r>
          </w:p>
          <w:p w14:paraId="5A783589"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 xml:space="preserve"> If notice is given, the Secretary may: a) vary quota amount; or b) cancel tariff quota.</w:t>
            </w:r>
          </w:p>
          <w:p w14:paraId="50AAB544" w14:textId="77777777" w:rsidR="00EC4659" w:rsidRPr="00EC4659" w:rsidRDefault="00EC4659" w:rsidP="00EC4659">
            <w:pPr>
              <w:spacing w:before="60" w:after="200" w:line="276" w:lineRule="auto"/>
              <w:rPr>
                <w:rFonts w:ascii="Cambria" w:hAnsi="Cambria"/>
                <w:sz w:val="20"/>
                <w:lang w:eastAsia="en-AU"/>
              </w:rPr>
            </w:pPr>
            <w:r w:rsidRPr="00EC4659">
              <w:rPr>
                <w:rFonts w:ascii="Cambria" w:hAnsi="Cambria"/>
                <w:sz w:val="20"/>
                <w:lang w:eastAsia="en-AU"/>
              </w:rPr>
              <w:t>If notice is not given before the deadline, the Secretary may cancel the allocated tariff quota</w:t>
            </w:r>
          </w:p>
        </w:tc>
        <w:tc>
          <w:tcPr>
            <w:tcW w:w="2557" w:type="dxa"/>
          </w:tcPr>
          <w:p w14:paraId="3FF8CC24" w14:textId="77777777" w:rsidR="00EC4659" w:rsidRPr="00EC4659" w:rsidRDefault="00EC4659" w:rsidP="00EC4659">
            <w:pPr>
              <w:spacing w:before="60" w:after="200" w:line="276" w:lineRule="auto"/>
              <w:rPr>
                <w:rFonts w:ascii="Cambria" w:hAnsi="Cambria"/>
                <w:i/>
                <w:sz w:val="20"/>
                <w:lang w:eastAsia="en-AU"/>
              </w:rPr>
            </w:pPr>
            <w:r w:rsidRPr="00EC4659">
              <w:rPr>
                <w:rFonts w:ascii="Cambria" w:hAnsi="Cambria"/>
                <w:i/>
                <w:sz w:val="20"/>
                <w:lang w:eastAsia="en-AU"/>
              </w:rPr>
              <w:t>There is no allocation</w:t>
            </w:r>
          </w:p>
          <w:p w14:paraId="46BC6422" w14:textId="77777777" w:rsidR="00EC4659" w:rsidRPr="00EC4659" w:rsidRDefault="00EC4659" w:rsidP="00EC4659">
            <w:pPr>
              <w:spacing w:before="60" w:after="200" w:line="276" w:lineRule="auto"/>
              <w:rPr>
                <w:rFonts w:ascii="Cambria" w:hAnsi="Cambria"/>
                <w:sz w:val="20"/>
                <w:lang w:eastAsia="en-AU"/>
              </w:rPr>
            </w:pPr>
          </w:p>
        </w:tc>
      </w:tr>
    </w:tbl>
    <w:p w14:paraId="57014EF0" w14:textId="77777777" w:rsidR="00EC4659" w:rsidRPr="00EC4659" w:rsidRDefault="00EC4659" w:rsidP="00EC4659">
      <w:pPr>
        <w:spacing w:after="160" w:line="259" w:lineRule="auto"/>
        <w:rPr>
          <w:rFonts w:ascii="Calibri" w:hAnsi="Calibri"/>
          <w:szCs w:val="22"/>
        </w:rPr>
      </w:pPr>
    </w:p>
    <w:p w14:paraId="683E2321" w14:textId="77777777" w:rsidR="00EC4659" w:rsidRPr="00EC4659" w:rsidRDefault="00EC4659" w:rsidP="00EC4659">
      <w:pPr>
        <w:spacing w:after="160" w:line="259" w:lineRule="auto"/>
        <w:rPr>
          <w:rFonts w:ascii="Calibri" w:hAnsi="Calibri"/>
          <w:szCs w:val="22"/>
        </w:rPr>
      </w:pPr>
    </w:p>
    <w:p w14:paraId="32D68FF1" w14:textId="77777777" w:rsidR="00EC4659" w:rsidRPr="00EC4659" w:rsidRDefault="00EC4659" w:rsidP="00EC4659">
      <w:pPr>
        <w:spacing w:after="160" w:line="259" w:lineRule="auto"/>
        <w:rPr>
          <w:rFonts w:ascii="Calibri" w:hAnsi="Calibri"/>
          <w:szCs w:val="22"/>
        </w:rPr>
        <w:sectPr w:rsidR="00EC4659" w:rsidRPr="00EC4659" w:rsidSect="00EC4659">
          <w:pgSz w:w="16838" w:h="11906" w:orient="landscape"/>
          <w:pgMar w:top="1440" w:right="1440" w:bottom="1440" w:left="1135" w:header="708" w:footer="708" w:gutter="0"/>
          <w:cols w:space="708"/>
          <w:docGrid w:linePitch="360"/>
        </w:sectPr>
      </w:pPr>
    </w:p>
    <w:p w14:paraId="6C5CDA0E"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pPr>
      <w:bookmarkStart w:id="192" w:name="_Toc27482975"/>
      <w:r w:rsidRPr="00EC4659">
        <w:rPr>
          <w:rFonts w:ascii="Calibri Light" w:eastAsia="SimSun" w:hAnsi="Calibri Light"/>
          <w:color w:val="2E74B5"/>
          <w:sz w:val="32"/>
          <w:szCs w:val="32"/>
        </w:rPr>
        <w:lastRenderedPageBreak/>
        <w:t>Appendix D. Stages of the process</w:t>
      </w:r>
      <w:bookmarkEnd w:id="192"/>
    </w:p>
    <w:p w14:paraId="41262C31"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As part of initial discussions surrounding the future of quota management, held between September and November 2015, the department proposed five options to industry, ranging from fully industry-run to government-run (see Figure D1, below. Note, these options are separate from the options set out in the RIS). While there was interest for each industry to manage their own quotas, it was deemed unviable to split the quotas off to each industry. It was therefore agreed that the department would continue to manage all quotas.  This led to discussion on the legislative structure. It was agreed that initially the current regulations should remain but should be consolidated under the Export Control Act 1982 (as outlined in Table 3 of the Background section) and that the department would hire an independent consultant to prepare a RIS on proposed options, to identify potential benefits.</w:t>
      </w:r>
    </w:p>
    <w:p w14:paraId="707A3D39" w14:textId="77777777" w:rsidR="00EC4659" w:rsidRPr="00EC4659" w:rsidRDefault="00EC4659" w:rsidP="00EC4659">
      <w:pPr>
        <w:spacing w:after="160" w:line="259" w:lineRule="auto"/>
        <w:rPr>
          <w:rFonts w:ascii="Calibri" w:hAnsi="Calibri"/>
          <w:szCs w:val="22"/>
        </w:rPr>
      </w:pPr>
      <w:r w:rsidRPr="00EC4659">
        <w:rPr>
          <w:rFonts w:ascii="Calibri" w:hAnsi="Calibri"/>
          <w:szCs w:val="22"/>
        </w:rPr>
        <w:t>In February 2016 the Minister for Agriculture was advised of the intent to conduct the RIS which he noted.  The department subsequently prepared a Preliminary Assessment Form that set out the proposal for the RIS.  OBPR assessed this in March 2016 and advised the department that a Standard Form RIS would need to be completed.  The department has complied with OBPR’s assessment advice.</w:t>
      </w:r>
    </w:p>
    <w:p w14:paraId="1C8BA35A" w14:textId="77777777" w:rsidR="00EC4659" w:rsidRPr="00EC4659" w:rsidRDefault="00EC4659" w:rsidP="00EC4659">
      <w:pPr>
        <w:spacing w:after="160" w:line="259" w:lineRule="auto"/>
        <w:rPr>
          <w:rFonts w:ascii="Calibri" w:hAnsi="Calibri"/>
          <w:szCs w:val="22"/>
        </w:rPr>
      </w:pPr>
    </w:p>
    <w:p w14:paraId="3406800C" w14:textId="77777777" w:rsidR="00EC4659" w:rsidRPr="00EC4659" w:rsidRDefault="00EC4659" w:rsidP="00EC4659">
      <w:pPr>
        <w:spacing w:after="160" w:line="259" w:lineRule="auto"/>
        <w:rPr>
          <w:rFonts w:ascii="Calibri" w:hAnsi="Calibri"/>
          <w:szCs w:val="22"/>
        </w:rPr>
        <w:sectPr w:rsidR="00EC4659" w:rsidRPr="00EC4659" w:rsidSect="00EC4659">
          <w:pgSz w:w="11906" w:h="16838"/>
          <w:pgMar w:top="1440" w:right="1440" w:bottom="1135" w:left="1440" w:header="708" w:footer="708" w:gutter="0"/>
          <w:cols w:space="708"/>
          <w:docGrid w:linePitch="360"/>
        </w:sectPr>
      </w:pPr>
    </w:p>
    <w:p w14:paraId="786B29B8" w14:textId="77777777" w:rsidR="00EC4659" w:rsidRPr="00EC4659" w:rsidRDefault="00EC4659" w:rsidP="00EC4659">
      <w:pPr>
        <w:spacing w:after="160" w:line="259" w:lineRule="auto"/>
        <w:rPr>
          <w:rFonts w:ascii="Calibri" w:hAnsi="Calibri"/>
          <w:b/>
          <w:szCs w:val="22"/>
        </w:rPr>
      </w:pPr>
      <w:r w:rsidRPr="00EC4659">
        <w:rPr>
          <w:rFonts w:ascii="Calibri" w:hAnsi="Calibri"/>
          <w:b/>
          <w:szCs w:val="22"/>
        </w:rPr>
        <w:lastRenderedPageBreak/>
        <w:t>Figure D1. TRQ management options discussed with industry</w:t>
      </w:r>
    </w:p>
    <w:p w14:paraId="422C5E1F" w14:textId="77777777" w:rsidR="00EC4659" w:rsidRPr="00EC4659" w:rsidRDefault="00EC4659" w:rsidP="00EC4659">
      <w:pPr>
        <w:spacing w:after="160" w:line="259" w:lineRule="auto"/>
        <w:jc w:val="center"/>
        <w:rPr>
          <w:rFonts w:ascii="Calibri" w:hAnsi="Calibri"/>
          <w:szCs w:val="22"/>
        </w:rPr>
      </w:pPr>
      <w:r w:rsidRPr="00EC4659">
        <w:rPr>
          <w:rFonts w:ascii="Calibri" w:hAnsi="Calibri"/>
          <w:noProof/>
          <w:szCs w:val="22"/>
          <w:lang w:eastAsia="en-AU"/>
        </w:rPr>
        <w:drawing>
          <wp:inline distT="0" distB="0" distL="0" distR="0" wp14:anchorId="1DA2C3E9" wp14:editId="08428B87">
            <wp:extent cx="7824084" cy="5064412"/>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9746" t="17175" r="58913" b="10686"/>
                    <a:stretch/>
                  </pic:blipFill>
                  <pic:spPr bwMode="auto">
                    <a:xfrm>
                      <a:off x="0" y="0"/>
                      <a:ext cx="7836218" cy="5072266"/>
                    </a:xfrm>
                    <a:prstGeom prst="rect">
                      <a:avLst/>
                    </a:prstGeom>
                    <a:ln>
                      <a:noFill/>
                    </a:ln>
                    <a:extLst>
                      <a:ext uri="{53640926-AAD7-44D8-BBD7-CCE9431645EC}">
                        <a14:shadowObscured xmlns:a14="http://schemas.microsoft.com/office/drawing/2010/main"/>
                      </a:ext>
                    </a:extLst>
                  </pic:spPr>
                </pic:pic>
              </a:graphicData>
            </a:graphic>
          </wp:inline>
        </w:drawing>
      </w:r>
    </w:p>
    <w:p w14:paraId="3B23A2DA" w14:textId="77777777" w:rsidR="00EC4659" w:rsidRPr="00EC4659" w:rsidRDefault="00EC4659" w:rsidP="00EC4659">
      <w:pPr>
        <w:spacing w:after="160" w:line="259" w:lineRule="auto"/>
        <w:rPr>
          <w:rFonts w:ascii="Calibri" w:hAnsi="Calibri"/>
          <w:szCs w:val="22"/>
        </w:rPr>
        <w:sectPr w:rsidR="00EC4659" w:rsidRPr="00EC4659" w:rsidSect="00EC4659">
          <w:pgSz w:w="16838" w:h="11906" w:orient="landscape"/>
          <w:pgMar w:top="1440" w:right="1440" w:bottom="1440" w:left="1135" w:header="708" w:footer="708" w:gutter="0"/>
          <w:cols w:space="708"/>
          <w:docGrid w:linePitch="360"/>
        </w:sectPr>
      </w:pPr>
    </w:p>
    <w:p w14:paraId="612B6BFF" w14:textId="77777777" w:rsidR="00EC4659" w:rsidRPr="00EC4659" w:rsidRDefault="00EC4659" w:rsidP="00EC4659">
      <w:pPr>
        <w:keepNext/>
        <w:keepLines/>
        <w:spacing w:before="240" w:line="259" w:lineRule="auto"/>
        <w:outlineLvl w:val="0"/>
        <w:rPr>
          <w:rFonts w:ascii="Calibri Light" w:eastAsia="SimSun" w:hAnsi="Calibri Light"/>
          <w:color w:val="2E74B5"/>
          <w:sz w:val="32"/>
          <w:szCs w:val="32"/>
        </w:rPr>
      </w:pPr>
      <w:bookmarkStart w:id="193" w:name="_Toc27482976"/>
      <w:r w:rsidRPr="00EC4659">
        <w:rPr>
          <w:rFonts w:ascii="Calibri Light" w:eastAsia="SimSun" w:hAnsi="Calibri Light"/>
          <w:color w:val="2E74B5"/>
          <w:sz w:val="32"/>
          <w:szCs w:val="32"/>
        </w:rPr>
        <w:lastRenderedPageBreak/>
        <w:t>Appendix E. Option 4 proposal papers</w:t>
      </w:r>
      <w:bookmarkEnd w:id="193"/>
    </w:p>
    <w:p w14:paraId="59DAF791"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following papers were provided to stakeholders based on the feedback received during consultation on Options 1-3.</w:t>
      </w:r>
    </w:p>
    <w:p w14:paraId="40585F06" w14:textId="77777777" w:rsidR="00EC4659" w:rsidRPr="00EC4659" w:rsidRDefault="00EC4659" w:rsidP="00EC4659">
      <w:pPr>
        <w:spacing w:after="120" w:line="259" w:lineRule="auto"/>
        <w:rPr>
          <w:rFonts w:ascii="Calibri Light" w:hAnsi="Calibri Light"/>
          <w:bCs/>
          <w:color w:val="2E74B5"/>
          <w:sz w:val="32"/>
          <w:szCs w:val="32"/>
        </w:rPr>
      </w:pPr>
      <w:r w:rsidRPr="00EC4659">
        <w:rPr>
          <w:rFonts w:ascii="Calibri Light" w:hAnsi="Calibri Light"/>
          <w:color w:val="2E74B5"/>
          <w:sz w:val="32"/>
          <w:szCs w:val="32"/>
        </w:rPr>
        <w:t>Export tariff rate quota regulatory streamlining – Revised ruleset for Dairy Quotas</w:t>
      </w:r>
    </w:p>
    <w:p w14:paraId="194251DB"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Regulation Impact Statement (RIS) presented to industry for consultation set out three options for the management of export tariff rate quotas (TRQs).  These were the status quo, a first come first served (FCFS) system, and a tiered allocation system.</w:t>
      </w:r>
    </w:p>
    <w:p w14:paraId="204B0EE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Following initial consultation the department received valuable feedback on the proposals.  Based on this feedback and discussions with industry it was agreed that the department would make amendments to the proposal and provide industry with a fourth option, including greater specifics for each quota group.</w:t>
      </w:r>
    </w:p>
    <w:p w14:paraId="7A86C32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During consultation dairy industry participants highlighted that the industry has significantly changed over time and that changes to the current quota management processes would be welcome in order to better align with their needs.   </w:t>
      </w:r>
    </w:p>
    <w:p w14:paraId="1EF97AD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following document sets out the proposed rules for a tiered allocation system (amended from Option 3) with regards to the current dairy export quotas.  Of particular note for dairy:</w:t>
      </w:r>
    </w:p>
    <w:p w14:paraId="63EA9BFD" w14:textId="77777777" w:rsidR="00EC4659" w:rsidRPr="00EC4659" w:rsidRDefault="00EC4659" w:rsidP="000F6D46">
      <w:pPr>
        <w:numPr>
          <w:ilvl w:val="0"/>
          <w:numId w:val="98"/>
        </w:numPr>
        <w:spacing w:after="160" w:line="259" w:lineRule="auto"/>
        <w:ind w:left="426"/>
        <w:contextualSpacing/>
        <w:rPr>
          <w:rFonts w:ascii="Calibri" w:hAnsi="Calibri"/>
          <w:szCs w:val="22"/>
        </w:rPr>
      </w:pPr>
      <w:proofErr w:type="gramStart"/>
      <w:r w:rsidRPr="00EC4659">
        <w:rPr>
          <w:rFonts w:ascii="Calibri" w:hAnsi="Calibri"/>
          <w:szCs w:val="22"/>
        </w:rPr>
        <w:t>the</w:t>
      </w:r>
      <w:proofErr w:type="gramEnd"/>
      <w:r w:rsidRPr="00EC4659">
        <w:rPr>
          <w:rFonts w:ascii="Calibri" w:hAnsi="Calibri"/>
          <w:szCs w:val="22"/>
        </w:rPr>
        <w:t xml:space="preserve"> change to eligibility rules which would allow non-manufacturers to receive quota entitlements for allocated quotas.</w:t>
      </w:r>
    </w:p>
    <w:p w14:paraId="3A6F2BDA" w14:textId="77777777" w:rsidR="00EC4659" w:rsidRPr="00EC4659" w:rsidRDefault="00EC4659" w:rsidP="000F6D46">
      <w:pPr>
        <w:numPr>
          <w:ilvl w:val="0"/>
          <w:numId w:val="98"/>
        </w:numPr>
        <w:spacing w:after="160" w:line="259" w:lineRule="auto"/>
        <w:ind w:left="426"/>
        <w:contextualSpacing/>
        <w:rPr>
          <w:rFonts w:ascii="Calibri" w:hAnsi="Calibri"/>
          <w:szCs w:val="22"/>
        </w:rPr>
      </w:pPr>
      <w:proofErr w:type="gramStart"/>
      <w:r w:rsidRPr="00EC4659">
        <w:rPr>
          <w:rFonts w:ascii="Calibri" w:hAnsi="Calibri"/>
          <w:szCs w:val="22"/>
        </w:rPr>
        <w:t>the</w:t>
      </w:r>
      <w:proofErr w:type="gramEnd"/>
      <w:r w:rsidRPr="00EC4659">
        <w:rPr>
          <w:rFonts w:ascii="Calibri" w:hAnsi="Calibri"/>
          <w:szCs w:val="22"/>
        </w:rPr>
        <w:t xml:space="preserve"> adjustment of allocation calculations to remove the 50:50 split which includes global shipments, and only calculate allocations based on in-quota shipments.</w:t>
      </w:r>
    </w:p>
    <w:p w14:paraId="55F21619" w14:textId="77777777" w:rsidR="00EC4659" w:rsidRPr="00EC4659" w:rsidRDefault="00EC4659" w:rsidP="000F6D46">
      <w:pPr>
        <w:numPr>
          <w:ilvl w:val="0"/>
          <w:numId w:val="98"/>
        </w:numPr>
        <w:spacing w:after="120" w:line="259" w:lineRule="auto"/>
        <w:ind w:left="426"/>
        <w:contextualSpacing/>
        <w:rPr>
          <w:rFonts w:ascii="Calibri" w:hAnsi="Calibri"/>
          <w:szCs w:val="22"/>
        </w:rPr>
      </w:pPr>
      <w:proofErr w:type="gramStart"/>
      <w:r w:rsidRPr="00EC4659">
        <w:rPr>
          <w:rFonts w:ascii="Calibri" w:hAnsi="Calibri"/>
          <w:szCs w:val="22"/>
        </w:rPr>
        <w:t>the</w:t>
      </w:r>
      <w:proofErr w:type="gramEnd"/>
      <w:r w:rsidRPr="00EC4659">
        <w:rPr>
          <w:rFonts w:ascii="Calibri" w:hAnsi="Calibri"/>
          <w:szCs w:val="22"/>
        </w:rPr>
        <w:t xml:space="preserve"> recommendation of changing most underutilised quotas to be managed under an FCFS model.</w:t>
      </w:r>
    </w:p>
    <w:p w14:paraId="434696F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Included below are primary questions for dairy industry stakeholders to discuss and wherever possible provide an agreed position along with justification.  If a position cannot be agreed the arguments for each perspective should be provided to the department.</w:t>
      </w:r>
    </w:p>
    <w:p w14:paraId="061B8D48" w14:textId="77777777" w:rsidR="00EC4659" w:rsidRPr="00EC4659" w:rsidRDefault="00EC4659" w:rsidP="00EC4659">
      <w:pPr>
        <w:spacing w:after="120" w:line="259" w:lineRule="auto"/>
        <w:rPr>
          <w:rFonts w:ascii="Calibri Light" w:hAnsi="Calibri Light"/>
          <w:b/>
          <w:color w:val="2E74B5"/>
          <w:sz w:val="26"/>
          <w:szCs w:val="26"/>
        </w:rPr>
      </w:pPr>
      <w:r w:rsidRPr="00EC4659">
        <w:rPr>
          <w:rFonts w:ascii="Calibri Light" w:hAnsi="Calibri Light"/>
          <w:b/>
          <w:color w:val="2E74B5"/>
          <w:sz w:val="26"/>
          <w:szCs w:val="26"/>
        </w:rPr>
        <w:t>Option 4 – Tiered Allocation System (Revised)</w:t>
      </w:r>
    </w:p>
    <w:p w14:paraId="6A07B20F"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Each TRQ would operate under one of three mechanisms, the chosen mechanism per quota being guided by the level of quota usage.  The following is summary of how each mechanism would work:</w:t>
      </w:r>
    </w:p>
    <w:p w14:paraId="4446DE6A" w14:textId="77777777" w:rsidR="00EC4659" w:rsidRPr="00EC4659" w:rsidRDefault="00EC4659" w:rsidP="000F6D46">
      <w:pPr>
        <w:numPr>
          <w:ilvl w:val="0"/>
          <w:numId w:val="99"/>
        </w:numPr>
        <w:spacing w:after="160" w:line="259" w:lineRule="auto"/>
        <w:contextualSpacing/>
        <w:rPr>
          <w:rFonts w:ascii="Calibri" w:hAnsi="Calibri"/>
          <w:szCs w:val="22"/>
        </w:rPr>
      </w:pPr>
      <w:r w:rsidRPr="00EC4659">
        <w:rPr>
          <w:rFonts w:ascii="Calibri" w:hAnsi="Calibri"/>
          <w:szCs w:val="22"/>
        </w:rPr>
        <w:t>First come, first served.</w:t>
      </w:r>
    </w:p>
    <w:p w14:paraId="6DCF50BC"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 xml:space="preserve">Quota certificates are issued (and quota is allotted) when an RFP or equivalent reaches completion.  There is no other form of regulation. </w:t>
      </w:r>
    </w:p>
    <w:p w14:paraId="45594065"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There is no limitation on who can apply.</w:t>
      </w:r>
    </w:p>
    <w:p w14:paraId="0C084586"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This is generally most applicable to quotas that are always underutilised.</w:t>
      </w:r>
    </w:p>
    <w:p w14:paraId="345FEF8F" w14:textId="77777777" w:rsidR="00EC4659" w:rsidRPr="00EC4659" w:rsidRDefault="00EC4659" w:rsidP="000F6D46">
      <w:pPr>
        <w:numPr>
          <w:ilvl w:val="0"/>
          <w:numId w:val="99"/>
        </w:numPr>
        <w:spacing w:after="160" w:line="259" w:lineRule="auto"/>
        <w:contextualSpacing/>
        <w:rPr>
          <w:rFonts w:ascii="Calibri" w:hAnsi="Calibri"/>
          <w:szCs w:val="22"/>
        </w:rPr>
      </w:pPr>
      <w:r w:rsidRPr="00EC4659">
        <w:rPr>
          <w:rFonts w:ascii="Calibri" w:hAnsi="Calibri"/>
          <w:szCs w:val="22"/>
        </w:rPr>
        <w:t>First come, first served with high-fill trigger.</w:t>
      </w:r>
    </w:p>
    <w:p w14:paraId="5F761E88"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At least the first 85 per cent of the quota is managed as FCFS, as set out above.</w:t>
      </w:r>
    </w:p>
    <w:p w14:paraId="517E4296"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If less than 85 per cent of the quota is used with 3 months remaining in the quota year, the quota will remain as FCFS for the remainder of the year.</w:t>
      </w:r>
    </w:p>
    <w:p w14:paraId="73CD6601"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If 85 per cent of the quota is used before 3 months from the end of the quota year, the remaining 15 per cent will be allocated based on previous shipping history.</w:t>
      </w:r>
    </w:p>
    <w:p w14:paraId="29CF3BAF"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When allocated, quota will be freely transferable.</w:t>
      </w:r>
    </w:p>
    <w:p w14:paraId="0E318437" w14:textId="77777777" w:rsidR="00EC4659" w:rsidRPr="00EC4659" w:rsidRDefault="00EC4659" w:rsidP="000F6D46">
      <w:pPr>
        <w:keepNext/>
        <w:numPr>
          <w:ilvl w:val="0"/>
          <w:numId w:val="99"/>
        </w:numPr>
        <w:spacing w:after="160" w:line="259" w:lineRule="auto"/>
        <w:ind w:left="357" w:hanging="357"/>
        <w:contextualSpacing/>
        <w:rPr>
          <w:rFonts w:ascii="Calibri" w:hAnsi="Calibri"/>
          <w:szCs w:val="22"/>
        </w:rPr>
      </w:pPr>
      <w:r w:rsidRPr="00EC4659">
        <w:rPr>
          <w:rFonts w:ascii="Calibri" w:hAnsi="Calibri"/>
          <w:szCs w:val="22"/>
        </w:rPr>
        <w:lastRenderedPageBreak/>
        <w:t>Allocation system.</w:t>
      </w:r>
    </w:p>
    <w:p w14:paraId="1CA9EB14"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The quota is allocated at the start of the year.</w:t>
      </w:r>
    </w:p>
    <w:p w14:paraId="3DAC217A" w14:textId="77777777" w:rsidR="00EC4659" w:rsidRPr="00EC4659" w:rsidRDefault="00EC4659" w:rsidP="000F6D46">
      <w:pPr>
        <w:numPr>
          <w:ilvl w:val="2"/>
          <w:numId w:val="99"/>
        </w:numPr>
        <w:spacing w:after="160" w:line="259" w:lineRule="auto"/>
        <w:ind w:left="1134"/>
        <w:contextualSpacing/>
        <w:rPr>
          <w:rFonts w:ascii="Calibri" w:hAnsi="Calibri"/>
          <w:szCs w:val="22"/>
        </w:rPr>
      </w:pPr>
      <w:r w:rsidRPr="00EC4659">
        <w:rPr>
          <w:rFonts w:ascii="Calibri" w:hAnsi="Calibri"/>
          <w:szCs w:val="22"/>
        </w:rPr>
        <w:t>There would not be limitations on eligibility.</w:t>
      </w:r>
    </w:p>
    <w:p w14:paraId="0F8D1C8A" w14:textId="77777777" w:rsidR="00EC4659" w:rsidRPr="00EC4659" w:rsidRDefault="00EC4659" w:rsidP="000F6D46">
      <w:pPr>
        <w:numPr>
          <w:ilvl w:val="2"/>
          <w:numId w:val="99"/>
        </w:numPr>
        <w:spacing w:after="160" w:line="259" w:lineRule="auto"/>
        <w:ind w:left="1134"/>
        <w:contextualSpacing/>
        <w:rPr>
          <w:rFonts w:ascii="Calibri" w:hAnsi="Calibri"/>
          <w:szCs w:val="22"/>
        </w:rPr>
      </w:pPr>
      <w:r w:rsidRPr="00EC4659">
        <w:rPr>
          <w:rFonts w:ascii="Calibri" w:hAnsi="Calibri"/>
          <w:szCs w:val="22"/>
        </w:rPr>
        <w:t>Allocations would be calculated based on historical shipments under quota.</w:t>
      </w:r>
    </w:p>
    <w:p w14:paraId="338C9E18"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A new entrant provision would be included.</w:t>
      </w:r>
    </w:p>
    <w:p w14:paraId="3499CEE5"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A reclaim and reallocation process would be included.</w:t>
      </w:r>
    </w:p>
    <w:p w14:paraId="0BA2E84F" w14:textId="77777777" w:rsidR="00EC4659" w:rsidRPr="00EC4659" w:rsidRDefault="00EC4659" w:rsidP="000F6D46">
      <w:pPr>
        <w:numPr>
          <w:ilvl w:val="2"/>
          <w:numId w:val="99"/>
        </w:numPr>
        <w:spacing w:after="160" w:line="259" w:lineRule="auto"/>
        <w:ind w:left="1134"/>
        <w:contextualSpacing/>
        <w:rPr>
          <w:rFonts w:ascii="Calibri" w:hAnsi="Calibri"/>
          <w:szCs w:val="22"/>
        </w:rPr>
      </w:pPr>
      <w:r w:rsidRPr="00EC4659">
        <w:rPr>
          <w:rFonts w:ascii="Calibri" w:hAnsi="Calibri"/>
          <w:szCs w:val="22"/>
        </w:rPr>
        <w:t>Exporters can relinquish or retain quota, and can request more as an allocation.</w:t>
      </w:r>
    </w:p>
    <w:p w14:paraId="03B6CC42" w14:textId="77777777" w:rsidR="00EC4659" w:rsidRPr="00EC4659" w:rsidRDefault="00EC4659" w:rsidP="000F6D46">
      <w:pPr>
        <w:numPr>
          <w:ilvl w:val="2"/>
          <w:numId w:val="99"/>
        </w:numPr>
        <w:spacing w:after="160" w:line="259" w:lineRule="auto"/>
        <w:ind w:left="1134"/>
        <w:contextualSpacing/>
        <w:rPr>
          <w:rFonts w:ascii="Calibri" w:hAnsi="Calibri"/>
          <w:szCs w:val="22"/>
        </w:rPr>
      </w:pPr>
      <w:r w:rsidRPr="00EC4659">
        <w:rPr>
          <w:rFonts w:ascii="Calibri" w:hAnsi="Calibri"/>
          <w:szCs w:val="22"/>
        </w:rPr>
        <w:t>If any quota remains unallocated it will be available as FCFS (see process above).</w:t>
      </w:r>
    </w:p>
    <w:p w14:paraId="16C6C43D"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Initial quota allocations will be transferable; quota requested or retained during the reallocation process cannot be transferred.</w:t>
      </w:r>
    </w:p>
    <w:p w14:paraId="62631DD7" w14:textId="77777777" w:rsidR="00EC4659" w:rsidRPr="00EC4659" w:rsidRDefault="00EC4659" w:rsidP="000F6D46">
      <w:pPr>
        <w:numPr>
          <w:ilvl w:val="1"/>
          <w:numId w:val="99"/>
        </w:numPr>
        <w:spacing w:after="160" w:line="259" w:lineRule="auto"/>
        <w:ind w:left="709"/>
        <w:contextualSpacing/>
        <w:rPr>
          <w:rFonts w:ascii="Calibri" w:hAnsi="Calibri"/>
          <w:szCs w:val="22"/>
        </w:rPr>
      </w:pPr>
      <w:r w:rsidRPr="00EC4659">
        <w:rPr>
          <w:rFonts w:ascii="Calibri" w:hAnsi="Calibri"/>
          <w:szCs w:val="22"/>
        </w:rPr>
        <w:t>Penalties will be incurred if less than 90 per cent of a quota allocation has been used six weeks from the end of the quota year.</w:t>
      </w:r>
    </w:p>
    <w:p w14:paraId="0F7CBE77" w14:textId="77777777" w:rsidR="00EC4659" w:rsidRPr="00EC4659" w:rsidRDefault="00EC4659" w:rsidP="000F6D46">
      <w:pPr>
        <w:numPr>
          <w:ilvl w:val="2"/>
          <w:numId w:val="99"/>
        </w:numPr>
        <w:spacing w:after="120" w:line="259" w:lineRule="auto"/>
        <w:ind w:left="1134"/>
        <w:contextualSpacing/>
        <w:rPr>
          <w:rFonts w:ascii="Calibri" w:hAnsi="Calibri"/>
          <w:szCs w:val="22"/>
        </w:rPr>
      </w:pPr>
      <w:r w:rsidRPr="00EC4659">
        <w:rPr>
          <w:rFonts w:ascii="Calibri" w:hAnsi="Calibri"/>
          <w:szCs w:val="22"/>
        </w:rPr>
        <w:t>Penalties will be applied to the next quota allocation for the exporter.</w:t>
      </w:r>
    </w:p>
    <w:p w14:paraId="3FA38A49"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model also proposes the ability to change the chosen mechanism; if usage significantly changes in a quota a review could be conducted to consider if one of the other mechanism is more suitable.</w:t>
      </w:r>
    </w:p>
    <w:p w14:paraId="7FFCEF0D" w14:textId="77777777" w:rsidR="00EC4659" w:rsidRPr="00EC4659" w:rsidRDefault="00EC4659" w:rsidP="00EC4659">
      <w:pPr>
        <w:spacing w:after="120" w:line="259" w:lineRule="auto"/>
        <w:rPr>
          <w:rFonts w:ascii="Calibri Light" w:hAnsi="Calibri Light"/>
          <w:b/>
          <w:bCs/>
          <w:color w:val="5B9BD5"/>
          <w:sz w:val="24"/>
          <w:szCs w:val="24"/>
        </w:rPr>
      </w:pPr>
      <w:r w:rsidRPr="00EC4659">
        <w:rPr>
          <w:rFonts w:ascii="Calibri Light" w:hAnsi="Calibri Light"/>
          <w:color w:val="5B9BD5"/>
          <w:sz w:val="24"/>
          <w:szCs w:val="24"/>
        </w:rPr>
        <w:t>First come, first served</w:t>
      </w:r>
    </w:p>
    <w:p w14:paraId="256BD27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mechanism represents a non-regulatory management process.  There is no regulatory burden on exporters and therefore no additional costs with the exception of applying for quota certificates, which are importing country requirements.  The department would issue all quota certificates on the basis of completed RFPs (or equivalent); this is considered a true first come, first served process unlike the current FCFS in dairy quotas which is actually a form of allocation.</w:t>
      </w:r>
    </w:p>
    <w:p w14:paraId="3474F153" w14:textId="77777777" w:rsidR="00EC4659" w:rsidRPr="00EC4659" w:rsidRDefault="00EC4659" w:rsidP="00EC4659">
      <w:pPr>
        <w:spacing w:after="120" w:line="259" w:lineRule="auto"/>
        <w:rPr>
          <w:rFonts w:ascii="Calibri" w:hAnsi="Calibri"/>
          <w:i/>
          <w:szCs w:val="22"/>
          <w:lang w:eastAsia="ja-JP"/>
        </w:rPr>
      </w:pPr>
      <w:r w:rsidRPr="00EC4659">
        <w:rPr>
          <w:rFonts w:ascii="Calibri" w:hAnsi="Calibri"/>
          <w:i/>
          <w:szCs w:val="22"/>
          <w:lang w:eastAsia="ja-JP"/>
        </w:rPr>
        <w:t>Rationale</w:t>
      </w:r>
    </w:p>
    <w:p w14:paraId="055AC07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In regards to the 19 dairy quotas it is suggested that the vast majority of the quotas should be managed under the FCFS mechanism.  With the exception of US FTA butter and cheddar cheese quotas (and possibly the Other Dairy Products quota) none of the other quotas have consistently high usage.</w:t>
      </w:r>
    </w:p>
    <w:p w14:paraId="059566E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 review of the historical usage (see consultation handout) shows that in recent year these quotas have only had a handful of years when they have recorded high usage (almost all occurring in 2009 or earlier).</w:t>
      </w:r>
    </w:p>
    <w:p w14:paraId="4F985F37" w14:textId="77777777" w:rsidR="00EC4659" w:rsidRPr="00EC4659" w:rsidRDefault="00EC4659" w:rsidP="00EC4659">
      <w:pPr>
        <w:spacing w:line="259" w:lineRule="auto"/>
        <w:rPr>
          <w:rFonts w:ascii="Calibri" w:hAnsi="Calibri"/>
          <w:szCs w:val="22"/>
          <w:lang w:eastAsia="ja-JP"/>
        </w:rPr>
      </w:pPr>
      <w:r w:rsidRPr="00EC4659">
        <w:rPr>
          <w:rFonts w:ascii="Calibri" w:hAnsi="Calibri"/>
          <w:szCs w:val="22"/>
          <w:lang w:eastAsia="ja-JP"/>
        </w:rPr>
        <w:t>FCFS generally applies best where there is little-to-no likelihood of a quota being filled and therefore no risk of competition for access that acts outside of market signals.  The main benefits for dairy quotas would be:</w:t>
      </w:r>
    </w:p>
    <w:p w14:paraId="23899188" w14:textId="77777777" w:rsidR="00EC4659" w:rsidRPr="00EC4659" w:rsidRDefault="00EC4659" w:rsidP="000F6D46">
      <w:pPr>
        <w:numPr>
          <w:ilvl w:val="0"/>
          <w:numId w:val="99"/>
        </w:numPr>
        <w:spacing w:after="160" w:line="259" w:lineRule="auto"/>
        <w:contextualSpacing/>
        <w:rPr>
          <w:rFonts w:ascii="Calibri" w:hAnsi="Calibri"/>
          <w:szCs w:val="22"/>
          <w:lang w:eastAsia="ja-JP"/>
        </w:rPr>
      </w:pPr>
      <w:proofErr w:type="gramStart"/>
      <w:r w:rsidRPr="00EC4659">
        <w:rPr>
          <w:rFonts w:ascii="Calibri" w:hAnsi="Calibri"/>
          <w:szCs w:val="22"/>
          <w:lang w:eastAsia="ja-JP"/>
        </w:rPr>
        <w:t>that</w:t>
      </w:r>
      <w:proofErr w:type="gramEnd"/>
      <w:r w:rsidRPr="00EC4659">
        <w:rPr>
          <w:rFonts w:ascii="Calibri" w:hAnsi="Calibri"/>
          <w:szCs w:val="22"/>
          <w:lang w:eastAsia="ja-JP"/>
        </w:rPr>
        <w:t xml:space="preserve"> it removes any barriers to market access as any exporter can access it.</w:t>
      </w:r>
    </w:p>
    <w:p w14:paraId="6FA0CBFF" w14:textId="77777777" w:rsidR="00EC4659" w:rsidRPr="00EC4659" w:rsidRDefault="00EC4659" w:rsidP="000F6D46">
      <w:pPr>
        <w:numPr>
          <w:ilvl w:val="0"/>
          <w:numId w:val="99"/>
        </w:numPr>
        <w:spacing w:after="160" w:line="259" w:lineRule="auto"/>
        <w:contextualSpacing/>
        <w:rPr>
          <w:rFonts w:ascii="Calibri" w:hAnsi="Calibri"/>
          <w:szCs w:val="22"/>
          <w:lang w:eastAsia="ja-JP"/>
        </w:rPr>
      </w:pPr>
      <w:proofErr w:type="gramStart"/>
      <w:r w:rsidRPr="00EC4659">
        <w:rPr>
          <w:rFonts w:ascii="Calibri" w:hAnsi="Calibri"/>
          <w:szCs w:val="22"/>
          <w:lang w:eastAsia="ja-JP"/>
        </w:rPr>
        <w:t>that</w:t>
      </w:r>
      <w:proofErr w:type="gramEnd"/>
      <w:r w:rsidRPr="00EC4659">
        <w:rPr>
          <w:rFonts w:ascii="Calibri" w:hAnsi="Calibri"/>
          <w:szCs w:val="22"/>
          <w:lang w:eastAsia="ja-JP"/>
        </w:rPr>
        <w:t xml:space="preserve"> the quota is only allocated to a completed consignment application so it is not possible for one party to block the access of another party.</w:t>
      </w:r>
    </w:p>
    <w:p w14:paraId="06BEDB51" w14:textId="77777777" w:rsidR="00EC4659" w:rsidRPr="00EC4659" w:rsidRDefault="00EC4659" w:rsidP="000F6D46">
      <w:pPr>
        <w:numPr>
          <w:ilvl w:val="0"/>
          <w:numId w:val="99"/>
        </w:numPr>
        <w:spacing w:after="120" w:line="259" w:lineRule="auto"/>
        <w:contextualSpacing/>
        <w:rPr>
          <w:rFonts w:ascii="Calibri" w:hAnsi="Calibri"/>
          <w:szCs w:val="22"/>
          <w:lang w:eastAsia="ja-JP"/>
        </w:rPr>
      </w:pPr>
      <w:proofErr w:type="gramStart"/>
      <w:r w:rsidRPr="00EC4659">
        <w:rPr>
          <w:rFonts w:ascii="Calibri" w:hAnsi="Calibri"/>
          <w:szCs w:val="22"/>
          <w:lang w:eastAsia="ja-JP"/>
        </w:rPr>
        <w:t>that</w:t>
      </w:r>
      <w:proofErr w:type="gramEnd"/>
      <w:r w:rsidRPr="00EC4659">
        <w:rPr>
          <w:rFonts w:ascii="Calibri" w:hAnsi="Calibri"/>
          <w:szCs w:val="22"/>
          <w:lang w:eastAsia="ja-JP"/>
        </w:rPr>
        <w:t xml:space="preserve"> it does not favour a particular business model, so allows the market to dictate usage.</w:t>
      </w:r>
    </w:p>
    <w:p w14:paraId="62F078A2"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 complication for the dairy quotas is for the four US WTO quotas; a requirement of the United States legislation is that importers be nominated before the start of the quota year, including the percentage of each quota that they can access.  Currently this would prevent the use of the FCFS mechanism for these quotas.  However, if FCFS would be the preferred mechanism for these quotas the department is willing to discuss the nominated importer requirement with the US and whether this can be changed to cater for FCFS management.</w:t>
      </w:r>
    </w:p>
    <w:p w14:paraId="3E50C042" w14:textId="77777777" w:rsidR="00EC4659" w:rsidRPr="00EC4659" w:rsidRDefault="00EC4659" w:rsidP="00EC4659">
      <w:pPr>
        <w:spacing w:after="120" w:line="259" w:lineRule="auto"/>
        <w:rPr>
          <w:rFonts w:ascii="Calibri" w:hAnsi="Calibri"/>
          <w:szCs w:val="22"/>
          <w:lang w:eastAsia="ja-JP"/>
        </w:rPr>
      </w:pPr>
    </w:p>
    <w:tbl>
      <w:tblPr>
        <w:tblStyle w:val="TableGrid1"/>
        <w:tblW w:w="0" w:type="auto"/>
        <w:jc w:val="center"/>
        <w:tblLook w:val="04A0" w:firstRow="1" w:lastRow="0" w:firstColumn="1" w:lastColumn="0" w:noHBand="0" w:noVBand="1"/>
      </w:tblPr>
      <w:tblGrid>
        <w:gridCol w:w="8500"/>
      </w:tblGrid>
      <w:tr w:rsidR="00EC4659" w:rsidRPr="00EC4659" w14:paraId="1E6703CE" w14:textId="77777777" w:rsidTr="00EC4659">
        <w:trPr>
          <w:jc w:val="center"/>
        </w:trPr>
        <w:tc>
          <w:tcPr>
            <w:tcW w:w="8500" w:type="dxa"/>
            <w:shd w:val="clear" w:color="auto" w:fill="F2F2F2"/>
          </w:tcPr>
          <w:p w14:paraId="3AEC82E9" w14:textId="77777777" w:rsidR="00EC4659" w:rsidRPr="00EC4659" w:rsidRDefault="00EC4659" w:rsidP="00EC4659">
            <w:pPr>
              <w:spacing w:before="120" w:after="120" w:line="240" w:lineRule="auto"/>
              <w:rPr>
                <w:rFonts w:ascii="Calibri" w:hAnsi="Calibri"/>
                <w:b/>
                <w:bCs/>
                <w:sz w:val="20"/>
                <w:lang w:eastAsia="ja-JP"/>
              </w:rPr>
            </w:pPr>
            <w:r w:rsidRPr="00EC4659">
              <w:rPr>
                <w:rFonts w:ascii="Calibri" w:hAnsi="Calibri"/>
                <w:b/>
                <w:bCs/>
                <w:sz w:val="20"/>
                <w:lang w:eastAsia="ja-JP"/>
              </w:rPr>
              <w:lastRenderedPageBreak/>
              <w:t>Which dairy quotas should be managed under FCFS arrangements and why?</w:t>
            </w:r>
          </w:p>
        </w:tc>
      </w:tr>
      <w:tr w:rsidR="00EC4659" w:rsidRPr="00EC4659" w14:paraId="1E9F4679" w14:textId="77777777" w:rsidTr="00EC4659">
        <w:trPr>
          <w:jc w:val="center"/>
        </w:trPr>
        <w:tc>
          <w:tcPr>
            <w:tcW w:w="8500" w:type="dxa"/>
            <w:shd w:val="clear" w:color="auto" w:fill="F2F2F2"/>
          </w:tcPr>
          <w:p w14:paraId="7109C389" w14:textId="77777777" w:rsidR="00EC4659" w:rsidRPr="00EC4659" w:rsidRDefault="00EC4659" w:rsidP="00EC4659">
            <w:pPr>
              <w:spacing w:before="120" w:after="120" w:line="240" w:lineRule="auto"/>
              <w:rPr>
                <w:rFonts w:ascii="Calibri" w:hAnsi="Calibri"/>
                <w:b/>
                <w:bCs/>
                <w:sz w:val="20"/>
                <w:lang w:eastAsia="ja-JP"/>
              </w:rPr>
            </w:pPr>
            <w:r w:rsidRPr="00EC4659">
              <w:rPr>
                <w:rFonts w:ascii="Calibri" w:hAnsi="Calibri"/>
                <w:b/>
                <w:bCs/>
                <w:sz w:val="20"/>
                <w:lang w:eastAsia="ja-JP"/>
              </w:rPr>
              <w:t>Are there particular factors which would deter industry from choosing a FCFS mechanism?</w:t>
            </w:r>
          </w:p>
        </w:tc>
      </w:tr>
    </w:tbl>
    <w:p w14:paraId="5F5F526B" w14:textId="77777777" w:rsidR="00EC4659" w:rsidRPr="00EC4659" w:rsidRDefault="00EC4659" w:rsidP="00EC4659">
      <w:pPr>
        <w:keepNext/>
        <w:spacing w:before="120" w:after="120" w:line="259" w:lineRule="auto"/>
        <w:rPr>
          <w:rFonts w:ascii="Calibri Light" w:hAnsi="Calibri Light"/>
          <w:color w:val="5B9BD5"/>
          <w:sz w:val="24"/>
          <w:szCs w:val="24"/>
        </w:rPr>
      </w:pPr>
      <w:r w:rsidRPr="00EC4659">
        <w:rPr>
          <w:rFonts w:ascii="Calibri Light" w:hAnsi="Calibri Light"/>
          <w:color w:val="5B9BD5"/>
          <w:sz w:val="24"/>
          <w:szCs w:val="24"/>
        </w:rPr>
        <w:t>First come, first served with high-fill trigger</w:t>
      </w:r>
    </w:p>
    <w:p w14:paraId="66E9B12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mechanism is seen as a practical option for quotas which are normally underutilised, but would benefit from greater certainty when higher usage does occur.  This is effectively the system currently applied to the US beef quota.  Following initial consultation sessions the model has been slightly adjusted from the RIS proposal to better meet exporter needs.</w:t>
      </w:r>
    </w:p>
    <w:p w14:paraId="2E3D2C29"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Initially this system functions exactly as the FCFS mechanism, set out above.  There are then two possibilities:</w:t>
      </w:r>
    </w:p>
    <w:p w14:paraId="7BD3ED51" w14:textId="77777777" w:rsidR="00EC4659" w:rsidRPr="00EC4659" w:rsidRDefault="00EC4659" w:rsidP="000F6D46">
      <w:pPr>
        <w:numPr>
          <w:ilvl w:val="0"/>
          <w:numId w:val="100"/>
        </w:numPr>
        <w:spacing w:after="160" w:line="259" w:lineRule="auto"/>
        <w:contextualSpacing/>
        <w:rPr>
          <w:rFonts w:ascii="Calibri" w:hAnsi="Calibri"/>
          <w:szCs w:val="22"/>
          <w:lang w:eastAsia="ja-JP"/>
        </w:rPr>
      </w:pPr>
      <w:r w:rsidRPr="00EC4659">
        <w:rPr>
          <w:rFonts w:ascii="Calibri" w:hAnsi="Calibri"/>
          <w:szCs w:val="22"/>
          <w:lang w:eastAsia="ja-JP"/>
        </w:rPr>
        <w:t>nine months of the quota year passes without reaching 85 per cent usage, or</w:t>
      </w:r>
    </w:p>
    <w:p w14:paraId="0C44471F" w14:textId="77777777" w:rsidR="00EC4659" w:rsidRPr="00EC4659" w:rsidRDefault="00EC4659" w:rsidP="000F6D46">
      <w:pPr>
        <w:numPr>
          <w:ilvl w:val="0"/>
          <w:numId w:val="100"/>
        </w:numPr>
        <w:spacing w:after="120" w:line="259" w:lineRule="auto"/>
        <w:contextualSpacing/>
        <w:rPr>
          <w:rFonts w:ascii="Calibri" w:hAnsi="Calibri"/>
          <w:szCs w:val="22"/>
          <w:lang w:eastAsia="ja-JP"/>
        </w:rPr>
      </w:pPr>
      <w:r w:rsidRPr="00EC4659">
        <w:rPr>
          <w:rFonts w:ascii="Calibri" w:hAnsi="Calibri"/>
          <w:szCs w:val="22"/>
          <w:lang w:eastAsia="ja-JP"/>
        </w:rPr>
        <w:t xml:space="preserve">85 per cent of the quota is used before nine months of the quota year passes. </w:t>
      </w:r>
    </w:p>
    <w:p w14:paraId="32692C2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In the first case, the quota would remain as FCFS for the remainder of the quota year; no allocations would occur.  In the second case the department would allocate the remaining 15 per cent of the quota.</w:t>
      </w:r>
    </w:p>
    <w:p w14:paraId="07CECCDA"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If the trigger is reached it suggests that quota is highly sought-after, so it is likely exporters will wish to use it. The certainty of an allocation is therefore desirable.  Therefore, the allocation process is proposed to work as follows:</w:t>
      </w:r>
    </w:p>
    <w:p w14:paraId="23957906"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 xml:space="preserve">If it appears that the trigger may be reached the department will advise exporters what their </w:t>
      </w:r>
      <w:r w:rsidRPr="00EC4659">
        <w:rPr>
          <w:rFonts w:ascii="Calibri" w:hAnsi="Calibri"/>
          <w:i/>
          <w:szCs w:val="22"/>
          <w:lang w:eastAsia="ja-JP"/>
        </w:rPr>
        <w:t>notional</w:t>
      </w:r>
      <w:r w:rsidRPr="00EC4659">
        <w:rPr>
          <w:rFonts w:ascii="Calibri" w:hAnsi="Calibri"/>
          <w:szCs w:val="22"/>
          <w:lang w:eastAsia="ja-JP"/>
        </w:rPr>
        <w:t xml:space="preserve"> allocation would be. </w:t>
      </w:r>
    </w:p>
    <w:p w14:paraId="3850AD01" w14:textId="77777777" w:rsidR="00EC4659" w:rsidRPr="00EC4659" w:rsidRDefault="00EC4659" w:rsidP="000F6D46">
      <w:pPr>
        <w:numPr>
          <w:ilvl w:val="1"/>
          <w:numId w:val="101"/>
        </w:numPr>
        <w:spacing w:after="160" w:line="259" w:lineRule="auto"/>
        <w:ind w:left="709"/>
        <w:contextualSpacing/>
        <w:rPr>
          <w:rFonts w:ascii="Calibri" w:hAnsi="Calibri"/>
          <w:szCs w:val="22"/>
          <w:lang w:eastAsia="ja-JP"/>
        </w:rPr>
      </w:pPr>
      <w:r w:rsidRPr="00EC4659">
        <w:rPr>
          <w:rFonts w:ascii="Calibri" w:hAnsi="Calibri"/>
          <w:szCs w:val="22"/>
          <w:lang w:eastAsia="ja-JP"/>
        </w:rPr>
        <w:t>Only those who have exported during the current quota year will be offered allocations.</w:t>
      </w:r>
    </w:p>
    <w:p w14:paraId="0A09C054"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Final allocations will be issued the day the trigger is reached, being when 85 per cent of the quota is used before nine months of the quota year has passed (that is, before 1 October for dairy quotas).</w:t>
      </w:r>
    </w:p>
    <w:p w14:paraId="33241C80"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Allocations will be calculated proportionally, using quota shipment history from the previous two or three quota years (please see discussion question below).</w:t>
      </w:r>
    </w:p>
    <w:p w14:paraId="0B662701"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Allocations will only be given to those who have exported during the current quota year.</w:t>
      </w:r>
    </w:p>
    <w:p w14:paraId="68F3164C" w14:textId="77777777" w:rsidR="00EC4659" w:rsidRPr="00EC4659" w:rsidRDefault="00EC4659" w:rsidP="000F6D46">
      <w:pPr>
        <w:numPr>
          <w:ilvl w:val="1"/>
          <w:numId w:val="101"/>
        </w:numPr>
        <w:spacing w:after="160" w:line="259" w:lineRule="auto"/>
        <w:ind w:left="709"/>
        <w:contextualSpacing/>
        <w:rPr>
          <w:rFonts w:ascii="Calibri" w:hAnsi="Calibri"/>
          <w:szCs w:val="22"/>
          <w:lang w:eastAsia="ja-JP"/>
        </w:rPr>
      </w:pPr>
      <w:r w:rsidRPr="00EC4659">
        <w:rPr>
          <w:rFonts w:ascii="Calibri" w:hAnsi="Calibri"/>
          <w:szCs w:val="22"/>
          <w:lang w:eastAsia="ja-JP"/>
        </w:rPr>
        <w:t>Exporters will advise the department if they accept or decline their allocation.</w:t>
      </w:r>
    </w:p>
    <w:p w14:paraId="50AB3FA5" w14:textId="77777777" w:rsidR="00EC4659" w:rsidRPr="00EC4659" w:rsidRDefault="00EC4659" w:rsidP="000F6D46">
      <w:pPr>
        <w:numPr>
          <w:ilvl w:val="1"/>
          <w:numId w:val="101"/>
        </w:numPr>
        <w:spacing w:after="160" w:line="259" w:lineRule="auto"/>
        <w:ind w:left="709"/>
        <w:contextualSpacing/>
        <w:rPr>
          <w:rFonts w:ascii="Calibri" w:hAnsi="Calibri"/>
          <w:szCs w:val="22"/>
          <w:lang w:eastAsia="ja-JP"/>
        </w:rPr>
      </w:pPr>
      <w:r w:rsidRPr="00EC4659">
        <w:rPr>
          <w:rFonts w:ascii="Calibri" w:hAnsi="Calibri"/>
          <w:szCs w:val="22"/>
          <w:lang w:eastAsia="ja-JP"/>
        </w:rPr>
        <w:t>Any quota that is returned will re-enter a FCFS pool.</w:t>
      </w:r>
    </w:p>
    <w:p w14:paraId="54B57535"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Exporters can return unwanted quota at any time.</w:t>
      </w:r>
    </w:p>
    <w:p w14:paraId="505E4B0B"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The allocations will be freely transferable.</w:t>
      </w:r>
    </w:p>
    <w:p w14:paraId="4C71C833" w14:textId="77777777" w:rsidR="00EC4659" w:rsidRPr="00EC4659" w:rsidRDefault="00EC4659" w:rsidP="000F6D46">
      <w:pPr>
        <w:numPr>
          <w:ilvl w:val="0"/>
          <w:numId w:val="101"/>
        </w:numPr>
        <w:spacing w:after="120" w:line="259" w:lineRule="auto"/>
        <w:contextualSpacing/>
        <w:rPr>
          <w:rFonts w:ascii="Calibri" w:hAnsi="Calibri"/>
          <w:szCs w:val="22"/>
          <w:lang w:eastAsia="ja-JP"/>
        </w:rPr>
      </w:pPr>
      <w:r w:rsidRPr="00EC4659">
        <w:rPr>
          <w:rFonts w:ascii="Calibri" w:hAnsi="Calibri"/>
          <w:szCs w:val="22"/>
          <w:lang w:eastAsia="ja-JP"/>
        </w:rPr>
        <w:t>There will not be penalty provisions.</w:t>
      </w:r>
    </w:p>
    <w:p w14:paraId="441A394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i/>
          <w:szCs w:val="22"/>
          <w:lang w:eastAsia="ja-JP"/>
        </w:rPr>
        <w:t>Rationale</w:t>
      </w:r>
    </w:p>
    <w:p w14:paraId="3D13153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mechanism may be a viable option for the US FTA butter and cheddar cheese quotas.  Usage of these quotas can fluctuate from year to year; a review of historical usage shows that the butter quota has had more than 85 per cent of its quota used four times in the last five years, while the cheddar cheese quota has had more than 85 per cent used in the past two years.  Conversely, in the past six years no other year for these quotas has reached 40 per cent use:</w:t>
      </w:r>
    </w:p>
    <w:p w14:paraId="20224F21" w14:textId="77777777" w:rsidR="00EC4659" w:rsidRPr="00EC4659" w:rsidRDefault="00EC4659" w:rsidP="00EC4659">
      <w:pPr>
        <w:kinsoku w:val="0"/>
        <w:overflowPunct w:val="0"/>
        <w:autoSpaceDE w:val="0"/>
        <w:autoSpaceDN w:val="0"/>
        <w:adjustRightInd w:val="0"/>
        <w:spacing w:before="4" w:line="240" w:lineRule="auto"/>
        <w:rPr>
          <w:sz w:val="2"/>
          <w:szCs w:val="2"/>
          <w:lang w:eastAsia="en-AU"/>
        </w:rPr>
      </w:pPr>
    </w:p>
    <w:tbl>
      <w:tblPr>
        <w:tblW w:w="9142" w:type="dxa"/>
        <w:tblLayout w:type="fixed"/>
        <w:tblCellMar>
          <w:left w:w="0" w:type="dxa"/>
          <w:right w:w="0" w:type="dxa"/>
        </w:tblCellMar>
        <w:tblLook w:val="0000" w:firstRow="0" w:lastRow="0" w:firstColumn="0" w:lastColumn="0" w:noHBand="0" w:noVBand="0"/>
        <w:tblCaption w:val="Dairy Quota Usage from 2006 to 2016"/>
        <w:tblDescription w:val="This table details the quota usage for the Butter and Cheddar Cheese dairy quotas, from 2016 going back to 2006."/>
      </w:tblPr>
      <w:tblGrid>
        <w:gridCol w:w="2057"/>
        <w:gridCol w:w="643"/>
        <w:gridCol w:w="643"/>
        <w:gridCol w:w="653"/>
        <w:gridCol w:w="643"/>
        <w:gridCol w:w="643"/>
        <w:gridCol w:w="644"/>
        <w:gridCol w:w="643"/>
        <w:gridCol w:w="643"/>
        <w:gridCol w:w="643"/>
        <w:gridCol w:w="643"/>
        <w:gridCol w:w="644"/>
      </w:tblGrid>
      <w:tr w:rsidR="00EC4659" w:rsidRPr="00EC4659" w14:paraId="1031746E" w14:textId="77777777" w:rsidTr="00EC4659">
        <w:trPr>
          <w:trHeight w:hRule="exact" w:val="336"/>
        </w:trPr>
        <w:tc>
          <w:tcPr>
            <w:tcW w:w="9142" w:type="dxa"/>
            <w:gridSpan w:val="12"/>
            <w:tcBorders>
              <w:top w:val="nil"/>
              <w:left w:val="nil"/>
              <w:bottom w:val="nil"/>
              <w:right w:val="nil"/>
            </w:tcBorders>
            <w:shd w:val="clear" w:color="auto" w:fill="7BA79D"/>
          </w:tcPr>
          <w:p w14:paraId="5F425E88" w14:textId="77777777" w:rsidR="00EC4659" w:rsidRPr="00EC4659" w:rsidRDefault="00EC4659" w:rsidP="00EC4659">
            <w:pPr>
              <w:kinsoku w:val="0"/>
              <w:overflowPunct w:val="0"/>
              <w:autoSpaceDE w:val="0"/>
              <w:autoSpaceDN w:val="0"/>
              <w:adjustRightInd w:val="0"/>
              <w:spacing w:before="57" w:line="240" w:lineRule="auto"/>
              <w:ind w:left="107"/>
              <w:rPr>
                <w:sz w:val="24"/>
                <w:szCs w:val="24"/>
                <w:lang w:eastAsia="en-AU"/>
              </w:rPr>
            </w:pPr>
            <w:r w:rsidRPr="00EC4659">
              <w:rPr>
                <w:rFonts w:ascii="Cambria" w:hAnsi="Cambria" w:cs="Cambria"/>
                <w:b/>
                <w:bCs/>
                <w:sz w:val="18"/>
                <w:szCs w:val="18"/>
                <w:lang w:eastAsia="en-AU"/>
              </w:rPr>
              <w:t>Dairy Quota Usage</w:t>
            </w:r>
            <w:r w:rsidRPr="00EC4659">
              <w:rPr>
                <w:rFonts w:ascii="Cambria" w:hAnsi="Cambria" w:cs="Cambria"/>
                <w:b/>
                <w:bCs/>
                <w:spacing w:val="1"/>
                <w:sz w:val="18"/>
                <w:szCs w:val="18"/>
                <w:lang w:eastAsia="en-AU"/>
              </w:rPr>
              <w:t xml:space="preserve"> </w:t>
            </w:r>
            <w:r w:rsidRPr="00EC4659">
              <w:rPr>
                <w:rFonts w:ascii="Cambria" w:hAnsi="Cambria" w:cs="Cambria"/>
                <w:b/>
                <w:bCs/>
                <w:sz w:val="18"/>
                <w:szCs w:val="18"/>
                <w:lang w:eastAsia="en-AU"/>
              </w:rPr>
              <w:t>2006-2016 (%)</w:t>
            </w:r>
          </w:p>
        </w:tc>
      </w:tr>
      <w:tr w:rsidR="00EC4659" w:rsidRPr="00EC4659" w14:paraId="76823481" w14:textId="77777777" w:rsidTr="00EC4659">
        <w:trPr>
          <w:trHeight w:hRule="exact" w:val="341"/>
        </w:trPr>
        <w:tc>
          <w:tcPr>
            <w:tcW w:w="2057" w:type="dxa"/>
            <w:tcBorders>
              <w:top w:val="nil"/>
              <w:left w:val="single" w:sz="4" w:space="0" w:color="7BA79D"/>
              <w:bottom w:val="single" w:sz="4" w:space="0" w:color="7BA79D"/>
              <w:right w:val="single" w:sz="4" w:space="0" w:color="7BA79D"/>
            </w:tcBorders>
            <w:shd w:val="clear" w:color="auto" w:fill="AFCAC4"/>
          </w:tcPr>
          <w:p w14:paraId="544C5E73"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Product</w:t>
            </w:r>
          </w:p>
        </w:tc>
        <w:tc>
          <w:tcPr>
            <w:tcW w:w="643" w:type="dxa"/>
            <w:tcBorders>
              <w:top w:val="nil"/>
              <w:left w:val="single" w:sz="4" w:space="0" w:color="7BA79D"/>
              <w:bottom w:val="single" w:sz="4" w:space="0" w:color="7BA79D"/>
              <w:right w:val="single" w:sz="4" w:space="0" w:color="7BA79D"/>
            </w:tcBorders>
            <w:shd w:val="clear" w:color="auto" w:fill="AFCAC4"/>
          </w:tcPr>
          <w:p w14:paraId="10D04E5A"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2016</w:t>
            </w:r>
          </w:p>
        </w:tc>
        <w:tc>
          <w:tcPr>
            <w:tcW w:w="643" w:type="dxa"/>
            <w:tcBorders>
              <w:top w:val="nil"/>
              <w:left w:val="single" w:sz="4" w:space="0" w:color="7BA79D"/>
              <w:bottom w:val="single" w:sz="4" w:space="0" w:color="7BA79D"/>
              <w:right w:val="single" w:sz="4" w:space="0" w:color="7BA79D"/>
            </w:tcBorders>
            <w:shd w:val="clear" w:color="auto" w:fill="AFCAC4"/>
          </w:tcPr>
          <w:p w14:paraId="225A8DBE"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2015</w:t>
            </w:r>
          </w:p>
        </w:tc>
        <w:tc>
          <w:tcPr>
            <w:tcW w:w="653" w:type="dxa"/>
            <w:tcBorders>
              <w:top w:val="nil"/>
              <w:left w:val="single" w:sz="4" w:space="0" w:color="7BA79D"/>
              <w:bottom w:val="single" w:sz="4" w:space="0" w:color="7BA79D"/>
              <w:right w:val="single" w:sz="4" w:space="0" w:color="7BA79D"/>
            </w:tcBorders>
            <w:shd w:val="clear" w:color="auto" w:fill="AFCAC4"/>
          </w:tcPr>
          <w:p w14:paraId="06FC6A99"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2014</w:t>
            </w:r>
          </w:p>
        </w:tc>
        <w:tc>
          <w:tcPr>
            <w:tcW w:w="643" w:type="dxa"/>
            <w:tcBorders>
              <w:top w:val="nil"/>
              <w:left w:val="single" w:sz="4" w:space="0" w:color="7BA79D"/>
              <w:bottom w:val="single" w:sz="4" w:space="0" w:color="7BA79D"/>
              <w:right w:val="single" w:sz="4" w:space="0" w:color="7BA79D"/>
            </w:tcBorders>
            <w:shd w:val="clear" w:color="auto" w:fill="AFCAC4"/>
          </w:tcPr>
          <w:p w14:paraId="1C922861"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2013</w:t>
            </w:r>
          </w:p>
        </w:tc>
        <w:tc>
          <w:tcPr>
            <w:tcW w:w="643" w:type="dxa"/>
            <w:tcBorders>
              <w:top w:val="nil"/>
              <w:left w:val="single" w:sz="4" w:space="0" w:color="7BA79D"/>
              <w:bottom w:val="single" w:sz="4" w:space="0" w:color="7BA79D"/>
              <w:right w:val="single" w:sz="4" w:space="0" w:color="7BA79D"/>
            </w:tcBorders>
            <w:shd w:val="clear" w:color="auto" w:fill="AFCAC4"/>
          </w:tcPr>
          <w:p w14:paraId="2E23DEF1"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2012</w:t>
            </w:r>
          </w:p>
        </w:tc>
        <w:tc>
          <w:tcPr>
            <w:tcW w:w="644" w:type="dxa"/>
            <w:tcBorders>
              <w:top w:val="nil"/>
              <w:left w:val="single" w:sz="4" w:space="0" w:color="7BA79D"/>
              <w:bottom w:val="single" w:sz="4" w:space="0" w:color="7BA79D"/>
              <w:right w:val="single" w:sz="4" w:space="0" w:color="7BA79D"/>
            </w:tcBorders>
            <w:shd w:val="clear" w:color="auto" w:fill="AFCAC4"/>
          </w:tcPr>
          <w:p w14:paraId="312C84E4"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2011</w:t>
            </w:r>
          </w:p>
        </w:tc>
        <w:tc>
          <w:tcPr>
            <w:tcW w:w="643" w:type="dxa"/>
            <w:tcBorders>
              <w:top w:val="nil"/>
              <w:left w:val="single" w:sz="4" w:space="0" w:color="7BA79D"/>
              <w:bottom w:val="single" w:sz="4" w:space="0" w:color="7BA79D"/>
              <w:right w:val="single" w:sz="4" w:space="0" w:color="7BA79D"/>
            </w:tcBorders>
            <w:shd w:val="clear" w:color="auto" w:fill="AFCAC4"/>
          </w:tcPr>
          <w:p w14:paraId="13F2E14B"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2010</w:t>
            </w:r>
          </w:p>
        </w:tc>
        <w:tc>
          <w:tcPr>
            <w:tcW w:w="643" w:type="dxa"/>
            <w:tcBorders>
              <w:top w:val="nil"/>
              <w:left w:val="single" w:sz="4" w:space="0" w:color="7BA79D"/>
              <w:bottom w:val="single" w:sz="4" w:space="0" w:color="7BA79D"/>
              <w:right w:val="single" w:sz="4" w:space="0" w:color="7BA79D"/>
            </w:tcBorders>
            <w:shd w:val="clear" w:color="auto" w:fill="AFCAC4"/>
          </w:tcPr>
          <w:p w14:paraId="67B9B224"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b/>
                <w:bCs/>
                <w:sz w:val="18"/>
                <w:szCs w:val="18"/>
                <w:lang w:eastAsia="en-AU"/>
              </w:rPr>
              <w:t>2009</w:t>
            </w:r>
          </w:p>
        </w:tc>
        <w:tc>
          <w:tcPr>
            <w:tcW w:w="643" w:type="dxa"/>
            <w:tcBorders>
              <w:top w:val="nil"/>
              <w:left w:val="single" w:sz="4" w:space="0" w:color="7BA79D"/>
              <w:bottom w:val="single" w:sz="4" w:space="0" w:color="7BA79D"/>
              <w:right w:val="single" w:sz="4" w:space="0" w:color="7BA79D"/>
            </w:tcBorders>
            <w:shd w:val="clear" w:color="auto" w:fill="AFCAC4"/>
          </w:tcPr>
          <w:p w14:paraId="59F3FC3F" w14:textId="77777777" w:rsidR="00EC4659" w:rsidRPr="00EC4659" w:rsidRDefault="00EC4659" w:rsidP="00EC4659">
            <w:pPr>
              <w:kinsoku w:val="0"/>
              <w:overflowPunct w:val="0"/>
              <w:autoSpaceDE w:val="0"/>
              <w:autoSpaceDN w:val="0"/>
              <w:adjustRightInd w:val="0"/>
              <w:spacing w:before="57" w:line="240" w:lineRule="auto"/>
              <w:ind w:left="100"/>
              <w:rPr>
                <w:sz w:val="24"/>
                <w:szCs w:val="24"/>
                <w:lang w:eastAsia="en-AU"/>
              </w:rPr>
            </w:pPr>
            <w:r w:rsidRPr="00EC4659">
              <w:rPr>
                <w:rFonts w:ascii="Cambria" w:hAnsi="Cambria" w:cs="Cambria"/>
                <w:b/>
                <w:bCs/>
                <w:sz w:val="18"/>
                <w:szCs w:val="18"/>
                <w:lang w:eastAsia="en-AU"/>
              </w:rPr>
              <w:t>2008</w:t>
            </w:r>
          </w:p>
        </w:tc>
        <w:tc>
          <w:tcPr>
            <w:tcW w:w="643" w:type="dxa"/>
            <w:tcBorders>
              <w:top w:val="nil"/>
              <w:left w:val="single" w:sz="4" w:space="0" w:color="7BA79D"/>
              <w:bottom w:val="single" w:sz="4" w:space="0" w:color="7BA79D"/>
              <w:right w:val="single" w:sz="4" w:space="0" w:color="7BA79D"/>
            </w:tcBorders>
            <w:shd w:val="clear" w:color="auto" w:fill="AFCAC4"/>
          </w:tcPr>
          <w:p w14:paraId="0020EFAE" w14:textId="77777777" w:rsidR="00EC4659" w:rsidRPr="00EC4659" w:rsidRDefault="00EC4659" w:rsidP="00EC4659">
            <w:pPr>
              <w:kinsoku w:val="0"/>
              <w:overflowPunct w:val="0"/>
              <w:autoSpaceDE w:val="0"/>
              <w:autoSpaceDN w:val="0"/>
              <w:adjustRightInd w:val="0"/>
              <w:spacing w:before="57" w:line="240" w:lineRule="auto"/>
              <w:ind w:left="100"/>
              <w:rPr>
                <w:sz w:val="24"/>
                <w:szCs w:val="24"/>
                <w:lang w:eastAsia="en-AU"/>
              </w:rPr>
            </w:pPr>
            <w:r w:rsidRPr="00EC4659">
              <w:rPr>
                <w:rFonts w:ascii="Cambria" w:hAnsi="Cambria" w:cs="Cambria"/>
                <w:b/>
                <w:bCs/>
                <w:sz w:val="18"/>
                <w:szCs w:val="18"/>
                <w:lang w:eastAsia="en-AU"/>
              </w:rPr>
              <w:t>2007</w:t>
            </w:r>
          </w:p>
        </w:tc>
        <w:tc>
          <w:tcPr>
            <w:tcW w:w="644" w:type="dxa"/>
            <w:tcBorders>
              <w:top w:val="nil"/>
              <w:left w:val="single" w:sz="4" w:space="0" w:color="7BA79D"/>
              <w:bottom w:val="single" w:sz="4" w:space="0" w:color="7BA79D"/>
              <w:right w:val="single" w:sz="4" w:space="0" w:color="7BA79D"/>
            </w:tcBorders>
            <w:shd w:val="clear" w:color="auto" w:fill="AFCAC4"/>
          </w:tcPr>
          <w:p w14:paraId="0A97A42E" w14:textId="77777777" w:rsidR="00EC4659" w:rsidRPr="00EC4659" w:rsidRDefault="00EC4659" w:rsidP="00EC4659">
            <w:pPr>
              <w:kinsoku w:val="0"/>
              <w:overflowPunct w:val="0"/>
              <w:autoSpaceDE w:val="0"/>
              <w:autoSpaceDN w:val="0"/>
              <w:adjustRightInd w:val="0"/>
              <w:spacing w:before="57" w:line="240" w:lineRule="auto"/>
              <w:ind w:left="100"/>
              <w:rPr>
                <w:sz w:val="24"/>
                <w:szCs w:val="24"/>
                <w:lang w:eastAsia="en-AU"/>
              </w:rPr>
            </w:pPr>
            <w:r w:rsidRPr="00EC4659">
              <w:rPr>
                <w:rFonts w:ascii="Cambria" w:hAnsi="Cambria" w:cs="Cambria"/>
                <w:b/>
                <w:bCs/>
                <w:sz w:val="18"/>
                <w:szCs w:val="18"/>
                <w:lang w:eastAsia="en-AU"/>
              </w:rPr>
              <w:t>2006</w:t>
            </w:r>
          </w:p>
        </w:tc>
      </w:tr>
      <w:tr w:rsidR="00EC4659" w:rsidRPr="00EC4659" w14:paraId="37AB7B12" w14:textId="77777777" w:rsidTr="00EC4659">
        <w:trPr>
          <w:trHeight w:hRule="exact" w:val="342"/>
        </w:trPr>
        <w:tc>
          <w:tcPr>
            <w:tcW w:w="2057" w:type="dxa"/>
            <w:tcBorders>
              <w:top w:val="single" w:sz="4" w:space="0" w:color="7BA79D"/>
              <w:left w:val="single" w:sz="4" w:space="0" w:color="7BA79D"/>
              <w:bottom w:val="single" w:sz="4" w:space="0" w:color="7BA79D"/>
              <w:right w:val="single" w:sz="4" w:space="0" w:color="7BA79D"/>
            </w:tcBorders>
          </w:tcPr>
          <w:p w14:paraId="7C251F21" w14:textId="77777777" w:rsidR="00EC4659" w:rsidRPr="00EC4659" w:rsidRDefault="00EC4659" w:rsidP="00EC4659">
            <w:pPr>
              <w:kinsoku w:val="0"/>
              <w:overflowPunct w:val="0"/>
              <w:autoSpaceDE w:val="0"/>
              <w:autoSpaceDN w:val="0"/>
              <w:adjustRightInd w:val="0"/>
              <w:spacing w:before="57" w:line="240" w:lineRule="auto"/>
              <w:ind w:left="103"/>
              <w:rPr>
                <w:sz w:val="24"/>
                <w:szCs w:val="24"/>
                <w:lang w:eastAsia="en-AU"/>
              </w:rPr>
            </w:pPr>
            <w:r w:rsidRPr="00EC4659">
              <w:rPr>
                <w:rFonts w:ascii="Cambria" w:hAnsi="Cambria" w:cs="Cambria"/>
                <w:sz w:val="18"/>
                <w:szCs w:val="18"/>
                <w:lang w:eastAsia="en-AU"/>
              </w:rPr>
              <w:t>Butter</w:t>
            </w:r>
          </w:p>
        </w:tc>
        <w:tc>
          <w:tcPr>
            <w:tcW w:w="643" w:type="dxa"/>
            <w:tcBorders>
              <w:top w:val="single" w:sz="4" w:space="0" w:color="7BA79D"/>
              <w:left w:val="single" w:sz="4" w:space="0" w:color="7BA79D"/>
              <w:bottom w:val="single" w:sz="4" w:space="0" w:color="7BA79D"/>
              <w:right w:val="single" w:sz="4" w:space="0" w:color="7BA79D"/>
            </w:tcBorders>
            <w:shd w:val="clear" w:color="auto" w:fill="92D050"/>
          </w:tcPr>
          <w:p w14:paraId="372823A9" w14:textId="77777777" w:rsidR="00EC4659" w:rsidRPr="00EC4659" w:rsidRDefault="00EC4659" w:rsidP="00EC4659">
            <w:pPr>
              <w:kinsoku w:val="0"/>
              <w:overflowPunct w:val="0"/>
              <w:autoSpaceDE w:val="0"/>
              <w:autoSpaceDN w:val="0"/>
              <w:adjustRightInd w:val="0"/>
              <w:spacing w:before="57" w:line="240" w:lineRule="auto"/>
              <w:ind w:left="103"/>
              <w:jc w:val="center"/>
              <w:rPr>
                <w:sz w:val="24"/>
                <w:szCs w:val="24"/>
                <w:lang w:eastAsia="en-AU"/>
              </w:rPr>
            </w:pPr>
            <w:r w:rsidRPr="00EC4659">
              <w:rPr>
                <w:rFonts w:ascii="Cambria" w:hAnsi="Cambria" w:cs="Cambria"/>
                <w:sz w:val="18"/>
                <w:szCs w:val="18"/>
                <w:lang w:eastAsia="en-AU"/>
              </w:rPr>
              <w:t>88</w:t>
            </w:r>
          </w:p>
        </w:tc>
        <w:tc>
          <w:tcPr>
            <w:tcW w:w="643" w:type="dxa"/>
            <w:tcBorders>
              <w:top w:val="single" w:sz="4" w:space="0" w:color="7BA79D"/>
              <w:left w:val="single" w:sz="4" w:space="0" w:color="7BA79D"/>
              <w:bottom w:val="single" w:sz="4" w:space="0" w:color="7BA79D"/>
              <w:right w:val="single" w:sz="4" w:space="0" w:color="7BA79D"/>
            </w:tcBorders>
            <w:shd w:val="clear" w:color="auto" w:fill="92D050"/>
          </w:tcPr>
          <w:p w14:paraId="19ECC8D0" w14:textId="77777777" w:rsidR="00EC4659" w:rsidRPr="00EC4659" w:rsidRDefault="00EC4659" w:rsidP="00EC4659">
            <w:pPr>
              <w:kinsoku w:val="0"/>
              <w:overflowPunct w:val="0"/>
              <w:autoSpaceDE w:val="0"/>
              <w:autoSpaceDN w:val="0"/>
              <w:adjustRightInd w:val="0"/>
              <w:spacing w:before="57" w:line="240" w:lineRule="auto"/>
              <w:ind w:left="103"/>
              <w:jc w:val="center"/>
              <w:rPr>
                <w:sz w:val="24"/>
                <w:szCs w:val="24"/>
                <w:lang w:eastAsia="en-AU"/>
              </w:rPr>
            </w:pPr>
            <w:r w:rsidRPr="00EC4659">
              <w:rPr>
                <w:rFonts w:ascii="Cambria" w:hAnsi="Cambria" w:cs="Cambria"/>
                <w:sz w:val="18"/>
                <w:szCs w:val="18"/>
                <w:lang w:eastAsia="en-AU"/>
              </w:rPr>
              <w:t>99</w:t>
            </w:r>
          </w:p>
        </w:tc>
        <w:tc>
          <w:tcPr>
            <w:tcW w:w="653" w:type="dxa"/>
            <w:tcBorders>
              <w:top w:val="single" w:sz="4" w:space="0" w:color="7BA79D"/>
              <w:left w:val="single" w:sz="4" w:space="0" w:color="7BA79D"/>
              <w:bottom w:val="single" w:sz="4" w:space="0" w:color="7BA79D"/>
              <w:right w:val="single" w:sz="4" w:space="0" w:color="7BA79D"/>
            </w:tcBorders>
            <w:shd w:val="clear" w:color="auto" w:fill="FFFF00"/>
          </w:tcPr>
          <w:p w14:paraId="2BE092CE" w14:textId="77777777" w:rsidR="00EC4659" w:rsidRPr="00EC4659" w:rsidRDefault="00EC4659" w:rsidP="00EC4659">
            <w:pPr>
              <w:kinsoku w:val="0"/>
              <w:overflowPunct w:val="0"/>
              <w:autoSpaceDE w:val="0"/>
              <w:autoSpaceDN w:val="0"/>
              <w:adjustRightInd w:val="0"/>
              <w:spacing w:before="57" w:line="240" w:lineRule="auto"/>
              <w:ind w:left="103"/>
              <w:jc w:val="center"/>
              <w:rPr>
                <w:sz w:val="24"/>
                <w:szCs w:val="24"/>
                <w:lang w:eastAsia="en-AU"/>
              </w:rPr>
            </w:pPr>
            <w:r w:rsidRPr="00EC4659">
              <w:rPr>
                <w:rFonts w:ascii="Cambria" w:hAnsi="Cambria" w:cs="Cambria"/>
                <w:sz w:val="18"/>
                <w:szCs w:val="18"/>
                <w:lang w:eastAsia="en-AU"/>
              </w:rPr>
              <w:t>32</w:t>
            </w:r>
          </w:p>
        </w:tc>
        <w:tc>
          <w:tcPr>
            <w:tcW w:w="643" w:type="dxa"/>
            <w:tcBorders>
              <w:top w:val="single" w:sz="4" w:space="0" w:color="7BA79D"/>
              <w:left w:val="single" w:sz="4" w:space="0" w:color="7BA79D"/>
              <w:bottom w:val="single" w:sz="4" w:space="0" w:color="7BA79D"/>
              <w:right w:val="single" w:sz="4" w:space="0" w:color="7BA79D"/>
            </w:tcBorders>
            <w:shd w:val="clear" w:color="auto" w:fill="92D050"/>
          </w:tcPr>
          <w:p w14:paraId="616CA800" w14:textId="77777777" w:rsidR="00EC4659" w:rsidRPr="00EC4659" w:rsidRDefault="00EC4659" w:rsidP="00EC4659">
            <w:pPr>
              <w:kinsoku w:val="0"/>
              <w:overflowPunct w:val="0"/>
              <w:autoSpaceDE w:val="0"/>
              <w:autoSpaceDN w:val="0"/>
              <w:adjustRightInd w:val="0"/>
              <w:spacing w:before="57" w:line="240" w:lineRule="auto"/>
              <w:ind w:left="103"/>
              <w:jc w:val="center"/>
              <w:rPr>
                <w:sz w:val="24"/>
                <w:szCs w:val="24"/>
                <w:lang w:eastAsia="en-AU"/>
              </w:rPr>
            </w:pPr>
            <w:r w:rsidRPr="00EC4659">
              <w:rPr>
                <w:rFonts w:ascii="Cambria" w:hAnsi="Cambria" w:cs="Cambria"/>
                <w:sz w:val="18"/>
                <w:szCs w:val="18"/>
                <w:lang w:eastAsia="en-AU"/>
              </w:rPr>
              <w:t>90</w:t>
            </w:r>
          </w:p>
        </w:tc>
        <w:tc>
          <w:tcPr>
            <w:tcW w:w="643" w:type="dxa"/>
            <w:tcBorders>
              <w:top w:val="single" w:sz="4" w:space="0" w:color="7BA79D"/>
              <w:left w:val="single" w:sz="4" w:space="0" w:color="7BA79D"/>
              <w:bottom w:val="single" w:sz="4" w:space="0" w:color="7BA79D"/>
              <w:right w:val="single" w:sz="4" w:space="0" w:color="7BA79D"/>
            </w:tcBorders>
            <w:shd w:val="clear" w:color="auto" w:fill="92D050"/>
          </w:tcPr>
          <w:p w14:paraId="2075E690" w14:textId="77777777" w:rsidR="00EC4659" w:rsidRPr="00EC4659" w:rsidRDefault="00EC4659" w:rsidP="00EC4659">
            <w:pPr>
              <w:kinsoku w:val="0"/>
              <w:overflowPunct w:val="0"/>
              <w:autoSpaceDE w:val="0"/>
              <w:autoSpaceDN w:val="0"/>
              <w:adjustRightInd w:val="0"/>
              <w:spacing w:before="57" w:line="240" w:lineRule="auto"/>
              <w:ind w:left="103"/>
              <w:jc w:val="center"/>
              <w:rPr>
                <w:sz w:val="24"/>
                <w:szCs w:val="24"/>
                <w:lang w:eastAsia="en-AU"/>
              </w:rPr>
            </w:pPr>
            <w:r w:rsidRPr="00EC4659">
              <w:rPr>
                <w:rFonts w:ascii="Cambria" w:hAnsi="Cambria" w:cs="Cambria"/>
                <w:sz w:val="18"/>
                <w:szCs w:val="18"/>
                <w:lang w:eastAsia="en-AU"/>
              </w:rPr>
              <w:t>98</w:t>
            </w:r>
          </w:p>
        </w:tc>
        <w:tc>
          <w:tcPr>
            <w:tcW w:w="644" w:type="dxa"/>
            <w:tcBorders>
              <w:top w:val="single" w:sz="4" w:space="0" w:color="7BA79D"/>
              <w:left w:val="single" w:sz="4" w:space="0" w:color="7BA79D"/>
              <w:bottom w:val="single" w:sz="4" w:space="0" w:color="7BA79D"/>
              <w:right w:val="single" w:sz="4" w:space="0" w:color="7BA79D"/>
            </w:tcBorders>
            <w:shd w:val="clear" w:color="auto" w:fill="FFFF00"/>
          </w:tcPr>
          <w:p w14:paraId="661ADEA1" w14:textId="77777777" w:rsidR="00EC4659" w:rsidRPr="00EC4659" w:rsidRDefault="00EC4659" w:rsidP="00EC4659">
            <w:pPr>
              <w:kinsoku w:val="0"/>
              <w:overflowPunct w:val="0"/>
              <w:autoSpaceDE w:val="0"/>
              <w:autoSpaceDN w:val="0"/>
              <w:adjustRightInd w:val="0"/>
              <w:spacing w:before="57" w:line="240" w:lineRule="auto"/>
              <w:ind w:left="103"/>
              <w:jc w:val="center"/>
              <w:rPr>
                <w:sz w:val="24"/>
                <w:szCs w:val="24"/>
                <w:lang w:eastAsia="en-AU"/>
              </w:rPr>
            </w:pPr>
            <w:r w:rsidRPr="00EC4659">
              <w:rPr>
                <w:rFonts w:ascii="Cambria" w:hAnsi="Cambria" w:cs="Cambria"/>
                <w:sz w:val="18"/>
                <w:szCs w:val="18"/>
                <w:lang w:eastAsia="en-AU"/>
              </w:rPr>
              <w:t>35</w:t>
            </w:r>
          </w:p>
        </w:tc>
        <w:tc>
          <w:tcPr>
            <w:tcW w:w="643" w:type="dxa"/>
            <w:tcBorders>
              <w:top w:val="single" w:sz="4" w:space="0" w:color="7BA79D"/>
              <w:left w:val="single" w:sz="4" w:space="0" w:color="7BA79D"/>
              <w:bottom w:val="single" w:sz="4" w:space="0" w:color="7BA79D"/>
              <w:right w:val="single" w:sz="4" w:space="0" w:color="7BA79D"/>
            </w:tcBorders>
          </w:tcPr>
          <w:p w14:paraId="2FDBA8CC" w14:textId="77777777" w:rsidR="00EC4659" w:rsidRPr="00EC4659" w:rsidRDefault="00EC4659" w:rsidP="00EC4659">
            <w:pPr>
              <w:kinsoku w:val="0"/>
              <w:overflowPunct w:val="0"/>
              <w:autoSpaceDE w:val="0"/>
              <w:autoSpaceDN w:val="0"/>
              <w:adjustRightInd w:val="0"/>
              <w:spacing w:before="57" w:line="240" w:lineRule="auto"/>
              <w:ind w:left="103"/>
              <w:jc w:val="center"/>
              <w:rPr>
                <w:sz w:val="24"/>
                <w:szCs w:val="24"/>
                <w:lang w:eastAsia="en-AU"/>
              </w:rPr>
            </w:pPr>
            <w:r w:rsidRPr="00EC4659">
              <w:rPr>
                <w:rFonts w:ascii="Cambria" w:hAnsi="Cambria" w:cs="Cambria"/>
                <w:sz w:val="18"/>
                <w:szCs w:val="18"/>
                <w:lang w:eastAsia="en-AU"/>
              </w:rPr>
              <w:t>83</w:t>
            </w:r>
          </w:p>
        </w:tc>
        <w:tc>
          <w:tcPr>
            <w:tcW w:w="643" w:type="dxa"/>
            <w:tcBorders>
              <w:top w:val="single" w:sz="4" w:space="0" w:color="7BA79D"/>
              <w:left w:val="single" w:sz="4" w:space="0" w:color="7BA79D"/>
              <w:bottom w:val="single" w:sz="4" w:space="0" w:color="7BA79D"/>
              <w:right w:val="single" w:sz="4" w:space="0" w:color="7BA79D"/>
            </w:tcBorders>
          </w:tcPr>
          <w:p w14:paraId="18E75994" w14:textId="77777777" w:rsidR="00EC4659" w:rsidRPr="00EC4659" w:rsidRDefault="00EC4659" w:rsidP="00EC4659">
            <w:pPr>
              <w:kinsoku w:val="0"/>
              <w:overflowPunct w:val="0"/>
              <w:autoSpaceDE w:val="0"/>
              <w:autoSpaceDN w:val="0"/>
              <w:adjustRightInd w:val="0"/>
              <w:spacing w:before="57" w:line="240" w:lineRule="auto"/>
              <w:ind w:left="103"/>
              <w:jc w:val="center"/>
              <w:rPr>
                <w:sz w:val="24"/>
                <w:szCs w:val="24"/>
                <w:lang w:eastAsia="en-AU"/>
              </w:rPr>
            </w:pPr>
            <w:r w:rsidRPr="00EC4659">
              <w:rPr>
                <w:rFonts w:ascii="Cambria" w:hAnsi="Cambria" w:cs="Cambria"/>
                <w:sz w:val="18"/>
                <w:szCs w:val="18"/>
                <w:lang w:eastAsia="en-AU"/>
              </w:rPr>
              <w:t>84</w:t>
            </w:r>
          </w:p>
        </w:tc>
        <w:tc>
          <w:tcPr>
            <w:tcW w:w="643" w:type="dxa"/>
            <w:tcBorders>
              <w:top w:val="single" w:sz="4" w:space="0" w:color="7BA79D"/>
              <w:left w:val="single" w:sz="4" w:space="0" w:color="7BA79D"/>
              <w:bottom w:val="single" w:sz="4" w:space="0" w:color="7BA79D"/>
              <w:right w:val="single" w:sz="4" w:space="0" w:color="7BA79D"/>
            </w:tcBorders>
          </w:tcPr>
          <w:p w14:paraId="7E643078" w14:textId="77777777" w:rsidR="00EC4659" w:rsidRPr="00EC4659" w:rsidRDefault="00EC4659" w:rsidP="00EC4659">
            <w:pPr>
              <w:kinsoku w:val="0"/>
              <w:overflowPunct w:val="0"/>
              <w:autoSpaceDE w:val="0"/>
              <w:autoSpaceDN w:val="0"/>
              <w:adjustRightInd w:val="0"/>
              <w:spacing w:before="57" w:line="240" w:lineRule="auto"/>
              <w:ind w:left="100"/>
              <w:jc w:val="center"/>
              <w:rPr>
                <w:sz w:val="24"/>
                <w:szCs w:val="24"/>
                <w:lang w:eastAsia="en-AU"/>
              </w:rPr>
            </w:pPr>
            <w:r w:rsidRPr="00EC4659">
              <w:rPr>
                <w:rFonts w:ascii="Cambria" w:hAnsi="Cambria" w:cs="Cambria"/>
                <w:sz w:val="18"/>
                <w:szCs w:val="18"/>
                <w:lang w:eastAsia="en-AU"/>
              </w:rPr>
              <w:t>54</w:t>
            </w:r>
          </w:p>
        </w:tc>
        <w:tc>
          <w:tcPr>
            <w:tcW w:w="643" w:type="dxa"/>
            <w:tcBorders>
              <w:top w:val="single" w:sz="4" w:space="0" w:color="7BA79D"/>
              <w:left w:val="single" w:sz="4" w:space="0" w:color="7BA79D"/>
              <w:bottom w:val="single" w:sz="4" w:space="0" w:color="7BA79D"/>
              <w:right w:val="single" w:sz="4" w:space="0" w:color="7BA79D"/>
            </w:tcBorders>
          </w:tcPr>
          <w:p w14:paraId="64A46427" w14:textId="77777777" w:rsidR="00EC4659" w:rsidRPr="00EC4659" w:rsidRDefault="00EC4659" w:rsidP="00EC4659">
            <w:pPr>
              <w:kinsoku w:val="0"/>
              <w:overflowPunct w:val="0"/>
              <w:autoSpaceDE w:val="0"/>
              <w:autoSpaceDN w:val="0"/>
              <w:adjustRightInd w:val="0"/>
              <w:spacing w:before="57" w:line="240" w:lineRule="auto"/>
              <w:ind w:left="100"/>
              <w:jc w:val="center"/>
              <w:rPr>
                <w:sz w:val="24"/>
                <w:szCs w:val="24"/>
                <w:lang w:eastAsia="en-AU"/>
              </w:rPr>
            </w:pPr>
            <w:r w:rsidRPr="00EC4659">
              <w:rPr>
                <w:rFonts w:ascii="Cambria" w:hAnsi="Cambria" w:cs="Cambria"/>
                <w:sz w:val="18"/>
                <w:szCs w:val="18"/>
                <w:lang w:eastAsia="en-AU"/>
              </w:rPr>
              <w:t>98</w:t>
            </w:r>
          </w:p>
        </w:tc>
        <w:tc>
          <w:tcPr>
            <w:tcW w:w="644" w:type="dxa"/>
            <w:tcBorders>
              <w:top w:val="single" w:sz="4" w:space="0" w:color="7BA79D"/>
              <w:left w:val="single" w:sz="4" w:space="0" w:color="7BA79D"/>
              <w:bottom w:val="single" w:sz="4" w:space="0" w:color="7BA79D"/>
              <w:right w:val="single" w:sz="4" w:space="0" w:color="7BA79D"/>
            </w:tcBorders>
          </w:tcPr>
          <w:p w14:paraId="11A3100D" w14:textId="77777777" w:rsidR="00EC4659" w:rsidRPr="00EC4659" w:rsidRDefault="00EC4659" w:rsidP="00EC4659">
            <w:pPr>
              <w:kinsoku w:val="0"/>
              <w:overflowPunct w:val="0"/>
              <w:autoSpaceDE w:val="0"/>
              <w:autoSpaceDN w:val="0"/>
              <w:adjustRightInd w:val="0"/>
              <w:spacing w:before="57" w:line="240" w:lineRule="auto"/>
              <w:ind w:left="100"/>
              <w:jc w:val="center"/>
              <w:rPr>
                <w:sz w:val="24"/>
                <w:szCs w:val="24"/>
                <w:lang w:eastAsia="en-AU"/>
              </w:rPr>
            </w:pPr>
            <w:r w:rsidRPr="00EC4659">
              <w:rPr>
                <w:rFonts w:ascii="Cambria" w:hAnsi="Cambria" w:cs="Cambria"/>
                <w:sz w:val="18"/>
                <w:szCs w:val="18"/>
                <w:lang w:eastAsia="en-AU"/>
              </w:rPr>
              <w:t>98</w:t>
            </w:r>
          </w:p>
        </w:tc>
      </w:tr>
      <w:tr w:rsidR="00EC4659" w:rsidRPr="00EC4659" w14:paraId="5A30D34A" w14:textId="77777777" w:rsidTr="00EC4659">
        <w:trPr>
          <w:trHeight w:hRule="exact" w:val="335"/>
        </w:trPr>
        <w:tc>
          <w:tcPr>
            <w:tcW w:w="2057" w:type="dxa"/>
            <w:tcBorders>
              <w:top w:val="single" w:sz="4" w:space="0" w:color="7BA79D"/>
              <w:left w:val="single" w:sz="4" w:space="0" w:color="7BA79D"/>
              <w:bottom w:val="nil"/>
              <w:right w:val="single" w:sz="4" w:space="0" w:color="7BA79D"/>
            </w:tcBorders>
            <w:shd w:val="clear" w:color="auto" w:fill="E4EDEB"/>
          </w:tcPr>
          <w:p w14:paraId="489D2BCB" w14:textId="77777777" w:rsidR="00EC4659" w:rsidRPr="00EC4659" w:rsidRDefault="00EC4659" w:rsidP="00EC4659">
            <w:pPr>
              <w:kinsoku w:val="0"/>
              <w:overflowPunct w:val="0"/>
              <w:autoSpaceDE w:val="0"/>
              <w:autoSpaceDN w:val="0"/>
              <w:adjustRightInd w:val="0"/>
              <w:spacing w:before="58" w:line="240" w:lineRule="auto"/>
              <w:ind w:left="103"/>
              <w:rPr>
                <w:sz w:val="24"/>
                <w:szCs w:val="24"/>
                <w:lang w:eastAsia="en-AU"/>
              </w:rPr>
            </w:pPr>
            <w:r w:rsidRPr="00EC4659">
              <w:rPr>
                <w:rFonts w:ascii="Cambria" w:hAnsi="Cambria" w:cs="Cambria"/>
                <w:sz w:val="18"/>
                <w:szCs w:val="18"/>
                <w:lang w:eastAsia="en-AU"/>
              </w:rPr>
              <w:t>Cheddar Cheese</w:t>
            </w:r>
          </w:p>
        </w:tc>
        <w:tc>
          <w:tcPr>
            <w:tcW w:w="643" w:type="dxa"/>
            <w:tcBorders>
              <w:top w:val="single" w:sz="4" w:space="0" w:color="7BA79D"/>
              <w:left w:val="single" w:sz="4" w:space="0" w:color="7BA79D"/>
              <w:bottom w:val="nil"/>
              <w:right w:val="single" w:sz="4" w:space="0" w:color="7BA79D"/>
            </w:tcBorders>
            <w:shd w:val="clear" w:color="auto" w:fill="92D050"/>
          </w:tcPr>
          <w:p w14:paraId="50A5E4CF" w14:textId="77777777" w:rsidR="00EC4659" w:rsidRPr="00EC4659" w:rsidRDefault="00EC4659" w:rsidP="00EC4659">
            <w:pPr>
              <w:kinsoku w:val="0"/>
              <w:overflowPunct w:val="0"/>
              <w:autoSpaceDE w:val="0"/>
              <w:autoSpaceDN w:val="0"/>
              <w:adjustRightInd w:val="0"/>
              <w:spacing w:before="58" w:line="240" w:lineRule="auto"/>
              <w:ind w:left="103"/>
              <w:jc w:val="center"/>
              <w:rPr>
                <w:sz w:val="24"/>
                <w:szCs w:val="24"/>
                <w:lang w:eastAsia="en-AU"/>
              </w:rPr>
            </w:pPr>
            <w:r w:rsidRPr="00EC4659">
              <w:rPr>
                <w:rFonts w:ascii="Cambria" w:hAnsi="Cambria" w:cs="Cambria"/>
                <w:sz w:val="18"/>
                <w:szCs w:val="18"/>
                <w:lang w:eastAsia="en-AU"/>
              </w:rPr>
              <w:t>85</w:t>
            </w:r>
          </w:p>
        </w:tc>
        <w:tc>
          <w:tcPr>
            <w:tcW w:w="643" w:type="dxa"/>
            <w:tcBorders>
              <w:top w:val="single" w:sz="4" w:space="0" w:color="7BA79D"/>
              <w:left w:val="single" w:sz="4" w:space="0" w:color="7BA79D"/>
              <w:bottom w:val="nil"/>
              <w:right w:val="single" w:sz="4" w:space="0" w:color="7BA79D"/>
            </w:tcBorders>
            <w:shd w:val="clear" w:color="auto" w:fill="92D050"/>
          </w:tcPr>
          <w:p w14:paraId="0747BFC8" w14:textId="77777777" w:rsidR="00EC4659" w:rsidRPr="00EC4659" w:rsidRDefault="00EC4659" w:rsidP="00EC4659">
            <w:pPr>
              <w:kinsoku w:val="0"/>
              <w:overflowPunct w:val="0"/>
              <w:autoSpaceDE w:val="0"/>
              <w:autoSpaceDN w:val="0"/>
              <w:adjustRightInd w:val="0"/>
              <w:spacing w:before="58" w:line="240" w:lineRule="auto"/>
              <w:ind w:left="103"/>
              <w:jc w:val="center"/>
              <w:rPr>
                <w:sz w:val="24"/>
                <w:szCs w:val="24"/>
                <w:lang w:eastAsia="en-AU"/>
              </w:rPr>
            </w:pPr>
            <w:r w:rsidRPr="00EC4659">
              <w:rPr>
                <w:rFonts w:ascii="Cambria" w:hAnsi="Cambria" w:cs="Cambria"/>
                <w:sz w:val="18"/>
                <w:szCs w:val="18"/>
                <w:lang w:eastAsia="en-AU"/>
              </w:rPr>
              <w:t>93</w:t>
            </w:r>
          </w:p>
        </w:tc>
        <w:tc>
          <w:tcPr>
            <w:tcW w:w="653" w:type="dxa"/>
            <w:tcBorders>
              <w:top w:val="single" w:sz="4" w:space="0" w:color="7BA79D"/>
              <w:left w:val="single" w:sz="4" w:space="0" w:color="7BA79D"/>
              <w:bottom w:val="nil"/>
              <w:right w:val="single" w:sz="4" w:space="0" w:color="7BA79D"/>
            </w:tcBorders>
            <w:shd w:val="clear" w:color="auto" w:fill="FFFF00"/>
          </w:tcPr>
          <w:p w14:paraId="66950251" w14:textId="77777777" w:rsidR="00EC4659" w:rsidRPr="00EC4659" w:rsidRDefault="00EC4659" w:rsidP="00EC4659">
            <w:pPr>
              <w:kinsoku w:val="0"/>
              <w:overflowPunct w:val="0"/>
              <w:autoSpaceDE w:val="0"/>
              <w:autoSpaceDN w:val="0"/>
              <w:adjustRightInd w:val="0"/>
              <w:spacing w:before="58" w:line="240" w:lineRule="auto"/>
              <w:ind w:left="103"/>
              <w:jc w:val="center"/>
              <w:rPr>
                <w:sz w:val="24"/>
                <w:szCs w:val="24"/>
                <w:lang w:eastAsia="en-AU"/>
              </w:rPr>
            </w:pPr>
            <w:r w:rsidRPr="00EC4659">
              <w:rPr>
                <w:rFonts w:ascii="Cambria" w:hAnsi="Cambria" w:cs="Cambria"/>
                <w:sz w:val="18"/>
                <w:szCs w:val="18"/>
                <w:lang w:eastAsia="en-AU"/>
              </w:rPr>
              <w:t>39</w:t>
            </w:r>
          </w:p>
        </w:tc>
        <w:tc>
          <w:tcPr>
            <w:tcW w:w="643" w:type="dxa"/>
            <w:tcBorders>
              <w:top w:val="single" w:sz="4" w:space="0" w:color="7BA79D"/>
              <w:left w:val="single" w:sz="4" w:space="0" w:color="7BA79D"/>
              <w:bottom w:val="nil"/>
              <w:right w:val="single" w:sz="4" w:space="0" w:color="7BA79D"/>
            </w:tcBorders>
            <w:shd w:val="clear" w:color="auto" w:fill="FFFF00"/>
          </w:tcPr>
          <w:p w14:paraId="7D86D322" w14:textId="77777777" w:rsidR="00EC4659" w:rsidRPr="00EC4659" w:rsidRDefault="00EC4659" w:rsidP="00EC4659">
            <w:pPr>
              <w:kinsoku w:val="0"/>
              <w:overflowPunct w:val="0"/>
              <w:autoSpaceDE w:val="0"/>
              <w:autoSpaceDN w:val="0"/>
              <w:adjustRightInd w:val="0"/>
              <w:spacing w:before="58" w:line="240" w:lineRule="auto"/>
              <w:ind w:left="103"/>
              <w:jc w:val="center"/>
              <w:rPr>
                <w:sz w:val="24"/>
                <w:szCs w:val="24"/>
                <w:lang w:eastAsia="en-AU"/>
              </w:rPr>
            </w:pPr>
            <w:r w:rsidRPr="00EC4659">
              <w:rPr>
                <w:rFonts w:ascii="Cambria" w:hAnsi="Cambria" w:cs="Cambria"/>
                <w:sz w:val="18"/>
                <w:szCs w:val="18"/>
                <w:lang w:eastAsia="en-AU"/>
              </w:rPr>
              <w:t>19</w:t>
            </w:r>
          </w:p>
        </w:tc>
        <w:tc>
          <w:tcPr>
            <w:tcW w:w="643" w:type="dxa"/>
            <w:tcBorders>
              <w:top w:val="single" w:sz="4" w:space="0" w:color="7BA79D"/>
              <w:left w:val="single" w:sz="4" w:space="0" w:color="7BA79D"/>
              <w:bottom w:val="nil"/>
              <w:right w:val="single" w:sz="4" w:space="0" w:color="7BA79D"/>
            </w:tcBorders>
            <w:shd w:val="clear" w:color="auto" w:fill="FFFF00"/>
          </w:tcPr>
          <w:p w14:paraId="385ECD44" w14:textId="77777777" w:rsidR="00EC4659" w:rsidRPr="00EC4659" w:rsidRDefault="00EC4659" w:rsidP="00EC4659">
            <w:pPr>
              <w:kinsoku w:val="0"/>
              <w:overflowPunct w:val="0"/>
              <w:autoSpaceDE w:val="0"/>
              <w:autoSpaceDN w:val="0"/>
              <w:adjustRightInd w:val="0"/>
              <w:spacing w:before="58" w:line="240" w:lineRule="auto"/>
              <w:ind w:left="103"/>
              <w:jc w:val="center"/>
              <w:rPr>
                <w:sz w:val="24"/>
                <w:szCs w:val="24"/>
                <w:lang w:eastAsia="en-AU"/>
              </w:rPr>
            </w:pPr>
            <w:r w:rsidRPr="00EC4659">
              <w:rPr>
                <w:rFonts w:ascii="Cambria" w:hAnsi="Cambria" w:cs="Cambria"/>
                <w:sz w:val="18"/>
                <w:szCs w:val="18"/>
                <w:lang w:eastAsia="en-AU"/>
              </w:rPr>
              <w:t>8</w:t>
            </w:r>
          </w:p>
        </w:tc>
        <w:tc>
          <w:tcPr>
            <w:tcW w:w="644" w:type="dxa"/>
            <w:tcBorders>
              <w:top w:val="single" w:sz="4" w:space="0" w:color="7BA79D"/>
              <w:left w:val="single" w:sz="4" w:space="0" w:color="7BA79D"/>
              <w:bottom w:val="nil"/>
              <w:right w:val="single" w:sz="4" w:space="0" w:color="7BA79D"/>
            </w:tcBorders>
            <w:shd w:val="clear" w:color="auto" w:fill="FFFF00"/>
          </w:tcPr>
          <w:p w14:paraId="27F584BE" w14:textId="77777777" w:rsidR="00EC4659" w:rsidRPr="00EC4659" w:rsidRDefault="00EC4659" w:rsidP="00EC4659">
            <w:pPr>
              <w:kinsoku w:val="0"/>
              <w:overflowPunct w:val="0"/>
              <w:autoSpaceDE w:val="0"/>
              <w:autoSpaceDN w:val="0"/>
              <w:adjustRightInd w:val="0"/>
              <w:spacing w:before="58" w:line="240" w:lineRule="auto"/>
              <w:ind w:left="103"/>
              <w:jc w:val="center"/>
              <w:rPr>
                <w:sz w:val="24"/>
                <w:szCs w:val="24"/>
                <w:lang w:eastAsia="en-AU"/>
              </w:rPr>
            </w:pPr>
            <w:r w:rsidRPr="00EC4659">
              <w:rPr>
                <w:rFonts w:ascii="Cambria" w:hAnsi="Cambria" w:cs="Cambria"/>
                <w:sz w:val="18"/>
                <w:szCs w:val="18"/>
                <w:lang w:eastAsia="en-AU"/>
              </w:rPr>
              <w:t>17</w:t>
            </w:r>
          </w:p>
        </w:tc>
        <w:tc>
          <w:tcPr>
            <w:tcW w:w="643" w:type="dxa"/>
            <w:tcBorders>
              <w:top w:val="single" w:sz="4" w:space="0" w:color="7BA79D"/>
              <w:left w:val="single" w:sz="4" w:space="0" w:color="7BA79D"/>
              <w:bottom w:val="nil"/>
              <w:right w:val="single" w:sz="4" w:space="0" w:color="7BA79D"/>
            </w:tcBorders>
            <w:shd w:val="clear" w:color="auto" w:fill="E4EDEB"/>
          </w:tcPr>
          <w:p w14:paraId="10F23B1A" w14:textId="77777777" w:rsidR="00EC4659" w:rsidRPr="00EC4659" w:rsidRDefault="00EC4659" w:rsidP="00EC4659">
            <w:pPr>
              <w:kinsoku w:val="0"/>
              <w:overflowPunct w:val="0"/>
              <w:autoSpaceDE w:val="0"/>
              <w:autoSpaceDN w:val="0"/>
              <w:adjustRightInd w:val="0"/>
              <w:spacing w:before="58" w:line="240" w:lineRule="auto"/>
              <w:ind w:left="103"/>
              <w:jc w:val="center"/>
              <w:rPr>
                <w:sz w:val="24"/>
                <w:szCs w:val="24"/>
                <w:lang w:eastAsia="en-AU"/>
              </w:rPr>
            </w:pPr>
            <w:r w:rsidRPr="00EC4659">
              <w:rPr>
                <w:rFonts w:ascii="Cambria" w:hAnsi="Cambria" w:cs="Cambria"/>
                <w:sz w:val="18"/>
                <w:szCs w:val="18"/>
                <w:lang w:eastAsia="en-AU"/>
              </w:rPr>
              <w:t>38</w:t>
            </w:r>
          </w:p>
        </w:tc>
        <w:tc>
          <w:tcPr>
            <w:tcW w:w="643" w:type="dxa"/>
            <w:tcBorders>
              <w:top w:val="single" w:sz="4" w:space="0" w:color="7BA79D"/>
              <w:left w:val="single" w:sz="4" w:space="0" w:color="7BA79D"/>
              <w:bottom w:val="nil"/>
              <w:right w:val="single" w:sz="4" w:space="0" w:color="7BA79D"/>
            </w:tcBorders>
            <w:shd w:val="clear" w:color="auto" w:fill="E4EDEB"/>
          </w:tcPr>
          <w:p w14:paraId="37D21243" w14:textId="77777777" w:rsidR="00EC4659" w:rsidRPr="00EC4659" w:rsidRDefault="00EC4659" w:rsidP="00EC4659">
            <w:pPr>
              <w:kinsoku w:val="0"/>
              <w:overflowPunct w:val="0"/>
              <w:autoSpaceDE w:val="0"/>
              <w:autoSpaceDN w:val="0"/>
              <w:adjustRightInd w:val="0"/>
              <w:spacing w:before="58" w:line="240" w:lineRule="auto"/>
              <w:ind w:left="103"/>
              <w:jc w:val="center"/>
              <w:rPr>
                <w:sz w:val="24"/>
                <w:szCs w:val="24"/>
                <w:lang w:eastAsia="en-AU"/>
              </w:rPr>
            </w:pPr>
            <w:r w:rsidRPr="00EC4659">
              <w:rPr>
                <w:rFonts w:ascii="Cambria" w:hAnsi="Cambria" w:cs="Cambria"/>
                <w:sz w:val="18"/>
                <w:szCs w:val="18"/>
                <w:lang w:eastAsia="en-AU"/>
              </w:rPr>
              <w:t>77</w:t>
            </w:r>
          </w:p>
        </w:tc>
        <w:tc>
          <w:tcPr>
            <w:tcW w:w="643" w:type="dxa"/>
            <w:tcBorders>
              <w:top w:val="single" w:sz="4" w:space="0" w:color="7BA79D"/>
              <w:left w:val="single" w:sz="4" w:space="0" w:color="7BA79D"/>
              <w:bottom w:val="nil"/>
              <w:right w:val="single" w:sz="4" w:space="0" w:color="7BA79D"/>
            </w:tcBorders>
            <w:shd w:val="clear" w:color="auto" w:fill="E4EDEB"/>
          </w:tcPr>
          <w:p w14:paraId="11136890" w14:textId="77777777" w:rsidR="00EC4659" w:rsidRPr="00EC4659" w:rsidRDefault="00EC4659" w:rsidP="00EC4659">
            <w:pPr>
              <w:kinsoku w:val="0"/>
              <w:overflowPunct w:val="0"/>
              <w:autoSpaceDE w:val="0"/>
              <w:autoSpaceDN w:val="0"/>
              <w:adjustRightInd w:val="0"/>
              <w:spacing w:before="58" w:line="240" w:lineRule="auto"/>
              <w:ind w:left="100"/>
              <w:jc w:val="center"/>
              <w:rPr>
                <w:sz w:val="24"/>
                <w:szCs w:val="24"/>
                <w:lang w:eastAsia="en-AU"/>
              </w:rPr>
            </w:pPr>
            <w:r w:rsidRPr="00EC4659">
              <w:rPr>
                <w:rFonts w:ascii="Cambria" w:hAnsi="Cambria" w:cs="Cambria"/>
                <w:sz w:val="18"/>
                <w:szCs w:val="18"/>
                <w:lang w:eastAsia="en-AU"/>
              </w:rPr>
              <w:t>89</w:t>
            </w:r>
          </w:p>
        </w:tc>
        <w:tc>
          <w:tcPr>
            <w:tcW w:w="643" w:type="dxa"/>
            <w:tcBorders>
              <w:top w:val="single" w:sz="4" w:space="0" w:color="7BA79D"/>
              <w:left w:val="single" w:sz="4" w:space="0" w:color="7BA79D"/>
              <w:bottom w:val="nil"/>
              <w:right w:val="single" w:sz="4" w:space="0" w:color="7BA79D"/>
            </w:tcBorders>
            <w:shd w:val="clear" w:color="auto" w:fill="E4EDEB"/>
          </w:tcPr>
          <w:p w14:paraId="309F1615" w14:textId="77777777" w:rsidR="00EC4659" w:rsidRPr="00EC4659" w:rsidRDefault="00EC4659" w:rsidP="00EC4659">
            <w:pPr>
              <w:kinsoku w:val="0"/>
              <w:overflowPunct w:val="0"/>
              <w:autoSpaceDE w:val="0"/>
              <w:autoSpaceDN w:val="0"/>
              <w:adjustRightInd w:val="0"/>
              <w:spacing w:before="58" w:line="240" w:lineRule="auto"/>
              <w:ind w:left="100"/>
              <w:jc w:val="center"/>
              <w:rPr>
                <w:sz w:val="24"/>
                <w:szCs w:val="24"/>
                <w:lang w:eastAsia="en-AU"/>
              </w:rPr>
            </w:pPr>
            <w:r w:rsidRPr="00EC4659">
              <w:rPr>
                <w:rFonts w:ascii="Cambria" w:hAnsi="Cambria" w:cs="Cambria"/>
                <w:sz w:val="18"/>
                <w:szCs w:val="18"/>
                <w:lang w:eastAsia="en-AU"/>
              </w:rPr>
              <w:t>59</w:t>
            </w:r>
          </w:p>
        </w:tc>
        <w:tc>
          <w:tcPr>
            <w:tcW w:w="644" w:type="dxa"/>
            <w:tcBorders>
              <w:top w:val="single" w:sz="4" w:space="0" w:color="7BA79D"/>
              <w:left w:val="single" w:sz="4" w:space="0" w:color="7BA79D"/>
              <w:bottom w:val="nil"/>
              <w:right w:val="single" w:sz="4" w:space="0" w:color="7BA79D"/>
            </w:tcBorders>
            <w:shd w:val="clear" w:color="auto" w:fill="E4EDEB"/>
          </w:tcPr>
          <w:p w14:paraId="621EFF31" w14:textId="77777777" w:rsidR="00EC4659" w:rsidRPr="00EC4659" w:rsidRDefault="00EC4659" w:rsidP="00EC4659">
            <w:pPr>
              <w:kinsoku w:val="0"/>
              <w:overflowPunct w:val="0"/>
              <w:autoSpaceDE w:val="0"/>
              <w:autoSpaceDN w:val="0"/>
              <w:adjustRightInd w:val="0"/>
              <w:spacing w:before="58" w:line="240" w:lineRule="auto"/>
              <w:ind w:left="100"/>
              <w:jc w:val="center"/>
              <w:rPr>
                <w:sz w:val="24"/>
                <w:szCs w:val="24"/>
                <w:lang w:eastAsia="en-AU"/>
              </w:rPr>
            </w:pPr>
            <w:r w:rsidRPr="00EC4659">
              <w:rPr>
                <w:rFonts w:ascii="Cambria" w:hAnsi="Cambria" w:cs="Cambria"/>
                <w:sz w:val="18"/>
                <w:szCs w:val="18"/>
                <w:lang w:eastAsia="en-AU"/>
              </w:rPr>
              <w:t>88</w:t>
            </w:r>
          </w:p>
        </w:tc>
      </w:tr>
    </w:tbl>
    <w:p w14:paraId="1E26AB95" w14:textId="77777777" w:rsidR="00EC4659" w:rsidRPr="00EC4659" w:rsidRDefault="00EC4659" w:rsidP="00EC4659">
      <w:pPr>
        <w:spacing w:before="120" w:after="120" w:line="259" w:lineRule="auto"/>
        <w:rPr>
          <w:rFonts w:ascii="Calibri" w:hAnsi="Calibri"/>
          <w:szCs w:val="22"/>
          <w:lang w:eastAsia="ja-JP"/>
        </w:rPr>
      </w:pPr>
      <w:r w:rsidRPr="00EC4659">
        <w:rPr>
          <w:rFonts w:ascii="Calibri" w:hAnsi="Calibri"/>
          <w:szCs w:val="22"/>
          <w:lang w:eastAsia="ja-JP"/>
        </w:rPr>
        <w:lastRenderedPageBreak/>
        <w:t>If the trigger mechanism had applied in the years of higher usage, allocations would have been triggered on two occasions for the butter quota, but none for cheddar cheese (that is 85 per cent was reached after 1 October in most instances).  However, it should be noted that if FCFS had applied these results may have differed; easier access to the quota (including for non-manufacturers) would have increased the likelihood of more quota being used, and therefore the likelihood of the trigger being reached.</w:t>
      </w:r>
    </w:p>
    <w:p w14:paraId="4C91239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It is proposed that this mechanism may be an ideal middle ground as it would not add a regulatory burden or limit access in low use years by allocating quota; whereas it would still offer a level of surety of access in years where quota is highly sought-after.</w:t>
      </w:r>
    </w:p>
    <w:p w14:paraId="770FDF2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Regarding allocations, the department would propose to only allocate to exporters that have used quota that year as it is more likely the quota will be allocated to those who will use it.  The allocation process does not ask exporters to request a quota amount as it is unlikely they will be in a position to estimate their needs accurately, and there is no guarantee that they will receive their request amount.  For example, if a request amount were asked for and the total volume requested across all exporters was more than the 15 per cent (which is likely if 85 per cent had already been used) it would be allocated proportionally anyway. Therefore, requiring a request amount would likely add regulation with no benefit.</w:t>
      </w:r>
    </w:p>
    <w:p w14:paraId="36F0BFF3" w14:textId="77777777" w:rsidR="00EC4659" w:rsidRPr="00EC4659" w:rsidRDefault="00EC4659" w:rsidP="00EC4659">
      <w:pPr>
        <w:spacing w:after="160" w:line="259" w:lineRule="auto"/>
        <w:rPr>
          <w:rFonts w:ascii="Calibri" w:hAnsi="Calibri"/>
          <w:szCs w:val="22"/>
          <w:lang w:eastAsia="ja-JP"/>
        </w:rPr>
      </w:pPr>
      <w:r w:rsidRPr="00EC4659">
        <w:rPr>
          <w:rFonts w:ascii="Calibri" w:hAnsi="Calibri"/>
          <w:szCs w:val="22"/>
          <w:lang w:eastAsia="ja-JP"/>
        </w:rPr>
        <w:t>For similar reasons it is proposed to allow returns and transfers.  An exporter may receive a quota amount that is not commercially viable for them, or they may have a change in circumstance; allowing returns and transfers makes it possible for the quota to be redistributed to another exporter who can use it.</w:t>
      </w:r>
    </w:p>
    <w:p w14:paraId="4D008C9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department would not propose to apply penalties.  This is for several reasons:</w:t>
      </w:r>
    </w:p>
    <w:p w14:paraId="291E695A"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If the trigger is reached it suggests quota is sought-after so exporters are unlikely to not use it (or transfer it).</w:t>
      </w:r>
    </w:p>
    <w:p w14:paraId="0EBC7C23" w14:textId="77777777" w:rsidR="00EC4659" w:rsidRPr="00EC4659" w:rsidRDefault="00EC4659" w:rsidP="000F6D46">
      <w:pPr>
        <w:numPr>
          <w:ilvl w:val="0"/>
          <w:numId w:val="101"/>
        </w:numPr>
        <w:spacing w:after="120" w:line="259" w:lineRule="auto"/>
        <w:contextualSpacing/>
        <w:rPr>
          <w:rFonts w:ascii="Calibri" w:hAnsi="Calibri"/>
          <w:szCs w:val="22"/>
          <w:lang w:eastAsia="ja-JP"/>
        </w:rPr>
      </w:pPr>
      <w:r w:rsidRPr="00EC4659">
        <w:rPr>
          <w:rFonts w:ascii="Calibri" w:hAnsi="Calibri"/>
          <w:szCs w:val="22"/>
          <w:lang w:eastAsia="ja-JP"/>
        </w:rPr>
        <w:t>Due to the overall infrequency of a trigger being reached, the penalty may not be applied for several years (if at all).  It therefore does not act as an effective disincentive to not use quota.</w:t>
      </w:r>
    </w:p>
    <w:p w14:paraId="6FF3076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There are a number of elements of the above system that the dairy industry will need to consider in deciding whether this mechanism will work effectively for its quotas.</w:t>
      </w:r>
    </w:p>
    <w:tbl>
      <w:tblPr>
        <w:tblStyle w:val="TableGrid1"/>
        <w:tblW w:w="0" w:type="auto"/>
        <w:jc w:val="center"/>
        <w:tblLook w:val="04A0" w:firstRow="1" w:lastRow="0" w:firstColumn="1" w:lastColumn="0" w:noHBand="0" w:noVBand="1"/>
      </w:tblPr>
      <w:tblGrid>
        <w:gridCol w:w="8359"/>
      </w:tblGrid>
      <w:tr w:rsidR="00EC4659" w:rsidRPr="00EC4659" w14:paraId="38AC2EF9" w14:textId="77777777" w:rsidTr="00EC4659">
        <w:trPr>
          <w:jc w:val="center"/>
        </w:trPr>
        <w:tc>
          <w:tcPr>
            <w:tcW w:w="8359" w:type="dxa"/>
            <w:shd w:val="clear" w:color="auto" w:fill="F2F2F2"/>
          </w:tcPr>
          <w:p w14:paraId="596FFF90"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Which dairy quotas should be managed under the FCFS with trigger arrangements? Why?</w:t>
            </w:r>
          </w:p>
        </w:tc>
      </w:tr>
      <w:tr w:rsidR="00EC4659" w:rsidRPr="00EC4659" w14:paraId="5E296FFA" w14:textId="77777777" w:rsidTr="00EC4659">
        <w:trPr>
          <w:jc w:val="center"/>
        </w:trPr>
        <w:tc>
          <w:tcPr>
            <w:tcW w:w="8359" w:type="dxa"/>
            <w:shd w:val="clear" w:color="auto" w:fill="F2F2F2"/>
          </w:tcPr>
          <w:p w14:paraId="4092E35E"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Is there support for the 85 per cent at nine months? Are other percentages or timings preferred?</w:t>
            </w:r>
          </w:p>
        </w:tc>
      </w:tr>
      <w:tr w:rsidR="00EC4659" w:rsidRPr="00EC4659" w14:paraId="4E23D566" w14:textId="77777777" w:rsidTr="00EC4659">
        <w:trPr>
          <w:jc w:val="center"/>
        </w:trPr>
        <w:tc>
          <w:tcPr>
            <w:tcW w:w="8359" w:type="dxa"/>
            <w:shd w:val="clear" w:color="auto" w:fill="F2F2F2"/>
          </w:tcPr>
          <w:p w14:paraId="76B9BA0F"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Is a two year or three year quota shipment history preferred?</w:t>
            </w:r>
          </w:p>
        </w:tc>
      </w:tr>
      <w:tr w:rsidR="00EC4659" w:rsidRPr="00EC4659" w14:paraId="5A190266" w14:textId="77777777" w:rsidTr="00EC4659">
        <w:trPr>
          <w:jc w:val="center"/>
        </w:trPr>
        <w:tc>
          <w:tcPr>
            <w:tcW w:w="8359" w:type="dxa"/>
            <w:shd w:val="clear" w:color="auto" w:fill="F2F2F2"/>
          </w:tcPr>
          <w:p w14:paraId="4FBE7EF3"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exporters that have not shipped during the current quota year, but have a shipping history, be able to receive an allocation? If so, why?</w:t>
            </w:r>
          </w:p>
        </w:tc>
      </w:tr>
      <w:tr w:rsidR="00EC4659" w:rsidRPr="00EC4659" w14:paraId="540309B0" w14:textId="77777777" w:rsidTr="00EC4659">
        <w:trPr>
          <w:jc w:val="center"/>
        </w:trPr>
        <w:tc>
          <w:tcPr>
            <w:tcW w:w="8359" w:type="dxa"/>
            <w:shd w:val="clear" w:color="auto" w:fill="F2F2F2"/>
          </w:tcPr>
          <w:p w14:paraId="0C7DDFE5"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Do you support not applying penalties? Why or why not?</w:t>
            </w:r>
          </w:p>
        </w:tc>
      </w:tr>
    </w:tbl>
    <w:p w14:paraId="1397994E" w14:textId="77777777" w:rsidR="00EC4659" w:rsidRPr="00EC4659" w:rsidRDefault="00EC4659" w:rsidP="00EC4659">
      <w:pPr>
        <w:keepNext/>
        <w:spacing w:before="120" w:after="120" w:line="259" w:lineRule="auto"/>
        <w:rPr>
          <w:rFonts w:ascii="Calibri Light" w:hAnsi="Calibri Light"/>
          <w:color w:val="5B9BD5"/>
          <w:sz w:val="24"/>
          <w:szCs w:val="24"/>
        </w:rPr>
      </w:pPr>
      <w:r w:rsidRPr="00EC4659">
        <w:rPr>
          <w:rFonts w:ascii="Calibri Light" w:hAnsi="Calibri Light"/>
          <w:color w:val="5B9BD5"/>
          <w:sz w:val="24"/>
          <w:szCs w:val="24"/>
        </w:rPr>
        <w:t>Allocation system</w:t>
      </w:r>
    </w:p>
    <w:p w14:paraId="39E0FC2F"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All dairy quotas currently operate under an allocation mechanism, and the industry may wish for some quotas to remain so.  If participants decide that the FCFS with high-fill trigger mechanism cannot provide the level of certainty required, US FTA butter and cheddar cheese quotas may be </w:t>
      </w:r>
      <w:r w:rsidRPr="00EC4659">
        <w:rPr>
          <w:rFonts w:ascii="Calibri" w:hAnsi="Calibri"/>
          <w:szCs w:val="22"/>
          <w:lang w:eastAsia="ja-JP"/>
        </w:rPr>
        <w:lastRenderedPageBreak/>
        <w:t>best managed under this mechanism.  Additionally, the US WTO quotas may have to remain allocated due to US regulation requirements regarding nominated importers.</w:t>
      </w:r>
    </w:p>
    <w:p w14:paraId="07376F6B"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RIS has recommended a change to the allocation system for dairy quotas.  Following initial consultation this proposal has been refined and is set out below for consideration.</w:t>
      </w:r>
    </w:p>
    <w:p w14:paraId="74BA154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Some aspects of the allocation process do not change:</w:t>
      </w:r>
    </w:p>
    <w:p w14:paraId="21CEB0CA"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Exporters will still need to apply for quota by a set date and must specify the request amount.</w:t>
      </w:r>
    </w:p>
    <w:p w14:paraId="1160FC31"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If the quota is undersubscribed all applicants will receive their request amount.</w:t>
      </w:r>
    </w:p>
    <w:p w14:paraId="50B7B03A" w14:textId="77777777" w:rsidR="00EC4659" w:rsidRPr="00EC4659" w:rsidRDefault="00EC4659" w:rsidP="000F6D46">
      <w:pPr>
        <w:numPr>
          <w:ilvl w:val="0"/>
          <w:numId w:val="101"/>
        </w:numPr>
        <w:spacing w:after="120" w:line="259" w:lineRule="auto"/>
        <w:contextualSpacing/>
        <w:rPr>
          <w:rFonts w:ascii="Calibri" w:hAnsi="Calibri"/>
          <w:szCs w:val="22"/>
          <w:lang w:eastAsia="ja-JP"/>
        </w:rPr>
      </w:pPr>
      <w:r w:rsidRPr="00EC4659">
        <w:rPr>
          <w:rFonts w:ascii="Calibri" w:hAnsi="Calibri"/>
          <w:szCs w:val="22"/>
          <w:lang w:eastAsia="ja-JP"/>
        </w:rPr>
        <w:t>If the quota is oversubscribed the quota will be proportionally allocated, based on shipping history.</w:t>
      </w:r>
    </w:p>
    <w:p w14:paraId="31F0856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However, there are several important changes proposed which are set out below.  </w:t>
      </w:r>
    </w:p>
    <w:p w14:paraId="733A7C35" w14:textId="77777777" w:rsidR="00EC4659" w:rsidRPr="00EC4659" w:rsidRDefault="00EC4659" w:rsidP="00EC4659">
      <w:pPr>
        <w:spacing w:after="120" w:line="259" w:lineRule="auto"/>
        <w:rPr>
          <w:rFonts w:ascii="Calibri" w:hAnsi="Calibri"/>
          <w:i/>
          <w:szCs w:val="22"/>
          <w:lang w:eastAsia="ja-JP"/>
        </w:rPr>
      </w:pPr>
      <w:r w:rsidRPr="00EC4659">
        <w:rPr>
          <w:rFonts w:ascii="Calibri" w:hAnsi="Calibri"/>
          <w:i/>
          <w:szCs w:val="22"/>
          <w:lang w:eastAsia="ja-JP"/>
        </w:rPr>
        <w:t>Eligibility</w:t>
      </w:r>
    </w:p>
    <w:p w14:paraId="25BBFB8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Firstly it is proposed that allocation requests will not be limited to manufacturers; non-manufacturers will also be able to apply for an allocation.  During initial consultation dairy participants were supportive of this approach citing that the industry had changed in the past 15 years and that non-manufacturers played a larger role in marketing and exports.</w:t>
      </w:r>
    </w:p>
    <w:tbl>
      <w:tblPr>
        <w:tblStyle w:val="TableGrid1"/>
        <w:tblW w:w="0" w:type="auto"/>
        <w:jc w:val="center"/>
        <w:tblLook w:val="04A0" w:firstRow="1" w:lastRow="0" w:firstColumn="1" w:lastColumn="0" w:noHBand="0" w:noVBand="1"/>
      </w:tblPr>
      <w:tblGrid>
        <w:gridCol w:w="8217"/>
      </w:tblGrid>
      <w:tr w:rsidR="00EC4659" w:rsidRPr="00EC4659" w14:paraId="70B50D73" w14:textId="77777777" w:rsidTr="00EC4659">
        <w:trPr>
          <w:jc w:val="center"/>
        </w:trPr>
        <w:tc>
          <w:tcPr>
            <w:tcW w:w="8217" w:type="dxa"/>
            <w:shd w:val="clear" w:color="auto" w:fill="F2F2F2"/>
          </w:tcPr>
          <w:p w14:paraId="37AC869D" w14:textId="77777777" w:rsidR="00EC4659" w:rsidRPr="00EC4659" w:rsidRDefault="00EC4659" w:rsidP="00EC4659">
            <w:pPr>
              <w:spacing w:before="120" w:after="120" w:line="240" w:lineRule="auto"/>
              <w:rPr>
                <w:rFonts w:ascii="Calibri" w:hAnsi="Calibri"/>
                <w:b/>
                <w:bCs/>
                <w:sz w:val="20"/>
                <w:lang w:eastAsia="ja-JP"/>
              </w:rPr>
            </w:pPr>
            <w:r w:rsidRPr="000F6D46">
              <w:rPr>
                <w:rFonts w:asciiTheme="minorHAnsi" w:eastAsiaTheme="minorHAnsi" w:hAnsiTheme="minorHAnsi" w:cstheme="minorBidi"/>
                <w:lang w:eastAsia="ja-JP"/>
              </w:rPr>
              <w:t>Should eligibility for allocations be expanded to allow non-manufacturers to apply? Why or why not?</w:t>
            </w:r>
          </w:p>
        </w:tc>
      </w:tr>
    </w:tbl>
    <w:p w14:paraId="6CD1DB80" w14:textId="77777777" w:rsidR="00EC4659" w:rsidRPr="00EC4659" w:rsidRDefault="00EC4659" w:rsidP="00EC4659">
      <w:pPr>
        <w:spacing w:before="120" w:after="120" w:line="259" w:lineRule="auto"/>
        <w:rPr>
          <w:rFonts w:ascii="Calibri" w:hAnsi="Calibri"/>
          <w:i/>
          <w:szCs w:val="22"/>
          <w:lang w:eastAsia="ja-JP"/>
        </w:rPr>
      </w:pPr>
      <w:r w:rsidRPr="00EC4659">
        <w:rPr>
          <w:rFonts w:ascii="Calibri" w:hAnsi="Calibri"/>
          <w:i/>
          <w:szCs w:val="22"/>
          <w:lang w:eastAsia="ja-JP"/>
        </w:rPr>
        <w:t>Shipping history used for calculating allocations.</w:t>
      </w:r>
    </w:p>
    <w:p w14:paraId="49DEBEE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current dairy rules include global shipment when calculating quota allocations. Any exports of quota-eligible products to any foreign country contribute to 50 per cent of the allocation.</w:t>
      </w:r>
    </w:p>
    <w:p w14:paraId="014E721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would be changed so that only quota shipments would be used in calculating allocations.  The intent of this change is to optimise the distribution of the quota by allocating to those who use it.  This also ensures that those exporting to the quota market are being rewarded for their market development.</w:t>
      </w:r>
    </w:p>
    <w:p w14:paraId="397AE15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also addresses a current issue in calculating global shipments.  The department does not hold the required information for determining the eligible global shipments and must source the information from Customs.  However, the information provided by Customs only distinguishes products to 6-digit AHECC codes.  As quota eligibility is determined down to 8-digit AHECC codes the department must rely on product descriptions in determining what shipments should be included in calculations.  This relies on interpretation; this sort of discretionary decision-making is not ideal and should be avoided where possible in quota management rules.</w:t>
      </w:r>
    </w:p>
    <w:p w14:paraId="3A22FD4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For a more rational approach the timeframe would also be adjusted; instead of being based on previous financial years it is proposed to change this to previous shipping years.  A shipping year is the period in which the majority of shipments occur for a particular quota year; for EU and US dairy this would be 16 November through to the following 15 November.  The benefit of this is that the majority of quota shipments for the previous quota year can be included in calculating the next year’s allocations.  Consideration will need to be given as to whether it is better to use the previous two or three years.</w:t>
      </w:r>
    </w:p>
    <w:tbl>
      <w:tblPr>
        <w:tblStyle w:val="TableGrid1"/>
        <w:tblW w:w="0" w:type="auto"/>
        <w:jc w:val="center"/>
        <w:tblLook w:val="04A0" w:firstRow="1" w:lastRow="0" w:firstColumn="1" w:lastColumn="0" w:noHBand="0" w:noVBand="1"/>
      </w:tblPr>
      <w:tblGrid>
        <w:gridCol w:w="8359"/>
      </w:tblGrid>
      <w:tr w:rsidR="00EC4659" w:rsidRPr="00EC4659" w14:paraId="06F696BC" w14:textId="77777777" w:rsidTr="00EC4659">
        <w:trPr>
          <w:jc w:val="center"/>
        </w:trPr>
        <w:tc>
          <w:tcPr>
            <w:tcW w:w="8359" w:type="dxa"/>
            <w:shd w:val="clear" w:color="auto" w:fill="F2F2F2"/>
          </w:tcPr>
          <w:p w14:paraId="6B5A6C38"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there any concerns or issues in changing the allocation calculations to remove global shipments?</w:t>
            </w:r>
          </w:p>
        </w:tc>
      </w:tr>
      <w:tr w:rsidR="00EC4659" w:rsidRPr="00EC4659" w14:paraId="786BC71E" w14:textId="77777777" w:rsidTr="00EC4659">
        <w:trPr>
          <w:jc w:val="center"/>
        </w:trPr>
        <w:tc>
          <w:tcPr>
            <w:tcW w:w="8359" w:type="dxa"/>
            <w:shd w:val="clear" w:color="auto" w:fill="F2F2F2"/>
          </w:tcPr>
          <w:p w14:paraId="3D015D79"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lastRenderedPageBreak/>
              <w:t>Are there any concerns in changing the shipping history from financial year to shipping year?</w:t>
            </w:r>
          </w:p>
        </w:tc>
      </w:tr>
      <w:tr w:rsidR="00EC4659" w:rsidRPr="00EC4659" w14:paraId="1D777FBC" w14:textId="77777777" w:rsidTr="00EC4659">
        <w:trPr>
          <w:jc w:val="center"/>
        </w:trPr>
        <w:tc>
          <w:tcPr>
            <w:tcW w:w="8359" w:type="dxa"/>
            <w:shd w:val="clear" w:color="auto" w:fill="F2F2F2"/>
          </w:tcPr>
          <w:p w14:paraId="59C2B3C5"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Would industry prefer a two or three year shipping history for allocation calculations?</w:t>
            </w:r>
          </w:p>
        </w:tc>
      </w:tr>
    </w:tbl>
    <w:p w14:paraId="0C6C09BF" w14:textId="77777777" w:rsidR="00EC4659" w:rsidRPr="00EC4659" w:rsidRDefault="00EC4659" w:rsidP="00EC4659">
      <w:pPr>
        <w:keepNext/>
        <w:spacing w:before="120" w:after="120" w:line="259" w:lineRule="auto"/>
        <w:rPr>
          <w:rFonts w:ascii="Calibri" w:hAnsi="Calibri"/>
          <w:i/>
          <w:szCs w:val="22"/>
          <w:lang w:eastAsia="ja-JP"/>
        </w:rPr>
      </w:pPr>
      <w:r w:rsidRPr="00EC4659">
        <w:rPr>
          <w:rFonts w:ascii="Calibri" w:hAnsi="Calibri"/>
          <w:i/>
          <w:szCs w:val="22"/>
          <w:lang w:eastAsia="ja-JP"/>
        </w:rPr>
        <w:t>Minimum Allocations</w:t>
      </w:r>
    </w:p>
    <w:p w14:paraId="27BE8B9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In dairy quotas minimum allocations currently only apply to US WTO categories, set at 10 tonnes.  It is recommended that a minimum allocation should be applied to all quotas to avoid the potential of allocating volumes too small to be viable.  During initial consultation participants generally thought that 10 tonnes may be appropriate, but it could be less for small companies.  For flexibility it is therefore proposed to set a minimum allocation at one tonne by default, unless industry recommend otherwise.</w:t>
      </w:r>
    </w:p>
    <w:tbl>
      <w:tblPr>
        <w:tblStyle w:val="TableGrid1"/>
        <w:tblW w:w="0" w:type="auto"/>
        <w:jc w:val="center"/>
        <w:shd w:val="clear" w:color="auto" w:fill="F2F2F2"/>
        <w:tblLook w:val="04A0" w:firstRow="1" w:lastRow="0" w:firstColumn="1" w:lastColumn="0" w:noHBand="0" w:noVBand="1"/>
      </w:tblPr>
      <w:tblGrid>
        <w:gridCol w:w="8642"/>
      </w:tblGrid>
      <w:tr w:rsidR="00EC4659" w:rsidRPr="00EC4659" w14:paraId="3A5F1C53" w14:textId="77777777" w:rsidTr="00EC4659">
        <w:trPr>
          <w:jc w:val="center"/>
        </w:trPr>
        <w:tc>
          <w:tcPr>
            <w:tcW w:w="8642" w:type="dxa"/>
            <w:shd w:val="clear" w:color="auto" w:fill="F2F2F2"/>
          </w:tcPr>
          <w:p w14:paraId="53FD602A" w14:textId="77777777" w:rsidR="00EC4659" w:rsidRPr="00EC4659" w:rsidRDefault="00EC4659" w:rsidP="00EC4659">
            <w:pPr>
              <w:spacing w:before="120" w:after="120" w:line="240" w:lineRule="auto"/>
              <w:rPr>
                <w:rFonts w:ascii="Calibri" w:hAnsi="Calibri"/>
                <w:b/>
                <w:bCs/>
                <w:sz w:val="20"/>
                <w:lang w:eastAsia="ja-JP"/>
              </w:rPr>
            </w:pPr>
            <w:r w:rsidRPr="000F6D46">
              <w:rPr>
                <w:rFonts w:asciiTheme="minorHAnsi" w:eastAsiaTheme="minorHAnsi" w:hAnsiTheme="minorHAnsi" w:cstheme="minorBidi"/>
                <w:lang w:eastAsia="ja-JP"/>
              </w:rPr>
              <w:t>What should the minimum allocation be if a quota is allocated?  Are there any circumstances where minimum allocations should differ between quotas? If so, which quotas and why?</w:t>
            </w:r>
          </w:p>
        </w:tc>
      </w:tr>
    </w:tbl>
    <w:p w14:paraId="6DCE79A9"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t>New Entrant</w:t>
      </w:r>
    </w:p>
    <w:p w14:paraId="251E3C9C"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Dairy quotas currently include a set-aside amount for small applicants.  The proposed option would change this to be a New Entrant provision accessible to new entrants for the first three years.</w:t>
      </w:r>
    </w:p>
    <w:p w14:paraId="1407FC0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new entrant provision would be accessed under FCFS arrangements.  This approach is based on the experience that allocations to new entrants are generally underutilised and a more efficient approach is only providing quota when a consignment has been prepared, demonstrating a real intent to use it.  The process would work as follows:</w:t>
      </w:r>
    </w:p>
    <w:p w14:paraId="115C335F" w14:textId="77777777" w:rsidR="00EC4659" w:rsidRPr="00EC4659" w:rsidRDefault="00EC4659" w:rsidP="000F6D46">
      <w:pPr>
        <w:numPr>
          <w:ilvl w:val="0"/>
          <w:numId w:val="77"/>
        </w:numPr>
        <w:spacing w:after="160" w:line="259" w:lineRule="auto"/>
        <w:contextualSpacing/>
        <w:rPr>
          <w:rFonts w:ascii="Calibri" w:hAnsi="Calibri"/>
          <w:szCs w:val="22"/>
        </w:rPr>
      </w:pPr>
      <w:r w:rsidRPr="00EC4659">
        <w:rPr>
          <w:rFonts w:ascii="Calibri" w:hAnsi="Calibri"/>
          <w:szCs w:val="22"/>
        </w:rPr>
        <w:t>Exporters would be considered new entrants to a market for the first three years of accessing quota to the market.</w:t>
      </w:r>
    </w:p>
    <w:p w14:paraId="192B780A" w14:textId="77777777" w:rsidR="00EC4659" w:rsidRPr="00EC4659" w:rsidRDefault="00EC4659" w:rsidP="000F6D46">
      <w:pPr>
        <w:numPr>
          <w:ilvl w:val="0"/>
          <w:numId w:val="77"/>
        </w:numPr>
        <w:spacing w:after="160" w:line="259" w:lineRule="auto"/>
        <w:contextualSpacing/>
        <w:rPr>
          <w:rFonts w:ascii="Calibri" w:hAnsi="Calibri"/>
          <w:szCs w:val="22"/>
        </w:rPr>
      </w:pPr>
      <w:r w:rsidRPr="00EC4659">
        <w:rPr>
          <w:rFonts w:ascii="Calibri" w:hAnsi="Calibri"/>
          <w:szCs w:val="22"/>
        </w:rPr>
        <w:t>The new entrant provision would be available as FCFS until the reclaim date is reached.</w:t>
      </w:r>
    </w:p>
    <w:p w14:paraId="33A8D7C6" w14:textId="77777777" w:rsidR="00EC4659" w:rsidRPr="00EC4659" w:rsidRDefault="00EC4659" w:rsidP="000F6D46">
      <w:pPr>
        <w:numPr>
          <w:ilvl w:val="0"/>
          <w:numId w:val="77"/>
        </w:numPr>
        <w:spacing w:after="160" w:line="259" w:lineRule="auto"/>
        <w:contextualSpacing/>
        <w:rPr>
          <w:rFonts w:ascii="Calibri" w:hAnsi="Calibri"/>
          <w:szCs w:val="22"/>
        </w:rPr>
      </w:pPr>
      <w:r w:rsidRPr="00EC4659">
        <w:rPr>
          <w:rFonts w:ascii="Calibri" w:hAnsi="Calibri"/>
          <w:szCs w:val="22"/>
        </w:rPr>
        <w:t>A capped access amount would be applied to ensure fair opportunity for access and so existing quota holders are not disadvantaged.</w:t>
      </w:r>
    </w:p>
    <w:p w14:paraId="6F6A8CFC" w14:textId="77777777" w:rsidR="00EC4659" w:rsidRPr="00EC4659" w:rsidRDefault="00EC4659" w:rsidP="000F6D46">
      <w:pPr>
        <w:numPr>
          <w:ilvl w:val="0"/>
          <w:numId w:val="77"/>
        </w:numPr>
        <w:spacing w:after="160" w:line="259" w:lineRule="auto"/>
        <w:contextualSpacing/>
        <w:rPr>
          <w:rFonts w:ascii="Calibri" w:hAnsi="Calibri"/>
          <w:szCs w:val="22"/>
        </w:rPr>
      </w:pPr>
      <w:r w:rsidRPr="00EC4659">
        <w:rPr>
          <w:rFonts w:ascii="Calibri" w:hAnsi="Calibri"/>
          <w:szCs w:val="22"/>
        </w:rPr>
        <w:t>Once the reclaim date is reached new entrants will have first preference for any unused volume of the new entrant provision (maximum access cap still applying). This would be allocated quota.</w:t>
      </w:r>
    </w:p>
    <w:p w14:paraId="65AF9961" w14:textId="77777777" w:rsidR="00EC4659" w:rsidRPr="00EC4659" w:rsidRDefault="00EC4659" w:rsidP="000F6D46">
      <w:pPr>
        <w:numPr>
          <w:ilvl w:val="0"/>
          <w:numId w:val="77"/>
        </w:numPr>
        <w:spacing w:after="160" w:line="259" w:lineRule="auto"/>
        <w:contextualSpacing/>
        <w:rPr>
          <w:rFonts w:ascii="Calibri" w:hAnsi="Calibri"/>
          <w:szCs w:val="22"/>
        </w:rPr>
      </w:pPr>
      <w:r w:rsidRPr="00EC4659">
        <w:rPr>
          <w:rFonts w:ascii="Calibri" w:hAnsi="Calibri"/>
          <w:szCs w:val="22"/>
        </w:rPr>
        <w:t>To dissuade potential misuse of allocated quota the following would apply:</w:t>
      </w:r>
    </w:p>
    <w:p w14:paraId="1C9C0591" w14:textId="77777777" w:rsidR="00EC4659" w:rsidRPr="00EC4659" w:rsidRDefault="00EC4659" w:rsidP="000F6D46">
      <w:pPr>
        <w:numPr>
          <w:ilvl w:val="1"/>
          <w:numId w:val="79"/>
        </w:numPr>
        <w:spacing w:after="160" w:line="259" w:lineRule="auto"/>
        <w:ind w:left="709"/>
        <w:contextualSpacing/>
        <w:rPr>
          <w:rFonts w:ascii="Calibri" w:hAnsi="Calibri"/>
          <w:szCs w:val="22"/>
        </w:rPr>
      </w:pPr>
      <w:r w:rsidRPr="00EC4659">
        <w:rPr>
          <w:rFonts w:ascii="Calibri" w:hAnsi="Calibri"/>
          <w:szCs w:val="22"/>
        </w:rPr>
        <w:t>Only new entrants that have shipped during the quota year would be eligible to apply.</w:t>
      </w:r>
    </w:p>
    <w:p w14:paraId="288E51A9" w14:textId="77777777" w:rsidR="00EC4659" w:rsidRPr="00EC4659" w:rsidRDefault="00EC4659" w:rsidP="000F6D46">
      <w:pPr>
        <w:numPr>
          <w:ilvl w:val="1"/>
          <w:numId w:val="79"/>
        </w:numPr>
        <w:spacing w:after="160" w:line="259" w:lineRule="auto"/>
        <w:ind w:left="709"/>
        <w:contextualSpacing/>
        <w:rPr>
          <w:rFonts w:ascii="Calibri" w:hAnsi="Calibri"/>
          <w:szCs w:val="22"/>
        </w:rPr>
      </w:pPr>
      <w:r w:rsidRPr="00EC4659">
        <w:rPr>
          <w:rFonts w:ascii="Calibri" w:hAnsi="Calibri"/>
          <w:szCs w:val="22"/>
        </w:rPr>
        <w:t>New entrants would not be permitted to transfer their quota allocation, nor any quota transferred to them by another exporter.</w:t>
      </w:r>
    </w:p>
    <w:p w14:paraId="76DF8CE5" w14:textId="77777777" w:rsidR="00EC4659" w:rsidRPr="00EC4659" w:rsidRDefault="00EC4659" w:rsidP="000F6D46">
      <w:pPr>
        <w:numPr>
          <w:ilvl w:val="1"/>
          <w:numId w:val="79"/>
        </w:numPr>
        <w:spacing w:after="120" w:line="259" w:lineRule="auto"/>
        <w:ind w:left="709"/>
        <w:contextualSpacing/>
        <w:rPr>
          <w:rFonts w:ascii="Calibri" w:hAnsi="Calibri"/>
          <w:szCs w:val="22"/>
        </w:rPr>
      </w:pPr>
      <w:r w:rsidRPr="00EC4659">
        <w:rPr>
          <w:rFonts w:ascii="Calibri" w:hAnsi="Calibri"/>
          <w:szCs w:val="22"/>
        </w:rPr>
        <w:t>Penalties will apply for unused quota.</w:t>
      </w:r>
    </w:p>
    <w:tbl>
      <w:tblPr>
        <w:tblStyle w:val="TableGrid1"/>
        <w:tblW w:w="0" w:type="auto"/>
        <w:jc w:val="center"/>
        <w:tblLook w:val="04A0" w:firstRow="1" w:lastRow="0" w:firstColumn="1" w:lastColumn="0" w:noHBand="0" w:noVBand="1"/>
      </w:tblPr>
      <w:tblGrid>
        <w:gridCol w:w="8359"/>
      </w:tblGrid>
      <w:tr w:rsidR="00EC4659" w:rsidRPr="00EC4659" w14:paraId="52115172" w14:textId="77777777" w:rsidTr="00EC4659">
        <w:trPr>
          <w:jc w:val="center"/>
        </w:trPr>
        <w:tc>
          <w:tcPr>
            <w:tcW w:w="8359" w:type="dxa"/>
            <w:shd w:val="clear" w:color="auto" w:fill="F2F2F2"/>
          </w:tcPr>
          <w:p w14:paraId="792D187C"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there concerns with the functionality of the proposed New Entrant provision?  If so, what is a preferred alternative?</w:t>
            </w:r>
          </w:p>
        </w:tc>
      </w:tr>
      <w:tr w:rsidR="00EC4659" w:rsidRPr="00EC4659" w14:paraId="0D9C7DE0" w14:textId="77777777" w:rsidTr="00EC4659">
        <w:trPr>
          <w:jc w:val="center"/>
        </w:trPr>
        <w:tc>
          <w:tcPr>
            <w:tcW w:w="8359" w:type="dxa"/>
            <w:shd w:val="clear" w:color="auto" w:fill="F2F2F2"/>
          </w:tcPr>
          <w:p w14:paraId="7D6E5AC0"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is an appropriate set-aside amount for the New Entrant Provision? (</w:t>
            </w:r>
            <w:proofErr w:type="gramStart"/>
            <w:r w:rsidRPr="000F6D46">
              <w:rPr>
                <w:rFonts w:asciiTheme="minorHAnsi" w:eastAsiaTheme="minorHAnsi" w:hAnsiTheme="minorHAnsi" w:cstheme="minorBidi"/>
                <w:lang w:eastAsia="ja-JP"/>
              </w:rPr>
              <w:t>currently</w:t>
            </w:r>
            <w:proofErr w:type="gramEnd"/>
            <w:r w:rsidRPr="000F6D46">
              <w:rPr>
                <w:rFonts w:asciiTheme="minorHAnsi" w:eastAsiaTheme="minorHAnsi" w:hAnsiTheme="minorHAnsi" w:cstheme="minorBidi"/>
                <w:lang w:eastAsia="ja-JP"/>
              </w:rPr>
              <w:t xml:space="preserve"> 2 per cent across quotas).  Should it differ between quotas? </w:t>
            </w:r>
            <w:r w:rsidRPr="000F6D46">
              <w:rPr>
                <w:rFonts w:asciiTheme="minorHAnsi" w:eastAsiaTheme="minorHAnsi" w:hAnsiTheme="minorHAnsi" w:cstheme="minorBidi"/>
                <w:lang w:eastAsia="ja-JP"/>
              </w:rPr>
              <w:br/>
              <w:t>At a minimum please provide responses for US FTA butter and cheddar cheese, and the four US WTO quotas.</w:t>
            </w:r>
          </w:p>
        </w:tc>
      </w:tr>
      <w:tr w:rsidR="00EC4659" w:rsidRPr="00EC4659" w14:paraId="550A4C8E" w14:textId="77777777" w:rsidTr="00EC4659">
        <w:trPr>
          <w:jc w:val="center"/>
        </w:trPr>
        <w:tc>
          <w:tcPr>
            <w:tcW w:w="8359" w:type="dxa"/>
            <w:shd w:val="clear" w:color="auto" w:fill="F2F2F2"/>
          </w:tcPr>
          <w:p w14:paraId="4795B33F"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is a viable amount for a New Entrant Cap?  Does it differ between quotas/commodities?</w:t>
            </w:r>
          </w:p>
        </w:tc>
      </w:tr>
    </w:tbl>
    <w:p w14:paraId="0727C72B" w14:textId="77777777" w:rsidR="00EC4659" w:rsidRPr="00EC4659" w:rsidRDefault="00EC4659" w:rsidP="00EC4659">
      <w:pPr>
        <w:keepNext/>
        <w:spacing w:before="120" w:after="120" w:line="259" w:lineRule="auto"/>
        <w:rPr>
          <w:rFonts w:ascii="Calibri" w:hAnsi="Calibri"/>
          <w:i/>
          <w:szCs w:val="22"/>
          <w:lang w:eastAsia="ja-JP"/>
        </w:rPr>
      </w:pPr>
      <w:r w:rsidRPr="00EC4659">
        <w:rPr>
          <w:rFonts w:ascii="Calibri" w:hAnsi="Calibri"/>
          <w:i/>
          <w:szCs w:val="22"/>
          <w:lang w:eastAsia="ja-JP"/>
        </w:rPr>
        <w:lastRenderedPageBreak/>
        <w:t>Reclaim &amp; Reallocation Process</w:t>
      </w:r>
    </w:p>
    <w:p w14:paraId="1C107F7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Dairy quotas reclaim process currently occurs six months into the quota year.  Under the current arrangements where non-manufacturers cannot receive allocations this timeframe is preferred as it provides longer to use the quota once access improves.  However, if the eligibility rules are changed to allow non-manufacturers to receive allocations the reclaim could be adjusted.</w:t>
      </w:r>
    </w:p>
    <w:p w14:paraId="3FF6863E"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It is proposed to change this to eight months into the quota year; this provides a longer period for exporters to utilise their allocation, while still providing sufficient time for reallocated quota to be used.  As transfers are not allowed and penalties are applied for unused quota the shortened period also creates a more reasonable timeframe for an exporter to estimate their needs. </w:t>
      </w:r>
    </w:p>
    <w:p w14:paraId="6F88D11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Exporters would still be able to return unused quota prior to the reclaim date without incurring a penalty.  They would also continue to be able to retain any portion of their unused allocation.  It is also proposed that if less than 25 per cent of a quota allocation has been used, the full allocation must be returned.</w:t>
      </w:r>
    </w:p>
    <w:p w14:paraId="6ECA2DA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primary change for dairy in this space is the revised reallocation process.  Currently the dairy quota legislation refers to the allocation of FCFS entitlements, which issues quota as an allocation.  This process would be replaced with the following reallocation process:</w:t>
      </w:r>
    </w:p>
    <w:p w14:paraId="5D4658D3"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As part of the ‘relinquish and retain’ process, exporters could request an additional volume of quota to be allocated to them.</w:t>
      </w:r>
    </w:p>
    <w:p w14:paraId="6ECA8BEA" w14:textId="77777777" w:rsidR="00EC4659" w:rsidRPr="00EC4659" w:rsidRDefault="00EC4659" w:rsidP="000F6D46">
      <w:pPr>
        <w:numPr>
          <w:ilvl w:val="1"/>
          <w:numId w:val="101"/>
        </w:numPr>
        <w:spacing w:after="160" w:line="259" w:lineRule="auto"/>
        <w:ind w:left="709"/>
        <w:contextualSpacing/>
        <w:rPr>
          <w:rFonts w:ascii="Calibri" w:hAnsi="Calibri"/>
          <w:szCs w:val="22"/>
          <w:lang w:eastAsia="ja-JP"/>
        </w:rPr>
      </w:pPr>
      <w:r w:rsidRPr="00EC4659">
        <w:rPr>
          <w:rFonts w:ascii="Calibri" w:hAnsi="Calibri"/>
          <w:szCs w:val="22"/>
          <w:lang w:eastAsia="ja-JP"/>
        </w:rPr>
        <w:t>If the available quota is more than the total requested, exporters will receive their request amount.</w:t>
      </w:r>
    </w:p>
    <w:p w14:paraId="6B66741C" w14:textId="77777777" w:rsidR="00EC4659" w:rsidRPr="00EC4659" w:rsidRDefault="00EC4659" w:rsidP="000F6D46">
      <w:pPr>
        <w:numPr>
          <w:ilvl w:val="1"/>
          <w:numId w:val="101"/>
        </w:numPr>
        <w:spacing w:after="160" w:line="259" w:lineRule="auto"/>
        <w:ind w:left="709"/>
        <w:contextualSpacing/>
        <w:rPr>
          <w:rFonts w:ascii="Calibri" w:hAnsi="Calibri"/>
          <w:szCs w:val="22"/>
          <w:lang w:eastAsia="ja-JP"/>
        </w:rPr>
      </w:pPr>
      <w:r w:rsidRPr="00EC4659">
        <w:rPr>
          <w:rFonts w:ascii="Calibri" w:hAnsi="Calibri"/>
          <w:szCs w:val="22"/>
          <w:lang w:eastAsia="ja-JP"/>
        </w:rPr>
        <w:t>If the available quota is less than the total requested, the quota will be allocated proportionally across the applicants, using the same parameters as the initial allocations.</w:t>
      </w:r>
    </w:p>
    <w:p w14:paraId="548149C9" w14:textId="77777777" w:rsidR="00EC4659" w:rsidRPr="00EC4659" w:rsidRDefault="00EC4659" w:rsidP="000F6D46">
      <w:pPr>
        <w:numPr>
          <w:ilvl w:val="0"/>
          <w:numId w:val="101"/>
        </w:numPr>
        <w:spacing w:after="160" w:line="259" w:lineRule="auto"/>
        <w:contextualSpacing/>
        <w:rPr>
          <w:rFonts w:ascii="Calibri" w:hAnsi="Calibri"/>
          <w:szCs w:val="22"/>
          <w:lang w:eastAsia="ja-JP"/>
        </w:rPr>
      </w:pPr>
      <w:r w:rsidRPr="00EC4659">
        <w:rPr>
          <w:rFonts w:ascii="Calibri" w:hAnsi="Calibri"/>
          <w:szCs w:val="22"/>
          <w:lang w:eastAsia="ja-JP"/>
        </w:rPr>
        <w:t>Exporters would not be required to provide any consignment details.</w:t>
      </w:r>
    </w:p>
    <w:p w14:paraId="7EF88858" w14:textId="77777777" w:rsidR="00EC4659" w:rsidRPr="00EC4659" w:rsidRDefault="00EC4659" w:rsidP="000F6D46">
      <w:pPr>
        <w:numPr>
          <w:ilvl w:val="0"/>
          <w:numId w:val="101"/>
        </w:numPr>
        <w:spacing w:after="120" w:line="259" w:lineRule="auto"/>
        <w:contextualSpacing/>
        <w:rPr>
          <w:rFonts w:ascii="Calibri" w:hAnsi="Calibri"/>
          <w:szCs w:val="22"/>
          <w:lang w:eastAsia="ja-JP"/>
        </w:rPr>
      </w:pPr>
      <w:r w:rsidRPr="00EC4659">
        <w:rPr>
          <w:rFonts w:ascii="Calibri" w:hAnsi="Calibri"/>
          <w:szCs w:val="22"/>
          <w:lang w:eastAsia="ja-JP"/>
        </w:rPr>
        <w:t>As for retained quota, reallocated quota cannot be transferred and any unused volume would receive penalties.</w:t>
      </w:r>
    </w:p>
    <w:p w14:paraId="1F93A07E"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In addition to this, a true FCFS process would be included.  This would be available when there is unallocated quota available following the reallocation process.  This quota would only be allotted to consignment applications that have reached ‘Complete’ status (as per the FCFS mechanism, above) and would only be available to exporters once they have used any remaining allocated quota.</w:t>
      </w:r>
    </w:p>
    <w:tbl>
      <w:tblPr>
        <w:tblStyle w:val="TableGrid1"/>
        <w:tblW w:w="0" w:type="auto"/>
        <w:jc w:val="center"/>
        <w:tblLook w:val="04A0" w:firstRow="1" w:lastRow="0" w:firstColumn="1" w:lastColumn="0" w:noHBand="0" w:noVBand="1"/>
      </w:tblPr>
      <w:tblGrid>
        <w:gridCol w:w="8359"/>
      </w:tblGrid>
      <w:tr w:rsidR="00EC4659" w:rsidRPr="00EC4659" w14:paraId="4D712D06" w14:textId="77777777" w:rsidTr="00EC4659">
        <w:trPr>
          <w:jc w:val="center"/>
        </w:trPr>
        <w:tc>
          <w:tcPr>
            <w:tcW w:w="8359" w:type="dxa"/>
            <w:shd w:val="clear" w:color="auto" w:fill="F2F2F2"/>
          </w:tcPr>
          <w:p w14:paraId="7D80B373"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Does industry support changing the reclaim date to be after eight months of the quota year, rather than the current six months? Why or why not?</w:t>
            </w:r>
          </w:p>
        </w:tc>
      </w:tr>
      <w:tr w:rsidR="00EC4659" w:rsidRPr="00EC4659" w14:paraId="6BE900B9" w14:textId="77777777" w:rsidTr="00EC4659">
        <w:trPr>
          <w:jc w:val="center"/>
        </w:trPr>
        <w:tc>
          <w:tcPr>
            <w:tcW w:w="8359" w:type="dxa"/>
            <w:shd w:val="clear" w:color="auto" w:fill="F2F2F2"/>
          </w:tcPr>
          <w:p w14:paraId="09D92EE7"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Does industry support forced returns of quota where less than 25 per cent of an allocation has been used?  Are there circumstances where this would not be functional?</w:t>
            </w:r>
          </w:p>
        </w:tc>
      </w:tr>
      <w:tr w:rsidR="00EC4659" w:rsidRPr="00EC4659" w14:paraId="41211BFB" w14:textId="77777777" w:rsidTr="00EC4659">
        <w:trPr>
          <w:jc w:val="center"/>
        </w:trPr>
        <w:tc>
          <w:tcPr>
            <w:tcW w:w="8359" w:type="dxa"/>
            <w:shd w:val="clear" w:color="auto" w:fill="F2F2F2"/>
          </w:tcPr>
          <w:p w14:paraId="64CDAADF"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Does industry support allowing applications for additional quota?</w:t>
            </w:r>
          </w:p>
        </w:tc>
      </w:tr>
      <w:tr w:rsidR="00EC4659" w:rsidRPr="00EC4659" w14:paraId="33088535" w14:textId="77777777" w:rsidTr="00EC4659">
        <w:trPr>
          <w:jc w:val="center"/>
        </w:trPr>
        <w:tc>
          <w:tcPr>
            <w:tcW w:w="8359" w:type="dxa"/>
            <w:shd w:val="clear" w:color="auto" w:fill="F2F2F2"/>
          </w:tcPr>
          <w:p w14:paraId="2E3B4666"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Does industry support the introduction of a true FCFS process for unallocated quota?</w:t>
            </w:r>
          </w:p>
        </w:tc>
      </w:tr>
    </w:tbl>
    <w:p w14:paraId="68EB0709"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t>Transfers</w:t>
      </w:r>
    </w:p>
    <w:p w14:paraId="1B79DABC"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This model represents a small change to transfer rules from the current dairy processes.  Transfers will still be permitted for allocated quota prior to the reclaim date.  An adjustment to this is the proposed application of a cap on the percentage of an allocation that can be transferred.  It is proposed to allow transfers of up to 50 per cent of an allocation in a single year.  However if more than 50 per cent is transferred, the exporter will be ineligible to receive an allocation for the next </w:t>
      </w:r>
      <w:r w:rsidRPr="00EC4659">
        <w:rPr>
          <w:rFonts w:ascii="Calibri" w:hAnsi="Calibri"/>
          <w:szCs w:val="22"/>
          <w:lang w:eastAsia="ja-JP"/>
        </w:rPr>
        <w:lastRenderedPageBreak/>
        <w:t>two quota years.  The purpose of this is to deter exporters requesting quota they have no intention of using.</w:t>
      </w:r>
    </w:p>
    <w:p w14:paraId="2CC91871"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As per the existing rules, exporters will not be permitted to transfer retained or reallocated quota after the reclaim date.</w:t>
      </w:r>
    </w:p>
    <w:p w14:paraId="39BB7F1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New entrants will not be permitted to transfer quota at any time.  </w:t>
      </w:r>
      <w:r w:rsidRPr="00EC4659">
        <w:rPr>
          <w:rFonts w:ascii="Calibri" w:hAnsi="Calibri"/>
          <w:szCs w:val="22"/>
        </w:rPr>
        <w:t>This is because the intent of the new entrant provision is to provide a fair and reasonable avenue for market entry, not to encourage speculative behaviour that would diminish the value and usage of the quota. Similarly, new entrants may accept transfers, so they can export and build their shipping history, but will not be able to transfer to others.</w:t>
      </w:r>
    </w:p>
    <w:tbl>
      <w:tblPr>
        <w:tblStyle w:val="TableGrid1"/>
        <w:tblW w:w="0" w:type="auto"/>
        <w:jc w:val="center"/>
        <w:tblLook w:val="04A0" w:firstRow="1" w:lastRow="0" w:firstColumn="1" w:lastColumn="0" w:noHBand="0" w:noVBand="1"/>
      </w:tblPr>
      <w:tblGrid>
        <w:gridCol w:w="8359"/>
      </w:tblGrid>
      <w:tr w:rsidR="00EC4659" w:rsidRPr="00EC4659" w14:paraId="5FB72683" w14:textId="77777777" w:rsidTr="00EC4659">
        <w:trPr>
          <w:jc w:val="center"/>
        </w:trPr>
        <w:tc>
          <w:tcPr>
            <w:tcW w:w="8359" w:type="dxa"/>
            <w:shd w:val="clear" w:color="auto" w:fill="F2F2F2"/>
          </w:tcPr>
          <w:p w14:paraId="69077F9A" w14:textId="77777777" w:rsidR="00EC4659" w:rsidRPr="00EC4659" w:rsidRDefault="00EC4659" w:rsidP="00EC4659">
            <w:pPr>
              <w:spacing w:before="120" w:after="120" w:line="240" w:lineRule="auto"/>
              <w:rPr>
                <w:rFonts w:ascii="Calibri" w:hAnsi="Calibri"/>
                <w:b/>
                <w:bCs/>
                <w:sz w:val="20"/>
                <w:lang w:eastAsia="ja-JP"/>
              </w:rPr>
            </w:pPr>
            <w:r w:rsidRPr="000F6D46">
              <w:rPr>
                <w:rFonts w:asciiTheme="minorHAnsi" w:eastAsiaTheme="minorHAnsi" w:hAnsiTheme="minorHAnsi" w:cstheme="minorBidi"/>
                <w:lang w:eastAsia="ja-JP"/>
              </w:rPr>
              <w:t>Is the 50 per cent cap on transferring allocated quota suitable?  Should it be higher/lower?</w:t>
            </w:r>
          </w:p>
        </w:tc>
      </w:tr>
    </w:tbl>
    <w:p w14:paraId="104D5B31"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t>Penalties</w:t>
      </w:r>
    </w:p>
    <w:p w14:paraId="02B013FD"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Under the current rules for dairy quotas, penalties for unused quota are applied after two quota years.  This is because allocations for the next quota year are completed prior to the end of the current quota year, before the penalties are calculated.</w:t>
      </w:r>
    </w:p>
    <w:p w14:paraId="37FB7254"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Under the proposed allocation model this would be adjusted to calculate penalties earlier and apply them to the next quota year.  This is the approach currently applied to EU high quality beef.</w:t>
      </w:r>
    </w:p>
    <w:p w14:paraId="445DDACE"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Penalties will be incurred on a 1-for-1 basis for unused quota that was either retained or reallocated to exporters.  However, exporters will only receive penalties if they have not used at least 90 per cent of their allocation six weeks from the end of the quota year (that is, 16 November).  </w:t>
      </w:r>
    </w:p>
    <w:p w14:paraId="5F9FFCF5"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Under this approach the penalties are calculated ahead of the next year’s quota allocations so are able to be applied to these allocations rather than having a gap of a year.</w:t>
      </w:r>
    </w:p>
    <w:tbl>
      <w:tblPr>
        <w:tblStyle w:val="TableGrid1"/>
        <w:tblW w:w="0" w:type="auto"/>
        <w:jc w:val="center"/>
        <w:tblLook w:val="04A0" w:firstRow="1" w:lastRow="0" w:firstColumn="1" w:lastColumn="0" w:noHBand="0" w:noVBand="1"/>
      </w:tblPr>
      <w:tblGrid>
        <w:gridCol w:w="8359"/>
      </w:tblGrid>
      <w:tr w:rsidR="00EC4659" w:rsidRPr="00EC4659" w14:paraId="0DD57508" w14:textId="77777777" w:rsidTr="00EC4659">
        <w:trPr>
          <w:jc w:val="center"/>
        </w:trPr>
        <w:tc>
          <w:tcPr>
            <w:tcW w:w="8359" w:type="dxa"/>
            <w:shd w:val="clear" w:color="auto" w:fill="F2F2F2"/>
          </w:tcPr>
          <w:p w14:paraId="17B820F7"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there any concerns with calculating penalties six weeks from the end of the quota year (using the 90 per cent threshold)?  If so, why?</w:t>
            </w:r>
          </w:p>
        </w:tc>
      </w:tr>
      <w:tr w:rsidR="00EC4659" w:rsidRPr="00EC4659" w14:paraId="3EBBC6F9" w14:textId="77777777" w:rsidTr="00EC4659">
        <w:trPr>
          <w:jc w:val="center"/>
        </w:trPr>
        <w:tc>
          <w:tcPr>
            <w:tcW w:w="8359" w:type="dxa"/>
            <w:shd w:val="clear" w:color="auto" w:fill="F2F2F2"/>
          </w:tcPr>
          <w:p w14:paraId="50F76A74"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Does industry support a process that applies penalties to the next quota year, rather than having a gap of a year?</w:t>
            </w:r>
          </w:p>
        </w:tc>
      </w:tr>
    </w:tbl>
    <w:p w14:paraId="44CD0856" w14:textId="77777777" w:rsidR="00EC4659" w:rsidRPr="00EC4659" w:rsidRDefault="00EC4659" w:rsidP="00EC4659">
      <w:pPr>
        <w:spacing w:before="120" w:after="120" w:line="259" w:lineRule="auto"/>
        <w:rPr>
          <w:rFonts w:ascii="Calibri" w:hAnsi="Calibri"/>
          <w:szCs w:val="22"/>
          <w:lang w:eastAsia="ja-JP"/>
        </w:rPr>
      </w:pPr>
      <w:r w:rsidRPr="00EC4659">
        <w:rPr>
          <w:rFonts w:ascii="Calibri" w:hAnsi="Calibri"/>
          <w:szCs w:val="22"/>
          <w:lang w:eastAsia="ja-JP"/>
        </w:rPr>
        <w:t>Overall, industry should also consider the following:</w:t>
      </w:r>
    </w:p>
    <w:tbl>
      <w:tblPr>
        <w:tblStyle w:val="TableGrid1"/>
        <w:tblW w:w="0" w:type="auto"/>
        <w:jc w:val="center"/>
        <w:tblLook w:val="04A0" w:firstRow="1" w:lastRow="0" w:firstColumn="1" w:lastColumn="0" w:noHBand="0" w:noVBand="1"/>
      </w:tblPr>
      <w:tblGrid>
        <w:gridCol w:w="8500"/>
      </w:tblGrid>
      <w:tr w:rsidR="00EC4659" w:rsidRPr="00EC4659" w14:paraId="21EAA1D6" w14:textId="77777777" w:rsidTr="00EC4659">
        <w:trPr>
          <w:jc w:val="center"/>
        </w:trPr>
        <w:tc>
          <w:tcPr>
            <w:tcW w:w="8500" w:type="dxa"/>
            <w:shd w:val="clear" w:color="auto" w:fill="F2F2F2"/>
          </w:tcPr>
          <w:p w14:paraId="08C5A8D5"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Should any dairy quotas remain managed under an allocation mechanism and why?</w:t>
            </w:r>
          </w:p>
        </w:tc>
      </w:tr>
      <w:tr w:rsidR="00EC4659" w:rsidRPr="00EC4659" w14:paraId="1C388727" w14:textId="77777777" w:rsidTr="00EC4659">
        <w:trPr>
          <w:jc w:val="center"/>
        </w:trPr>
        <w:tc>
          <w:tcPr>
            <w:tcW w:w="8500" w:type="dxa"/>
            <w:shd w:val="clear" w:color="auto" w:fill="F2F2F2"/>
          </w:tcPr>
          <w:p w14:paraId="414F59E5"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Are there particular factors which would deter industry from choosing the proposed allocation mechanism?</w:t>
            </w:r>
          </w:p>
        </w:tc>
      </w:tr>
    </w:tbl>
    <w:p w14:paraId="3FA5984B" w14:textId="77777777" w:rsidR="00EC4659" w:rsidRPr="00EC4659" w:rsidRDefault="00EC4659" w:rsidP="00EC4659">
      <w:pPr>
        <w:spacing w:after="160" w:line="259" w:lineRule="auto"/>
        <w:rPr>
          <w:rFonts w:ascii="Calibri" w:hAnsi="Calibri"/>
          <w:szCs w:val="22"/>
        </w:rPr>
      </w:pPr>
    </w:p>
    <w:p w14:paraId="4ED046C4" w14:textId="77777777" w:rsidR="00EC4659" w:rsidRPr="00EC4659" w:rsidRDefault="00EC4659" w:rsidP="00EC4659">
      <w:pPr>
        <w:keepNext/>
        <w:spacing w:after="120" w:line="259" w:lineRule="auto"/>
        <w:rPr>
          <w:rFonts w:ascii="Calibri Light" w:hAnsi="Calibri Light"/>
          <w:color w:val="2E74B5"/>
          <w:sz w:val="32"/>
          <w:szCs w:val="32"/>
        </w:rPr>
      </w:pPr>
      <w:r w:rsidRPr="00EC4659">
        <w:rPr>
          <w:rFonts w:ascii="Calibri Light" w:hAnsi="Calibri Light"/>
          <w:color w:val="2E74B5"/>
          <w:sz w:val="32"/>
          <w:szCs w:val="32"/>
        </w:rPr>
        <w:t>Export tariff rate quota regulatory streamlining – Revised ruleset for EU High Quality Beef Quotas</w:t>
      </w:r>
    </w:p>
    <w:p w14:paraId="2737BF0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Regulation Impact Statement (RIS) presented to industry for consultation set out three options for the management of export tariff rate quotas.  These were the status quo, a first come first served (FCFS) system, and a tiered allocation system.</w:t>
      </w:r>
    </w:p>
    <w:p w14:paraId="20A7F94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Following initial consultation the department received valuable feedback on the proposals.  Based on this feedback and discussions with industry it was agreed that the department would make </w:t>
      </w:r>
      <w:r w:rsidRPr="00EC4659">
        <w:rPr>
          <w:rFonts w:ascii="Calibri" w:hAnsi="Calibri"/>
          <w:szCs w:val="22"/>
        </w:rPr>
        <w:lastRenderedPageBreak/>
        <w:t>amendments to the proposal and provide industry with a fourth option, including greater specifics for each quota group.</w:t>
      </w:r>
    </w:p>
    <w:p w14:paraId="6713308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Overall, the initial proposal did not recommend significant change to the function of EU high quality beef (HQB).  Following the consultation workshops and the feedback received the department has made some amendments to the Option 3 proposal which are set out below.</w:t>
      </w:r>
    </w:p>
    <w:p w14:paraId="663957B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To ensure the Regulation Impact Statement clearly sets out the rationale for either remaining with current arrangements or implementing changes, please include the justification in any responses (including evidence wherever possible).</w:t>
      </w:r>
    </w:p>
    <w:p w14:paraId="40E651C2" w14:textId="77777777" w:rsidR="00EC4659" w:rsidRPr="00EC4659" w:rsidRDefault="00EC4659" w:rsidP="00EC4659">
      <w:pPr>
        <w:keepNext/>
        <w:spacing w:after="160" w:line="259" w:lineRule="auto"/>
        <w:rPr>
          <w:rFonts w:ascii="Calibri Light" w:hAnsi="Calibri Light"/>
          <w:b/>
          <w:color w:val="2E74B5"/>
          <w:sz w:val="26"/>
          <w:szCs w:val="26"/>
        </w:rPr>
      </w:pPr>
      <w:r w:rsidRPr="00EC4659">
        <w:rPr>
          <w:rFonts w:ascii="Calibri Light" w:hAnsi="Calibri Light"/>
          <w:b/>
          <w:color w:val="2E74B5"/>
          <w:sz w:val="26"/>
          <w:szCs w:val="26"/>
        </w:rPr>
        <w:t>Option 4 – EU High Quality Beef: Allocation Model</w:t>
      </w:r>
    </w:p>
    <w:p w14:paraId="5EDB503F" w14:textId="77777777" w:rsidR="00EC4659" w:rsidRPr="00EC4659" w:rsidRDefault="00EC4659" w:rsidP="00EC4659">
      <w:pPr>
        <w:keepNext/>
        <w:spacing w:after="120" w:line="259" w:lineRule="auto"/>
        <w:rPr>
          <w:rFonts w:ascii="Calibri" w:hAnsi="Calibri"/>
          <w:i/>
          <w:szCs w:val="22"/>
        </w:rPr>
      </w:pPr>
      <w:r w:rsidRPr="00EC4659">
        <w:rPr>
          <w:rFonts w:ascii="Calibri" w:hAnsi="Calibri"/>
          <w:i/>
          <w:szCs w:val="22"/>
        </w:rPr>
        <w:t>Allocation process</w:t>
      </w:r>
    </w:p>
    <w:p w14:paraId="1EA279C0"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existing EU HQB allocation process has functioned effectively and it is not proposed to change this.  However, the department asked whether the shipping history timeframe being used was the most appropriate and whether there was any interest in adjusting it from three years to two.  </w:t>
      </w:r>
    </w:p>
    <w:p w14:paraId="5A256DB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Some feedback was provided by one exporter that three years was preferred due to the better level of surety it provided them.  Industry should discuss if this is the consensus, or whether two years can offer an acceptable level of surety while being more responsive to changes in needs.</w:t>
      </w:r>
    </w:p>
    <w:tbl>
      <w:tblPr>
        <w:tblStyle w:val="TableGrid1"/>
        <w:tblW w:w="0" w:type="auto"/>
        <w:jc w:val="center"/>
        <w:tblLook w:val="04A0" w:firstRow="1" w:lastRow="0" w:firstColumn="1" w:lastColumn="0" w:noHBand="0" w:noVBand="1"/>
      </w:tblPr>
      <w:tblGrid>
        <w:gridCol w:w="8359"/>
      </w:tblGrid>
      <w:tr w:rsidR="00EC4659" w:rsidRPr="00EC4659" w14:paraId="1AF2052E" w14:textId="77777777" w:rsidTr="00EC4659">
        <w:trPr>
          <w:jc w:val="center"/>
        </w:trPr>
        <w:tc>
          <w:tcPr>
            <w:tcW w:w="8359" w:type="dxa"/>
            <w:shd w:val="clear" w:color="auto" w:fill="F2F2F2"/>
          </w:tcPr>
          <w:p w14:paraId="68EE59A5"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What is the industry-preferred timeframe for shipment history – two or three years? Why?</w:t>
            </w:r>
          </w:p>
        </w:tc>
      </w:tr>
    </w:tbl>
    <w:p w14:paraId="51BD8150"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t>New Entrant</w:t>
      </w:r>
    </w:p>
    <w:p w14:paraId="6E16BE7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Under the current rules for EU HQB the New Entrant provision is allocated to new entrants at the start of the year.  A first year new entrant can only receive up to 12 tonnes, and second and third year new entrant can receive up to 36 tonnes depending on their shipping history.</w:t>
      </w:r>
    </w:p>
    <w:p w14:paraId="7995C45A"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In the RIS the department noted the low level of use of the new entrant provision, and suggested that this was likely due to exporters having to speculate at the start of the quota year on whether they would want to access the quota, and then not using it.  Feedback during consultation has suggested that the greater issue at play is that the new entrant access amount is unviable.</w:t>
      </w:r>
    </w:p>
    <w:p w14:paraId="019AAAE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Based on this the department has adjusted the proposal to suggest the New Entrant provision be managed under FCFS arrangements and that the maximum access amount for new entrants be increased.</w:t>
      </w:r>
    </w:p>
    <w:p w14:paraId="259B43A6"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following process is therefore proposed: </w:t>
      </w:r>
    </w:p>
    <w:p w14:paraId="507F0814" w14:textId="77777777" w:rsidR="00EC4659" w:rsidRPr="00EC4659" w:rsidRDefault="00EC4659" w:rsidP="000F6D46">
      <w:pPr>
        <w:numPr>
          <w:ilvl w:val="0"/>
          <w:numId w:val="77"/>
        </w:numPr>
        <w:spacing w:after="160" w:line="259" w:lineRule="auto"/>
        <w:ind w:left="426"/>
        <w:contextualSpacing/>
        <w:rPr>
          <w:rFonts w:ascii="Calibri" w:hAnsi="Calibri"/>
          <w:szCs w:val="22"/>
        </w:rPr>
      </w:pPr>
      <w:r w:rsidRPr="00EC4659">
        <w:rPr>
          <w:rFonts w:ascii="Calibri" w:hAnsi="Calibri"/>
          <w:szCs w:val="22"/>
        </w:rPr>
        <w:t>Exporters would be considered new entrants to a market for the first three years of accessing quota to the market.</w:t>
      </w:r>
    </w:p>
    <w:p w14:paraId="3465C544" w14:textId="77777777" w:rsidR="00EC4659" w:rsidRPr="00EC4659" w:rsidRDefault="00EC4659" w:rsidP="000F6D46">
      <w:pPr>
        <w:numPr>
          <w:ilvl w:val="0"/>
          <w:numId w:val="77"/>
        </w:numPr>
        <w:spacing w:after="160" w:line="259" w:lineRule="auto"/>
        <w:ind w:left="426"/>
        <w:contextualSpacing/>
        <w:rPr>
          <w:rFonts w:ascii="Calibri" w:hAnsi="Calibri"/>
          <w:szCs w:val="22"/>
        </w:rPr>
      </w:pPr>
      <w:r w:rsidRPr="00EC4659">
        <w:rPr>
          <w:rFonts w:ascii="Calibri" w:hAnsi="Calibri"/>
          <w:szCs w:val="22"/>
        </w:rPr>
        <w:t>The new entrant provision would be available as FCFS for the first eight months of a quota year.</w:t>
      </w:r>
    </w:p>
    <w:p w14:paraId="3F4D8357" w14:textId="77777777" w:rsidR="00EC4659" w:rsidRPr="00EC4659" w:rsidRDefault="00EC4659" w:rsidP="000F6D46">
      <w:pPr>
        <w:numPr>
          <w:ilvl w:val="0"/>
          <w:numId w:val="77"/>
        </w:numPr>
        <w:spacing w:after="160" w:line="259" w:lineRule="auto"/>
        <w:ind w:left="426"/>
        <w:contextualSpacing/>
        <w:rPr>
          <w:rFonts w:ascii="Calibri" w:hAnsi="Calibri"/>
          <w:szCs w:val="22"/>
        </w:rPr>
      </w:pPr>
      <w:r w:rsidRPr="00EC4659">
        <w:rPr>
          <w:rFonts w:ascii="Calibri" w:hAnsi="Calibri"/>
          <w:szCs w:val="22"/>
        </w:rPr>
        <w:t>A maximum allocations of 100 tonnes would be applied.</w:t>
      </w:r>
    </w:p>
    <w:p w14:paraId="1BB47EF1" w14:textId="77777777" w:rsidR="00EC4659" w:rsidRPr="00EC4659" w:rsidRDefault="00EC4659" w:rsidP="000F6D46">
      <w:pPr>
        <w:numPr>
          <w:ilvl w:val="0"/>
          <w:numId w:val="77"/>
        </w:numPr>
        <w:spacing w:after="160" w:line="259" w:lineRule="auto"/>
        <w:ind w:left="426"/>
        <w:contextualSpacing/>
        <w:rPr>
          <w:rFonts w:ascii="Calibri" w:hAnsi="Calibri"/>
          <w:szCs w:val="22"/>
        </w:rPr>
      </w:pPr>
      <w:r w:rsidRPr="00EC4659">
        <w:rPr>
          <w:rFonts w:ascii="Calibri" w:hAnsi="Calibri"/>
          <w:szCs w:val="22"/>
        </w:rPr>
        <w:t>Once the reclaim date is reached (four months from the end of a quota year) new entrants will have first preference for any unused volume of the new entrant provision (maximum allocation still applying). This would be allocated quota.</w:t>
      </w:r>
    </w:p>
    <w:p w14:paraId="7676B153" w14:textId="77777777" w:rsidR="00EC4659" w:rsidRPr="00EC4659" w:rsidRDefault="00EC4659" w:rsidP="000F6D46">
      <w:pPr>
        <w:numPr>
          <w:ilvl w:val="0"/>
          <w:numId w:val="77"/>
        </w:numPr>
        <w:spacing w:after="160" w:line="259" w:lineRule="auto"/>
        <w:ind w:left="426"/>
        <w:contextualSpacing/>
        <w:rPr>
          <w:rFonts w:ascii="Calibri" w:hAnsi="Calibri"/>
          <w:szCs w:val="22"/>
        </w:rPr>
      </w:pPr>
      <w:r w:rsidRPr="00EC4659">
        <w:rPr>
          <w:rFonts w:ascii="Calibri" w:hAnsi="Calibri"/>
          <w:szCs w:val="22"/>
        </w:rPr>
        <w:t>To dissuade potential misuse of allocated quota the following rules would apply:</w:t>
      </w:r>
    </w:p>
    <w:p w14:paraId="427DABD2" w14:textId="77777777" w:rsidR="00EC4659" w:rsidRPr="00EC4659" w:rsidRDefault="00EC4659" w:rsidP="000F6D46">
      <w:pPr>
        <w:numPr>
          <w:ilvl w:val="1"/>
          <w:numId w:val="79"/>
        </w:numPr>
        <w:spacing w:after="160" w:line="259" w:lineRule="auto"/>
        <w:ind w:left="851"/>
        <w:contextualSpacing/>
        <w:rPr>
          <w:rFonts w:ascii="Calibri" w:hAnsi="Calibri"/>
          <w:szCs w:val="22"/>
        </w:rPr>
      </w:pPr>
      <w:r w:rsidRPr="00EC4659">
        <w:rPr>
          <w:rFonts w:ascii="Calibri" w:hAnsi="Calibri"/>
          <w:szCs w:val="22"/>
        </w:rPr>
        <w:t>Only new entrants that have shipped in the first eight months would be eligible to apply.</w:t>
      </w:r>
    </w:p>
    <w:p w14:paraId="6A357C11" w14:textId="77777777" w:rsidR="00EC4659" w:rsidRPr="00EC4659" w:rsidRDefault="00EC4659" w:rsidP="000F6D46">
      <w:pPr>
        <w:numPr>
          <w:ilvl w:val="1"/>
          <w:numId w:val="79"/>
        </w:numPr>
        <w:spacing w:after="160" w:line="259" w:lineRule="auto"/>
        <w:ind w:left="851"/>
        <w:contextualSpacing/>
        <w:rPr>
          <w:rFonts w:ascii="Calibri" w:hAnsi="Calibri"/>
          <w:szCs w:val="22"/>
        </w:rPr>
      </w:pPr>
      <w:r w:rsidRPr="00EC4659">
        <w:rPr>
          <w:rFonts w:ascii="Calibri" w:hAnsi="Calibri"/>
          <w:szCs w:val="22"/>
        </w:rPr>
        <w:t xml:space="preserve">New entrants would be limited to allocations of no more than the volume already shipped during the quota year, for example if a new entrant had shipped 24 tonnes in the first </w:t>
      </w:r>
      <w:r w:rsidRPr="00EC4659">
        <w:rPr>
          <w:rFonts w:ascii="Calibri" w:hAnsi="Calibri"/>
          <w:szCs w:val="22"/>
        </w:rPr>
        <w:lastRenderedPageBreak/>
        <w:t>eight months, they could not receive more than 24 tonnes as an allocation.  The 100 tonne cap continues to apply.</w:t>
      </w:r>
    </w:p>
    <w:p w14:paraId="20E57DC8" w14:textId="77777777" w:rsidR="00EC4659" w:rsidRPr="00EC4659" w:rsidRDefault="00EC4659" w:rsidP="000F6D46">
      <w:pPr>
        <w:numPr>
          <w:ilvl w:val="1"/>
          <w:numId w:val="79"/>
        </w:numPr>
        <w:spacing w:after="120" w:line="259" w:lineRule="auto"/>
        <w:ind w:left="851"/>
        <w:contextualSpacing/>
        <w:rPr>
          <w:rFonts w:ascii="Calibri" w:hAnsi="Calibri"/>
          <w:szCs w:val="22"/>
        </w:rPr>
      </w:pPr>
      <w:r w:rsidRPr="00EC4659">
        <w:rPr>
          <w:rFonts w:ascii="Calibri" w:hAnsi="Calibri"/>
          <w:szCs w:val="22"/>
        </w:rPr>
        <w:t>New entrants would not be permitted to transfer their quota allocation, nor any quota transferred to them by another exporter.</w:t>
      </w:r>
    </w:p>
    <w:p w14:paraId="1F1720D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This proposed approach will reduce the administrative process and create greater flexibility for new entrants.</w:t>
      </w:r>
    </w:p>
    <w:tbl>
      <w:tblPr>
        <w:tblStyle w:val="TableGrid1"/>
        <w:tblW w:w="0" w:type="auto"/>
        <w:jc w:val="center"/>
        <w:tblLook w:val="04A0" w:firstRow="1" w:lastRow="0" w:firstColumn="1" w:lastColumn="0" w:noHBand="0" w:noVBand="1"/>
      </w:tblPr>
      <w:tblGrid>
        <w:gridCol w:w="8359"/>
      </w:tblGrid>
      <w:tr w:rsidR="00EC4659" w:rsidRPr="00EC4659" w14:paraId="6AD4C583" w14:textId="77777777" w:rsidTr="00EC4659">
        <w:trPr>
          <w:jc w:val="center"/>
        </w:trPr>
        <w:tc>
          <w:tcPr>
            <w:tcW w:w="8359" w:type="dxa"/>
            <w:shd w:val="clear" w:color="auto" w:fill="F2F2F2"/>
          </w:tcPr>
          <w:p w14:paraId="5552F6D9"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Does industry support the proposed New Entrant provision?  If not, what are the concerns and what is a preferred alternative?</w:t>
            </w:r>
          </w:p>
        </w:tc>
      </w:tr>
      <w:tr w:rsidR="00EC4659" w:rsidRPr="00EC4659" w14:paraId="3AF07B05" w14:textId="77777777" w:rsidTr="00EC4659">
        <w:trPr>
          <w:jc w:val="center"/>
        </w:trPr>
        <w:tc>
          <w:tcPr>
            <w:tcW w:w="8359" w:type="dxa"/>
            <w:shd w:val="clear" w:color="auto" w:fill="F2F2F2"/>
          </w:tcPr>
          <w:p w14:paraId="7FAA14E4" w14:textId="77777777" w:rsidR="00EC4659" w:rsidRPr="000F6D46" w:rsidRDefault="00EC4659" w:rsidP="00EC4659">
            <w:pPr>
              <w:spacing w:before="120" w:after="120" w:line="240" w:lineRule="auto"/>
              <w:rPr>
                <w:rFonts w:asciiTheme="minorHAnsi" w:eastAsiaTheme="minorHAnsi" w:hAnsiTheme="minorHAnsi" w:cstheme="minorBidi"/>
                <w:lang w:eastAsia="ja-JP"/>
              </w:rPr>
            </w:pPr>
            <w:r w:rsidRPr="000F6D46">
              <w:rPr>
                <w:rFonts w:asciiTheme="minorHAnsi" w:eastAsiaTheme="minorHAnsi" w:hAnsiTheme="minorHAnsi" w:cstheme="minorBidi"/>
                <w:lang w:eastAsia="ja-JP"/>
              </w:rPr>
              <w:t>Is the revised maximum access amount viable?  If there are objections to the change, what are they? What is an appropriate alternative?</w:t>
            </w:r>
          </w:p>
        </w:tc>
      </w:tr>
    </w:tbl>
    <w:p w14:paraId="36AC42F6" w14:textId="77777777" w:rsidR="00EC4659" w:rsidRPr="00EC4659" w:rsidRDefault="00EC4659" w:rsidP="00EC4659">
      <w:pPr>
        <w:keepNext/>
        <w:spacing w:before="120" w:after="120" w:line="259" w:lineRule="auto"/>
        <w:rPr>
          <w:rFonts w:ascii="Calibri" w:hAnsi="Calibri"/>
          <w:i/>
          <w:szCs w:val="22"/>
          <w:lang w:eastAsia="ja-JP"/>
        </w:rPr>
      </w:pPr>
      <w:r w:rsidRPr="00EC4659">
        <w:rPr>
          <w:rFonts w:ascii="Calibri" w:hAnsi="Calibri"/>
          <w:i/>
          <w:szCs w:val="22"/>
          <w:lang w:eastAsia="ja-JP"/>
        </w:rPr>
        <w:t>Reclaim and Reallocation Process</w:t>
      </w:r>
    </w:p>
    <w:p w14:paraId="0991B089"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 relatively minor change is proposed regarding the reclaim process to reduce unnecessary complexity to the rules.  Currently quota is cancelled on the reclaim date where an exporter has either used less than 25 per cent of their allocation or ‘used less than 1 tonne when allocated more than 1 tonne’.  If an allocation is greater than four tonnes the 25 per cent rule already applies, therefore the latter rule only applies to allocations of less than 4 tonnes which are very rare.  A review of recent years also shows that for small allocations either the majority of the quota will be used or none at all.  Therefore it is proposed to remove the ‘less than 1 tonne’ element to simplify the process.</w:t>
      </w:r>
    </w:p>
    <w:tbl>
      <w:tblPr>
        <w:tblStyle w:val="TableGrid1"/>
        <w:tblW w:w="0" w:type="auto"/>
        <w:jc w:val="center"/>
        <w:tblLook w:val="04A0" w:firstRow="1" w:lastRow="0" w:firstColumn="1" w:lastColumn="0" w:noHBand="0" w:noVBand="1"/>
      </w:tblPr>
      <w:tblGrid>
        <w:gridCol w:w="8359"/>
      </w:tblGrid>
      <w:tr w:rsidR="00EC4659" w:rsidRPr="00EC4659" w14:paraId="481E1779" w14:textId="77777777" w:rsidTr="00EC4659">
        <w:trPr>
          <w:jc w:val="center"/>
        </w:trPr>
        <w:tc>
          <w:tcPr>
            <w:tcW w:w="8359" w:type="dxa"/>
            <w:shd w:val="clear" w:color="auto" w:fill="F2F2F2"/>
          </w:tcPr>
          <w:p w14:paraId="352E3117" w14:textId="77777777" w:rsidR="00EC4659" w:rsidRPr="00EC4659" w:rsidRDefault="00EC4659" w:rsidP="00EC4659">
            <w:pPr>
              <w:spacing w:before="120" w:after="120" w:line="240" w:lineRule="auto"/>
              <w:rPr>
                <w:rFonts w:ascii="Calibri" w:hAnsi="Calibri"/>
                <w:b/>
                <w:bCs/>
                <w:sz w:val="20"/>
                <w:lang w:eastAsia="ja-JP"/>
              </w:rPr>
            </w:pPr>
            <w:r w:rsidRPr="000F6D46">
              <w:rPr>
                <w:rFonts w:asciiTheme="minorHAnsi" w:eastAsiaTheme="minorHAnsi" w:hAnsiTheme="minorHAnsi" w:cstheme="minorBidi"/>
                <w:lang w:eastAsia="ja-JP"/>
              </w:rPr>
              <w:t>Are there any concerns with simplifying the reclaim rules to only force returns where less than 25 per cent of a quota allocation has been used?</w:t>
            </w:r>
          </w:p>
        </w:tc>
      </w:tr>
    </w:tbl>
    <w:p w14:paraId="457747CF" w14:textId="77777777" w:rsidR="00EC4659" w:rsidRPr="00EC4659" w:rsidRDefault="00EC4659" w:rsidP="00EC4659">
      <w:pPr>
        <w:spacing w:before="120" w:after="120" w:line="259" w:lineRule="auto"/>
        <w:rPr>
          <w:rFonts w:ascii="Calibri" w:hAnsi="Calibri"/>
          <w:szCs w:val="22"/>
          <w:lang w:eastAsia="ja-JP"/>
        </w:rPr>
      </w:pPr>
      <w:r w:rsidRPr="00EC4659">
        <w:rPr>
          <w:rFonts w:ascii="Calibri" w:hAnsi="Calibri"/>
          <w:szCs w:val="22"/>
          <w:lang w:eastAsia="ja-JP"/>
        </w:rPr>
        <w:t>Division 4 of the current legislation refers to the ‘Allocation of FCFS tariff rate quota entitlements’.  Despite the reference to FCFS it is actually a reallocation process and it does not allocate on a first come, first served basis.</w:t>
      </w:r>
    </w:p>
    <w:p w14:paraId="0C0ABBA6"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It is proposed to redraft the relevant section regarding this process so the language reflects that it is a reallocation process which occurs in conjunction with the reclaiming and relinquishing of quota.</w:t>
      </w:r>
    </w:p>
    <w:tbl>
      <w:tblPr>
        <w:tblStyle w:val="TableGrid1"/>
        <w:tblW w:w="0" w:type="auto"/>
        <w:jc w:val="center"/>
        <w:tblLook w:val="04A0" w:firstRow="1" w:lastRow="0" w:firstColumn="1" w:lastColumn="0" w:noHBand="0" w:noVBand="1"/>
      </w:tblPr>
      <w:tblGrid>
        <w:gridCol w:w="8359"/>
      </w:tblGrid>
      <w:tr w:rsidR="00EC4659" w:rsidRPr="00EC4659" w14:paraId="73D6A507" w14:textId="77777777" w:rsidTr="00EC4659">
        <w:trPr>
          <w:jc w:val="center"/>
        </w:trPr>
        <w:tc>
          <w:tcPr>
            <w:tcW w:w="8359" w:type="dxa"/>
            <w:shd w:val="clear" w:color="auto" w:fill="F2F2F2"/>
          </w:tcPr>
          <w:p w14:paraId="12CD94EB" w14:textId="77777777" w:rsidR="00EC4659" w:rsidRPr="00EC4659" w:rsidRDefault="00EC4659" w:rsidP="00EC4659">
            <w:pPr>
              <w:spacing w:before="120" w:after="120" w:line="240" w:lineRule="auto"/>
              <w:rPr>
                <w:rFonts w:ascii="Calibri" w:hAnsi="Calibri"/>
                <w:b/>
                <w:bCs/>
                <w:sz w:val="20"/>
                <w:lang w:eastAsia="ja-JP"/>
              </w:rPr>
            </w:pPr>
            <w:r w:rsidRPr="000F6D46">
              <w:rPr>
                <w:rFonts w:asciiTheme="minorHAnsi" w:eastAsiaTheme="minorHAnsi" w:hAnsiTheme="minorHAnsi" w:cstheme="minorBidi"/>
                <w:lang w:eastAsia="ja-JP"/>
              </w:rPr>
              <w:t>Are there any concerns with redrafting this section of the legislation?</w:t>
            </w:r>
          </w:p>
        </w:tc>
      </w:tr>
    </w:tbl>
    <w:p w14:paraId="0C85FD73" w14:textId="77777777" w:rsidR="00EC4659" w:rsidRPr="00EC4659" w:rsidRDefault="00EC4659" w:rsidP="00EC4659">
      <w:pPr>
        <w:spacing w:before="120" w:after="120" w:line="259" w:lineRule="auto"/>
        <w:rPr>
          <w:rFonts w:ascii="Calibri" w:hAnsi="Calibri"/>
          <w:szCs w:val="22"/>
          <w:lang w:eastAsia="ja-JP"/>
        </w:rPr>
      </w:pPr>
      <w:r w:rsidRPr="00EC4659">
        <w:rPr>
          <w:rFonts w:ascii="Calibri" w:hAnsi="Calibri"/>
          <w:szCs w:val="22"/>
          <w:lang w:eastAsia="ja-JP"/>
        </w:rPr>
        <w:t>The flow-on from the above is the recognition that EU HQB lacks a true FCFS process.  When raised during consultation the department was advised that it was industry’s understanding that this should always have been part of the quota rules, and that this would therefore be supported.</w:t>
      </w:r>
    </w:p>
    <w:p w14:paraId="0B58DAA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Therefore, it is proposed to amend the rules so that where the quota is undersubscribed (that is the total volume requested is less than the access amount) the remaining volume will be made available as FCFS, assigned when an RFP reaches ‘complete’.</w:t>
      </w:r>
    </w:p>
    <w:tbl>
      <w:tblPr>
        <w:tblStyle w:val="TableGrid1"/>
        <w:tblW w:w="0" w:type="auto"/>
        <w:jc w:val="center"/>
        <w:tblLook w:val="04A0" w:firstRow="1" w:lastRow="0" w:firstColumn="1" w:lastColumn="0" w:noHBand="0" w:noVBand="1"/>
      </w:tblPr>
      <w:tblGrid>
        <w:gridCol w:w="8359"/>
      </w:tblGrid>
      <w:tr w:rsidR="00EC4659" w:rsidRPr="00EC4659" w14:paraId="3C8A9169" w14:textId="77777777" w:rsidTr="00EC4659">
        <w:trPr>
          <w:jc w:val="center"/>
        </w:trPr>
        <w:tc>
          <w:tcPr>
            <w:tcW w:w="8359" w:type="dxa"/>
            <w:shd w:val="clear" w:color="auto" w:fill="F2F2F2"/>
          </w:tcPr>
          <w:p w14:paraId="6AC90325" w14:textId="77777777" w:rsidR="00EC4659" w:rsidRPr="00EC4659" w:rsidRDefault="00EC4659" w:rsidP="00EC4659">
            <w:pPr>
              <w:spacing w:before="120" w:after="120" w:line="240" w:lineRule="auto"/>
              <w:rPr>
                <w:rFonts w:ascii="Calibri" w:hAnsi="Calibri"/>
                <w:b/>
                <w:bCs/>
                <w:sz w:val="20"/>
                <w:lang w:eastAsia="ja-JP"/>
              </w:rPr>
            </w:pPr>
            <w:r w:rsidRPr="000F6D46">
              <w:rPr>
                <w:rFonts w:asciiTheme="minorHAnsi" w:eastAsiaTheme="minorHAnsi" w:hAnsiTheme="minorHAnsi" w:cstheme="minorBidi"/>
                <w:lang w:eastAsia="ja-JP"/>
              </w:rPr>
              <w:t>Does industry support formalising the FCFS process? Why or why not?</w:t>
            </w:r>
          </w:p>
        </w:tc>
      </w:tr>
    </w:tbl>
    <w:p w14:paraId="2AF9436F"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t>Transfers</w:t>
      </w:r>
    </w:p>
    <w:p w14:paraId="379CCE72"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department does not propose to change the transfer rules which allow transfers up until the reclaim process, and does not allow transfers post-reclaim.</w:t>
      </w:r>
    </w:p>
    <w:p w14:paraId="15A8AC15"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lastRenderedPageBreak/>
        <w:t>The proposal does consider whether the transfer limit of ‘33% in two consecutive years’ can be removed, and just maintain the limit of 50 per cent in any year.  The rationale for its inclusion initially was that a pattern of selling 33 per cent or more of an entitlement would suggest a partial trading strategy which is not appropriate for maximising the value of the quota.  However, as an allocation would be diminishing significantly by such a practice it cannot be maintained, so it is seen as unnecessary to include additional regulation.  Removing it simplifies the process, making it easier to understand while still maintaining the policy intent through the 50 per cent rule.</w:t>
      </w:r>
    </w:p>
    <w:tbl>
      <w:tblPr>
        <w:tblStyle w:val="TableGrid1"/>
        <w:tblpPr w:leftFromText="180" w:rightFromText="180" w:vertAnchor="text" w:horzAnchor="margin" w:tblpXSpec="center" w:tblpY="64"/>
        <w:tblW w:w="0" w:type="auto"/>
        <w:tblLook w:val="04A0" w:firstRow="1" w:lastRow="0" w:firstColumn="1" w:lastColumn="0" w:noHBand="0" w:noVBand="1"/>
      </w:tblPr>
      <w:tblGrid>
        <w:gridCol w:w="8359"/>
      </w:tblGrid>
      <w:tr w:rsidR="00EC4659" w:rsidRPr="00EC4659" w14:paraId="250C6EA6" w14:textId="77777777" w:rsidTr="00EC4659">
        <w:tc>
          <w:tcPr>
            <w:tcW w:w="8359" w:type="dxa"/>
            <w:shd w:val="clear" w:color="auto" w:fill="F2F2F2"/>
          </w:tcPr>
          <w:p w14:paraId="02DE4BBE" w14:textId="77777777" w:rsidR="00EC4659" w:rsidRPr="00EC4659" w:rsidRDefault="00EC4659" w:rsidP="00EC4659">
            <w:pPr>
              <w:spacing w:before="120" w:after="120" w:line="240" w:lineRule="auto"/>
              <w:rPr>
                <w:rFonts w:ascii="Calibri" w:hAnsi="Calibri"/>
                <w:b/>
                <w:bCs/>
                <w:sz w:val="20"/>
                <w:lang w:eastAsia="ja-JP"/>
              </w:rPr>
            </w:pPr>
            <w:r w:rsidRPr="000F6D46">
              <w:rPr>
                <w:rFonts w:asciiTheme="minorHAnsi" w:eastAsiaTheme="minorHAnsi" w:hAnsiTheme="minorHAnsi" w:cstheme="minorBidi"/>
                <w:lang w:eastAsia="ja-JP"/>
              </w:rPr>
              <w:t>Are there concerns with simplifying the transfer limit rule to just include the 50 per cent limit?</w:t>
            </w:r>
          </w:p>
        </w:tc>
      </w:tr>
    </w:tbl>
    <w:p w14:paraId="68FD99BE"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t>Penalties</w:t>
      </w:r>
    </w:p>
    <w:p w14:paraId="63FFEAC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proposal includes a minor change to the process for determining if penalties will apply.  It is suggested to drop the penalty trigger from 92.5 per cent of a quota allocation used to 90 per cent.  The rationale for this is that it provides a slightly larger buffer for exporters.</w:t>
      </w:r>
    </w:p>
    <w:tbl>
      <w:tblPr>
        <w:tblStyle w:val="TableGrid1"/>
        <w:tblpPr w:leftFromText="180" w:rightFromText="180" w:vertAnchor="text" w:horzAnchor="margin" w:tblpXSpec="center" w:tblpY="64"/>
        <w:tblW w:w="0" w:type="auto"/>
        <w:tblLook w:val="04A0" w:firstRow="1" w:lastRow="0" w:firstColumn="1" w:lastColumn="0" w:noHBand="0" w:noVBand="1"/>
      </w:tblPr>
      <w:tblGrid>
        <w:gridCol w:w="8359"/>
      </w:tblGrid>
      <w:tr w:rsidR="00EC4659" w:rsidRPr="00EC4659" w14:paraId="638CE421" w14:textId="77777777" w:rsidTr="00EC4659">
        <w:tc>
          <w:tcPr>
            <w:tcW w:w="8359" w:type="dxa"/>
            <w:shd w:val="clear" w:color="auto" w:fill="F2F2F2"/>
          </w:tcPr>
          <w:p w14:paraId="6BDEF5E9" w14:textId="77777777" w:rsidR="00EC4659" w:rsidRPr="00EC4659" w:rsidRDefault="00EC4659" w:rsidP="00EC4659">
            <w:pPr>
              <w:spacing w:before="120" w:after="120" w:line="240" w:lineRule="auto"/>
              <w:rPr>
                <w:rFonts w:ascii="Calibri" w:hAnsi="Calibri"/>
                <w:b/>
                <w:bCs/>
                <w:sz w:val="20"/>
                <w:lang w:eastAsia="ja-JP"/>
              </w:rPr>
            </w:pPr>
            <w:r w:rsidRPr="000F6D46">
              <w:rPr>
                <w:rFonts w:asciiTheme="minorHAnsi" w:eastAsiaTheme="minorHAnsi" w:hAnsiTheme="minorHAnsi" w:cstheme="minorBidi"/>
                <w:lang w:eastAsia="ja-JP"/>
              </w:rPr>
              <w:t>Are there concerns with reducing the penalty trigger from 92.5 to 90 per cent?</w:t>
            </w:r>
          </w:p>
        </w:tc>
      </w:tr>
    </w:tbl>
    <w:p w14:paraId="2F18A2D3" w14:textId="77777777" w:rsidR="00EC4659" w:rsidRPr="00EC4659" w:rsidRDefault="00EC4659" w:rsidP="00EC4659">
      <w:pPr>
        <w:spacing w:after="160" w:line="259" w:lineRule="auto"/>
        <w:rPr>
          <w:rFonts w:ascii="Calibri" w:hAnsi="Calibri"/>
          <w:szCs w:val="22"/>
        </w:rPr>
      </w:pPr>
    </w:p>
    <w:p w14:paraId="5F2B5483" w14:textId="77777777" w:rsidR="00EC4659" w:rsidRPr="00EC4659" w:rsidRDefault="00EC4659" w:rsidP="00EC4659">
      <w:pPr>
        <w:keepNext/>
        <w:spacing w:after="120" w:line="259" w:lineRule="auto"/>
        <w:rPr>
          <w:rFonts w:ascii="Calibri Light" w:hAnsi="Calibri Light"/>
          <w:color w:val="2E74B5"/>
          <w:sz w:val="32"/>
          <w:szCs w:val="32"/>
        </w:rPr>
      </w:pPr>
      <w:r w:rsidRPr="00EC4659">
        <w:rPr>
          <w:rFonts w:ascii="Calibri Light" w:hAnsi="Calibri Light"/>
          <w:color w:val="2E74B5"/>
          <w:sz w:val="32"/>
          <w:szCs w:val="32"/>
        </w:rPr>
        <w:t xml:space="preserve">Export tariff rate quota regulatory streamlining – Revised ruleset for EU </w:t>
      </w:r>
      <w:proofErr w:type="spellStart"/>
      <w:r w:rsidRPr="00EC4659">
        <w:rPr>
          <w:rFonts w:ascii="Calibri Light" w:hAnsi="Calibri Light"/>
          <w:color w:val="2E74B5"/>
          <w:sz w:val="32"/>
          <w:szCs w:val="32"/>
        </w:rPr>
        <w:t>Sheepmeat</w:t>
      </w:r>
      <w:proofErr w:type="spellEnd"/>
      <w:r w:rsidRPr="00EC4659">
        <w:rPr>
          <w:rFonts w:ascii="Calibri Light" w:hAnsi="Calibri Light"/>
          <w:color w:val="2E74B5"/>
          <w:sz w:val="32"/>
          <w:szCs w:val="32"/>
        </w:rPr>
        <w:t xml:space="preserve"> and </w:t>
      </w:r>
      <w:proofErr w:type="spellStart"/>
      <w:r w:rsidRPr="00EC4659">
        <w:rPr>
          <w:rFonts w:ascii="Calibri Light" w:hAnsi="Calibri Light"/>
          <w:color w:val="2E74B5"/>
          <w:sz w:val="32"/>
          <w:szCs w:val="32"/>
        </w:rPr>
        <w:t>Goatmeat</w:t>
      </w:r>
      <w:proofErr w:type="spellEnd"/>
      <w:r w:rsidRPr="00EC4659">
        <w:rPr>
          <w:rFonts w:ascii="Calibri Light" w:hAnsi="Calibri Light"/>
          <w:color w:val="2E74B5"/>
          <w:sz w:val="32"/>
          <w:szCs w:val="32"/>
        </w:rPr>
        <w:t xml:space="preserve"> Quota</w:t>
      </w:r>
    </w:p>
    <w:p w14:paraId="1C5619F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 Regulation Impact Statement (RIS) presented to industry for consultation set out three options for the management of export tariff rate quotas.  These were the status quo, a first come first served (FCFS) system, and a tiered allocation system.</w:t>
      </w:r>
    </w:p>
    <w:p w14:paraId="2E2E82D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Following initial consultation the department received valuable feedback on the proposals.  Based on this feedback and discussions with industry it was agreed that the department would make amendments to the proposal and provide industry with a fourth option, including greater specifics for each quota group.</w:t>
      </w:r>
    </w:p>
    <w:p w14:paraId="495EBD89"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feedback from stakeholders using the EU </w:t>
      </w:r>
      <w:proofErr w:type="spellStart"/>
      <w:r w:rsidRPr="00EC4659">
        <w:rPr>
          <w:rFonts w:ascii="Calibri" w:hAnsi="Calibri"/>
          <w:szCs w:val="22"/>
        </w:rPr>
        <w:t>sheepmeat</w:t>
      </w:r>
      <w:proofErr w:type="spellEnd"/>
      <w:r w:rsidRPr="00EC4659">
        <w:rPr>
          <w:rFonts w:ascii="Calibri" w:hAnsi="Calibri"/>
          <w:szCs w:val="22"/>
        </w:rPr>
        <w:t xml:space="preserve"> quota was that overall the existing system was working effectively and there was very little appetite for change.  In particular was the support for the existing 80:20 allocation model and the range of benefits the </w:t>
      </w:r>
      <w:proofErr w:type="spellStart"/>
      <w:r w:rsidRPr="00EC4659">
        <w:rPr>
          <w:rFonts w:ascii="Calibri" w:hAnsi="Calibri"/>
          <w:szCs w:val="22"/>
        </w:rPr>
        <w:t>sheepmeat</w:t>
      </w:r>
      <w:proofErr w:type="spellEnd"/>
      <w:r w:rsidRPr="00EC4659">
        <w:rPr>
          <w:rFonts w:ascii="Calibri" w:hAnsi="Calibri"/>
          <w:szCs w:val="22"/>
        </w:rPr>
        <w:t xml:space="preserve"> industry gained overall.  On this basis the department has significantly reduced the proposed changes for the EU </w:t>
      </w:r>
      <w:proofErr w:type="spellStart"/>
      <w:r w:rsidRPr="00EC4659">
        <w:rPr>
          <w:rFonts w:ascii="Calibri" w:hAnsi="Calibri"/>
          <w:szCs w:val="22"/>
        </w:rPr>
        <w:t>sheepmeat</w:t>
      </w:r>
      <w:proofErr w:type="spellEnd"/>
      <w:r w:rsidRPr="00EC4659">
        <w:rPr>
          <w:rFonts w:ascii="Calibri" w:hAnsi="Calibri"/>
          <w:szCs w:val="22"/>
        </w:rPr>
        <w:t xml:space="preserve"> quota.  Set out below is a summary of the rules that would remain unchanged, as well as options for other rules where there was agreement that there are potential benefits to be gained by adjusting </w:t>
      </w:r>
      <w:proofErr w:type="gramStart"/>
      <w:r w:rsidRPr="00EC4659">
        <w:rPr>
          <w:rFonts w:ascii="Calibri" w:hAnsi="Calibri"/>
          <w:szCs w:val="22"/>
        </w:rPr>
        <w:t>them.</w:t>
      </w:r>
      <w:proofErr w:type="gramEnd"/>
    </w:p>
    <w:p w14:paraId="529A1087"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To ensure the Regulation Impact Statement clearly sets out the rationale for either remaining with current arrangements or implementing changes, please include justification in any responses (including evidence wherever possible).</w:t>
      </w:r>
    </w:p>
    <w:p w14:paraId="7B78EA20" w14:textId="77777777" w:rsidR="00EC4659" w:rsidRPr="00EC4659" w:rsidRDefault="00EC4659" w:rsidP="00EC4659">
      <w:pPr>
        <w:keepNext/>
        <w:spacing w:after="120" w:line="259" w:lineRule="auto"/>
        <w:rPr>
          <w:rFonts w:ascii="Calibri Light" w:hAnsi="Calibri Light"/>
          <w:b/>
          <w:color w:val="2E74B5"/>
          <w:sz w:val="26"/>
          <w:szCs w:val="26"/>
        </w:rPr>
      </w:pPr>
      <w:r w:rsidRPr="00EC4659">
        <w:rPr>
          <w:rFonts w:ascii="Calibri Light" w:hAnsi="Calibri Light"/>
          <w:b/>
          <w:color w:val="2E74B5"/>
          <w:sz w:val="26"/>
          <w:szCs w:val="26"/>
        </w:rPr>
        <w:t xml:space="preserve">Option 4 – EU </w:t>
      </w:r>
      <w:proofErr w:type="spellStart"/>
      <w:r w:rsidRPr="00EC4659">
        <w:rPr>
          <w:rFonts w:ascii="Calibri Light" w:hAnsi="Calibri Light"/>
          <w:b/>
          <w:color w:val="2E74B5"/>
          <w:sz w:val="26"/>
          <w:szCs w:val="26"/>
        </w:rPr>
        <w:t>Sheepmeat</w:t>
      </w:r>
      <w:proofErr w:type="spellEnd"/>
      <w:r w:rsidRPr="00EC4659">
        <w:rPr>
          <w:rFonts w:ascii="Calibri Light" w:hAnsi="Calibri Light"/>
          <w:b/>
          <w:color w:val="2E74B5"/>
          <w:sz w:val="26"/>
          <w:szCs w:val="26"/>
        </w:rPr>
        <w:t xml:space="preserve"> and </w:t>
      </w:r>
      <w:proofErr w:type="spellStart"/>
      <w:r w:rsidRPr="00EC4659">
        <w:rPr>
          <w:rFonts w:ascii="Calibri Light" w:hAnsi="Calibri Light"/>
          <w:b/>
          <w:color w:val="2E74B5"/>
          <w:sz w:val="26"/>
          <w:szCs w:val="26"/>
        </w:rPr>
        <w:t>Goatmeat</w:t>
      </w:r>
      <w:proofErr w:type="spellEnd"/>
      <w:r w:rsidRPr="00EC4659">
        <w:rPr>
          <w:rFonts w:ascii="Calibri Light" w:hAnsi="Calibri Light"/>
          <w:b/>
          <w:color w:val="2E74B5"/>
          <w:sz w:val="26"/>
          <w:szCs w:val="26"/>
        </w:rPr>
        <w:t>: Allocation Model</w:t>
      </w:r>
    </w:p>
    <w:p w14:paraId="68BABAB8" w14:textId="77777777" w:rsidR="00EC4659" w:rsidRPr="00EC4659" w:rsidRDefault="00EC4659" w:rsidP="00EC4659">
      <w:pPr>
        <w:keepNext/>
        <w:spacing w:after="120" w:line="259" w:lineRule="auto"/>
        <w:rPr>
          <w:rFonts w:ascii="Calibri" w:hAnsi="Calibri"/>
          <w:i/>
          <w:szCs w:val="22"/>
        </w:rPr>
      </w:pPr>
      <w:r w:rsidRPr="00EC4659">
        <w:rPr>
          <w:rFonts w:ascii="Calibri" w:hAnsi="Calibri"/>
          <w:i/>
          <w:szCs w:val="22"/>
        </w:rPr>
        <w:t>Allocation Calculation</w:t>
      </w:r>
    </w:p>
    <w:p w14:paraId="5E9A10A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 xml:space="preserve">The existing EU </w:t>
      </w:r>
      <w:proofErr w:type="spellStart"/>
      <w:r w:rsidRPr="00EC4659">
        <w:rPr>
          <w:rFonts w:ascii="Calibri" w:hAnsi="Calibri"/>
          <w:szCs w:val="22"/>
        </w:rPr>
        <w:t>sheepmeat</w:t>
      </w:r>
      <w:proofErr w:type="spellEnd"/>
      <w:r w:rsidRPr="00EC4659">
        <w:rPr>
          <w:rFonts w:ascii="Calibri" w:hAnsi="Calibri"/>
          <w:szCs w:val="22"/>
        </w:rPr>
        <w:t xml:space="preserve"> quota rules calculate quota allocations based on an 80:20 split between an exporter’s quota exports and their accredited exports (eligible meat through EU-accredited establishments).  Based on industry feedback this process would remain in place.</w:t>
      </w:r>
    </w:p>
    <w:p w14:paraId="577E3235" w14:textId="77777777" w:rsidR="00EC4659" w:rsidRPr="00EC4659" w:rsidRDefault="00EC4659" w:rsidP="00EC4659">
      <w:pPr>
        <w:spacing w:after="120" w:line="259" w:lineRule="auto"/>
        <w:rPr>
          <w:rFonts w:ascii="Calibri" w:hAnsi="Calibri"/>
          <w:szCs w:val="22"/>
        </w:rPr>
      </w:pPr>
      <w:r w:rsidRPr="00EC4659">
        <w:rPr>
          <w:rFonts w:ascii="Calibri" w:hAnsi="Calibri"/>
          <w:szCs w:val="22"/>
        </w:rPr>
        <w:lastRenderedPageBreak/>
        <w:t>During the consultation sessions the timeframe used for the calculations was raised.  The current system uses one performance year in the calculations.  The benefit of using one year is that exporters can affect an increase in their allocation faster, which is useful for those growing their business, particularly new entrants.  However, it does not provide any buffer to changes in the market or commercial circumstance which can present a greater risk for business.  A timeframe of two years begins to have the reverse effect; it helps smooth the impact of changed conditions, but will make building an allocation take longer.</w:t>
      </w:r>
    </w:p>
    <w:p w14:paraId="1F58FD0A"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There was interest in each approach during consultation, so industry should discuss what timeframe will provide the greatest overall benefits.</w:t>
      </w:r>
    </w:p>
    <w:tbl>
      <w:tblPr>
        <w:tblStyle w:val="TableGrid1"/>
        <w:tblW w:w="0" w:type="auto"/>
        <w:jc w:val="center"/>
        <w:tblLook w:val="04A0" w:firstRow="1" w:lastRow="0" w:firstColumn="1" w:lastColumn="0" w:noHBand="0" w:noVBand="1"/>
      </w:tblPr>
      <w:tblGrid>
        <w:gridCol w:w="8359"/>
      </w:tblGrid>
      <w:tr w:rsidR="00EC4659" w:rsidRPr="00EC4659" w14:paraId="1DAF8D21" w14:textId="77777777" w:rsidTr="00EC4659">
        <w:trPr>
          <w:jc w:val="center"/>
        </w:trPr>
        <w:tc>
          <w:tcPr>
            <w:tcW w:w="8359" w:type="dxa"/>
            <w:shd w:val="clear" w:color="auto" w:fill="F2F2F2"/>
          </w:tcPr>
          <w:p w14:paraId="33F01DAF" w14:textId="77777777" w:rsidR="00EC4659" w:rsidRPr="00EC4659" w:rsidRDefault="00EC4659" w:rsidP="00EC4659">
            <w:pPr>
              <w:spacing w:before="120" w:after="120" w:line="240" w:lineRule="auto"/>
              <w:rPr>
                <w:rFonts w:ascii="Calibri" w:hAnsi="Calibri"/>
                <w:b/>
                <w:bCs/>
                <w:sz w:val="20"/>
                <w:lang w:eastAsia="ja-JP"/>
              </w:rPr>
            </w:pPr>
            <w:r w:rsidRPr="00DD6343">
              <w:rPr>
                <w:rFonts w:asciiTheme="minorHAnsi" w:eastAsiaTheme="minorHAnsi" w:hAnsiTheme="minorHAnsi" w:cstheme="minorBidi"/>
                <w:lang w:eastAsia="ja-JP"/>
              </w:rPr>
              <w:t>What is the industry-preferred timeframe for shipment history – one, two or three years? Why?</w:t>
            </w:r>
          </w:p>
        </w:tc>
      </w:tr>
    </w:tbl>
    <w:p w14:paraId="72C5FA8F" w14:textId="77777777" w:rsidR="00EC4659" w:rsidRPr="00EC4659" w:rsidRDefault="00EC4659" w:rsidP="00EC4659">
      <w:pPr>
        <w:keepNext/>
        <w:spacing w:before="120" w:after="120" w:line="259" w:lineRule="auto"/>
        <w:rPr>
          <w:rFonts w:ascii="Calibri" w:hAnsi="Calibri"/>
          <w:i/>
          <w:szCs w:val="22"/>
          <w:lang w:eastAsia="ja-JP"/>
        </w:rPr>
      </w:pPr>
      <w:r w:rsidRPr="00EC4659">
        <w:rPr>
          <w:rFonts w:ascii="Calibri" w:hAnsi="Calibri"/>
          <w:i/>
          <w:szCs w:val="22"/>
          <w:lang w:eastAsia="ja-JP"/>
        </w:rPr>
        <w:t>Minimum Allocation</w:t>
      </w:r>
    </w:p>
    <w:p w14:paraId="302A3C6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12 tonnes minimum allocation was viewed as a balance between limiting the number of very small allocations, while still catering for new entrants in the process of building an allocation.  However, it was stated that 12 tonnes is not a viable amount for any exporter.  Consideration should therefore be given to whether the minimum allocation could be raised to a more viable amount, for example three or four containers, or 50 tonnes.</w:t>
      </w:r>
    </w:p>
    <w:tbl>
      <w:tblPr>
        <w:tblStyle w:val="TableGrid1"/>
        <w:tblW w:w="0" w:type="auto"/>
        <w:jc w:val="center"/>
        <w:tblLook w:val="04A0" w:firstRow="1" w:lastRow="0" w:firstColumn="1" w:lastColumn="0" w:noHBand="0" w:noVBand="1"/>
      </w:tblPr>
      <w:tblGrid>
        <w:gridCol w:w="8359"/>
      </w:tblGrid>
      <w:tr w:rsidR="00EC4659" w:rsidRPr="00EC4659" w14:paraId="6EB8E7D4" w14:textId="77777777" w:rsidTr="00EC4659">
        <w:trPr>
          <w:jc w:val="center"/>
        </w:trPr>
        <w:tc>
          <w:tcPr>
            <w:tcW w:w="8359" w:type="dxa"/>
            <w:shd w:val="clear" w:color="auto" w:fill="F2F2F2"/>
          </w:tcPr>
          <w:p w14:paraId="5F5C3061" w14:textId="77777777" w:rsidR="00EC4659" w:rsidRPr="00EC4659" w:rsidRDefault="00EC4659" w:rsidP="00EC4659">
            <w:pPr>
              <w:spacing w:before="120" w:after="120" w:line="240" w:lineRule="auto"/>
              <w:rPr>
                <w:rFonts w:ascii="Calibri" w:hAnsi="Calibri"/>
                <w:b/>
                <w:bCs/>
                <w:sz w:val="20"/>
                <w:lang w:eastAsia="ja-JP"/>
              </w:rPr>
            </w:pPr>
            <w:r w:rsidRPr="00DD6343">
              <w:rPr>
                <w:rFonts w:asciiTheme="minorHAnsi" w:eastAsiaTheme="minorHAnsi" w:hAnsiTheme="minorHAnsi" w:cstheme="minorBidi"/>
                <w:lang w:eastAsia="ja-JP"/>
              </w:rPr>
              <w:t>Is there an alternative minimum allocation volume to consider?</w:t>
            </w:r>
          </w:p>
        </w:tc>
      </w:tr>
    </w:tbl>
    <w:p w14:paraId="46A2B41D"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t>Reclaim and Reallocation Process</w:t>
      </w:r>
    </w:p>
    <w:p w14:paraId="6AE49F5D"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Under the current system EU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quota enacts a reclaim process two months from the end of the quota year.  During the consultation sessions this was raised as a concern by stakeholders, citing that it lacks time to respond and use the quota; given shipping times, there is effectively only a two week window.</w:t>
      </w:r>
    </w:p>
    <w:p w14:paraId="5FC2A30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 xml:space="preserve">In Option 3 it was proposed to change this to four months from the end of the quota year, as this would provide a level of surety earlier. The longer timeframe would also relieve the pressure of a small window to use the quota, as currently exists.  However, feedback provided was that four months would be too far out to estimate effectively, particularly given </w:t>
      </w:r>
      <w:proofErr w:type="spellStart"/>
      <w:r w:rsidRPr="00EC4659">
        <w:rPr>
          <w:rFonts w:ascii="Calibri" w:hAnsi="Calibri"/>
          <w:szCs w:val="22"/>
          <w:lang w:eastAsia="ja-JP"/>
        </w:rPr>
        <w:t>sheepmeat</w:t>
      </w:r>
      <w:proofErr w:type="spellEnd"/>
      <w:r w:rsidRPr="00EC4659">
        <w:rPr>
          <w:rFonts w:ascii="Calibri" w:hAnsi="Calibri"/>
          <w:szCs w:val="22"/>
          <w:lang w:eastAsia="ja-JP"/>
        </w:rPr>
        <w:t xml:space="preserve"> exports are skewed toward Christmas trading.  </w:t>
      </w:r>
    </w:p>
    <w:p w14:paraId="48F5214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Based on this an appropriate middle ground may be setting the reclaim process to three months from the end of the quota year.  This would extend the remaining time for shipping to roughly six weeks, while being a more reasonable timeframe to estimate the volume of quota needed.</w:t>
      </w:r>
    </w:p>
    <w:tbl>
      <w:tblPr>
        <w:tblStyle w:val="TableGrid1"/>
        <w:tblW w:w="0" w:type="auto"/>
        <w:jc w:val="center"/>
        <w:tblLook w:val="04A0" w:firstRow="1" w:lastRow="0" w:firstColumn="1" w:lastColumn="0" w:noHBand="0" w:noVBand="1"/>
      </w:tblPr>
      <w:tblGrid>
        <w:gridCol w:w="8359"/>
      </w:tblGrid>
      <w:tr w:rsidR="00EC4659" w:rsidRPr="00EC4659" w14:paraId="51657B22" w14:textId="77777777" w:rsidTr="00EC4659">
        <w:trPr>
          <w:jc w:val="center"/>
        </w:trPr>
        <w:tc>
          <w:tcPr>
            <w:tcW w:w="8359" w:type="dxa"/>
            <w:shd w:val="clear" w:color="auto" w:fill="F2F2F2"/>
          </w:tcPr>
          <w:p w14:paraId="7F0A838C" w14:textId="77777777" w:rsidR="00EC4659" w:rsidRPr="00EC4659" w:rsidRDefault="00EC4659" w:rsidP="00EC4659">
            <w:pPr>
              <w:spacing w:before="120" w:after="120" w:line="240" w:lineRule="auto"/>
              <w:rPr>
                <w:rFonts w:ascii="Calibri" w:hAnsi="Calibri"/>
                <w:b/>
                <w:bCs/>
                <w:sz w:val="20"/>
                <w:lang w:eastAsia="ja-JP"/>
              </w:rPr>
            </w:pPr>
            <w:r w:rsidRPr="00DD6343">
              <w:rPr>
                <w:rFonts w:asciiTheme="minorHAnsi" w:eastAsiaTheme="minorHAnsi" w:hAnsiTheme="minorHAnsi" w:cstheme="minorBidi"/>
                <w:lang w:eastAsia="ja-JP"/>
              </w:rPr>
              <w:t>Does industry support changing the reclaim date to be earlier in the quota year? If so, what timeframe is preferred and why? If not, why not?</w:t>
            </w:r>
          </w:p>
        </w:tc>
      </w:tr>
    </w:tbl>
    <w:p w14:paraId="3D31A922" w14:textId="77777777" w:rsidR="00EC4659" w:rsidRPr="00EC4659" w:rsidRDefault="00EC4659" w:rsidP="00EC4659">
      <w:pPr>
        <w:spacing w:before="120" w:after="120" w:line="259" w:lineRule="auto"/>
        <w:rPr>
          <w:rFonts w:ascii="Calibri" w:hAnsi="Calibri"/>
          <w:szCs w:val="22"/>
          <w:lang w:eastAsia="ja-JP"/>
        </w:rPr>
      </w:pPr>
      <w:r w:rsidRPr="00EC4659">
        <w:rPr>
          <w:rFonts w:ascii="Calibri" w:hAnsi="Calibri"/>
          <w:szCs w:val="22"/>
          <w:lang w:eastAsia="ja-JP"/>
        </w:rPr>
        <w:t>The quota reclaim process currently only allows exporters to either retain or relinquish their allocated quota.  This means that where quota is relinquished it can only be accessed via FCFS arrangements.  The department regularly fields queries regarding expected FCFS availability during this time, demonstrating the desire by exporters to use it.  During consultation this was raised as an issue, citing that FCFS lacks certainty and exporters will not prepare a consignment if they risk missing out on quota.  As a result there is likely to be unused quota even though there is still demand.</w:t>
      </w:r>
    </w:p>
    <w:p w14:paraId="353258C4"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lastRenderedPageBreak/>
        <w:t>An alternative is to add an option for exporters to be able to request additional quota to be allocated to them.  For instance an exporter could advise the department they wish to retain their unused quota and wish to apply for more.  This would provide exporters with greater certainty in preparing their consignments, rather than having to access additional quota as FCFS.</w:t>
      </w:r>
    </w:p>
    <w:tbl>
      <w:tblPr>
        <w:tblStyle w:val="TableGrid1"/>
        <w:tblW w:w="0" w:type="auto"/>
        <w:jc w:val="center"/>
        <w:tblLook w:val="04A0" w:firstRow="1" w:lastRow="0" w:firstColumn="1" w:lastColumn="0" w:noHBand="0" w:noVBand="1"/>
      </w:tblPr>
      <w:tblGrid>
        <w:gridCol w:w="8359"/>
      </w:tblGrid>
      <w:tr w:rsidR="00EC4659" w:rsidRPr="00EC4659" w14:paraId="530FDF0D" w14:textId="77777777" w:rsidTr="00EC4659">
        <w:trPr>
          <w:jc w:val="center"/>
        </w:trPr>
        <w:tc>
          <w:tcPr>
            <w:tcW w:w="8359" w:type="dxa"/>
            <w:shd w:val="clear" w:color="auto" w:fill="F2F2F2"/>
          </w:tcPr>
          <w:p w14:paraId="678421C1" w14:textId="77777777" w:rsidR="00EC4659" w:rsidRPr="00EC4659" w:rsidRDefault="00EC4659" w:rsidP="00EC4659">
            <w:pPr>
              <w:spacing w:before="120" w:after="120" w:line="240" w:lineRule="auto"/>
              <w:rPr>
                <w:rFonts w:ascii="Calibri" w:hAnsi="Calibri"/>
                <w:b/>
                <w:bCs/>
                <w:sz w:val="20"/>
                <w:lang w:eastAsia="ja-JP"/>
              </w:rPr>
            </w:pPr>
            <w:r w:rsidRPr="00DD6343">
              <w:rPr>
                <w:rFonts w:asciiTheme="minorHAnsi" w:eastAsiaTheme="minorHAnsi" w:hAnsiTheme="minorHAnsi" w:cstheme="minorBidi"/>
                <w:lang w:eastAsia="ja-JP"/>
              </w:rPr>
              <w:t>Does industry support allowing applications for additional quota as part of the reclaim process? Why or why not?</w:t>
            </w:r>
          </w:p>
        </w:tc>
      </w:tr>
    </w:tbl>
    <w:p w14:paraId="22ECCBD1" w14:textId="77777777" w:rsidR="00EC4659" w:rsidRPr="00EC4659" w:rsidRDefault="00EC4659" w:rsidP="00EC4659">
      <w:pPr>
        <w:spacing w:before="120" w:after="120" w:line="259" w:lineRule="auto"/>
        <w:rPr>
          <w:rFonts w:ascii="Calibri" w:hAnsi="Calibri"/>
          <w:szCs w:val="22"/>
          <w:lang w:eastAsia="ja-JP"/>
        </w:rPr>
      </w:pPr>
      <w:r w:rsidRPr="00EC4659">
        <w:rPr>
          <w:rFonts w:ascii="Calibri" w:hAnsi="Calibri"/>
          <w:szCs w:val="22"/>
          <w:lang w:eastAsia="ja-JP"/>
        </w:rPr>
        <w:t>Additionally, current rules require exporters to provide consignment information covering any volume of quota they wish to retain after 31 October.  The rules further state that if a quota certificate is not applied for ahead of the specified shipment date (or does not cover the full volume as specified earlier) that volume of quota lapses on the day of the intended shipment; that is the exporter loses that volume of allocated quota.</w:t>
      </w:r>
    </w:p>
    <w:p w14:paraId="7153DF73"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The intent of this rule is that exporters will only retain quota if they actually intend to use it.  However, the approach is not practical; realistically exporters cannot provide information with this accuracy as things like shipping times frequently change.  It is also burdensome for both exporters and the department to monitor.</w:t>
      </w:r>
    </w:p>
    <w:p w14:paraId="39B02667"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This would be compounded should the reclaim date be shifted forward to three months from the end of the quota year.  During consultation it was raised that it would not be possible to provide shipment details three months out.</w:t>
      </w:r>
    </w:p>
    <w:p w14:paraId="35BE1F5A"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An alternative to this is to remove the requirement to provide consignment information and instead apply a penalty regime.  This provides greater flexibility to exporters and reduces the regulatory burden on them, while still maintaining the policy intent of encouraging only those exporters in a position to use the quota to apply.  It would be proposed that penalties would be a 1:1 ratio, applicable to the next quota years’ allocation.  Penalties would be applied where an exporter had used less than 90 per cent of their allocated quota six weeks from the end of the quota year (being closely aligned with the shipping year).</w:t>
      </w:r>
    </w:p>
    <w:tbl>
      <w:tblPr>
        <w:tblStyle w:val="TableGrid1"/>
        <w:tblpPr w:leftFromText="180" w:rightFromText="180" w:vertAnchor="text" w:horzAnchor="margin" w:tblpXSpec="center" w:tblpY="64"/>
        <w:tblW w:w="0" w:type="auto"/>
        <w:tblLook w:val="04A0" w:firstRow="1" w:lastRow="0" w:firstColumn="1" w:lastColumn="0" w:noHBand="0" w:noVBand="1"/>
      </w:tblPr>
      <w:tblGrid>
        <w:gridCol w:w="8359"/>
      </w:tblGrid>
      <w:tr w:rsidR="00EC4659" w:rsidRPr="00EC4659" w14:paraId="093335E4" w14:textId="77777777" w:rsidTr="00EC4659">
        <w:tc>
          <w:tcPr>
            <w:tcW w:w="8359" w:type="dxa"/>
            <w:shd w:val="clear" w:color="auto" w:fill="F2F2F2"/>
          </w:tcPr>
          <w:p w14:paraId="59C582AE" w14:textId="77777777" w:rsidR="00EC4659" w:rsidRPr="00EC4659" w:rsidRDefault="00EC4659" w:rsidP="00EC4659">
            <w:pPr>
              <w:spacing w:before="120" w:after="120" w:line="240" w:lineRule="auto"/>
              <w:rPr>
                <w:rFonts w:ascii="Calibri" w:hAnsi="Calibri"/>
                <w:b/>
                <w:bCs/>
                <w:sz w:val="20"/>
                <w:lang w:eastAsia="ja-JP"/>
              </w:rPr>
            </w:pPr>
            <w:r w:rsidRPr="00DD6343">
              <w:rPr>
                <w:rFonts w:asciiTheme="minorHAnsi" w:eastAsiaTheme="minorHAnsi" w:hAnsiTheme="minorHAnsi" w:cstheme="minorBidi"/>
                <w:lang w:eastAsia="ja-JP"/>
              </w:rPr>
              <w:t>Would the industry prefer to remain with the current requirement to provide consignment information or to substitute this for a penalty regime? Why?</w:t>
            </w:r>
          </w:p>
        </w:tc>
      </w:tr>
    </w:tbl>
    <w:p w14:paraId="0CA715CB"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t>Additional Information</w:t>
      </w:r>
    </w:p>
    <w:p w14:paraId="00FBB570"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If industry are supportive of a change to penalties instead of providing consignment information the department would recommend adjusting the dates of the performance year to rationalise the process.  As penalties are best calculated six weeks from the end of the quota year (being approximately 16 November) it is recommended to adjust the performance year dates to align; this would shift the performance year to be 16 November to 15 November instead of 1 November to 31 October.</w:t>
      </w:r>
    </w:p>
    <w:p w14:paraId="536C2F00" w14:textId="77777777" w:rsidR="00EC4659" w:rsidRPr="00EC4659" w:rsidRDefault="00EC4659" w:rsidP="00EC4659">
      <w:pPr>
        <w:spacing w:after="240" w:line="259" w:lineRule="auto"/>
        <w:rPr>
          <w:rFonts w:ascii="Calibri" w:hAnsi="Calibri"/>
          <w:szCs w:val="22"/>
          <w:lang w:eastAsia="ja-JP"/>
        </w:rPr>
      </w:pPr>
      <w:r w:rsidRPr="00EC4659">
        <w:rPr>
          <w:rFonts w:ascii="Calibri" w:hAnsi="Calibri"/>
          <w:szCs w:val="22"/>
          <w:lang w:eastAsia="ja-JP"/>
        </w:rPr>
        <w:t>Entitlement transfers were discussed during consultation and there was no appetite for change.  Transfers are currently not allowed after the reclaim date and this would continue under any future model.  Performance transfers were also discussed; similarly there is no desire for this to be changed.</w:t>
      </w:r>
    </w:p>
    <w:p w14:paraId="7853FE5F" w14:textId="77777777" w:rsidR="00EC4659" w:rsidRPr="00EC4659" w:rsidRDefault="00EC4659" w:rsidP="00EC4659">
      <w:pPr>
        <w:spacing w:after="120" w:line="259" w:lineRule="auto"/>
        <w:rPr>
          <w:rFonts w:ascii="Calibri Light" w:hAnsi="Calibri Light"/>
          <w:color w:val="2E74B5"/>
          <w:sz w:val="32"/>
          <w:szCs w:val="32"/>
        </w:rPr>
      </w:pPr>
      <w:r w:rsidRPr="00EC4659">
        <w:rPr>
          <w:rFonts w:ascii="Calibri Light" w:hAnsi="Calibri Light"/>
          <w:color w:val="2E74B5"/>
          <w:sz w:val="32"/>
          <w:szCs w:val="32"/>
        </w:rPr>
        <w:t>Export tariff rate quota regulatory streamlining – Revised ruleset for US Beef Quota</w:t>
      </w:r>
    </w:p>
    <w:p w14:paraId="495272FB" w14:textId="77777777" w:rsidR="00EC4659" w:rsidRPr="00EC4659" w:rsidRDefault="00EC4659" w:rsidP="00EC4659">
      <w:pPr>
        <w:spacing w:after="120" w:line="259" w:lineRule="auto"/>
        <w:rPr>
          <w:rFonts w:ascii="Calibri" w:hAnsi="Calibri"/>
          <w:szCs w:val="22"/>
        </w:rPr>
      </w:pPr>
      <w:r w:rsidRPr="00EC4659">
        <w:rPr>
          <w:rFonts w:ascii="Calibri" w:hAnsi="Calibri"/>
          <w:szCs w:val="22"/>
        </w:rPr>
        <w:lastRenderedPageBreak/>
        <w:t>The Regulation Impact Statement (RIS) presented to industry for consultation set out three options for the management of export tariff rate quotas.  These were the status quo, a first come first served (FCFS) system, and a tiered allocation system.</w:t>
      </w:r>
    </w:p>
    <w:p w14:paraId="7B11D362"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Following initial consultation the department received valuable feedback on the proposals.  Based on this feedback and discussions with industry it was agreed that the department would make amendments to the proposal and provide industry with a fourth option, including greater specifics for each quota group.</w:t>
      </w:r>
    </w:p>
    <w:p w14:paraId="75E74C63"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Overall, the initial proposal did not recommend significant change to the function of the US beef quota.  Following the consultation workshops and the feedback received the department has made some amendments to the Option 3 proposal regarding US beef, set out below.</w:t>
      </w:r>
    </w:p>
    <w:p w14:paraId="456A607C" w14:textId="77777777" w:rsidR="00EC4659" w:rsidRPr="00EC4659" w:rsidRDefault="00EC4659" w:rsidP="00EC4659">
      <w:pPr>
        <w:spacing w:after="120" w:line="259" w:lineRule="auto"/>
        <w:rPr>
          <w:rFonts w:ascii="Calibri" w:hAnsi="Calibri"/>
          <w:szCs w:val="22"/>
        </w:rPr>
      </w:pPr>
      <w:r w:rsidRPr="00EC4659">
        <w:rPr>
          <w:rFonts w:ascii="Calibri" w:hAnsi="Calibri"/>
          <w:szCs w:val="22"/>
        </w:rPr>
        <w:t>To ensure the Regulation Impact Statement can clearly set out the rationale for either remaining with current arrangements or implementing changes, please include the justification in any responses (including evidence wherever possible).</w:t>
      </w:r>
    </w:p>
    <w:p w14:paraId="1D044BE4" w14:textId="77777777" w:rsidR="00EC4659" w:rsidRPr="00EC4659" w:rsidRDefault="00EC4659" w:rsidP="00EC4659">
      <w:pPr>
        <w:spacing w:after="120" w:line="259" w:lineRule="auto"/>
        <w:rPr>
          <w:rFonts w:ascii="Calibri Light" w:hAnsi="Calibri Light"/>
          <w:b/>
          <w:color w:val="2E74B5"/>
          <w:sz w:val="26"/>
          <w:szCs w:val="26"/>
        </w:rPr>
      </w:pPr>
      <w:r w:rsidRPr="00EC4659">
        <w:rPr>
          <w:rFonts w:ascii="Calibri Light" w:hAnsi="Calibri Light"/>
          <w:b/>
          <w:color w:val="2E74B5"/>
          <w:sz w:val="26"/>
          <w:szCs w:val="26"/>
        </w:rPr>
        <w:t>Option 4 – US Beef: FCFS with High-fill Trigger Model</w:t>
      </w:r>
    </w:p>
    <w:p w14:paraId="48E0314F"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To summarise the revised Option, it is proposed to inform exporters of provisional entitlements prior to the trigger point, based on their shipping history (previous two quota years).  Once the trigger point is reached quota will be allocated and exporters can continue to ship, transfer or return their allocated quota as they wish.  This is explained in detail, below.</w:t>
      </w:r>
    </w:p>
    <w:p w14:paraId="5BD0887A" w14:textId="77777777" w:rsidR="00EC4659" w:rsidRPr="00EC4659" w:rsidRDefault="00EC4659" w:rsidP="00EC4659">
      <w:pPr>
        <w:keepNext/>
        <w:spacing w:before="120" w:after="120" w:line="259" w:lineRule="auto"/>
        <w:rPr>
          <w:rFonts w:ascii="Calibri" w:hAnsi="Calibri"/>
          <w:i/>
          <w:szCs w:val="22"/>
          <w:lang w:eastAsia="ja-JP"/>
        </w:rPr>
      </w:pPr>
      <w:r w:rsidRPr="00EC4659">
        <w:rPr>
          <w:rFonts w:ascii="Calibri" w:hAnsi="Calibri"/>
          <w:i/>
          <w:szCs w:val="22"/>
          <w:lang w:eastAsia="ja-JP"/>
        </w:rPr>
        <w:t>Post-trigger Allocation Process</w:t>
      </w:r>
    </w:p>
    <w:p w14:paraId="6A1095EC"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In the initial proposal the department had suggested changes to the post-trigger allocation process; it was suggested that exporters should nominate a request amount so that allocations would better align with exporter needs (changed transfer and penalty arrangements were also proposed in order to complement this).</w:t>
      </w:r>
    </w:p>
    <w:p w14:paraId="19546444"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However, feedback during consultation demonstrated that the current process was more favourable from a commercial perspective and in regards to quota principles.  Provisional entitlements that are purely proportional can be calculated at any time and the exporters advised.  Whereas, requesting allocation from exporters would have to be done earlier to provide sufficient time for exporters to respond so that calculations could be completed, then exporters advised of the outcome.  If this occurs too early, exporters will not be in a position to make accurate estimates, so allocations may be no more accurate than had exporters just received their proportional allocation anyway.  This would be additional regulation with no benefit.</w:t>
      </w:r>
    </w:p>
    <w:p w14:paraId="55973CE6" w14:textId="77777777" w:rsidR="00EC4659" w:rsidRPr="00EC4659" w:rsidRDefault="00EC4659" w:rsidP="00EC4659">
      <w:pPr>
        <w:keepNext/>
        <w:spacing w:after="120" w:line="259" w:lineRule="auto"/>
        <w:rPr>
          <w:rFonts w:ascii="Calibri" w:hAnsi="Calibri"/>
          <w:szCs w:val="22"/>
          <w:lang w:eastAsia="ja-JP"/>
        </w:rPr>
      </w:pPr>
      <w:r w:rsidRPr="00EC4659">
        <w:rPr>
          <w:rFonts w:ascii="Calibri" w:hAnsi="Calibri"/>
          <w:i/>
          <w:szCs w:val="22"/>
          <w:lang w:eastAsia="ja-JP"/>
        </w:rPr>
        <w:t>Transfers</w:t>
      </w:r>
    </w:p>
    <w:p w14:paraId="2608263D"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During consultation there was agreement across all participants that the current rule providing a 10 day transfer window was not effective.  The experience from 2015 was that the transfer window forced exporters to speculate on the amount of quota they might need, increasing demand and leading to inflated prices for quota.  The RIS proposal had recommended not allowing transfers (along with applying penalties) as this would encourage more accurate allocation requests.  However, if allocation requests are less favourable (as discussed above) and are not implemented, this removes the reason for not allowing transfers.  Instead, it is suggested a better approach would be to allow unrestricted transfers for the remainder of the quota year as it has two particular benefits:</w:t>
      </w:r>
    </w:p>
    <w:p w14:paraId="21AFAE1B" w14:textId="77777777" w:rsidR="00EC4659" w:rsidRPr="00EC4659" w:rsidRDefault="00EC4659" w:rsidP="000F6D46">
      <w:pPr>
        <w:numPr>
          <w:ilvl w:val="0"/>
          <w:numId w:val="102"/>
        </w:numPr>
        <w:spacing w:after="160" w:line="259" w:lineRule="auto"/>
        <w:contextualSpacing/>
        <w:rPr>
          <w:rFonts w:ascii="Calibri" w:hAnsi="Calibri"/>
          <w:szCs w:val="22"/>
          <w:lang w:eastAsia="ja-JP"/>
        </w:rPr>
      </w:pPr>
      <w:r w:rsidRPr="00EC4659">
        <w:rPr>
          <w:rFonts w:ascii="Calibri" w:hAnsi="Calibri"/>
          <w:szCs w:val="22"/>
          <w:lang w:eastAsia="ja-JP"/>
        </w:rPr>
        <w:t>It removes the pressure created by a transfer window, and</w:t>
      </w:r>
    </w:p>
    <w:p w14:paraId="6BB70145" w14:textId="77777777" w:rsidR="00EC4659" w:rsidRPr="00EC4659" w:rsidRDefault="00EC4659" w:rsidP="000F6D46">
      <w:pPr>
        <w:numPr>
          <w:ilvl w:val="0"/>
          <w:numId w:val="102"/>
        </w:numPr>
        <w:spacing w:after="120" w:line="259" w:lineRule="auto"/>
        <w:contextualSpacing/>
        <w:rPr>
          <w:rFonts w:ascii="Calibri" w:hAnsi="Calibri"/>
          <w:szCs w:val="22"/>
          <w:lang w:eastAsia="ja-JP"/>
        </w:rPr>
      </w:pPr>
      <w:r w:rsidRPr="00EC4659">
        <w:rPr>
          <w:rFonts w:ascii="Calibri" w:hAnsi="Calibri"/>
          <w:szCs w:val="22"/>
          <w:lang w:eastAsia="ja-JP"/>
        </w:rPr>
        <w:t>It provides a process for quota to be able to reach the exporters best placed to use it.</w:t>
      </w:r>
    </w:p>
    <w:p w14:paraId="66B8AE7F" w14:textId="77777777" w:rsidR="00EC4659" w:rsidRPr="00EC4659" w:rsidRDefault="00EC4659" w:rsidP="00EC4659">
      <w:pPr>
        <w:keepNext/>
        <w:spacing w:before="120" w:after="120" w:line="259" w:lineRule="auto"/>
        <w:rPr>
          <w:rFonts w:ascii="Calibri" w:hAnsi="Calibri"/>
          <w:szCs w:val="22"/>
          <w:lang w:eastAsia="ja-JP"/>
        </w:rPr>
      </w:pPr>
      <w:r w:rsidRPr="00EC4659">
        <w:rPr>
          <w:rFonts w:ascii="Calibri" w:hAnsi="Calibri"/>
          <w:i/>
          <w:szCs w:val="22"/>
          <w:lang w:eastAsia="ja-JP"/>
        </w:rPr>
        <w:lastRenderedPageBreak/>
        <w:t>Penalties</w:t>
      </w:r>
    </w:p>
    <w:p w14:paraId="560B36D8" w14:textId="77777777" w:rsidR="00EC4659" w:rsidRPr="00EC4659" w:rsidRDefault="00EC4659" w:rsidP="00EC4659">
      <w:pPr>
        <w:spacing w:after="120" w:line="259" w:lineRule="auto"/>
        <w:rPr>
          <w:rFonts w:ascii="Calibri" w:hAnsi="Calibri"/>
          <w:szCs w:val="22"/>
          <w:lang w:eastAsia="ja-JP"/>
        </w:rPr>
      </w:pPr>
      <w:r w:rsidRPr="00EC4659">
        <w:rPr>
          <w:rFonts w:ascii="Calibri" w:hAnsi="Calibri"/>
          <w:szCs w:val="22"/>
          <w:lang w:eastAsia="ja-JP"/>
        </w:rPr>
        <w:t>As explained above, the initial option had proposed to include penalty provisions in conjunction with allocation requests and not allowing transfers.  This had been to act as a disincentive to request more quota than needed.  As the revised option is no longer proposing to request allocation amounts, penalties would no longer be necessary.  On the contrary, if exporters are being issued proportional allocations, they may receive more quota than they need; transfers provide a process to encourage quota to flow to others where there is demand.  However, if for whatever reason demand drops exporters should be able to respond to the market.  If there is not value in shipping under quota they should not be placed in a position where they have to use the quota purely to avoid a penalty.</w:t>
      </w:r>
    </w:p>
    <w:tbl>
      <w:tblPr>
        <w:tblStyle w:val="TableGrid1"/>
        <w:tblW w:w="0" w:type="auto"/>
        <w:jc w:val="center"/>
        <w:tblLook w:val="04A0" w:firstRow="1" w:lastRow="0" w:firstColumn="1" w:lastColumn="0" w:noHBand="0" w:noVBand="1"/>
      </w:tblPr>
      <w:tblGrid>
        <w:gridCol w:w="8359"/>
      </w:tblGrid>
      <w:tr w:rsidR="00EC4659" w:rsidRPr="00EC4659" w14:paraId="54165D1D" w14:textId="77777777" w:rsidTr="00EC4659">
        <w:trPr>
          <w:jc w:val="center"/>
        </w:trPr>
        <w:tc>
          <w:tcPr>
            <w:tcW w:w="8359" w:type="dxa"/>
            <w:shd w:val="clear" w:color="auto" w:fill="F2F2F2"/>
          </w:tcPr>
          <w:p w14:paraId="0743EE37" w14:textId="77777777" w:rsidR="00EC4659" w:rsidRPr="00DD6343" w:rsidRDefault="00EC4659" w:rsidP="00EC4659">
            <w:pPr>
              <w:spacing w:before="120" w:after="120" w:line="240" w:lineRule="auto"/>
              <w:rPr>
                <w:rFonts w:asciiTheme="minorHAnsi" w:eastAsiaTheme="minorHAnsi" w:hAnsiTheme="minorHAnsi" w:cstheme="minorBidi"/>
                <w:lang w:eastAsia="ja-JP"/>
              </w:rPr>
            </w:pPr>
            <w:r w:rsidRPr="00DD6343">
              <w:rPr>
                <w:rFonts w:asciiTheme="minorHAnsi" w:eastAsiaTheme="minorHAnsi" w:hAnsiTheme="minorHAnsi" w:cstheme="minorBidi"/>
                <w:lang w:eastAsia="ja-JP"/>
              </w:rPr>
              <w:t>Does industry support the streamlined allocation process?  Are any changes preferred?</w:t>
            </w:r>
          </w:p>
        </w:tc>
      </w:tr>
      <w:tr w:rsidR="00EC4659" w:rsidRPr="00EC4659" w14:paraId="6D2313D3" w14:textId="77777777" w:rsidTr="00EC4659">
        <w:trPr>
          <w:jc w:val="center"/>
        </w:trPr>
        <w:tc>
          <w:tcPr>
            <w:tcW w:w="8359" w:type="dxa"/>
            <w:shd w:val="clear" w:color="auto" w:fill="F2F2F2"/>
          </w:tcPr>
          <w:p w14:paraId="78FF1705" w14:textId="77777777" w:rsidR="00EC4659" w:rsidRPr="00DD6343" w:rsidRDefault="00EC4659" w:rsidP="00EC4659">
            <w:pPr>
              <w:spacing w:before="120" w:after="120" w:line="240" w:lineRule="auto"/>
              <w:rPr>
                <w:rFonts w:asciiTheme="minorHAnsi" w:eastAsiaTheme="minorHAnsi" w:hAnsiTheme="minorHAnsi" w:cstheme="minorBidi"/>
                <w:lang w:eastAsia="ja-JP"/>
              </w:rPr>
            </w:pPr>
            <w:r w:rsidRPr="00DD6343">
              <w:rPr>
                <w:rFonts w:asciiTheme="minorHAnsi" w:eastAsiaTheme="minorHAnsi" w:hAnsiTheme="minorHAnsi" w:cstheme="minorBidi"/>
                <w:lang w:eastAsia="ja-JP"/>
              </w:rPr>
              <w:t>Does industry support changing to an unrestricted transfer process? Why or why not?</w:t>
            </w:r>
          </w:p>
        </w:tc>
      </w:tr>
      <w:tr w:rsidR="00EC4659" w:rsidRPr="00EC4659" w14:paraId="58AD9F3E" w14:textId="77777777" w:rsidTr="00EC4659">
        <w:trPr>
          <w:jc w:val="center"/>
        </w:trPr>
        <w:tc>
          <w:tcPr>
            <w:tcW w:w="8359" w:type="dxa"/>
            <w:shd w:val="clear" w:color="auto" w:fill="F2F2F2"/>
          </w:tcPr>
          <w:p w14:paraId="75BC6CFA" w14:textId="77777777" w:rsidR="00EC4659" w:rsidRPr="00DD6343" w:rsidRDefault="00EC4659" w:rsidP="00EC4659">
            <w:pPr>
              <w:spacing w:before="120" w:after="120" w:line="240" w:lineRule="auto"/>
              <w:rPr>
                <w:rFonts w:asciiTheme="minorHAnsi" w:eastAsiaTheme="minorHAnsi" w:hAnsiTheme="minorHAnsi" w:cstheme="minorBidi"/>
                <w:lang w:eastAsia="ja-JP"/>
              </w:rPr>
            </w:pPr>
            <w:r w:rsidRPr="00DD6343">
              <w:rPr>
                <w:rFonts w:asciiTheme="minorHAnsi" w:eastAsiaTheme="minorHAnsi" w:hAnsiTheme="minorHAnsi" w:cstheme="minorBidi"/>
                <w:lang w:eastAsia="ja-JP"/>
              </w:rPr>
              <w:t>Does industry support maintaining the current process of not applying penalties?</w:t>
            </w:r>
          </w:p>
        </w:tc>
      </w:tr>
    </w:tbl>
    <w:p w14:paraId="17C2E112" w14:textId="77777777" w:rsidR="00EC4659" w:rsidRPr="00EC4659" w:rsidRDefault="00EC4659" w:rsidP="00EC4659">
      <w:pPr>
        <w:spacing w:after="160" w:line="259" w:lineRule="auto"/>
        <w:rPr>
          <w:rFonts w:ascii="Calibri" w:hAnsi="Calibri"/>
          <w:szCs w:val="22"/>
          <w:lang w:eastAsia="ja-JP"/>
        </w:rPr>
      </w:pPr>
    </w:p>
    <w:p w14:paraId="2A413752" w14:textId="77777777" w:rsidR="00EC4659" w:rsidRPr="00EC4659" w:rsidRDefault="00EC4659" w:rsidP="00EC4659">
      <w:pPr>
        <w:spacing w:after="160" w:line="259" w:lineRule="auto"/>
        <w:rPr>
          <w:rFonts w:ascii="Calibri" w:hAnsi="Calibri"/>
          <w:szCs w:val="22"/>
        </w:rPr>
      </w:pPr>
    </w:p>
    <w:p w14:paraId="35DE7B94" w14:textId="77777777" w:rsidR="00EC4659" w:rsidRPr="0017262F" w:rsidRDefault="00EC4659">
      <w:pPr>
        <w:pStyle w:val="paragraph"/>
      </w:pPr>
    </w:p>
    <w:sectPr w:rsidR="00EC4659" w:rsidRPr="001726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2A790" w14:textId="77777777" w:rsidR="00EC4659" w:rsidRDefault="00EC4659">
      <w:r>
        <w:separator/>
      </w:r>
    </w:p>
  </w:endnote>
  <w:endnote w:type="continuationSeparator" w:id="0">
    <w:p w14:paraId="541C7E6A" w14:textId="77777777" w:rsidR="00EC4659" w:rsidRDefault="00EC4659">
      <w:r>
        <w:continuationSeparator/>
      </w:r>
    </w:p>
  </w:endnote>
  <w:endnote w:type="continuationNotice" w:id="1">
    <w:p w14:paraId="6FDD0E75" w14:textId="77777777" w:rsidR="00EC4659" w:rsidRDefault="00EC46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106071"/>
      <w:docPartObj>
        <w:docPartGallery w:val="Page Numbers (Bottom of Page)"/>
        <w:docPartUnique/>
      </w:docPartObj>
    </w:sdtPr>
    <w:sdtEndPr>
      <w:rPr>
        <w:noProof/>
      </w:rPr>
    </w:sdtEndPr>
    <w:sdtContent>
      <w:p w14:paraId="0A64EB4B" w14:textId="022D4740" w:rsidR="00EC4659" w:rsidRDefault="00EC4659">
        <w:pPr>
          <w:pStyle w:val="Footer"/>
          <w:jc w:val="center"/>
        </w:pPr>
        <w:r w:rsidRPr="00CA09A3">
          <w:rPr>
            <w:rFonts w:ascii="Times New Roman" w:hAnsi="Times New Roman"/>
            <w:sz w:val="22"/>
            <w:szCs w:val="22"/>
          </w:rPr>
          <w:fldChar w:fldCharType="begin"/>
        </w:r>
        <w:r w:rsidRPr="00CA09A3">
          <w:rPr>
            <w:rFonts w:ascii="Times New Roman" w:hAnsi="Times New Roman"/>
            <w:sz w:val="22"/>
            <w:szCs w:val="22"/>
          </w:rPr>
          <w:instrText xml:space="preserve"> PAGE   \* MERGEFORMAT </w:instrText>
        </w:r>
        <w:r w:rsidRPr="00CA09A3">
          <w:rPr>
            <w:rFonts w:ascii="Times New Roman" w:hAnsi="Times New Roman"/>
            <w:sz w:val="22"/>
            <w:szCs w:val="22"/>
          </w:rPr>
          <w:fldChar w:fldCharType="separate"/>
        </w:r>
        <w:r w:rsidR="00B82E19">
          <w:rPr>
            <w:rFonts w:ascii="Times New Roman" w:hAnsi="Times New Roman"/>
            <w:noProof/>
            <w:sz w:val="22"/>
            <w:szCs w:val="22"/>
          </w:rPr>
          <w:t>64</w:t>
        </w:r>
        <w:r w:rsidRPr="00CA09A3">
          <w:rPr>
            <w:rFonts w:ascii="Times New Roman" w:hAnsi="Times New Roman"/>
            <w:noProof/>
            <w:sz w:val="22"/>
            <w:szCs w:val="22"/>
          </w:rPr>
          <w:fldChar w:fldCharType="end"/>
        </w:r>
      </w:p>
    </w:sdtContent>
  </w:sdt>
  <w:p w14:paraId="52185F54" w14:textId="37F3432D" w:rsidR="00EC4659" w:rsidRDefault="00EC4659" w:rsidP="00C6669A">
    <w:pPr>
      <w:pStyle w:val="Footer"/>
      <w:jc w:val="right"/>
    </w:pPr>
  </w:p>
  <w:p w14:paraId="73CD5AA0" w14:textId="77777777" w:rsidR="00EC4659" w:rsidRDefault="00EC46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770400"/>
      <w:docPartObj>
        <w:docPartGallery w:val="Page Numbers (Bottom of Page)"/>
        <w:docPartUnique/>
      </w:docPartObj>
    </w:sdtPr>
    <w:sdtContent>
      <w:sdt>
        <w:sdtPr>
          <w:id w:val="-364369083"/>
          <w:docPartObj>
            <w:docPartGallery w:val="Page Numbers (Top of Page)"/>
            <w:docPartUnique/>
          </w:docPartObj>
        </w:sdtPr>
        <w:sdtContent>
          <w:p w14:paraId="45FB5733" w14:textId="77777777" w:rsidR="00EC4659" w:rsidRDefault="00EC4659">
            <w:pPr>
              <w:pStyle w:val="Footer"/>
              <w:jc w:val="right"/>
            </w:pPr>
            <w:r w:rsidRPr="000A15A2">
              <w:t xml:space="preserve">Page </w:t>
            </w:r>
            <w:r w:rsidRPr="000A15A2">
              <w:rPr>
                <w:b/>
                <w:bCs/>
                <w:sz w:val="24"/>
                <w:szCs w:val="24"/>
              </w:rPr>
              <w:fldChar w:fldCharType="begin"/>
            </w:r>
            <w:r w:rsidRPr="000A15A2">
              <w:rPr>
                <w:b/>
                <w:bCs/>
              </w:rPr>
              <w:instrText xml:space="preserve"> PAGE </w:instrText>
            </w:r>
            <w:r w:rsidRPr="000A15A2">
              <w:rPr>
                <w:b/>
                <w:bCs/>
                <w:sz w:val="24"/>
                <w:szCs w:val="24"/>
              </w:rPr>
              <w:fldChar w:fldCharType="separate"/>
            </w:r>
            <w:r w:rsidR="00B82E19">
              <w:rPr>
                <w:b/>
                <w:bCs/>
                <w:noProof/>
              </w:rPr>
              <w:t>76</w:t>
            </w:r>
            <w:r w:rsidRPr="000A15A2">
              <w:rPr>
                <w:b/>
                <w:bCs/>
                <w:sz w:val="24"/>
                <w:szCs w:val="24"/>
              </w:rPr>
              <w:fldChar w:fldCharType="end"/>
            </w:r>
            <w:r w:rsidRPr="000A15A2">
              <w:t xml:space="preserve"> of </w:t>
            </w:r>
            <w:r w:rsidRPr="000A15A2">
              <w:rPr>
                <w:b/>
                <w:bCs/>
                <w:sz w:val="24"/>
                <w:szCs w:val="24"/>
              </w:rPr>
              <w:fldChar w:fldCharType="begin"/>
            </w:r>
            <w:r w:rsidRPr="000A15A2">
              <w:rPr>
                <w:b/>
                <w:bCs/>
              </w:rPr>
              <w:instrText xml:space="preserve"> NUMPAGES  </w:instrText>
            </w:r>
            <w:r w:rsidRPr="000A15A2">
              <w:rPr>
                <w:b/>
                <w:bCs/>
                <w:sz w:val="24"/>
                <w:szCs w:val="24"/>
              </w:rPr>
              <w:fldChar w:fldCharType="separate"/>
            </w:r>
            <w:r w:rsidR="00B82E19">
              <w:rPr>
                <w:b/>
                <w:bCs/>
                <w:noProof/>
              </w:rPr>
              <w:t>152</w:t>
            </w:r>
            <w:r w:rsidRPr="000A15A2">
              <w:rPr>
                <w:b/>
                <w:bCs/>
                <w:sz w:val="24"/>
                <w:szCs w:val="24"/>
              </w:rPr>
              <w:fldChar w:fldCharType="end"/>
            </w:r>
          </w:p>
        </w:sdtContent>
      </w:sdt>
    </w:sdtContent>
  </w:sdt>
  <w:p w14:paraId="564D0D01" w14:textId="77777777" w:rsidR="00EC4659" w:rsidRDefault="00EC46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156210"/>
      <w:docPartObj>
        <w:docPartGallery w:val="Page Numbers (Bottom of Page)"/>
        <w:docPartUnique/>
      </w:docPartObj>
    </w:sdtPr>
    <w:sdtContent>
      <w:sdt>
        <w:sdtPr>
          <w:id w:val="552965355"/>
          <w:docPartObj>
            <w:docPartGallery w:val="Page Numbers (Top of Page)"/>
            <w:docPartUnique/>
          </w:docPartObj>
        </w:sdtPr>
        <w:sdtContent>
          <w:p w14:paraId="33D79DB8" w14:textId="77777777" w:rsidR="00EC4659" w:rsidRDefault="00EC4659">
            <w:pPr>
              <w:pStyle w:val="Footer"/>
              <w:jc w:val="right"/>
            </w:pPr>
            <w:r w:rsidRPr="000A15A2">
              <w:t xml:space="preserve">Page </w:t>
            </w:r>
            <w:r w:rsidRPr="000A15A2">
              <w:rPr>
                <w:b/>
                <w:bCs/>
                <w:sz w:val="24"/>
                <w:szCs w:val="24"/>
              </w:rPr>
              <w:fldChar w:fldCharType="begin"/>
            </w:r>
            <w:r w:rsidRPr="000A15A2">
              <w:rPr>
                <w:b/>
                <w:bCs/>
              </w:rPr>
              <w:instrText xml:space="preserve"> PAGE </w:instrText>
            </w:r>
            <w:r w:rsidRPr="000A15A2">
              <w:rPr>
                <w:b/>
                <w:bCs/>
                <w:sz w:val="24"/>
                <w:szCs w:val="24"/>
              </w:rPr>
              <w:fldChar w:fldCharType="separate"/>
            </w:r>
            <w:r w:rsidR="00B82E19">
              <w:rPr>
                <w:b/>
                <w:bCs/>
                <w:noProof/>
              </w:rPr>
              <w:t>152</w:t>
            </w:r>
            <w:r w:rsidRPr="000A15A2">
              <w:rPr>
                <w:b/>
                <w:bCs/>
                <w:sz w:val="24"/>
                <w:szCs w:val="24"/>
              </w:rPr>
              <w:fldChar w:fldCharType="end"/>
            </w:r>
            <w:r w:rsidRPr="000A15A2">
              <w:t xml:space="preserve"> of </w:t>
            </w:r>
            <w:r w:rsidRPr="000A15A2">
              <w:rPr>
                <w:b/>
                <w:bCs/>
                <w:sz w:val="24"/>
                <w:szCs w:val="24"/>
              </w:rPr>
              <w:fldChar w:fldCharType="begin"/>
            </w:r>
            <w:r w:rsidRPr="000A15A2">
              <w:rPr>
                <w:b/>
                <w:bCs/>
              </w:rPr>
              <w:instrText xml:space="preserve"> NUMPAGES  </w:instrText>
            </w:r>
            <w:r w:rsidRPr="000A15A2">
              <w:rPr>
                <w:b/>
                <w:bCs/>
                <w:sz w:val="24"/>
                <w:szCs w:val="24"/>
              </w:rPr>
              <w:fldChar w:fldCharType="separate"/>
            </w:r>
            <w:r w:rsidR="00B82E19">
              <w:rPr>
                <w:b/>
                <w:bCs/>
                <w:noProof/>
              </w:rPr>
              <w:t>153</w:t>
            </w:r>
            <w:r w:rsidRPr="000A15A2">
              <w:rPr>
                <w:b/>
                <w:bCs/>
                <w:sz w:val="24"/>
                <w:szCs w:val="24"/>
              </w:rPr>
              <w:fldChar w:fldCharType="end"/>
            </w:r>
          </w:p>
        </w:sdtContent>
      </w:sdt>
    </w:sdtContent>
  </w:sdt>
  <w:p w14:paraId="71CA78FA" w14:textId="77777777" w:rsidR="00EC4659" w:rsidRDefault="00EC4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B5873" w14:textId="77777777" w:rsidR="00EC4659" w:rsidRDefault="00EC4659">
      <w:r>
        <w:separator/>
      </w:r>
    </w:p>
  </w:footnote>
  <w:footnote w:type="continuationSeparator" w:id="0">
    <w:p w14:paraId="624A2775" w14:textId="77777777" w:rsidR="00EC4659" w:rsidRDefault="00EC4659">
      <w:r>
        <w:continuationSeparator/>
      </w:r>
    </w:p>
  </w:footnote>
  <w:footnote w:type="continuationNotice" w:id="1">
    <w:p w14:paraId="09208450" w14:textId="77777777" w:rsidR="00EC4659" w:rsidRDefault="00EC4659">
      <w:pPr>
        <w:spacing w:line="240" w:lineRule="auto"/>
      </w:pPr>
    </w:p>
  </w:footnote>
  <w:footnote w:id="2">
    <w:p w14:paraId="7BEF7143" w14:textId="77777777" w:rsidR="00EC4659" w:rsidRDefault="00EC4659" w:rsidP="00EC4659">
      <w:pPr>
        <w:pStyle w:val="FootnoteText1"/>
      </w:pPr>
      <w:r>
        <w:rPr>
          <w:rStyle w:val="FootnoteReference"/>
        </w:rPr>
        <w:footnoteRef/>
      </w:r>
      <w:r>
        <w:t xml:space="preserve"> Agriculture: fairer markets for farmers ‘</w:t>
      </w:r>
      <w:hyperlink r:id="rId1" w:history="1">
        <w:r w:rsidRPr="00FB1CBB">
          <w:rPr>
            <w:rStyle w:val="Hyperlink"/>
          </w:rPr>
          <w:t>https://www.wto.org/english/thewto_e/whatis_e/tif_e/agrm3_e.htm</w:t>
        </w:r>
      </w:hyperlink>
      <w:r>
        <w:t xml:space="preserve">’ </w:t>
      </w:r>
    </w:p>
  </w:footnote>
  <w:footnote w:id="3">
    <w:p w14:paraId="2BD91286" w14:textId="77777777" w:rsidR="00EC4659" w:rsidRDefault="00EC4659" w:rsidP="00EC4659">
      <w:pPr>
        <w:pStyle w:val="FootnoteText1"/>
      </w:pPr>
      <w:r>
        <w:rPr>
          <w:rStyle w:val="FootnoteReference"/>
        </w:rPr>
        <w:footnoteRef/>
      </w:r>
      <w:r>
        <w:t xml:space="preserve"> </w:t>
      </w:r>
      <w:r>
        <w:rPr>
          <w:lang w:val="en-NZ"/>
        </w:rPr>
        <w:t xml:space="preserve">Taylor, Donal &amp; </w:t>
      </w:r>
      <w:proofErr w:type="spellStart"/>
      <w:r>
        <w:rPr>
          <w:lang w:val="en-NZ"/>
        </w:rPr>
        <w:t>Welsman</w:t>
      </w:r>
      <w:proofErr w:type="spellEnd"/>
      <w:r>
        <w:rPr>
          <w:lang w:val="en-NZ"/>
        </w:rPr>
        <w:t xml:space="preserve"> (2005, p. 11)</w:t>
      </w:r>
    </w:p>
  </w:footnote>
  <w:footnote w:id="4">
    <w:p w14:paraId="41A869D5" w14:textId="77777777" w:rsidR="00EC4659" w:rsidRDefault="00EC4659" w:rsidP="00EC4659">
      <w:pPr>
        <w:pStyle w:val="FootnoteText1"/>
      </w:pPr>
      <w:r>
        <w:rPr>
          <w:rStyle w:val="FootnoteReference"/>
        </w:rPr>
        <w:footnoteRef/>
      </w:r>
      <w:r>
        <w:t xml:space="preserve"> McQueen, </w:t>
      </w:r>
      <w:proofErr w:type="spellStart"/>
      <w:r>
        <w:t>Welsman</w:t>
      </w:r>
      <w:proofErr w:type="spellEnd"/>
      <w:r>
        <w:t xml:space="preserve"> &amp; Harris (2008, p 61)</w:t>
      </w:r>
    </w:p>
  </w:footnote>
  <w:footnote w:id="5">
    <w:p w14:paraId="74F0F155" w14:textId="77777777" w:rsidR="00EC4659" w:rsidRDefault="00EC4659" w:rsidP="00EC4659">
      <w:pPr>
        <w:pStyle w:val="FootnoteText1"/>
      </w:pPr>
      <w:r>
        <w:rPr>
          <w:rStyle w:val="FootnoteReference"/>
        </w:rPr>
        <w:t>*</w:t>
      </w:r>
      <w:r>
        <w:t xml:space="preserve"> This definition of FCFS should be taken to apply for all usage within this document, unless otherwise specified.  A valid consignment application may be a request for certificate through EXDOC, by email or other method, depending on the TRQ.</w:t>
      </w:r>
    </w:p>
  </w:footnote>
  <w:footnote w:id="6">
    <w:p w14:paraId="5A674BBA" w14:textId="77777777" w:rsidR="00EC4659" w:rsidRDefault="00EC4659" w:rsidP="00EC4659">
      <w:pPr>
        <w:pStyle w:val="FootnoteText1"/>
      </w:pPr>
      <w:r>
        <w:rPr>
          <w:rStyle w:val="FootnoteReference"/>
        </w:rPr>
        <w:footnoteRef/>
      </w:r>
      <w:r>
        <w:t xml:space="preserve"> </w:t>
      </w:r>
      <w:r>
        <w:rPr>
          <w:lang w:val="en-NZ"/>
        </w:rPr>
        <w:t xml:space="preserve">Taylor, Donal &amp; </w:t>
      </w:r>
      <w:proofErr w:type="spellStart"/>
      <w:r>
        <w:rPr>
          <w:lang w:val="en-NZ"/>
        </w:rPr>
        <w:t>Welsman</w:t>
      </w:r>
      <w:proofErr w:type="spellEnd"/>
      <w:r>
        <w:rPr>
          <w:lang w:val="en-NZ"/>
        </w:rPr>
        <w:t xml:space="preserve"> (2005, p. 38)</w:t>
      </w:r>
    </w:p>
  </w:footnote>
  <w:footnote w:id="7">
    <w:p w14:paraId="47D11688" w14:textId="77777777" w:rsidR="00EC4659" w:rsidRDefault="00EC4659" w:rsidP="00EC4659">
      <w:pPr>
        <w:pStyle w:val="FootnoteText1"/>
      </w:pPr>
      <w:r>
        <w:rPr>
          <w:rStyle w:val="FootnoteReference"/>
        </w:rPr>
        <w:footnoteRef/>
      </w:r>
      <w:r>
        <w:t xml:space="preserve"> AMIC 2</w:t>
      </w:r>
      <w:r w:rsidRPr="00D97681">
        <w:rPr>
          <w:vertAlign w:val="superscript"/>
        </w:rPr>
        <w:t>nd</w:t>
      </w:r>
      <w:r>
        <w:t xml:space="preserve"> submission, page 4.</w:t>
      </w:r>
    </w:p>
  </w:footnote>
  <w:footnote w:id="8">
    <w:p w14:paraId="3B5A31D4" w14:textId="77777777" w:rsidR="00EC4659" w:rsidRDefault="00EC4659" w:rsidP="00EC4659">
      <w:pPr>
        <w:pStyle w:val="FootnoteText1"/>
      </w:pPr>
      <w:r>
        <w:rPr>
          <w:rStyle w:val="FootnoteReference"/>
        </w:rPr>
        <w:footnoteRef/>
      </w:r>
      <w:r>
        <w:t xml:space="preserve"> ADPF submission, pages 3.</w:t>
      </w:r>
    </w:p>
  </w:footnote>
  <w:footnote w:id="9">
    <w:p w14:paraId="0E36645D" w14:textId="77777777" w:rsidR="00EC4659" w:rsidRDefault="00EC4659" w:rsidP="00EC4659">
      <w:pPr>
        <w:pStyle w:val="FootnoteText1"/>
      </w:pPr>
      <w:r>
        <w:rPr>
          <w:rStyle w:val="FootnoteReference"/>
        </w:rPr>
        <w:footnoteRef/>
      </w:r>
      <w:r>
        <w:t xml:space="preserve"> ADPF submission, page 4.</w:t>
      </w:r>
    </w:p>
  </w:footnote>
  <w:footnote w:id="10">
    <w:p w14:paraId="57B50F29" w14:textId="77777777" w:rsidR="00EC4659" w:rsidRDefault="00EC4659" w:rsidP="00EC4659">
      <w:pPr>
        <w:pStyle w:val="FootnoteText1"/>
      </w:pPr>
      <w:r>
        <w:rPr>
          <w:rStyle w:val="FootnoteReference"/>
        </w:rPr>
        <w:footnoteRef/>
      </w:r>
      <w:r>
        <w:t xml:space="preserve"> ADPF submission, pages 1, 3.</w:t>
      </w:r>
    </w:p>
  </w:footnote>
  <w:footnote w:id="11">
    <w:p w14:paraId="58138DC1" w14:textId="77777777" w:rsidR="00EC4659" w:rsidRDefault="00EC4659" w:rsidP="00EC4659">
      <w:pPr>
        <w:pStyle w:val="FootnoteText1"/>
      </w:pPr>
      <w:r>
        <w:rPr>
          <w:rStyle w:val="FootnoteReference"/>
        </w:rPr>
        <w:footnoteRef/>
      </w:r>
      <w:r>
        <w:t xml:space="preserve"> DAWR-DA email correspondence.</w:t>
      </w:r>
    </w:p>
  </w:footnote>
  <w:footnote w:id="12">
    <w:p w14:paraId="01321A9B" w14:textId="77777777" w:rsidR="00EC4659" w:rsidRDefault="00EC4659" w:rsidP="00EC4659">
      <w:pPr>
        <w:pStyle w:val="FootnoteText1"/>
      </w:pPr>
      <w:r>
        <w:rPr>
          <w:rStyle w:val="FootnoteReference"/>
        </w:rPr>
        <w:footnoteRef/>
      </w:r>
      <w:r>
        <w:t xml:space="preserve"> ADPF submission, pages 3.</w:t>
      </w:r>
    </w:p>
  </w:footnote>
  <w:footnote w:id="13">
    <w:p w14:paraId="7A335897" w14:textId="77777777" w:rsidR="00EC4659" w:rsidRDefault="00EC4659" w:rsidP="00EC4659">
      <w:pPr>
        <w:pStyle w:val="FootnoteText1"/>
      </w:pPr>
      <w:r>
        <w:rPr>
          <w:rStyle w:val="FootnoteReference"/>
        </w:rPr>
        <w:footnoteRef/>
      </w:r>
      <w:r>
        <w:t xml:space="preserve"> Ibid.</w:t>
      </w:r>
    </w:p>
  </w:footnote>
  <w:footnote w:id="14">
    <w:p w14:paraId="1EDA801C" w14:textId="77777777" w:rsidR="00EC4659" w:rsidRDefault="00EC4659" w:rsidP="00EC4659">
      <w:pPr>
        <w:pStyle w:val="FootnoteText1"/>
      </w:pPr>
      <w:r>
        <w:rPr>
          <w:rStyle w:val="FootnoteReference"/>
        </w:rPr>
        <w:footnoteRef/>
      </w:r>
      <w:r>
        <w:t xml:space="preserve"> AMIC 2</w:t>
      </w:r>
      <w:r w:rsidRPr="0083625C">
        <w:rPr>
          <w:vertAlign w:val="superscript"/>
        </w:rPr>
        <w:t>nd</w:t>
      </w:r>
      <w:r>
        <w:t xml:space="preserve"> submission, pages 2-3.</w:t>
      </w:r>
    </w:p>
  </w:footnote>
  <w:footnote w:id="15">
    <w:p w14:paraId="3F717CBA" w14:textId="77777777" w:rsidR="00EC4659" w:rsidRDefault="00EC4659" w:rsidP="00EC4659">
      <w:pPr>
        <w:pStyle w:val="FootnoteText1"/>
      </w:pPr>
      <w:r>
        <w:rPr>
          <w:rStyle w:val="FootnoteReference"/>
        </w:rPr>
        <w:footnoteRef/>
      </w:r>
      <w:r>
        <w:t xml:space="preserve"> ADPF submission, page 4.</w:t>
      </w:r>
    </w:p>
  </w:footnote>
  <w:footnote w:id="16">
    <w:p w14:paraId="7FCABB24" w14:textId="77777777" w:rsidR="00EC4659" w:rsidRDefault="00EC4659" w:rsidP="00EC4659">
      <w:pPr>
        <w:pStyle w:val="FootnoteText1"/>
      </w:pPr>
      <w:r>
        <w:rPr>
          <w:rStyle w:val="FootnoteReference"/>
        </w:rPr>
        <w:footnoteRef/>
      </w:r>
      <w:r>
        <w:t xml:space="preserve"> DAWR-DA email correspondence.</w:t>
      </w:r>
    </w:p>
  </w:footnote>
  <w:footnote w:id="17">
    <w:p w14:paraId="1F7A5089" w14:textId="77777777" w:rsidR="00EC4659" w:rsidRDefault="00EC4659" w:rsidP="00EC4659">
      <w:pPr>
        <w:pStyle w:val="FootnoteText1"/>
      </w:pPr>
      <w:r>
        <w:rPr>
          <w:rStyle w:val="FootnoteReference"/>
        </w:rPr>
        <w:footnoteRef/>
      </w:r>
      <w:r>
        <w:t xml:space="preserve"> Ibid.</w:t>
      </w:r>
    </w:p>
  </w:footnote>
  <w:footnote w:id="18">
    <w:p w14:paraId="3270665F" w14:textId="77777777" w:rsidR="00EC4659" w:rsidRDefault="00EC4659" w:rsidP="00EC4659">
      <w:pPr>
        <w:pStyle w:val="FootnoteText1"/>
      </w:pPr>
      <w:r>
        <w:rPr>
          <w:rStyle w:val="FootnoteReference"/>
        </w:rPr>
        <w:footnoteRef/>
      </w:r>
      <w:r>
        <w:t xml:space="preserve"> ADPF submission, page 5.</w:t>
      </w:r>
    </w:p>
  </w:footnote>
  <w:footnote w:id="19">
    <w:p w14:paraId="1D1412BF" w14:textId="77777777" w:rsidR="00EC4659" w:rsidRDefault="00EC4659" w:rsidP="00EC4659">
      <w:pPr>
        <w:pStyle w:val="FootnoteText1"/>
      </w:pPr>
      <w:r>
        <w:rPr>
          <w:rStyle w:val="FootnoteReference"/>
        </w:rPr>
        <w:footnoteRef/>
      </w:r>
      <w:r>
        <w:t xml:space="preserve"> ADPF submission, page 5.</w:t>
      </w:r>
    </w:p>
  </w:footnote>
  <w:footnote w:id="20">
    <w:p w14:paraId="261FE0C3" w14:textId="77777777" w:rsidR="00EC4659" w:rsidRDefault="00EC4659" w:rsidP="00EC4659">
      <w:pPr>
        <w:pStyle w:val="FootnoteText1"/>
      </w:pPr>
      <w:r>
        <w:rPr>
          <w:rStyle w:val="FootnoteReference"/>
        </w:rPr>
        <w:footnoteRef/>
      </w:r>
      <w:r>
        <w:t xml:space="preserve"> D. N. Harris &amp; Associates (2013, p. 14)</w:t>
      </w:r>
    </w:p>
  </w:footnote>
  <w:footnote w:id="21">
    <w:p w14:paraId="2FFE553C" w14:textId="77777777" w:rsidR="00EC4659" w:rsidRDefault="00EC4659" w:rsidP="00EC4659">
      <w:pPr>
        <w:pStyle w:val="FootnoteText1"/>
      </w:pPr>
      <w:r>
        <w:rPr>
          <w:rStyle w:val="FootnoteReference"/>
        </w:rPr>
        <w:footnoteRef/>
      </w:r>
      <w:r>
        <w:t xml:space="preserve"> D. N. Harris &amp; Associates (2013, p. 14)</w:t>
      </w:r>
    </w:p>
  </w:footnote>
  <w:footnote w:id="22">
    <w:p w14:paraId="4B18A1B5" w14:textId="77777777" w:rsidR="00EC4659" w:rsidRDefault="00EC4659" w:rsidP="00EC4659">
      <w:pPr>
        <w:pStyle w:val="FootnoteText1"/>
      </w:pPr>
      <w:r>
        <w:rPr>
          <w:rStyle w:val="FootnoteReference"/>
        </w:rPr>
        <w:footnoteRef/>
      </w:r>
      <w:r>
        <w:t xml:space="preserve"> </w:t>
      </w:r>
      <w:r>
        <w:rPr>
          <w:lang w:val="en-NZ"/>
        </w:rPr>
        <w:t xml:space="preserve">Taylor, Donal &amp; </w:t>
      </w:r>
      <w:proofErr w:type="spellStart"/>
      <w:r>
        <w:rPr>
          <w:lang w:val="en-NZ"/>
        </w:rPr>
        <w:t>Welsman</w:t>
      </w:r>
      <w:proofErr w:type="spellEnd"/>
      <w:r>
        <w:rPr>
          <w:lang w:val="en-NZ"/>
        </w:rPr>
        <w:t xml:space="preserve"> (2005, p. 34)</w:t>
      </w:r>
    </w:p>
  </w:footnote>
  <w:footnote w:id="23">
    <w:p w14:paraId="0B007E77" w14:textId="77777777" w:rsidR="00EC4659" w:rsidRDefault="00EC4659" w:rsidP="00EC4659">
      <w:pPr>
        <w:pStyle w:val="FootnoteText1"/>
      </w:pPr>
      <w:r>
        <w:rPr>
          <w:rStyle w:val="FootnoteReference"/>
        </w:rPr>
        <w:footnoteRef/>
      </w:r>
      <w:r>
        <w:t xml:space="preserve"> D. N. Harris &amp; Associates (2011, p16)</w:t>
      </w:r>
    </w:p>
  </w:footnote>
  <w:footnote w:id="24">
    <w:p w14:paraId="2D004950" w14:textId="77777777" w:rsidR="00EC4659" w:rsidRDefault="00EC4659" w:rsidP="00EC4659">
      <w:pPr>
        <w:pStyle w:val="FootnoteText1"/>
      </w:pPr>
      <w:r>
        <w:rPr>
          <w:rStyle w:val="FootnoteReference"/>
        </w:rPr>
        <w:footnoteRef/>
      </w:r>
      <w:r>
        <w:t xml:space="preserve"> See page 2 of the OBPR’s Regulatory Burden Measurement framework, February 2016.  </w:t>
      </w:r>
    </w:p>
  </w:footnote>
  <w:footnote w:id="25">
    <w:p w14:paraId="7F0950BC" w14:textId="77777777" w:rsidR="00EC4659" w:rsidRPr="0026039A" w:rsidRDefault="00EC4659" w:rsidP="00EC4659">
      <w:pPr>
        <w:pStyle w:val="FootnoteText1"/>
      </w:pPr>
      <w:r>
        <w:rPr>
          <w:rStyle w:val="FootnoteReference"/>
        </w:rPr>
        <w:footnoteRef/>
      </w:r>
      <w:r>
        <w:t xml:space="preserve"> More details are provided in the Key results drivers section below.</w:t>
      </w:r>
    </w:p>
  </w:footnote>
  <w:footnote w:id="26">
    <w:p w14:paraId="236B31DD" w14:textId="77777777" w:rsidR="00EC4659" w:rsidRPr="007E7B5D" w:rsidRDefault="00EC4659" w:rsidP="00EC4659">
      <w:pPr>
        <w:pStyle w:val="FootnoteText1"/>
      </w:pPr>
      <w:r>
        <w:rPr>
          <w:rStyle w:val="FootnoteReference"/>
        </w:rPr>
        <w:footnoteRef/>
      </w:r>
      <w:r>
        <w:t xml:space="preserve"> For more information on beef imports in the US refer to </w:t>
      </w:r>
      <w:r w:rsidRPr="007E7B5D">
        <w:t>https://www.fas.usda.gov/data/review-us-tariff-rate-quotas-beef-imports</w:t>
      </w:r>
    </w:p>
  </w:footnote>
  <w:footnote w:id="27">
    <w:p w14:paraId="62649E9C" w14:textId="77777777" w:rsidR="00EC4659" w:rsidRPr="00E458F9" w:rsidRDefault="00EC4659" w:rsidP="00EC4659">
      <w:pPr>
        <w:pStyle w:val="FootnoteText1"/>
      </w:pPr>
      <w:r>
        <w:rPr>
          <w:rStyle w:val="FootnoteReference"/>
        </w:rPr>
        <w:footnoteRef/>
      </w:r>
      <w:r>
        <w:t xml:space="preserve"> For more information on the discount rate refer to </w:t>
      </w:r>
      <w:r w:rsidRPr="00E458F9">
        <w:t>https://rbm.obpr.gov.au/help.aspx?path=%2FSee+report(s)%2F2.Compliance+Cost+Calculator+present+value+report.txt</w:t>
      </w:r>
    </w:p>
  </w:footnote>
  <w:footnote w:id="28">
    <w:p w14:paraId="4925B0C5" w14:textId="77777777" w:rsidR="00EC4659" w:rsidRPr="007B6148" w:rsidRDefault="00EC4659" w:rsidP="00EC4659">
      <w:pPr>
        <w:pStyle w:val="FootnoteText1"/>
      </w:pPr>
      <w:r>
        <w:rPr>
          <w:rStyle w:val="FootnoteReference"/>
        </w:rPr>
        <w:footnoteRef/>
      </w:r>
      <w:r>
        <w:t xml:space="preserve"> 30 is the number of active TRQs which the department manage their actual allocation.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351854"/>
    <w:multiLevelType w:val="hybridMultilevel"/>
    <w:tmpl w:val="1F741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95D16"/>
    <w:multiLevelType w:val="hybridMultilevel"/>
    <w:tmpl w:val="236420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1A59"/>
    <w:multiLevelType w:val="hybridMultilevel"/>
    <w:tmpl w:val="3B7C651A"/>
    <w:lvl w:ilvl="0" w:tplc="0C090001">
      <w:start w:val="1"/>
      <w:numFmt w:val="bullet"/>
      <w:lvlText w:val=""/>
      <w:lvlJc w:val="left"/>
      <w:pPr>
        <w:ind w:left="360" w:hanging="360"/>
      </w:pPr>
      <w:rPr>
        <w:rFonts w:ascii="Symbol" w:hAnsi="Symbol" w:hint="default"/>
      </w:rPr>
    </w:lvl>
    <w:lvl w:ilvl="1" w:tplc="76609C94">
      <w:numFmt w:val="bullet"/>
      <w:lvlText w:val="-"/>
      <w:lvlJc w:val="left"/>
      <w:pPr>
        <w:ind w:left="1070" w:hanging="360"/>
      </w:pPr>
      <w:rPr>
        <w:rFonts w:ascii="Cambria" w:eastAsiaTheme="minorHAnsi"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52956"/>
    <w:multiLevelType w:val="hybridMultilevel"/>
    <w:tmpl w:val="1DAA7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4F0992"/>
    <w:multiLevelType w:val="hybridMultilevel"/>
    <w:tmpl w:val="B01E0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93853"/>
    <w:multiLevelType w:val="hybridMultilevel"/>
    <w:tmpl w:val="2FF2ACA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0D384CD9"/>
    <w:multiLevelType w:val="hybridMultilevel"/>
    <w:tmpl w:val="C9B48E5E"/>
    <w:lvl w:ilvl="0" w:tplc="76609C9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9E7430"/>
    <w:multiLevelType w:val="hybridMultilevel"/>
    <w:tmpl w:val="710C58F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0F7652B4"/>
    <w:multiLevelType w:val="hybridMultilevel"/>
    <w:tmpl w:val="2F74E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11324FF9"/>
    <w:multiLevelType w:val="hybridMultilevel"/>
    <w:tmpl w:val="7D861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197CBC"/>
    <w:multiLevelType w:val="hybridMultilevel"/>
    <w:tmpl w:val="62304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3A73E6"/>
    <w:multiLevelType w:val="hybridMultilevel"/>
    <w:tmpl w:val="049E88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65559E"/>
    <w:multiLevelType w:val="hybridMultilevel"/>
    <w:tmpl w:val="9C481D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2BE3443"/>
    <w:multiLevelType w:val="hybridMultilevel"/>
    <w:tmpl w:val="57F6CD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34572FC"/>
    <w:multiLevelType w:val="hybridMultilevel"/>
    <w:tmpl w:val="0660F1F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15436983"/>
    <w:multiLevelType w:val="hybridMultilevel"/>
    <w:tmpl w:val="37542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0E4E37"/>
    <w:multiLevelType w:val="hybridMultilevel"/>
    <w:tmpl w:val="236420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7084D65"/>
    <w:multiLevelType w:val="hybridMultilevel"/>
    <w:tmpl w:val="236420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8511809"/>
    <w:multiLevelType w:val="hybridMultilevel"/>
    <w:tmpl w:val="6764D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800F3D"/>
    <w:multiLevelType w:val="hybridMultilevel"/>
    <w:tmpl w:val="8D0447F0"/>
    <w:lvl w:ilvl="0" w:tplc="0C090001">
      <w:start w:val="1"/>
      <w:numFmt w:val="bullet"/>
      <w:lvlText w:val=""/>
      <w:lvlJc w:val="left"/>
      <w:pPr>
        <w:ind w:left="720" w:hanging="360"/>
      </w:pPr>
      <w:rPr>
        <w:rFonts w:ascii="Symbol" w:hAnsi="Symbol" w:hint="default"/>
      </w:rPr>
    </w:lvl>
    <w:lvl w:ilvl="1" w:tplc="76609C94">
      <w:numFmt w:val="bullet"/>
      <w:lvlText w:val="-"/>
      <w:lvlJc w:val="left"/>
      <w:pPr>
        <w:ind w:left="1440" w:hanging="360"/>
      </w:pPr>
      <w:rPr>
        <w:rFonts w:ascii="Cambria" w:eastAsiaTheme="minorHAnsi"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D26A2E"/>
    <w:multiLevelType w:val="hybridMultilevel"/>
    <w:tmpl w:val="07F0D2B6"/>
    <w:lvl w:ilvl="0" w:tplc="356019E0">
      <w:start w:val="14"/>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1C342852"/>
    <w:multiLevelType w:val="multilevel"/>
    <w:tmpl w:val="0F2C7F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CA47C7F"/>
    <w:multiLevelType w:val="hybridMultilevel"/>
    <w:tmpl w:val="BDD2C77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1D092235"/>
    <w:multiLevelType w:val="hybridMultilevel"/>
    <w:tmpl w:val="236420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F3151A8"/>
    <w:multiLevelType w:val="hybridMultilevel"/>
    <w:tmpl w:val="236420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06E4AF0"/>
    <w:multiLevelType w:val="hybridMultilevel"/>
    <w:tmpl w:val="1C78721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2117329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434679"/>
    <w:multiLevelType w:val="hybridMultilevel"/>
    <w:tmpl w:val="9E0E0976"/>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85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21B3770C"/>
    <w:multiLevelType w:val="hybridMultilevel"/>
    <w:tmpl w:val="B6347C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3E36FBF"/>
    <w:multiLevelType w:val="hybridMultilevel"/>
    <w:tmpl w:val="D66EB160"/>
    <w:lvl w:ilvl="0" w:tplc="14090003">
      <w:start w:val="1"/>
      <w:numFmt w:val="bullet"/>
      <w:lvlText w:val="o"/>
      <w:lvlJc w:val="left"/>
      <w:pPr>
        <w:ind w:left="360" w:hanging="360"/>
      </w:pPr>
      <w:rPr>
        <w:rFonts w:ascii="Courier New" w:hAnsi="Courier New" w:cs="Courier New" w:hint="default"/>
        <w:lang w:val="en-NZ"/>
      </w:rPr>
    </w:lvl>
    <w:lvl w:ilvl="1" w:tplc="14090003">
      <w:start w:val="1"/>
      <w:numFmt w:val="bullet"/>
      <w:lvlText w:val="o"/>
      <w:lvlJc w:val="left"/>
      <w:pPr>
        <w:ind w:left="36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24ED5005"/>
    <w:multiLevelType w:val="hybridMultilevel"/>
    <w:tmpl w:val="28B2A76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4" w15:restartNumberingAfterBreak="0">
    <w:nsid w:val="277571F9"/>
    <w:multiLevelType w:val="hybridMultilevel"/>
    <w:tmpl w:val="4844A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85165A6"/>
    <w:multiLevelType w:val="hybridMultilevel"/>
    <w:tmpl w:val="236420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96370C5"/>
    <w:multiLevelType w:val="hybridMultilevel"/>
    <w:tmpl w:val="03FE9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8" w15:restartNumberingAfterBreak="0">
    <w:nsid w:val="2A913599"/>
    <w:multiLevelType w:val="multilevel"/>
    <w:tmpl w:val="02AA8FA0"/>
    <w:numStyleLink w:val="ListBullets"/>
  </w:abstractNum>
  <w:abstractNum w:abstractNumId="39" w15:restartNumberingAfterBreak="0">
    <w:nsid w:val="2BA46225"/>
    <w:multiLevelType w:val="hybridMultilevel"/>
    <w:tmpl w:val="632AC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535D07"/>
    <w:multiLevelType w:val="hybridMultilevel"/>
    <w:tmpl w:val="1D9C361A"/>
    <w:lvl w:ilvl="0" w:tplc="76609C9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EC74C16"/>
    <w:multiLevelType w:val="hybridMultilevel"/>
    <w:tmpl w:val="3CF26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ECE595D"/>
    <w:multiLevelType w:val="hybridMultilevel"/>
    <w:tmpl w:val="1C820F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2F2425AB"/>
    <w:multiLevelType w:val="multilevel"/>
    <w:tmpl w:val="BC8603C0"/>
    <w:numStyleLink w:val="ListNumbers"/>
  </w:abstractNum>
  <w:abstractNum w:abstractNumId="44" w15:restartNumberingAfterBreak="0">
    <w:nsid w:val="2F480B43"/>
    <w:multiLevelType w:val="hybridMultilevel"/>
    <w:tmpl w:val="905E0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F6731FB"/>
    <w:multiLevelType w:val="hybridMultilevel"/>
    <w:tmpl w:val="2BBAF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0887B3F"/>
    <w:multiLevelType w:val="hybridMultilevel"/>
    <w:tmpl w:val="D3D2A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2C26CD9"/>
    <w:multiLevelType w:val="hybridMultilevel"/>
    <w:tmpl w:val="FB708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3D65779"/>
    <w:multiLevelType w:val="hybridMultilevel"/>
    <w:tmpl w:val="F3CEC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4335154"/>
    <w:multiLevelType w:val="hybridMultilevel"/>
    <w:tmpl w:val="9DECF92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0" w15:restartNumberingAfterBreak="0">
    <w:nsid w:val="35C16754"/>
    <w:multiLevelType w:val="hybridMultilevel"/>
    <w:tmpl w:val="9B2C8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66340B8"/>
    <w:multiLevelType w:val="hybridMultilevel"/>
    <w:tmpl w:val="4C221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369703BA"/>
    <w:multiLevelType w:val="hybridMultilevel"/>
    <w:tmpl w:val="47BC7CE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3" w15:restartNumberingAfterBreak="0">
    <w:nsid w:val="382B0C7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55" w15:restartNumberingAfterBreak="0">
    <w:nsid w:val="3D053855"/>
    <w:multiLevelType w:val="hybridMultilevel"/>
    <w:tmpl w:val="9474B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E5E59C8"/>
    <w:multiLevelType w:val="hybridMultilevel"/>
    <w:tmpl w:val="3CEEBFF0"/>
    <w:lvl w:ilvl="0" w:tplc="0C09000F">
      <w:start w:val="1"/>
      <w:numFmt w:val="decimal"/>
      <w:lvlText w:val="%1."/>
      <w:lvlJc w:val="left"/>
      <w:pPr>
        <w:ind w:left="502" w:hanging="360"/>
      </w:pPr>
      <w:rPr>
        <w:rFonts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7" w15:restartNumberingAfterBreak="0">
    <w:nsid w:val="3E8079D6"/>
    <w:multiLevelType w:val="hybridMultilevel"/>
    <w:tmpl w:val="236420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59" w15:restartNumberingAfterBreak="0">
    <w:nsid w:val="440E1F41"/>
    <w:multiLevelType w:val="hybridMultilevel"/>
    <w:tmpl w:val="7250CC7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0" w15:restartNumberingAfterBreak="0">
    <w:nsid w:val="46DD5C12"/>
    <w:multiLevelType w:val="multilevel"/>
    <w:tmpl w:val="20F2356A"/>
    <w:numStyleLink w:val="Appendix"/>
  </w:abstractNum>
  <w:abstractNum w:abstractNumId="61" w15:restartNumberingAfterBreak="0">
    <w:nsid w:val="479E3CEA"/>
    <w:multiLevelType w:val="hybridMultilevel"/>
    <w:tmpl w:val="2B20F4B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BB92DC7"/>
    <w:multiLevelType w:val="hybridMultilevel"/>
    <w:tmpl w:val="E0140E8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4" w15:restartNumberingAfterBreak="0">
    <w:nsid w:val="4DCC459C"/>
    <w:multiLevelType w:val="hybridMultilevel"/>
    <w:tmpl w:val="48BEF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4E09719B"/>
    <w:multiLevelType w:val="hybridMultilevel"/>
    <w:tmpl w:val="30C0C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1944F91"/>
    <w:multiLevelType w:val="hybridMultilevel"/>
    <w:tmpl w:val="57BE7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535A5A98"/>
    <w:multiLevelType w:val="hybridMultilevel"/>
    <w:tmpl w:val="A4FCCC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8" w15:restartNumberingAfterBreak="0">
    <w:nsid w:val="544A62DA"/>
    <w:multiLevelType w:val="hybridMultilevel"/>
    <w:tmpl w:val="F75C372E"/>
    <w:lvl w:ilvl="0" w:tplc="76609C9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45A58F7"/>
    <w:multiLevelType w:val="hybridMultilevel"/>
    <w:tmpl w:val="69ECE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63F6D86"/>
    <w:multiLevelType w:val="hybridMultilevel"/>
    <w:tmpl w:val="845E83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1" w15:restartNumberingAfterBreak="0">
    <w:nsid w:val="57EF3FEF"/>
    <w:multiLevelType w:val="hybridMultilevel"/>
    <w:tmpl w:val="CB7CE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3" w15:restartNumberingAfterBreak="0">
    <w:nsid w:val="5AED6C77"/>
    <w:multiLevelType w:val="hybridMultilevel"/>
    <w:tmpl w:val="9C18BAC0"/>
    <w:lvl w:ilvl="0" w:tplc="76609C9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5" w15:restartNumberingAfterBreak="0">
    <w:nsid w:val="5C5D21C8"/>
    <w:multiLevelType w:val="hybridMultilevel"/>
    <w:tmpl w:val="7F16E18C"/>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6" w15:restartNumberingAfterBreak="0">
    <w:nsid w:val="5D8745FF"/>
    <w:multiLevelType w:val="hybridMultilevel"/>
    <w:tmpl w:val="29A89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5DCD5346"/>
    <w:multiLevelType w:val="hybridMultilevel"/>
    <w:tmpl w:val="CB82F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5E1E7DE7"/>
    <w:multiLevelType w:val="hybridMultilevel"/>
    <w:tmpl w:val="BEC053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5FBD1703"/>
    <w:multiLevelType w:val="hybridMultilevel"/>
    <w:tmpl w:val="F46A0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605903B8"/>
    <w:multiLevelType w:val="hybridMultilevel"/>
    <w:tmpl w:val="A5A40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12D3B41"/>
    <w:multiLevelType w:val="hybridMultilevel"/>
    <w:tmpl w:val="C5A61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618E58E3"/>
    <w:multiLevelType w:val="hybridMultilevel"/>
    <w:tmpl w:val="8E480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6F52268"/>
    <w:multiLevelType w:val="hybridMultilevel"/>
    <w:tmpl w:val="459CD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8973542"/>
    <w:multiLevelType w:val="hybridMultilevel"/>
    <w:tmpl w:val="DF845D96"/>
    <w:lvl w:ilvl="0" w:tplc="76609C94">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68F84F92"/>
    <w:multiLevelType w:val="hybridMultilevel"/>
    <w:tmpl w:val="F97EEA1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6" w15:restartNumberingAfterBreak="0">
    <w:nsid w:val="695A009A"/>
    <w:multiLevelType w:val="hybridMultilevel"/>
    <w:tmpl w:val="81448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AFD4653"/>
    <w:multiLevelType w:val="hybridMultilevel"/>
    <w:tmpl w:val="2364200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B6C650D"/>
    <w:multiLevelType w:val="hybridMultilevel"/>
    <w:tmpl w:val="9724B71C"/>
    <w:lvl w:ilvl="0" w:tplc="76609C94">
      <w:numFmt w:val="bullet"/>
      <w:lvlText w:val="-"/>
      <w:lvlJc w:val="left"/>
      <w:pPr>
        <w:ind w:left="360" w:hanging="360"/>
      </w:pPr>
      <w:rPr>
        <w:rFonts w:ascii="Cambria" w:eastAsiaTheme="minorHAnsi" w:hAnsi="Cambria" w:cstheme="minorBidi" w:hint="default"/>
      </w:rPr>
    </w:lvl>
    <w:lvl w:ilvl="1" w:tplc="0C090003">
      <w:start w:val="1"/>
      <w:numFmt w:val="bullet"/>
      <w:lvlText w:val="o"/>
      <w:lvlJc w:val="left"/>
      <w:pPr>
        <w:ind w:left="70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DC3332D"/>
    <w:multiLevelType w:val="hybridMultilevel"/>
    <w:tmpl w:val="134A71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6F6667E8"/>
    <w:multiLevelType w:val="hybridMultilevel"/>
    <w:tmpl w:val="E0D63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FC810DB"/>
    <w:multiLevelType w:val="hybridMultilevel"/>
    <w:tmpl w:val="CCC05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134330E"/>
    <w:multiLevelType w:val="hybridMultilevel"/>
    <w:tmpl w:val="730AA9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4" w15:restartNumberingAfterBreak="0">
    <w:nsid w:val="71EF327F"/>
    <w:multiLevelType w:val="hybridMultilevel"/>
    <w:tmpl w:val="6F6A9E9A"/>
    <w:lvl w:ilvl="0" w:tplc="F83EE894">
      <w:start w:val="1"/>
      <w:numFmt w:val="bullet"/>
      <w:lvlText w:val=""/>
      <w:lvlJc w:val="left"/>
      <w:pPr>
        <w:ind w:left="360" w:hanging="360"/>
      </w:pPr>
      <w:rPr>
        <w:rFonts w:ascii="Symbol" w:hAnsi="Symbol" w:hint="default"/>
        <w:lang w:val="en-NZ"/>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5" w15:restartNumberingAfterBreak="0">
    <w:nsid w:val="746343B4"/>
    <w:multiLevelType w:val="hybridMultilevel"/>
    <w:tmpl w:val="4C108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4885AB1"/>
    <w:multiLevelType w:val="hybridMultilevel"/>
    <w:tmpl w:val="F0CA3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75911365"/>
    <w:multiLevelType w:val="hybridMultilevel"/>
    <w:tmpl w:val="7092F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6C70D17"/>
    <w:multiLevelType w:val="hybridMultilevel"/>
    <w:tmpl w:val="DA824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7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78449F3"/>
    <w:multiLevelType w:val="hybridMultilevel"/>
    <w:tmpl w:val="4E4AD0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7AD87341"/>
    <w:multiLevelType w:val="hybridMultilevel"/>
    <w:tmpl w:val="BCFCB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DE17430"/>
    <w:multiLevelType w:val="hybridMultilevel"/>
    <w:tmpl w:val="357EB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E723800"/>
    <w:multiLevelType w:val="hybridMultilevel"/>
    <w:tmpl w:val="2FCE4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EA97232"/>
    <w:multiLevelType w:val="hybridMultilevel"/>
    <w:tmpl w:val="8F8EA9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72"/>
  </w:num>
  <w:num w:numId="2">
    <w:abstractNumId w:val="62"/>
  </w:num>
  <w:num w:numId="3">
    <w:abstractNumId w:val="22"/>
  </w:num>
  <w:num w:numId="4">
    <w:abstractNumId w:val="23"/>
  </w:num>
  <w:num w:numId="5">
    <w:abstractNumId w:val="0"/>
  </w:num>
  <w:num w:numId="6">
    <w:abstractNumId w:val="38"/>
  </w:num>
  <w:num w:numId="7">
    <w:abstractNumId w:val="90"/>
  </w:num>
  <w:num w:numId="8">
    <w:abstractNumId w:val="43"/>
  </w:num>
  <w:num w:numId="9">
    <w:abstractNumId w:val="74"/>
  </w:num>
  <w:num w:numId="10">
    <w:abstractNumId w:val="37"/>
  </w:num>
  <w:num w:numId="11">
    <w:abstractNumId w:val="60"/>
  </w:num>
  <w:num w:numId="12">
    <w:abstractNumId w:val="58"/>
  </w:num>
  <w:num w:numId="13">
    <w:abstractNumId w:val="55"/>
  </w:num>
  <w:num w:numId="14">
    <w:abstractNumId w:val="6"/>
  </w:num>
  <w:num w:numId="15">
    <w:abstractNumId w:val="8"/>
  </w:num>
  <w:num w:numId="16">
    <w:abstractNumId w:val="63"/>
  </w:num>
  <w:num w:numId="17">
    <w:abstractNumId w:val="59"/>
  </w:num>
  <w:num w:numId="18">
    <w:abstractNumId w:val="61"/>
  </w:num>
  <w:num w:numId="19">
    <w:abstractNumId w:val="25"/>
  </w:num>
  <w:num w:numId="20">
    <w:abstractNumId w:val="33"/>
  </w:num>
  <w:num w:numId="21">
    <w:abstractNumId w:val="67"/>
  </w:num>
  <w:num w:numId="22">
    <w:abstractNumId w:val="50"/>
  </w:num>
  <w:num w:numId="23">
    <w:abstractNumId w:val="95"/>
  </w:num>
  <w:num w:numId="24">
    <w:abstractNumId w:val="1"/>
  </w:num>
  <w:num w:numId="25">
    <w:abstractNumId w:val="28"/>
  </w:num>
  <w:num w:numId="26">
    <w:abstractNumId w:val="15"/>
  </w:num>
  <w:num w:numId="27">
    <w:abstractNumId w:val="77"/>
  </w:num>
  <w:num w:numId="28">
    <w:abstractNumId w:val="54"/>
  </w:num>
  <w:num w:numId="29">
    <w:abstractNumId w:val="46"/>
  </w:num>
  <w:num w:numId="30">
    <w:abstractNumId w:val="97"/>
  </w:num>
  <w:num w:numId="31">
    <w:abstractNumId w:val="86"/>
  </w:num>
  <w:num w:numId="32">
    <w:abstractNumId w:val="11"/>
  </w:num>
  <w:num w:numId="33">
    <w:abstractNumId w:val="19"/>
  </w:num>
  <w:num w:numId="34">
    <w:abstractNumId w:val="69"/>
  </w:num>
  <w:num w:numId="35">
    <w:abstractNumId w:val="101"/>
  </w:num>
  <w:num w:numId="36">
    <w:abstractNumId w:val="39"/>
  </w:num>
  <w:num w:numId="37">
    <w:abstractNumId w:val="103"/>
  </w:num>
  <w:num w:numId="38">
    <w:abstractNumId w:val="13"/>
  </w:num>
  <w:num w:numId="39">
    <w:abstractNumId w:val="66"/>
  </w:num>
  <w:num w:numId="40">
    <w:abstractNumId w:val="78"/>
  </w:num>
  <w:num w:numId="41">
    <w:abstractNumId w:val="34"/>
  </w:num>
  <w:num w:numId="42">
    <w:abstractNumId w:val="102"/>
  </w:num>
  <w:num w:numId="43">
    <w:abstractNumId w:val="36"/>
  </w:num>
  <w:num w:numId="44">
    <w:abstractNumId w:val="4"/>
  </w:num>
  <w:num w:numId="45">
    <w:abstractNumId w:val="51"/>
  </w:num>
  <w:num w:numId="46">
    <w:abstractNumId w:val="81"/>
  </w:num>
  <w:num w:numId="47">
    <w:abstractNumId w:val="41"/>
  </w:num>
  <w:num w:numId="48">
    <w:abstractNumId w:val="45"/>
  </w:num>
  <w:num w:numId="49">
    <w:abstractNumId w:val="14"/>
  </w:num>
  <w:num w:numId="50">
    <w:abstractNumId w:val="76"/>
  </w:num>
  <w:num w:numId="51">
    <w:abstractNumId w:val="91"/>
  </w:num>
  <w:num w:numId="52">
    <w:abstractNumId w:val="64"/>
  </w:num>
  <w:num w:numId="53">
    <w:abstractNumId w:val="79"/>
  </w:num>
  <w:num w:numId="54">
    <w:abstractNumId w:val="96"/>
  </w:num>
  <w:num w:numId="55">
    <w:abstractNumId w:val="42"/>
  </w:num>
  <w:num w:numId="56">
    <w:abstractNumId w:val="26"/>
  </w:num>
  <w:num w:numId="57">
    <w:abstractNumId w:val="57"/>
  </w:num>
  <w:num w:numId="58">
    <w:abstractNumId w:val="27"/>
  </w:num>
  <w:num w:numId="59">
    <w:abstractNumId w:val="87"/>
  </w:num>
  <w:num w:numId="60">
    <w:abstractNumId w:val="18"/>
  </w:num>
  <w:num w:numId="61">
    <w:abstractNumId w:val="17"/>
  </w:num>
  <w:num w:numId="62">
    <w:abstractNumId w:val="35"/>
  </w:num>
  <w:num w:numId="63">
    <w:abstractNumId w:val="2"/>
  </w:num>
  <w:num w:numId="64">
    <w:abstractNumId w:val="70"/>
  </w:num>
  <w:num w:numId="65">
    <w:abstractNumId w:val="16"/>
  </w:num>
  <w:num w:numId="66">
    <w:abstractNumId w:val="73"/>
  </w:num>
  <w:num w:numId="67">
    <w:abstractNumId w:val="7"/>
  </w:num>
  <w:num w:numId="68">
    <w:abstractNumId w:val="84"/>
  </w:num>
  <w:num w:numId="69">
    <w:abstractNumId w:val="68"/>
  </w:num>
  <w:num w:numId="70">
    <w:abstractNumId w:val="88"/>
  </w:num>
  <w:num w:numId="71">
    <w:abstractNumId w:val="44"/>
  </w:num>
  <w:num w:numId="72">
    <w:abstractNumId w:val="29"/>
  </w:num>
  <w:num w:numId="73">
    <w:abstractNumId w:val="40"/>
  </w:num>
  <w:num w:numId="74">
    <w:abstractNumId w:val="21"/>
  </w:num>
  <w:num w:numId="75">
    <w:abstractNumId w:val="92"/>
  </w:num>
  <w:num w:numId="76">
    <w:abstractNumId w:val="9"/>
  </w:num>
  <w:num w:numId="77">
    <w:abstractNumId w:val="3"/>
  </w:num>
  <w:num w:numId="78">
    <w:abstractNumId w:val="20"/>
  </w:num>
  <w:num w:numId="79">
    <w:abstractNumId w:val="98"/>
  </w:num>
  <w:num w:numId="80">
    <w:abstractNumId w:val="93"/>
  </w:num>
  <w:num w:numId="81">
    <w:abstractNumId w:val="32"/>
  </w:num>
  <w:num w:numId="82">
    <w:abstractNumId w:val="94"/>
  </w:num>
  <w:num w:numId="83">
    <w:abstractNumId w:val="65"/>
  </w:num>
  <w:num w:numId="84">
    <w:abstractNumId w:val="89"/>
  </w:num>
  <w:num w:numId="85">
    <w:abstractNumId w:val="53"/>
  </w:num>
  <w:num w:numId="86">
    <w:abstractNumId w:val="82"/>
  </w:num>
  <w:num w:numId="87">
    <w:abstractNumId w:val="83"/>
  </w:num>
  <w:num w:numId="88">
    <w:abstractNumId w:val="80"/>
  </w:num>
  <w:num w:numId="89">
    <w:abstractNumId w:val="5"/>
  </w:num>
  <w:num w:numId="90">
    <w:abstractNumId w:val="12"/>
  </w:num>
  <w:num w:numId="91">
    <w:abstractNumId w:val="85"/>
  </w:num>
  <w:num w:numId="92">
    <w:abstractNumId w:val="75"/>
  </w:num>
  <w:num w:numId="93">
    <w:abstractNumId w:val="30"/>
  </w:num>
  <w:num w:numId="94">
    <w:abstractNumId w:val="100"/>
  </w:num>
  <w:num w:numId="95">
    <w:abstractNumId w:val="10"/>
  </w:num>
  <w:num w:numId="96">
    <w:abstractNumId w:val="48"/>
  </w:num>
  <w:num w:numId="97">
    <w:abstractNumId w:val="24"/>
  </w:num>
  <w:num w:numId="98">
    <w:abstractNumId w:val="49"/>
  </w:num>
  <w:num w:numId="99">
    <w:abstractNumId w:val="99"/>
  </w:num>
  <w:num w:numId="100">
    <w:abstractNumId w:val="56"/>
  </w:num>
  <w:num w:numId="101">
    <w:abstractNumId w:val="31"/>
  </w:num>
  <w:num w:numId="102">
    <w:abstractNumId w:val="52"/>
  </w:num>
  <w:num w:numId="103">
    <w:abstractNumId w:val="47"/>
  </w:num>
  <w:num w:numId="104">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42"/>
    <w:rsid w:val="00000052"/>
    <w:rsid w:val="00003FC1"/>
    <w:rsid w:val="000056C5"/>
    <w:rsid w:val="00007B04"/>
    <w:rsid w:val="00014503"/>
    <w:rsid w:val="00014A66"/>
    <w:rsid w:val="000153C9"/>
    <w:rsid w:val="00015468"/>
    <w:rsid w:val="00015978"/>
    <w:rsid w:val="0001612A"/>
    <w:rsid w:val="00016626"/>
    <w:rsid w:val="00020C59"/>
    <w:rsid w:val="000243B5"/>
    <w:rsid w:val="00025EE1"/>
    <w:rsid w:val="0002646B"/>
    <w:rsid w:val="0002764E"/>
    <w:rsid w:val="000344CB"/>
    <w:rsid w:val="00034DBD"/>
    <w:rsid w:val="00035E2A"/>
    <w:rsid w:val="0003795F"/>
    <w:rsid w:val="0004091A"/>
    <w:rsid w:val="000421D8"/>
    <w:rsid w:val="00043B4F"/>
    <w:rsid w:val="0004458C"/>
    <w:rsid w:val="0004566B"/>
    <w:rsid w:val="000471F5"/>
    <w:rsid w:val="000475B8"/>
    <w:rsid w:val="0005180A"/>
    <w:rsid w:val="00053FCC"/>
    <w:rsid w:val="00056C97"/>
    <w:rsid w:val="00056D2F"/>
    <w:rsid w:val="00057006"/>
    <w:rsid w:val="00057D43"/>
    <w:rsid w:val="00060CBD"/>
    <w:rsid w:val="00060D1E"/>
    <w:rsid w:val="00060E8F"/>
    <w:rsid w:val="000614A5"/>
    <w:rsid w:val="000617EA"/>
    <w:rsid w:val="00063A25"/>
    <w:rsid w:val="000642E3"/>
    <w:rsid w:val="000646FE"/>
    <w:rsid w:val="00064D51"/>
    <w:rsid w:val="000673D3"/>
    <w:rsid w:val="000719BF"/>
    <w:rsid w:val="00072478"/>
    <w:rsid w:val="000732A5"/>
    <w:rsid w:val="00075206"/>
    <w:rsid w:val="000808B7"/>
    <w:rsid w:val="00081587"/>
    <w:rsid w:val="00083ADF"/>
    <w:rsid w:val="00087163"/>
    <w:rsid w:val="00087D07"/>
    <w:rsid w:val="00093058"/>
    <w:rsid w:val="000945F1"/>
    <w:rsid w:val="00096FF7"/>
    <w:rsid w:val="00097CFD"/>
    <w:rsid w:val="000A0A63"/>
    <w:rsid w:val="000A21CB"/>
    <w:rsid w:val="000B1D69"/>
    <w:rsid w:val="000B6FD1"/>
    <w:rsid w:val="000B745B"/>
    <w:rsid w:val="000B759A"/>
    <w:rsid w:val="000C3340"/>
    <w:rsid w:val="000C72AA"/>
    <w:rsid w:val="000D0D6D"/>
    <w:rsid w:val="000D0E16"/>
    <w:rsid w:val="000D2D6F"/>
    <w:rsid w:val="000D321F"/>
    <w:rsid w:val="000E191D"/>
    <w:rsid w:val="000E45D4"/>
    <w:rsid w:val="000F0B4A"/>
    <w:rsid w:val="000F37A3"/>
    <w:rsid w:val="000F6D46"/>
    <w:rsid w:val="00103409"/>
    <w:rsid w:val="00103C5F"/>
    <w:rsid w:val="001045CC"/>
    <w:rsid w:val="00106DE2"/>
    <w:rsid w:val="0010737D"/>
    <w:rsid w:val="00110A6E"/>
    <w:rsid w:val="0011502F"/>
    <w:rsid w:val="00115DBA"/>
    <w:rsid w:val="001162A4"/>
    <w:rsid w:val="00120943"/>
    <w:rsid w:val="00121F99"/>
    <w:rsid w:val="001251E5"/>
    <w:rsid w:val="00125625"/>
    <w:rsid w:val="00130B9D"/>
    <w:rsid w:val="00131F8C"/>
    <w:rsid w:val="0013301F"/>
    <w:rsid w:val="0013325B"/>
    <w:rsid w:val="00133839"/>
    <w:rsid w:val="001341CE"/>
    <w:rsid w:val="00134395"/>
    <w:rsid w:val="0013681E"/>
    <w:rsid w:val="00137BA9"/>
    <w:rsid w:val="00137D57"/>
    <w:rsid w:val="00140E9B"/>
    <w:rsid w:val="00140F62"/>
    <w:rsid w:val="001412B8"/>
    <w:rsid w:val="00141B32"/>
    <w:rsid w:val="00142036"/>
    <w:rsid w:val="00142D59"/>
    <w:rsid w:val="00143C53"/>
    <w:rsid w:val="00144E0A"/>
    <w:rsid w:val="001473BC"/>
    <w:rsid w:val="00152D8F"/>
    <w:rsid w:val="001543FD"/>
    <w:rsid w:val="001565F0"/>
    <w:rsid w:val="001569CB"/>
    <w:rsid w:val="00157B4E"/>
    <w:rsid w:val="00160CB1"/>
    <w:rsid w:val="00161BDF"/>
    <w:rsid w:val="001637DB"/>
    <w:rsid w:val="0016459D"/>
    <w:rsid w:val="001645A2"/>
    <w:rsid w:val="001666B3"/>
    <w:rsid w:val="00166F7A"/>
    <w:rsid w:val="00174332"/>
    <w:rsid w:val="00174EE3"/>
    <w:rsid w:val="00176C7B"/>
    <w:rsid w:val="00176F13"/>
    <w:rsid w:val="001774C0"/>
    <w:rsid w:val="00190840"/>
    <w:rsid w:val="00194641"/>
    <w:rsid w:val="00194A95"/>
    <w:rsid w:val="00195026"/>
    <w:rsid w:val="001A15CB"/>
    <w:rsid w:val="001A1D6E"/>
    <w:rsid w:val="001A3504"/>
    <w:rsid w:val="001A714E"/>
    <w:rsid w:val="001A7F4B"/>
    <w:rsid w:val="001B07C3"/>
    <w:rsid w:val="001B1449"/>
    <w:rsid w:val="001B1F55"/>
    <w:rsid w:val="001B214F"/>
    <w:rsid w:val="001B416F"/>
    <w:rsid w:val="001B648A"/>
    <w:rsid w:val="001C14DB"/>
    <w:rsid w:val="001C37BA"/>
    <w:rsid w:val="001C5B67"/>
    <w:rsid w:val="001D167C"/>
    <w:rsid w:val="001D278D"/>
    <w:rsid w:val="001D43A9"/>
    <w:rsid w:val="001D4597"/>
    <w:rsid w:val="001D6D1B"/>
    <w:rsid w:val="001D7D26"/>
    <w:rsid w:val="001E061B"/>
    <w:rsid w:val="001E34E6"/>
    <w:rsid w:val="001E5C32"/>
    <w:rsid w:val="001E7C2F"/>
    <w:rsid w:val="001F3678"/>
    <w:rsid w:val="001F66BC"/>
    <w:rsid w:val="0020229F"/>
    <w:rsid w:val="002029AC"/>
    <w:rsid w:val="002050F6"/>
    <w:rsid w:val="00205332"/>
    <w:rsid w:val="002056C2"/>
    <w:rsid w:val="00206A6C"/>
    <w:rsid w:val="0020791A"/>
    <w:rsid w:val="00207FBC"/>
    <w:rsid w:val="00211E62"/>
    <w:rsid w:val="00215389"/>
    <w:rsid w:val="00215FDE"/>
    <w:rsid w:val="00217614"/>
    <w:rsid w:val="00217D6C"/>
    <w:rsid w:val="002218BB"/>
    <w:rsid w:val="00221BE3"/>
    <w:rsid w:val="00222B64"/>
    <w:rsid w:val="00225C51"/>
    <w:rsid w:val="002305E2"/>
    <w:rsid w:val="00231381"/>
    <w:rsid w:val="0023138D"/>
    <w:rsid w:val="002379CF"/>
    <w:rsid w:val="0024088B"/>
    <w:rsid w:val="002441F9"/>
    <w:rsid w:val="00244AE1"/>
    <w:rsid w:val="0024631E"/>
    <w:rsid w:val="00247A3E"/>
    <w:rsid w:val="00251CF0"/>
    <w:rsid w:val="0025244C"/>
    <w:rsid w:val="00253A63"/>
    <w:rsid w:val="00256837"/>
    <w:rsid w:val="00256E5D"/>
    <w:rsid w:val="00257D0C"/>
    <w:rsid w:val="0026053B"/>
    <w:rsid w:val="00263057"/>
    <w:rsid w:val="002649BA"/>
    <w:rsid w:val="00265DFC"/>
    <w:rsid w:val="00267658"/>
    <w:rsid w:val="00267AA2"/>
    <w:rsid w:val="00267EA6"/>
    <w:rsid w:val="002716C2"/>
    <w:rsid w:val="002745FD"/>
    <w:rsid w:val="0027744C"/>
    <w:rsid w:val="00281750"/>
    <w:rsid w:val="002852CC"/>
    <w:rsid w:val="002858BE"/>
    <w:rsid w:val="0029237A"/>
    <w:rsid w:val="00293973"/>
    <w:rsid w:val="00296257"/>
    <w:rsid w:val="00296ECC"/>
    <w:rsid w:val="002A1111"/>
    <w:rsid w:val="002A1329"/>
    <w:rsid w:val="002A690D"/>
    <w:rsid w:val="002A719F"/>
    <w:rsid w:val="002A7C71"/>
    <w:rsid w:val="002B025A"/>
    <w:rsid w:val="002B0E18"/>
    <w:rsid w:val="002B23ED"/>
    <w:rsid w:val="002B332F"/>
    <w:rsid w:val="002B3F68"/>
    <w:rsid w:val="002B5879"/>
    <w:rsid w:val="002C0AE5"/>
    <w:rsid w:val="002C39BE"/>
    <w:rsid w:val="002C62E3"/>
    <w:rsid w:val="002C6EF6"/>
    <w:rsid w:val="002D3A5D"/>
    <w:rsid w:val="002D41A7"/>
    <w:rsid w:val="002D6764"/>
    <w:rsid w:val="002D7D84"/>
    <w:rsid w:val="002E2A2B"/>
    <w:rsid w:val="002E2A7A"/>
    <w:rsid w:val="002E2CB0"/>
    <w:rsid w:val="002E2FF1"/>
    <w:rsid w:val="002E394E"/>
    <w:rsid w:val="002E4C87"/>
    <w:rsid w:val="002E61F4"/>
    <w:rsid w:val="002E6CED"/>
    <w:rsid w:val="002F2A5D"/>
    <w:rsid w:val="002F2E7E"/>
    <w:rsid w:val="002F3FD6"/>
    <w:rsid w:val="002F4ED8"/>
    <w:rsid w:val="003009E9"/>
    <w:rsid w:val="00306904"/>
    <w:rsid w:val="003076E4"/>
    <w:rsid w:val="0031093E"/>
    <w:rsid w:val="00313174"/>
    <w:rsid w:val="00313564"/>
    <w:rsid w:val="0031440B"/>
    <w:rsid w:val="0031499C"/>
    <w:rsid w:val="00315894"/>
    <w:rsid w:val="00315EE8"/>
    <w:rsid w:val="00320582"/>
    <w:rsid w:val="00320B2A"/>
    <w:rsid w:val="003217AC"/>
    <w:rsid w:val="00321ED5"/>
    <w:rsid w:val="003301FA"/>
    <w:rsid w:val="00334BAB"/>
    <w:rsid w:val="00334C51"/>
    <w:rsid w:val="003366C2"/>
    <w:rsid w:val="003368AF"/>
    <w:rsid w:val="00337258"/>
    <w:rsid w:val="003373BB"/>
    <w:rsid w:val="0033789D"/>
    <w:rsid w:val="003402F2"/>
    <w:rsid w:val="00340CF3"/>
    <w:rsid w:val="00342358"/>
    <w:rsid w:val="00343A17"/>
    <w:rsid w:val="00343A45"/>
    <w:rsid w:val="00343FFB"/>
    <w:rsid w:val="003441A8"/>
    <w:rsid w:val="0034563F"/>
    <w:rsid w:val="00354B82"/>
    <w:rsid w:val="00354FCB"/>
    <w:rsid w:val="00357815"/>
    <w:rsid w:val="00361640"/>
    <w:rsid w:val="003616CA"/>
    <w:rsid w:val="00364F49"/>
    <w:rsid w:val="003676FE"/>
    <w:rsid w:val="003706F6"/>
    <w:rsid w:val="003717D8"/>
    <w:rsid w:val="00371C9B"/>
    <w:rsid w:val="00371E3D"/>
    <w:rsid w:val="00373830"/>
    <w:rsid w:val="003748EB"/>
    <w:rsid w:val="003749E9"/>
    <w:rsid w:val="003750E6"/>
    <w:rsid w:val="003757B1"/>
    <w:rsid w:val="003758DC"/>
    <w:rsid w:val="00382432"/>
    <w:rsid w:val="00382D05"/>
    <w:rsid w:val="00386D6B"/>
    <w:rsid w:val="003921A5"/>
    <w:rsid w:val="00393E5A"/>
    <w:rsid w:val="0039598E"/>
    <w:rsid w:val="00396288"/>
    <w:rsid w:val="003965E2"/>
    <w:rsid w:val="003A0E02"/>
    <w:rsid w:val="003A4C67"/>
    <w:rsid w:val="003A63CA"/>
    <w:rsid w:val="003A6C42"/>
    <w:rsid w:val="003B1CF3"/>
    <w:rsid w:val="003B2E68"/>
    <w:rsid w:val="003B3963"/>
    <w:rsid w:val="003B3F49"/>
    <w:rsid w:val="003B67ED"/>
    <w:rsid w:val="003C4779"/>
    <w:rsid w:val="003C5748"/>
    <w:rsid w:val="003C65B8"/>
    <w:rsid w:val="003C7121"/>
    <w:rsid w:val="003D0C40"/>
    <w:rsid w:val="003D1353"/>
    <w:rsid w:val="003D5906"/>
    <w:rsid w:val="003D5CC6"/>
    <w:rsid w:val="003E11D4"/>
    <w:rsid w:val="003E538A"/>
    <w:rsid w:val="003F149E"/>
    <w:rsid w:val="003F38D7"/>
    <w:rsid w:val="003F3DCB"/>
    <w:rsid w:val="0040102D"/>
    <w:rsid w:val="00401BD8"/>
    <w:rsid w:val="00402F88"/>
    <w:rsid w:val="004033C1"/>
    <w:rsid w:val="00410860"/>
    <w:rsid w:val="00412466"/>
    <w:rsid w:val="00415C17"/>
    <w:rsid w:val="00415E47"/>
    <w:rsid w:val="00420772"/>
    <w:rsid w:val="00421C07"/>
    <w:rsid w:val="00421F62"/>
    <w:rsid w:val="00421FB5"/>
    <w:rsid w:val="00427577"/>
    <w:rsid w:val="00430C87"/>
    <w:rsid w:val="004328DC"/>
    <w:rsid w:val="0043306E"/>
    <w:rsid w:val="00435632"/>
    <w:rsid w:val="0043582E"/>
    <w:rsid w:val="00436991"/>
    <w:rsid w:val="00436B91"/>
    <w:rsid w:val="00437447"/>
    <w:rsid w:val="004408CC"/>
    <w:rsid w:val="00443C2E"/>
    <w:rsid w:val="00443C53"/>
    <w:rsid w:val="00443FC9"/>
    <w:rsid w:val="00444136"/>
    <w:rsid w:val="004446FF"/>
    <w:rsid w:val="00444EBE"/>
    <w:rsid w:val="00444F99"/>
    <w:rsid w:val="00445834"/>
    <w:rsid w:val="00447E6B"/>
    <w:rsid w:val="00450991"/>
    <w:rsid w:val="00450C21"/>
    <w:rsid w:val="00452B7A"/>
    <w:rsid w:val="00453254"/>
    <w:rsid w:val="00455887"/>
    <w:rsid w:val="0045658B"/>
    <w:rsid w:val="0045751B"/>
    <w:rsid w:val="00461807"/>
    <w:rsid w:val="00463809"/>
    <w:rsid w:val="004669B9"/>
    <w:rsid w:val="00467779"/>
    <w:rsid w:val="00467C53"/>
    <w:rsid w:val="0047414E"/>
    <w:rsid w:val="004745E7"/>
    <w:rsid w:val="00475350"/>
    <w:rsid w:val="00475F1E"/>
    <w:rsid w:val="00477396"/>
    <w:rsid w:val="00477FD1"/>
    <w:rsid w:val="004806D5"/>
    <w:rsid w:val="00480AE6"/>
    <w:rsid w:val="0048155A"/>
    <w:rsid w:val="00482595"/>
    <w:rsid w:val="00482D41"/>
    <w:rsid w:val="004839AA"/>
    <w:rsid w:val="00485178"/>
    <w:rsid w:val="00487C40"/>
    <w:rsid w:val="004927F7"/>
    <w:rsid w:val="00492C83"/>
    <w:rsid w:val="00494C66"/>
    <w:rsid w:val="00495AD2"/>
    <w:rsid w:val="00496AE7"/>
    <w:rsid w:val="004971FF"/>
    <w:rsid w:val="004A097B"/>
    <w:rsid w:val="004A0E15"/>
    <w:rsid w:val="004A1057"/>
    <w:rsid w:val="004A4098"/>
    <w:rsid w:val="004A42BC"/>
    <w:rsid w:val="004A5344"/>
    <w:rsid w:val="004A5431"/>
    <w:rsid w:val="004A6992"/>
    <w:rsid w:val="004A773E"/>
    <w:rsid w:val="004B2AB3"/>
    <w:rsid w:val="004B3E6B"/>
    <w:rsid w:val="004B41A7"/>
    <w:rsid w:val="004B42D0"/>
    <w:rsid w:val="004B7C21"/>
    <w:rsid w:val="004C03DB"/>
    <w:rsid w:val="004C09F5"/>
    <w:rsid w:val="004C0F04"/>
    <w:rsid w:val="004C6652"/>
    <w:rsid w:val="004C7EFF"/>
    <w:rsid w:val="004D0D0B"/>
    <w:rsid w:val="004D1641"/>
    <w:rsid w:val="004D1C74"/>
    <w:rsid w:val="004D3350"/>
    <w:rsid w:val="004D42BE"/>
    <w:rsid w:val="004D5034"/>
    <w:rsid w:val="004D63C6"/>
    <w:rsid w:val="004D6718"/>
    <w:rsid w:val="004D7ED8"/>
    <w:rsid w:val="004E0A72"/>
    <w:rsid w:val="004E1506"/>
    <w:rsid w:val="004E1B96"/>
    <w:rsid w:val="004E5186"/>
    <w:rsid w:val="004F0C8A"/>
    <w:rsid w:val="004F2C46"/>
    <w:rsid w:val="004F673B"/>
    <w:rsid w:val="004F76A7"/>
    <w:rsid w:val="004F7B22"/>
    <w:rsid w:val="00500147"/>
    <w:rsid w:val="00501067"/>
    <w:rsid w:val="00501254"/>
    <w:rsid w:val="005025E0"/>
    <w:rsid w:val="00503531"/>
    <w:rsid w:val="00505CF3"/>
    <w:rsid w:val="00510484"/>
    <w:rsid w:val="005138C8"/>
    <w:rsid w:val="00514562"/>
    <w:rsid w:val="00516983"/>
    <w:rsid w:val="0051728C"/>
    <w:rsid w:val="00520F94"/>
    <w:rsid w:val="00521390"/>
    <w:rsid w:val="00521D2F"/>
    <w:rsid w:val="00523370"/>
    <w:rsid w:val="0052350D"/>
    <w:rsid w:val="0052663B"/>
    <w:rsid w:val="005314B7"/>
    <w:rsid w:val="0053168C"/>
    <w:rsid w:val="00533BF5"/>
    <w:rsid w:val="00534570"/>
    <w:rsid w:val="00536306"/>
    <w:rsid w:val="0054193F"/>
    <w:rsid w:val="00542075"/>
    <w:rsid w:val="00542A46"/>
    <w:rsid w:val="0054336E"/>
    <w:rsid w:val="0054573C"/>
    <w:rsid w:val="00545B15"/>
    <w:rsid w:val="00546B25"/>
    <w:rsid w:val="0054747E"/>
    <w:rsid w:val="00550B75"/>
    <w:rsid w:val="00550D81"/>
    <w:rsid w:val="005517D8"/>
    <w:rsid w:val="00553347"/>
    <w:rsid w:val="00563D45"/>
    <w:rsid w:val="0056412C"/>
    <w:rsid w:val="0056435F"/>
    <w:rsid w:val="00564675"/>
    <w:rsid w:val="00564B45"/>
    <w:rsid w:val="0057061D"/>
    <w:rsid w:val="00575888"/>
    <w:rsid w:val="00575E15"/>
    <w:rsid w:val="005766AD"/>
    <w:rsid w:val="00581667"/>
    <w:rsid w:val="0058218D"/>
    <w:rsid w:val="00584AA0"/>
    <w:rsid w:val="00585CCE"/>
    <w:rsid w:val="00586ABA"/>
    <w:rsid w:val="00591EEF"/>
    <w:rsid w:val="00592EFE"/>
    <w:rsid w:val="0059767B"/>
    <w:rsid w:val="005A0BFA"/>
    <w:rsid w:val="005A1E5B"/>
    <w:rsid w:val="005A4EE2"/>
    <w:rsid w:val="005A5428"/>
    <w:rsid w:val="005A5CB5"/>
    <w:rsid w:val="005B177F"/>
    <w:rsid w:val="005B1BA5"/>
    <w:rsid w:val="005B3039"/>
    <w:rsid w:val="005B5137"/>
    <w:rsid w:val="005B61A2"/>
    <w:rsid w:val="005B6AF9"/>
    <w:rsid w:val="005B6C62"/>
    <w:rsid w:val="005B7D78"/>
    <w:rsid w:val="005C06BC"/>
    <w:rsid w:val="005C1704"/>
    <w:rsid w:val="005C1FEB"/>
    <w:rsid w:val="005C2158"/>
    <w:rsid w:val="005C5919"/>
    <w:rsid w:val="005C681B"/>
    <w:rsid w:val="005C7894"/>
    <w:rsid w:val="005C7F70"/>
    <w:rsid w:val="005D4D98"/>
    <w:rsid w:val="005D63ED"/>
    <w:rsid w:val="005E7248"/>
    <w:rsid w:val="005F2055"/>
    <w:rsid w:val="005F2CE8"/>
    <w:rsid w:val="005F2F31"/>
    <w:rsid w:val="00603B0C"/>
    <w:rsid w:val="006057C0"/>
    <w:rsid w:val="00606479"/>
    <w:rsid w:val="006071E3"/>
    <w:rsid w:val="00607E6B"/>
    <w:rsid w:val="00610829"/>
    <w:rsid w:val="00614C52"/>
    <w:rsid w:val="00616698"/>
    <w:rsid w:val="00620334"/>
    <w:rsid w:val="00620A93"/>
    <w:rsid w:val="006212FC"/>
    <w:rsid w:val="00621737"/>
    <w:rsid w:val="006236DE"/>
    <w:rsid w:val="0062626B"/>
    <w:rsid w:val="00626E31"/>
    <w:rsid w:val="00627116"/>
    <w:rsid w:val="00641582"/>
    <w:rsid w:val="00644021"/>
    <w:rsid w:val="00646547"/>
    <w:rsid w:val="006511D1"/>
    <w:rsid w:val="00652FB5"/>
    <w:rsid w:val="00654BDE"/>
    <w:rsid w:val="006563DB"/>
    <w:rsid w:val="00663D21"/>
    <w:rsid w:val="00666888"/>
    <w:rsid w:val="00666D1D"/>
    <w:rsid w:val="00670C94"/>
    <w:rsid w:val="00671655"/>
    <w:rsid w:val="00672D0C"/>
    <w:rsid w:val="00673983"/>
    <w:rsid w:val="006745D7"/>
    <w:rsid w:val="006756DF"/>
    <w:rsid w:val="006760B8"/>
    <w:rsid w:val="0067648A"/>
    <w:rsid w:val="00676B09"/>
    <w:rsid w:val="00681580"/>
    <w:rsid w:val="0068202C"/>
    <w:rsid w:val="00682CF4"/>
    <w:rsid w:val="0068358D"/>
    <w:rsid w:val="00686A0E"/>
    <w:rsid w:val="00691955"/>
    <w:rsid w:val="00693B8C"/>
    <w:rsid w:val="006A1969"/>
    <w:rsid w:val="006A275E"/>
    <w:rsid w:val="006A3488"/>
    <w:rsid w:val="006A4451"/>
    <w:rsid w:val="006A70C6"/>
    <w:rsid w:val="006A7AC5"/>
    <w:rsid w:val="006B22D5"/>
    <w:rsid w:val="006B27AE"/>
    <w:rsid w:val="006B6F80"/>
    <w:rsid w:val="006C14B8"/>
    <w:rsid w:val="006C1AF9"/>
    <w:rsid w:val="006C20B5"/>
    <w:rsid w:val="006C3633"/>
    <w:rsid w:val="006C4D41"/>
    <w:rsid w:val="006D0292"/>
    <w:rsid w:val="006D0F5A"/>
    <w:rsid w:val="006E1F8B"/>
    <w:rsid w:val="006E2C77"/>
    <w:rsid w:val="006E2EA8"/>
    <w:rsid w:val="006E66C1"/>
    <w:rsid w:val="006E6E9A"/>
    <w:rsid w:val="006E790E"/>
    <w:rsid w:val="006F117B"/>
    <w:rsid w:val="006F172B"/>
    <w:rsid w:val="006F1A92"/>
    <w:rsid w:val="006F5908"/>
    <w:rsid w:val="006F5CE6"/>
    <w:rsid w:val="00704B63"/>
    <w:rsid w:val="00705481"/>
    <w:rsid w:val="0070565C"/>
    <w:rsid w:val="00710AB1"/>
    <w:rsid w:val="00712997"/>
    <w:rsid w:val="007135C8"/>
    <w:rsid w:val="00713CA7"/>
    <w:rsid w:val="0071536D"/>
    <w:rsid w:val="00721369"/>
    <w:rsid w:val="00722045"/>
    <w:rsid w:val="00725AA9"/>
    <w:rsid w:val="007262DC"/>
    <w:rsid w:val="00726965"/>
    <w:rsid w:val="007309F5"/>
    <w:rsid w:val="00730F46"/>
    <w:rsid w:val="00730FE7"/>
    <w:rsid w:val="0073107E"/>
    <w:rsid w:val="00733F68"/>
    <w:rsid w:val="007354E0"/>
    <w:rsid w:val="00736D9E"/>
    <w:rsid w:val="00741557"/>
    <w:rsid w:val="007457BA"/>
    <w:rsid w:val="0074596F"/>
    <w:rsid w:val="00745FC7"/>
    <w:rsid w:val="0075339F"/>
    <w:rsid w:val="00753DC0"/>
    <w:rsid w:val="00753F76"/>
    <w:rsid w:val="007578B7"/>
    <w:rsid w:val="00761404"/>
    <w:rsid w:val="00762C24"/>
    <w:rsid w:val="0076386D"/>
    <w:rsid w:val="00766DEC"/>
    <w:rsid w:val="0077416E"/>
    <w:rsid w:val="007775F7"/>
    <w:rsid w:val="00777CC5"/>
    <w:rsid w:val="0078017A"/>
    <w:rsid w:val="007802B0"/>
    <w:rsid w:val="007824FE"/>
    <w:rsid w:val="00785A61"/>
    <w:rsid w:val="00787972"/>
    <w:rsid w:val="00790597"/>
    <w:rsid w:val="0079245A"/>
    <w:rsid w:val="00793709"/>
    <w:rsid w:val="007961A8"/>
    <w:rsid w:val="007A24A8"/>
    <w:rsid w:val="007B0985"/>
    <w:rsid w:val="007B16BD"/>
    <w:rsid w:val="007B1908"/>
    <w:rsid w:val="007B305A"/>
    <w:rsid w:val="007B3F77"/>
    <w:rsid w:val="007B63CA"/>
    <w:rsid w:val="007C1D11"/>
    <w:rsid w:val="007C23C7"/>
    <w:rsid w:val="007C44B4"/>
    <w:rsid w:val="007C5922"/>
    <w:rsid w:val="007C77BE"/>
    <w:rsid w:val="007D0D9A"/>
    <w:rsid w:val="007D3299"/>
    <w:rsid w:val="007D43BC"/>
    <w:rsid w:val="007D47C5"/>
    <w:rsid w:val="007D6119"/>
    <w:rsid w:val="007D6873"/>
    <w:rsid w:val="007E11FA"/>
    <w:rsid w:val="007F19F0"/>
    <w:rsid w:val="007F4099"/>
    <w:rsid w:val="007F4B7E"/>
    <w:rsid w:val="007F634A"/>
    <w:rsid w:val="007F6E2E"/>
    <w:rsid w:val="007F748C"/>
    <w:rsid w:val="00802023"/>
    <w:rsid w:val="008054AA"/>
    <w:rsid w:val="00806362"/>
    <w:rsid w:val="00811077"/>
    <w:rsid w:val="008113A2"/>
    <w:rsid w:val="00812782"/>
    <w:rsid w:val="00812C95"/>
    <w:rsid w:val="00812EB7"/>
    <w:rsid w:val="00820C1D"/>
    <w:rsid w:val="00820E9F"/>
    <w:rsid w:val="00822F1B"/>
    <w:rsid w:val="008264EE"/>
    <w:rsid w:val="00827802"/>
    <w:rsid w:val="008309D0"/>
    <w:rsid w:val="008322CD"/>
    <w:rsid w:val="00832473"/>
    <w:rsid w:val="00833082"/>
    <w:rsid w:val="00834784"/>
    <w:rsid w:val="0083557A"/>
    <w:rsid w:val="008368D9"/>
    <w:rsid w:val="00840147"/>
    <w:rsid w:val="008417C2"/>
    <w:rsid w:val="00843000"/>
    <w:rsid w:val="00843860"/>
    <w:rsid w:val="00844AE6"/>
    <w:rsid w:val="00845E13"/>
    <w:rsid w:val="008474E4"/>
    <w:rsid w:val="00847AEA"/>
    <w:rsid w:val="0085629B"/>
    <w:rsid w:val="008614F4"/>
    <w:rsid w:val="0086210F"/>
    <w:rsid w:val="00862B4F"/>
    <w:rsid w:val="00872B29"/>
    <w:rsid w:val="008757FE"/>
    <w:rsid w:val="00875C44"/>
    <w:rsid w:val="00877376"/>
    <w:rsid w:val="008822A2"/>
    <w:rsid w:val="00884C43"/>
    <w:rsid w:val="0089053F"/>
    <w:rsid w:val="00891B99"/>
    <w:rsid w:val="008927A8"/>
    <w:rsid w:val="00892FD1"/>
    <w:rsid w:val="00894163"/>
    <w:rsid w:val="00895BD2"/>
    <w:rsid w:val="00896873"/>
    <w:rsid w:val="0089740F"/>
    <w:rsid w:val="008A419C"/>
    <w:rsid w:val="008A4518"/>
    <w:rsid w:val="008A4D63"/>
    <w:rsid w:val="008A666A"/>
    <w:rsid w:val="008A6C63"/>
    <w:rsid w:val="008A6D98"/>
    <w:rsid w:val="008B42E5"/>
    <w:rsid w:val="008B5013"/>
    <w:rsid w:val="008B55CE"/>
    <w:rsid w:val="008B6312"/>
    <w:rsid w:val="008C0556"/>
    <w:rsid w:val="008C383E"/>
    <w:rsid w:val="008C70C4"/>
    <w:rsid w:val="008D332A"/>
    <w:rsid w:val="008D482A"/>
    <w:rsid w:val="008D51F3"/>
    <w:rsid w:val="008D555D"/>
    <w:rsid w:val="008D7419"/>
    <w:rsid w:val="008E5469"/>
    <w:rsid w:val="008E666C"/>
    <w:rsid w:val="008E7341"/>
    <w:rsid w:val="008F1C12"/>
    <w:rsid w:val="008F2A3C"/>
    <w:rsid w:val="008F2C50"/>
    <w:rsid w:val="008F36BC"/>
    <w:rsid w:val="008F4702"/>
    <w:rsid w:val="008F4A8F"/>
    <w:rsid w:val="008F53FF"/>
    <w:rsid w:val="008F72EA"/>
    <w:rsid w:val="00900D9C"/>
    <w:rsid w:val="009010A6"/>
    <w:rsid w:val="00904064"/>
    <w:rsid w:val="009055F1"/>
    <w:rsid w:val="00905F94"/>
    <w:rsid w:val="009112DC"/>
    <w:rsid w:val="009115B9"/>
    <w:rsid w:val="00915079"/>
    <w:rsid w:val="009169A9"/>
    <w:rsid w:val="009241D5"/>
    <w:rsid w:val="009244D5"/>
    <w:rsid w:val="009302F0"/>
    <w:rsid w:val="00930549"/>
    <w:rsid w:val="00930948"/>
    <w:rsid w:val="00930EA7"/>
    <w:rsid w:val="00932DB6"/>
    <w:rsid w:val="009340A4"/>
    <w:rsid w:val="00937F2D"/>
    <w:rsid w:val="009421C1"/>
    <w:rsid w:val="009422CD"/>
    <w:rsid w:val="009444FC"/>
    <w:rsid w:val="0095222F"/>
    <w:rsid w:val="00953982"/>
    <w:rsid w:val="00953BF8"/>
    <w:rsid w:val="00956F47"/>
    <w:rsid w:val="009572F0"/>
    <w:rsid w:val="00962CD7"/>
    <w:rsid w:val="00963735"/>
    <w:rsid w:val="00964B04"/>
    <w:rsid w:val="00966FE8"/>
    <w:rsid w:val="0097050C"/>
    <w:rsid w:val="00970FF2"/>
    <w:rsid w:val="009713EF"/>
    <w:rsid w:val="009736F3"/>
    <w:rsid w:val="0097633C"/>
    <w:rsid w:val="00981ECD"/>
    <w:rsid w:val="00982ADA"/>
    <w:rsid w:val="00983859"/>
    <w:rsid w:val="00986F59"/>
    <w:rsid w:val="00990F7D"/>
    <w:rsid w:val="0099110F"/>
    <w:rsid w:val="00991CE5"/>
    <w:rsid w:val="00992556"/>
    <w:rsid w:val="00994267"/>
    <w:rsid w:val="00996112"/>
    <w:rsid w:val="00997B02"/>
    <w:rsid w:val="009A1E08"/>
    <w:rsid w:val="009A2265"/>
    <w:rsid w:val="009A3411"/>
    <w:rsid w:val="009A6C71"/>
    <w:rsid w:val="009B08B1"/>
    <w:rsid w:val="009B2325"/>
    <w:rsid w:val="009B405B"/>
    <w:rsid w:val="009C0282"/>
    <w:rsid w:val="009C17FD"/>
    <w:rsid w:val="009C2797"/>
    <w:rsid w:val="009C5223"/>
    <w:rsid w:val="009C5EFA"/>
    <w:rsid w:val="009C5FC7"/>
    <w:rsid w:val="009C70AB"/>
    <w:rsid w:val="009C7304"/>
    <w:rsid w:val="009D01AD"/>
    <w:rsid w:val="009D22EA"/>
    <w:rsid w:val="009D2654"/>
    <w:rsid w:val="009D2BF9"/>
    <w:rsid w:val="009D4889"/>
    <w:rsid w:val="009D5DD3"/>
    <w:rsid w:val="009D79A8"/>
    <w:rsid w:val="009E095D"/>
    <w:rsid w:val="009E163A"/>
    <w:rsid w:val="009E3FDB"/>
    <w:rsid w:val="009E4659"/>
    <w:rsid w:val="009E7889"/>
    <w:rsid w:val="009F2CA3"/>
    <w:rsid w:val="009F6134"/>
    <w:rsid w:val="009F76FA"/>
    <w:rsid w:val="00A0047F"/>
    <w:rsid w:val="00A01A4A"/>
    <w:rsid w:val="00A039AA"/>
    <w:rsid w:val="00A04D20"/>
    <w:rsid w:val="00A04DC6"/>
    <w:rsid w:val="00A101D9"/>
    <w:rsid w:val="00A1061C"/>
    <w:rsid w:val="00A10F28"/>
    <w:rsid w:val="00A1543B"/>
    <w:rsid w:val="00A17380"/>
    <w:rsid w:val="00A2280D"/>
    <w:rsid w:val="00A26C15"/>
    <w:rsid w:val="00A273F8"/>
    <w:rsid w:val="00A31E9B"/>
    <w:rsid w:val="00A32EBC"/>
    <w:rsid w:val="00A33C83"/>
    <w:rsid w:val="00A35CB7"/>
    <w:rsid w:val="00A36177"/>
    <w:rsid w:val="00A401E9"/>
    <w:rsid w:val="00A41041"/>
    <w:rsid w:val="00A42C27"/>
    <w:rsid w:val="00A46399"/>
    <w:rsid w:val="00A500ED"/>
    <w:rsid w:val="00A50932"/>
    <w:rsid w:val="00A51F79"/>
    <w:rsid w:val="00A54E7B"/>
    <w:rsid w:val="00A57E52"/>
    <w:rsid w:val="00A60907"/>
    <w:rsid w:val="00A626AC"/>
    <w:rsid w:val="00A65042"/>
    <w:rsid w:val="00A72120"/>
    <w:rsid w:val="00A73157"/>
    <w:rsid w:val="00A771C7"/>
    <w:rsid w:val="00A77A1F"/>
    <w:rsid w:val="00A808AA"/>
    <w:rsid w:val="00A8189C"/>
    <w:rsid w:val="00A819B9"/>
    <w:rsid w:val="00A82432"/>
    <w:rsid w:val="00A842A2"/>
    <w:rsid w:val="00A848F2"/>
    <w:rsid w:val="00A84FB0"/>
    <w:rsid w:val="00A90BBB"/>
    <w:rsid w:val="00A9337E"/>
    <w:rsid w:val="00A93E22"/>
    <w:rsid w:val="00A94A74"/>
    <w:rsid w:val="00AA0081"/>
    <w:rsid w:val="00AA00BE"/>
    <w:rsid w:val="00AA02FD"/>
    <w:rsid w:val="00AA4B88"/>
    <w:rsid w:val="00AB2D1B"/>
    <w:rsid w:val="00AB42C5"/>
    <w:rsid w:val="00AB7A6C"/>
    <w:rsid w:val="00AC194D"/>
    <w:rsid w:val="00AD01C7"/>
    <w:rsid w:val="00AD2B58"/>
    <w:rsid w:val="00AD4814"/>
    <w:rsid w:val="00AD4B75"/>
    <w:rsid w:val="00AE1384"/>
    <w:rsid w:val="00AE1C08"/>
    <w:rsid w:val="00AE3BF0"/>
    <w:rsid w:val="00AE3EA6"/>
    <w:rsid w:val="00AE5C34"/>
    <w:rsid w:val="00AE6DCB"/>
    <w:rsid w:val="00AE6E0D"/>
    <w:rsid w:val="00AF1398"/>
    <w:rsid w:val="00AF1BDB"/>
    <w:rsid w:val="00AF3284"/>
    <w:rsid w:val="00AF34BC"/>
    <w:rsid w:val="00AF39DC"/>
    <w:rsid w:val="00AF5235"/>
    <w:rsid w:val="00B01B26"/>
    <w:rsid w:val="00B03978"/>
    <w:rsid w:val="00B04516"/>
    <w:rsid w:val="00B04D44"/>
    <w:rsid w:val="00B04E8B"/>
    <w:rsid w:val="00B05D01"/>
    <w:rsid w:val="00B06F0A"/>
    <w:rsid w:val="00B1314B"/>
    <w:rsid w:val="00B13786"/>
    <w:rsid w:val="00B140F3"/>
    <w:rsid w:val="00B15516"/>
    <w:rsid w:val="00B17A3C"/>
    <w:rsid w:val="00B21139"/>
    <w:rsid w:val="00B225F2"/>
    <w:rsid w:val="00B259DC"/>
    <w:rsid w:val="00B26CCC"/>
    <w:rsid w:val="00B27148"/>
    <w:rsid w:val="00B30511"/>
    <w:rsid w:val="00B31137"/>
    <w:rsid w:val="00B314D3"/>
    <w:rsid w:val="00B320EA"/>
    <w:rsid w:val="00B321F8"/>
    <w:rsid w:val="00B3260A"/>
    <w:rsid w:val="00B3460F"/>
    <w:rsid w:val="00B35DAD"/>
    <w:rsid w:val="00B36BEA"/>
    <w:rsid w:val="00B3782F"/>
    <w:rsid w:val="00B37FFA"/>
    <w:rsid w:val="00B418DF"/>
    <w:rsid w:val="00B43204"/>
    <w:rsid w:val="00B44357"/>
    <w:rsid w:val="00B454D4"/>
    <w:rsid w:val="00B51759"/>
    <w:rsid w:val="00B537E6"/>
    <w:rsid w:val="00B57188"/>
    <w:rsid w:val="00B57B9E"/>
    <w:rsid w:val="00B60183"/>
    <w:rsid w:val="00B64C75"/>
    <w:rsid w:val="00B670C7"/>
    <w:rsid w:val="00B679DE"/>
    <w:rsid w:val="00B7007B"/>
    <w:rsid w:val="00B738A8"/>
    <w:rsid w:val="00B7550A"/>
    <w:rsid w:val="00B7704C"/>
    <w:rsid w:val="00B82AB0"/>
    <w:rsid w:val="00B82E19"/>
    <w:rsid w:val="00B84135"/>
    <w:rsid w:val="00B87F08"/>
    <w:rsid w:val="00B902C2"/>
    <w:rsid w:val="00B90F97"/>
    <w:rsid w:val="00B92FE0"/>
    <w:rsid w:val="00B93BB2"/>
    <w:rsid w:val="00B943AA"/>
    <w:rsid w:val="00B94D0D"/>
    <w:rsid w:val="00BA0126"/>
    <w:rsid w:val="00BA0269"/>
    <w:rsid w:val="00BA58D3"/>
    <w:rsid w:val="00BA614B"/>
    <w:rsid w:val="00BB16CB"/>
    <w:rsid w:val="00BB3C70"/>
    <w:rsid w:val="00BB3D9D"/>
    <w:rsid w:val="00BB718E"/>
    <w:rsid w:val="00BB744C"/>
    <w:rsid w:val="00BB76D3"/>
    <w:rsid w:val="00BC0065"/>
    <w:rsid w:val="00BC229D"/>
    <w:rsid w:val="00BC2DB4"/>
    <w:rsid w:val="00BC7955"/>
    <w:rsid w:val="00BD0DCB"/>
    <w:rsid w:val="00BD4A59"/>
    <w:rsid w:val="00BD7D2B"/>
    <w:rsid w:val="00BE24BE"/>
    <w:rsid w:val="00BE5938"/>
    <w:rsid w:val="00BE7125"/>
    <w:rsid w:val="00BF0681"/>
    <w:rsid w:val="00BF5498"/>
    <w:rsid w:val="00BF5795"/>
    <w:rsid w:val="00BF6CE8"/>
    <w:rsid w:val="00BF6F02"/>
    <w:rsid w:val="00C00399"/>
    <w:rsid w:val="00C0470C"/>
    <w:rsid w:val="00C054A3"/>
    <w:rsid w:val="00C06600"/>
    <w:rsid w:val="00C06867"/>
    <w:rsid w:val="00C06BBB"/>
    <w:rsid w:val="00C077C1"/>
    <w:rsid w:val="00C10E9A"/>
    <w:rsid w:val="00C15A17"/>
    <w:rsid w:val="00C2022F"/>
    <w:rsid w:val="00C211B3"/>
    <w:rsid w:val="00C2424C"/>
    <w:rsid w:val="00C24396"/>
    <w:rsid w:val="00C2618C"/>
    <w:rsid w:val="00C27C4F"/>
    <w:rsid w:val="00C30990"/>
    <w:rsid w:val="00C30C38"/>
    <w:rsid w:val="00C30D28"/>
    <w:rsid w:val="00C32BB3"/>
    <w:rsid w:val="00C353F4"/>
    <w:rsid w:val="00C35931"/>
    <w:rsid w:val="00C375A0"/>
    <w:rsid w:val="00C41108"/>
    <w:rsid w:val="00C449C0"/>
    <w:rsid w:val="00C45AB9"/>
    <w:rsid w:val="00C47484"/>
    <w:rsid w:val="00C501D6"/>
    <w:rsid w:val="00C51220"/>
    <w:rsid w:val="00C5224C"/>
    <w:rsid w:val="00C574F6"/>
    <w:rsid w:val="00C57D75"/>
    <w:rsid w:val="00C60095"/>
    <w:rsid w:val="00C62651"/>
    <w:rsid w:val="00C634D2"/>
    <w:rsid w:val="00C6669A"/>
    <w:rsid w:val="00C66BCC"/>
    <w:rsid w:val="00C67DC7"/>
    <w:rsid w:val="00C7173D"/>
    <w:rsid w:val="00C74EC7"/>
    <w:rsid w:val="00C75C89"/>
    <w:rsid w:val="00C77F88"/>
    <w:rsid w:val="00C806D7"/>
    <w:rsid w:val="00C83543"/>
    <w:rsid w:val="00C83C4C"/>
    <w:rsid w:val="00C847F5"/>
    <w:rsid w:val="00C85815"/>
    <w:rsid w:val="00C867FD"/>
    <w:rsid w:val="00C87063"/>
    <w:rsid w:val="00C87CB9"/>
    <w:rsid w:val="00C9278A"/>
    <w:rsid w:val="00C92792"/>
    <w:rsid w:val="00C92BE8"/>
    <w:rsid w:val="00C92F94"/>
    <w:rsid w:val="00C93053"/>
    <w:rsid w:val="00C938E5"/>
    <w:rsid w:val="00C94B9C"/>
    <w:rsid w:val="00C95CAA"/>
    <w:rsid w:val="00C97325"/>
    <w:rsid w:val="00C9788F"/>
    <w:rsid w:val="00CA09A3"/>
    <w:rsid w:val="00CA4B61"/>
    <w:rsid w:val="00CA7772"/>
    <w:rsid w:val="00CB022C"/>
    <w:rsid w:val="00CB3211"/>
    <w:rsid w:val="00CB387C"/>
    <w:rsid w:val="00CB42F4"/>
    <w:rsid w:val="00CB5929"/>
    <w:rsid w:val="00CB6576"/>
    <w:rsid w:val="00CB7BE9"/>
    <w:rsid w:val="00CC12E3"/>
    <w:rsid w:val="00CC171B"/>
    <w:rsid w:val="00CC2ACF"/>
    <w:rsid w:val="00CC3059"/>
    <w:rsid w:val="00CC3524"/>
    <w:rsid w:val="00CC6E36"/>
    <w:rsid w:val="00CC6F61"/>
    <w:rsid w:val="00CD2818"/>
    <w:rsid w:val="00CD3D6C"/>
    <w:rsid w:val="00CD4CBE"/>
    <w:rsid w:val="00CE1B5F"/>
    <w:rsid w:val="00CE3AAE"/>
    <w:rsid w:val="00CE502C"/>
    <w:rsid w:val="00CE5DBA"/>
    <w:rsid w:val="00CE67BC"/>
    <w:rsid w:val="00CF10C1"/>
    <w:rsid w:val="00CF16D1"/>
    <w:rsid w:val="00CF1D9F"/>
    <w:rsid w:val="00CF1E82"/>
    <w:rsid w:val="00CF375B"/>
    <w:rsid w:val="00CF387B"/>
    <w:rsid w:val="00CF448B"/>
    <w:rsid w:val="00CF4A7B"/>
    <w:rsid w:val="00CF61F9"/>
    <w:rsid w:val="00D001EF"/>
    <w:rsid w:val="00D01D46"/>
    <w:rsid w:val="00D03B65"/>
    <w:rsid w:val="00D05761"/>
    <w:rsid w:val="00D07C5D"/>
    <w:rsid w:val="00D10627"/>
    <w:rsid w:val="00D14534"/>
    <w:rsid w:val="00D167D9"/>
    <w:rsid w:val="00D27A24"/>
    <w:rsid w:val="00D31DB8"/>
    <w:rsid w:val="00D32FDA"/>
    <w:rsid w:val="00D336F7"/>
    <w:rsid w:val="00D361A3"/>
    <w:rsid w:val="00D4054F"/>
    <w:rsid w:val="00D479CA"/>
    <w:rsid w:val="00D5029A"/>
    <w:rsid w:val="00D5302C"/>
    <w:rsid w:val="00D54A72"/>
    <w:rsid w:val="00D577FF"/>
    <w:rsid w:val="00D60D7C"/>
    <w:rsid w:val="00D635A6"/>
    <w:rsid w:val="00D63BCA"/>
    <w:rsid w:val="00D64693"/>
    <w:rsid w:val="00D714EC"/>
    <w:rsid w:val="00D718C4"/>
    <w:rsid w:val="00D73E36"/>
    <w:rsid w:val="00D76287"/>
    <w:rsid w:val="00D76B05"/>
    <w:rsid w:val="00D76B64"/>
    <w:rsid w:val="00D7721D"/>
    <w:rsid w:val="00D77DD1"/>
    <w:rsid w:val="00D80691"/>
    <w:rsid w:val="00D81E66"/>
    <w:rsid w:val="00D82D3E"/>
    <w:rsid w:val="00D8551E"/>
    <w:rsid w:val="00D868E2"/>
    <w:rsid w:val="00D90A60"/>
    <w:rsid w:val="00D939C1"/>
    <w:rsid w:val="00D95850"/>
    <w:rsid w:val="00DA0E53"/>
    <w:rsid w:val="00DA0F46"/>
    <w:rsid w:val="00DA2436"/>
    <w:rsid w:val="00DA3B5A"/>
    <w:rsid w:val="00DA47C1"/>
    <w:rsid w:val="00DA592C"/>
    <w:rsid w:val="00DA71DF"/>
    <w:rsid w:val="00DA7F25"/>
    <w:rsid w:val="00DB08D9"/>
    <w:rsid w:val="00DB207A"/>
    <w:rsid w:val="00DB424D"/>
    <w:rsid w:val="00DB4696"/>
    <w:rsid w:val="00DB53FD"/>
    <w:rsid w:val="00DB562C"/>
    <w:rsid w:val="00DB5A4D"/>
    <w:rsid w:val="00DB6FBF"/>
    <w:rsid w:val="00DB7016"/>
    <w:rsid w:val="00DB701A"/>
    <w:rsid w:val="00DC0B5C"/>
    <w:rsid w:val="00DC2074"/>
    <w:rsid w:val="00DC262C"/>
    <w:rsid w:val="00DC593A"/>
    <w:rsid w:val="00DC7281"/>
    <w:rsid w:val="00DD2749"/>
    <w:rsid w:val="00DD2BAB"/>
    <w:rsid w:val="00DD6343"/>
    <w:rsid w:val="00DD66A7"/>
    <w:rsid w:val="00DD696E"/>
    <w:rsid w:val="00DE16C9"/>
    <w:rsid w:val="00DE28AC"/>
    <w:rsid w:val="00DE2F4E"/>
    <w:rsid w:val="00DE4213"/>
    <w:rsid w:val="00DE4E65"/>
    <w:rsid w:val="00DE4EA6"/>
    <w:rsid w:val="00DE5726"/>
    <w:rsid w:val="00DE5EB4"/>
    <w:rsid w:val="00DE62DB"/>
    <w:rsid w:val="00DF1361"/>
    <w:rsid w:val="00DF36A3"/>
    <w:rsid w:val="00DF5BBC"/>
    <w:rsid w:val="00DF6FFD"/>
    <w:rsid w:val="00DF7780"/>
    <w:rsid w:val="00DF7A7A"/>
    <w:rsid w:val="00E00760"/>
    <w:rsid w:val="00E010F4"/>
    <w:rsid w:val="00E02633"/>
    <w:rsid w:val="00E03D5D"/>
    <w:rsid w:val="00E126E2"/>
    <w:rsid w:val="00E12CBF"/>
    <w:rsid w:val="00E13948"/>
    <w:rsid w:val="00E13B88"/>
    <w:rsid w:val="00E13F67"/>
    <w:rsid w:val="00E17A25"/>
    <w:rsid w:val="00E20496"/>
    <w:rsid w:val="00E217A8"/>
    <w:rsid w:val="00E23CA7"/>
    <w:rsid w:val="00E24DBC"/>
    <w:rsid w:val="00E3214D"/>
    <w:rsid w:val="00E34C77"/>
    <w:rsid w:val="00E35E41"/>
    <w:rsid w:val="00E411C9"/>
    <w:rsid w:val="00E41D2E"/>
    <w:rsid w:val="00E428E9"/>
    <w:rsid w:val="00E453DD"/>
    <w:rsid w:val="00E46852"/>
    <w:rsid w:val="00E477D5"/>
    <w:rsid w:val="00E478BD"/>
    <w:rsid w:val="00E50646"/>
    <w:rsid w:val="00E51E56"/>
    <w:rsid w:val="00E51EF2"/>
    <w:rsid w:val="00E527A6"/>
    <w:rsid w:val="00E53F51"/>
    <w:rsid w:val="00E55609"/>
    <w:rsid w:val="00E57355"/>
    <w:rsid w:val="00E62A2D"/>
    <w:rsid w:val="00E63B4B"/>
    <w:rsid w:val="00E64371"/>
    <w:rsid w:val="00E67350"/>
    <w:rsid w:val="00E67F54"/>
    <w:rsid w:val="00E702BE"/>
    <w:rsid w:val="00E72602"/>
    <w:rsid w:val="00E730A1"/>
    <w:rsid w:val="00E73728"/>
    <w:rsid w:val="00E74ACC"/>
    <w:rsid w:val="00E76BE4"/>
    <w:rsid w:val="00E77CC6"/>
    <w:rsid w:val="00E8132A"/>
    <w:rsid w:val="00E817F9"/>
    <w:rsid w:val="00E82EFA"/>
    <w:rsid w:val="00E939D0"/>
    <w:rsid w:val="00E93DE3"/>
    <w:rsid w:val="00E96719"/>
    <w:rsid w:val="00E97667"/>
    <w:rsid w:val="00EA0E20"/>
    <w:rsid w:val="00EA1089"/>
    <w:rsid w:val="00EA1EE6"/>
    <w:rsid w:val="00EA21D8"/>
    <w:rsid w:val="00EA2253"/>
    <w:rsid w:val="00EA4313"/>
    <w:rsid w:val="00EA4FD9"/>
    <w:rsid w:val="00EB08DA"/>
    <w:rsid w:val="00EB6744"/>
    <w:rsid w:val="00EB77E6"/>
    <w:rsid w:val="00EC40B4"/>
    <w:rsid w:val="00EC4659"/>
    <w:rsid w:val="00EC60C2"/>
    <w:rsid w:val="00EC6234"/>
    <w:rsid w:val="00EC67F9"/>
    <w:rsid w:val="00ED0F0F"/>
    <w:rsid w:val="00ED1374"/>
    <w:rsid w:val="00ED235F"/>
    <w:rsid w:val="00ED4983"/>
    <w:rsid w:val="00ED54E7"/>
    <w:rsid w:val="00ED6C54"/>
    <w:rsid w:val="00ED7274"/>
    <w:rsid w:val="00EE2DB1"/>
    <w:rsid w:val="00EF0CAA"/>
    <w:rsid w:val="00EF35C0"/>
    <w:rsid w:val="00EF4B03"/>
    <w:rsid w:val="00EF7C9B"/>
    <w:rsid w:val="00F05F76"/>
    <w:rsid w:val="00F061B0"/>
    <w:rsid w:val="00F159A1"/>
    <w:rsid w:val="00F220DF"/>
    <w:rsid w:val="00F22B05"/>
    <w:rsid w:val="00F241E5"/>
    <w:rsid w:val="00F246C2"/>
    <w:rsid w:val="00F32E84"/>
    <w:rsid w:val="00F32EB3"/>
    <w:rsid w:val="00F33FB9"/>
    <w:rsid w:val="00F364F9"/>
    <w:rsid w:val="00F37DEA"/>
    <w:rsid w:val="00F43B8D"/>
    <w:rsid w:val="00F46416"/>
    <w:rsid w:val="00F47594"/>
    <w:rsid w:val="00F5029D"/>
    <w:rsid w:val="00F504F2"/>
    <w:rsid w:val="00F51607"/>
    <w:rsid w:val="00F52569"/>
    <w:rsid w:val="00F53C0F"/>
    <w:rsid w:val="00F5789C"/>
    <w:rsid w:val="00F62CC4"/>
    <w:rsid w:val="00F643BB"/>
    <w:rsid w:val="00F64EB0"/>
    <w:rsid w:val="00F65FBF"/>
    <w:rsid w:val="00F66624"/>
    <w:rsid w:val="00F70741"/>
    <w:rsid w:val="00F70B90"/>
    <w:rsid w:val="00F730CB"/>
    <w:rsid w:val="00F76FAF"/>
    <w:rsid w:val="00F77F59"/>
    <w:rsid w:val="00F80531"/>
    <w:rsid w:val="00F84246"/>
    <w:rsid w:val="00F86BF2"/>
    <w:rsid w:val="00F905BC"/>
    <w:rsid w:val="00F908E6"/>
    <w:rsid w:val="00F90E03"/>
    <w:rsid w:val="00F92FE9"/>
    <w:rsid w:val="00F94028"/>
    <w:rsid w:val="00F94850"/>
    <w:rsid w:val="00F9487B"/>
    <w:rsid w:val="00FA1F2A"/>
    <w:rsid w:val="00FA4F7F"/>
    <w:rsid w:val="00FA69C1"/>
    <w:rsid w:val="00FB32E8"/>
    <w:rsid w:val="00FB5082"/>
    <w:rsid w:val="00FB5E89"/>
    <w:rsid w:val="00FB62B5"/>
    <w:rsid w:val="00FB6B00"/>
    <w:rsid w:val="00FB7CB7"/>
    <w:rsid w:val="00FB7F4E"/>
    <w:rsid w:val="00FC0AC1"/>
    <w:rsid w:val="00FC0D20"/>
    <w:rsid w:val="00FC265C"/>
    <w:rsid w:val="00FC27A1"/>
    <w:rsid w:val="00FC3817"/>
    <w:rsid w:val="00FD23D9"/>
    <w:rsid w:val="00FD2DBF"/>
    <w:rsid w:val="00FD35F3"/>
    <w:rsid w:val="00FD3CE6"/>
    <w:rsid w:val="00FD3D1B"/>
    <w:rsid w:val="00FD56D6"/>
    <w:rsid w:val="00FD6052"/>
    <w:rsid w:val="00FD63AC"/>
    <w:rsid w:val="00FD7155"/>
    <w:rsid w:val="00FE16E3"/>
    <w:rsid w:val="00FE1919"/>
    <w:rsid w:val="00FE20BF"/>
    <w:rsid w:val="00FE2D90"/>
    <w:rsid w:val="00FE3AA5"/>
    <w:rsid w:val="00FE3E4B"/>
    <w:rsid w:val="00FE44F7"/>
    <w:rsid w:val="00FE4CE8"/>
    <w:rsid w:val="00FE50A1"/>
    <w:rsid w:val="00FF059D"/>
    <w:rsid w:val="00FF0D86"/>
    <w:rsid w:val="00FF1C6E"/>
    <w:rsid w:val="00FF26CB"/>
    <w:rsid w:val="00FF2AE7"/>
    <w:rsid w:val="00FF4849"/>
    <w:rsid w:val="00FF7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02F56D"/>
  <w15:chartTrackingRefBased/>
  <w15:docId w15:val="{F8290FE6-AA8F-483B-886E-924C1018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6C42"/>
    <w:pPr>
      <w:spacing w:line="260" w:lineRule="atLeast"/>
    </w:pPr>
    <w:rPr>
      <w:rFonts w:ascii="Times New Roman" w:hAnsi="Times New Roman"/>
      <w:sz w:val="22"/>
      <w:lang w:eastAsia="en-US"/>
    </w:rPr>
  </w:style>
  <w:style w:type="paragraph" w:styleId="Heading1">
    <w:name w:val="heading 1"/>
    <w:next w:val="Normal"/>
    <w:link w:val="Heading1Char"/>
    <w:uiPriority w:val="9"/>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9"/>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9"/>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9"/>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9"/>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9"/>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99"/>
    <w:qFormat/>
    <w:p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99"/>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iPriority w:val="99"/>
    <w:unhideWhenUsed/>
    <w:pPr>
      <w:tabs>
        <w:tab w:val="right" w:pos="9026"/>
      </w:tabs>
    </w:pPr>
    <w:rPr>
      <w:rFonts w:ascii="Calibri" w:eastAsiaTheme="minorHAnsi" w:hAnsi="Calibri"/>
    </w:rPr>
  </w:style>
  <w:style w:type="character" w:customStyle="1" w:styleId="HeaderChar">
    <w:name w:val="Header Char"/>
    <w:basedOn w:val="DefaultParagraphFont"/>
    <w:link w:val="Header"/>
    <w:uiPriority w:val="99"/>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2">
    <w:name w:val="ActHead 2"/>
    <w:aliases w:val="p"/>
    <w:basedOn w:val="Normal"/>
    <w:next w:val="Normal"/>
    <w:qFormat/>
    <w:rsid w:val="003A6C42"/>
    <w:pPr>
      <w:keepNext/>
      <w:keepLines/>
      <w:spacing w:before="280" w:line="240" w:lineRule="auto"/>
      <w:ind w:left="1134" w:hanging="1134"/>
      <w:outlineLvl w:val="1"/>
    </w:pPr>
    <w:rPr>
      <w:rFonts w:eastAsia="Times New Roman"/>
      <w:b/>
      <w:kern w:val="28"/>
      <w:sz w:val="32"/>
      <w:lang w:eastAsia="en-AU"/>
    </w:rPr>
  </w:style>
  <w:style w:type="paragraph" w:customStyle="1" w:styleId="ActHead5">
    <w:name w:val="ActHead 5"/>
    <w:aliases w:val="s"/>
    <w:basedOn w:val="Normal"/>
    <w:next w:val="subsection"/>
    <w:link w:val="ActHead5Char"/>
    <w:qFormat/>
    <w:rsid w:val="003A6C42"/>
    <w:pPr>
      <w:keepNext/>
      <w:keepLines/>
      <w:spacing w:before="280" w:line="240" w:lineRule="auto"/>
      <w:ind w:left="1134" w:hanging="1134"/>
      <w:outlineLvl w:val="4"/>
    </w:pPr>
    <w:rPr>
      <w:rFonts w:eastAsia="Times New Roman"/>
      <w:b/>
      <w:kern w:val="28"/>
      <w:sz w:val="24"/>
      <w:lang w:eastAsia="en-AU"/>
    </w:rPr>
  </w:style>
  <w:style w:type="character" w:customStyle="1" w:styleId="CharDivNo">
    <w:name w:val="CharDivNo"/>
    <w:basedOn w:val="DefaultParagraphFont"/>
    <w:qFormat/>
    <w:rsid w:val="003A6C42"/>
  </w:style>
  <w:style w:type="character" w:customStyle="1" w:styleId="CharDivText">
    <w:name w:val="CharDivText"/>
    <w:basedOn w:val="DefaultParagraphFont"/>
    <w:qFormat/>
    <w:rsid w:val="003A6C42"/>
  </w:style>
  <w:style w:type="character" w:customStyle="1" w:styleId="CharPartNo">
    <w:name w:val="CharPartNo"/>
    <w:basedOn w:val="DefaultParagraphFont"/>
    <w:qFormat/>
    <w:rsid w:val="003A6C42"/>
  </w:style>
  <w:style w:type="character" w:customStyle="1" w:styleId="CharPartText">
    <w:name w:val="CharPartText"/>
    <w:basedOn w:val="DefaultParagraphFont"/>
    <w:qFormat/>
    <w:rsid w:val="003A6C42"/>
  </w:style>
  <w:style w:type="character" w:customStyle="1" w:styleId="CharSectno">
    <w:name w:val="CharSectno"/>
    <w:basedOn w:val="DefaultParagraphFont"/>
    <w:qFormat/>
    <w:rsid w:val="003A6C42"/>
  </w:style>
  <w:style w:type="paragraph" w:customStyle="1" w:styleId="subsection">
    <w:name w:val="subsection"/>
    <w:aliases w:val="ss,Subsection"/>
    <w:basedOn w:val="Normal"/>
    <w:link w:val="subsectionChar"/>
    <w:rsid w:val="003A6C42"/>
    <w:pPr>
      <w:tabs>
        <w:tab w:val="right" w:pos="1021"/>
      </w:tabs>
      <w:spacing w:before="180" w:line="240" w:lineRule="auto"/>
      <w:ind w:left="1134" w:hanging="1134"/>
    </w:pPr>
    <w:rPr>
      <w:rFonts w:eastAsia="Times New Roman"/>
      <w:lang w:eastAsia="en-AU"/>
    </w:rPr>
  </w:style>
  <w:style w:type="paragraph" w:customStyle="1" w:styleId="Definition">
    <w:name w:val="Definition"/>
    <w:aliases w:val="dd"/>
    <w:basedOn w:val="Normal"/>
    <w:rsid w:val="003A6C42"/>
    <w:pPr>
      <w:spacing w:before="180" w:line="240" w:lineRule="auto"/>
      <w:ind w:left="1134"/>
    </w:pPr>
    <w:rPr>
      <w:rFonts w:eastAsia="Times New Roman"/>
      <w:lang w:eastAsia="en-AU"/>
    </w:rPr>
  </w:style>
  <w:style w:type="paragraph" w:customStyle="1" w:styleId="notedraft">
    <w:name w:val="note(draft)"/>
    <w:aliases w:val="nd"/>
    <w:basedOn w:val="Normal"/>
    <w:rsid w:val="003A6C42"/>
    <w:pPr>
      <w:spacing w:before="240" w:line="240" w:lineRule="auto"/>
      <w:ind w:left="284" w:hanging="284"/>
    </w:pPr>
    <w:rPr>
      <w:rFonts w:eastAsia="Times New Roman"/>
      <w:i/>
      <w:sz w:val="24"/>
      <w:lang w:eastAsia="en-AU"/>
    </w:rPr>
  </w:style>
  <w:style w:type="paragraph" w:customStyle="1" w:styleId="paragraphsub">
    <w:name w:val="paragraph(sub)"/>
    <w:aliases w:val="aa"/>
    <w:basedOn w:val="Normal"/>
    <w:rsid w:val="003A6C42"/>
    <w:pPr>
      <w:tabs>
        <w:tab w:val="right" w:pos="1985"/>
      </w:tabs>
      <w:spacing w:before="40" w:line="240" w:lineRule="auto"/>
      <w:ind w:left="2098" w:hanging="2098"/>
    </w:pPr>
    <w:rPr>
      <w:rFonts w:eastAsia="Times New Roman"/>
      <w:lang w:eastAsia="en-AU"/>
    </w:rPr>
  </w:style>
  <w:style w:type="paragraph" w:customStyle="1" w:styleId="paragraph">
    <w:name w:val="paragraph"/>
    <w:aliases w:val="a"/>
    <w:basedOn w:val="Normal"/>
    <w:link w:val="paragraphChar"/>
    <w:rsid w:val="003A6C42"/>
    <w:pPr>
      <w:tabs>
        <w:tab w:val="right" w:pos="1531"/>
      </w:tabs>
      <w:spacing w:before="40" w:line="240" w:lineRule="auto"/>
      <w:ind w:left="1644" w:hanging="1644"/>
    </w:pPr>
    <w:rPr>
      <w:rFonts w:eastAsia="Times New Roman"/>
      <w:lang w:eastAsia="en-AU"/>
    </w:rPr>
  </w:style>
  <w:style w:type="paragraph" w:customStyle="1" w:styleId="Tablea">
    <w:name w:val="Table(a)"/>
    <w:aliases w:val="ta"/>
    <w:basedOn w:val="Normal"/>
    <w:rsid w:val="003A6C42"/>
    <w:pPr>
      <w:spacing w:before="60" w:line="240" w:lineRule="auto"/>
      <w:ind w:left="284" w:hanging="284"/>
    </w:pPr>
    <w:rPr>
      <w:rFonts w:eastAsia="Times New Roman"/>
      <w:sz w:val="20"/>
      <w:lang w:eastAsia="en-AU"/>
    </w:rPr>
  </w:style>
  <w:style w:type="paragraph" w:customStyle="1" w:styleId="Tablei">
    <w:name w:val="Table(i)"/>
    <w:aliases w:val="taa"/>
    <w:basedOn w:val="Normal"/>
    <w:rsid w:val="003A6C42"/>
    <w:pPr>
      <w:tabs>
        <w:tab w:val="left" w:pos="-6543"/>
        <w:tab w:val="left" w:pos="-6260"/>
        <w:tab w:val="right" w:pos="970"/>
      </w:tabs>
      <w:spacing w:line="240" w:lineRule="exact"/>
      <w:ind w:left="828" w:hanging="284"/>
    </w:pPr>
    <w:rPr>
      <w:rFonts w:eastAsia="Times New Roman"/>
      <w:sz w:val="20"/>
      <w:lang w:eastAsia="en-AU"/>
    </w:rPr>
  </w:style>
  <w:style w:type="paragraph" w:customStyle="1" w:styleId="Tabletext0">
    <w:name w:val="Tabletext"/>
    <w:aliases w:val="tt"/>
    <w:basedOn w:val="Normal"/>
    <w:rsid w:val="003A6C42"/>
    <w:pPr>
      <w:spacing w:before="60" w:line="240" w:lineRule="atLeast"/>
    </w:pPr>
    <w:rPr>
      <w:rFonts w:eastAsia="Times New Roman"/>
      <w:sz w:val="20"/>
      <w:lang w:eastAsia="en-AU"/>
    </w:rPr>
  </w:style>
  <w:style w:type="paragraph" w:customStyle="1" w:styleId="notetext">
    <w:name w:val="note(text)"/>
    <w:aliases w:val="n"/>
    <w:basedOn w:val="Normal"/>
    <w:link w:val="notetextChar"/>
    <w:rsid w:val="003A6C42"/>
    <w:pPr>
      <w:spacing w:before="122" w:line="240" w:lineRule="auto"/>
      <w:ind w:left="1985" w:hanging="851"/>
    </w:pPr>
    <w:rPr>
      <w:rFonts w:eastAsia="Times New Roman"/>
      <w:sz w:val="18"/>
      <w:lang w:eastAsia="en-AU"/>
    </w:rPr>
  </w:style>
  <w:style w:type="paragraph" w:customStyle="1" w:styleId="TableHeading0">
    <w:name w:val="TableHeading"/>
    <w:aliases w:val="th"/>
    <w:basedOn w:val="Normal"/>
    <w:next w:val="Tabletext0"/>
    <w:rsid w:val="003A6C42"/>
    <w:pPr>
      <w:keepNext/>
      <w:spacing w:before="60" w:line="240" w:lineRule="atLeast"/>
    </w:pPr>
    <w:rPr>
      <w:rFonts w:eastAsia="Times New Roman"/>
      <w:b/>
      <w:sz w:val="20"/>
      <w:lang w:eastAsia="en-AU"/>
    </w:rPr>
  </w:style>
  <w:style w:type="character" w:customStyle="1" w:styleId="subsectionChar">
    <w:name w:val="subsection Char"/>
    <w:aliases w:val="ss Char"/>
    <w:link w:val="subsection"/>
    <w:locked/>
    <w:rsid w:val="003A6C42"/>
    <w:rPr>
      <w:rFonts w:ascii="Times New Roman" w:eastAsia="Times New Roman" w:hAnsi="Times New Roman"/>
      <w:sz w:val="22"/>
    </w:rPr>
  </w:style>
  <w:style w:type="character" w:customStyle="1" w:styleId="notetextChar">
    <w:name w:val="note(text) Char"/>
    <w:aliases w:val="n Char"/>
    <w:link w:val="notetext"/>
    <w:rsid w:val="003A6C42"/>
    <w:rPr>
      <w:rFonts w:ascii="Times New Roman" w:eastAsia="Times New Roman" w:hAnsi="Times New Roman"/>
      <w:sz w:val="18"/>
    </w:rPr>
  </w:style>
  <w:style w:type="character" w:customStyle="1" w:styleId="paragraphChar">
    <w:name w:val="paragraph Char"/>
    <w:aliases w:val="a Char"/>
    <w:link w:val="paragraph"/>
    <w:locked/>
    <w:rsid w:val="003A6C42"/>
    <w:rPr>
      <w:rFonts w:ascii="Times New Roman" w:eastAsia="Times New Roman" w:hAnsi="Times New Roman"/>
      <w:sz w:val="22"/>
    </w:rPr>
  </w:style>
  <w:style w:type="paragraph" w:styleId="Title">
    <w:name w:val="Title"/>
    <w:basedOn w:val="Normal"/>
    <w:link w:val="TitleChar"/>
    <w:qFormat/>
    <w:rsid w:val="001E7C2F"/>
    <w:pPr>
      <w:spacing w:line="240" w:lineRule="auto"/>
      <w:jc w:val="center"/>
    </w:pPr>
    <w:rPr>
      <w:rFonts w:ascii="Arial Rounded MT Bold" w:eastAsia="Times New Roman" w:hAnsi="Arial Rounded MT Bold"/>
      <w:b/>
      <w:sz w:val="24"/>
    </w:rPr>
  </w:style>
  <w:style w:type="character" w:customStyle="1" w:styleId="TitleChar">
    <w:name w:val="Title Char"/>
    <w:basedOn w:val="DefaultParagraphFont"/>
    <w:link w:val="Title"/>
    <w:rsid w:val="001E7C2F"/>
    <w:rPr>
      <w:rFonts w:ascii="Arial Rounded MT Bold" w:eastAsia="Times New Roman" w:hAnsi="Arial Rounded MT Bold"/>
      <w:b/>
      <w:sz w:val="24"/>
      <w:lang w:eastAsia="en-US"/>
    </w:rPr>
  </w:style>
  <w:style w:type="paragraph" w:customStyle="1" w:styleId="SubsectionHead">
    <w:name w:val="SubsectionHead"/>
    <w:aliases w:val="ssh"/>
    <w:basedOn w:val="Normal"/>
    <w:next w:val="subsection"/>
    <w:rsid w:val="002B5879"/>
    <w:pPr>
      <w:keepNext/>
      <w:keepLines/>
      <w:spacing w:before="240" w:line="240" w:lineRule="auto"/>
      <w:ind w:left="1134"/>
    </w:pPr>
    <w:rPr>
      <w:rFonts w:eastAsia="Times New Roman"/>
      <w:i/>
      <w:lang w:eastAsia="en-AU"/>
    </w:rPr>
  </w:style>
  <w:style w:type="paragraph" w:customStyle="1" w:styleId="subsection2">
    <w:name w:val="subsection2"/>
    <w:aliases w:val="ss2"/>
    <w:basedOn w:val="Normal"/>
    <w:next w:val="subsection"/>
    <w:rsid w:val="002E6CED"/>
    <w:pPr>
      <w:spacing w:before="40" w:line="240" w:lineRule="auto"/>
      <w:ind w:left="1134"/>
    </w:pPr>
    <w:rPr>
      <w:rFonts w:eastAsia="Times New Roman"/>
      <w:lang w:eastAsia="en-AU"/>
    </w:rPr>
  </w:style>
  <w:style w:type="paragraph" w:customStyle="1" w:styleId="Session">
    <w:name w:val="Session"/>
    <w:basedOn w:val="Normal"/>
    <w:rsid w:val="008F36BC"/>
    <w:pPr>
      <w:spacing w:line="240" w:lineRule="auto"/>
    </w:pPr>
    <w:rPr>
      <w:rFonts w:eastAsia="Times New Roman"/>
      <w:sz w:val="28"/>
      <w:lang w:eastAsia="en-AU"/>
    </w:rPr>
  </w:style>
  <w:style w:type="paragraph" w:customStyle="1" w:styleId="ActHead3">
    <w:name w:val="ActHead 3"/>
    <w:aliases w:val="d"/>
    <w:basedOn w:val="Normal"/>
    <w:next w:val="Normal"/>
    <w:qFormat/>
    <w:rsid w:val="00C211B3"/>
    <w:pPr>
      <w:keepNext/>
      <w:keepLines/>
      <w:spacing w:before="240" w:line="240" w:lineRule="auto"/>
      <w:ind w:left="1134" w:hanging="1134"/>
      <w:outlineLvl w:val="2"/>
    </w:pPr>
    <w:rPr>
      <w:rFonts w:eastAsia="Times New Roman"/>
      <w:b/>
      <w:kern w:val="28"/>
      <w:sz w:val="28"/>
      <w:lang w:eastAsia="en-AU"/>
    </w:rPr>
  </w:style>
  <w:style w:type="paragraph" w:customStyle="1" w:styleId="HB-Paragraph-alphpoint">
    <w:name w:val="HB - Paragraph - alph point"/>
    <w:basedOn w:val="Normal"/>
    <w:rsid w:val="00EF0CAA"/>
    <w:pPr>
      <w:numPr>
        <w:numId w:val="12"/>
      </w:numPr>
      <w:spacing w:before="120" w:line="240" w:lineRule="auto"/>
    </w:pPr>
    <w:rPr>
      <w:rFonts w:eastAsia="Times New Roman"/>
      <w:sz w:val="24"/>
      <w:lang w:eastAsia="en-AU"/>
    </w:rPr>
  </w:style>
  <w:style w:type="paragraph" w:customStyle="1" w:styleId="paragraphsub0">
    <w:name w:val="paragraphsub"/>
    <w:basedOn w:val="Normal"/>
    <w:uiPriority w:val="99"/>
    <w:semiHidden/>
    <w:rsid w:val="00EF0CAA"/>
    <w:pPr>
      <w:spacing w:before="100" w:beforeAutospacing="1" w:after="100" w:afterAutospacing="1" w:line="240" w:lineRule="auto"/>
    </w:pPr>
    <w:rPr>
      <w:sz w:val="24"/>
      <w:szCs w:val="24"/>
      <w:lang w:eastAsia="en-AU"/>
    </w:rPr>
  </w:style>
  <w:style w:type="paragraph" w:customStyle="1" w:styleId="BoxHeadItalic">
    <w:name w:val="BoxHeadItalic"/>
    <w:aliases w:val="bhi"/>
    <w:basedOn w:val="Normal"/>
    <w:next w:val="BoxStep"/>
    <w:qFormat/>
    <w:rsid w:val="00C30C38"/>
    <w:pPr>
      <w:pBdr>
        <w:top w:val="single" w:sz="6" w:space="5" w:color="auto"/>
        <w:left w:val="single" w:sz="6" w:space="5" w:color="auto"/>
        <w:bottom w:val="single" w:sz="6" w:space="5" w:color="auto"/>
        <w:right w:val="single" w:sz="6" w:space="5" w:color="auto"/>
      </w:pBdr>
      <w:spacing w:before="240" w:line="240" w:lineRule="auto"/>
      <w:ind w:left="1134"/>
    </w:pPr>
    <w:rPr>
      <w:rFonts w:eastAsia="Times New Roman"/>
      <w:i/>
      <w:lang w:eastAsia="en-AU"/>
    </w:rPr>
  </w:style>
  <w:style w:type="paragraph" w:customStyle="1" w:styleId="BoxNote">
    <w:name w:val="BoxNote"/>
    <w:aliases w:val="bn"/>
    <w:basedOn w:val="Normal"/>
    <w:qFormat/>
    <w:rsid w:val="00C30C38"/>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rFonts w:eastAsia="Times New Roman"/>
      <w:sz w:val="18"/>
      <w:lang w:eastAsia="en-AU"/>
    </w:rPr>
  </w:style>
  <w:style w:type="paragraph" w:customStyle="1" w:styleId="BoxPara">
    <w:name w:val="BoxPara"/>
    <w:aliases w:val="bp"/>
    <w:basedOn w:val="Normal"/>
    <w:qFormat/>
    <w:rsid w:val="00C30C38"/>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rPr>
      <w:rFonts w:eastAsia="Times New Roman"/>
      <w:lang w:eastAsia="en-AU"/>
    </w:rPr>
  </w:style>
  <w:style w:type="paragraph" w:customStyle="1" w:styleId="BoxStep">
    <w:name w:val="BoxStep"/>
    <w:aliases w:val="bs"/>
    <w:basedOn w:val="Normal"/>
    <w:qFormat/>
    <w:rsid w:val="00C30C38"/>
    <w:pPr>
      <w:pBdr>
        <w:top w:val="single" w:sz="6" w:space="5" w:color="auto"/>
        <w:left w:val="single" w:sz="6" w:space="5" w:color="auto"/>
        <w:bottom w:val="single" w:sz="6" w:space="5" w:color="auto"/>
        <w:right w:val="single" w:sz="6" w:space="5" w:color="auto"/>
      </w:pBdr>
      <w:spacing w:before="240" w:line="240" w:lineRule="auto"/>
      <w:ind w:left="1985" w:hanging="851"/>
    </w:pPr>
    <w:rPr>
      <w:rFonts w:eastAsia="Times New Roman"/>
      <w:lang w:eastAsia="en-AU"/>
    </w:rPr>
  </w:style>
  <w:style w:type="paragraph" w:styleId="ListParagraph">
    <w:name w:val="List Paragraph"/>
    <w:basedOn w:val="Normal"/>
    <w:uiPriority w:val="34"/>
    <w:qFormat/>
    <w:rsid w:val="004D6718"/>
    <w:pPr>
      <w:ind w:left="720"/>
      <w:contextualSpacing/>
    </w:pPr>
  </w:style>
  <w:style w:type="paragraph" w:customStyle="1" w:styleId="Normal-em">
    <w:name w:val="Normal-em"/>
    <w:basedOn w:val="Normal"/>
    <w:rsid w:val="00510484"/>
    <w:pPr>
      <w:spacing w:after="120" w:line="264" w:lineRule="auto"/>
    </w:pPr>
    <w:rPr>
      <w:rFonts w:eastAsia="Times New Roman"/>
      <w:color w:val="000000"/>
      <w:sz w:val="24"/>
    </w:rPr>
  </w:style>
  <w:style w:type="character" w:customStyle="1" w:styleId="ActHead5Char">
    <w:name w:val="ActHead 5 Char"/>
    <w:aliases w:val="s Char"/>
    <w:link w:val="ActHead5"/>
    <w:rsid w:val="00A273F8"/>
    <w:rPr>
      <w:rFonts w:ascii="Times New Roman" w:eastAsia="Times New Roman" w:hAnsi="Times New Roman"/>
      <w:b/>
      <w:kern w:val="28"/>
      <w:sz w:val="24"/>
    </w:rPr>
  </w:style>
  <w:style w:type="paragraph" w:customStyle="1" w:styleId="ActHead7">
    <w:name w:val="ActHead 7"/>
    <w:aliases w:val="ap"/>
    <w:basedOn w:val="Normal"/>
    <w:next w:val="ItemHead"/>
    <w:qFormat/>
    <w:rsid w:val="00A41041"/>
    <w:pPr>
      <w:keepNext/>
      <w:keepLines/>
      <w:spacing w:before="280" w:line="240" w:lineRule="auto"/>
      <w:ind w:left="1134" w:hanging="1134"/>
      <w:outlineLvl w:val="6"/>
    </w:pPr>
    <w:rPr>
      <w:rFonts w:ascii="Arial" w:eastAsia="Times New Roman" w:hAnsi="Arial"/>
      <w:b/>
      <w:kern w:val="28"/>
      <w:sz w:val="28"/>
      <w:lang w:eastAsia="en-AU"/>
    </w:rPr>
  </w:style>
  <w:style w:type="paragraph" w:customStyle="1" w:styleId="ActHead9">
    <w:name w:val="ActHead 9"/>
    <w:aliases w:val="aat"/>
    <w:basedOn w:val="Normal"/>
    <w:next w:val="ItemHead"/>
    <w:qFormat/>
    <w:rsid w:val="00A41041"/>
    <w:pPr>
      <w:keepNext/>
      <w:keepLines/>
      <w:spacing w:before="28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A41041"/>
    <w:pPr>
      <w:keepLines/>
      <w:spacing w:before="80" w:line="240" w:lineRule="auto"/>
      <w:ind w:left="709"/>
    </w:pPr>
    <w:rPr>
      <w:rFonts w:eastAsia="Times New Roman"/>
      <w:lang w:eastAsia="en-AU"/>
    </w:rPr>
  </w:style>
  <w:style w:type="paragraph" w:customStyle="1" w:styleId="ItemHead">
    <w:name w:val="ItemHead"/>
    <w:aliases w:val="ih"/>
    <w:basedOn w:val="Normal"/>
    <w:next w:val="Item"/>
    <w:rsid w:val="00A41041"/>
    <w:pPr>
      <w:keepNext/>
      <w:keepLines/>
      <w:spacing w:before="220" w:line="240" w:lineRule="auto"/>
      <w:ind w:left="709" w:hanging="709"/>
    </w:pPr>
    <w:rPr>
      <w:rFonts w:ascii="Arial" w:eastAsia="Times New Roman" w:hAnsi="Arial"/>
      <w:b/>
      <w:kern w:val="28"/>
      <w:sz w:val="24"/>
      <w:lang w:eastAsia="en-AU"/>
    </w:rPr>
  </w:style>
  <w:style w:type="paragraph" w:customStyle="1" w:styleId="TLPNotebullet">
    <w:name w:val="TLPNote(bullet)"/>
    <w:basedOn w:val="Normal"/>
    <w:rsid w:val="00A41041"/>
    <w:pPr>
      <w:numPr>
        <w:numId w:val="28"/>
      </w:numPr>
      <w:tabs>
        <w:tab w:val="clear" w:pos="2517"/>
        <w:tab w:val="left" w:pos="357"/>
      </w:tabs>
      <w:spacing w:before="60" w:line="198" w:lineRule="exact"/>
      <w:ind w:left="0" w:firstLine="0"/>
    </w:pPr>
    <w:rPr>
      <w:rFonts w:eastAsia="Times New Roman"/>
      <w:sz w:val="18"/>
      <w:lang w:eastAsia="en-AU"/>
    </w:rPr>
  </w:style>
  <w:style w:type="numbering" w:customStyle="1" w:styleId="NoList1">
    <w:name w:val="No List1"/>
    <w:next w:val="NoList"/>
    <w:uiPriority w:val="99"/>
    <w:semiHidden/>
    <w:unhideWhenUsed/>
    <w:rsid w:val="00EC4659"/>
  </w:style>
  <w:style w:type="paragraph" w:customStyle="1" w:styleId="FootnoteText1">
    <w:name w:val="Footnote Text1"/>
    <w:basedOn w:val="Normal"/>
    <w:next w:val="FootnoteText"/>
    <w:link w:val="FootnoteTextChar"/>
    <w:uiPriority w:val="99"/>
    <w:unhideWhenUsed/>
    <w:rsid w:val="00EC4659"/>
    <w:pPr>
      <w:spacing w:line="240" w:lineRule="auto"/>
    </w:pPr>
    <w:rPr>
      <w:rFonts w:ascii="Cambria" w:hAnsi="Cambria"/>
      <w:sz w:val="20"/>
      <w:lang w:eastAsia="en-AU"/>
    </w:rPr>
  </w:style>
  <w:style w:type="character" w:customStyle="1" w:styleId="FootnoteTextChar">
    <w:name w:val="Footnote Text Char"/>
    <w:basedOn w:val="DefaultParagraphFont"/>
    <w:link w:val="FootnoteText1"/>
    <w:uiPriority w:val="99"/>
    <w:rsid w:val="00EC4659"/>
    <w:rPr>
      <w:sz w:val="20"/>
      <w:szCs w:val="20"/>
    </w:rPr>
  </w:style>
  <w:style w:type="character" w:styleId="FootnoteReference">
    <w:name w:val="footnote reference"/>
    <w:basedOn w:val="DefaultParagraphFont"/>
    <w:uiPriority w:val="99"/>
    <w:semiHidden/>
    <w:unhideWhenUsed/>
    <w:rsid w:val="00EC4659"/>
    <w:rPr>
      <w:vertAlign w:val="superscript"/>
    </w:rPr>
  </w:style>
  <w:style w:type="table" w:customStyle="1" w:styleId="TableGrid1">
    <w:name w:val="Table Grid1"/>
    <w:basedOn w:val="TableNormal"/>
    <w:next w:val="TableGrid"/>
    <w:uiPriority w:val="59"/>
    <w:rsid w:val="00EC46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659"/>
    <w:pPr>
      <w:autoSpaceDE w:val="0"/>
      <w:autoSpaceDN w:val="0"/>
      <w:adjustRightInd w:val="0"/>
    </w:pPr>
    <w:rPr>
      <w:rFonts w:ascii="Times New Roman" w:hAnsi="Times New Roman"/>
      <w:color w:val="000000"/>
      <w:sz w:val="24"/>
      <w:szCs w:val="24"/>
      <w:lang w:eastAsia="en-US"/>
    </w:rPr>
  </w:style>
  <w:style w:type="paragraph" w:styleId="BodyText">
    <w:name w:val="Body Text"/>
    <w:basedOn w:val="Normal"/>
    <w:link w:val="BodyTextChar"/>
    <w:rsid w:val="00EC4659"/>
    <w:pPr>
      <w:spacing w:before="60" w:after="120" w:line="240" w:lineRule="auto"/>
    </w:pPr>
    <w:rPr>
      <w:rFonts w:eastAsia="Times New Roman"/>
      <w:sz w:val="24"/>
      <w:szCs w:val="24"/>
      <w:lang w:eastAsia="en-AU"/>
    </w:rPr>
  </w:style>
  <w:style w:type="character" w:customStyle="1" w:styleId="BodyTextChar">
    <w:name w:val="Body Text Char"/>
    <w:basedOn w:val="DefaultParagraphFont"/>
    <w:link w:val="BodyText"/>
    <w:rsid w:val="00EC4659"/>
    <w:rPr>
      <w:rFonts w:ascii="Times New Roman" w:eastAsia="Times New Roman" w:hAnsi="Times New Roman"/>
      <w:sz w:val="24"/>
      <w:szCs w:val="24"/>
    </w:rPr>
  </w:style>
  <w:style w:type="table" w:customStyle="1" w:styleId="TableGrid11">
    <w:name w:val="Table Grid11"/>
    <w:basedOn w:val="TableNormal"/>
    <w:next w:val="TableGrid"/>
    <w:uiPriority w:val="59"/>
    <w:rsid w:val="00EC46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46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
    <w:name w:val="Light Grid - Accent 21"/>
    <w:basedOn w:val="TableNormal"/>
    <w:next w:val="LightGrid-Accent2"/>
    <w:uiPriority w:val="62"/>
    <w:rsid w:val="00EC4659"/>
    <w:rPr>
      <w:rFonts w:ascii="Calibri" w:eastAsia="SimSun" w:hAnsi="Calibri"/>
      <w:sz w:val="24"/>
      <w:szCs w:val="24"/>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auto"/>
    </w:tcPr>
    <w:tblStylePr w:type="firstRow">
      <w:pPr>
        <w:spacing w:before="0" w:after="0" w:line="240" w:lineRule="auto"/>
      </w:pPr>
      <w:rPr>
        <w:rFonts w:ascii="Times" w:eastAsia="SimSun" w:hAnsi="Times" w:cs="Times New Roman"/>
        <w:b/>
        <w:bCs/>
      </w:rPr>
      <w:tblPr/>
      <w:tcPr>
        <w:shd w:val="clear" w:color="auto" w:fill="CD0920"/>
      </w:tcPr>
    </w:tblStylePr>
    <w:tblStylePr w:type="lastRow">
      <w:pPr>
        <w:spacing w:before="0" w:after="0" w:line="240" w:lineRule="auto"/>
      </w:pPr>
      <w:rPr>
        <w:rFonts w:ascii="Times" w:eastAsia="SimSun" w:hAnsi="Times"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w:eastAsia="SimSun" w:hAnsi="Times" w:cs="Times New Roman"/>
        <w:b/>
        <w:bCs/>
      </w:rPr>
    </w:tblStylePr>
    <w:tblStylePr w:type="lastCol">
      <w:rPr>
        <w:rFonts w:ascii="Times" w:eastAsia="SimSun" w:hAnsi="Times"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22">
    <w:name w:val="Light Grid - Accent 22"/>
    <w:basedOn w:val="TableNormal"/>
    <w:next w:val="LightGrid-Accent2"/>
    <w:uiPriority w:val="62"/>
    <w:rsid w:val="00EC4659"/>
    <w:rPr>
      <w:rFonts w:ascii="Calibri" w:hAnsi="Calibri"/>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ableName">
    <w:name w:val="TableName"/>
    <w:basedOn w:val="Normal"/>
    <w:qFormat/>
    <w:rsid w:val="00EC4659"/>
    <w:pPr>
      <w:keepNext/>
      <w:spacing w:after="120" w:line="240" w:lineRule="auto"/>
    </w:pPr>
    <w:rPr>
      <w:rFonts w:ascii="Arial" w:eastAsia="SimSun" w:hAnsi="Arial" w:cs="Arial"/>
      <w:szCs w:val="22"/>
    </w:rPr>
  </w:style>
  <w:style w:type="paragraph" w:styleId="FootnoteText">
    <w:name w:val="footnote text"/>
    <w:basedOn w:val="Normal"/>
    <w:link w:val="FootnoteTextChar1"/>
    <w:uiPriority w:val="99"/>
    <w:semiHidden/>
    <w:unhideWhenUsed/>
    <w:rsid w:val="00EC4659"/>
    <w:pPr>
      <w:spacing w:line="240" w:lineRule="auto"/>
    </w:pPr>
    <w:rPr>
      <w:sz w:val="20"/>
    </w:rPr>
  </w:style>
  <w:style w:type="character" w:customStyle="1" w:styleId="FootnoteTextChar1">
    <w:name w:val="Footnote Text Char1"/>
    <w:basedOn w:val="DefaultParagraphFont"/>
    <w:link w:val="FootnoteText"/>
    <w:uiPriority w:val="99"/>
    <w:semiHidden/>
    <w:rsid w:val="00EC4659"/>
    <w:rPr>
      <w:rFonts w:ascii="Times New Roman" w:hAnsi="Times New Roman"/>
      <w:lang w:eastAsia="en-US"/>
    </w:rPr>
  </w:style>
  <w:style w:type="table" w:styleId="LightGrid-Accent2">
    <w:name w:val="Light Grid Accent 2"/>
    <w:basedOn w:val="TableNormal"/>
    <w:uiPriority w:val="62"/>
    <w:semiHidden/>
    <w:unhideWhenUsed/>
    <w:rsid w:val="00EC46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1171">
      <w:bodyDiv w:val="1"/>
      <w:marLeft w:val="0"/>
      <w:marRight w:val="0"/>
      <w:marTop w:val="0"/>
      <w:marBottom w:val="0"/>
      <w:divBdr>
        <w:top w:val="none" w:sz="0" w:space="0" w:color="auto"/>
        <w:left w:val="none" w:sz="0" w:space="0" w:color="auto"/>
        <w:bottom w:val="none" w:sz="0" w:space="0" w:color="auto"/>
        <w:right w:val="none" w:sz="0" w:space="0" w:color="auto"/>
      </w:divBdr>
    </w:div>
    <w:div w:id="273749494">
      <w:bodyDiv w:val="1"/>
      <w:marLeft w:val="0"/>
      <w:marRight w:val="0"/>
      <w:marTop w:val="0"/>
      <w:marBottom w:val="0"/>
      <w:divBdr>
        <w:top w:val="none" w:sz="0" w:space="0" w:color="auto"/>
        <w:left w:val="none" w:sz="0" w:space="0" w:color="auto"/>
        <w:bottom w:val="none" w:sz="0" w:space="0" w:color="auto"/>
        <w:right w:val="none" w:sz="0" w:space="0" w:color="auto"/>
      </w:divBdr>
      <w:divsChild>
        <w:div w:id="846090703">
          <w:marLeft w:val="0"/>
          <w:marRight w:val="0"/>
          <w:marTop w:val="0"/>
          <w:marBottom w:val="0"/>
          <w:divBdr>
            <w:top w:val="none" w:sz="0" w:space="0" w:color="auto"/>
            <w:left w:val="none" w:sz="0" w:space="0" w:color="auto"/>
            <w:bottom w:val="none" w:sz="0" w:space="0" w:color="auto"/>
            <w:right w:val="none" w:sz="0" w:space="0" w:color="auto"/>
          </w:divBdr>
          <w:divsChild>
            <w:div w:id="420374346">
              <w:marLeft w:val="0"/>
              <w:marRight w:val="0"/>
              <w:marTop w:val="0"/>
              <w:marBottom w:val="0"/>
              <w:divBdr>
                <w:top w:val="none" w:sz="0" w:space="0" w:color="auto"/>
                <w:left w:val="none" w:sz="0" w:space="0" w:color="auto"/>
                <w:bottom w:val="none" w:sz="0" w:space="0" w:color="auto"/>
                <w:right w:val="none" w:sz="0" w:space="0" w:color="auto"/>
              </w:divBdr>
              <w:divsChild>
                <w:div w:id="1061054565">
                  <w:marLeft w:val="0"/>
                  <w:marRight w:val="0"/>
                  <w:marTop w:val="0"/>
                  <w:marBottom w:val="0"/>
                  <w:divBdr>
                    <w:top w:val="none" w:sz="0" w:space="0" w:color="auto"/>
                    <w:left w:val="none" w:sz="0" w:space="0" w:color="auto"/>
                    <w:bottom w:val="none" w:sz="0" w:space="0" w:color="auto"/>
                    <w:right w:val="none" w:sz="0" w:space="0" w:color="auto"/>
                  </w:divBdr>
                  <w:divsChild>
                    <w:div w:id="1075738020">
                      <w:marLeft w:val="0"/>
                      <w:marRight w:val="0"/>
                      <w:marTop w:val="0"/>
                      <w:marBottom w:val="0"/>
                      <w:divBdr>
                        <w:top w:val="none" w:sz="0" w:space="0" w:color="auto"/>
                        <w:left w:val="none" w:sz="0" w:space="0" w:color="auto"/>
                        <w:bottom w:val="none" w:sz="0" w:space="0" w:color="auto"/>
                        <w:right w:val="none" w:sz="0" w:space="0" w:color="auto"/>
                      </w:divBdr>
                      <w:divsChild>
                        <w:div w:id="926579132">
                          <w:marLeft w:val="0"/>
                          <w:marRight w:val="0"/>
                          <w:marTop w:val="0"/>
                          <w:marBottom w:val="0"/>
                          <w:divBdr>
                            <w:top w:val="none" w:sz="0" w:space="0" w:color="auto"/>
                            <w:left w:val="none" w:sz="0" w:space="0" w:color="auto"/>
                            <w:bottom w:val="none" w:sz="0" w:space="0" w:color="auto"/>
                            <w:right w:val="none" w:sz="0" w:space="0" w:color="auto"/>
                          </w:divBdr>
                          <w:divsChild>
                            <w:div w:id="319385085">
                              <w:marLeft w:val="0"/>
                              <w:marRight w:val="0"/>
                              <w:marTop w:val="0"/>
                              <w:marBottom w:val="0"/>
                              <w:divBdr>
                                <w:top w:val="none" w:sz="0" w:space="0" w:color="auto"/>
                                <w:left w:val="none" w:sz="0" w:space="0" w:color="auto"/>
                                <w:bottom w:val="none" w:sz="0" w:space="0" w:color="auto"/>
                                <w:right w:val="none" w:sz="0" w:space="0" w:color="auto"/>
                              </w:divBdr>
                              <w:divsChild>
                                <w:div w:id="1091004954">
                                  <w:marLeft w:val="0"/>
                                  <w:marRight w:val="0"/>
                                  <w:marTop w:val="0"/>
                                  <w:marBottom w:val="0"/>
                                  <w:divBdr>
                                    <w:top w:val="none" w:sz="0" w:space="0" w:color="auto"/>
                                    <w:left w:val="none" w:sz="0" w:space="0" w:color="auto"/>
                                    <w:bottom w:val="none" w:sz="0" w:space="0" w:color="auto"/>
                                    <w:right w:val="none" w:sz="0" w:space="0" w:color="auto"/>
                                  </w:divBdr>
                                  <w:divsChild>
                                    <w:div w:id="505486239">
                                      <w:marLeft w:val="0"/>
                                      <w:marRight w:val="0"/>
                                      <w:marTop w:val="0"/>
                                      <w:marBottom w:val="0"/>
                                      <w:divBdr>
                                        <w:top w:val="none" w:sz="0" w:space="0" w:color="auto"/>
                                        <w:left w:val="none" w:sz="0" w:space="0" w:color="auto"/>
                                        <w:bottom w:val="none" w:sz="0" w:space="0" w:color="auto"/>
                                        <w:right w:val="none" w:sz="0" w:space="0" w:color="auto"/>
                                      </w:divBdr>
                                      <w:divsChild>
                                        <w:div w:id="542714570">
                                          <w:marLeft w:val="0"/>
                                          <w:marRight w:val="0"/>
                                          <w:marTop w:val="0"/>
                                          <w:marBottom w:val="0"/>
                                          <w:divBdr>
                                            <w:top w:val="none" w:sz="0" w:space="0" w:color="auto"/>
                                            <w:left w:val="none" w:sz="0" w:space="0" w:color="auto"/>
                                            <w:bottom w:val="none" w:sz="0" w:space="0" w:color="auto"/>
                                            <w:right w:val="none" w:sz="0" w:space="0" w:color="auto"/>
                                          </w:divBdr>
                                          <w:divsChild>
                                            <w:div w:id="2025207773">
                                              <w:marLeft w:val="0"/>
                                              <w:marRight w:val="0"/>
                                              <w:marTop w:val="0"/>
                                              <w:marBottom w:val="0"/>
                                              <w:divBdr>
                                                <w:top w:val="none" w:sz="0" w:space="0" w:color="auto"/>
                                                <w:left w:val="none" w:sz="0" w:space="0" w:color="auto"/>
                                                <w:bottom w:val="none" w:sz="0" w:space="0" w:color="auto"/>
                                                <w:right w:val="none" w:sz="0" w:space="0" w:color="auto"/>
                                              </w:divBdr>
                                              <w:divsChild>
                                                <w:div w:id="1449466258">
                                                  <w:marLeft w:val="0"/>
                                                  <w:marRight w:val="0"/>
                                                  <w:marTop w:val="0"/>
                                                  <w:marBottom w:val="0"/>
                                                  <w:divBdr>
                                                    <w:top w:val="none" w:sz="0" w:space="0" w:color="auto"/>
                                                    <w:left w:val="none" w:sz="0" w:space="0" w:color="auto"/>
                                                    <w:bottom w:val="none" w:sz="0" w:space="0" w:color="auto"/>
                                                    <w:right w:val="none" w:sz="0" w:space="0" w:color="auto"/>
                                                  </w:divBdr>
                                                  <w:divsChild>
                                                    <w:div w:id="1821848085">
                                                      <w:marLeft w:val="0"/>
                                                      <w:marRight w:val="0"/>
                                                      <w:marTop w:val="0"/>
                                                      <w:marBottom w:val="0"/>
                                                      <w:divBdr>
                                                        <w:top w:val="none" w:sz="0" w:space="0" w:color="auto"/>
                                                        <w:left w:val="none" w:sz="0" w:space="0" w:color="auto"/>
                                                        <w:bottom w:val="none" w:sz="0" w:space="0" w:color="auto"/>
                                                        <w:right w:val="none" w:sz="0" w:space="0" w:color="auto"/>
                                                      </w:divBdr>
                                                      <w:divsChild>
                                                        <w:div w:id="13923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433155">
      <w:bodyDiv w:val="1"/>
      <w:marLeft w:val="0"/>
      <w:marRight w:val="0"/>
      <w:marTop w:val="0"/>
      <w:marBottom w:val="0"/>
      <w:divBdr>
        <w:top w:val="none" w:sz="0" w:space="0" w:color="auto"/>
        <w:left w:val="none" w:sz="0" w:space="0" w:color="auto"/>
        <w:bottom w:val="none" w:sz="0" w:space="0" w:color="auto"/>
        <w:right w:val="none" w:sz="0" w:space="0" w:color="auto"/>
      </w:divBdr>
    </w:div>
    <w:div w:id="983773235">
      <w:bodyDiv w:val="1"/>
      <w:marLeft w:val="0"/>
      <w:marRight w:val="0"/>
      <w:marTop w:val="0"/>
      <w:marBottom w:val="0"/>
      <w:divBdr>
        <w:top w:val="none" w:sz="0" w:space="0" w:color="auto"/>
        <w:left w:val="none" w:sz="0" w:space="0" w:color="auto"/>
        <w:bottom w:val="none" w:sz="0" w:space="0" w:color="auto"/>
        <w:right w:val="none" w:sz="0" w:space="0" w:color="auto"/>
      </w:divBdr>
    </w:div>
    <w:div w:id="1369069501">
      <w:bodyDiv w:val="1"/>
      <w:marLeft w:val="0"/>
      <w:marRight w:val="0"/>
      <w:marTop w:val="0"/>
      <w:marBottom w:val="0"/>
      <w:divBdr>
        <w:top w:val="none" w:sz="0" w:space="0" w:color="auto"/>
        <w:left w:val="none" w:sz="0" w:space="0" w:color="auto"/>
        <w:bottom w:val="none" w:sz="0" w:space="0" w:color="auto"/>
        <w:right w:val="none" w:sz="0" w:space="0" w:color="auto"/>
      </w:divBdr>
    </w:div>
    <w:div w:id="187041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 TargetMode="External"/><Relationship Id="rId13" Type="http://schemas.openxmlformats.org/officeDocument/2006/relationships/hyperlink" Target="http://www.austlii.edu.au" TargetMode="External"/><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ustlii.edu.au" TargetMode="External"/><Relationship Id="rId17" Type="http://schemas.openxmlformats.org/officeDocument/2006/relationships/image" Target="media/image2.wmf"/><Relationship Id="rId25" Type="http://schemas.openxmlformats.org/officeDocument/2006/relationships/oleObject" Target="embeddings/oleObject3.bin"/><Relationship Id="rId33" Type="http://schemas.openxmlformats.org/officeDocument/2006/relationships/image" Target="media/image12.jpeg"/><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 TargetMode="External"/><Relationship Id="rId24" Type="http://schemas.openxmlformats.org/officeDocument/2006/relationships/image" Target="media/image8.wmf"/><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3.png"/><Relationship Id="rId10" Type="http://schemas.openxmlformats.org/officeDocument/2006/relationships/hyperlink" Target="https://eurlex.europa.eu" TargetMode="External"/><Relationship Id="rId19" Type="http://schemas.openxmlformats.org/officeDocument/2006/relationships/image" Target="media/image3.wmf"/><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s://eurlex.europa.eu" TargetMode="External"/><Relationship Id="rId14" Type="http://schemas.openxmlformats.org/officeDocument/2006/relationships/hyperlink" Target="http://www.usitc.gov" TargetMode="Externa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to.org/english/thewto_e/whatis_e/tif_e/agrm3_e.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15C6F17CC49D695ADCB716B2034F2"/>
        <w:category>
          <w:name w:val="General"/>
          <w:gallery w:val="placeholder"/>
        </w:category>
        <w:types>
          <w:type w:val="bbPlcHdr"/>
        </w:types>
        <w:behaviors>
          <w:behavior w:val="content"/>
        </w:behaviors>
        <w:guid w:val="{702AE956-2ED5-42A6-B174-615B738B8370}"/>
      </w:docPartPr>
      <w:docPartBody>
        <w:p w:rsidR="00F90E25" w:rsidRDefault="00D452BA" w:rsidP="00D452BA">
          <w:pPr>
            <w:pStyle w:val="EAB15C6F17CC49D695ADCB716B2034F2"/>
          </w:pPr>
          <w:r w:rsidRPr="004A1156">
            <w:rPr>
              <w:rStyle w:val="PlaceholderText"/>
            </w:rPr>
            <w:t>Click here to enter text.</w:t>
          </w:r>
        </w:p>
      </w:docPartBody>
    </w:docPart>
    <w:docPart>
      <w:docPartPr>
        <w:name w:val="0516FA184A6E43F084FACFDD7B8213D9"/>
        <w:category>
          <w:name w:val="General"/>
          <w:gallery w:val="placeholder"/>
        </w:category>
        <w:types>
          <w:type w:val="bbPlcHdr"/>
        </w:types>
        <w:behaviors>
          <w:behavior w:val="content"/>
        </w:behaviors>
        <w:guid w:val="{1A91092A-7F47-4A15-8E21-8801D17E60E9}"/>
      </w:docPartPr>
      <w:docPartBody>
        <w:p w:rsidR="007D16FD" w:rsidRDefault="000E17E7" w:rsidP="000E17E7">
          <w:pPr>
            <w:pStyle w:val="0516FA184A6E43F084FACFDD7B8213D9"/>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BA"/>
    <w:rsid w:val="000401BD"/>
    <w:rsid w:val="000523EC"/>
    <w:rsid w:val="000578ED"/>
    <w:rsid w:val="000844D2"/>
    <w:rsid w:val="000B394C"/>
    <w:rsid w:val="000E17E7"/>
    <w:rsid w:val="00160D53"/>
    <w:rsid w:val="001C6399"/>
    <w:rsid w:val="001F784C"/>
    <w:rsid w:val="00255A62"/>
    <w:rsid w:val="002647E9"/>
    <w:rsid w:val="002E165F"/>
    <w:rsid w:val="002F7CD6"/>
    <w:rsid w:val="003E0A2F"/>
    <w:rsid w:val="00403931"/>
    <w:rsid w:val="004261B7"/>
    <w:rsid w:val="00430873"/>
    <w:rsid w:val="004D6243"/>
    <w:rsid w:val="004D7335"/>
    <w:rsid w:val="00595991"/>
    <w:rsid w:val="005B7770"/>
    <w:rsid w:val="005C16EE"/>
    <w:rsid w:val="00630207"/>
    <w:rsid w:val="0063495B"/>
    <w:rsid w:val="00655CD8"/>
    <w:rsid w:val="00697B7D"/>
    <w:rsid w:val="006B30F1"/>
    <w:rsid w:val="006D747D"/>
    <w:rsid w:val="00766D25"/>
    <w:rsid w:val="007A615A"/>
    <w:rsid w:val="007D16FD"/>
    <w:rsid w:val="00804520"/>
    <w:rsid w:val="0082247E"/>
    <w:rsid w:val="008254FD"/>
    <w:rsid w:val="0084446B"/>
    <w:rsid w:val="00866C64"/>
    <w:rsid w:val="00927129"/>
    <w:rsid w:val="009F49B4"/>
    <w:rsid w:val="00A32954"/>
    <w:rsid w:val="00A43F9B"/>
    <w:rsid w:val="00AE5FEB"/>
    <w:rsid w:val="00C83743"/>
    <w:rsid w:val="00CA3307"/>
    <w:rsid w:val="00D32778"/>
    <w:rsid w:val="00D452BA"/>
    <w:rsid w:val="00DE2525"/>
    <w:rsid w:val="00E168FE"/>
    <w:rsid w:val="00EB5B91"/>
    <w:rsid w:val="00F90E25"/>
    <w:rsid w:val="00FA6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7E7"/>
    <w:rPr>
      <w:color w:val="808080"/>
    </w:rPr>
  </w:style>
  <w:style w:type="paragraph" w:customStyle="1" w:styleId="EAB15C6F17CC49D695ADCB716B2034F2">
    <w:name w:val="EAB15C6F17CC49D695ADCB716B2034F2"/>
    <w:rsid w:val="00D452BA"/>
  </w:style>
  <w:style w:type="paragraph" w:customStyle="1" w:styleId="0516FA184A6E43F084FACFDD7B8213D9">
    <w:name w:val="0516FA184A6E43F084FACFDD7B8213D9"/>
    <w:rsid w:val="000E1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7BE4E-4711-455A-8F59-9ED5F11D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152</Pages>
  <Words>60336</Words>
  <Characters>343921</Characters>
  <Application>Microsoft Office Word</Application>
  <DocSecurity>0</DocSecurity>
  <Lines>2866</Lines>
  <Paragraphs>806</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403451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Donkersley, James</dc:creator>
  <cp:keywords/>
  <dc:description/>
  <cp:lastModifiedBy>Gibbons, Damien</cp:lastModifiedBy>
  <cp:revision>9</cp:revision>
  <cp:lastPrinted>2017-02-02T05:13:00Z</cp:lastPrinted>
  <dcterms:created xsi:type="dcterms:W3CDTF">2019-12-13T03:43:00Z</dcterms:created>
  <dcterms:modified xsi:type="dcterms:W3CDTF">2019-12-17T02:49:00Z</dcterms:modified>
</cp:coreProperties>
</file>