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906C4" w14:textId="77777777" w:rsidR="00BC2A36" w:rsidRPr="00BC2A36" w:rsidRDefault="00BC2A36" w:rsidP="00BC2A36">
      <w:pPr>
        <w:shd w:val="clear" w:color="auto" w:fill="FFFFFF"/>
        <w:spacing w:before="240" w:after="360" w:line="285" w:lineRule="atLeast"/>
        <w:ind w:right="3"/>
        <w:jc w:val="center"/>
        <w:outlineLvl w:val="0"/>
        <w:rPr>
          <w:rFonts w:asciiTheme="minorHAnsi" w:eastAsia="Times New Roman" w:hAnsiTheme="minorHAnsi" w:cstheme="minorHAnsi"/>
          <w:b/>
          <w:bCs/>
          <w:caps/>
          <w:color w:val="000000"/>
          <w:kern w:val="36"/>
          <w:lang w:eastAsia="en-AU"/>
        </w:rPr>
      </w:pPr>
      <w:bookmarkStart w:id="0" w:name="_GoBack"/>
      <w:bookmarkEnd w:id="0"/>
      <w:r w:rsidRPr="00BC2A36">
        <w:rPr>
          <w:rFonts w:asciiTheme="minorHAnsi" w:eastAsia="Times New Roman" w:hAnsiTheme="minorHAnsi" w:cstheme="minorHAnsi"/>
          <w:b/>
          <w:bCs/>
          <w:caps/>
          <w:color w:val="000000"/>
          <w:kern w:val="36"/>
          <w:lang w:eastAsia="en-AU"/>
        </w:rPr>
        <w:t>EXPLANATORY STATEMENT</w:t>
      </w:r>
    </w:p>
    <w:p w14:paraId="13F5910A" w14:textId="1DB25666" w:rsidR="00BB6611" w:rsidRDefault="006D796E" w:rsidP="00BC2A36">
      <w:pPr>
        <w:shd w:val="clear" w:color="auto" w:fill="FFFFFF"/>
        <w:spacing w:before="0" w:after="240"/>
        <w:jc w:val="center"/>
        <w:rPr>
          <w:rStyle w:val="Emphasis"/>
          <w:rFonts w:asciiTheme="minorHAnsi" w:hAnsiTheme="minorHAnsi" w:cstheme="minorHAnsi"/>
          <w:color w:val="2D2D2D"/>
          <w:shd w:val="clear" w:color="auto" w:fill="FFFFFF"/>
        </w:rPr>
      </w:pPr>
      <w:r>
        <w:rPr>
          <w:rStyle w:val="Emphasis"/>
          <w:rFonts w:asciiTheme="minorHAnsi" w:hAnsiTheme="minorHAnsi" w:cstheme="minorHAnsi"/>
          <w:color w:val="2D2D2D"/>
          <w:shd w:val="clear" w:color="auto" w:fill="FFFFFF"/>
        </w:rPr>
        <w:t>Consumer Goods (Miniature Motorbikes) Safety Standard 2019</w:t>
      </w:r>
    </w:p>
    <w:p w14:paraId="4EC9DC36" w14:textId="77777777" w:rsidR="00BB6611" w:rsidRDefault="00BB6611" w:rsidP="00BB6611">
      <w:pPr>
        <w:shd w:val="clear" w:color="auto" w:fill="FFFFFF"/>
        <w:spacing w:before="0" w:after="240"/>
        <w:rPr>
          <w:rStyle w:val="Emphasis"/>
          <w:rFonts w:asciiTheme="minorHAnsi" w:hAnsiTheme="minorHAnsi" w:cstheme="minorHAnsi"/>
          <w:b/>
          <w:i w:val="0"/>
          <w:color w:val="2D2D2D"/>
          <w:shd w:val="clear" w:color="auto" w:fill="FFFFFF"/>
        </w:rPr>
      </w:pPr>
      <w:r>
        <w:rPr>
          <w:rStyle w:val="Emphasis"/>
          <w:rFonts w:asciiTheme="minorHAnsi" w:hAnsiTheme="minorHAnsi" w:cstheme="minorHAnsi"/>
          <w:b/>
          <w:i w:val="0"/>
          <w:color w:val="2D2D2D"/>
          <w:shd w:val="clear" w:color="auto" w:fill="FFFFFF"/>
        </w:rPr>
        <w:t>Overview</w:t>
      </w:r>
    </w:p>
    <w:p w14:paraId="5451DD56" w14:textId="0FD9B19A" w:rsidR="0028169B" w:rsidRDefault="00BB6611" w:rsidP="00FC020D">
      <w:pPr>
        <w:rPr>
          <w:lang w:val="en-GB"/>
        </w:rPr>
      </w:pPr>
      <w:r w:rsidRPr="00281976">
        <w:rPr>
          <w:lang w:val="en-GB"/>
        </w:rPr>
        <w:t>The</w:t>
      </w:r>
      <w:r w:rsidR="00F50677" w:rsidRPr="00281976">
        <w:rPr>
          <w:lang w:val="en-GB"/>
        </w:rPr>
        <w:t xml:space="preserve"> </w:t>
      </w:r>
      <w:r w:rsidR="009E3546">
        <w:rPr>
          <w:lang w:val="en-GB"/>
        </w:rPr>
        <w:t xml:space="preserve">Minister for Housing and </w:t>
      </w:r>
      <w:r w:rsidR="0028253B" w:rsidRPr="00281976">
        <w:rPr>
          <w:lang w:val="en-GB"/>
        </w:rPr>
        <w:t>Assistant Treasurer</w:t>
      </w:r>
      <w:r w:rsidR="00281976" w:rsidRPr="00281976">
        <w:rPr>
          <w:lang w:val="en-GB"/>
        </w:rPr>
        <w:t xml:space="preserve"> </w:t>
      </w:r>
      <w:r w:rsidR="00603408" w:rsidRPr="00281976">
        <w:rPr>
          <w:rFonts w:cs="Arial"/>
          <w:lang w:val="en-GB"/>
        </w:rPr>
        <w:t xml:space="preserve">(the Minister) </w:t>
      </w:r>
      <w:r w:rsidRPr="00281976">
        <w:rPr>
          <w:lang w:val="en-GB"/>
        </w:rPr>
        <w:t>has</w:t>
      </w:r>
      <w:r w:rsidRPr="00942BC6">
        <w:rPr>
          <w:lang w:val="en-GB"/>
        </w:rPr>
        <w:t xml:space="preserve"> </w:t>
      </w:r>
      <w:r w:rsidR="00F50677">
        <w:rPr>
          <w:lang w:val="en-GB"/>
        </w:rPr>
        <w:t xml:space="preserve">made a new </w:t>
      </w:r>
      <w:r w:rsidR="00840383">
        <w:rPr>
          <w:lang w:val="en-GB"/>
        </w:rPr>
        <w:t>safety standard</w:t>
      </w:r>
      <w:r w:rsidR="00063333">
        <w:rPr>
          <w:lang w:val="en-GB"/>
        </w:rPr>
        <w:t xml:space="preserve"> to provide for the supply of safe miniature motorbikes</w:t>
      </w:r>
      <w:r w:rsidR="00D17ADE">
        <w:rPr>
          <w:lang w:val="en-GB"/>
        </w:rPr>
        <w:t xml:space="preserve"> </w:t>
      </w:r>
      <w:r w:rsidR="00CA55C4">
        <w:rPr>
          <w:lang w:val="en-GB"/>
        </w:rPr>
        <w:t xml:space="preserve">pursuant to </w:t>
      </w:r>
      <w:r w:rsidR="00FC020D">
        <w:rPr>
          <w:lang w:val="en-GB"/>
        </w:rPr>
        <w:t>sub</w:t>
      </w:r>
      <w:r w:rsidR="00CA55C4">
        <w:rPr>
          <w:lang w:val="en-GB"/>
        </w:rPr>
        <w:t>section</w:t>
      </w:r>
      <w:r w:rsidR="00FC020D">
        <w:rPr>
          <w:lang w:val="en-GB"/>
        </w:rPr>
        <w:t>s</w:t>
      </w:r>
      <w:r w:rsidR="00CA55C4">
        <w:rPr>
          <w:lang w:val="en-GB"/>
        </w:rPr>
        <w:t xml:space="preserve"> </w:t>
      </w:r>
      <w:r w:rsidR="00D17ADE">
        <w:rPr>
          <w:lang w:val="en-GB"/>
        </w:rPr>
        <w:t>117(a) and</w:t>
      </w:r>
      <w:r w:rsidR="00840383">
        <w:rPr>
          <w:lang w:val="en-GB"/>
        </w:rPr>
        <w:t xml:space="preserve"> 104</w:t>
      </w:r>
      <w:r w:rsidR="00CA55C4">
        <w:rPr>
          <w:lang w:val="en-GB"/>
        </w:rPr>
        <w:t xml:space="preserve"> </w:t>
      </w:r>
      <w:r w:rsidR="00CA55C4" w:rsidRPr="00942BC6">
        <w:rPr>
          <w:lang w:val="en-GB"/>
        </w:rPr>
        <w:t xml:space="preserve">of the Australian Consumer Law, which is Schedule 2 of the </w:t>
      </w:r>
      <w:r w:rsidR="00CA55C4" w:rsidRPr="00AE6841">
        <w:rPr>
          <w:i/>
          <w:lang w:val="en-GB"/>
        </w:rPr>
        <w:t xml:space="preserve">Competition and Consumer Act 2010 </w:t>
      </w:r>
      <w:r w:rsidR="00CA55C4" w:rsidRPr="00EA632A">
        <w:rPr>
          <w:lang w:val="en-GB"/>
        </w:rPr>
        <w:t>(Cth).</w:t>
      </w:r>
      <w:r w:rsidR="0028169B">
        <w:rPr>
          <w:lang w:val="en-GB"/>
        </w:rPr>
        <w:t xml:space="preserve"> The new safety standard revokes the Consumer Protection Notice No. 24 of 2011, which banned the supply of miniature motorbikes with unsafe design features.</w:t>
      </w:r>
      <w:r w:rsidR="00C94B9A">
        <w:rPr>
          <w:lang w:val="en-GB"/>
        </w:rPr>
        <w:t xml:space="preserve"> </w:t>
      </w:r>
      <w:r w:rsidR="00341AAD">
        <w:rPr>
          <w:lang w:val="en-GB"/>
        </w:rPr>
        <w:t>T</w:t>
      </w:r>
      <w:r w:rsidR="00C94B9A">
        <w:rPr>
          <w:lang w:val="en-GB"/>
        </w:rPr>
        <w:t xml:space="preserve">he safety standard, </w:t>
      </w:r>
      <w:r w:rsidR="00341AAD">
        <w:rPr>
          <w:lang w:val="en-GB"/>
        </w:rPr>
        <w:t xml:space="preserve">like </w:t>
      </w:r>
      <w:r w:rsidR="00C94B9A">
        <w:rPr>
          <w:lang w:val="en-GB"/>
        </w:rPr>
        <w:t>the ban</w:t>
      </w:r>
      <w:r w:rsidR="00341AAD">
        <w:rPr>
          <w:lang w:val="en-GB"/>
        </w:rPr>
        <w:t xml:space="preserve">, </w:t>
      </w:r>
      <w:r w:rsidR="00C94B9A">
        <w:rPr>
          <w:lang w:val="en-GB"/>
        </w:rPr>
        <w:t>permit</w:t>
      </w:r>
      <w:r w:rsidR="00341AAD">
        <w:rPr>
          <w:lang w:val="en-GB"/>
        </w:rPr>
        <w:t xml:space="preserve">s </w:t>
      </w:r>
      <w:r w:rsidR="00C94B9A">
        <w:rPr>
          <w:lang w:val="en-GB"/>
        </w:rPr>
        <w:t xml:space="preserve">supply of </w:t>
      </w:r>
      <w:r w:rsidR="00341AAD">
        <w:rPr>
          <w:lang w:val="en-GB"/>
        </w:rPr>
        <w:t>only</w:t>
      </w:r>
      <w:r w:rsidR="00C94B9A">
        <w:rPr>
          <w:lang w:val="en-GB"/>
        </w:rPr>
        <w:t xml:space="preserve"> miniature motor</w:t>
      </w:r>
      <w:r w:rsidR="00341AAD">
        <w:rPr>
          <w:lang w:val="en-GB"/>
        </w:rPr>
        <w:t>bikes fitted with specific safety features</w:t>
      </w:r>
      <w:r w:rsidR="00C94B9A">
        <w:rPr>
          <w:lang w:val="en-GB"/>
        </w:rPr>
        <w:t xml:space="preserve">. </w:t>
      </w:r>
    </w:p>
    <w:p w14:paraId="68722C45" w14:textId="5058AACA" w:rsidR="00840383" w:rsidRDefault="00840383" w:rsidP="00FC020D">
      <w:pPr>
        <w:rPr>
          <w:rFonts w:cs="Arial"/>
          <w:lang w:val="en-GB"/>
        </w:rPr>
      </w:pPr>
      <w:r w:rsidRPr="000F7A89">
        <w:rPr>
          <w:rFonts w:cs="Arial"/>
          <w:lang w:val="en-GB"/>
        </w:rPr>
        <w:t xml:space="preserve">The </w:t>
      </w:r>
      <w:r w:rsidR="00D56A1C">
        <w:rPr>
          <w:rFonts w:cs="Arial"/>
          <w:lang w:val="en-GB"/>
        </w:rPr>
        <w:t xml:space="preserve">new </w:t>
      </w:r>
      <w:r w:rsidRPr="000F7A89">
        <w:rPr>
          <w:rFonts w:cs="Arial"/>
          <w:lang w:val="en-GB"/>
        </w:rPr>
        <w:t>safety standard comes into effect on the day after it is registered on the Federal Register of Legislation</w:t>
      </w:r>
      <w:r w:rsidR="005720CA">
        <w:rPr>
          <w:rFonts w:cs="Arial"/>
          <w:lang w:val="en-GB"/>
        </w:rPr>
        <w:t>. The ban is repealed on the day the</w:t>
      </w:r>
      <w:r w:rsidR="00974187">
        <w:rPr>
          <w:rFonts w:cs="Arial"/>
          <w:lang w:val="en-GB"/>
        </w:rPr>
        <w:t xml:space="preserve"> safety</w:t>
      </w:r>
      <w:r w:rsidR="005720CA">
        <w:rPr>
          <w:rFonts w:cs="Arial"/>
          <w:lang w:val="en-GB"/>
        </w:rPr>
        <w:t xml:space="preserve"> standard </w:t>
      </w:r>
      <w:r w:rsidR="007870C5">
        <w:rPr>
          <w:rFonts w:cs="Arial"/>
          <w:lang w:val="en-GB"/>
        </w:rPr>
        <w:t xml:space="preserve">comes into </w:t>
      </w:r>
      <w:r w:rsidR="005720CA">
        <w:rPr>
          <w:rFonts w:cs="Arial"/>
          <w:lang w:val="en-GB"/>
        </w:rPr>
        <w:t>effect</w:t>
      </w:r>
      <w:r w:rsidRPr="000F7A89">
        <w:rPr>
          <w:rFonts w:cs="Arial"/>
          <w:lang w:val="en-GB"/>
        </w:rPr>
        <w:t xml:space="preserve">. </w:t>
      </w:r>
      <w:r>
        <w:rPr>
          <w:rFonts w:cs="Arial"/>
          <w:lang w:val="en-GB"/>
        </w:rPr>
        <w:t>A transitional period of 12 months will apply during which s</w:t>
      </w:r>
      <w:r w:rsidRPr="000F7A89">
        <w:rPr>
          <w:rFonts w:cs="Arial"/>
          <w:lang w:val="en-GB"/>
        </w:rPr>
        <w:t xml:space="preserve">uppliers </w:t>
      </w:r>
      <w:r w:rsidR="00E048D5">
        <w:rPr>
          <w:rFonts w:cs="Arial"/>
          <w:lang w:val="en-GB"/>
        </w:rPr>
        <w:t>either may</w:t>
      </w:r>
      <w:r w:rsidR="007870C5">
        <w:rPr>
          <w:rFonts w:cs="Arial"/>
          <w:lang w:val="en-GB"/>
        </w:rPr>
        <w:t xml:space="preserve"> </w:t>
      </w:r>
      <w:r>
        <w:rPr>
          <w:rFonts w:cs="Arial"/>
          <w:lang w:val="en-GB"/>
        </w:rPr>
        <w:t xml:space="preserve">supply </w:t>
      </w:r>
      <w:r w:rsidR="00FD7D8D">
        <w:rPr>
          <w:rFonts w:cs="Arial"/>
          <w:lang w:val="en-GB"/>
        </w:rPr>
        <w:t>miniature motorbikes</w:t>
      </w:r>
      <w:r>
        <w:rPr>
          <w:rFonts w:cs="Arial"/>
          <w:lang w:val="en-GB"/>
        </w:rPr>
        <w:t xml:space="preserve"> that</w:t>
      </w:r>
      <w:r w:rsidRPr="000F7A89">
        <w:rPr>
          <w:rFonts w:cs="Arial"/>
          <w:lang w:val="en-GB"/>
        </w:rPr>
        <w:t xml:space="preserve"> </w:t>
      </w:r>
      <w:r>
        <w:rPr>
          <w:rFonts w:cs="Arial"/>
          <w:lang w:val="en-GB"/>
        </w:rPr>
        <w:t xml:space="preserve">comply with the </w:t>
      </w:r>
      <w:r w:rsidR="00133FB0">
        <w:rPr>
          <w:rFonts w:cs="Arial"/>
          <w:lang w:val="en-GB"/>
        </w:rPr>
        <w:t xml:space="preserve">new safety standard or would not have been banned under the </w:t>
      </w:r>
      <w:r>
        <w:rPr>
          <w:rFonts w:cs="Arial"/>
          <w:lang w:val="en-GB"/>
        </w:rPr>
        <w:t>ban</w:t>
      </w:r>
      <w:r w:rsidR="00133FB0">
        <w:rPr>
          <w:rFonts w:cs="Arial"/>
          <w:lang w:val="en-GB"/>
        </w:rPr>
        <w:t>.</w:t>
      </w:r>
      <w:r w:rsidR="00E048D5">
        <w:rPr>
          <w:rFonts w:cs="Arial"/>
          <w:lang w:val="en-GB"/>
        </w:rPr>
        <w:t xml:space="preserve"> At the end of the </w:t>
      </w:r>
      <w:r w:rsidR="00504B6E">
        <w:rPr>
          <w:rFonts w:cs="Arial"/>
          <w:lang w:val="en-GB"/>
        </w:rPr>
        <w:t>12-month</w:t>
      </w:r>
      <w:r>
        <w:rPr>
          <w:rFonts w:cs="Arial"/>
          <w:lang w:val="en-GB"/>
        </w:rPr>
        <w:t xml:space="preserve"> transitional period </w:t>
      </w:r>
      <w:r w:rsidRPr="006C2E1D">
        <w:rPr>
          <w:rFonts w:cs="Arial"/>
          <w:lang w:val="en-GB"/>
        </w:rPr>
        <w:t>su</w:t>
      </w:r>
      <w:r w:rsidR="00E048D5">
        <w:rPr>
          <w:rFonts w:cs="Arial"/>
          <w:lang w:val="en-GB"/>
        </w:rPr>
        <w:t>ppliers must</w:t>
      </w:r>
      <w:r w:rsidRPr="006C2E1D">
        <w:rPr>
          <w:rFonts w:cs="Arial"/>
          <w:lang w:val="en-GB"/>
        </w:rPr>
        <w:t xml:space="preserve"> comply with the new </w:t>
      </w:r>
      <w:r>
        <w:rPr>
          <w:rFonts w:cs="Arial"/>
          <w:lang w:val="en-GB"/>
        </w:rPr>
        <w:t>safety standard.</w:t>
      </w:r>
    </w:p>
    <w:p w14:paraId="2C186BA2" w14:textId="5B4899DA" w:rsidR="00504B6E" w:rsidRDefault="00504B6E" w:rsidP="00FC020D">
      <w:pPr>
        <w:rPr>
          <w:rFonts w:cs="Arial"/>
          <w:lang w:val="en-GB"/>
        </w:rPr>
      </w:pPr>
      <w:r w:rsidRPr="00504B6E">
        <w:rPr>
          <w:rFonts w:cs="Arial"/>
          <w:lang w:val="en-GB"/>
        </w:rPr>
        <w:t>In July 2010 a temporary ban on miniature motorbikes (monkey bikes) with unsafe design features was made under subsection 65C(5) of the Trade Practices Act 1974 (TPA).  The temporary ban was made following the harmonisation of State, Territory and Commonwealth product safety bans in preparation for significant change</w:t>
      </w:r>
      <w:r>
        <w:rPr>
          <w:rFonts w:cs="Arial"/>
          <w:lang w:val="en-GB"/>
        </w:rPr>
        <w:t>s to consumer law in Australia.</w:t>
      </w:r>
    </w:p>
    <w:p w14:paraId="2A9CDAB6" w14:textId="3D8718DA" w:rsidR="00B576A5" w:rsidRDefault="00FD7D8D" w:rsidP="00FD7D8D">
      <w:r w:rsidRPr="00E97A3E">
        <w:rPr>
          <w:rFonts w:eastAsia="Arial" w:cs="Arial"/>
        </w:rPr>
        <w:t>The</w:t>
      </w:r>
      <w:r w:rsidR="00504B6E">
        <w:rPr>
          <w:rFonts w:eastAsia="Arial" w:cs="Arial"/>
        </w:rPr>
        <w:t xml:space="preserve"> permanent</w:t>
      </w:r>
      <w:r w:rsidRPr="00E97A3E">
        <w:rPr>
          <w:rFonts w:eastAsia="Arial" w:cs="Arial"/>
        </w:rPr>
        <w:t xml:space="preserve"> </w:t>
      </w:r>
      <w:r>
        <w:rPr>
          <w:rFonts w:eastAsia="Arial" w:cs="Arial"/>
        </w:rPr>
        <w:t>ban</w:t>
      </w:r>
      <w:r w:rsidRPr="00E97A3E">
        <w:rPr>
          <w:rFonts w:eastAsia="Arial" w:cs="Arial"/>
        </w:rPr>
        <w:t xml:space="preserve"> was introduced in </w:t>
      </w:r>
      <w:r>
        <w:rPr>
          <w:rFonts w:eastAsia="Arial" w:cs="Arial"/>
        </w:rPr>
        <w:t>201</w:t>
      </w:r>
      <w:r w:rsidR="00186A2C">
        <w:rPr>
          <w:rFonts w:eastAsia="Arial" w:cs="Arial"/>
        </w:rPr>
        <w:t xml:space="preserve">1 </w:t>
      </w:r>
      <w:r>
        <w:t xml:space="preserve">to minimise incidents caused by poorly manufactured </w:t>
      </w:r>
      <w:r w:rsidR="00E27BC0">
        <w:t>miniature motorbikes</w:t>
      </w:r>
      <w:r>
        <w:t xml:space="preserve"> and those not supplied with basic safety features such as effective brakes, ste</w:t>
      </w:r>
      <w:r w:rsidR="00C61114">
        <w:t>ering, foot pegs and engine cut-</w:t>
      </w:r>
      <w:r>
        <w:t>out devices.</w:t>
      </w:r>
      <w:r w:rsidR="00C94B9A">
        <w:t xml:space="preserve"> Miniature motorbikes are often copies of road registerable motorbikes such as ‘chopper’, ‘sports’ or ‘moto GP’ bikes. </w:t>
      </w:r>
    </w:p>
    <w:p w14:paraId="26B855AF" w14:textId="7CD948C4" w:rsidR="00B576A5" w:rsidRDefault="00B576A5" w:rsidP="00B576A5">
      <w:pPr>
        <w:tabs>
          <w:tab w:val="left" w:pos="426"/>
        </w:tabs>
      </w:pPr>
      <w:r w:rsidRPr="00AE6FEC">
        <w:rPr>
          <w:lang w:val="en-GB"/>
        </w:rPr>
        <w:t xml:space="preserve">The </w:t>
      </w:r>
      <w:r w:rsidR="00C61114">
        <w:rPr>
          <w:lang w:val="en-GB"/>
        </w:rPr>
        <w:t>Australian Competition and Consumer Commission</w:t>
      </w:r>
      <w:r w:rsidR="00C61114">
        <w:t xml:space="preserve"> (</w:t>
      </w:r>
      <w:r w:rsidRPr="00EA632A">
        <w:rPr>
          <w:lang w:val="en-GB"/>
        </w:rPr>
        <w:t>ACCC</w:t>
      </w:r>
      <w:r w:rsidR="00C61114">
        <w:rPr>
          <w:lang w:val="en-GB"/>
        </w:rPr>
        <w:t>)</w:t>
      </w:r>
      <w:r w:rsidRPr="00AE6FEC">
        <w:rPr>
          <w:lang w:val="en-GB"/>
        </w:rPr>
        <w:t xml:space="preserve"> concluded that the</w:t>
      </w:r>
      <w:r w:rsidR="00E27BC0">
        <w:rPr>
          <w:lang w:val="en-GB"/>
        </w:rPr>
        <w:t xml:space="preserve"> </w:t>
      </w:r>
      <w:r>
        <w:t>ban was effective in reducing the supply of miniature motorbikes with unsafe design features. Market surveillance indicates that</w:t>
      </w:r>
      <w:r w:rsidR="00C94B9A">
        <w:t xml:space="preserve"> suppliers offer</w:t>
      </w:r>
      <w:r w:rsidR="00504B6E">
        <w:t xml:space="preserve"> fewer non-compliant products</w:t>
      </w:r>
      <w:r w:rsidR="00E27BC0">
        <w:t>,</w:t>
      </w:r>
      <w:r>
        <w:t xml:space="preserve"> with the last recall for</w:t>
      </w:r>
      <w:r w:rsidR="00C94B9A">
        <w:t xml:space="preserve"> a</w:t>
      </w:r>
      <w:r>
        <w:t xml:space="preserve"> miniature motorbike occurring in 2017. </w:t>
      </w:r>
    </w:p>
    <w:p w14:paraId="023F4B1F" w14:textId="7EC0BA53" w:rsidR="00B576A5" w:rsidRDefault="00C94B9A" w:rsidP="00B576A5">
      <w:pPr>
        <w:rPr>
          <w:rFonts w:eastAsia="Arial" w:cs="Arial"/>
        </w:rPr>
      </w:pPr>
      <w:r>
        <w:rPr>
          <w:rFonts w:eastAsia="Arial" w:cs="Arial"/>
        </w:rPr>
        <w:t>B</w:t>
      </w:r>
      <w:r w:rsidR="00B576A5">
        <w:rPr>
          <w:rFonts w:eastAsia="Arial" w:cs="Arial"/>
        </w:rPr>
        <w:t xml:space="preserve">etween </w:t>
      </w:r>
      <w:r w:rsidR="00B576A5">
        <w:rPr>
          <w:lang w:val="en-GB"/>
        </w:rPr>
        <w:t xml:space="preserve">2005 and 2016, </w:t>
      </w:r>
      <w:r w:rsidR="00B576A5">
        <w:rPr>
          <w:rFonts w:eastAsia="Arial" w:cs="Arial"/>
        </w:rPr>
        <w:t>fourteen Australians died from incidents involving miniature motorbikes. Eight deaths occurred in the six years before the</w:t>
      </w:r>
      <w:r>
        <w:rPr>
          <w:rFonts w:eastAsia="Arial" w:cs="Arial"/>
        </w:rPr>
        <w:t xml:space="preserve"> introduction of the</w:t>
      </w:r>
      <w:r w:rsidR="00B576A5">
        <w:rPr>
          <w:rFonts w:eastAsia="Arial" w:cs="Arial"/>
        </w:rPr>
        <w:t xml:space="preserve"> ban </w:t>
      </w:r>
      <w:r>
        <w:rPr>
          <w:rFonts w:eastAsia="Arial" w:cs="Arial"/>
        </w:rPr>
        <w:t>with</w:t>
      </w:r>
      <w:r w:rsidR="00B576A5">
        <w:rPr>
          <w:rFonts w:eastAsia="Arial" w:cs="Arial"/>
        </w:rPr>
        <w:t xml:space="preserve"> six </w:t>
      </w:r>
      <w:r w:rsidR="00504B6E">
        <w:rPr>
          <w:rFonts w:eastAsia="Arial" w:cs="Arial"/>
        </w:rPr>
        <w:t>deaths in</w:t>
      </w:r>
      <w:r w:rsidR="00B576A5">
        <w:rPr>
          <w:rFonts w:eastAsia="Arial" w:cs="Arial"/>
        </w:rPr>
        <w:t xml:space="preserve"> the following six years. </w:t>
      </w:r>
      <w:r>
        <w:rPr>
          <w:rFonts w:eastAsia="Arial" w:cs="Arial"/>
        </w:rPr>
        <w:t>D</w:t>
      </w:r>
      <w:r w:rsidR="00B576A5" w:rsidRPr="00B576A5">
        <w:rPr>
          <w:rFonts w:eastAsia="Arial" w:cs="Arial"/>
        </w:rPr>
        <w:t>ata obtained from the Victorian Injury Surveillance</w:t>
      </w:r>
      <w:r w:rsidR="00B576A5">
        <w:rPr>
          <w:rFonts w:eastAsia="Arial" w:cs="Arial"/>
        </w:rPr>
        <w:t xml:space="preserve"> Unit </w:t>
      </w:r>
      <w:r w:rsidR="00E27BC0">
        <w:rPr>
          <w:rFonts w:eastAsia="Arial" w:cs="Arial"/>
        </w:rPr>
        <w:t>(</w:t>
      </w:r>
      <w:r w:rsidR="00E27BC0" w:rsidRPr="00EA632A">
        <w:rPr>
          <w:rFonts w:eastAsia="Arial" w:cs="Arial"/>
        </w:rPr>
        <w:t>VISU</w:t>
      </w:r>
      <w:r w:rsidR="00E27BC0">
        <w:rPr>
          <w:rFonts w:eastAsia="Arial" w:cs="Arial"/>
        </w:rPr>
        <w:t xml:space="preserve">) </w:t>
      </w:r>
      <w:r w:rsidR="00B576A5" w:rsidRPr="00B576A5">
        <w:rPr>
          <w:rFonts w:eastAsia="Arial" w:cs="Arial"/>
        </w:rPr>
        <w:t>indicates</w:t>
      </w:r>
      <w:r w:rsidR="003056AB">
        <w:rPr>
          <w:rFonts w:eastAsia="Arial" w:cs="Arial"/>
        </w:rPr>
        <w:t xml:space="preserve"> that there were</w:t>
      </w:r>
      <w:r w:rsidR="00B576A5" w:rsidRPr="00B576A5">
        <w:rPr>
          <w:rFonts w:eastAsia="Arial" w:cs="Arial"/>
        </w:rPr>
        <w:t xml:space="preserve"> 418 emergency department presentations in Victoria between 2003 and 2017. Based on this data, the number of </w:t>
      </w:r>
      <w:r w:rsidR="00724FBE">
        <w:rPr>
          <w:rFonts w:eastAsia="Arial" w:cs="Arial"/>
        </w:rPr>
        <w:t xml:space="preserve">Victorian </w:t>
      </w:r>
      <w:r w:rsidR="00B576A5" w:rsidRPr="00B576A5">
        <w:rPr>
          <w:rFonts w:eastAsia="Arial" w:cs="Arial"/>
        </w:rPr>
        <w:t>cases per year decreased from an average of 39 prior to Commonwealth regulation to 21 thereafter.</w:t>
      </w:r>
    </w:p>
    <w:p w14:paraId="6D3C083F" w14:textId="5EA2A45C" w:rsidR="00B576A5" w:rsidRDefault="00B576A5" w:rsidP="00B576A5">
      <w:pPr>
        <w:tabs>
          <w:tab w:val="left" w:pos="426"/>
        </w:tabs>
      </w:pPr>
      <w:r>
        <w:t>The review identified two remaining categories through anal</w:t>
      </w:r>
      <w:r w:rsidR="00E27BC0">
        <w:t>ysis of coronial data</w:t>
      </w:r>
      <w:r>
        <w:t>:</w:t>
      </w:r>
    </w:p>
    <w:p w14:paraId="331551BF" w14:textId="73D1807C" w:rsidR="00B576A5" w:rsidRDefault="00B576A5" w:rsidP="003C49BE">
      <w:pPr>
        <w:pStyle w:val="ListParagraph"/>
        <w:numPr>
          <w:ilvl w:val="0"/>
          <w:numId w:val="38"/>
        </w:numPr>
        <w:tabs>
          <w:tab w:val="left" w:pos="426"/>
        </w:tabs>
        <w:ind w:left="714" w:hanging="357"/>
      </w:pPr>
      <w:r>
        <w:t>young ri</w:t>
      </w:r>
      <w:r w:rsidR="00690CB4">
        <w:t>ders crashing as a result of speed, inexperience, co</w:t>
      </w:r>
      <w:r w:rsidR="003C49BE">
        <w:t>gnitive development and terrain</w:t>
      </w:r>
    </w:p>
    <w:p w14:paraId="53EDE5C6" w14:textId="595A9329" w:rsidR="00B576A5" w:rsidRDefault="000A193D" w:rsidP="003C49BE">
      <w:pPr>
        <w:pStyle w:val="ListParagraph"/>
        <w:numPr>
          <w:ilvl w:val="0"/>
          <w:numId w:val="38"/>
        </w:numPr>
        <w:tabs>
          <w:tab w:val="left" w:pos="426"/>
        </w:tabs>
        <w:ind w:left="714" w:hanging="357"/>
      </w:pPr>
      <w:r>
        <w:t xml:space="preserve">deliberate </w:t>
      </w:r>
      <w:r w:rsidR="00B576A5">
        <w:t>misuse by teenagers and adults, including on public roads, where alcohol or drugs was a contributing cause.</w:t>
      </w:r>
    </w:p>
    <w:p w14:paraId="0A4F3342" w14:textId="4CF71240" w:rsidR="000B393B" w:rsidRDefault="003056AB" w:rsidP="003C49BE">
      <w:r>
        <w:t>T</w:t>
      </w:r>
      <w:r w:rsidR="00B576A5">
        <w:t xml:space="preserve">he </w:t>
      </w:r>
      <w:r w:rsidR="00C61114">
        <w:rPr>
          <w:lang w:val="en-GB"/>
        </w:rPr>
        <w:t>ACCC</w:t>
      </w:r>
      <w:r>
        <w:rPr>
          <w:lang w:val="en-GB"/>
        </w:rPr>
        <w:t xml:space="preserve"> also</w:t>
      </w:r>
      <w:r w:rsidR="00B576A5">
        <w:t xml:space="preserve"> </w:t>
      </w:r>
      <w:r w:rsidR="000B393B" w:rsidRPr="006A425E">
        <w:t>identified that electrically powered miniature motorbikes</w:t>
      </w:r>
      <w:r>
        <w:t xml:space="preserve"> are now supplied</w:t>
      </w:r>
      <w:r w:rsidR="000B393B">
        <w:t xml:space="preserve"> with the same characteristics (including top speeds) as vehicles powered by an internal combustion engine. </w:t>
      </w:r>
    </w:p>
    <w:p w14:paraId="62852951" w14:textId="77777777" w:rsidR="00F2199C" w:rsidRPr="000B393B" w:rsidRDefault="00F2199C" w:rsidP="003C49BE"/>
    <w:p w14:paraId="230AC0FD" w14:textId="310F556F" w:rsidR="00D71AE2" w:rsidRDefault="0008273E" w:rsidP="0008273E">
      <w:pPr>
        <w:rPr>
          <w:rFonts w:cs="Arial"/>
          <w:b/>
          <w:lang w:val="en-GB"/>
        </w:rPr>
      </w:pPr>
      <w:r w:rsidRPr="00942BC6">
        <w:rPr>
          <w:rFonts w:cs="Arial"/>
          <w:b/>
          <w:lang w:val="en-GB"/>
        </w:rPr>
        <w:lastRenderedPageBreak/>
        <w:t xml:space="preserve">Repealed </w:t>
      </w:r>
      <w:r w:rsidR="00E2373F">
        <w:rPr>
          <w:rFonts w:cs="Arial"/>
          <w:b/>
          <w:lang w:val="en-GB"/>
        </w:rPr>
        <w:t xml:space="preserve">permanent </w:t>
      </w:r>
      <w:r>
        <w:rPr>
          <w:rFonts w:cs="Arial"/>
          <w:b/>
          <w:lang w:val="en-GB"/>
        </w:rPr>
        <w:t>ban</w:t>
      </w:r>
    </w:p>
    <w:p w14:paraId="2ADE059F" w14:textId="5FFC90FA" w:rsidR="00603408" w:rsidRDefault="00603408" w:rsidP="0008273E">
      <w:pPr>
        <w:rPr>
          <w:lang w:val="en-GB"/>
        </w:rPr>
      </w:pPr>
      <w:r w:rsidRPr="00AE6841">
        <w:rPr>
          <w:lang w:val="en-GB"/>
        </w:rPr>
        <w:t xml:space="preserve">The </w:t>
      </w:r>
      <w:r>
        <w:rPr>
          <w:lang w:val="en-GB"/>
        </w:rPr>
        <w:t xml:space="preserve">permanent ban on miniature motorbikes (monkey bikes) with unsafe design features </w:t>
      </w:r>
      <w:r w:rsidR="001F4418">
        <w:rPr>
          <w:lang w:val="en-GB"/>
        </w:rPr>
        <w:t xml:space="preserve">was the </w:t>
      </w:r>
      <w:r>
        <w:rPr>
          <w:i/>
          <w:lang w:val="en-GB"/>
        </w:rPr>
        <w:t xml:space="preserve">Consumer </w:t>
      </w:r>
      <w:r w:rsidR="001F4418">
        <w:rPr>
          <w:i/>
          <w:lang w:val="en-GB"/>
        </w:rPr>
        <w:t>Protection Notice No 24 of 2011</w:t>
      </w:r>
      <w:r>
        <w:rPr>
          <w:i/>
          <w:lang w:val="en-GB"/>
        </w:rPr>
        <w:t xml:space="preserve"> </w:t>
      </w:r>
      <w:r>
        <w:rPr>
          <w:lang w:val="en-GB"/>
        </w:rPr>
        <w:t>(Federal Register of Legislation No F2011L01702)</w:t>
      </w:r>
      <w:r w:rsidRPr="00AE6841">
        <w:rPr>
          <w:lang w:val="en-GB"/>
        </w:rPr>
        <w:t>.</w:t>
      </w:r>
    </w:p>
    <w:p w14:paraId="7752A24E" w14:textId="5CD780E7" w:rsidR="005C6FF1" w:rsidRDefault="005C6FF1" w:rsidP="0008273E">
      <w:pPr>
        <w:rPr>
          <w:lang w:val="en-GB"/>
        </w:rPr>
      </w:pPr>
      <w:r>
        <w:rPr>
          <w:lang w:val="en-GB"/>
        </w:rPr>
        <w:t>Under subsection 33(</w:t>
      </w:r>
      <w:r w:rsidRPr="00AE6841">
        <w:rPr>
          <w:lang w:val="en-GB"/>
        </w:rPr>
        <w:t xml:space="preserve">3) of the </w:t>
      </w:r>
      <w:r w:rsidRPr="009940C9">
        <w:rPr>
          <w:i/>
          <w:lang w:val="en-GB"/>
        </w:rPr>
        <w:t>Acts Interpretation Act 1901</w:t>
      </w:r>
      <w:r w:rsidRPr="00AE6841">
        <w:rPr>
          <w:lang w:val="en-GB"/>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3496931" w14:textId="013CEC50" w:rsidR="00690CB4" w:rsidRPr="00690CB4" w:rsidRDefault="00690CB4" w:rsidP="00690CB4">
      <w:pPr>
        <w:rPr>
          <w:lang w:val="en-GB"/>
        </w:rPr>
      </w:pPr>
      <w:r w:rsidRPr="00690CB4">
        <w:rPr>
          <w:lang w:val="en-GB"/>
        </w:rPr>
        <w:t>The</w:t>
      </w:r>
      <w:r>
        <w:rPr>
          <w:lang w:val="en-GB"/>
        </w:rPr>
        <w:t xml:space="preserve"> repealed</w:t>
      </w:r>
      <w:r w:rsidRPr="00690CB4">
        <w:rPr>
          <w:lang w:val="en-GB"/>
        </w:rPr>
        <w:t xml:space="preserve"> ban </w:t>
      </w:r>
      <w:r>
        <w:rPr>
          <w:lang w:val="en-GB"/>
        </w:rPr>
        <w:t>prohibited</w:t>
      </w:r>
      <w:r w:rsidRPr="00690CB4">
        <w:rPr>
          <w:lang w:val="en-GB"/>
        </w:rPr>
        <w:t xml:space="preserve"> the supply of a min</w:t>
      </w:r>
      <w:r>
        <w:rPr>
          <w:lang w:val="en-GB"/>
        </w:rPr>
        <w:t xml:space="preserve">iature motorbike unless </w:t>
      </w:r>
      <w:r w:rsidR="00937B97">
        <w:rPr>
          <w:lang w:val="en-GB"/>
        </w:rPr>
        <w:t>it met requirements for</w:t>
      </w:r>
      <w:r w:rsidRPr="00690CB4">
        <w:rPr>
          <w:lang w:val="en-GB"/>
        </w:rPr>
        <w:t>:</w:t>
      </w:r>
    </w:p>
    <w:p w14:paraId="02554017" w14:textId="3CEFFC58" w:rsidR="00690CB4" w:rsidRPr="003C49BE" w:rsidRDefault="00690CB4" w:rsidP="003C49BE">
      <w:pPr>
        <w:pStyle w:val="ListParagraph"/>
        <w:numPr>
          <w:ilvl w:val="0"/>
          <w:numId w:val="38"/>
        </w:numPr>
        <w:tabs>
          <w:tab w:val="left" w:pos="426"/>
        </w:tabs>
        <w:ind w:left="714" w:hanging="357"/>
      </w:pPr>
      <w:r w:rsidRPr="003C49BE">
        <w:t>a self-closing throttle</w:t>
      </w:r>
    </w:p>
    <w:p w14:paraId="1B886A2E" w14:textId="636E3705" w:rsidR="00690CB4" w:rsidRPr="003C49BE" w:rsidRDefault="00690CB4" w:rsidP="003C49BE">
      <w:pPr>
        <w:pStyle w:val="ListParagraph"/>
        <w:numPr>
          <w:ilvl w:val="0"/>
          <w:numId w:val="38"/>
        </w:numPr>
        <w:tabs>
          <w:tab w:val="left" w:pos="426"/>
        </w:tabs>
        <w:ind w:left="714" w:hanging="357"/>
      </w:pPr>
      <w:r w:rsidRPr="003C49BE">
        <w:t>effective brakes</w:t>
      </w:r>
    </w:p>
    <w:p w14:paraId="5B5E268D" w14:textId="4350CCCC" w:rsidR="00690CB4" w:rsidRPr="003C49BE" w:rsidRDefault="00690CB4" w:rsidP="003C49BE">
      <w:pPr>
        <w:pStyle w:val="ListParagraph"/>
        <w:numPr>
          <w:ilvl w:val="0"/>
          <w:numId w:val="38"/>
        </w:numPr>
        <w:tabs>
          <w:tab w:val="left" w:pos="426"/>
        </w:tabs>
        <w:ind w:left="714" w:hanging="357"/>
      </w:pPr>
      <w:r w:rsidRPr="003C49BE">
        <w:t>adequate foot</w:t>
      </w:r>
      <w:r w:rsidR="00C91ECD">
        <w:t xml:space="preserve"> </w:t>
      </w:r>
      <w:r w:rsidRPr="003C49BE">
        <w:t>pegs</w:t>
      </w:r>
    </w:p>
    <w:p w14:paraId="45F9D6C6" w14:textId="7F8B2FF2" w:rsidR="00690CB4" w:rsidRPr="003C49BE" w:rsidRDefault="00690CB4" w:rsidP="003C49BE">
      <w:pPr>
        <w:pStyle w:val="ListParagraph"/>
        <w:numPr>
          <w:ilvl w:val="0"/>
          <w:numId w:val="38"/>
        </w:numPr>
        <w:tabs>
          <w:tab w:val="left" w:pos="426"/>
        </w:tabs>
        <w:ind w:left="714" w:hanging="357"/>
      </w:pPr>
      <w:r w:rsidRPr="003C49BE">
        <w:t>effective steering</w:t>
      </w:r>
    </w:p>
    <w:p w14:paraId="52790B76" w14:textId="5ADF612E" w:rsidR="00690CB4" w:rsidRPr="003C49BE" w:rsidRDefault="00690CB4" w:rsidP="003C49BE">
      <w:pPr>
        <w:pStyle w:val="ListParagraph"/>
        <w:numPr>
          <w:ilvl w:val="0"/>
          <w:numId w:val="38"/>
        </w:numPr>
        <w:tabs>
          <w:tab w:val="left" w:pos="426"/>
        </w:tabs>
        <w:ind w:left="714" w:hanging="357"/>
      </w:pPr>
      <w:r w:rsidRPr="003C49BE">
        <w:t>a supplemental engine stop.</w:t>
      </w:r>
    </w:p>
    <w:p w14:paraId="59D3C70E" w14:textId="253E9083" w:rsidR="009E2EC6" w:rsidRPr="00AE6841" w:rsidRDefault="009E2EC6" w:rsidP="009E2EC6">
      <w:pPr>
        <w:rPr>
          <w:rFonts w:cs="Arial"/>
          <w:b/>
          <w:lang w:val="en-GB"/>
        </w:rPr>
      </w:pPr>
      <w:r w:rsidRPr="00AE6841">
        <w:rPr>
          <w:rFonts w:cs="Arial"/>
          <w:b/>
          <w:lang w:val="en-GB"/>
        </w:rPr>
        <w:t xml:space="preserve">Requirements </w:t>
      </w:r>
      <w:r w:rsidR="00E2373F">
        <w:rPr>
          <w:rFonts w:cs="Arial"/>
          <w:b/>
          <w:lang w:val="en-GB"/>
        </w:rPr>
        <w:t>of the safety standard</w:t>
      </w:r>
    </w:p>
    <w:p w14:paraId="4D30E405" w14:textId="599EF43D" w:rsidR="00CF73F5" w:rsidRDefault="00026BD0" w:rsidP="00E90293">
      <w:pPr>
        <w:rPr>
          <w:lang w:val="en-GB"/>
        </w:rPr>
      </w:pPr>
      <w:r>
        <w:rPr>
          <w:lang w:val="en-GB"/>
        </w:rPr>
        <w:t>This safety standard applies to miniature motorbikes</w:t>
      </w:r>
      <w:r w:rsidR="00FA427E">
        <w:rPr>
          <w:lang w:val="en-GB"/>
        </w:rPr>
        <w:t xml:space="preserve">. The safety </w:t>
      </w:r>
      <w:r w:rsidR="00A928F5">
        <w:rPr>
          <w:lang w:val="en-GB"/>
        </w:rPr>
        <w:t xml:space="preserve">standard </w:t>
      </w:r>
      <w:r w:rsidR="00FA427E">
        <w:rPr>
          <w:lang w:val="en-GB"/>
        </w:rPr>
        <w:t>defines a miniature motorbike as</w:t>
      </w:r>
      <w:r w:rsidR="00CF73F5">
        <w:rPr>
          <w:lang w:val="en-GB"/>
        </w:rPr>
        <w:t>:</w:t>
      </w:r>
    </w:p>
    <w:p w14:paraId="68BE58B9" w14:textId="362ACA36" w:rsidR="00E90293" w:rsidRPr="00E90293" w:rsidRDefault="00E90293" w:rsidP="00E90293">
      <w:pPr>
        <w:rPr>
          <w:rFonts w:asciiTheme="minorHAnsi" w:hAnsiTheme="minorHAnsi" w:cstheme="minorHAnsi"/>
        </w:rPr>
      </w:pPr>
      <w:r w:rsidRPr="00E90293">
        <w:rPr>
          <w:rFonts w:asciiTheme="minorHAnsi" w:hAnsiTheme="minorHAnsi" w:cstheme="minorHAnsi"/>
          <w:b/>
          <w:i/>
        </w:rPr>
        <w:t>miniature motorbike</w:t>
      </w:r>
      <w:r w:rsidRPr="00E90293">
        <w:rPr>
          <w:rFonts w:asciiTheme="minorHAnsi" w:hAnsiTheme="minorHAnsi" w:cstheme="minorHAnsi"/>
        </w:rPr>
        <w:t xml:space="preserve"> (also known as a mini bike or pocket bike) means a vehicle which resembles a motorcycle but scaled down to about half the size, that:</w:t>
      </w:r>
    </w:p>
    <w:p w14:paraId="5602443A" w14:textId="608F246D" w:rsidR="00E90293" w:rsidRPr="00E90293" w:rsidRDefault="00E90293" w:rsidP="003C49BE">
      <w:pPr>
        <w:pStyle w:val="paragraph"/>
        <w:numPr>
          <w:ilvl w:val="0"/>
          <w:numId w:val="31"/>
        </w:numPr>
        <w:spacing w:before="120"/>
        <w:ind w:left="714" w:hanging="357"/>
        <w:rPr>
          <w:rFonts w:asciiTheme="minorHAnsi" w:hAnsiTheme="minorHAnsi" w:cstheme="minorHAnsi"/>
        </w:rPr>
      </w:pPr>
      <w:r w:rsidRPr="00E90293">
        <w:rPr>
          <w:rFonts w:asciiTheme="minorHAnsi" w:hAnsiTheme="minorHAnsi" w:cstheme="minorHAnsi"/>
        </w:rPr>
        <w:t>is designe</w:t>
      </w:r>
      <w:r>
        <w:rPr>
          <w:rFonts w:asciiTheme="minorHAnsi" w:hAnsiTheme="minorHAnsi" w:cstheme="minorHAnsi"/>
        </w:rPr>
        <w:t>d to be used by a single person</w:t>
      </w:r>
      <w:r w:rsidR="00476969">
        <w:rPr>
          <w:rFonts w:asciiTheme="minorHAnsi" w:hAnsiTheme="minorHAnsi" w:cstheme="minorHAnsi"/>
        </w:rPr>
        <w:t>, and</w:t>
      </w:r>
    </w:p>
    <w:p w14:paraId="245CE8B6" w14:textId="73E9EBB5" w:rsidR="00E90293" w:rsidRPr="00E90293" w:rsidRDefault="00E90293" w:rsidP="003C49BE">
      <w:pPr>
        <w:pStyle w:val="paragraph"/>
        <w:numPr>
          <w:ilvl w:val="0"/>
          <w:numId w:val="31"/>
        </w:numPr>
        <w:spacing w:before="120"/>
        <w:ind w:left="714" w:hanging="357"/>
        <w:rPr>
          <w:rFonts w:asciiTheme="minorHAnsi" w:hAnsiTheme="minorHAnsi" w:cstheme="minorHAnsi"/>
        </w:rPr>
      </w:pPr>
      <w:r w:rsidRPr="00E90293">
        <w:rPr>
          <w:rFonts w:asciiTheme="minorHAnsi" w:hAnsiTheme="minorHAnsi" w:cstheme="minorHAnsi"/>
        </w:rPr>
        <w:t>has a seat height no greater than 600 millimetres</w:t>
      </w:r>
      <w:r>
        <w:rPr>
          <w:rFonts w:asciiTheme="minorHAnsi" w:hAnsiTheme="minorHAnsi" w:cstheme="minorHAnsi"/>
        </w:rPr>
        <w:t>, and</w:t>
      </w:r>
    </w:p>
    <w:p w14:paraId="7ECD6C88" w14:textId="3E2F04EB" w:rsidR="00E90293" w:rsidRDefault="00E90293" w:rsidP="003C49BE">
      <w:pPr>
        <w:pStyle w:val="paragraph"/>
        <w:numPr>
          <w:ilvl w:val="0"/>
          <w:numId w:val="31"/>
        </w:numPr>
        <w:spacing w:before="120"/>
        <w:ind w:left="714" w:hanging="357"/>
        <w:rPr>
          <w:rFonts w:asciiTheme="minorHAnsi" w:hAnsiTheme="minorHAnsi" w:cstheme="minorHAnsi"/>
        </w:rPr>
      </w:pPr>
      <w:r w:rsidRPr="00E90293">
        <w:rPr>
          <w:rFonts w:asciiTheme="minorHAnsi" w:hAnsiTheme="minorHAnsi" w:cstheme="minorHAnsi"/>
        </w:rPr>
        <w:t>has major dimensions which are scaled down in proportion to the seat height.</w:t>
      </w:r>
    </w:p>
    <w:p w14:paraId="2AA61ED8" w14:textId="4B4A3330" w:rsidR="00FA427E" w:rsidRDefault="00FA427E" w:rsidP="003C49BE">
      <w:pPr>
        <w:rPr>
          <w:rFonts w:asciiTheme="minorHAnsi" w:hAnsiTheme="minorHAnsi" w:cstheme="minorHAnsi"/>
          <w:lang w:val="en-GB"/>
        </w:rPr>
      </w:pPr>
      <w:r w:rsidRPr="003C49BE">
        <w:rPr>
          <w:rFonts w:asciiTheme="minorHAnsi" w:hAnsiTheme="minorHAnsi" w:cstheme="minorHAnsi"/>
          <w:lang w:val="en-GB"/>
        </w:rPr>
        <w:t xml:space="preserve">This definition is consistent with the definition of a miniature motorbike in the </w:t>
      </w:r>
      <w:r w:rsidRPr="003C49BE">
        <w:rPr>
          <w:rFonts w:asciiTheme="minorHAnsi" w:hAnsiTheme="minorHAnsi" w:cstheme="minorHAnsi"/>
          <w:i/>
          <w:lang w:val="en-GB"/>
        </w:rPr>
        <w:t>Motor Vehicle Standards Act 1989</w:t>
      </w:r>
      <w:r w:rsidR="00281976">
        <w:rPr>
          <w:rFonts w:asciiTheme="minorHAnsi" w:hAnsiTheme="minorHAnsi" w:cstheme="minorHAnsi"/>
          <w:i/>
          <w:lang w:val="en-GB"/>
        </w:rPr>
        <w:t xml:space="preserve"> </w:t>
      </w:r>
      <w:r w:rsidR="00281976" w:rsidRPr="00281976">
        <w:rPr>
          <w:rFonts w:asciiTheme="minorHAnsi" w:hAnsiTheme="minorHAnsi" w:cstheme="minorHAnsi"/>
          <w:lang w:val="en-GB"/>
        </w:rPr>
        <w:t>(Cth)</w:t>
      </w:r>
      <w:r w:rsidRPr="00281976">
        <w:rPr>
          <w:rFonts w:asciiTheme="minorHAnsi" w:hAnsiTheme="minorHAnsi" w:cstheme="minorHAnsi"/>
          <w:lang w:val="en-GB"/>
        </w:rPr>
        <w:t>.</w:t>
      </w:r>
      <w:r w:rsidR="00063333">
        <w:rPr>
          <w:rFonts w:asciiTheme="minorHAnsi" w:hAnsiTheme="minorHAnsi" w:cstheme="minorHAnsi"/>
          <w:lang w:val="en-GB"/>
        </w:rPr>
        <w:t xml:space="preserve"> </w:t>
      </w:r>
    </w:p>
    <w:p w14:paraId="789AA00F" w14:textId="07332ECD" w:rsidR="00063333" w:rsidRPr="00063333" w:rsidRDefault="00063333" w:rsidP="003C49BE">
      <w:pPr>
        <w:rPr>
          <w:rFonts w:asciiTheme="minorHAnsi" w:hAnsiTheme="minorHAnsi" w:cstheme="minorHAnsi"/>
          <w:lang w:val="en-GB"/>
        </w:rPr>
      </w:pPr>
      <w:r>
        <w:rPr>
          <w:rFonts w:asciiTheme="minorHAnsi" w:hAnsiTheme="minorHAnsi" w:cstheme="minorHAnsi"/>
          <w:b/>
          <w:i/>
          <w:lang w:val="en-GB"/>
        </w:rPr>
        <w:t xml:space="preserve">Motorcycle </w:t>
      </w:r>
      <w:r>
        <w:rPr>
          <w:rFonts w:asciiTheme="minorHAnsi" w:hAnsiTheme="minorHAnsi" w:cstheme="minorHAnsi"/>
          <w:lang w:val="en-GB"/>
        </w:rPr>
        <w:t xml:space="preserve">is defined in the </w:t>
      </w:r>
      <w:r w:rsidRPr="00063333">
        <w:rPr>
          <w:rFonts w:asciiTheme="minorHAnsi" w:hAnsiTheme="minorHAnsi" w:cstheme="minorHAnsi"/>
          <w:lang w:val="en-GB"/>
        </w:rPr>
        <w:t>Vehicle Standard (Australian Design Rule - Definitions and Vehicle Categories) 2005</w:t>
      </w:r>
      <w:r>
        <w:rPr>
          <w:rFonts w:asciiTheme="minorHAnsi" w:hAnsiTheme="minorHAnsi" w:cstheme="minorHAnsi"/>
          <w:lang w:val="en-GB"/>
        </w:rPr>
        <w:t xml:space="preserve"> made under the </w:t>
      </w:r>
      <w:r w:rsidRPr="004453CA">
        <w:rPr>
          <w:rFonts w:asciiTheme="minorHAnsi" w:hAnsiTheme="minorHAnsi" w:cstheme="minorHAnsi"/>
          <w:i/>
          <w:lang w:val="en-GB"/>
        </w:rPr>
        <w:t>Motor Vehicle Standards Act 1989</w:t>
      </w:r>
      <w:r>
        <w:rPr>
          <w:rFonts w:asciiTheme="minorHAnsi" w:hAnsiTheme="minorHAnsi" w:cstheme="minorHAnsi"/>
          <w:i/>
          <w:lang w:val="en-GB"/>
        </w:rPr>
        <w:t xml:space="preserve"> </w:t>
      </w:r>
      <w:r w:rsidR="00825DED">
        <w:rPr>
          <w:rFonts w:asciiTheme="minorHAnsi" w:hAnsiTheme="minorHAnsi" w:cstheme="minorHAnsi"/>
          <w:lang w:val="en-GB"/>
        </w:rPr>
        <w:t>(Cth</w:t>
      </w:r>
      <w:r>
        <w:rPr>
          <w:rFonts w:asciiTheme="minorHAnsi" w:hAnsiTheme="minorHAnsi" w:cstheme="minorHAnsi"/>
          <w:lang w:val="en-GB"/>
        </w:rPr>
        <w:t>)</w:t>
      </w:r>
      <w:r w:rsidR="00825DED">
        <w:rPr>
          <w:rFonts w:asciiTheme="minorHAnsi" w:hAnsiTheme="minorHAnsi" w:cstheme="minorHAnsi"/>
          <w:lang w:val="en-GB"/>
        </w:rPr>
        <w:t>.</w:t>
      </w:r>
    </w:p>
    <w:p w14:paraId="46B3211B" w14:textId="4DCB8AE7" w:rsidR="00FA427E" w:rsidRPr="003C49BE" w:rsidRDefault="00FA427E" w:rsidP="003C49BE">
      <w:pPr>
        <w:rPr>
          <w:rFonts w:asciiTheme="minorHAnsi" w:hAnsiTheme="minorHAnsi" w:cstheme="minorHAnsi"/>
          <w:lang w:val="en-GB"/>
        </w:rPr>
      </w:pPr>
      <w:r w:rsidRPr="003C49BE">
        <w:rPr>
          <w:rFonts w:asciiTheme="minorHAnsi" w:hAnsiTheme="minorHAnsi" w:cstheme="minorHAnsi"/>
          <w:lang w:val="en-GB"/>
        </w:rPr>
        <w:t>The safety standard maintains those requirements specified in the</w:t>
      </w:r>
      <w:r w:rsidR="003056AB">
        <w:rPr>
          <w:rFonts w:asciiTheme="minorHAnsi" w:hAnsiTheme="minorHAnsi" w:cstheme="minorHAnsi"/>
          <w:lang w:val="en-GB"/>
        </w:rPr>
        <w:t xml:space="preserve"> </w:t>
      </w:r>
      <w:r w:rsidR="003056AB">
        <w:rPr>
          <w:lang w:val="en-GB"/>
        </w:rPr>
        <w:t>Consumer Protection Notice No. 24 of 2011</w:t>
      </w:r>
      <w:r w:rsidRPr="003C49BE">
        <w:rPr>
          <w:rFonts w:asciiTheme="minorHAnsi" w:hAnsiTheme="minorHAnsi" w:cstheme="minorHAnsi"/>
          <w:lang w:val="en-GB"/>
        </w:rPr>
        <w:t xml:space="preserve"> </w:t>
      </w:r>
      <w:r w:rsidR="003056AB">
        <w:rPr>
          <w:rFonts w:asciiTheme="minorHAnsi" w:hAnsiTheme="minorHAnsi" w:cstheme="minorHAnsi"/>
          <w:lang w:val="en-GB"/>
        </w:rPr>
        <w:t>and</w:t>
      </w:r>
      <w:r w:rsidRPr="003C49BE">
        <w:rPr>
          <w:rFonts w:asciiTheme="minorHAnsi" w:hAnsiTheme="minorHAnsi" w:cstheme="minorHAnsi"/>
          <w:lang w:val="en-GB"/>
        </w:rPr>
        <w:t xml:space="preserve"> introduces new requirements </w:t>
      </w:r>
      <w:r w:rsidR="003056AB">
        <w:rPr>
          <w:rFonts w:asciiTheme="minorHAnsi" w:hAnsiTheme="minorHAnsi" w:cstheme="minorHAnsi"/>
          <w:lang w:val="en-GB"/>
        </w:rPr>
        <w:t xml:space="preserve">including </w:t>
      </w:r>
      <w:r w:rsidRPr="003C49BE">
        <w:rPr>
          <w:rFonts w:asciiTheme="minorHAnsi" w:hAnsiTheme="minorHAnsi" w:cstheme="minorHAnsi"/>
          <w:lang w:val="en-GB"/>
        </w:rPr>
        <w:t xml:space="preserve">a </w:t>
      </w:r>
      <w:r w:rsidR="003056AB" w:rsidRPr="003C49BE">
        <w:rPr>
          <w:rFonts w:asciiTheme="minorHAnsi" w:hAnsiTheme="minorHAnsi" w:cstheme="minorHAnsi"/>
          <w:lang w:val="en-GB"/>
        </w:rPr>
        <w:t>speed-limiting</w:t>
      </w:r>
      <w:r w:rsidRPr="003C49BE">
        <w:rPr>
          <w:rFonts w:asciiTheme="minorHAnsi" w:hAnsiTheme="minorHAnsi" w:cstheme="minorHAnsi"/>
          <w:lang w:val="en-GB"/>
        </w:rPr>
        <w:t xml:space="preserve"> device</w:t>
      </w:r>
      <w:r w:rsidR="003056AB">
        <w:rPr>
          <w:rFonts w:asciiTheme="minorHAnsi" w:hAnsiTheme="minorHAnsi" w:cstheme="minorHAnsi"/>
          <w:lang w:val="en-GB"/>
        </w:rPr>
        <w:t>,</w:t>
      </w:r>
      <w:r w:rsidRPr="003C49BE">
        <w:rPr>
          <w:rFonts w:asciiTheme="minorHAnsi" w:hAnsiTheme="minorHAnsi" w:cstheme="minorHAnsi"/>
          <w:lang w:val="en-GB"/>
        </w:rPr>
        <w:t xml:space="preserve"> requirements for</w:t>
      </w:r>
      <w:r w:rsidR="00825DED">
        <w:rPr>
          <w:rFonts w:asciiTheme="minorHAnsi" w:hAnsiTheme="minorHAnsi" w:cstheme="minorHAnsi"/>
          <w:lang w:val="en-GB"/>
        </w:rPr>
        <w:t xml:space="preserve"> user instructions and warnings</w:t>
      </w:r>
      <w:r w:rsidR="00937B97" w:rsidRPr="003C49BE">
        <w:rPr>
          <w:rFonts w:asciiTheme="minorHAnsi" w:hAnsiTheme="minorHAnsi" w:cstheme="minorHAnsi"/>
          <w:lang w:val="en-GB"/>
        </w:rPr>
        <w:t xml:space="preserve"> </w:t>
      </w:r>
      <w:r w:rsidRPr="003C49BE">
        <w:rPr>
          <w:rFonts w:asciiTheme="minorHAnsi" w:hAnsiTheme="minorHAnsi" w:cstheme="minorHAnsi"/>
          <w:lang w:val="en-GB"/>
        </w:rPr>
        <w:t>permanently affixed to the product and to the packaging, or in the absence of placement on packaging, via a swing tag attached to the product. The</w:t>
      </w:r>
      <w:r w:rsidR="0074002D" w:rsidRPr="003C49BE">
        <w:rPr>
          <w:rFonts w:asciiTheme="minorHAnsi" w:hAnsiTheme="minorHAnsi" w:cstheme="minorHAnsi"/>
          <w:lang w:val="en-GB"/>
        </w:rPr>
        <w:t xml:space="preserve"> scope of the</w:t>
      </w:r>
      <w:r w:rsidRPr="003C49BE">
        <w:rPr>
          <w:rFonts w:asciiTheme="minorHAnsi" w:hAnsiTheme="minorHAnsi" w:cstheme="minorHAnsi"/>
          <w:lang w:val="en-GB"/>
        </w:rPr>
        <w:t xml:space="preserve"> safety stand</w:t>
      </w:r>
      <w:r w:rsidR="0074002D" w:rsidRPr="003C49BE">
        <w:rPr>
          <w:rFonts w:asciiTheme="minorHAnsi" w:hAnsiTheme="minorHAnsi" w:cstheme="minorHAnsi"/>
          <w:lang w:val="en-GB"/>
        </w:rPr>
        <w:t xml:space="preserve">ard </w:t>
      </w:r>
      <w:r w:rsidR="003056AB">
        <w:rPr>
          <w:rFonts w:asciiTheme="minorHAnsi" w:hAnsiTheme="minorHAnsi" w:cstheme="minorHAnsi"/>
          <w:lang w:val="en-GB"/>
        </w:rPr>
        <w:t>applies to</w:t>
      </w:r>
      <w:r w:rsidR="00F2199C">
        <w:rPr>
          <w:rFonts w:asciiTheme="minorHAnsi" w:hAnsiTheme="minorHAnsi" w:cstheme="minorHAnsi"/>
          <w:lang w:val="en-GB"/>
        </w:rPr>
        <w:t xml:space="preserve"> any engine type including</w:t>
      </w:r>
      <w:r w:rsidRPr="003C49BE">
        <w:rPr>
          <w:rFonts w:asciiTheme="minorHAnsi" w:hAnsiTheme="minorHAnsi" w:cstheme="minorHAnsi"/>
          <w:lang w:val="en-GB"/>
        </w:rPr>
        <w:t xml:space="preserve"> miniature motorbikes powered by an</w:t>
      </w:r>
      <w:r w:rsidR="00F2199C">
        <w:rPr>
          <w:rFonts w:asciiTheme="minorHAnsi" w:hAnsiTheme="minorHAnsi" w:cstheme="minorHAnsi"/>
          <w:lang w:val="en-GB"/>
        </w:rPr>
        <w:t xml:space="preserve"> internal combustion engine and</w:t>
      </w:r>
      <w:r w:rsidRPr="003C49BE">
        <w:rPr>
          <w:rFonts w:asciiTheme="minorHAnsi" w:hAnsiTheme="minorHAnsi" w:cstheme="minorHAnsi"/>
          <w:lang w:val="en-GB"/>
        </w:rPr>
        <w:t xml:space="preserve"> electric power source</w:t>
      </w:r>
      <w:r w:rsidR="00F2199C">
        <w:rPr>
          <w:rFonts w:asciiTheme="minorHAnsi" w:hAnsiTheme="minorHAnsi" w:cstheme="minorHAnsi"/>
          <w:lang w:val="en-GB"/>
        </w:rPr>
        <w:t>s</w:t>
      </w:r>
      <w:r w:rsidRPr="003C49BE">
        <w:rPr>
          <w:rFonts w:asciiTheme="minorHAnsi" w:hAnsiTheme="minorHAnsi" w:cstheme="minorHAnsi"/>
          <w:lang w:val="en-GB"/>
        </w:rPr>
        <w:t xml:space="preserve"> such as lithium-ion batteries.</w:t>
      </w:r>
    </w:p>
    <w:p w14:paraId="05CDE20F" w14:textId="77777777" w:rsidR="0074002D" w:rsidRDefault="00690CB4" w:rsidP="009E2EC6">
      <w:pPr>
        <w:rPr>
          <w:rFonts w:asciiTheme="minorHAnsi" w:hAnsiTheme="minorHAnsi" w:cstheme="minorHAnsi"/>
          <w:b/>
          <w:lang w:val="en-GB"/>
        </w:rPr>
      </w:pPr>
      <w:r>
        <w:rPr>
          <w:rFonts w:asciiTheme="minorHAnsi" w:hAnsiTheme="minorHAnsi" w:cstheme="minorHAnsi"/>
          <w:b/>
          <w:lang w:val="en-GB"/>
        </w:rPr>
        <w:t>Exclusions</w:t>
      </w:r>
    </w:p>
    <w:p w14:paraId="2AABA84A" w14:textId="1EAE6972" w:rsidR="004E25D6" w:rsidRPr="004453CA" w:rsidRDefault="00693679" w:rsidP="009E2EC6">
      <w:pPr>
        <w:rPr>
          <w:rFonts w:asciiTheme="minorHAnsi" w:hAnsiTheme="minorHAnsi" w:cstheme="minorHAnsi"/>
          <w:b/>
          <w:lang w:val="en-GB"/>
        </w:rPr>
      </w:pPr>
      <w:r w:rsidRPr="005F29D9">
        <w:rPr>
          <w:rFonts w:asciiTheme="minorHAnsi" w:hAnsiTheme="minorHAnsi" w:cstheme="minorHAnsi"/>
          <w:lang w:val="en-GB"/>
        </w:rPr>
        <w:t xml:space="preserve">The safety standard does not apply to </w:t>
      </w:r>
      <w:r w:rsidR="00810089" w:rsidRPr="005F29D9">
        <w:rPr>
          <w:rFonts w:asciiTheme="minorHAnsi" w:hAnsiTheme="minorHAnsi" w:cstheme="minorHAnsi"/>
          <w:lang w:val="en-GB"/>
        </w:rPr>
        <w:t xml:space="preserve">toys and </w:t>
      </w:r>
      <w:r w:rsidRPr="005F29D9">
        <w:rPr>
          <w:rFonts w:asciiTheme="minorHAnsi" w:hAnsiTheme="minorHAnsi" w:cstheme="minorHAnsi"/>
          <w:lang w:val="en-GB"/>
        </w:rPr>
        <w:t xml:space="preserve">miniature motorbikes </w:t>
      </w:r>
      <w:r w:rsidR="00810089" w:rsidRPr="005F29D9">
        <w:rPr>
          <w:rFonts w:asciiTheme="minorHAnsi" w:hAnsiTheme="minorHAnsi" w:cstheme="minorHAnsi"/>
          <w:lang w:val="en-GB"/>
        </w:rPr>
        <w:t>with</w:t>
      </w:r>
      <w:r w:rsidRPr="005F29D9">
        <w:rPr>
          <w:rFonts w:asciiTheme="minorHAnsi" w:hAnsiTheme="minorHAnsi" w:cstheme="minorHAnsi"/>
          <w:lang w:val="en-GB"/>
        </w:rPr>
        <w:t xml:space="preserve"> a maximum design speed of 30 kilometres</w:t>
      </w:r>
      <w:r w:rsidR="00810089" w:rsidRPr="005F29D9">
        <w:rPr>
          <w:rFonts w:asciiTheme="minorHAnsi" w:hAnsiTheme="minorHAnsi" w:cstheme="minorHAnsi"/>
          <w:lang w:val="en-GB"/>
        </w:rPr>
        <w:t xml:space="preserve"> per hour or less</w:t>
      </w:r>
      <w:r w:rsidR="00652D9F" w:rsidRPr="005F29D9">
        <w:rPr>
          <w:rFonts w:asciiTheme="minorHAnsi" w:hAnsiTheme="minorHAnsi" w:cstheme="minorHAnsi"/>
        </w:rPr>
        <w:t>.</w:t>
      </w:r>
      <w:r w:rsidR="004453CA">
        <w:rPr>
          <w:rFonts w:asciiTheme="minorHAnsi" w:hAnsiTheme="minorHAnsi" w:cstheme="minorHAnsi"/>
        </w:rPr>
        <w:t xml:space="preserve"> </w:t>
      </w:r>
      <w:r w:rsidR="004453CA">
        <w:rPr>
          <w:rFonts w:asciiTheme="minorHAnsi" w:hAnsiTheme="minorHAnsi" w:cstheme="minorHAnsi"/>
          <w:lang w:val="en-GB"/>
        </w:rPr>
        <w:t>For completeness, the safety standard</w:t>
      </w:r>
      <w:r w:rsidR="004453CA" w:rsidRPr="005F29D9">
        <w:rPr>
          <w:rFonts w:asciiTheme="minorHAnsi" w:hAnsiTheme="minorHAnsi" w:cstheme="minorHAnsi"/>
          <w:lang w:val="en-GB"/>
        </w:rPr>
        <w:t xml:space="preserve"> excludes power-assisted pedal cycles, motorised scooters and motorised recreational devices.</w:t>
      </w:r>
    </w:p>
    <w:p w14:paraId="5A6A0A05" w14:textId="64BB347B" w:rsidR="00504B6E" w:rsidRDefault="003056AB" w:rsidP="009E2EC6">
      <w:pPr>
        <w:rPr>
          <w:rFonts w:asciiTheme="minorHAnsi" w:hAnsiTheme="minorHAnsi" w:cstheme="minorHAnsi"/>
        </w:rPr>
      </w:pPr>
      <w:r>
        <w:rPr>
          <w:rFonts w:asciiTheme="minorHAnsi" w:hAnsiTheme="minorHAnsi" w:cstheme="minorHAnsi"/>
        </w:rPr>
        <w:lastRenderedPageBreak/>
        <w:t xml:space="preserve">The safety standard excludes </w:t>
      </w:r>
      <w:r w:rsidR="00150645">
        <w:rPr>
          <w:rFonts w:asciiTheme="minorHAnsi" w:hAnsiTheme="minorHAnsi" w:cstheme="minorHAnsi"/>
        </w:rPr>
        <w:t xml:space="preserve">smaller </w:t>
      </w:r>
      <w:r w:rsidR="00504B6E">
        <w:rPr>
          <w:rFonts w:asciiTheme="minorHAnsi" w:hAnsiTheme="minorHAnsi" w:cstheme="minorHAnsi"/>
        </w:rPr>
        <w:t>motorbikes that are registerable</w:t>
      </w:r>
      <w:r w:rsidR="00150645">
        <w:rPr>
          <w:rFonts w:asciiTheme="minorHAnsi" w:hAnsiTheme="minorHAnsi" w:cstheme="minorHAnsi"/>
        </w:rPr>
        <w:t xml:space="preserve"> for</w:t>
      </w:r>
      <w:r w:rsidR="00504B6E">
        <w:rPr>
          <w:rFonts w:asciiTheme="minorHAnsi" w:hAnsiTheme="minorHAnsi" w:cstheme="minorHAnsi"/>
        </w:rPr>
        <w:t xml:space="preserve"> road use</w:t>
      </w:r>
      <w:r w:rsidR="00150645">
        <w:rPr>
          <w:rFonts w:asciiTheme="minorHAnsi" w:hAnsiTheme="minorHAnsi" w:cstheme="minorHAnsi"/>
        </w:rPr>
        <w:t>. The safety standard also excludes smaller off-road minibikes designed and intended for use by children as a learner or introductory minibike</w:t>
      </w:r>
      <w:r w:rsidR="00D55909">
        <w:rPr>
          <w:rFonts w:asciiTheme="minorHAnsi" w:hAnsiTheme="minorHAnsi" w:cstheme="minorHAnsi"/>
        </w:rPr>
        <w:t xml:space="preserve"> within</w:t>
      </w:r>
      <w:r w:rsidR="00130B83">
        <w:rPr>
          <w:rFonts w:asciiTheme="minorHAnsi" w:hAnsiTheme="minorHAnsi" w:cstheme="minorHAnsi"/>
        </w:rPr>
        <w:t xml:space="preserve"> a product range</w:t>
      </w:r>
      <w:r w:rsidR="00150645">
        <w:rPr>
          <w:rFonts w:asciiTheme="minorHAnsi" w:hAnsiTheme="minorHAnsi" w:cstheme="minorHAnsi"/>
        </w:rPr>
        <w:t xml:space="preserve">. </w:t>
      </w:r>
    </w:p>
    <w:p w14:paraId="1C7A74A0" w14:textId="77777777" w:rsidR="00EF7835" w:rsidRPr="00AE6841" w:rsidRDefault="00EF7835" w:rsidP="00EF7835">
      <w:pPr>
        <w:rPr>
          <w:rFonts w:cs="Arial"/>
          <w:b/>
          <w:lang w:val="en-GB"/>
        </w:rPr>
      </w:pPr>
      <w:r w:rsidRPr="00AE6841">
        <w:rPr>
          <w:rFonts w:cs="Arial"/>
          <w:b/>
          <w:lang w:val="en-GB"/>
        </w:rPr>
        <w:t>Transitional arrangements</w:t>
      </w:r>
    </w:p>
    <w:p w14:paraId="714E7E29" w14:textId="55C0B6B5" w:rsidR="00A02C08" w:rsidRPr="00A02C08" w:rsidRDefault="00EF7835" w:rsidP="00A02C08">
      <w:pPr>
        <w:rPr>
          <w:rFonts w:asciiTheme="minorHAnsi" w:hAnsiTheme="minorHAnsi" w:cstheme="minorHAnsi"/>
          <w:iCs/>
        </w:rPr>
      </w:pPr>
      <w:r w:rsidRPr="00902AD1">
        <w:rPr>
          <w:iCs/>
        </w:rPr>
        <w:t xml:space="preserve">The </w:t>
      </w:r>
      <w:r w:rsidRPr="00A02C08">
        <w:rPr>
          <w:iCs/>
        </w:rPr>
        <w:t xml:space="preserve">instrument provides a transitional period of </w:t>
      </w:r>
      <w:r w:rsidR="00054CFE" w:rsidRPr="00A02C08">
        <w:rPr>
          <w:iCs/>
        </w:rPr>
        <w:t>12</w:t>
      </w:r>
      <w:r w:rsidRPr="00A02C08">
        <w:rPr>
          <w:iCs/>
        </w:rPr>
        <w:t xml:space="preserve"> months beginning on the day this </w:t>
      </w:r>
      <w:r w:rsidRPr="00A02C08">
        <w:rPr>
          <w:rFonts w:asciiTheme="minorHAnsi" w:hAnsiTheme="minorHAnsi" w:cstheme="minorHAnsi"/>
          <w:iCs/>
        </w:rPr>
        <w:t>instrument commences.</w:t>
      </w:r>
      <w:r w:rsidR="00A02C08" w:rsidRPr="00A02C08">
        <w:rPr>
          <w:rFonts w:asciiTheme="minorHAnsi" w:hAnsiTheme="minorHAnsi" w:cstheme="minorHAnsi"/>
          <w:iCs/>
        </w:rPr>
        <w:t xml:space="preserve"> </w:t>
      </w:r>
      <w:r w:rsidR="00A02C08" w:rsidRPr="00A02C08">
        <w:rPr>
          <w:rFonts w:asciiTheme="minorHAnsi" w:hAnsiTheme="minorHAnsi" w:cstheme="minorHAnsi"/>
        </w:rPr>
        <w:t>During the transitional period, a miniat</w:t>
      </w:r>
      <w:r w:rsidR="00DF3292">
        <w:rPr>
          <w:rFonts w:asciiTheme="minorHAnsi" w:hAnsiTheme="minorHAnsi" w:cstheme="minorHAnsi"/>
        </w:rPr>
        <w:t>ure motorbike complies</w:t>
      </w:r>
      <w:r w:rsidR="00A02C08" w:rsidRPr="00A02C08">
        <w:rPr>
          <w:rFonts w:asciiTheme="minorHAnsi" w:hAnsiTheme="minorHAnsi" w:cstheme="minorHAnsi"/>
        </w:rPr>
        <w:t xml:space="preserve"> with the requirements of this</w:t>
      </w:r>
      <w:r w:rsidR="00D85224">
        <w:rPr>
          <w:rFonts w:asciiTheme="minorHAnsi" w:hAnsiTheme="minorHAnsi" w:cstheme="minorHAnsi"/>
        </w:rPr>
        <w:t xml:space="preserve"> safety</w:t>
      </w:r>
      <w:r w:rsidR="00A02C08" w:rsidRPr="00A02C08">
        <w:rPr>
          <w:rFonts w:asciiTheme="minorHAnsi" w:hAnsiTheme="minorHAnsi" w:cstheme="minorHAnsi"/>
        </w:rPr>
        <w:t xml:space="preserve"> standard if</w:t>
      </w:r>
      <w:r w:rsidR="00974187">
        <w:rPr>
          <w:rFonts w:asciiTheme="minorHAnsi" w:hAnsiTheme="minorHAnsi" w:cstheme="minorHAnsi"/>
        </w:rPr>
        <w:t xml:space="preserve"> it</w:t>
      </w:r>
      <w:r w:rsidR="00A02C08" w:rsidRPr="00A02C08">
        <w:rPr>
          <w:rFonts w:asciiTheme="minorHAnsi" w:hAnsiTheme="minorHAnsi" w:cstheme="minorHAnsi"/>
        </w:rPr>
        <w:t>:</w:t>
      </w:r>
    </w:p>
    <w:p w14:paraId="6B4AEBD8" w14:textId="487C240F" w:rsidR="00A02C08" w:rsidRPr="003C49BE" w:rsidRDefault="00A02C08" w:rsidP="003C49BE">
      <w:pPr>
        <w:pStyle w:val="paragraph"/>
        <w:numPr>
          <w:ilvl w:val="0"/>
          <w:numId w:val="43"/>
        </w:numPr>
        <w:spacing w:before="120"/>
        <w:rPr>
          <w:rFonts w:asciiTheme="minorHAnsi" w:hAnsiTheme="minorHAnsi" w:cstheme="minorHAnsi"/>
        </w:rPr>
      </w:pPr>
      <w:r w:rsidRPr="003C49BE">
        <w:rPr>
          <w:rFonts w:asciiTheme="minorHAnsi" w:hAnsiTheme="minorHAnsi" w:cstheme="minorHAnsi"/>
        </w:rPr>
        <w:t>would not have been banned under the permanent ban</w:t>
      </w:r>
      <w:r w:rsidR="001278E0" w:rsidRPr="003C49BE">
        <w:rPr>
          <w:rFonts w:asciiTheme="minorHAnsi" w:hAnsiTheme="minorHAnsi" w:cstheme="minorHAnsi"/>
        </w:rPr>
        <w:t>, or</w:t>
      </w:r>
    </w:p>
    <w:p w14:paraId="0DCC3E39" w14:textId="6AC337A4" w:rsidR="00A02C08" w:rsidRPr="003C49BE" w:rsidRDefault="00A02C08" w:rsidP="003C49BE">
      <w:pPr>
        <w:pStyle w:val="paragraph"/>
        <w:numPr>
          <w:ilvl w:val="0"/>
          <w:numId w:val="43"/>
        </w:numPr>
        <w:spacing w:before="120"/>
        <w:ind w:left="714" w:hanging="357"/>
        <w:rPr>
          <w:rFonts w:asciiTheme="minorHAnsi" w:hAnsiTheme="minorHAnsi" w:cstheme="minorHAnsi"/>
        </w:rPr>
      </w:pPr>
      <w:r w:rsidRPr="003C49BE">
        <w:rPr>
          <w:rFonts w:asciiTheme="minorHAnsi" w:hAnsiTheme="minorHAnsi" w:cstheme="minorHAnsi"/>
        </w:rPr>
        <w:t>complies with the</w:t>
      </w:r>
      <w:r w:rsidR="001278E0" w:rsidRPr="003C49BE">
        <w:rPr>
          <w:rFonts w:asciiTheme="minorHAnsi" w:hAnsiTheme="minorHAnsi" w:cstheme="minorHAnsi"/>
        </w:rPr>
        <w:t xml:space="preserve"> safety standard.</w:t>
      </w:r>
    </w:p>
    <w:p w14:paraId="763B74AD" w14:textId="13249BD0" w:rsidR="00EF7835" w:rsidRPr="00A02C08" w:rsidRDefault="00EF7835" w:rsidP="003C49BE">
      <w:pPr>
        <w:rPr>
          <w:rFonts w:cs="Arial"/>
          <w:i/>
          <w:lang w:val="en-GB"/>
        </w:rPr>
      </w:pPr>
      <w:r w:rsidRPr="00A02C08">
        <w:rPr>
          <w:rFonts w:asciiTheme="minorHAnsi" w:hAnsiTheme="minorHAnsi" w:cstheme="minorHAnsi"/>
          <w:lang w:val="en-GB"/>
        </w:rPr>
        <w:t xml:space="preserve">After the transitional period suppliers must meet the requirements of the </w:t>
      </w:r>
      <w:r w:rsidR="0074002D">
        <w:rPr>
          <w:rFonts w:asciiTheme="minorHAnsi" w:hAnsiTheme="minorHAnsi" w:cstheme="minorHAnsi"/>
          <w:i/>
          <w:lang w:val="en-GB"/>
        </w:rPr>
        <w:t>Consumer Goods</w:t>
      </w:r>
      <w:r w:rsidR="003C49BE">
        <w:rPr>
          <w:rFonts w:asciiTheme="minorHAnsi" w:hAnsiTheme="minorHAnsi" w:cstheme="minorHAnsi"/>
          <w:i/>
          <w:lang w:val="en-GB"/>
        </w:rPr>
        <w:t xml:space="preserve"> </w:t>
      </w:r>
      <w:r w:rsidR="00DF7A73" w:rsidRPr="00A02C08">
        <w:rPr>
          <w:rFonts w:asciiTheme="minorHAnsi" w:hAnsiTheme="minorHAnsi" w:cstheme="minorHAnsi"/>
          <w:i/>
          <w:lang w:val="en-GB"/>
        </w:rPr>
        <w:t>(Miniature Motorbikes) Safety Standard 2019.</w:t>
      </w:r>
    </w:p>
    <w:p w14:paraId="61F7FAB8" w14:textId="77777777" w:rsidR="0046231D" w:rsidRPr="00AE6841" w:rsidRDefault="0046231D" w:rsidP="0046231D">
      <w:pPr>
        <w:rPr>
          <w:rFonts w:cs="Arial"/>
          <w:b/>
          <w:lang w:val="en-GB"/>
        </w:rPr>
      </w:pPr>
      <w:r w:rsidRPr="00AE6841">
        <w:rPr>
          <w:rFonts w:cs="Arial"/>
          <w:b/>
          <w:lang w:val="en-GB"/>
        </w:rPr>
        <w:t>Consultation</w:t>
      </w:r>
    </w:p>
    <w:p w14:paraId="015A5803" w14:textId="75638708" w:rsidR="0046231D" w:rsidRDefault="0046231D" w:rsidP="0046231D">
      <w:pPr>
        <w:rPr>
          <w:iCs/>
        </w:rPr>
      </w:pPr>
      <w:r>
        <w:rPr>
          <w:iCs/>
        </w:rPr>
        <w:t xml:space="preserve">The </w:t>
      </w:r>
      <w:r w:rsidR="00C07FD0">
        <w:rPr>
          <w:rFonts w:cs="Arial"/>
          <w:lang w:val="en-GB"/>
        </w:rPr>
        <w:t xml:space="preserve">ACCC </w:t>
      </w:r>
      <w:r>
        <w:rPr>
          <w:iCs/>
        </w:rPr>
        <w:t xml:space="preserve">published a consultation paper for </w:t>
      </w:r>
      <w:r w:rsidR="00DB127B">
        <w:rPr>
          <w:iCs/>
        </w:rPr>
        <w:t>miniature motorbikes</w:t>
      </w:r>
      <w:r>
        <w:rPr>
          <w:iCs/>
        </w:rPr>
        <w:t xml:space="preserve"> and invited stakeholder feedback from 19 November to 14 December 201</w:t>
      </w:r>
      <w:r w:rsidR="00E77FC1">
        <w:rPr>
          <w:iCs/>
        </w:rPr>
        <w:t>8</w:t>
      </w:r>
      <w:r>
        <w:rPr>
          <w:iCs/>
        </w:rPr>
        <w:t>.</w:t>
      </w:r>
      <w:r w:rsidR="00DB127B">
        <w:rPr>
          <w:iCs/>
        </w:rPr>
        <w:t xml:space="preserve"> </w:t>
      </w:r>
      <w:r>
        <w:rPr>
          <w:iCs/>
        </w:rPr>
        <w:t xml:space="preserve">The paper detailed </w:t>
      </w:r>
      <w:r w:rsidR="00815EFB">
        <w:rPr>
          <w:iCs/>
        </w:rPr>
        <w:t>two</w:t>
      </w:r>
      <w:r>
        <w:rPr>
          <w:iCs/>
        </w:rPr>
        <w:t xml:space="preserve"> policy options for dealing with the permanent ban:</w:t>
      </w:r>
    </w:p>
    <w:p w14:paraId="44A2F3F3" w14:textId="4A724F0D" w:rsidR="00DB127B" w:rsidRDefault="0046231D" w:rsidP="003C49BE">
      <w:pPr>
        <w:spacing w:before="120"/>
        <w:ind w:left="340"/>
      </w:pPr>
      <w:r w:rsidRPr="001B3FF8">
        <w:t>Option 1</w:t>
      </w:r>
      <w:r w:rsidR="00DB127B">
        <w:t xml:space="preserve"> - </w:t>
      </w:r>
      <w:r w:rsidR="00815EFB">
        <w:t>Maintain the permanent ban</w:t>
      </w:r>
      <w:r w:rsidRPr="001B3FF8">
        <w:t xml:space="preserve"> (status quo)</w:t>
      </w:r>
    </w:p>
    <w:p w14:paraId="4E7FC652" w14:textId="4F6EA952" w:rsidR="00815EFB" w:rsidRDefault="0046231D" w:rsidP="003C49BE">
      <w:pPr>
        <w:spacing w:before="120"/>
        <w:ind w:left="1333" w:hanging="993"/>
      </w:pPr>
      <w:r w:rsidRPr="001B3FF8">
        <w:t>Option 2</w:t>
      </w:r>
      <w:r w:rsidR="00DB127B">
        <w:t xml:space="preserve"> - </w:t>
      </w:r>
      <w:r w:rsidR="00815EFB">
        <w:t>Revoke the permanent ban and make a new regulatory instrument.</w:t>
      </w:r>
    </w:p>
    <w:p w14:paraId="16E81D0E" w14:textId="51A4D961" w:rsidR="00433395" w:rsidRDefault="00504B6E" w:rsidP="00AF36F7">
      <w:r>
        <w:t>Twenty-two</w:t>
      </w:r>
      <w:r w:rsidR="00E77FC1">
        <w:t xml:space="preserve"> </w:t>
      </w:r>
      <w:r w:rsidR="00433395">
        <w:t>submissions were received from</w:t>
      </w:r>
      <w:r w:rsidR="00A5505E" w:rsidRPr="00A5505E">
        <w:rPr>
          <w:rFonts w:asciiTheme="minorHAnsi" w:hAnsiTheme="minorHAnsi" w:cstheme="minorHAnsi"/>
          <w:color w:val="000000" w:themeColor="text1"/>
        </w:rPr>
        <w:t xml:space="preserve"> </w:t>
      </w:r>
      <w:r w:rsidR="00C4502B">
        <w:rPr>
          <w:rFonts w:asciiTheme="minorHAnsi" w:hAnsiTheme="minorHAnsi" w:cstheme="minorHAnsi"/>
          <w:color w:val="000000" w:themeColor="text1"/>
        </w:rPr>
        <w:t xml:space="preserve">private individuals, </w:t>
      </w:r>
      <w:r w:rsidR="00A5505E">
        <w:rPr>
          <w:rFonts w:asciiTheme="minorHAnsi" w:hAnsiTheme="minorHAnsi" w:cstheme="minorHAnsi"/>
          <w:color w:val="000000" w:themeColor="text1"/>
        </w:rPr>
        <w:t xml:space="preserve">industry representatives, government, suppliers, safety advocates </w:t>
      </w:r>
      <w:r w:rsidR="00A5505E" w:rsidRPr="00F62C05">
        <w:rPr>
          <w:rFonts w:asciiTheme="minorHAnsi" w:hAnsiTheme="minorHAnsi" w:cstheme="minorHAnsi"/>
          <w:color w:val="000000" w:themeColor="text1"/>
        </w:rPr>
        <w:t>and m</w:t>
      </w:r>
      <w:r w:rsidR="00A5505E">
        <w:rPr>
          <w:rFonts w:asciiTheme="minorHAnsi" w:hAnsiTheme="minorHAnsi" w:cstheme="minorHAnsi"/>
          <w:color w:val="000000" w:themeColor="text1"/>
        </w:rPr>
        <w:t>otorcycle riding associations</w:t>
      </w:r>
      <w:r w:rsidR="00433395">
        <w:rPr>
          <w:rFonts w:asciiTheme="minorHAnsi" w:hAnsiTheme="minorHAnsi" w:cstheme="minorHAnsi"/>
          <w:color w:val="000000" w:themeColor="text1"/>
        </w:rPr>
        <w:t>.</w:t>
      </w:r>
    </w:p>
    <w:p w14:paraId="61AF6478" w14:textId="790D0330" w:rsidR="0065198F" w:rsidRDefault="00000596" w:rsidP="003C49BE">
      <w:r>
        <w:t>Fifteen</w:t>
      </w:r>
      <w:r w:rsidR="0065198F">
        <w:t xml:space="preserve"> </w:t>
      </w:r>
      <w:r w:rsidR="00A316CA">
        <w:t>stakeholders</w:t>
      </w:r>
      <w:r w:rsidR="0065198F">
        <w:t xml:space="preserve"> </w:t>
      </w:r>
      <w:r w:rsidR="00DB127B">
        <w:t>were in favour of</w:t>
      </w:r>
      <w:r w:rsidR="0065198F">
        <w:t xml:space="preserve"> revoking the permanent ban and making a new regulatory instrument</w:t>
      </w:r>
      <w:r>
        <w:t xml:space="preserve"> </w:t>
      </w:r>
      <w:r w:rsidR="0074002D">
        <w:t>(Option 2), while seven preferred the status quo</w:t>
      </w:r>
      <w:r w:rsidR="00DA7EC2">
        <w:t>.</w:t>
      </w:r>
      <w:r w:rsidR="0074002D">
        <w:t xml:space="preserve"> Nineteen submissions supported the introduction of warnings and instructions. Eighteen submissions supported the introduction of a speed limiting device and seventeen submission supported aligning the definition with the definition in the </w:t>
      </w:r>
      <w:r w:rsidR="0074002D" w:rsidRPr="0074002D">
        <w:rPr>
          <w:i/>
        </w:rPr>
        <w:t xml:space="preserve">Motor Vehicles </w:t>
      </w:r>
      <w:r w:rsidR="00281976">
        <w:rPr>
          <w:i/>
        </w:rPr>
        <w:t xml:space="preserve">Standards </w:t>
      </w:r>
      <w:r w:rsidR="0074002D" w:rsidRPr="0074002D">
        <w:rPr>
          <w:i/>
        </w:rPr>
        <w:t>Act 1989</w:t>
      </w:r>
      <w:r w:rsidR="00281976">
        <w:rPr>
          <w:i/>
        </w:rPr>
        <w:t xml:space="preserve"> </w:t>
      </w:r>
      <w:r w:rsidR="00281976" w:rsidRPr="00281976">
        <w:t>(Cth)</w:t>
      </w:r>
      <w:r w:rsidR="0074002D" w:rsidRPr="00281976">
        <w:t>.</w:t>
      </w:r>
    </w:p>
    <w:p w14:paraId="4ABF0618" w14:textId="77777777" w:rsidR="004F0FC4" w:rsidRPr="004C32C5" w:rsidRDefault="004F0FC4" w:rsidP="00685E86">
      <w:pPr>
        <w:rPr>
          <w:rFonts w:cs="Arial"/>
          <w:highlight w:val="yellow"/>
          <w:lang w:val="en-GB"/>
        </w:rPr>
      </w:pPr>
      <w:r w:rsidRPr="0015075E">
        <w:rPr>
          <w:rFonts w:cs="Arial"/>
          <w:b/>
        </w:rPr>
        <w:t>Disallowance</w:t>
      </w:r>
    </w:p>
    <w:p w14:paraId="02A33899" w14:textId="5B9930B3" w:rsidR="004F0FC4" w:rsidRPr="004F0FC4" w:rsidRDefault="004F0FC4" w:rsidP="00685E86">
      <w:pPr>
        <w:rPr>
          <w:rFonts w:cs="Arial"/>
        </w:rPr>
      </w:pPr>
      <w:r w:rsidRPr="0015075E">
        <w:rPr>
          <w:rFonts w:cs="Arial"/>
        </w:rPr>
        <w:t xml:space="preserve">This legislative instrument is not subject to disallowance due to </w:t>
      </w:r>
      <w:r w:rsidRPr="00334741">
        <w:rPr>
          <w:rFonts w:cs="Arial"/>
        </w:rPr>
        <w:t>section 44 of the</w:t>
      </w:r>
      <w:r w:rsidRPr="0015075E">
        <w:rPr>
          <w:rFonts w:cs="Arial"/>
        </w:rPr>
        <w:t xml:space="preserve"> </w:t>
      </w:r>
      <w:r w:rsidR="0074002D">
        <w:rPr>
          <w:rFonts w:cs="Arial"/>
          <w:i/>
        </w:rPr>
        <w:t>Legislation </w:t>
      </w:r>
      <w:r w:rsidRPr="0015075E">
        <w:rPr>
          <w:rFonts w:cs="Arial"/>
          <w:i/>
        </w:rPr>
        <w:t>Act 2003</w:t>
      </w:r>
      <w:r>
        <w:rPr>
          <w:rFonts w:cs="Arial"/>
          <w:i/>
        </w:rPr>
        <w:t xml:space="preserve"> </w:t>
      </w:r>
      <w:r>
        <w:rPr>
          <w:rFonts w:cs="Arial"/>
        </w:rPr>
        <w:t>(Cth)</w:t>
      </w:r>
      <w:r w:rsidRPr="0015075E">
        <w:rPr>
          <w:rFonts w:cs="Arial"/>
        </w:rPr>
        <w:t>.</w:t>
      </w:r>
    </w:p>
    <w:p w14:paraId="20AE4D40" w14:textId="2CB3A3E4" w:rsidR="00DC2C83" w:rsidRPr="00902AD1" w:rsidRDefault="00DC2C83" w:rsidP="00DC2C83">
      <w:pPr>
        <w:rPr>
          <w:rFonts w:cs="Arial"/>
          <w:b/>
          <w:lang w:val="en-GB"/>
        </w:rPr>
      </w:pPr>
      <w:r w:rsidRPr="00902AD1">
        <w:rPr>
          <w:rFonts w:cs="Arial"/>
          <w:b/>
          <w:lang w:val="en-GB"/>
        </w:rPr>
        <w:t>Commencement</w:t>
      </w:r>
    </w:p>
    <w:p w14:paraId="59D65B2D" w14:textId="25F29D20" w:rsidR="00DC2C83" w:rsidRDefault="00DC2C83" w:rsidP="00DC2C83">
      <w:pPr>
        <w:rPr>
          <w:rFonts w:cs="Arial"/>
          <w:lang w:val="en-GB"/>
        </w:rPr>
      </w:pPr>
      <w:r>
        <w:rPr>
          <w:rFonts w:cs="Arial"/>
          <w:lang w:val="en-GB"/>
        </w:rPr>
        <w:t>Th</w:t>
      </w:r>
      <w:r w:rsidR="003C7A51">
        <w:rPr>
          <w:rFonts w:cs="Arial"/>
          <w:lang w:val="en-GB"/>
        </w:rPr>
        <w:t>is</w:t>
      </w:r>
      <w:r>
        <w:rPr>
          <w:rFonts w:cs="Arial"/>
          <w:lang w:val="en-GB"/>
        </w:rPr>
        <w:t xml:space="preserve"> </w:t>
      </w:r>
      <w:r w:rsidRPr="006C2E1D">
        <w:rPr>
          <w:rFonts w:cs="Arial"/>
          <w:lang w:val="en-GB"/>
        </w:rPr>
        <w:t>legislative instrument commences on the day after it is registered on the Federal Register of Legislation.</w:t>
      </w:r>
    </w:p>
    <w:p w14:paraId="0EE1EDB4" w14:textId="5D2CD625" w:rsidR="00DC2C83" w:rsidRPr="00902AD1" w:rsidRDefault="00DC2C83" w:rsidP="00DC2C83">
      <w:pPr>
        <w:rPr>
          <w:rFonts w:cs="Arial"/>
          <w:b/>
          <w:lang w:val="en-GB"/>
        </w:rPr>
      </w:pPr>
      <w:r w:rsidRPr="00AD1E89">
        <w:rPr>
          <w:rFonts w:cs="Arial"/>
          <w:b/>
          <w:lang w:val="en-GB"/>
        </w:rPr>
        <w:t>Sunsetting</w:t>
      </w:r>
    </w:p>
    <w:p w14:paraId="35EC6D17" w14:textId="41E28835" w:rsidR="004F0FC4" w:rsidRPr="0007010B" w:rsidRDefault="004F0FC4" w:rsidP="004F0FC4">
      <w:pPr>
        <w:rPr>
          <w:iCs/>
        </w:rPr>
      </w:pPr>
      <w:r>
        <w:rPr>
          <w:iCs/>
        </w:rPr>
        <w:t xml:space="preserve">This legislative instrument is not subject to sunsetting due to section 54 of the </w:t>
      </w:r>
      <w:r w:rsidR="0074002D">
        <w:rPr>
          <w:i/>
          <w:iCs/>
        </w:rPr>
        <w:t>Legislation Act </w:t>
      </w:r>
      <w:r w:rsidRPr="00AD1E89">
        <w:rPr>
          <w:i/>
          <w:iCs/>
        </w:rPr>
        <w:t>2003</w:t>
      </w:r>
      <w:r>
        <w:rPr>
          <w:iCs/>
        </w:rPr>
        <w:t xml:space="preserve"> (Cth)</w:t>
      </w:r>
      <w:r>
        <w:rPr>
          <w:i/>
        </w:rPr>
        <w:t>.</w:t>
      </w:r>
    </w:p>
    <w:p w14:paraId="29E90DEB" w14:textId="77777777" w:rsidR="00DC2C83" w:rsidRPr="00902AD1" w:rsidRDefault="00DC2C83" w:rsidP="00DC2C83">
      <w:pPr>
        <w:rPr>
          <w:rFonts w:cs="Arial"/>
          <w:b/>
          <w:lang w:val="en-GB"/>
        </w:rPr>
      </w:pPr>
      <w:r w:rsidRPr="00902AD1">
        <w:rPr>
          <w:rFonts w:cs="Arial"/>
          <w:b/>
          <w:lang w:val="en-GB"/>
        </w:rPr>
        <w:t>Regulation impact assessment</w:t>
      </w:r>
    </w:p>
    <w:p w14:paraId="6CC7B5C1" w14:textId="77777777" w:rsidR="00DC2C83" w:rsidRPr="00902AD1" w:rsidRDefault="00DC2C83" w:rsidP="00DC2C83">
      <w:pPr>
        <w:rPr>
          <w:iCs/>
        </w:rPr>
      </w:pPr>
      <w:r w:rsidRPr="00902AD1">
        <w:rPr>
          <w:iCs/>
        </w:rPr>
        <w:t>The Office of Best Practice Regulation a</w:t>
      </w:r>
      <w:r>
        <w:rPr>
          <w:iCs/>
        </w:rPr>
        <w:t>dvised that a Regulation Impact Statement was not required.</w:t>
      </w:r>
    </w:p>
    <w:sectPr w:rsidR="00DC2C83" w:rsidRPr="00902AD1" w:rsidSect="00B62438">
      <w:footerReference w:type="first" r:id="rId9"/>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6D8C4" w14:textId="77777777" w:rsidR="00DE0BE2" w:rsidRDefault="00DE0BE2" w:rsidP="004B4412">
      <w:pPr>
        <w:spacing w:before="0"/>
      </w:pPr>
      <w:r>
        <w:separator/>
      </w:r>
    </w:p>
  </w:endnote>
  <w:endnote w:type="continuationSeparator" w:id="0">
    <w:p w14:paraId="0D35D00D" w14:textId="77777777" w:rsidR="00DE0BE2" w:rsidRDefault="00DE0BE2"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EF20F" w14:textId="77777777" w:rsidR="00691616" w:rsidRDefault="00691616">
    <w:pPr>
      <w:pStyle w:val="Footer"/>
    </w:pPr>
  </w:p>
  <w:p w14:paraId="08A91CFE" w14:textId="77777777" w:rsidR="00691616" w:rsidRDefault="00691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FEF23" w14:textId="77777777" w:rsidR="00DE0BE2" w:rsidRDefault="00DE0BE2" w:rsidP="004B4412">
      <w:pPr>
        <w:spacing w:before="0"/>
      </w:pPr>
      <w:r>
        <w:separator/>
      </w:r>
    </w:p>
  </w:footnote>
  <w:footnote w:type="continuationSeparator" w:id="0">
    <w:p w14:paraId="407214B6" w14:textId="77777777" w:rsidR="00DE0BE2" w:rsidRDefault="00DE0BE2" w:rsidP="004B441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6E940B1"/>
    <w:multiLevelType w:val="hybridMultilevel"/>
    <w:tmpl w:val="0CCA159C"/>
    <w:lvl w:ilvl="0" w:tplc="0C090001">
      <w:start w:val="1"/>
      <w:numFmt w:val="bullet"/>
      <w:lvlText w:val=""/>
      <w:lvlJc w:val="left"/>
      <w:pPr>
        <w:tabs>
          <w:tab w:val="num" w:pos="431"/>
        </w:tabs>
        <w:ind w:left="431" w:hanging="360"/>
      </w:pPr>
      <w:rPr>
        <w:rFonts w:ascii="Symbol" w:hAnsi="Symbol" w:hint="default"/>
      </w:rPr>
    </w:lvl>
    <w:lvl w:ilvl="1" w:tplc="19CCFD84">
      <w:start w:val="1"/>
      <w:numFmt w:val="bullet"/>
      <w:lvlText w:val="-"/>
      <w:lvlJc w:val="left"/>
      <w:pPr>
        <w:tabs>
          <w:tab w:val="num" w:pos="1151"/>
        </w:tabs>
        <w:ind w:left="1151" w:hanging="360"/>
      </w:pPr>
      <w:rPr>
        <w:rFonts w:ascii="Courier New" w:hAnsi="Courier New" w:hint="default"/>
      </w:rPr>
    </w:lvl>
    <w:lvl w:ilvl="2" w:tplc="0C090005">
      <w:start w:val="1"/>
      <w:numFmt w:val="bullet"/>
      <w:lvlText w:val=""/>
      <w:lvlJc w:val="left"/>
      <w:pPr>
        <w:tabs>
          <w:tab w:val="num" w:pos="1871"/>
        </w:tabs>
        <w:ind w:left="1871" w:hanging="360"/>
      </w:pPr>
      <w:rPr>
        <w:rFonts w:ascii="Wingdings" w:hAnsi="Wingdings" w:hint="default"/>
      </w:rPr>
    </w:lvl>
    <w:lvl w:ilvl="3" w:tplc="0C090001">
      <w:start w:val="1"/>
      <w:numFmt w:val="bullet"/>
      <w:lvlText w:val=""/>
      <w:lvlJc w:val="left"/>
      <w:pPr>
        <w:tabs>
          <w:tab w:val="num" w:pos="2591"/>
        </w:tabs>
        <w:ind w:left="2591" w:hanging="360"/>
      </w:pPr>
      <w:rPr>
        <w:rFonts w:ascii="Symbol" w:hAnsi="Symbol" w:hint="default"/>
      </w:rPr>
    </w:lvl>
    <w:lvl w:ilvl="4" w:tplc="0C090003" w:tentative="1">
      <w:start w:val="1"/>
      <w:numFmt w:val="bullet"/>
      <w:lvlText w:val="o"/>
      <w:lvlJc w:val="left"/>
      <w:pPr>
        <w:tabs>
          <w:tab w:val="num" w:pos="3311"/>
        </w:tabs>
        <w:ind w:left="3311" w:hanging="360"/>
      </w:pPr>
      <w:rPr>
        <w:rFonts w:ascii="Courier New" w:hAnsi="Courier New" w:cs="Courier New" w:hint="default"/>
      </w:rPr>
    </w:lvl>
    <w:lvl w:ilvl="5" w:tplc="0C090005" w:tentative="1">
      <w:start w:val="1"/>
      <w:numFmt w:val="bullet"/>
      <w:lvlText w:val=""/>
      <w:lvlJc w:val="left"/>
      <w:pPr>
        <w:tabs>
          <w:tab w:val="num" w:pos="4031"/>
        </w:tabs>
        <w:ind w:left="4031" w:hanging="360"/>
      </w:pPr>
      <w:rPr>
        <w:rFonts w:ascii="Wingdings" w:hAnsi="Wingdings" w:hint="default"/>
      </w:rPr>
    </w:lvl>
    <w:lvl w:ilvl="6" w:tplc="0C090001" w:tentative="1">
      <w:start w:val="1"/>
      <w:numFmt w:val="bullet"/>
      <w:lvlText w:val=""/>
      <w:lvlJc w:val="left"/>
      <w:pPr>
        <w:tabs>
          <w:tab w:val="num" w:pos="4751"/>
        </w:tabs>
        <w:ind w:left="4751" w:hanging="360"/>
      </w:pPr>
      <w:rPr>
        <w:rFonts w:ascii="Symbol" w:hAnsi="Symbol" w:hint="default"/>
      </w:rPr>
    </w:lvl>
    <w:lvl w:ilvl="7" w:tplc="0C090003" w:tentative="1">
      <w:start w:val="1"/>
      <w:numFmt w:val="bullet"/>
      <w:lvlText w:val="o"/>
      <w:lvlJc w:val="left"/>
      <w:pPr>
        <w:tabs>
          <w:tab w:val="num" w:pos="5471"/>
        </w:tabs>
        <w:ind w:left="5471" w:hanging="360"/>
      </w:pPr>
      <w:rPr>
        <w:rFonts w:ascii="Courier New" w:hAnsi="Courier New" w:cs="Courier New" w:hint="default"/>
      </w:rPr>
    </w:lvl>
    <w:lvl w:ilvl="8" w:tplc="0C090005" w:tentative="1">
      <w:start w:val="1"/>
      <w:numFmt w:val="bullet"/>
      <w:lvlText w:val=""/>
      <w:lvlJc w:val="left"/>
      <w:pPr>
        <w:tabs>
          <w:tab w:val="num" w:pos="6191"/>
        </w:tabs>
        <w:ind w:left="6191" w:hanging="360"/>
      </w:pPr>
      <w:rPr>
        <w:rFonts w:ascii="Wingdings" w:hAnsi="Wingdings" w:hint="default"/>
      </w:rPr>
    </w:lvl>
  </w:abstractNum>
  <w:abstractNum w:abstractNumId="10"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EAD3C20"/>
    <w:multiLevelType w:val="hybridMultilevel"/>
    <w:tmpl w:val="C5F254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3"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4" w15:restartNumberingAfterBreak="0">
    <w:nsid w:val="17763353"/>
    <w:multiLevelType w:val="hybridMultilevel"/>
    <w:tmpl w:val="811EBC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6" w15:restartNumberingAfterBreak="0">
    <w:nsid w:val="2DCD3EA4"/>
    <w:multiLevelType w:val="hybridMultilevel"/>
    <w:tmpl w:val="C5F254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8" w15:restartNumberingAfterBreak="0">
    <w:nsid w:val="36161A02"/>
    <w:multiLevelType w:val="hybridMultilevel"/>
    <w:tmpl w:val="E9CCE2E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9"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0" w15:restartNumberingAfterBreak="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022460"/>
    <w:multiLevelType w:val="hybridMultilevel"/>
    <w:tmpl w:val="49A84A98"/>
    <w:lvl w:ilvl="0" w:tplc="19CCFD84">
      <w:start w:val="1"/>
      <w:numFmt w:val="bullet"/>
      <w:lvlText w:val="-"/>
      <w:lvlJc w:val="left"/>
      <w:pPr>
        <w:ind w:left="720" w:hanging="360"/>
      </w:pPr>
      <w:rPr>
        <w:rFonts w:ascii="Courier New" w:hAnsi="Courier New" w:hint="default"/>
      </w:rPr>
    </w:lvl>
    <w:lvl w:ilvl="1" w:tplc="19CCFD84">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3"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AE565E2"/>
    <w:multiLevelType w:val="hybridMultilevel"/>
    <w:tmpl w:val="E81AD46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E7F328E"/>
    <w:multiLevelType w:val="hybridMultilevel"/>
    <w:tmpl w:val="5D1C6A64"/>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6" w15:restartNumberingAfterBreak="0">
    <w:nsid w:val="50B20F8D"/>
    <w:multiLevelType w:val="hybridMultilevel"/>
    <w:tmpl w:val="89923B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566F50"/>
    <w:multiLevelType w:val="hybridMultilevel"/>
    <w:tmpl w:val="226A9D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5752EB7"/>
    <w:multiLevelType w:val="hybridMultilevel"/>
    <w:tmpl w:val="E056D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30" w15:restartNumberingAfterBreak="0">
    <w:nsid w:val="5DAF5A75"/>
    <w:multiLevelType w:val="hybridMultilevel"/>
    <w:tmpl w:val="CE1465BC"/>
    <w:lvl w:ilvl="0" w:tplc="80CC74BC">
      <w:numFmt w:val="bullet"/>
      <w:lvlText w:val="-"/>
      <w:lvlJc w:val="left"/>
      <w:pPr>
        <w:ind w:left="700" w:hanging="360"/>
      </w:pPr>
      <w:rPr>
        <w:rFonts w:ascii="Arial" w:eastAsiaTheme="minorHAnsi" w:hAnsi="Arial" w:cs="Aria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1"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34" w15:restartNumberingAfterBreak="0">
    <w:nsid w:val="6FFC7155"/>
    <w:multiLevelType w:val="hybridMultilevel"/>
    <w:tmpl w:val="2BEED172"/>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5"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36" w15:restartNumberingAfterBreak="0">
    <w:nsid w:val="73C92C99"/>
    <w:multiLevelType w:val="hybridMultilevel"/>
    <w:tmpl w:val="489629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38"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39" w15:restartNumberingAfterBreak="0">
    <w:nsid w:val="773D3946"/>
    <w:multiLevelType w:val="hybridMultilevel"/>
    <w:tmpl w:val="2EC21FA2"/>
    <w:lvl w:ilvl="0" w:tplc="24BA34F6">
      <w:start w:val="1"/>
      <w:numFmt w:val="lowerLetter"/>
      <w:lvlText w:val="(%1)"/>
      <w:lvlJc w:val="left"/>
      <w:pPr>
        <w:ind w:left="720" w:hanging="360"/>
      </w:pPr>
      <w:rPr>
        <w:rFonts w:eastAsia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41" w15:restartNumberingAfterBreak="0">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1"/>
  </w:num>
  <w:num w:numId="3">
    <w:abstractNumId w:val="7"/>
  </w:num>
  <w:num w:numId="4">
    <w:abstractNumId w:val="6"/>
  </w:num>
  <w:num w:numId="5">
    <w:abstractNumId w:val="5"/>
  </w:num>
  <w:num w:numId="6">
    <w:abstractNumId w:val="4"/>
  </w:num>
  <w:num w:numId="7">
    <w:abstractNumId w:val="1"/>
  </w:num>
  <w:num w:numId="8">
    <w:abstractNumId w:val="0"/>
  </w:num>
  <w:num w:numId="9">
    <w:abstractNumId w:val="33"/>
  </w:num>
  <w:num w:numId="10">
    <w:abstractNumId w:val="20"/>
  </w:num>
  <w:num w:numId="11">
    <w:abstractNumId w:val="10"/>
  </w:num>
  <w:num w:numId="12">
    <w:abstractNumId w:val="15"/>
  </w:num>
  <w:num w:numId="13">
    <w:abstractNumId w:val="19"/>
  </w:num>
  <w:num w:numId="14">
    <w:abstractNumId w:val="2"/>
  </w:num>
  <w:num w:numId="15">
    <w:abstractNumId w:val="35"/>
  </w:num>
  <w:num w:numId="16">
    <w:abstractNumId w:val="40"/>
  </w:num>
  <w:num w:numId="17">
    <w:abstractNumId w:val="38"/>
  </w:num>
  <w:num w:numId="18">
    <w:abstractNumId w:val="29"/>
  </w:num>
  <w:num w:numId="19">
    <w:abstractNumId w:val="17"/>
  </w:num>
  <w:num w:numId="20">
    <w:abstractNumId w:val="22"/>
  </w:num>
  <w:num w:numId="21">
    <w:abstractNumId w:val="37"/>
  </w:num>
  <w:num w:numId="22">
    <w:abstractNumId w:val="31"/>
  </w:num>
  <w:num w:numId="23">
    <w:abstractNumId w:val="8"/>
  </w:num>
  <w:num w:numId="24">
    <w:abstractNumId w:val="3"/>
  </w:num>
  <w:num w:numId="25">
    <w:abstractNumId w:val="23"/>
  </w:num>
  <w:num w:numId="26">
    <w:abstractNumId w:val="13"/>
  </w:num>
  <w:num w:numId="27">
    <w:abstractNumId w:val="32"/>
  </w:num>
  <w:num w:numId="28">
    <w:abstractNumId w:val="9"/>
  </w:num>
  <w:num w:numId="29">
    <w:abstractNumId w:val="26"/>
  </w:num>
  <w:num w:numId="30">
    <w:abstractNumId w:val="25"/>
  </w:num>
  <w:num w:numId="31">
    <w:abstractNumId w:val="11"/>
  </w:num>
  <w:num w:numId="32">
    <w:abstractNumId w:val="39"/>
  </w:num>
  <w:num w:numId="33">
    <w:abstractNumId w:val="18"/>
  </w:num>
  <w:num w:numId="34">
    <w:abstractNumId w:val="24"/>
  </w:num>
  <w:num w:numId="35">
    <w:abstractNumId w:val="14"/>
  </w:num>
  <w:num w:numId="36">
    <w:abstractNumId w:val="36"/>
  </w:num>
  <w:num w:numId="37">
    <w:abstractNumId w:val="21"/>
  </w:num>
  <w:num w:numId="38">
    <w:abstractNumId w:val="28"/>
  </w:num>
  <w:num w:numId="39">
    <w:abstractNumId w:val="27"/>
  </w:num>
  <w:num w:numId="40">
    <w:abstractNumId w:val="34"/>
  </w:num>
  <w:num w:numId="41">
    <w:abstractNumId w:val="30"/>
  </w:num>
  <w:num w:numId="42">
    <w:abstractNumId w:val="10"/>
  </w:num>
  <w:num w:numId="43">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homesharecl\HomeDrives\dsmit\Desktop\Normal.dotm"/>
  </w:docVars>
  <w:rsids>
    <w:rsidRoot w:val="00BC2A36"/>
    <w:rsid w:val="00000596"/>
    <w:rsid w:val="000015D6"/>
    <w:rsid w:val="00017558"/>
    <w:rsid w:val="0002115F"/>
    <w:rsid w:val="00021202"/>
    <w:rsid w:val="000225C4"/>
    <w:rsid w:val="00026BD0"/>
    <w:rsid w:val="0003578C"/>
    <w:rsid w:val="00054CFE"/>
    <w:rsid w:val="00063247"/>
    <w:rsid w:val="00063333"/>
    <w:rsid w:val="00070F9F"/>
    <w:rsid w:val="0007137B"/>
    <w:rsid w:val="0008273E"/>
    <w:rsid w:val="00085663"/>
    <w:rsid w:val="00085EBF"/>
    <w:rsid w:val="000A193D"/>
    <w:rsid w:val="000B393B"/>
    <w:rsid w:val="000D122C"/>
    <w:rsid w:val="000D57ED"/>
    <w:rsid w:val="000E1819"/>
    <w:rsid w:val="000E4D8E"/>
    <w:rsid w:val="000E6C72"/>
    <w:rsid w:val="000F2368"/>
    <w:rsid w:val="00116EB2"/>
    <w:rsid w:val="00124609"/>
    <w:rsid w:val="001278E0"/>
    <w:rsid w:val="00130B83"/>
    <w:rsid w:val="00133FB0"/>
    <w:rsid w:val="00150645"/>
    <w:rsid w:val="00151CB7"/>
    <w:rsid w:val="001573E4"/>
    <w:rsid w:val="00160756"/>
    <w:rsid w:val="00162467"/>
    <w:rsid w:val="0017232E"/>
    <w:rsid w:val="00174102"/>
    <w:rsid w:val="00180157"/>
    <w:rsid w:val="00181223"/>
    <w:rsid w:val="00186A2C"/>
    <w:rsid w:val="00186F77"/>
    <w:rsid w:val="001926A4"/>
    <w:rsid w:val="001A3A19"/>
    <w:rsid w:val="001B01D2"/>
    <w:rsid w:val="001B246B"/>
    <w:rsid w:val="001B45A0"/>
    <w:rsid w:val="001C18EE"/>
    <w:rsid w:val="001C517B"/>
    <w:rsid w:val="001C78F9"/>
    <w:rsid w:val="001D055E"/>
    <w:rsid w:val="001D7E8A"/>
    <w:rsid w:val="001F4418"/>
    <w:rsid w:val="001F492E"/>
    <w:rsid w:val="001F6DA3"/>
    <w:rsid w:val="00204A5A"/>
    <w:rsid w:val="00212737"/>
    <w:rsid w:val="00224DB9"/>
    <w:rsid w:val="00251745"/>
    <w:rsid w:val="00263AC0"/>
    <w:rsid w:val="0026772D"/>
    <w:rsid w:val="0028169B"/>
    <w:rsid w:val="00281976"/>
    <w:rsid w:val="0028253B"/>
    <w:rsid w:val="00286874"/>
    <w:rsid w:val="00296B65"/>
    <w:rsid w:val="002A7DEF"/>
    <w:rsid w:val="002E4CFF"/>
    <w:rsid w:val="002F7986"/>
    <w:rsid w:val="00303C4A"/>
    <w:rsid w:val="00303ED1"/>
    <w:rsid w:val="003056AB"/>
    <w:rsid w:val="00307F6D"/>
    <w:rsid w:val="003177A2"/>
    <w:rsid w:val="003271B5"/>
    <w:rsid w:val="003301BA"/>
    <w:rsid w:val="0033092A"/>
    <w:rsid w:val="00330CA0"/>
    <w:rsid w:val="00331264"/>
    <w:rsid w:val="00334C8D"/>
    <w:rsid w:val="00335077"/>
    <w:rsid w:val="00340655"/>
    <w:rsid w:val="00341AAD"/>
    <w:rsid w:val="003459E6"/>
    <w:rsid w:val="0034711B"/>
    <w:rsid w:val="003518B3"/>
    <w:rsid w:val="00362ACD"/>
    <w:rsid w:val="00367006"/>
    <w:rsid w:val="00371641"/>
    <w:rsid w:val="00382055"/>
    <w:rsid w:val="003846F1"/>
    <w:rsid w:val="003A673F"/>
    <w:rsid w:val="003B5A70"/>
    <w:rsid w:val="003B5E6B"/>
    <w:rsid w:val="003C49BE"/>
    <w:rsid w:val="003C5151"/>
    <w:rsid w:val="003C7A51"/>
    <w:rsid w:val="003E586F"/>
    <w:rsid w:val="003E608B"/>
    <w:rsid w:val="003F1A94"/>
    <w:rsid w:val="003F6FFC"/>
    <w:rsid w:val="004039CF"/>
    <w:rsid w:val="004224CC"/>
    <w:rsid w:val="00433395"/>
    <w:rsid w:val="00435E03"/>
    <w:rsid w:val="004453CA"/>
    <w:rsid w:val="004557AE"/>
    <w:rsid w:val="0046231D"/>
    <w:rsid w:val="00475DDE"/>
    <w:rsid w:val="00476969"/>
    <w:rsid w:val="00480B4B"/>
    <w:rsid w:val="00485DC4"/>
    <w:rsid w:val="00491231"/>
    <w:rsid w:val="004B2343"/>
    <w:rsid w:val="004B4412"/>
    <w:rsid w:val="004C2D77"/>
    <w:rsid w:val="004C348C"/>
    <w:rsid w:val="004C67D0"/>
    <w:rsid w:val="004D1733"/>
    <w:rsid w:val="004D2159"/>
    <w:rsid w:val="004D55BA"/>
    <w:rsid w:val="004D6153"/>
    <w:rsid w:val="004E25D6"/>
    <w:rsid w:val="004F0FC4"/>
    <w:rsid w:val="005038DB"/>
    <w:rsid w:val="00504B6E"/>
    <w:rsid w:val="0052379B"/>
    <w:rsid w:val="00530128"/>
    <w:rsid w:val="00532467"/>
    <w:rsid w:val="00547BA2"/>
    <w:rsid w:val="00547CCF"/>
    <w:rsid w:val="00547F9A"/>
    <w:rsid w:val="00562AB4"/>
    <w:rsid w:val="005639F4"/>
    <w:rsid w:val="00564A4D"/>
    <w:rsid w:val="00571B35"/>
    <w:rsid w:val="00571C9F"/>
    <w:rsid w:val="005720CA"/>
    <w:rsid w:val="005736FA"/>
    <w:rsid w:val="00577A09"/>
    <w:rsid w:val="00580B78"/>
    <w:rsid w:val="00584D8F"/>
    <w:rsid w:val="00596D42"/>
    <w:rsid w:val="005A404D"/>
    <w:rsid w:val="005B091B"/>
    <w:rsid w:val="005B1E3C"/>
    <w:rsid w:val="005B6290"/>
    <w:rsid w:val="005C24AC"/>
    <w:rsid w:val="005C26CC"/>
    <w:rsid w:val="005C6FF1"/>
    <w:rsid w:val="005E16CF"/>
    <w:rsid w:val="005E6C0E"/>
    <w:rsid w:val="005F29D9"/>
    <w:rsid w:val="00603408"/>
    <w:rsid w:val="0061226F"/>
    <w:rsid w:val="00615C6B"/>
    <w:rsid w:val="00621485"/>
    <w:rsid w:val="00632D6D"/>
    <w:rsid w:val="00634DA8"/>
    <w:rsid w:val="00642C3E"/>
    <w:rsid w:val="00646025"/>
    <w:rsid w:val="0065198F"/>
    <w:rsid w:val="00652D9F"/>
    <w:rsid w:val="00663DAD"/>
    <w:rsid w:val="006676C4"/>
    <w:rsid w:val="00676679"/>
    <w:rsid w:val="00685E86"/>
    <w:rsid w:val="00690CB4"/>
    <w:rsid w:val="00691616"/>
    <w:rsid w:val="00693679"/>
    <w:rsid w:val="006A1D8C"/>
    <w:rsid w:val="006B4CF9"/>
    <w:rsid w:val="006B68AA"/>
    <w:rsid w:val="006B7AC8"/>
    <w:rsid w:val="006C69BD"/>
    <w:rsid w:val="006D550F"/>
    <w:rsid w:val="006D77F3"/>
    <w:rsid w:val="006D796E"/>
    <w:rsid w:val="006E1F54"/>
    <w:rsid w:val="00701CAB"/>
    <w:rsid w:val="00707563"/>
    <w:rsid w:val="007109B9"/>
    <w:rsid w:val="0072348C"/>
    <w:rsid w:val="00724A37"/>
    <w:rsid w:val="00724FBE"/>
    <w:rsid w:val="007303C3"/>
    <w:rsid w:val="0073638F"/>
    <w:rsid w:val="0074002D"/>
    <w:rsid w:val="0074275F"/>
    <w:rsid w:val="00743223"/>
    <w:rsid w:val="00746E01"/>
    <w:rsid w:val="00763E5D"/>
    <w:rsid w:val="00767740"/>
    <w:rsid w:val="00775671"/>
    <w:rsid w:val="00777EE6"/>
    <w:rsid w:val="0078232C"/>
    <w:rsid w:val="00782EEA"/>
    <w:rsid w:val="007870C5"/>
    <w:rsid w:val="00790F1D"/>
    <w:rsid w:val="007939B9"/>
    <w:rsid w:val="007A7A37"/>
    <w:rsid w:val="007B2C72"/>
    <w:rsid w:val="007C1AB7"/>
    <w:rsid w:val="007C1C53"/>
    <w:rsid w:val="007D23DB"/>
    <w:rsid w:val="007E26A9"/>
    <w:rsid w:val="007E4904"/>
    <w:rsid w:val="007E4CB5"/>
    <w:rsid w:val="007F066B"/>
    <w:rsid w:val="008033C4"/>
    <w:rsid w:val="00806C88"/>
    <w:rsid w:val="00810089"/>
    <w:rsid w:val="0081034E"/>
    <w:rsid w:val="00815EFB"/>
    <w:rsid w:val="0082166A"/>
    <w:rsid w:val="00825DED"/>
    <w:rsid w:val="0083241A"/>
    <w:rsid w:val="008344F6"/>
    <w:rsid w:val="0083510F"/>
    <w:rsid w:val="00840383"/>
    <w:rsid w:val="00851209"/>
    <w:rsid w:val="0088007E"/>
    <w:rsid w:val="008837AC"/>
    <w:rsid w:val="008945B4"/>
    <w:rsid w:val="008A587D"/>
    <w:rsid w:val="008B1803"/>
    <w:rsid w:val="008C5486"/>
    <w:rsid w:val="008E7031"/>
    <w:rsid w:val="00913AFB"/>
    <w:rsid w:val="009224A1"/>
    <w:rsid w:val="00922C95"/>
    <w:rsid w:val="009233EE"/>
    <w:rsid w:val="00930C8C"/>
    <w:rsid w:val="0093685A"/>
    <w:rsid w:val="00937B97"/>
    <w:rsid w:val="00952DAA"/>
    <w:rsid w:val="009661DE"/>
    <w:rsid w:val="00974187"/>
    <w:rsid w:val="009856B7"/>
    <w:rsid w:val="0098602B"/>
    <w:rsid w:val="00991B3B"/>
    <w:rsid w:val="009962BA"/>
    <w:rsid w:val="009A5260"/>
    <w:rsid w:val="009B74B0"/>
    <w:rsid w:val="009D4414"/>
    <w:rsid w:val="009D6B46"/>
    <w:rsid w:val="009E2EC6"/>
    <w:rsid w:val="009E3546"/>
    <w:rsid w:val="009F4940"/>
    <w:rsid w:val="00A0248C"/>
    <w:rsid w:val="00A02C08"/>
    <w:rsid w:val="00A1665B"/>
    <w:rsid w:val="00A316CA"/>
    <w:rsid w:val="00A323D9"/>
    <w:rsid w:val="00A4478A"/>
    <w:rsid w:val="00A44852"/>
    <w:rsid w:val="00A5505E"/>
    <w:rsid w:val="00A57D04"/>
    <w:rsid w:val="00A60A26"/>
    <w:rsid w:val="00A61598"/>
    <w:rsid w:val="00A845B9"/>
    <w:rsid w:val="00A84F46"/>
    <w:rsid w:val="00A871F4"/>
    <w:rsid w:val="00A928F5"/>
    <w:rsid w:val="00A93FA8"/>
    <w:rsid w:val="00A95546"/>
    <w:rsid w:val="00AB5F3D"/>
    <w:rsid w:val="00AC1B2C"/>
    <w:rsid w:val="00AC3264"/>
    <w:rsid w:val="00AC3E35"/>
    <w:rsid w:val="00AC6F01"/>
    <w:rsid w:val="00AE0FE2"/>
    <w:rsid w:val="00AE1BF1"/>
    <w:rsid w:val="00AE6FEC"/>
    <w:rsid w:val="00AF0DD2"/>
    <w:rsid w:val="00AF36F7"/>
    <w:rsid w:val="00B02060"/>
    <w:rsid w:val="00B10314"/>
    <w:rsid w:val="00B13048"/>
    <w:rsid w:val="00B15998"/>
    <w:rsid w:val="00B15D95"/>
    <w:rsid w:val="00B1716D"/>
    <w:rsid w:val="00B17A1D"/>
    <w:rsid w:val="00B207A0"/>
    <w:rsid w:val="00B23802"/>
    <w:rsid w:val="00B47B5D"/>
    <w:rsid w:val="00B56E03"/>
    <w:rsid w:val="00B576A5"/>
    <w:rsid w:val="00B60F5D"/>
    <w:rsid w:val="00B62438"/>
    <w:rsid w:val="00B64FB0"/>
    <w:rsid w:val="00B67279"/>
    <w:rsid w:val="00B67E91"/>
    <w:rsid w:val="00B8080B"/>
    <w:rsid w:val="00B859EA"/>
    <w:rsid w:val="00B87C39"/>
    <w:rsid w:val="00B90A7A"/>
    <w:rsid w:val="00BA4665"/>
    <w:rsid w:val="00BB0226"/>
    <w:rsid w:val="00BB2FB2"/>
    <w:rsid w:val="00BB3304"/>
    <w:rsid w:val="00BB34C5"/>
    <w:rsid w:val="00BB6611"/>
    <w:rsid w:val="00BC2A36"/>
    <w:rsid w:val="00BD3446"/>
    <w:rsid w:val="00BE0328"/>
    <w:rsid w:val="00BE1F1B"/>
    <w:rsid w:val="00BE258E"/>
    <w:rsid w:val="00BE47B5"/>
    <w:rsid w:val="00BE4C99"/>
    <w:rsid w:val="00BF43C7"/>
    <w:rsid w:val="00C058AB"/>
    <w:rsid w:val="00C06739"/>
    <w:rsid w:val="00C07FD0"/>
    <w:rsid w:val="00C142AF"/>
    <w:rsid w:val="00C4502B"/>
    <w:rsid w:val="00C4603F"/>
    <w:rsid w:val="00C52898"/>
    <w:rsid w:val="00C538A9"/>
    <w:rsid w:val="00C53B5A"/>
    <w:rsid w:val="00C54F5A"/>
    <w:rsid w:val="00C555CA"/>
    <w:rsid w:val="00C61114"/>
    <w:rsid w:val="00C755AD"/>
    <w:rsid w:val="00C86679"/>
    <w:rsid w:val="00C91ECD"/>
    <w:rsid w:val="00C94B9A"/>
    <w:rsid w:val="00CA2072"/>
    <w:rsid w:val="00CA55C4"/>
    <w:rsid w:val="00CB666B"/>
    <w:rsid w:val="00CD1565"/>
    <w:rsid w:val="00CE73D7"/>
    <w:rsid w:val="00CF73F5"/>
    <w:rsid w:val="00CF799E"/>
    <w:rsid w:val="00D01CF0"/>
    <w:rsid w:val="00D0442A"/>
    <w:rsid w:val="00D12C04"/>
    <w:rsid w:val="00D14AEF"/>
    <w:rsid w:val="00D15619"/>
    <w:rsid w:val="00D17ADE"/>
    <w:rsid w:val="00D203E1"/>
    <w:rsid w:val="00D34345"/>
    <w:rsid w:val="00D404DF"/>
    <w:rsid w:val="00D43C3F"/>
    <w:rsid w:val="00D521D5"/>
    <w:rsid w:val="00D544B8"/>
    <w:rsid w:val="00D55909"/>
    <w:rsid w:val="00D56A1C"/>
    <w:rsid w:val="00D61388"/>
    <w:rsid w:val="00D61A54"/>
    <w:rsid w:val="00D64DEA"/>
    <w:rsid w:val="00D71AE2"/>
    <w:rsid w:val="00D74259"/>
    <w:rsid w:val="00D74966"/>
    <w:rsid w:val="00D7592E"/>
    <w:rsid w:val="00D80893"/>
    <w:rsid w:val="00D85224"/>
    <w:rsid w:val="00D92CF1"/>
    <w:rsid w:val="00D92D38"/>
    <w:rsid w:val="00D950F5"/>
    <w:rsid w:val="00DA7EC2"/>
    <w:rsid w:val="00DB0F93"/>
    <w:rsid w:val="00DB127B"/>
    <w:rsid w:val="00DC2C83"/>
    <w:rsid w:val="00DC542F"/>
    <w:rsid w:val="00DC7981"/>
    <w:rsid w:val="00DE0BE2"/>
    <w:rsid w:val="00DE4EFA"/>
    <w:rsid w:val="00DE5520"/>
    <w:rsid w:val="00DF3292"/>
    <w:rsid w:val="00DF7A73"/>
    <w:rsid w:val="00E04818"/>
    <w:rsid w:val="00E048D5"/>
    <w:rsid w:val="00E06442"/>
    <w:rsid w:val="00E14CAC"/>
    <w:rsid w:val="00E21755"/>
    <w:rsid w:val="00E2373F"/>
    <w:rsid w:val="00E23993"/>
    <w:rsid w:val="00E25B8C"/>
    <w:rsid w:val="00E27642"/>
    <w:rsid w:val="00E27BC0"/>
    <w:rsid w:val="00E4674F"/>
    <w:rsid w:val="00E614B2"/>
    <w:rsid w:val="00E62918"/>
    <w:rsid w:val="00E65C85"/>
    <w:rsid w:val="00E66199"/>
    <w:rsid w:val="00E755EC"/>
    <w:rsid w:val="00E7624D"/>
    <w:rsid w:val="00E77FC1"/>
    <w:rsid w:val="00E83A4F"/>
    <w:rsid w:val="00E90293"/>
    <w:rsid w:val="00EA3D42"/>
    <w:rsid w:val="00EA632A"/>
    <w:rsid w:val="00EA6B1B"/>
    <w:rsid w:val="00ED04EA"/>
    <w:rsid w:val="00ED782C"/>
    <w:rsid w:val="00EE28F3"/>
    <w:rsid w:val="00EF2D50"/>
    <w:rsid w:val="00EF5110"/>
    <w:rsid w:val="00EF7835"/>
    <w:rsid w:val="00F02E2E"/>
    <w:rsid w:val="00F15882"/>
    <w:rsid w:val="00F20BD3"/>
    <w:rsid w:val="00F2199C"/>
    <w:rsid w:val="00F2341C"/>
    <w:rsid w:val="00F373A5"/>
    <w:rsid w:val="00F4163E"/>
    <w:rsid w:val="00F438C1"/>
    <w:rsid w:val="00F47559"/>
    <w:rsid w:val="00F50677"/>
    <w:rsid w:val="00F539BC"/>
    <w:rsid w:val="00F541E0"/>
    <w:rsid w:val="00F56D2D"/>
    <w:rsid w:val="00F60BE4"/>
    <w:rsid w:val="00F61B84"/>
    <w:rsid w:val="00F64C7B"/>
    <w:rsid w:val="00F66BE1"/>
    <w:rsid w:val="00F676DD"/>
    <w:rsid w:val="00F67839"/>
    <w:rsid w:val="00F75A26"/>
    <w:rsid w:val="00F82A50"/>
    <w:rsid w:val="00F83FAD"/>
    <w:rsid w:val="00F91DC6"/>
    <w:rsid w:val="00F952A0"/>
    <w:rsid w:val="00FA3C7F"/>
    <w:rsid w:val="00FA427E"/>
    <w:rsid w:val="00FA4E09"/>
    <w:rsid w:val="00FB52D7"/>
    <w:rsid w:val="00FB74E2"/>
    <w:rsid w:val="00FC020D"/>
    <w:rsid w:val="00FC37AF"/>
    <w:rsid w:val="00FD5614"/>
    <w:rsid w:val="00FD7D8D"/>
    <w:rsid w:val="00FE0BE1"/>
    <w:rsid w:val="00FE1DE9"/>
    <w:rsid w:val="00FE39C2"/>
    <w:rsid w:val="00FE64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FAC2A"/>
  <w15:chartTrackingRefBased/>
  <w15:docId w15:val="{5489EBCF-FA93-4D4E-A38F-C711B999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lsdException w:name="footnote text" w:semiHidden="1" w:uiPriority="2"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A70"/>
    <w:rPr>
      <w:rFonts w:ascii="Arial" w:hAnsi="Arial"/>
    </w:rPr>
  </w:style>
  <w:style w:type="paragraph" w:styleId="Heading1">
    <w:name w:val="heading 1"/>
    <w:basedOn w:val="Normal"/>
    <w:next w:val="Normal"/>
    <w:link w:val="Heading1Char"/>
    <w:uiPriority w:val="9"/>
    <w:qFormat/>
    <w:rsid w:val="00E27642"/>
    <w:pPr>
      <w:spacing w:before="240"/>
      <w:outlineLvl w:val="0"/>
    </w:pPr>
    <w:rPr>
      <w:rFonts w:ascii="Palatino Linotype" w:eastAsiaTheme="majorEastAsia" w:hAnsi="Palatino Linotype" w:cstheme="majorBidi"/>
      <w:bCs/>
      <w:color w:val="410099" w:themeColor="accent1"/>
      <w:sz w:val="36"/>
      <w:szCs w:val="28"/>
    </w:rPr>
  </w:style>
  <w:style w:type="paragraph" w:styleId="Heading2">
    <w:name w:val="heading 2"/>
    <w:next w:val="Normal"/>
    <w:link w:val="Heading2Char"/>
    <w:uiPriority w:val="9"/>
    <w:qFormat/>
    <w:rsid w:val="00E27642"/>
    <w:pPr>
      <w:spacing w:line="240" w:lineRule="atLeast"/>
      <w:outlineLvl w:val="1"/>
    </w:pPr>
    <w:rPr>
      <w:rFonts w:ascii="Arial" w:eastAsiaTheme="majorEastAsia" w:hAnsi="Arial" w:cstheme="majorBidi"/>
      <w:bCs/>
      <w:color w:val="410099" w:themeColor="accent1"/>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E27642"/>
    <w:pPr>
      <w:spacing w:before="240"/>
      <w:outlineLvl w:val="3"/>
    </w:pPr>
    <w:rPr>
      <w:rFonts w:eastAsiaTheme="majorEastAsia" w:cstheme="majorBidi"/>
      <w:b/>
      <w:bCs/>
      <w:i/>
      <w:iCs/>
      <w:color w:val="410099" w:themeColor="accent1"/>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0004C"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410099"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642"/>
    <w:rPr>
      <w:rFonts w:ascii="Palatino Linotype" w:eastAsiaTheme="majorEastAsia" w:hAnsi="Palatino Linotype" w:cstheme="majorBidi"/>
      <w:bCs/>
      <w:color w:val="410099" w:themeColor="accent1"/>
      <w:sz w:val="36"/>
      <w:szCs w:val="28"/>
    </w:rPr>
  </w:style>
  <w:style w:type="character" w:customStyle="1" w:styleId="Heading2Char">
    <w:name w:val="Heading 2 Char"/>
    <w:basedOn w:val="DefaultParagraphFont"/>
    <w:link w:val="Heading2"/>
    <w:uiPriority w:val="9"/>
    <w:rsid w:val="00E27642"/>
    <w:rPr>
      <w:rFonts w:ascii="Arial" w:eastAsiaTheme="majorEastAsia" w:hAnsi="Arial" w:cstheme="majorBidi"/>
      <w:bCs/>
      <w:color w:val="410099" w:themeColor="accent1"/>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E27642"/>
    <w:rPr>
      <w:rFonts w:ascii="Arial" w:eastAsiaTheme="majorEastAsia" w:hAnsi="Arial" w:cstheme="majorBidi"/>
      <w:b/>
      <w:bCs/>
      <w:i/>
      <w:iCs/>
      <w:color w:val="410099" w:themeColor="accent1"/>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0004C"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E27642"/>
    <w:pPr>
      <w:spacing w:before="520" w:after="120"/>
    </w:pPr>
    <w:rPr>
      <w:rFonts w:ascii="Palatino Linotype" w:hAnsi="Palatino Linotype"/>
      <w:color w:val="410099" w:themeColor="accent1"/>
      <w:sz w:val="52"/>
      <w:szCs w:val="52"/>
    </w:rPr>
  </w:style>
  <w:style w:type="character" w:customStyle="1" w:styleId="ChaptertitleChar">
    <w:name w:val="Chapter title Char"/>
    <w:basedOn w:val="DefaultParagraphFont"/>
    <w:link w:val="Chaptertitle"/>
    <w:rsid w:val="00E27642"/>
    <w:rPr>
      <w:rFonts w:ascii="Palatino Linotype" w:hAnsi="Palatino Linotype"/>
      <w:color w:val="410099" w:themeColor="accent1"/>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E27642"/>
    <w:pPr>
      <w:spacing w:line="360" w:lineRule="auto"/>
      <w:contextualSpacing/>
    </w:pPr>
    <w:rPr>
      <w:sz w:val="16"/>
      <w:szCs w:val="16"/>
    </w:rPr>
  </w:style>
  <w:style w:type="character" w:customStyle="1" w:styleId="CopyrighttextChar">
    <w:name w:val="Copyright text Char"/>
    <w:basedOn w:val="DefaultParagraphFont"/>
    <w:link w:val="Copyrighttext"/>
    <w:uiPriority w:val="2"/>
    <w:rsid w:val="00E27642"/>
    <w:rPr>
      <w:rFonts w:ascii="Arial" w:hAnsi="Arial"/>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A323D9"/>
    <w:pPr>
      <w:numPr>
        <w:ilvl w:val="1"/>
        <w:numId w:val="12"/>
      </w:numPr>
      <w:tabs>
        <w:tab w:val="left" w:pos="1021"/>
      </w:tabs>
      <w:ind w:left="1021" w:hanging="1021"/>
    </w:pPr>
    <w:rPr>
      <w:rFonts w:cs="Arial"/>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E27642"/>
    <w:pPr>
      <w:tabs>
        <w:tab w:val="center" w:pos="4513"/>
        <w:tab w:val="right" w:pos="9026"/>
      </w:tabs>
      <w:spacing w:after="120"/>
    </w:pPr>
    <w:rPr>
      <w:sz w:val="18"/>
    </w:rPr>
  </w:style>
  <w:style w:type="character" w:customStyle="1" w:styleId="HeaderChar">
    <w:name w:val="Header Char"/>
    <w:basedOn w:val="DefaultParagraphFont"/>
    <w:link w:val="Header"/>
    <w:uiPriority w:val="99"/>
    <w:rsid w:val="00E27642"/>
    <w:rPr>
      <w:rFonts w:ascii="Arial" w:hAnsi="Arial"/>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27642"/>
    <w:pPr>
      <w:spacing w:after="120"/>
      <w:contextualSpacing/>
    </w:pPr>
    <w:rPr>
      <w:rFonts w:ascii="Palatino Linotype" w:hAnsi="Palatino Linotype"/>
      <w:b/>
      <w:color w:val="362F52" w:themeColor="accent3"/>
      <w:sz w:val="24"/>
      <w:szCs w:val="24"/>
    </w:rPr>
  </w:style>
  <w:style w:type="character" w:customStyle="1" w:styleId="PullquoteheadingChar">
    <w:name w:val="Pull quote heading Char"/>
    <w:basedOn w:val="DefaultParagraphFont"/>
    <w:link w:val="Pullquoteheading"/>
    <w:uiPriority w:val="1"/>
    <w:rsid w:val="00E27642"/>
    <w:rPr>
      <w:rFonts w:ascii="Palatino Linotype" w:hAnsi="Palatino Linotype"/>
      <w:b/>
      <w:color w:val="362F52" w:themeColor="accent3"/>
      <w:sz w:val="24"/>
      <w:szCs w:val="24"/>
    </w:rPr>
  </w:style>
  <w:style w:type="paragraph" w:customStyle="1" w:styleId="Pullquotetext">
    <w:name w:val="Pull quote text"/>
    <w:link w:val="PullquotetextChar"/>
    <w:uiPriority w:val="1"/>
    <w:rsid w:val="00E27642"/>
    <w:pPr>
      <w:spacing w:before="120"/>
    </w:pPr>
    <w:rPr>
      <w:rFonts w:ascii="Palatino Linotype" w:hAnsi="Palatino Linotype"/>
      <w:color w:val="362F52" w:themeColor="accent3"/>
      <w:szCs w:val="24"/>
    </w:rPr>
  </w:style>
  <w:style w:type="character" w:customStyle="1" w:styleId="PullquotetextChar">
    <w:name w:val="Pull quote text Char"/>
    <w:basedOn w:val="PullquoteheadingChar"/>
    <w:link w:val="Pullquotetext"/>
    <w:uiPriority w:val="1"/>
    <w:rsid w:val="00E27642"/>
    <w:rPr>
      <w:rFonts w:ascii="Palatino Linotype" w:hAnsi="Palatino Linotype"/>
      <w:b w:val="0"/>
      <w:color w:val="362F52" w:themeColor="accent3"/>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93685A"/>
    <w:pPr>
      <w:spacing w:before="480" w:after="120" w:line="276" w:lineRule="auto"/>
    </w:pPr>
    <w:rPr>
      <w:rFonts w:ascii="Palatino Linotype" w:eastAsiaTheme="majorEastAsia" w:hAnsi="Palatino Linotype" w:cstheme="majorBidi"/>
      <w:bCs/>
      <w:color w:val="410099" w:themeColor="accent1"/>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E27642"/>
    <w:pPr>
      <w:tabs>
        <w:tab w:val="center" w:pos="4513"/>
        <w:tab w:val="right" w:pos="9026"/>
      </w:tabs>
      <w:spacing w:after="120"/>
    </w:pPr>
    <w:rPr>
      <w:sz w:val="18"/>
    </w:rPr>
  </w:style>
  <w:style w:type="character" w:customStyle="1" w:styleId="FooterChar">
    <w:name w:val="Footer Char"/>
    <w:basedOn w:val="DefaultParagraphFont"/>
    <w:link w:val="Footer"/>
    <w:uiPriority w:val="99"/>
    <w:rsid w:val="00E27642"/>
    <w:rPr>
      <w:rFonts w:ascii="Arial" w:hAnsi="Arial"/>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410099"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00072" w:themeColor="accent1" w:themeShade="BF"/>
    </w:rPr>
    <w:tblPr>
      <w:tblStyleRowBandSize w:val="1"/>
      <w:tblStyleColBandSize w:val="1"/>
      <w:tblBorders>
        <w:top w:val="single" w:sz="8" w:space="0" w:color="410099" w:themeColor="accent1"/>
        <w:bottom w:val="single" w:sz="8" w:space="0" w:color="410099" w:themeColor="accent1"/>
      </w:tblBorders>
    </w:tblPr>
    <w:tblStylePr w:type="firstRow">
      <w:pPr>
        <w:spacing w:before="0" w:after="0" w:line="240" w:lineRule="auto"/>
      </w:pPr>
      <w:rPr>
        <w:b/>
        <w:bCs/>
      </w:rPr>
      <w:tblPr/>
      <w:tcPr>
        <w:tcBorders>
          <w:top w:val="single" w:sz="8" w:space="0" w:color="410099" w:themeColor="accent1"/>
          <w:left w:val="nil"/>
          <w:bottom w:val="single" w:sz="8" w:space="0" w:color="410099" w:themeColor="accent1"/>
          <w:right w:val="nil"/>
          <w:insideH w:val="nil"/>
          <w:insideV w:val="nil"/>
        </w:tcBorders>
      </w:tcPr>
    </w:tblStylePr>
    <w:tblStylePr w:type="lastRow">
      <w:pPr>
        <w:spacing w:before="0" w:after="0" w:line="240" w:lineRule="auto"/>
      </w:pPr>
      <w:rPr>
        <w:b/>
        <w:bCs/>
      </w:rPr>
      <w:tblPr/>
      <w:tcPr>
        <w:tcBorders>
          <w:top w:val="single" w:sz="8" w:space="0" w:color="410099" w:themeColor="accent1"/>
          <w:left w:val="nil"/>
          <w:bottom w:val="single" w:sz="8" w:space="0" w:color="4100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A6FF" w:themeFill="accent1" w:themeFillTint="3F"/>
      </w:tcPr>
    </w:tblStylePr>
    <w:tblStylePr w:type="band1Horz">
      <w:tblPr/>
      <w:tcPr>
        <w:tcBorders>
          <w:left w:val="nil"/>
          <w:right w:val="nil"/>
          <w:insideH w:val="nil"/>
          <w:insideV w:val="nil"/>
        </w:tcBorders>
        <w:shd w:val="clear" w:color="auto" w:fill="CCA6FF"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blBorders>
    </w:tblPr>
    <w:tcPr>
      <w:vAlign w:val="center"/>
    </w:tcPr>
    <w:tblStylePr w:type="fir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l2br w:val="nil"/>
          <w:tr2bl w:val="nil"/>
        </w:tcBorders>
      </w:tcPr>
    </w:tblStylePr>
    <w:tblStylePr w:type="la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28233D" w:themeColor="accent3" w:themeShade="BF"/>
    </w:rPr>
    <w:tblPr>
      <w:tblStyleRowBandSize w:val="1"/>
      <w:tblStyleColBandSize w:val="1"/>
      <w:tblBorders>
        <w:top w:val="single" w:sz="8" w:space="0" w:color="362F52" w:themeColor="accent3"/>
        <w:bottom w:val="single" w:sz="8" w:space="0" w:color="362F52" w:themeColor="accent3"/>
      </w:tblBorders>
    </w:tblPr>
    <w:tblStylePr w:type="firstRow">
      <w:pPr>
        <w:spacing w:before="0" w:after="0" w:line="240" w:lineRule="auto"/>
      </w:pPr>
      <w:rPr>
        <w:b/>
        <w:bCs/>
      </w:rPr>
      <w:tblPr/>
      <w:tcPr>
        <w:tcBorders>
          <w:top w:val="single" w:sz="8" w:space="0" w:color="362F52" w:themeColor="accent3"/>
          <w:left w:val="nil"/>
          <w:bottom w:val="single" w:sz="8" w:space="0" w:color="362F52" w:themeColor="accent3"/>
          <w:right w:val="nil"/>
          <w:insideH w:val="nil"/>
          <w:insideV w:val="nil"/>
        </w:tcBorders>
      </w:tcPr>
    </w:tblStylePr>
    <w:tblStylePr w:type="lastRow">
      <w:pPr>
        <w:spacing w:before="0" w:after="0" w:line="240" w:lineRule="auto"/>
      </w:pPr>
      <w:rPr>
        <w:b/>
        <w:bCs/>
      </w:rPr>
      <w:tblPr/>
      <w:tcPr>
        <w:tcBorders>
          <w:top w:val="single" w:sz="8" w:space="0" w:color="362F52" w:themeColor="accent3"/>
          <w:left w:val="nil"/>
          <w:bottom w:val="single" w:sz="8" w:space="0" w:color="362F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3DC" w:themeFill="accent3" w:themeFillTint="3F"/>
      </w:tcPr>
    </w:tblStylePr>
    <w:tblStylePr w:type="band1Horz">
      <w:tblPr/>
      <w:tcPr>
        <w:tcBorders>
          <w:left w:val="nil"/>
          <w:right w:val="nil"/>
          <w:insideH w:val="nil"/>
          <w:insideV w:val="nil"/>
        </w:tcBorders>
        <w:shd w:val="clear" w:color="auto" w:fill="C8C3DC"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insideH w:val="single" w:sz="8" w:space="0" w:color="FF7600" w:themeColor="accent6"/>
        <w:insideV w:val="single" w:sz="8" w:space="0" w:color="FF7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18" w:space="0" w:color="FF7600" w:themeColor="accent6"/>
          <w:right w:val="single" w:sz="8" w:space="0" w:color="FF7600" w:themeColor="accent6"/>
          <w:insideH w:val="nil"/>
          <w:insideV w:val="single" w:sz="8" w:space="0" w:color="FF7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insideH w:val="nil"/>
          <w:insideV w:val="single" w:sz="8" w:space="0" w:color="FF7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shd w:val="clear" w:color="auto" w:fill="FFDDC0" w:themeFill="accent6" w:themeFillTint="3F"/>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shd w:val="clear" w:color="auto" w:fill="FFDDC0" w:themeFill="accent6" w:themeFillTint="3F"/>
      </w:tcPr>
    </w:tblStylePr>
    <w:tblStylePr w:type="band2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single" w:sz="8" w:space="0" w:color="6600F2" w:themeColor="accent1" w:themeTint="BF"/>
      </w:tblBorders>
    </w:tblPr>
    <w:tblStylePr w:type="firstRow">
      <w:pPr>
        <w:spacing w:before="0" w:after="0" w:line="240" w:lineRule="auto"/>
      </w:pPr>
      <w:rPr>
        <w:b/>
        <w:bCs/>
        <w:color w:val="FFFFFF" w:themeColor="background1"/>
      </w:rPr>
      <w:tblPr/>
      <w:tcPr>
        <w:tcBorders>
          <w:top w:val="single" w:sz="8"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nil"/>
          <w:insideV w:val="nil"/>
        </w:tcBorders>
        <w:shd w:val="clear" w:color="auto" w:fill="410099" w:themeFill="accent1"/>
      </w:tcPr>
    </w:tblStylePr>
    <w:tblStylePr w:type="lastRow">
      <w:pPr>
        <w:spacing w:before="0" w:after="0" w:line="240" w:lineRule="auto"/>
      </w:pPr>
      <w:rPr>
        <w:b/>
        <w:bCs/>
      </w:rPr>
      <w:tblPr/>
      <w:tcPr>
        <w:tcBorders>
          <w:top w:val="double" w:sz="6"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CA6FF" w:themeFill="accent1" w:themeFillTint="3F"/>
      </w:tcPr>
    </w:tblStylePr>
    <w:tblStylePr w:type="band1Horz">
      <w:tblPr/>
      <w:tcPr>
        <w:tcBorders>
          <w:insideH w:val="nil"/>
          <w:insideV w:val="nil"/>
        </w:tcBorders>
        <w:shd w:val="clear" w:color="auto" w:fill="CCA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single" w:sz="8" w:space="0" w:color="49E6E0" w:themeColor="accent2" w:themeTint="BF"/>
      </w:tblBorders>
    </w:tblPr>
    <w:tblStylePr w:type="firstRow">
      <w:pPr>
        <w:spacing w:before="0" w:after="0" w:line="240" w:lineRule="auto"/>
      </w:pPr>
      <w:rPr>
        <w:b/>
        <w:bCs/>
        <w:color w:val="FFFFFF" w:themeColor="background1"/>
      </w:rPr>
      <w:tblPr/>
      <w:tcPr>
        <w:tcBorders>
          <w:top w:val="single" w:sz="8"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nil"/>
          <w:insideV w:val="nil"/>
        </w:tcBorders>
        <w:shd w:val="clear" w:color="auto" w:fill="1CCFC9" w:themeFill="accent2"/>
      </w:tcPr>
    </w:tblStylePr>
    <w:tblStylePr w:type="lastRow">
      <w:pPr>
        <w:spacing w:before="0" w:after="0" w:line="240" w:lineRule="auto"/>
      </w:pPr>
      <w:rPr>
        <w:b/>
        <w:bCs/>
      </w:rPr>
      <w:tblPr/>
      <w:tcPr>
        <w:tcBorders>
          <w:top w:val="double" w:sz="6"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3F7F5" w:themeFill="accent2" w:themeFillTint="3F"/>
      </w:tcPr>
    </w:tblStylePr>
    <w:tblStylePr w:type="band1Horz">
      <w:tblPr/>
      <w:tcPr>
        <w:tcBorders>
          <w:insideH w:val="nil"/>
          <w:insideV w:val="nil"/>
        </w:tcBorders>
        <w:shd w:val="clear" w:color="auto" w:fill="C3F7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single" w:sz="8" w:space="0" w:color="5D518E" w:themeColor="accent3" w:themeTint="BF"/>
      </w:tblBorders>
    </w:tblPr>
    <w:tblStylePr w:type="firstRow">
      <w:pPr>
        <w:spacing w:before="0" w:after="0" w:line="240" w:lineRule="auto"/>
      </w:pPr>
      <w:rPr>
        <w:b/>
        <w:bCs/>
        <w:color w:val="FFFFFF" w:themeColor="background1"/>
      </w:rPr>
      <w:tblPr/>
      <w:tcPr>
        <w:tcBorders>
          <w:top w:val="single" w:sz="8"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nil"/>
          <w:insideV w:val="nil"/>
        </w:tcBorders>
        <w:shd w:val="clear" w:color="auto" w:fill="362F52" w:themeFill="accent3"/>
      </w:tcPr>
    </w:tblStylePr>
    <w:tblStylePr w:type="lastRow">
      <w:pPr>
        <w:spacing w:before="0" w:after="0" w:line="240" w:lineRule="auto"/>
      </w:pPr>
      <w:rPr>
        <w:b/>
        <w:bCs/>
      </w:rPr>
      <w:tblPr/>
      <w:tcPr>
        <w:tcBorders>
          <w:top w:val="double" w:sz="6"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nil"/>
          <w:insideV w:val="nil"/>
        </w:tcBorders>
      </w:tcPr>
    </w:tblStylePr>
    <w:tblStylePr w:type="firstCol">
      <w:rPr>
        <w:b/>
        <w:bCs/>
      </w:rPr>
    </w:tblStylePr>
    <w:tblStylePr w:type="lastCol">
      <w:rPr>
        <w:b/>
        <w:bCs/>
      </w:rPr>
    </w:tblStylePr>
    <w:tblStylePr w:type="band1Vert">
      <w:tblPr/>
      <w:tcPr>
        <w:shd w:val="clear" w:color="auto" w:fill="C8C3DC" w:themeFill="accent3" w:themeFillTint="3F"/>
      </w:tcPr>
    </w:tblStylePr>
    <w:tblStylePr w:type="band1Horz">
      <w:tblPr/>
      <w:tcPr>
        <w:tcBorders>
          <w:insideH w:val="nil"/>
          <w:insideV w:val="nil"/>
        </w:tcBorders>
        <w:shd w:val="clear" w:color="auto" w:fill="C8C3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single" w:sz="8" w:space="0" w:color="A8B5FF" w:themeColor="accent4" w:themeTint="BF"/>
      </w:tblBorders>
    </w:tblPr>
    <w:tblStylePr w:type="firstRow">
      <w:pPr>
        <w:spacing w:before="0" w:after="0" w:line="240" w:lineRule="auto"/>
      </w:pPr>
      <w:rPr>
        <w:b/>
        <w:bCs/>
        <w:color w:val="FFFFFF" w:themeColor="background1"/>
      </w:rPr>
      <w:tblPr/>
      <w:tcPr>
        <w:tcBorders>
          <w:top w:val="single" w:sz="8"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nil"/>
          <w:insideV w:val="nil"/>
        </w:tcBorders>
        <w:shd w:val="clear" w:color="auto" w:fill="8B9EFF" w:themeFill="accent4"/>
      </w:tcPr>
    </w:tblStylePr>
    <w:tblStylePr w:type="lastRow">
      <w:pPr>
        <w:spacing w:before="0" w:after="0" w:line="240" w:lineRule="auto"/>
      </w:pPr>
      <w:rPr>
        <w:b/>
        <w:bCs/>
      </w:rPr>
      <w:tblPr/>
      <w:tcPr>
        <w:tcBorders>
          <w:top w:val="double" w:sz="6"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6FF" w:themeFill="accent4" w:themeFillTint="3F"/>
      </w:tcPr>
    </w:tblStylePr>
    <w:tblStylePr w:type="band1Horz">
      <w:tblPr/>
      <w:tcPr>
        <w:tcBorders>
          <w:insideH w:val="nil"/>
          <w:insideV w:val="nil"/>
        </w:tcBorders>
        <w:shd w:val="clear" w:color="auto" w:fill="E2E6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single" w:sz="8" w:space="0" w:color="FFD341" w:themeColor="accent5" w:themeTint="BF"/>
      </w:tblBorders>
    </w:tblPr>
    <w:tblStylePr w:type="firstRow">
      <w:pPr>
        <w:spacing w:before="0" w:after="0" w:line="240" w:lineRule="auto"/>
      </w:pPr>
      <w:rPr>
        <w:b/>
        <w:bCs/>
        <w:color w:val="FFFFFF" w:themeColor="background1"/>
      </w:rPr>
      <w:tblPr/>
      <w:tcPr>
        <w:tc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shd w:val="clear" w:color="auto" w:fill="FFC502" w:themeFill="accent5"/>
      </w:tcPr>
    </w:tblStylePr>
    <w:tblStylePr w:type="lastRow">
      <w:pPr>
        <w:spacing w:before="0" w:after="0" w:line="240" w:lineRule="auto"/>
      </w:pPr>
      <w:rPr>
        <w:b/>
        <w:bCs/>
      </w:rPr>
      <w:tblPr/>
      <w:tcPr>
        <w:tcBorders>
          <w:top w:val="double" w:sz="6"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5" w:themeFillTint="3F"/>
      </w:tcPr>
    </w:tblStylePr>
    <w:tblStylePr w:type="band1Horz">
      <w:tblPr/>
      <w:tcPr>
        <w:tcBorders>
          <w:insideH w:val="nil"/>
          <w:insideV w:val="nil"/>
        </w:tcBorders>
        <w:shd w:val="clear" w:color="auto" w:fill="FFF0C0"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C09300" w:themeColor="accent5" w:themeShade="BF"/>
    </w:rPr>
    <w:tblPr>
      <w:tblStyleRowBandSize w:val="1"/>
      <w:tblStyleColBandSize w:val="1"/>
      <w:tblBorders>
        <w:top w:val="single" w:sz="8" w:space="0" w:color="FFC502" w:themeColor="accent5"/>
        <w:bottom w:val="single" w:sz="8" w:space="0" w:color="FFC502" w:themeColor="accent5"/>
      </w:tblBorders>
    </w:tblPr>
    <w:tblStylePr w:type="fir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la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5" w:themeFillTint="3F"/>
      </w:tcPr>
    </w:tblStylePr>
    <w:tblStylePr w:type="band1Horz">
      <w:tblPr/>
      <w:tcPr>
        <w:tcBorders>
          <w:left w:val="nil"/>
          <w:right w:val="nil"/>
          <w:insideH w:val="nil"/>
          <w:insideV w:val="nil"/>
        </w:tcBorders>
        <w:shd w:val="clear" w:color="auto" w:fill="FFF0C0"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362F52" w:themeColor="accent3"/>
        <w:left w:val="single" w:sz="8" w:space="0" w:color="362F52" w:themeColor="accent3"/>
        <w:bottom w:val="single" w:sz="8" w:space="0" w:color="362F52" w:themeColor="accent3"/>
        <w:right w:val="single" w:sz="8" w:space="0" w:color="362F52" w:themeColor="accent3"/>
        <w:insideH w:val="single" w:sz="8" w:space="0" w:color="362F52" w:themeColor="accent3"/>
        <w:insideV w:val="single" w:sz="8" w:space="0" w:color="362F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2F52" w:themeColor="accent3"/>
          <w:left w:val="single" w:sz="8" w:space="0" w:color="362F52" w:themeColor="accent3"/>
          <w:bottom w:val="single" w:sz="18" w:space="0" w:color="362F52" w:themeColor="accent3"/>
          <w:right w:val="single" w:sz="8" w:space="0" w:color="362F52" w:themeColor="accent3"/>
          <w:insideH w:val="nil"/>
          <w:insideV w:val="single" w:sz="8" w:space="0" w:color="362F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2F52" w:themeColor="accent3"/>
          <w:left w:val="single" w:sz="8" w:space="0" w:color="362F52" w:themeColor="accent3"/>
          <w:bottom w:val="single" w:sz="8" w:space="0" w:color="362F52" w:themeColor="accent3"/>
          <w:right w:val="single" w:sz="8" w:space="0" w:color="362F52" w:themeColor="accent3"/>
          <w:insideH w:val="nil"/>
          <w:insideV w:val="single" w:sz="8" w:space="0" w:color="362F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tblStylePr w:type="band1Vert">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shd w:val="clear" w:color="auto" w:fill="C8C3DC" w:themeFill="accent3" w:themeFillTint="3F"/>
      </w:tcPr>
    </w:tblStylePr>
    <w:tblStylePr w:type="band1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insideV w:val="single" w:sz="8" w:space="0" w:color="362F52" w:themeColor="accent3"/>
        </w:tcBorders>
        <w:shd w:val="clear" w:color="auto" w:fill="C8C3DC" w:themeFill="accent3" w:themeFillTint="3F"/>
      </w:tcPr>
    </w:tblStylePr>
    <w:tblStylePr w:type="band2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insideV w:val="single" w:sz="8" w:space="0" w:color="362F52"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A323D9"/>
    <w:pPr>
      <w:spacing w:before="720" w:after="120"/>
      <w:contextualSpacing/>
    </w:pPr>
    <w:rPr>
      <w:rFonts w:ascii="Palatino Linotype" w:eastAsiaTheme="majorEastAsia" w:hAnsi="Palatino Linotype" w:cstheme="majorBidi"/>
      <w:color w:val="410099" w:themeColor="accent1"/>
      <w:spacing w:val="5"/>
      <w:kern w:val="28"/>
      <w:sz w:val="72"/>
      <w:szCs w:val="52"/>
    </w:rPr>
  </w:style>
  <w:style w:type="character" w:customStyle="1" w:styleId="TitleChar">
    <w:name w:val="Title Char"/>
    <w:basedOn w:val="DefaultParagraphFont"/>
    <w:link w:val="Title"/>
    <w:uiPriority w:val="10"/>
    <w:rsid w:val="00A323D9"/>
    <w:rPr>
      <w:rFonts w:ascii="Palatino Linotype" w:eastAsiaTheme="majorEastAsia" w:hAnsi="Palatino Linotype" w:cstheme="majorBidi"/>
      <w:color w:val="410099" w:themeColor="accent1"/>
      <w:spacing w:val="5"/>
      <w:kern w:val="28"/>
      <w:sz w:val="72"/>
      <w:szCs w:val="52"/>
    </w:rPr>
  </w:style>
  <w:style w:type="paragraph" w:customStyle="1" w:styleId="CoverDate">
    <w:name w:val="Cover Date"/>
    <w:rsid w:val="00E27642"/>
    <w:rPr>
      <w:rFonts w:ascii="Palatino Linotype" w:hAnsi="Palatino Linotype"/>
      <w:color w:val="362F52" w:themeColor="accent3"/>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410099" w:themeColor="accent1"/>
        <w:left w:val="single" w:sz="8" w:space="0" w:color="410099" w:themeColor="accent1"/>
        <w:bottom w:val="single" w:sz="8" w:space="0" w:color="410099" w:themeColor="accent1"/>
        <w:right w:val="single" w:sz="8" w:space="0" w:color="410099" w:themeColor="accent1"/>
      </w:tblBorders>
    </w:tblPr>
    <w:tblStylePr w:type="firstRow">
      <w:pPr>
        <w:spacing w:before="0" w:after="0" w:line="240" w:lineRule="auto"/>
      </w:pPr>
      <w:rPr>
        <w:b/>
        <w:bCs/>
        <w:color w:val="FFFFFF" w:themeColor="background1"/>
      </w:rPr>
      <w:tblPr/>
      <w:tcPr>
        <w:shd w:val="clear" w:color="auto" w:fill="410099" w:themeFill="accent1"/>
      </w:tcPr>
    </w:tblStylePr>
    <w:tblStylePr w:type="lastRow">
      <w:pPr>
        <w:spacing w:before="0" w:after="0" w:line="240" w:lineRule="auto"/>
      </w:pPr>
      <w:rPr>
        <w:b/>
        <w:bCs/>
      </w:rPr>
      <w:tblPr/>
      <w:tcPr>
        <w:tcBorders>
          <w:top w:val="double" w:sz="6" w:space="0" w:color="410099" w:themeColor="accent1"/>
          <w:left w:val="single" w:sz="8" w:space="0" w:color="410099" w:themeColor="accent1"/>
          <w:bottom w:val="single" w:sz="8" w:space="0" w:color="410099" w:themeColor="accent1"/>
          <w:right w:val="single" w:sz="8" w:space="0" w:color="410099" w:themeColor="accent1"/>
        </w:tcBorders>
      </w:tcPr>
    </w:tblStylePr>
    <w:tblStylePr w:type="firstCol">
      <w:rPr>
        <w:b/>
        <w:bCs/>
      </w:rPr>
    </w:tblStylePr>
    <w:tblStylePr w:type="lastCol">
      <w:rPr>
        <w:b/>
        <w:bCs/>
      </w:rPr>
    </w:tblStylePr>
    <w:tblStylePr w:type="band1Vert">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tblStylePr w:type="band1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362F52" w:themeColor="accent3"/>
        <w:left w:val="single" w:sz="8" w:space="0" w:color="362F52" w:themeColor="accent3"/>
        <w:bottom w:val="single" w:sz="8" w:space="0" w:color="362F52" w:themeColor="accent3"/>
        <w:right w:val="single" w:sz="8" w:space="0" w:color="362F52" w:themeColor="accent3"/>
      </w:tblBorders>
    </w:tblPr>
    <w:tblStylePr w:type="firstRow">
      <w:pPr>
        <w:spacing w:before="0" w:after="0" w:line="240" w:lineRule="auto"/>
      </w:pPr>
      <w:rPr>
        <w:b/>
        <w:bCs/>
        <w:color w:val="FFFFFF" w:themeColor="background1"/>
      </w:rPr>
      <w:tblPr/>
      <w:tcPr>
        <w:shd w:val="clear" w:color="auto" w:fill="362F52" w:themeFill="accent3"/>
      </w:tcPr>
    </w:tblStylePr>
    <w:tblStylePr w:type="lastRow">
      <w:pPr>
        <w:spacing w:before="0" w:after="0" w:line="240" w:lineRule="auto"/>
      </w:pPr>
      <w:rPr>
        <w:b/>
        <w:bCs/>
      </w:rPr>
      <w:tblPr/>
      <w:tcPr>
        <w:tcBorders>
          <w:top w:val="double" w:sz="6" w:space="0" w:color="362F52" w:themeColor="accent3"/>
          <w:left w:val="single" w:sz="8" w:space="0" w:color="362F52" w:themeColor="accent3"/>
          <w:bottom w:val="single" w:sz="8" w:space="0" w:color="362F52" w:themeColor="accent3"/>
          <w:right w:val="single" w:sz="8" w:space="0" w:color="362F52" w:themeColor="accent3"/>
        </w:tcBorders>
      </w:tcPr>
    </w:tblStylePr>
    <w:tblStylePr w:type="firstCol">
      <w:rPr>
        <w:b/>
        <w:bCs/>
      </w:rPr>
    </w:tblStylePr>
    <w:tblStylePr w:type="lastCol">
      <w:rPr>
        <w:b/>
        <w:bCs/>
      </w:rPr>
    </w:tblStylePr>
    <w:tblStylePr w:type="band1Vert">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tblStylePr w:type="band1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tblBorders>
    </w:tblPr>
    <w:tblStylePr w:type="firstRow">
      <w:pPr>
        <w:spacing w:before="0" w:after="0" w:line="240" w:lineRule="auto"/>
      </w:pPr>
      <w:rPr>
        <w:b/>
        <w:bCs/>
        <w:color w:val="auto"/>
      </w:rPr>
      <w:tblPr/>
      <w:tcPr>
        <w:shd w:val="clear" w:color="auto" w:fill="FFC502" w:themeFill="accent5"/>
      </w:tcPr>
    </w:tblStylePr>
    <w:tblStylePr w:type="lastRow">
      <w:pPr>
        <w:spacing w:before="0" w:after="0" w:line="240" w:lineRule="auto"/>
      </w:pPr>
      <w:rPr>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tcBorders>
      </w:tcPr>
    </w:tblStylePr>
    <w:tblStylePr w:type="firstCol">
      <w:rPr>
        <w:b/>
        <w:bCs/>
      </w:rPr>
    </w:tblStylePr>
    <w:tblStylePr w:type="lastCol">
      <w:rPr>
        <w:b/>
        <w:bCs/>
      </w:r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E27642"/>
    <w:pPr>
      <w:spacing w:before="360" w:after="120"/>
    </w:pPr>
    <w:rPr>
      <w:rFonts w:ascii="Palatino Linotype" w:hAnsi="Palatino Linotype"/>
      <w:color w:val="410099" w:themeColor="accent1"/>
      <w:sz w:val="52"/>
      <w:szCs w:val="52"/>
    </w:rPr>
  </w:style>
  <w:style w:type="character" w:customStyle="1" w:styleId="SubtitleChar">
    <w:name w:val="Subtitle Char"/>
    <w:basedOn w:val="DefaultParagraphFont"/>
    <w:link w:val="Subtitle"/>
    <w:uiPriority w:val="11"/>
    <w:rsid w:val="00E27642"/>
    <w:rPr>
      <w:rFonts w:ascii="Palatino Linotype" w:hAnsi="Palatino Linotype"/>
      <w:color w:val="410099" w:themeColor="accent1"/>
      <w:sz w:val="52"/>
      <w:szCs w:val="52"/>
    </w:rPr>
  </w:style>
  <w:style w:type="table" w:styleId="LightShading-Accent4">
    <w:name w:val="Light Shading Accent 4"/>
    <w:basedOn w:val="TableNormal"/>
    <w:uiPriority w:val="60"/>
    <w:rsid w:val="00746E01"/>
    <w:pPr>
      <w:spacing w:before="0"/>
    </w:pPr>
    <w:rPr>
      <w:color w:val="284AFF" w:themeColor="accent4" w:themeShade="BF"/>
    </w:rPr>
    <w:tblPr>
      <w:tblStyleRowBandSize w:val="1"/>
      <w:tblStyleColBandSize w:val="1"/>
      <w:tblBorders>
        <w:top w:val="single" w:sz="8" w:space="0" w:color="8B9EFF" w:themeColor="accent4"/>
        <w:bottom w:val="single" w:sz="8" w:space="0" w:color="8B9EFF" w:themeColor="accent4"/>
      </w:tblBorders>
    </w:tblPr>
    <w:tblStylePr w:type="firstRow">
      <w:pPr>
        <w:spacing w:before="0" w:after="0" w:line="240" w:lineRule="auto"/>
      </w:pPr>
      <w:rPr>
        <w:b/>
        <w:bCs/>
      </w:rPr>
      <w:tblPr/>
      <w:tcPr>
        <w:tcBorders>
          <w:top w:val="single" w:sz="8" w:space="0" w:color="8B9EFF" w:themeColor="accent4"/>
          <w:left w:val="nil"/>
          <w:bottom w:val="single" w:sz="8" w:space="0" w:color="8B9EFF" w:themeColor="accent4"/>
          <w:right w:val="nil"/>
          <w:insideH w:val="nil"/>
          <w:insideV w:val="nil"/>
        </w:tcBorders>
      </w:tcPr>
    </w:tblStylePr>
    <w:tblStylePr w:type="lastRow">
      <w:pPr>
        <w:spacing w:before="0" w:after="0" w:line="240" w:lineRule="auto"/>
      </w:pPr>
      <w:rPr>
        <w:b/>
        <w:bCs/>
      </w:rPr>
      <w:tblPr/>
      <w:tcPr>
        <w:tcBorders>
          <w:top w:val="single" w:sz="8" w:space="0" w:color="8B9EFF" w:themeColor="accent4"/>
          <w:left w:val="nil"/>
          <w:bottom w:val="single" w:sz="8" w:space="0" w:color="8B9E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6FF" w:themeFill="accent4" w:themeFillTint="3F"/>
      </w:tcPr>
    </w:tblStylePr>
    <w:tblStylePr w:type="band1Horz">
      <w:tblPr/>
      <w:tcPr>
        <w:tcBorders>
          <w:left w:val="nil"/>
          <w:right w:val="nil"/>
          <w:insideH w:val="nil"/>
          <w:insideV w:val="nil"/>
        </w:tcBorders>
        <w:shd w:val="clear" w:color="auto" w:fill="E2E6FF" w:themeFill="accent4" w:themeFillTint="3F"/>
      </w:tcPr>
    </w:tblStylePr>
  </w:style>
  <w:style w:type="table" w:styleId="LightShading-Accent6">
    <w:name w:val="Light Shading Accent 6"/>
    <w:basedOn w:val="TableNormal"/>
    <w:uiPriority w:val="60"/>
    <w:rsid w:val="00746E01"/>
    <w:pPr>
      <w:spacing w:before="0"/>
    </w:pPr>
    <w:rPr>
      <w:color w:val="BF5800" w:themeColor="accent6" w:themeShade="BF"/>
    </w:rPr>
    <w:tblPr>
      <w:tblStyleRowBandSize w:val="1"/>
      <w:tblStyleColBandSize w:val="1"/>
      <w:tblBorders>
        <w:top w:val="single" w:sz="8" w:space="0" w:color="FF7600" w:themeColor="accent6"/>
        <w:bottom w:val="single" w:sz="8" w:space="0" w:color="FF7600" w:themeColor="accent6"/>
      </w:tblBorders>
    </w:tblPr>
    <w:tblStylePr w:type="fir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la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0" w:themeFill="accent6" w:themeFillTint="3F"/>
      </w:tcPr>
    </w:tblStylePr>
    <w:tblStylePr w:type="band1Horz">
      <w:tblPr/>
      <w:tcPr>
        <w:tcBorders>
          <w:left w:val="nil"/>
          <w:right w:val="nil"/>
          <w:insideH w:val="nil"/>
          <w:insideV w:val="nil"/>
        </w:tcBorders>
        <w:shd w:val="clear" w:color="auto" w:fill="FFDDC0"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1CCFC9" w:themeColor="accent2"/>
        <w:left w:val="single" w:sz="8" w:space="0" w:color="1CCFC9" w:themeColor="accent2"/>
        <w:bottom w:val="single" w:sz="8" w:space="0" w:color="1CCFC9" w:themeColor="accent2"/>
        <w:right w:val="single" w:sz="8" w:space="0" w:color="1CCFC9" w:themeColor="accent2"/>
      </w:tblBorders>
    </w:tblPr>
    <w:tblStylePr w:type="firstRow">
      <w:pPr>
        <w:spacing w:before="0" w:after="0" w:line="240" w:lineRule="auto"/>
      </w:pPr>
      <w:rPr>
        <w:b/>
        <w:bCs/>
        <w:color w:val="FFFFFF" w:themeColor="background1"/>
      </w:rPr>
      <w:tblPr/>
      <w:tcPr>
        <w:shd w:val="clear" w:color="auto" w:fill="1CCFC9" w:themeFill="accent2"/>
      </w:tcPr>
    </w:tblStylePr>
    <w:tblStylePr w:type="lastRow">
      <w:pPr>
        <w:spacing w:before="0" w:after="0" w:line="240" w:lineRule="auto"/>
      </w:pPr>
      <w:rPr>
        <w:b/>
        <w:bCs/>
      </w:rPr>
      <w:tblPr/>
      <w:tcPr>
        <w:tcBorders>
          <w:top w:val="double" w:sz="6" w:space="0" w:color="1CCFC9" w:themeColor="accent2"/>
          <w:left w:val="single" w:sz="8" w:space="0" w:color="1CCFC9" w:themeColor="accent2"/>
          <w:bottom w:val="single" w:sz="8" w:space="0" w:color="1CCFC9" w:themeColor="accent2"/>
          <w:right w:val="single" w:sz="8" w:space="0" w:color="1CCFC9" w:themeColor="accent2"/>
        </w:tcBorders>
      </w:tcPr>
    </w:tblStylePr>
    <w:tblStylePr w:type="firstCol">
      <w:rPr>
        <w:b/>
        <w:bCs/>
      </w:rPr>
    </w:tblStylePr>
    <w:tblStylePr w:type="lastCol">
      <w:rPr>
        <w:b/>
        <w:bCs/>
      </w:rPr>
    </w:tblStylePr>
    <w:tblStylePr w:type="band1Vert">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tblStylePr w:type="band1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8B9EFF" w:themeColor="accent4"/>
        <w:left w:val="single" w:sz="8" w:space="0" w:color="8B9EFF" w:themeColor="accent4"/>
        <w:bottom w:val="single" w:sz="8" w:space="0" w:color="8B9EFF" w:themeColor="accent4"/>
        <w:right w:val="single" w:sz="8" w:space="0" w:color="8B9EFF" w:themeColor="accent4"/>
      </w:tblBorders>
    </w:tblPr>
    <w:tblStylePr w:type="firstRow">
      <w:pPr>
        <w:spacing w:before="0" w:after="0" w:line="240" w:lineRule="auto"/>
      </w:pPr>
      <w:rPr>
        <w:b/>
        <w:bCs/>
        <w:color w:val="FFFFFF" w:themeColor="background1"/>
      </w:rPr>
      <w:tblPr/>
      <w:tcPr>
        <w:shd w:val="clear" w:color="auto" w:fill="8B9EFF" w:themeFill="accent4"/>
      </w:tcPr>
    </w:tblStylePr>
    <w:tblStylePr w:type="lastRow">
      <w:pPr>
        <w:spacing w:before="0" w:after="0" w:line="240" w:lineRule="auto"/>
      </w:pPr>
      <w:rPr>
        <w:b/>
        <w:bCs/>
      </w:rPr>
      <w:tblPr/>
      <w:tcPr>
        <w:tcBorders>
          <w:top w:val="double" w:sz="6" w:space="0" w:color="8B9EFF" w:themeColor="accent4"/>
          <w:left w:val="single" w:sz="8" w:space="0" w:color="8B9EFF" w:themeColor="accent4"/>
          <w:bottom w:val="single" w:sz="8" w:space="0" w:color="8B9EFF" w:themeColor="accent4"/>
          <w:right w:val="single" w:sz="8" w:space="0" w:color="8B9EFF" w:themeColor="accent4"/>
        </w:tcBorders>
      </w:tcPr>
    </w:tblStylePr>
    <w:tblStylePr w:type="firstCol">
      <w:rPr>
        <w:b/>
        <w:bCs/>
      </w:rPr>
    </w:tblStylePr>
    <w:tblStylePr w:type="lastCol">
      <w:rPr>
        <w:b/>
        <w:bCs/>
      </w:rPr>
    </w:tblStylePr>
    <w:tblStylePr w:type="band1Vert">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tblStylePr w:type="band1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tblBorders>
    </w:tblPr>
    <w:tblStylePr w:type="firstRow">
      <w:pPr>
        <w:spacing w:before="0" w:after="0" w:line="240" w:lineRule="auto"/>
      </w:pPr>
      <w:rPr>
        <w:b/>
        <w:bCs/>
        <w:color w:val="FFFFFF" w:themeColor="background1"/>
      </w:rPr>
      <w:tblPr/>
      <w:tcPr>
        <w:shd w:val="clear" w:color="auto" w:fill="FF7600" w:themeFill="accent6"/>
      </w:tcPr>
    </w:tblStylePr>
    <w:tblStylePr w:type="lastRow">
      <w:pPr>
        <w:spacing w:before="0" w:after="0" w:line="240" w:lineRule="auto"/>
      </w:pPr>
      <w:rPr>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tcBorders>
      </w:tcPr>
    </w:tblStylePr>
    <w:tblStylePr w:type="firstCol">
      <w:rPr>
        <w:b/>
        <w:bCs/>
      </w:rPr>
    </w:tblStylePr>
    <w:tblStylePr w:type="lastCol">
      <w:rPr>
        <w:b/>
        <w:bCs/>
      </w:r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410099" w:themeColor="accent1"/>
        <w:left w:val="single" w:sz="8" w:space="0" w:color="410099" w:themeColor="accent1"/>
        <w:bottom w:val="single" w:sz="8" w:space="0" w:color="410099" w:themeColor="accent1"/>
        <w:right w:val="single" w:sz="8" w:space="0" w:color="410099" w:themeColor="accent1"/>
        <w:insideH w:val="single" w:sz="8" w:space="0" w:color="410099" w:themeColor="accent1"/>
        <w:insideV w:val="single" w:sz="8" w:space="0" w:color="41009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0099" w:themeColor="accent1"/>
          <w:left w:val="single" w:sz="8" w:space="0" w:color="410099" w:themeColor="accent1"/>
          <w:bottom w:val="single" w:sz="18" w:space="0" w:color="410099" w:themeColor="accent1"/>
          <w:right w:val="single" w:sz="8" w:space="0" w:color="410099" w:themeColor="accent1"/>
          <w:insideH w:val="nil"/>
          <w:insideV w:val="single" w:sz="8" w:space="0" w:color="41009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0099" w:themeColor="accent1"/>
          <w:left w:val="single" w:sz="8" w:space="0" w:color="410099" w:themeColor="accent1"/>
          <w:bottom w:val="single" w:sz="8" w:space="0" w:color="410099" w:themeColor="accent1"/>
          <w:right w:val="single" w:sz="8" w:space="0" w:color="410099" w:themeColor="accent1"/>
          <w:insideH w:val="nil"/>
          <w:insideV w:val="single" w:sz="8" w:space="0" w:color="41009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tblStylePr w:type="band1Vert">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shd w:val="clear" w:color="auto" w:fill="CCA6FF" w:themeFill="accent1" w:themeFillTint="3F"/>
      </w:tcPr>
    </w:tblStylePr>
    <w:tblStylePr w:type="band1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insideV w:val="single" w:sz="8" w:space="0" w:color="410099" w:themeColor="accent1"/>
        </w:tcBorders>
        <w:shd w:val="clear" w:color="auto" w:fill="CCA6FF" w:themeFill="accent1" w:themeFillTint="3F"/>
      </w:tcPr>
    </w:tblStylePr>
    <w:tblStylePr w:type="band2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insideV w:val="single" w:sz="8" w:space="0" w:color="410099"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1CCFC9" w:themeColor="accent2"/>
        <w:left w:val="single" w:sz="8" w:space="0" w:color="1CCFC9" w:themeColor="accent2"/>
        <w:bottom w:val="single" w:sz="8" w:space="0" w:color="1CCFC9" w:themeColor="accent2"/>
        <w:right w:val="single" w:sz="8" w:space="0" w:color="1CCFC9" w:themeColor="accent2"/>
        <w:insideH w:val="single" w:sz="8" w:space="0" w:color="1CCFC9" w:themeColor="accent2"/>
        <w:insideV w:val="single" w:sz="8" w:space="0" w:color="1CCFC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CFC9" w:themeColor="accent2"/>
          <w:left w:val="single" w:sz="8" w:space="0" w:color="1CCFC9" w:themeColor="accent2"/>
          <w:bottom w:val="single" w:sz="18" w:space="0" w:color="1CCFC9" w:themeColor="accent2"/>
          <w:right w:val="single" w:sz="8" w:space="0" w:color="1CCFC9" w:themeColor="accent2"/>
          <w:insideH w:val="nil"/>
          <w:insideV w:val="single" w:sz="8" w:space="0" w:color="1CCFC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CFC9" w:themeColor="accent2"/>
          <w:left w:val="single" w:sz="8" w:space="0" w:color="1CCFC9" w:themeColor="accent2"/>
          <w:bottom w:val="single" w:sz="8" w:space="0" w:color="1CCFC9" w:themeColor="accent2"/>
          <w:right w:val="single" w:sz="8" w:space="0" w:color="1CCFC9" w:themeColor="accent2"/>
          <w:insideH w:val="nil"/>
          <w:insideV w:val="single" w:sz="8" w:space="0" w:color="1CCFC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tblStylePr w:type="band1Vert">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shd w:val="clear" w:color="auto" w:fill="C3F7F5" w:themeFill="accent2" w:themeFillTint="3F"/>
      </w:tcPr>
    </w:tblStylePr>
    <w:tblStylePr w:type="band1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insideV w:val="single" w:sz="8" w:space="0" w:color="1CCFC9" w:themeColor="accent2"/>
        </w:tcBorders>
        <w:shd w:val="clear" w:color="auto" w:fill="C3F7F5" w:themeFill="accent2" w:themeFillTint="3F"/>
      </w:tcPr>
    </w:tblStylePr>
    <w:tblStylePr w:type="band2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insideV w:val="single" w:sz="8" w:space="0" w:color="1CCFC9"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8B9EFF" w:themeColor="accent4"/>
        <w:left w:val="single" w:sz="8" w:space="0" w:color="8B9EFF" w:themeColor="accent4"/>
        <w:bottom w:val="single" w:sz="8" w:space="0" w:color="8B9EFF" w:themeColor="accent4"/>
        <w:right w:val="single" w:sz="8" w:space="0" w:color="8B9EFF" w:themeColor="accent4"/>
        <w:insideH w:val="single" w:sz="8" w:space="0" w:color="8B9EFF" w:themeColor="accent4"/>
        <w:insideV w:val="single" w:sz="8" w:space="0" w:color="8B9E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9EFF" w:themeColor="accent4"/>
          <w:left w:val="single" w:sz="8" w:space="0" w:color="8B9EFF" w:themeColor="accent4"/>
          <w:bottom w:val="single" w:sz="18" w:space="0" w:color="8B9EFF" w:themeColor="accent4"/>
          <w:right w:val="single" w:sz="8" w:space="0" w:color="8B9EFF" w:themeColor="accent4"/>
          <w:insideH w:val="nil"/>
          <w:insideV w:val="single" w:sz="8" w:space="0" w:color="8B9E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9EFF" w:themeColor="accent4"/>
          <w:left w:val="single" w:sz="8" w:space="0" w:color="8B9EFF" w:themeColor="accent4"/>
          <w:bottom w:val="single" w:sz="8" w:space="0" w:color="8B9EFF" w:themeColor="accent4"/>
          <w:right w:val="single" w:sz="8" w:space="0" w:color="8B9EFF" w:themeColor="accent4"/>
          <w:insideH w:val="nil"/>
          <w:insideV w:val="single" w:sz="8" w:space="0" w:color="8B9E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tblStylePr w:type="band1Vert">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shd w:val="clear" w:color="auto" w:fill="E2E6FF" w:themeFill="accent4" w:themeFillTint="3F"/>
      </w:tcPr>
    </w:tblStylePr>
    <w:tblStylePr w:type="band1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insideV w:val="single" w:sz="8" w:space="0" w:color="8B9EFF" w:themeColor="accent4"/>
        </w:tcBorders>
        <w:shd w:val="clear" w:color="auto" w:fill="E2E6FF" w:themeFill="accent4" w:themeFillTint="3F"/>
      </w:tcPr>
    </w:tblStylePr>
    <w:tblStylePr w:type="band2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insideV w:val="single" w:sz="8" w:space="0" w:color="8B9EFF"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insideH w:val="single" w:sz="8" w:space="0" w:color="FFC502" w:themeColor="accent5"/>
        <w:insideV w:val="single" w:sz="8" w:space="0" w:color="FFC5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18" w:space="0" w:color="FFC502" w:themeColor="accent5"/>
          <w:right w:val="single" w:sz="8" w:space="0" w:color="FFC502" w:themeColor="accent5"/>
          <w:insideH w:val="nil"/>
          <w:insideV w:val="single" w:sz="8" w:space="0" w:color="FFC5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insideH w:val="nil"/>
          <w:insideV w:val="single" w:sz="8" w:space="0" w:color="FFC5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shd w:val="clear" w:color="auto" w:fill="FFF0C0" w:themeFill="accent5" w:themeFillTint="3F"/>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shd w:val="clear" w:color="auto" w:fill="FFF0C0" w:themeFill="accent5" w:themeFillTint="3F"/>
      </w:tcPr>
    </w:tblStylePr>
    <w:tblStylePr w:type="band2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E27642"/>
    <w:rPr>
      <w:smallCaps/>
      <w:color w:val="410099" w:themeColor="accent1"/>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paragraph" w:styleId="NormalWeb">
    <w:name w:val="Normal (Web)"/>
    <w:basedOn w:val="Normal"/>
    <w:uiPriority w:val="99"/>
    <w:semiHidden/>
    <w:unhideWhenUsed/>
    <w:rsid w:val="00BC2A36"/>
    <w:pPr>
      <w:spacing w:before="100" w:beforeAutospacing="1" w:after="100" w:afterAutospacing="1"/>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B67279"/>
    <w:rPr>
      <w:sz w:val="16"/>
      <w:szCs w:val="16"/>
    </w:rPr>
  </w:style>
  <w:style w:type="paragraph" w:styleId="CommentText">
    <w:name w:val="annotation text"/>
    <w:basedOn w:val="Normal"/>
    <w:link w:val="CommentTextChar"/>
    <w:uiPriority w:val="99"/>
    <w:semiHidden/>
    <w:unhideWhenUsed/>
    <w:rsid w:val="00B67279"/>
    <w:rPr>
      <w:sz w:val="20"/>
      <w:szCs w:val="20"/>
    </w:rPr>
  </w:style>
  <w:style w:type="character" w:customStyle="1" w:styleId="CommentTextChar">
    <w:name w:val="Comment Text Char"/>
    <w:basedOn w:val="DefaultParagraphFont"/>
    <w:link w:val="CommentText"/>
    <w:uiPriority w:val="99"/>
    <w:semiHidden/>
    <w:rsid w:val="00B6727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7279"/>
    <w:rPr>
      <w:b/>
      <w:bCs/>
    </w:rPr>
  </w:style>
  <w:style w:type="character" w:customStyle="1" w:styleId="CommentSubjectChar">
    <w:name w:val="Comment Subject Char"/>
    <w:basedOn w:val="CommentTextChar"/>
    <w:link w:val="CommentSubject"/>
    <w:uiPriority w:val="99"/>
    <w:semiHidden/>
    <w:rsid w:val="00B67279"/>
    <w:rPr>
      <w:rFonts w:ascii="Arial" w:hAnsi="Arial"/>
      <w:b/>
      <w:bCs/>
      <w:sz w:val="20"/>
      <w:szCs w:val="20"/>
    </w:rPr>
  </w:style>
  <w:style w:type="paragraph" w:customStyle="1" w:styleId="Definition">
    <w:name w:val="Definition"/>
    <w:aliases w:val="dd"/>
    <w:basedOn w:val="Normal"/>
    <w:rsid w:val="00E90293"/>
    <w:pPr>
      <w:spacing w:before="180"/>
      <w:ind w:left="1134"/>
    </w:pPr>
    <w:rPr>
      <w:rFonts w:ascii="Times New Roman" w:eastAsia="Times New Roman" w:hAnsi="Times New Roman" w:cs="Times New Roman"/>
      <w:szCs w:val="20"/>
      <w:lang w:eastAsia="en-AU"/>
    </w:rPr>
  </w:style>
  <w:style w:type="paragraph" w:customStyle="1" w:styleId="paragraph">
    <w:name w:val="paragraph"/>
    <w:aliases w:val="a"/>
    <w:basedOn w:val="Normal"/>
    <w:rsid w:val="00E90293"/>
    <w:pPr>
      <w:tabs>
        <w:tab w:val="right" w:pos="1531"/>
      </w:tabs>
      <w:spacing w:before="40"/>
      <w:ind w:left="1644" w:hanging="1644"/>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4329">
      <w:bodyDiv w:val="1"/>
      <w:marLeft w:val="0"/>
      <w:marRight w:val="0"/>
      <w:marTop w:val="0"/>
      <w:marBottom w:val="0"/>
      <w:divBdr>
        <w:top w:val="none" w:sz="0" w:space="0" w:color="auto"/>
        <w:left w:val="none" w:sz="0" w:space="0" w:color="auto"/>
        <w:bottom w:val="none" w:sz="0" w:space="0" w:color="auto"/>
        <w:right w:val="none" w:sz="0" w:space="0" w:color="auto"/>
      </w:divBdr>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185915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heme1">
  <a:themeElements>
    <a:clrScheme name="ACCC">
      <a:dk1>
        <a:sysClr val="windowText" lastClr="000000"/>
      </a:dk1>
      <a:lt1>
        <a:sysClr val="window" lastClr="FFFFFF"/>
      </a:lt1>
      <a:dk2>
        <a:srgbClr val="003591"/>
      </a:dk2>
      <a:lt2>
        <a:srgbClr val="D5D6D2"/>
      </a:lt2>
      <a:accent1>
        <a:srgbClr val="410099"/>
      </a:accent1>
      <a:accent2>
        <a:srgbClr val="1CCFC9"/>
      </a:accent2>
      <a:accent3>
        <a:srgbClr val="362F52"/>
      </a:accent3>
      <a:accent4>
        <a:srgbClr val="8B9EFF"/>
      </a:accent4>
      <a:accent5>
        <a:srgbClr val="FFC502"/>
      </a:accent5>
      <a:accent6>
        <a:srgbClr val="FF7600"/>
      </a:accent6>
      <a:hlink>
        <a:srgbClr val="0000FF"/>
      </a:hlink>
      <a:folHlink>
        <a:srgbClr val="800080"/>
      </a:folHlink>
    </a:clrScheme>
    <a:fontScheme name="ACCC">
      <a:majorFont>
        <a:latin typeface="Palatino Linotype"/>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103990-ABC3-458A-BCCD-7FEE832B4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Morrison, Sarah</dc:creator>
  <cp:keywords/>
  <dc:description/>
  <cp:lastModifiedBy>Moss, William</cp:lastModifiedBy>
  <cp:revision>2</cp:revision>
  <dcterms:created xsi:type="dcterms:W3CDTF">2019-12-11T06:23:00Z</dcterms:created>
  <dcterms:modified xsi:type="dcterms:W3CDTF">2019-12-11T06:23:00Z</dcterms:modified>
</cp:coreProperties>
</file>