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5E5919F5" w14:textId="77777777" w:rsidTr="00A22E0D">
        <w:tc>
          <w:tcPr>
            <w:tcW w:w="4661" w:type="dxa"/>
          </w:tcPr>
          <w:p w14:paraId="3F91F50F" w14:textId="77777777" w:rsidR="00090A6F" w:rsidRPr="0000292B" w:rsidRDefault="00364B30">
            <w:pPr>
              <w:pStyle w:val="CoverStandard"/>
            </w:pPr>
            <w:bookmarkStart w:id="0" w:name="_GoBack" w:colFirst="0" w:colLast="2"/>
            <w:r>
              <w:t>AASB</w:t>
            </w:r>
            <w:r w:rsidR="00831497">
              <w:t xml:space="preserve"> Standard</w:t>
            </w:r>
          </w:p>
        </w:tc>
        <w:tc>
          <w:tcPr>
            <w:tcW w:w="4661" w:type="dxa"/>
          </w:tcPr>
          <w:p w14:paraId="5D73199D" w14:textId="03FF61C2" w:rsidR="00090A6F" w:rsidRPr="0000292B" w:rsidRDefault="00831497">
            <w:pPr>
              <w:pStyle w:val="CoverNumber"/>
            </w:pPr>
            <w:r>
              <w:t>AASB</w:t>
            </w:r>
            <w:r w:rsidR="00090A6F" w:rsidRPr="0000292B">
              <w:t xml:space="preserve"> </w:t>
            </w:r>
            <w:bookmarkStart w:id="1" w:name="DocNo"/>
            <w:r w:rsidR="004A3747">
              <w:t>201</w:t>
            </w:r>
            <w:r w:rsidR="005654E2">
              <w:t>9</w:t>
            </w:r>
            <w:r w:rsidR="0020560B">
              <w:t>-</w:t>
            </w:r>
            <w:r w:rsidR="001A2206">
              <w:t>5</w:t>
            </w:r>
            <w:bookmarkEnd w:id="1"/>
          </w:p>
          <w:p w14:paraId="23AA7BB8" w14:textId="04107190" w:rsidR="00090A6F" w:rsidRPr="0000292B" w:rsidRDefault="002E395C" w:rsidP="0020560B">
            <w:pPr>
              <w:pStyle w:val="CoverDate"/>
            </w:pPr>
            <w:bookmarkStart w:id="2" w:name="DocDate"/>
            <w:r>
              <w:t xml:space="preserve">November </w:t>
            </w:r>
            <w:r w:rsidR="004A3747">
              <w:t>20</w:t>
            </w:r>
            <w:r w:rsidR="0020560B">
              <w:t>19</w:t>
            </w:r>
            <w:bookmarkEnd w:id="2"/>
          </w:p>
        </w:tc>
      </w:tr>
    </w:tbl>
    <w:p w14:paraId="1B45BD39" w14:textId="2B291DCA" w:rsidR="00090A6F" w:rsidRDefault="004A3747" w:rsidP="003C6B24">
      <w:pPr>
        <w:pStyle w:val="CoverTitle"/>
        <w:jc w:val="left"/>
      </w:pPr>
      <w:bookmarkStart w:id="3" w:name="DocTitle"/>
      <w:bookmarkEnd w:id="0"/>
      <w:r>
        <w:t>Amendments to Australian Accounting Standard</w:t>
      </w:r>
      <w:r w:rsidR="0020560B">
        <w:t xml:space="preserve">s – </w:t>
      </w:r>
      <w:bookmarkEnd w:id="3"/>
      <w:r w:rsidR="00F2144B" w:rsidRPr="00F2144B">
        <w:t xml:space="preserve">Disclosure of </w:t>
      </w:r>
      <w:r w:rsidR="00BB7619">
        <w:t xml:space="preserve">the </w:t>
      </w:r>
      <w:r w:rsidR="003B483F">
        <w:t>E</w:t>
      </w:r>
      <w:r w:rsidR="00F2144B" w:rsidRPr="00F2144B">
        <w:t xml:space="preserve">ffect of </w:t>
      </w:r>
      <w:r w:rsidR="003B483F">
        <w:t>N</w:t>
      </w:r>
      <w:r w:rsidR="00F2144B" w:rsidRPr="00F2144B">
        <w:t>ew IFRS Standard</w:t>
      </w:r>
      <w:r w:rsidR="008A7948">
        <w:t>s</w:t>
      </w:r>
      <w:r w:rsidR="00F2144B" w:rsidRPr="00F2144B">
        <w:t xml:space="preserve"> </w:t>
      </w:r>
      <w:r w:rsidR="00DC30F2">
        <w:t>N</w:t>
      </w:r>
      <w:r w:rsidR="00F2144B" w:rsidRPr="00F2144B">
        <w:t xml:space="preserve">ot </w:t>
      </w:r>
      <w:r w:rsidR="00DC30F2">
        <w:t>Y</w:t>
      </w:r>
      <w:r w:rsidR="00F2144B" w:rsidRPr="00F2144B">
        <w:t xml:space="preserve">et </w:t>
      </w:r>
      <w:r w:rsidR="00DC30F2">
        <w:t>I</w:t>
      </w:r>
      <w:r w:rsidR="00F2144B" w:rsidRPr="00F2144B">
        <w:t>ssued in Australia</w:t>
      </w:r>
    </w:p>
    <w:p w14:paraId="48BD2D72" w14:textId="2EE00A65" w:rsidR="00892DE1" w:rsidRPr="004D4FDA" w:rsidRDefault="00892DE1" w:rsidP="00892DE1">
      <w:pPr>
        <w:pStyle w:val="CoverTitle"/>
        <w:jc w:val="left"/>
        <w:rPr>
          <w:sz w:val="40"/>
          <w:szCs w:val="40"/>
        </w:rPr>
      </w:pPr>
      <w:r>
        <w:rPr>
          <w:sz w:val="40"/>
          <w:szCs w:val="40"/>
        </w:rPr>
        <w:t>[</w:t>
      </w:r>
      <w:r w:rsidR="001E09E1">
        <w:rPr>
          <w:sz w:val="40"/>
          <w:szCs w:val="40"/>
        </w:rPr>
        <w:t>AASB 105</w:t>
      </w:r>
      <w:r w:rsidR="00E52ACC">
        <w:rPr>
          <w:sz w:val="40"/>
          <w:szCs w:val="40"/>
        </w:rPr>
        <w:t>4</w:t>
      </w:r>
      <w:r w:rsidRPr="004D4FDA">
        <w:rPr>
          <w:sz w:val="40"/>
          <w:szCs w:val="40"/>
        </w:rPr>
        <w:t>]</w:t>
      </w:r>
    </w:p>
    <w:p w14:paraId="5D78F8CA" w14:textId="77777777" w:rsidR="00737714" w:rsidRPr="0000292B" w:rsidRDefault="00737714" w:rsidP="00737714"/>
    <w:p w14:paraId="04ED495C" w14:textId="77777777" w:rsidR="00090A6F" w:rsidRPr="0000292B" w:rsidRDefault="008B643A">
      <w:pPr>
        <w:sectPr w:rsidR="00090A6F" w:rsidRPr="0000292B" w:rsidSect="00D74C6A">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8240" behindDoc="0" locked="1" layoutInCell="1" allowOverlap="1" wp14:anchorId="485854B1" wp14:editId="6B96AC54">
            <wp:simplePos x="0" y="0"/>
            <wp:positionH relativeFrom="margin">
              <wp:posOffset>0</wp:posOffset>
            </wp:positionH>
            <wp:positionV relativeFrom="margin">
              <wp:align>bottom</wp:align>
            </wp:positionV>
            <wp:extent cx="1677600" cy="1332000"/>
            <wp:effectExtent l="0" t="0" r="0" b="1905"/>
            <wp:wrapNone/>
            <wp:docPr id="5" name="Picture 5" descr="AASB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3F816"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64F1172B"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1012A8C9" w14:textId="77777777" w:rsidR="00895809" w:rsidRPr="0000292B" w:rsidRDefault="00895809" w:rsidP="00895809">
      <w:r w:rsidRPr="0000292B">
        <w:t>Australian Accounting Standards Board</w:t>
      </w:r>
    </w:p>
    <w:p w14:paraId="36E1EA88" w14:textId="77777777" w:rsidR="00895809" w:rsidRPr="0000292B" w:rsidRDefault="00895809" w:rsidP="00895809">
      <w:r>
        <w:t>PO Box 204</w:t>
      </w:r>
    </w:p>
    <w:p w14:paraId="13EF3023" w14:textId="77777777" w:rsidR="00895809" w:rsidRPr="0000292B" w:rsidRDefault="00895809" w:rsidP="00895809">
      <w:r>
        <w:t>Collins Street West</w:t>
      </w:r>
    </w:p>
    <w:p w14:paraId="5A166230" w14:textId="77777777" w:rsidR="00895809" w:rsidRPr="0000292B" w:rsidRDefault="00895809" w:rsidP="00895809">
      <w:r>
        <w:t>Victoria   8007</w:t>
      </w:r>
    </w:p>
    <w:p w14:paraId="27C1C379" w14:textId="77777777" w:rsidR="00895809" w:rsidRDefault="00895809" w:rsidP="00895809">
      <w:pPr>
        <w:pStyle w:val="CoverContact"/>
        <w:spacing w:after="200"/>
      </w:pPr>
      <w:r w:rsidRPr="0000292B">
        <w:t>AUSTRALIA</w:t>
      </w:r>
    </w:p>
    <w:p w14:paraId="4F74D259" w14:textId="77777777" w:rsidR="00737714" w:rsidRDefault="00BF0190" w:rsidP="00B82F15">
      <w:pPr>
        <w:pStyle w:val="CoverContact"/>
      </w:pPr>
      <w:r>
        <w:t>Phone:</w:t>
      </w:r>
      <w:r>
        <w:tab/>
        <w:t>(03) 9617 7600</w:t>
      </w:r>
    </w:p>
    <w:p w14:paraId="4FB66E8E" w14:textId="77777777" w:rsidR="00E96D45" w:rsidRDefault="00DB00CD" w:rsidP="00DB00CD">
      <w:pPr>
        <w:pStyle w:val="CoverContact"/>
      </w:pPr>
      <w:r>
        <w:t>E-mail:</w:t>
      </w:r>
      <w:r>
        <w:tab/>
      </w:r>
      <w:r w:rsidR="00BF0190">
        <w:t>standard</w:t>
      </w:r>
      <w:r>
        <w:t>@aasb.gov</w:t>
      </w:r>
      <w:r w:rsidRPr="00C5022C">
        <w:t>.au</w:t>
      </w:r>
    </w:p>
    <w:p w14:paraId="24BC2FB4" w14:textId="495FF800" w:rsidR="00E96D45" w:rsidRPr="00E96D45" w:rsidRDefault="00486777" w:rsidP="00DB00CD">
      <w:pPr>
        <w:pStyle w:val="CoverContact"/>
        <w:spacing w:after="240"/>
      </w:pPr>
      <w:r>
        <w:t>Website</w:t>
      </w:r>
      <w:r w:rsidR="00DB00CD">
        <w:t>:</w:t>
      </w:r>
      <w:r w:rsidR="00DB00CD">
        <w:tab/>
        <w:t>www.aasb.gov.au</w:t>
      </w:r>
    </w:p>
    <w:p w14:paraId="627ED85E" w14:textId="76587D69" w:rsidR="00090A6F" w:rsidRPr="0000292B" w:rsidRDefault="00090A6F" w:rsidP="00F13C5A">
      <w:pPr>
        <w:pStyle w:val="Heading1"/>
      </w:pPr>
      <w:r w:rsidRPr="0000292B">
        <w:t xml:space="preserve">Other </w:t>
      </w:r>
      <w:r w:rsidR="005655CE" w:rsidRPr="0000292B">
        <w:t>enquiries</w:t>
      </w:r>
    </w:p>
    <w:p w14:paraId="373F6F08"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17935A6E" w14:textId="77777777" w:rsidR="00EB16BA" w:rsidRDefault="00923261" w:rsidP="00EB16BA">
      <w:pPr>
        <w:pStyle w:val="CoverContact"/>
      </w:pPr>
      <w:r>
        <w:t>E-mail:</w:t>
      </w:r>
      <w:r>
        <w:tab/>
      </w:r>
      <w:bookmarkStart w:id="4" w:name="CopyrightText"/>
      <w:r w:rsidR="00A211C9">
        <w:t>standard@aasb.gov</w:t>
      </w:r>
      <w:r w:rsidR="00A211C9" w:rsidRPr="00C5022C">
        <w:t>.au</w:t>
      </w:r>
    </w:p>
    <w:p w14:paraId="0B00DD3F" w14:textId="77777777" w:rsidR="00276BC5" w:rsidRDefault="00276BC5" w:rsidP="003160E6">
      <w:pPr>
        <w:pStyle w:val="CoverContact"/>
        <w:spacing w:before="7440"/>
      </w:pPr>
      <w:r>
        <w:t>COPYRIGHT</w:t>
      </w:r>
    </w:p>
    <w:p w14:paraId="3B345E9A" w14:textId="52C3313B" w:rsidR="00276BC5" w:rsidRDefault="00276BC5" w:rsidP="00276BC5">
      <w:pPr>
        <w:pStyle w:val="NoNumPlain1"/>
      </w:pPr>
      <w:r>
        <w:t>© Com</w:t>
      </w:r>
      <w:bookmarkStart w:id="5" w:name="CopyrightDomestic"/>
      <w:bookmarkEnd w:id="5"/>
      <w:r>
        <w:t xml:space="preserve">monwealth of Australia </w:t>
      </w:r>
      <w:bookmarkStart w:id="6" w:name="Year"/>
      <w:r w:rsidR="004A3747">
        <w:t>20</w:t>
      </w:r>
      <w:r w:rsidR="0020560B">
        <w:t>19</w:t>
      </w:r>
      <w:bookmarkEnd w:id="6"/>
    </w:p>
    <w:p w14:paraId="631E13EF" w14:textId="77777777" w:rsidR="00276BC5" w:rsidRPr="00DE4E67" w:rsidRDefault="00E46988" w:rsidP="00895809">
      <w:pPr>
        <w:spacing w:after="200"/>
      </w:pPr>
      <w:r w:rsidRPr="00E46988">
        <w:t xml:space="preserve">This work is copyright.  Apart from any use as permitted under the </w:t>
      </w:r>
      <w:r w:rsidRPr="00F311FB">
        <w:rPr>
          <w:i/>
        </w:rPr>
        <w:t>Copyright Act 1968</w:t>
      </w:r>
      <w:r w:rsidRPr="00E46988">
        <w:t xml:space="preserve">, no part may be reproduced by any process without prior written permission.  Requests and enquiries concerning reproduction and rights should be addressed to The </w:t>
      </w:r>
      <w:r w:rsidR="00BF0190">
        <w:t xml:space="preserve">National </w:t>
      </w:r>
      <w:r w:rsidRPr="00E46988">
        <w:t>Director, Australian Accounting Standards Board, PO Box 204</w:t>
      </w:r>
      <w:r w:rsidR="00F311FB">
        <w:t>, Collins Street West, Victoria </w:t>
      </w:r>
      <w:r w:rsidRPr="00E46988">
        <w:t>8007</w:t>
      </w:r>
      <w:r w:rsidR="00276BC5" w:rsidRPr="00DE4E67">
        <w:t>.</w:t>
      </w:r>
    </w:p>
    <w:bookmarkEnd w:id="4"/>
    <w:p w14:paraId="13EF9770" w14:textId="77777777" w:rsidR="007455F0" w:rsidRPr="0000292B" w:rsidRDefault="006D4700" w:rsidP="006D4700">
      <w:r>
        <w:t xml:space="preserve">ISSN </w:t>
      </w:r>
      <w:bookmarkStart w:id="7" w:name="ISSN"/>
      <w:r w:rsidR="004A3747">
        <w:t>1036-4803</w:t>
      </w:r>
      <w:bookmarkEnd w:id="7"/>
    </w:p>
    <w:p w14:paraId="69914E78" w14:textId="77777777" w:rsidR="00090A6F" w:rsidRPr="0000292B" w:rsidRDefault="00090A6F">
      <w:pPr>
        <w:sectPr w:rsidR="00090A6F" w:rsidRPr="0000292B" w:rsidSect="00D74C6A">
          <w:headerReference w:type="even" r:id="rId9"/>
          <w:footerReference w:type="default" r:id="rId10"/>
          <w:headerReference w:type="first" r:id="rId11"/>
          <w:pgSz w:w="11907" w:h="16840" w:code="9"/>
          <w:pgMar w:top="1418" w:right="1418" w:bottom="1418" w:left="1418" w:header="709" w:footer="709" w:gutter="0"/>
          <w:paperSrc w:first="7" w:other="7"/>
          <w:cols w:space="720"/>
        </w:sectPr>
      </w:pPr>
    </w:p>
    <w:p w14:paraId="067C46EF" w14:textId="77777777" w:rsidR="00090A6F" w:rsidRPr="0000292B" w:rsidRDefault="005655CE">
      <w:pPr>
        <w:pStyle w:val="Heading1"/>
      </w:pPr>
      <w:r w:rsidRPr="0000292B">
        <w:lastRenderedPageBreak/>
        <w:t>Contents</w:t>
      </w:r>
    </w:p>
    <w:p w14:paraId="68BA0388" w14:textId="77777777" w:rsidR="00090A6F" w:rsidRPr="0000292B" w:rsidRDefault="00A5122D" w:rsidP="003F6ED6">
      <w:pPr>
        <w:pStyle w:val="ContentsCapsPlain"/>
        <w:spacing w:before="400"/>
      </w:pPr>
      <w:r w:rsidRPr="0000292B">
        <w:t>PREFACE</w:t>
      </w:r>
    </w:p>
    <w:p w14:paraId="432667E6" w14:textId="77777777" w:rsidR="00090A6F" w:rsidRPr="0000292B" w:rsidRDefault="00A5122D">
      <w:pPr>
        <w:pStyle w:val="ContentsCapsBold"/>
      </w:pPr>
      <w:r w:rsidRPr="0000292B">
        <w:t>ACCOUNTING STANDARD</w:t>
      </w:r>
    </w:p>
    <w:p w14:paraId="6F222DBD" w14:textId="6E9F2F2C" w:rsidR="002B7803" w:rsidRPr="00223A79" w:rsidRDefault="00A5122D" w:rsidP="009146EF">
      <w:pPr>
        <w:pStyle w:val="ContentsCapsBold"/>
        <w:rPr>
          <w:i/>
        </w:rPr>
      </w:pPr>
      <w:r w:rsidRPr="0000292B">
        <w:t xml:space="preserve">AASB </w:t>
      </w:r>
      <w:r w:rsidR="009C2479" w:rsidRPr="00BC0D5D">
        <w:rPr>
          <w:iCs/>
        </w:rPr>
        <w:fldChar w:fldCharType="begin"/>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542C82" w:rsidRPr="00542C82">
        <w:rPr>
          <w:iCs/>
        </w:rPr>
        <w:t>2019-5</w:t>
      </w:r>
      <w:r w:rsidR="009C2479" w:rsidRPr="00BC0D5D">
        <w:rPr>
          <w:iCs/>
        </w:rPr>
        <w:fldChar w:fldCharType="end"/>
      </w:r>
      <w:r w:rsidRPr="0000292B">
        <w:t xml:space="preserve"> </w:t>
      </w:r>
      <w:r w:rsidR="000D582D" w:rsidRPr="00223A79">
        <w:rPr>
          <w:i/>
        </w:rPr>
        <w:t xml:space="preserve">AMENDMENTS TO AUSTRALIAN ACCOUNTING STANDARDS – </w:t>
      </w:r>
      <w:r w:rsidR="00F2144B" w:rsidRPr="00F2144B">
        <w:rPr>
          <w:i/>
        </w:rPr>
        <w:t>DISCLOSURE OF</w:t>
      </w:r>
      <w:r w:rsidR="00B82875">
        <w:rPr>
          <w:i/>
        </w:rPr>
        <w:t xml:space="preserve"> THE</w:t>
      </w:r>
      <w:r w:rsidR="00F2144B" w:rsidRPr="00F2144B">
        <w:rPr>
          <w:i/>
        </w:rPr>
        <w:t xml:space="preserve"> EFFECT OF NEW IFRS STANDARD</w:t>
      </w:r>
      <w:r w:rsidR="007F4D41">
        <w:rPr>
          <w:i/>
        </w:rPr>
        <w:t>S</w:t>
      </w:r>
      <w:r w:rsidR="00F2144B" w:rsidRPr="00F2144B">
        <w:rPr>
          <w:i/>
        </w:rPr>
        <w:t xml:space="preserve"> NOT YET ISSUED IN AUSTRALIA</w:t>
      </w:r>
    </w:p>
    <w:p w14:paraId="0D41996F" w14:textId="77777777" w:rsidR="00090A6F" w:rsidRPr="00D253C7" w:rsidRDefault="00D253C7">
      <w:pPr>
        <w:pStyle w:val="ContentsParaHead"/>
      </w:pPr>
      <w:r w:rsidRPr="00D253C7">
        <w:t>f</w:t>
      </w:r>
      <w:r w:rsidR="00E55F2F" w:rsidRPr="00D253C7">
        <w:t>rom paragraph</w:t>
      </w:r>
    </w:p>
    <w:p w14:paraId="28A7EED9" w14:textId="77777777" w:rsidR="00090A6F" w:rsidRPr="00A5122D" w:rsidRDefault="00A5122D" w:rsidP="009E2F6C">
      <w:pPr>
        <w:pStyle w:val="ContentsLevel1"/>
        <w:ind w:right="-1"/>
        <w:jc w:val="right"/>
        <w:rPr>
          <w:b/>
        </w:rPr>
      </w:pPr>
      <w:bookmarkStart w:id="8" w:name="TOCRange"/>
      <w:r w:rsidRPr="00A5122D">
        <w:rPr>
          <w:b/>
        </w:rPr>
        <w:t>OBJECTIVE</w:t>
      </w:r>
      <w:r w:rsidRPr="00A5122D">
        <w:rPr>
          <w:b/>
        </w:rPr>
        <w:tab/>
        <w:t>1</w:t>
      </w:r>
    </w:p>
    <w:p w14:paraId="4D82C529" w14:textId="77777777" w:rsidR="00090A6F" w:rsidRPr="00A5122D" w:rsidRDefault="00A5122D" w:rsidP="009E2F6C">
      <w:pPr>
        <w:pStyle w:val="ContentsLevel1"/>
        <w:ind w:right="-1"/>
        <w:rPr>
          <w:b/>
        </w:rPr>
      </w:pPr>
      <w:r w:rsidRPr="00A5122D">
        <w:rPr>
          <w:b/>
        </w:rPr>
        <w:t>APPLICATION</w:t>
      </w:r>
      <w:r w:rsidRPr="00A5122D">
        <w:rPr>
          <w:b/>
        </w:rPr>
        <w:tab/>
        <w:t>2</w:t>
      </w:r>
    </w:p>
    <w:p w14:paraId="6228757C" w14:textId="10E9D06D" w:rsidR="00957F05" w:rsidRPr="00A5122D" w:rsidRDefault="00957F05" w:rsidP="00957F05">
      <w:pPr>
        <w:pStyle w:val="ContentsLevel1"/>
        <w:ind w:right="-143"/>
        <w:rPr>
          <w:b/>
        </w:rPr>
      </w:pPr>
      <w:r>
        <w:rPr>
          <w:b/>
        </w:rPr>
        <w:t xml:space="preserve">AMENDMENTS TO AASB </w:t>
      </w:r>
      <w:r w:rsidR="00C0074A">
        <w:rPr>
          <w:b/>
        </w:rPr>
        <w:t>1054</w:t>
      </w:r>
      <w:r>
        <w:rPr>
          <w:b/>
        </w:rPr>
        <w:tab/>
      </w:r>
      <w:r w:rsidR="00FF7AA5">
        <w:rPr>
          <w:b/>
        </w:rPr>
        <w:t>5</w:t>
      </w:r>
    </w:p>
    <w:p w14:paraId="25F4E48E" w14:textId="40DB7F17" w:rsidR="00090A6F" w:rsidRDefault="00A5122D" w:rsidP="00E55F2F">
      <w:pPr>
        <w:tabs>
          <w:tab w:val="right" w:pos="9071"/>
        </w:tabs>
        <w:rPr>
          <w:b/>
        </w:rPr>
      </w:pPr>
      <w:r w:rsidRPr="00A5122D">
        <w:rPr>
          <w:b/>
        </w:rPr>
        <w:t xml:space="preserve">COMMENCEMENT OF THE </w:t>
      </w:r>
      <w:r w:rsidR="00E55F2F">
        <w:rPr>
          <w:b/>
        </w:rPr>
        <w:t>LEGISLATIVE INSTRUMENT</w:t>
      </w:r>
      <w:r>
        <w:rPr>
          <w:b/>
        </w:rPr>
        <w:tab/>
      </w:r>
      <w:bookmarkStart w:id="9" w:name="ContentsMarker"/>
      <w:bookmarkEnd w:id="9"/>
      <w:r w:rsidR="00A46CD4">
        <w:rPr>
          <w:b/>
        </w:rPr>
        <w:t>7</w:t>
      </w:r>
    </w:p>
    <w:p w14:paraId="3EF0E8FD" w14:textId="77777777" w:rsidR="00D253C7" w:rsidRDefault="00D253C7" w:rsidP="00E55F2F">
      <w:pPr>
        <w:tabs>
          <w:tab w:val="right" w:pos="9071"/>
        </w:tabs>
        <w:rPr>
          <w:b/>
        </w:rPr>
      </w:pPr>
    </w:p>
    <w:p w14:paraId="5FAA3921" w14:textId="4CE389D3" w:rsidR="007A6F5D" w:rsidRDefault="007A6F5D" w:rsidP="007A6F5D">
      <w:pPr>
        <w:tabs>
          <w:tab w:val="right" w:pos="9071"/>
        </w:tabs>
        <w:rPr>
          <w:b/>
        </w:rPr>
      </w:pPr>
      <w:r>
        <w:rPr>
          <w:b/>
        </w:rPr>
        <w:t>BASIS FOR CONCLUSIONS</w:t>
      </w:r>
    </w:p>
    <w:p w14:paraId="502B35D9" w14:textId="77777777" w:rsidR="001B2CF0" w:rsidRDefault="001B2CF0" w:rsidP="007A6F5D">
      <w:pPr>
        <w:tabs>
          <w:tab w:val="right" w:pos="9071"/>
        </w:tabs>
        <w:rPr>
          <w:b/>
        </w:rPr>
      </w:pPr>
    </w:p>
    <w:p w14:paraId="3AF85A45" w14:textId="77777777" w:rsidR="007A6F5D" w:rsidRDefault="007A6F5D" w:rsidP="00E55F2F">
      <w:pPr>
        <w:tabs>
          <w:tab w:val="right" w:pos="9071"/>
        </w:tabs>
        <w:rPr>
          <w:b/>
        </w:rPr>
      </w:pPr>
    </w:p>
    <w:bookmarkEnd w:id="8"/>
    <w:p w14:paraId="61E10E9B" w14:textId="10B711A1" w:rsidR="00090A6F" w:rsidRPr="0000292B" w:rsidRDefault="00F56BB3">
      <w:pPr>
        <w:pStyle w:val="ContentsBox"/>
      </w:pPr>
      <w:r>
        <w:t>Australian Accounting S</w:t>
      </w:r>
      <w:r w:rsidRPr="0000292B">
        <w:t xml:space="preserve">tandard </w:t>
      </w:r>
      <w:r>
        <w:t>AASB</w:t>
      </w:r>
      <w:r w:rsidRPr="0000292B">
        <w:t xml:space="preserve"> </w:t>
      </w:r>
      <w:r w:rsidR="0076791F" w:rsidRPr="00BC0D5D">
        <w:rPr>
          <w:iCs/>
        </w:rPr>
        <w:fldChar w:fldCharType="begin"/>
      </w:r>
      <w:r w:rsidR="0076791F" w:rsidRPr="00BC0D5D">
        <w:rPr>
          <w:iCs/>
        </w:rPr>
        <w:instrText xml:space="preserve"> REF </w:instrText>
      </w:r>
      <w:r w:rsidR="0076791F">
        <w:rPr>
          <w:iCs/>
        </w:rPr>
        <w:instrText>Doc</w:instrText>
      </w:r>
      <w:r w:rsidR="0076791F" w:rsidRPr="00BC0D5D">
        <w:rPr>
          <w:iCs/>
        </w:rPr>
        <w:instrText xml:space="preserve">No \* charformat </w:instrText>
      </w:r>
      <w:r w:rsidR="0076791F" w:rsidRPr="00BC0D5D">
        <w:rPr>
          <w:iCs/>
        </w:rPr>
        <w:fldChar w:fldCharType="separate"/>
      </w:r>
      <w:r w:rsidR="00542C82" w:rsidRPr="00542C82">
        <w:rPr>
          <w:iCs/>
        </w:rPr>
        <w:t>2019-5</w:t>
      </w:r>
      <w:r w:rsidR="0076791F" w:rsidRPr="00BC0D5D">
        <w:rPr>
          <w:iCs/>
        </w:rPr>
        <w:fldChar w:fldCharType="end"/>
      </w:r>
      <w:r w:rsidR="0076791F">
        <w:rPr>
          <w:iCs/>
        </w:rPr>
        <w:t xml:space="preserve"> </w:t>
      </w:r>
      <w:r w:rsidR="0076791F" w:rsidRPr="0076791F">
        <w:rPr>
          <w:i/>
        </w:rPr>
        <w:fldChar w:fldCharType="begin"/>
      </w:r>
      <w:r w:rsidR="0076791F" w:rsidRPr="0076791F">
        <w:rPr>
          <w:i/>
        </w:rPr>
        <w:instrText xml:space="preserve"> REF \* charformat DocTitle  \* MERGEFORMAT </w:instrText>
      </w:r>
      <w:r w:rsidR="0076791F" w:rsidRPr="0076791F">
        <w:rPr>
          <w:i/>
        </w:rPr>
        <w:fldChar w:fldCharType="separate"/>
      </w:r>
      <w:r w:rsidR="00542C82" w:rsidRPr="00542C82">
        <w:rPr>
          <w:i/>
        </w:rPr>
        <w:t xml:space="preserve">Amendments to Australian Accounting Standards – </w:t>
      </w:r>
      <w:r w:rsidR="0076791F" w:rsidRPr="0076791F">
        <w:rPr>
          <w:i/>
        </w:rPr>
        <w:fldChar w:fldCharType="end"/>
      </w:r>
      <w:bookmarkStart w:id="10" w:name="_Hlk22037919"/>
      <w:r w:rsidR="00482B90" w:rsidRPr="00482B90">
        <w:rPr>
          <w:i/>
        </w:rPr>
        <w:t xml:space="preserve">Disclosure </w:t>
      </w:r>
      <w:r w:rsidR="00482B90">
        <w:rPr>
          <w:i/>
        </w:rPr>
        <w:t>o</w:t>
      </w:r>
      <w:r w:rsidR="00482B90" w:rsidRPr="00482B90">
        <w:rPr>
          <w:i/>
        </w:rPr>
        <w:t xml:space="preserve">f </w:t>
      </w:r>
      <w:r w:rsidR="00FF1D45">
        <w:rPr>
          <w:i/>
        </w:rPr>
        <w:t xml:space="preserve">the </w:t>
      </w:r>
      <w:r w:rsidR="00482B90" w:rsidRPr="00482B90">
        <w:rPr>
          <w:i/>
        </w:rPr>
        <w:t xml:space="preserve">Effect </w:t>
      </w:r>
      <w:r w:rsidR="009507C3">
        <w:rPr>
          <w:i/>
        </w:rPr>
        <w:t>o</w:t>
      </w:r>
      <w:r w:rsidR="009507C3" w:rsidRPr="00482B90">
        <w:rPr>
          <w:i/>
        </w:rPr>
        <w:t xml:space="preserve">f </w:t>
      </w:r>
      <w:r w:rsidR="00482B90" w:rsidRPr="00482B90">
        <w:rPr>
          <w:i/>
        </w:rPr>
        <w:t>New I</w:t>
      </w:r>
      <w:r w:rsidR="00482B90">
        <w:rPr>
          <w:i/>
        </w:rPr>
        <w:t>FRS</w:t>
      </w:r>
      <w:r w:rsidR="00482B90" w:rsidRPr="00482B90">
        <w:rPr>
          <w:i/>
        </w:rPr>
        <w:t xml:space="preserve"> Standard</w:t>
      </w:r>
      <w:r w:rsidR="007F4D41">
        <w:rPr>
          <w:i/>
        </w:rPr>
        <w:t>s</w:t>
      </w:r>
      <w:r w:rsidR="00482B90" w:rsidRPr="00482B90">
        <w:rPr>
          <w:i/>
        </w:rPr>
        <w:t xml:space="preserve"> </w:t>
      </w:r>
      <w:r w:rsidR="00733927">
        <w:rPr>
          <w:i/>
        </w:rPr>
        <w:t>N</w:t>
      </w:r>
      <w:r w:rsidR="00482B90" w:rsidRPr="00482B90">
        <w:rPr>
          <w:i/>
        </w:rPr>
        <w:t xml:space="preserve">ot </w:t>
      </w:r>
      <w:r w:rsidR="00733927">
        <w:rPr>
          <w:i/>
        </w:rPr>
        <w:t>Y</w:t>
      </w:r>
      <w:r w:rsidR="00482B90" w:rsidRPr="00482B90">
        <w:rPr>
          <w:i/>
        </w:rPr>
        <w:t xml:space="preserve">et </w:t>
      </w:r>
      <w:r w:rsidR="00733927">
        <w:rPr>
          <w:i/>
        </w:rPr>
        <w:t>I</w:t>
      </w:r>
      <w:r w:rsidR="00482B90" w:rsidRPr="00482B90">
        <w:rPr>
          <w:i/>
        </w:rPr>
        <w:t xml:space="preserve">ssued </w:t>
      </w:r>
      <w:r w:rsidR="00E63D53">
        <w:rPr>
          <w:i/>
        </w:rPr>
        <w:t>i</w:t>
      </w:r>
      <w:r w:rsidR="00482B90" w:rsidRPr="00482B90">
        <w:rPr>
          <w:i/>
        </w:rPr>
        <w:t>n Australia</w:t>
      </w:r>
      <w:r w:rsidR="00482B90">
        <w:rPr>
          <w:i/>
        </w:rPr>
        <w:t xml:space="preserve"> </w:t>
      </w:r>
      <w:bookmarkEnd w:id="10"/>
      <w:r w:rsidRPr="0000292B">
        <w:t xml:space="preserve">is set out </w:t>
      </w:r>
      <w:r w:rsidRPr="0020560B">
        <w:t>in paragraphs</w:t>
      </w:r>
      <w:r w:rsidR="00A5122D" w:rsidRPr="0020560B">
        <w:t xml:space="preserve"> 1 – </w:t>
      </w:r>
      <w:r w:rsidR="00A46CD4">
        <w:t>7</w:t>
      </w:r>
      <w:r w:rsidRPr="0020560B">
        <w:t>.</w:t>
      </w:r>
      <w:r w:rsidRPr="0000292B">
        <w:t xml:space="preserve"> All the pa</w:t>
      </w:r>
      <w:r>
        <w:t>ragraphs have equal authority.</w:t>
      </w:r>
    </w:p>
    <w:p w14:paraId="11FA2D13" w14:textId="77777777" w:rsidR="00090A6F" w:rsidRPr="0000292B" w:rsidRDefault="00090A6F">
      <w:pPr>
        <w:pStyle w:val="ContentsBox"/>
        <w:pBdr>
          <w:top w:val="none" w:sz="0" w:space="0" w:color="auto"/>
          <w:left w:val="none" w:sz="0" w:space="0" w:color="auto"/>
          <w:bottom w:val="none" w:sz="0" w:space="0" w:color="auto"/>
          <w:right w:val="none" w:sz="0" w:space="0" w:color="auto"/>
        </w:pBdr>
      </w:pPr>
    </w:p>
    <w:p w14:paraId="459FE06F" w14:textId="77777777" w:rsidR="00090A6F" w:rsidRPr="0000292B" w:rsidRDefault="00090A6F">
      <w:pPr>
        <w:sectPr w:rsidR="00090A6F" w:rsidRPr="0000292B" w:rsidSect="00D74C6A">
          <w:headerReference w:type="even" r:id="rId12"/>
          <w:footerReference w:type="default" r:id="rId13"/>
          <w:headerReference w:type="first" r:id="rId14"/>
          <w:pgSz w:w="11907" w:h="16840" w:code="9"/>
          <w:pgMar w:top="1418" w:right="1418" w:bottom="1418" w:left="1418" w:header="709" w:footer="709" w:gutter="0"/>
          <w:paperSrc w:first="7" w:other="7"/>
          <w:cols w:space="720"/>
        </w:sectPr>
      </w:pPr>
    </w:p>
    <w:p w14:paraId="2171D473" w14:textId="77777777" w:rsidR="00090A6F" w:rsidRPr="0000292B" w:rsidRDefault="00090A6F">
      <w:pPr>
        <w:pStyle w:val="Heading1"/>
      </w:pPr>
      <w:r w:rsidRPr="0000292B">
        <w:lastRenderedPageBreak/>
        <w:t>Preface</w:t>
      </w:r>
    </w:p>
    <w:p w14:paraId="26EFF641" w14:textId="591A1450" w:rsidR="000F64CC" w:rsidRPr="0000292B" w:rsidRDefault="00CA61C5">
      <w:pPr>
        <w:pStyle w:val="Heading2"/>
      </w:pPr>
      <w:r>
        <w:t xml:space="preserve">Standards amended by AASB </w:t>
      </w:r>
      <w:r>
        <w:fldChar w:fldCharType="begin"/>
      </w:r>
      <w:r>
        <w:instrText xml:space="preserve"> REF DocNo \* charformat</w:instrText>
      </w:r>
      <w:r>
        <w:fldChar w:fldCharType="separate"/>
      </w:r>
      <w:r w:rsidR="00542C82">
        <w:t>2019-5</w:t>
      </w:r>
      <w:r>
        <w:fldChar w:fldCharType="end"/>
      </w:r>
    </w:p>
    <w:p w14:paraId="5EC6D11C" w14:textId="3815C7FD" w:rsidR="00ED3777" w:rsidRDefault="009C2479" w:rsidP="00E55F2F">
      <w:pPr>
        <w:pStyle w:val="NoNumPlain1"/>
      </w:pPr>
      <w:r>
        <w:t>This S</w:t>
      </w:r>
      <w:r w:rsidR="00E55F2F">
        <w:t xml:space="preserve">tandard makes amendments to </w:t>
      </w:r>
      <w:r w:rsidR="0028759D">
        <w:t>AASB </w:t>
      </w:r>
      <w:r w:rsidR="00C0074A">
        <w:t>1054</w:t>
      </w:r>
      <w:r w:rsidR="00FD6293">
        <w:t xml:space="preserve"> </w:t>
      </w:r>
      <w:r w:rsidR="00FD6293" w:rsidRPr="00E63D53">
        <w:rPr>
          <w:i/>
          <w:iCs/>
        </w:rPr>
        <w:t>Australian Additional Disclosures</w:t>
      </w:r>
      <w:r w:rsidR="00FD6293">
        <w:t xml:space="preserve"> </w:t>
      </w:r>
      <w:r w:rsidR="00C0074A">
        <w:t>(</w:t>
      </w:r>
      <w:r w:rsidR="00F2144B">
        <w:t>May 2011</w:t>
      </w:r>
      <w:r w:rsidR="00C0074A">
        <w:t>)</w:t>
      </w:r>
      <w:r w:rsidR="00F2144B">
        <w:t>.</w:t>
      </w:r>
    </w:p>
    <w:p w14:paraId="41F19A93" w14:textId="0C404624" w:rsidR="00C0074A" w:rsidRPr="00C0074A" w:rsidRDefault="00C0074A" w:rsidP="00C0074A">
      <w:pPr>
        <w:pStyle w:val="NoNumPlain1"/>
        <w:rPr>
          <w:i/>
        </w:rPr>
      </w:pPr>
      <w:r>
        <w:t xml:space="preserve">The AASB decided to add an additional disclosure requirement to </w:t>
      </w:r>
      <w:r w:rsidRPr="00C0074A">
        <w:t xml:space="preserve">AASB 1054 </w:t>
      </w:r>
      <w:r w:rsidR="006D6C54">
        <w:rPr>
          <w:iCs/>
        </w:rPr>
        <w:t xml:space="preserve">on </w:t>
      </w:r>
      <w:r w:rsidRPr="00C0074A">
        <w:rPr>
          <w:iCs/>
        </w:rPr>
        <w:t xml:space="preserve">the potential effect </w:t>
      </w:r>
      <w:r w:rsidR="000E6A4E">
        <w:rPr>
          <w:iCs/>
        </w:rPr>
        <w:t>on an entity’s financial statements</w:t>
      </w:r>
      <w:r w:rsidR="000D4D95">
        <w:rPr>
          <w:iCs/>
        </w:rPr>
        <w:t xml:space="preserve"> of</w:t>
      </w:r>
      <w:r w:rsidRPr="00C0074A">
        <w:rPr>
          <w:iCs/>
        </w:rPr>
        <w:t xml:space="preserve"> issued </w:t>
      </w:r>
      <w:r w:rsidR="00716C62">
        <w:rPr>
          <w:iCs/>
        </w:rPr>
        <w:t xml:space="preserve">IFRS </w:t>
      </w:r>
      <w:r w:rsidRPr="00C0074A">
        <w:rPr>
          <w:iCs/>
        </w:rPr>
        <w:t xml:space="preserve">Standards </w:t>
      </w:r>
      <w:r w:rsidR="00BE4F34">
        <w:rPr>
          <w:iCs/>
        </w:rPr>
        <w:t xml:space="preserve">that have </w:t>
      </w:r>
      <w:r w:rsidRPr="00C0074A">
        <w:rPr>
          <w:iCs/>
        </w:rPr>
        <w:t xml:space="preserve">not yet been issued by the </w:t>
      </w:r>
      <w:r w:rsidR="009C53B1">
        <w:rPr>
          <w:iCs/>
        </w:rPr>
        <w:t>AASB.</w:t>
      </w:r>
      <w:r w:rsidR="009C53B1">
        <w:rPr>
          <w:i/>
        </w:rPr>
        <w:t xml:space="preserve"> </w:t>
      </w:r>
      <w:r w:rsidR="009C53B1" w:rsidRPr="009C53B1">
        <w:rPr>
          <w:iCs/>
        </w:rPr>
        <w:t>This is</w:t>
      </w:r>
      <w:r w:rsidR="009C53B1">
        <w:rPr>
          <w:i/>
        </w:rPr>
        <w:t xml:space="preserve"> </w:t>
      </w:r>
      <w:r w:rsidRPr="00C0074A">
        <w:t xml:space="preserve">to ensure that IFRS compliance can be maintained automatically when for-profit </w:t>
      </w:r>
      <w:r w:rsidR="00DD2104" w:rsidRPr="00DD2104">
        <w:t xml:space="preserve">publicly accountable entities </w:t>
      </w:r>
      <w:r w:rsidRPr="00C0074A">
        <w:t>comply with Australian Accounting Standards</w:t>
      </w:r>
      <w:r>
        <w:t>.</w:t>
      </w:r>
    </w:p>
    <w:p w14:paraId="1D674BFC" w14:textId="77777777" w:rsidR="00090A6F" w:rsidRDefault="00F22AF2" w:rsidP="00F22AF2">
      <w:pPr>
        <w:pStyle w:val="Heading2"/>
      </w:pPr>
      <w:r>
        <w:t>Main features of this Standard</w:t>
      </w:r>
    </w:p>
    <w:p w14:paraId="1EDAB487" w14:textId="77777777" w:rsidR="00F22AF2" w:rsidRDefault="00F22AF2" w:rsidP="0096317D">
      <w:pPr>
        <w:pStyle w:val="Heading2Indent1"/>
      </w:pPr>
      <w:r>
        <w:t>Main requirements</w:t>
      </w:r>
    </w:p>
    <w:p w14:paraId="687F04DB" w14:textId="65B14C7B" w:rsidR="0068249A" w:rsidRDefault="00804D25" w:rsidP="0068249A">
      <w:pPr>
        <w:pStyle w:val="NoNumPlain1"/>
      </w:pPr>
      <w:r>
        <w:t xml:space="preserve">This Standard </w:t>
      </w:r>
      <w:r w:rsidR="00916EFA">
        <w:t>makes amendme</w:t>
      </w:r>
      <w:r w:rsidR="00275490">
        <w:t>nts to AASB </w:t>
      </w:r>
      <w:r w:rsidR="00F2144B">
        <w:t>1054</w:t>
      </w:r>
      <w:r w:rsidR="00F16636">
        <w:t xml:space="preserve"> by </w:t>
      </w:r>
      <w:r w:rsidR="0068249A">
        <w:t>adding a disclosure requirement</w:t>
      </w:r>
      <w:r w:rsidR="00DD2104">
        <w:t xml:space="preserve"> </w:t>
      </w:r>
      <w:r w:rsidR="00D54C3C">
        <w:t xml:space="preserve">for an entity </w:t>
      </w:r>
      <w:r w:rsidR="00A74EE2">
        <w:t>intending to comply</w:t>
      </w:r>
      <w:r w:rsidR="00514AD2">
        <w:t xml:space="preserve"> </w:t>
      </w:r>
      <w:r w:rsidR="000A343B">
        <w:t xml:space="preserve">with IFRS Standards </w:t>
      </w:r>
      <w:r w:rsidR="00D54C3C">
        <w:t>to disclose the information</w:t>
      </w:r>
      <w:r w:rsidR="00D32532">
        <w:t xml:space="preserve"> spec</w:t>
      </w:r>
      <w:r w:rsidR="00FD5ED1">
        <w:t>i</w:t>
      </w:r>
      <w:r w:rsidR="00D32532">
        <w:t>fied</w:t>
      </w:r>
      <w:r w:rsidR="00D54C3C">
        <w:t xml:space="preserve"> in paragraphs 30 and 31 of AASB 108 </w:t>
      </w:r>
      <w:r w:rsidR="00D54C3C" w:rsidRPr="0068249A">
        <w:rPr>
          <w:i/>
          <w:iCs/>
        </w:rPr>
        <w:t>Accounting Policies, Changes in Accounting Estimates and Errors</w:t>
      </w:r>
      <w:r w:rsidR="00D54C3C">
        <w:t xml:space="preserve"> </w:t>
      </w:r>
      <w:r w:rsidR="00FF0B42">
        <w:t xml:space="preserve">on the potential effect </w:t>
      </w:r>
      <w:r w:rsidR="00583A03">
        <w:t>o</w:t>
      </w:r>
      <w:r w:rsidR="00FF0B42">
        <w:t>f a</w:t>
      </w:r>
      <w:r w:rsidR="005E08A7">
        <w:t>n</w:t>
      </w:r>
      <w:r w:rsidR="00FF0B42">
        <w:t xml:space="preserve"> IFRS Standard that has not yet been issued by the AASB.</w:t>
      </w:r>
      <w:r w:rsidR="00A1759A">
        <w:t xml:space="preserve"> This</w:t>
      </w:r>
      <w:r w:rsidR="0068249A">
        <w:t xml:space="preserve"> w</w:t>
      </w:r>
      <w:r w:rsidR="004C43E0">
        <w:t>ill</w:t>
      </w:r>
      <w:r w:rsidR="0068249A">
        <w:t xml:space="preserve"> ensure that </w:t>
      </w:r>
      <w:r w:rsidR="00F8047D">
        <w:t xml:space="preserve">for-profit publicly accountable </w:t>
      </w:r>
      <w:r w:rsidR="0068249A">
        <w:t>entities</w:t>
      </w:r>
      <w:r w:rsidR="00E31E0E">
        <w:t xml:space="preserve"> </w:t>
      </w:r>
      <w:r w:rsidR="004C43E0">
        <w:t xml:space="preserve">complying with </w:t>
      </w:r>
      <w:r w:rsidR="0068249A">
        <w:t>A</w:t>
      </w:r>
      <w:r w:rsidR="005740FC">
        <w:t xml:space="preserve">ustralian </w:t>
      </w:r>
      <w:r w:rsidR="0068249A">
        <w:t>A</w:t>
      </w:r>
      <w:r w:rsidR="005740FC">
        <w:t xml:space="preserve">ccounting </w:t>
      </w:r>
      <w:r w:rsidR="0068249A">
        <w:t>S</w:t>
      </w:r>
      <w:r w:rsidR="005740FC">
        <w:t>tandards</w:t>
      </w:r>
      <w:r w:rsidR="0068249A">
        <w:t xml:space="preserve"> can assert compliance with IFRS Standards.</w:t>
      </w:r>
    </w:p>
    <w:p w14:paraId="2199A66F" w14:textId="77777777" w:rsidR="00F22AF2" w:rsidRDefault="00F22AF2" w:rsidP="0096317D">
      <w:pPr>
        <w:pStyle w:val="Heading2Indent1"/>
      </w:pPr>
      <w:r>
        <w:t>Application date</w:t>
      </w:r>
    </w:p>
    <w:p w14:paraId="1E92ABBF" w14:textId="18CF9CF6" w:rsidR="00F22AF2" w:rsidRPr="00F22AF2" w:rsidRDefault="00B16904" w:rsidP="00F73284">
      <w:pPr>
        <w:pStyle w:val="IASBNormal"/>
      </w:pPr>
      <w:r>
        <w:t xml:space="preserve">This Standard applies to annual periods </w:t>
      </w:r>
      <w:bookmarkStart w:id="11" w:name="ApplyText"/>
      <w:r>
        <w:t>beginning</w:t>
      </w:r>
      <w:bookmarkEnd w:id="11"/>
      <w:r>
        <w:t xml:space="preserve"> on or after</w:t>
      </w:r>
      <w:r w:rsidR="00867FB0">
        <w:t xml:space="preserve"> </w:t>
      </w:r>
      <w:bookmarkStart w:id="12" w:name="ApplyDate"/>
      <w:r w:rsidR="004A3747">
        <w:t>1 January 2</w:t>
      </w:r>
      <w:r w:rsidR="0096317D">
        <w:t>020</w:t>
      </w:r>
      <w:bookmarkEnd w:id="12"/>
      <w:r w:rsidR="00804D25">
        <w:t xml:space="preserve">, </w:t>
      </w:r>
      <w:r w:rsidR="009E0595" w:rsidRPr="00766E15">
        <w:t>with earl</w:t>
      </w:r>
      <w:r w:rsidR="009E0595">
        <w:t>ier</w:t>
      </w:r>
      <w:r w:rsidR="009E0595" w:rsidRPr="00766E15">
        <w:t xml:space="preserve"> </w:t>
      </w:r>
      <w:r w:rsidR="009E0595">
        <w:t>application</w:t>
      </w:r>
      <w:r w:rsidR="009E0595" w:rsidRPr="00766E15">
        <w:t xml:space="preserve"> permitted.</w:t>
      </w:r>
    </w:p>
    <w:p w14:paraId="7BD3736F" w14:textId="77777777" w:rsidR="00F22AF2" w:rsidRPr="0000292B" w:rsidRDefault="00F22AF2"/>
    <w:p w14:paraId="7A005A3D" w14:textId="77777777" w:rsidR="00090A6F" w:rsidRPr="0000292B" w:rsidRDefault="00090A6F">
      <w:pPr>
        <w:sectPr w:rsidR="00090A6F" w:rsidRPr="0000292B" w:rsidSect="00D74C6A">
          <w:headerReference w:type="even" r:id="rId15"/>
          <w:footerReference w:type="default" r:id="rId16"/>
          <w:headerReference w:type="first" r:id="rId17"/>
          <w:pgSz w:w="11907" w:h="16840" w:code="9"/>
          <w:pgMar w:top="1418" w:right="1418" w:bottom="1418" w:left="1418" w:header="709" w:footer="709" w:gutter="0"/>
          <w:paperSrc w:first="7" w:other="7"/>
          <w:cols w:space="720"/>
        </w:sectPr>
      </w:pPr>
    </w:p>
    <w:p w14:paraId="7A92CC2B" w14:textId="3EACE5E9"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542C82" w:rsidRPr="00542C82">
        <w:rPr>
          <w:iCs/>
        </w:rPr>
        <w:t>2019-5</w:t>
      </w:r>
      <w:r w:rsidR="001662B8" w:rsidRPr="00BC0D5D">
        <w:rPr>
          <w:iCs/>
        </w:rPr>
        <w:fldChar w:fldCharType="end"/>
      </w:r>
    </w:p>
    <w:p w14:paraId="6CAF911E" w14:textId="06C424B5" w:rsidR="001662B8" w:rsidRDefault="001662B8" w:rsidP="003E1900">
      <w:pPr>
        <w:pStyle w:val="NoNumPlain1"/>
      </w:pPr>
      <w:r>
        <w:t>The Australian Accounting Standards Board makes Accounting Standard AASB </w:t>
      </w:r>
      <w:fldSimple w:instr=" REF DocNo  \* charformat ">
        <w:r w:rsidR="00542C82">
          <w:t>2019-5</w:t>
        </w:r>
      </w:fldSimple>
      <w:r>
        <w:t xml:space="preserve"> </w:t>
      </w:r>
      <w:r w:rsidR="00CC1DF4" w:rsidRPr="006763B1">
        <w:rPr>
          <w:i/>
        </w:rPr>
        <w:fldChar w:fldCharType="begin"/>
      </w:r>
      <w:r w:rsidR="00CC1DF4" w:rsidRPr="007A7678">
        <w:rPr>
          <w:i/>
        </w:rPr>
        <w:instrText xml:space="preserve"> REF DocTitle \* charformat </w:instrText>
      </w:r>
      <w:r w:rsidR="00C0074A" w:rsidRPr="007A7678">
        <w:rPr>
          <w:i/>
        </w:rPr>
        <w:instrText xml:space="preserve"> \* MERGEFORMAT </w:instrText>
      </w:r>
      <w:r w:rsidR="00CC1DF4" w:rsidRPr="006763B1">
        <w:rPr>
          <w:i/>
        </w:rPr>
        <w:fldChar w:fldCharType="separate"/>
      </w:r>
      <w:r w:rsidR="00542C82" w:rsidRPr="00542C82">
        <w:rPr>
          <w:i/>
        </w:rPr>
        <w:t>Amendments to Australian Accounting Standards –</w:t>
      </w:r>
      <w:r w:rsidR="00542C82" w:rsidRPr="00542C82">
        <w:t xml:space="preserve"> </w:t>
      </w:r>
      <w:r w:rsidR="00CC1DF4" w:rsidRPr="006763B1">
        <w:rPr>
          <w:i/>
        </w:rPr>
        <w:fldChar w:fldCharType="end"/>
      </w:r>
      <w:bookmarkStart w:id="13" w:name="CorpsAct"/>
      <w:r w:rsidR="00FF1D45" w:rsidRPr="00482B90">
        <w:rPr>
          <w:i/>
        </w:rPr>
        <w:t xml:space="preserve">Disclosure </w:t>
      </w:r>
      <w:r w:rsidR="00FF1D45">
        <w:rPr>
          <w:i/>
        </w:rPr>
        <w:t>o</w:t>
      </w:r>
      <w:r w:rsidR="00FF1D45" w:rsidRPr="00482B90">
        <w:rPr>
          <w:i/>
        </w:rPr>
        <w:t xml:space="preserve">f </w:t>
      </w:r>
      <w:r w:rsidR="00FF1D45">
        <w:rPr>
          <w:i/>
        </w:rPr>
        <w:t xml:space="preserve">the </w:t>
      </w:r>
      <w:r w:rsidR="00FF1D45" w:rsidRPr="00482B90">
        <w:rPr>
          <w:i/>
        </w:rPr>
        <w:t xml:space="preserve">Effect </w:t>
      </w:r>
      <w:r w:rsidR="00FF1D45">
        <w:rPr>
          <w:i/>
        </w:rPr>
        <w:t>o</w:t>
      </w:r>
      <w:r w:rsidR="00FF1D45" w:rsidRPr="00482B90">
        <w:rPr>
          <w:i/>
        </w:rPr>
        <w:t>f New I</w:t>
      </w:r>
      <w:r w:rsidR="00FF1D45">
        <w:rPr>
          <w:i/>
        </w:rPr>
        <w:t>FRS</w:t>
      </w:r>
      <w:r w:rsidR="00FF1D45" w:rsidRPr="00482B90">
        <w:rPr>
          <w:i/>
        </w:rPr>
        <w:t xml:space="preserve"> Standard</w:t>
      </w:r>
      <w:r w:rsidR="001C4032">
        <w:rPr>
          <w:i/>
        </w:rPr>
        <w:t>s</w:t>
      </w:r>
      <w:r w:rsidR="00FF1D45" w:rsidRPr="00482B90">
        <w:rPr>
          <w:i/>
        </w:rPr>
        <w:t xml:space="preserve"> </w:t>
      </w:r>
      <w:r w:rsidR="00FF1D45">
        <w:rPr>
          <w:i/>
        </w:rPr>
        <w:t>N</w:t>
      </w:r>
      <w:r w:rsidR="00FF1D45" w:rsidRPr="00482B90">
        <w:rPr>
          <w:i/>
        </w:rPr>
        <w:t xml:space="preserve">ot </w:t>
      </w:r>
      <w:r w:rsidR="00FF1D45">
        <w:rPr>
          <w:i/>
        </w:rPr>
        <w:t>Y</w:t>
      </w:r>
      <w:r w:rsidR="00FF1D45" w:rsidRPr="00482B90">
        <w:rPr>
          <w:i/>
        </w:rPr>
        <w:t xml:space="preserve">et </w:t>
      </w:r>
      <w:r w:rsidR="00FF1D45">
        <w:rPr>
          <w:i/>
        </w:rPr>
        <w:t>I</w:t>
      </w:r>
      <w:r w:rsidR="00FF1D45" w:rsidRPr="00482B90">
        <w:rPr>
          <w:i/>
        </w:rPr>
        <w:t xml:space="preserve">ssued </w:t>
      </w:r>
      <w:r w:rsidR="00FF1D45">
        <w:rPr>
          <w:i/>
        </w:rPr>
        <w:t>i</w:t>
      </w:r>
      <w:r w:rsidR="00FF1D45" w:rsidRPr="00482B90">
        <w:rPr>
          <w:i/>
        </w:rPr>
        <w:t>n Australia</w:t>
      </w:r>
      <w:r w:rsidR="00FF1D45">
        <w:rPr>
          <w:i/>
        </w:rPr>
        <w:t xml:space="preserve"> </w:t>
      </w:r>
      <w:r w:rsidRPr="006763B1">
        <w:t>under</w:t>
      </w:r>
      <w:r>
        <w:t xml:space="preserve"> section 334 of the </w:t>
      </w:r>
      <w:r>
        <w:rPr>
          <w:i/>
          <w:iCs/>
        </w:rPr>
        <w:t>Corporations Act 2001</w:t>
      </w:r>
      <w:bookmarkEnd w:id="13"/>
      <w:r>
        <w:t>.</w:t>
      </w:r>
    </w:p>
    <w:tbl>
      <w:tblPr>
        <w:tblW w:w="907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711"/>
      </w:tblGrid>
      <w:tr w:rsidR="00C03C7B" w14:paraId="64B7EB67" w14:textId="77777777" w:rsidTr="001A4E74">
        <w:tc>
          <w:tcPr>
            <w:tcW w:w="4361" w:type="dxa"/>
          </w:tcPr>
          <w:p w14:paraId="265F23B6" w14:textId="77777777" w:rsidR="00C03C7B" w:rsidRDefault="00C03C7B" w:rsidP="0048155F"/>
        </w:tc>
        <w:tc>
          <w:tcPr>
            <w:tcW w:w="4711" w:type="dxa"/>
          </w:tcPr>
          <w:p w14:paraId="2AE9C1AE" w14:textId="77777777" w:rsidR="00C03C7B" w:rsidRDefault="008F3EBA" w:rsidP="0048155F">
            <w:pPr>
              <w:jc w:val="right"/>
            </w:pPr>
            <w:r>
              <w:t>Kris Peach</w:t>
            </w:r>
          </w:p>
        </w:tc>
      </w:tr>
      <w:tr w:rsidR="00C03C7B" w14:paraId="356A72EC" w14:textId="77777777" w:rsidTr="001A4E74">
        <w:tc>
          <w:tcPr>
            <w:tcW w:w="4361" w:type="dxa"/>
          </w:tcPr>
          <w:p w14:paraId="7ECEBB49" w14:textId="2DA89529" w:rsidR="00C03C7B" w:rsidRDefault="00F34813" w:rsidP="000A589D">
            <w:pPr>
              <w:tabs>
                <w:tab w:val="left" w:pos="2585"/>
              </w:tabs>
              <w:ind w:left="-108"/>
            </w:pPr>
            <w:r>
              <w:t>Dated</w:t>
            </w:r>
            <w:r w:rsidR="000A589D">
              <w:t xml:space="preserve"> </w:t>
            </w:r>
            <w:r w:rsidR="00A6022B">
              <w:t>21 Nove</w:t>
            </w:r>
            <w:r w:rsidR="005E0AB0">
              <w:t>mber 2019</w:t>
            </w:r>
            <w:r w:rsidR="000A589D">
              <w:tab/>
            </w:r>
          </w:p>
        </w:tc>
        <w:tc>
          <w:tcPr>
            <w:tcW w:w="4711" w:type="dxa"/>
          </w:tcPr>
          <w:p w14:paraId="5BF3DCCC" w14:textId="77777777" w:rsidR="00C03C7B" w:rsidRDefault="00C03C7B" w:rsidP="0048155F">
            <w:pPr>
              <w:jc w:val="right"/>
            </w:pPr>
            <w:r>
              <w:t>Chair – AASB</w:t>
            </w:r>
          </w:p>
        </w:tc>
      </w:tr>
    </w:tbl>
    <w:p w14:paraId="4FC7A864" w14:textId="269AA394"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542C82" w:rsidRPr="00542C82">
        <w:rPr>
          <w:iCs/>
        </w:rPr>
        <w:t>2019-5</w:t>
      </w:r>
      <w:r w:rsidR="00BC0D5D" w:rsidRPr="00BC0D5D">
        <w:rPr>
          <w:iCs/>
        </w:rPr>
        <w:fldChar w:fldCharType="end"/>
      </w:r>
    </w:p>
    <w:p w14:paraId="3993EA4E" w14:textId="724BC61E" w:rsidR="00090A6F" w:rsidRPr="00BF3DA7" w:rsidRDefault="00717235" w:rsidP="003E1900">
      <w:pPr>
        <w:pStyle w:val="Heading1Italic"/>
        <w:spacing w:before="0"/>
      </w:pPr>
      <w:fldSimple w:instr=" REF \* charformat DocTitle  \* MERGEFORMAT ">
        <w:r w:rsidR="00542C82">
          <w:t xml:space="preserve">Amendments to Australian Accounting Standards – </w:t>
        </w:r>
      </w:fldSimple>
      <w:r w:rsidR="007068B3" w:rsidRPr="007068B3">
        <w:t xml:space="preserve">Disclosure of </w:t>
      </w:r>
      <w:r w:rsidR="002B20C3">
        <w:t xml:space="preserve">the </w:t>
      </w:r>
      <w:r w:rsidR="007068B3">
        <w:t>E</w:t>
      </w:r>
      <w:r w:rsidR="007068B3" w:rsidRPr="007068B3">
        <w:t xml:space="preserve">ffect of </w:t>
      </w:r>
      <w:r w:rsidR="007068B3">
        <w:t>N</w:t>
      </w:r>
      <w:r w:rsidR="007068B3" w:rsidRPr="007068B3">
        <w:t>ew IFRS Standard</w:t>
      </w:r>
      <w:r w:rsidR="00746C78">
        <w:t>s</w:t>
      </w:r>
      <w:r w:rsidR="007068B3" w:rsidRPr="007068B3">
        <w:t xml:space="preserve"> </w:t>
      </w:r>
      <w:r w:rsidR="00B7407D">
        <w:t>N</w:t>
      </w:r>
      <w:r w:rsidR="007068B3" w:rsidRPr="007068B3">
        <w:t xml:space="preserve">ot </w:t>
      </w:r>
      <w:r w:rsidR="00B7407D">
        <w:t>Y</w:t>
      </w:r>
      <w:r w:rsidR="007068B3" w:rsidRPr="007068B3">
        <w:t xml:space="preserve">et </w:t>
      </w:r>
      <w:r w:rsidR="00B7407D">
        <w:t>I</w:t>
      </w:r>
      <w:r w:rsidR="007068B3" w:rsidRPr="007068B3">
        <w:t>ssued in Australia</w:t>
      </w:r>
    </w:p>
    <w:p w14:paraId="7A909457" w14:textId="77777777" w:rsidR="00090A6F" w:rsidRPr="0000292B" w:rsidRDefault="00090A6F" w:rsidP="00FC30DA">
      <w:pPr>
        <w:pStyle w:val="Heading2"/>
      </w:pPr>
      <w:bookmarkStart w:id="14" w:name="TOCStart"/>
      <w:bookmarkEnd w:id="14"/>
      <w:r w:rsidRPr="0000292B">
        <w:t>Objective</w:t>
      </w:r>
    </w:p>
    <w:p w14:paraId="6D9EF78B" w14:textId="12E1E9F6" w:rsidR="003A60C1" w:rsidRDefault="00822D91" w:rsidP="009E0595">
      <w:pPr>
        <w:pStyle w:val="NumPlain1"/>
      </w:pPr>
      <w:r w:rsidRPr="00822D91">
        <w:t xml:space="preserve">This Standard makes amendments to AASB 1054 </w:t>
      </w:r>
      <w:r w:rsidRPr="0016567B">
        <w:rPr>
          <w:i/>
          <w:iCs/>
        </w:rPr>
        <w:t>Australian Additional Disclosures</w:t>
      </w:r>
      <w:r w:rsidR="00CE19AE">
        <w:rPr>
          <w:i/>
          <w:iCs/>
        </w:rPr>
        <w:t xml:space="preserve"> </w:t>
      </w:r>
      <w:r w:rsidR="00CE19AE" w:rsidRPr="00CE19AE">
        <w:t>(May 2011)</w:t>
      </w:r>
      <w:r w:rsidR="00CE19AE">
        <w:t xml:space="preserve"> </w:t>
      </w:r>
      <w:r w:rsidR="00BD1050">
        <w:t xml:space="preserve">by </w:t>
      </w:r>
      <w:r w:rsidRPr="00822D91">
        <w:t xml:space="preserve">adding a disclosure requirement for an entity to disclose the information </w:t>
      </w:r>
      <w:r w:rsidR="001C3AE8">
        <w:t xml:space="preserve">specified </w:t>
      </w:r>
      <w:r w:rsidRPr="00822D91">
        <w:t xml:space="preserve">in paragraphs 30 and 31 of AASB 108 </w:t>
      </w:r>
      <w:r w:rsidRPr="0016567B">
        <w:rPr>
          <w:i/>
          <w:iCs/>
        </w:rPr>
        <w:t>Accounting Policies, Changes in Accounting Estimates and Errors</w:t>
      </w:r>
      <w:r w:rsidRPr="00822D91">
        <w:t xml:space="preserve"> on the potential effect</w:t>
      </w:r>
      <w:r w:rsidR="007757DC">
        <w:t xml:space="preserve"> on an entity</w:t>
      </w:r>
      <w:r w:rsidR="0059477B">
        <w:t>’s financial statements</w:t>
      </w:r>
      <w:r w:rsidRPr="00822D91">
        <w:t xml:space="preserve"> </w:t>
      </w:r>
      <w:r w:rsidR="00C66BBE">
        <w:t>o</w:t>
      </w:r>
      <w:r w:rsidRPr="00822D91">
        <w:t>f a</w:t>
      </w:r>
      <w:r w:rsidR="005E08A7">
        <w:t>n</w:t>
      </w:r>
      <w:r w:rsidRPr="00822D91">
        <w:t xml:space="preserve"> IFRS Standard that has not yet been issued by the AASB. </w:t>
      </w:r>
    </w:p>
    <w:p w14:paraId="068B93AC" w14:textId="77777777" w:rsidR="00090A6F" w:rsidRPr="0000292B" w:rsidRDefault="00090A6F">
      <w:pPr>
        <w:pStyle w:val="Heading2"/>
      </w:pPr>
      <w:bookmarkStart w:id="15" w:name="StndObj"/>
      <w:bookmarkStart w:id="16" w:name="ArisingDate"/>
      <w:bookmarkEnd w:id="15"/>
      <w:bookmarkEnd w:id="16"/>
      <w:r w:rsidRPr="0000292B">
        <w:t>Application</w:t>
      </w:r>
    </w:p>
    <w:p w14:paraId="33ACF0D9" w14:textId="1C7425EB" w:rsidR="005A6AC7" w:rsidRPr="004D76A1" w:rsidRDefault="005A6AC7" w:rsidP="004D76A1">
      <w:pPr>
        <w:pStyle w:val="NumBold1"/>
        <w:rPr>
          <w:b w:val="0"/>
          <w:bCs/>
        </w:rPr>
      </w:pPr>
      <w:r w:rsidRPr="004D76A1">
        <w:rPr>
          <w:b w:val="0"/>
          <w:bCs/>
        </w:rPr>
        <w:t xml:space="preserve">The amendments set out in this Standard apply to entities and financial statements in accordance with the application of </w:t>
      </w:r>
      <w:r w:rsidR="004D76A1" w:rsidRPr="004D76A1">
        <w:rPr>
          <w:b w:val="0"/>
          <w:bCs/>
        </w:rPr>
        <w:t>AASB 1054</w:t>
      </w:r>
      <w:r w:rsidR="004D76A1" w:rsidRPr="006763B1">
        <w:rPr>
          <w:b w:val="0"/>
          <w:bCs/>
        </w:rPr>
        <w:t xml:space="preserve"> </w:t>
      </w:r>
      <w:r w:rsidRPr="007A7678">
        <w:rPr>
          <w:b w:val="0"/>
          <w:bCs/>
        </w:rPr>
        <w:t xml:space="preserve">set out in AASB 1057 </w:t>
      </w:r>
      <w:r w:rsidRPr="007A7678">
        <w:rPr>
          <w:b w:val="0"/>
          <w:bCs/>
          <w:i/>
        </w:rPr>
        <w:t>Application of Australian Accounting Standards</w:t>
      </w:r>
      <w:r w:rsidR="000D0541" w:rsidRPr="007A7678">
        <w:rPr>
          <w:b w:val="0"/>
          <w:bCs/>
        </w:rPr>
        <w:t>.</w:t>
      </w:r>
    </w:p>
    <w:p w14:paraId="1A08C7F5" w14:textId="34FF5D46" w:rsidR="009E0595" w:rsidRPr="009E0595" w:rsidRDefault="00090A6F" w:rsidP="009E0595">
      <w:pPr>
        <w:pStyle w:val="NumBold1"/>
        <w:rPr>
          <w:b w:val="0"/>
        </w:rPr>
      </w:pPr>
      <w:r w:rsidRPr="00920B8B">
        <w:rPr>
          <w:b w:val="0"/>
        </w:rPr>
        <w:t xml:space="preserve">This Standard applies to annual periods </w:t>
      </w:r>
      <w:r w:rsidR="005A6AC7" w:rsidRPr="00920B8B">
        <w:rPr>
          <w:b w:val="0"/>
        </w:rPr>
        <w:fldChar w:fldCharType="begin"/>
      </w:r>
      <w:r w:rsidR="005A6AC7" w:rsidRPr="00920B8B">
        <w:rPr>
          <w:b w:val="0"/>
        </w:rPr>
        <w:instrText xml:space="preserve"> REF ApplyText \* charformat</w:instrText>
      </w:r>
      <w:r w:rsidR="00920B8B">
        <w:rPr>
          <w:b w:val="0"/>
        </w:rPr>
        <w:instrText xml:space="preserve"> \* MERGEFORMAT </w:instrText>
      </w:r>
      <w:r w:rsidR="005A6AC7" w:rsidRPr="00920B8B">
        <w:rPr>
          <w:b w:val="0"/>
        </w:rPr>
        <w:fldChar w:fldCharType="separate"/>
      </w:r>
      <w:r w:rsidR="00542C82" w:rsidRPr="00542C82">
        <w:rPr>
          <w:b w:val="0"/>
        </w:rPr>
        <w:t>beginning</w:t>
      </w:r>
      <w:r w:rsidR="005A6AC7" w:rsidRPr="00920B8B">
        <w:rPr>
          <w:b w:val="0"/>
        </w:rPr>
        <w:fldChar w:fldCharType="end"/>
      </w:r>
      <w:r w:rsidRPr="00920B8B">
        <w:rPr>
          <w:b w:val="0"/>
        </w:rPr>
        <w:t xml:space="preserve"> on or after </w:t>
      </w:r>
      <w:r w:rsidR="005A6AC7" w:rsidRPr="00920B8B">
        <w:rPr>
          <w:b w:val="0"/>
        </w:rPr>
        <w:fldChar w:fldCharType="begin"/>
      </w:r>
      <w:r w:rsidR="005A6AC7" w:rsidRPr="00920B8B">
        <w:rPr>
          <w:b w:val="0"/>
        </w:rPr>
        <w:instrText xml:space="preserve"> REF ApplyDate \* charformat</w:instrText>
      </w:r>
      <w:r w:rsidR="00920B8B">
        <w:rPr>
          <w:b w:val="0"/>
        </w:rPr>
        <w:instrText xml:space="preserve"> \* MERGEFORMAT </w:instrText>
      </w:r>
      <w:r w:rsidR="005A6AC7" w:rsidRPr="00920B8B">
        <w:rPr>
          <w:b w:val="0"/>
        </w:rPr>
        <w:fldChar w:fldCharType="separate"/>
      </w:r>
      <w:r w:rsidR="00542C82" w:rsidRPr="00542C82">
        <w:rPr>
          <w:b w:val="0"/>
        </w:rPr>
        <w:t>1 January 2020</w:t>
      </w:r>
      <w:r w:rsidR="005A6AC7" w:rsidRPr="00920B8B">
        <w:rPr>
          <w:b w:val="0"/>
        </w:rPr>
        <w:fldChar w:fldCharType="end"/>
      </w:r>
      <w:r w:rsidRPr="00920B8B">
        <w:rPr>
          <w:b w:val="0"/>
        </w:rPr>
        <w:t>.</w:t>
      </w:r>
      <w:r w:rsidR="009E0595">
        <w:rPr>
          <w:b w:val="0"/>
        </w:rPr>
        <w:t xml:space="preserve">  </w:t>
      </w:r>
      <w:r w:rsidR="009E0595" w:rsidRPr="009E0595">
        <w:rPr>
          <w:b w:val="0"/>
        </w:rPr>
        <w:t>Earlier application of this Standard is permitted.</w:t>
      </w:r>
    </w:p>
    <w:p w14:paraId="32E50A98" w14:textId="7E7ECDDC" w:rsidR="009E0595" w:rsidRPr="00920B8B" w:rsidRDefault="009E0595" w:rsidP="009E0595">
      <w:pPr>
        <w:pStyle w:val="NumBold1"/>
      </w:pPr>
      <w:r w:rsidRPr="009E0595">
        <w:rPr>
          <w:b w:val="0"/>
        </w:rPr>
        <w:t xml:space="preserve">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 </w:t>
      </w:r>
    </w:p>
    <w:p w14:paraId="02807CD9" w14:textId="7ED86B79" w:rsidR="004A3747" w:rsidRDefault="004A3C2F">
      <w:pPr>
        <w:pStyle w:val="Heading2"/>
      </w:pPr>
      <w:r>
        <w:t xml:space="preserve">Amendments to AASB </w:t>
      </w:r>
      <w:r w:rsidR="00E52ACC">
        <w:t>1054</w:t>
      </w:r>
    </w:p>
    <w:p w14:paraId="27013DD9" w14:textId="2C6A5F5F" w:rsidR="00054071" w:rsidRDefault="00560041" w:rsidP="00B31DD6">
      <w:pPr>
        <w:pStyle w:val="NumPlain1"/>
      </w:pPr>
      <w:r>
        <w:t>Paragraph 5A is amended as follows:</w:t>
      </w:r>
    </w:p>
    <w:p w14:paraId="07D97A1C" w14:textId="0773AE44" w:rsidR="00560041" w:rsidRDefault="005A4642" w:rsidP="005A4642">
      <w:pPr>
        <w:pStyle w:val="NumPlain1"/>
        <w:numPr>
          <w:ilvl w:val="0"/>
          <w:numId w:val="0"/>
        </w:numPr>
        <w:ind w:left="1020" w:hanging="510"/>
      </w:pPr>
      <w:r>
        <w:t>5A</w:t>
      </w:r>
      <w:r>
        <w:tab/>
        <w:t>Paragraphs 10</w:t>
      </w:r>
      <w:r w:rsidRPr="005A4642">
        <w:t>-</w:t>
      </w:r>
      <w:r w:rsidRPr="005A4642">
        <w:rPr>
          <w:strike/>
        </w:rPr>
        <w:t>16</w:t>
      </w:r>
      <w:r w:rsidR="00DA1474" w:rsidRPr="00DA1474">
        <w:rPr>
          <w:u w:val="single"/>
        </w:rPr>
        <w:t xml:space="preserve">17 </w:t>
      </w:r>
      <w:r>
        <w:t xml:space="preserve">of this Standard do not apply to entities preparing general purpose financial statements under Australian Accounting Standards – Reduced Disclosure Requirements. Entities applying Australian Accounting Standards – Reduced Disclosure Requirements may elect to comply with some or </w:t>
      </w:r>
      <w:proofErr w:type="gramStart"/>
      <w:r>
        <w:t>all of</w:t>
      </w:r>
      <w:proofErr w:type="gramEnd"/>
      <w:r>
        <w:t xml:space="preserve"> these excluded requirements</w:t>
      </w:r>
      <w:r w:rsidR="008B178C">
        <w:t>.</w:t>
      </w:r>
    </w:p>
    <w:p w14:paraId="24EB7F4D" w14:textId="6A44058E" w:rsidR="00046C1D" w:rsidRPr="007A7678" w:rsidRDefault="00CC5913" w:rsidP="00B15A34">
      <w:pPr>
        <w:pStyle w:val="NumPlain1"/>
      </w:pPr>
      <w:r w:rsidRPr="006763B1">
        <w:t xml:space="preserve">Paragraph </w:t>
      </w:r>
      <w:r w:rsidR="000475D8" w:rsidRPr="007A7678">
        <w:t>17</w:t>
      </w:r>
      <w:r w:rsidR="004D76A1" w:rsidRPr="007A7678">
        <w:t xml:space="preserve"> </w:t>
      </w:r>
      <w:r w:rsidR="007068B3" w:rsidRPr="006763B1">
        <w:t xml:space="preserve">and </w:t>
      </w:r>
      <w:r w:rsidR="00E5692C">
        <w:t xml:space="preserve">a </w:t>
      </w:r>
      <w:r w:rsidR="007068B3" w:rsidRPr="006763B1">
        <w:t xml:space="preserve">related heading </w:t>
      </w:r>
      <w:r w:rsidR="00054071">
        <w:t>are</w:t>
      </w:r>
      <w:r w:rsidRPr="007A7678">
        <w:t xml:space="preserve"> </w:t>
      </w:r>
      <w:r w:rsidR="007B7BC6" w:rsidRPr="007A7678">
        <w:t>added as follows</w:t>
      </w:r>
      <w:r w:rsidR="009F138F" w:rsidRPr="007A7678">
        <w:t>:</w:t>
      </w:r>
    </w:p>
    <w:p w14:paraId="32D9B4C1" w14:textId="51FB058B" w:rsidR="005127C8" w:rsidRPr="007A7678" w:rsidRDefault="005127C8" w:rsidP="007A7678">
      <w:pPr>
        <w:pStyle w:val="NumPlain1"/>
        <w:numPr>
          <w:ilvl w:val="0"/>
          <w:numId w:val="0"/>
        </w:numPr>
        <w:ind w:left="510"/>
        <w:rPr>
          <w:u w:val="single"/>
        </w:rPr>
      </w:pPr>
      <w:r w:rsidRPr="007A7678">
        <w:rPr>
          <w:b/>
          <w:bCs/>
          <w:u w:val="single"/>
        </w:rPr>
        <w:t xml:space="preserve">IFRS </w:t>
      </w:r>
      <w:r w:rsidR="008040B3">
        <w:rPr>
          <w:b/>
          <w:bCs/>
          <w:u w:val="single"/>
        </w:rPr>
        <w:t>Standard Not Yet Issued in Australia</w:t>
      </w:r>
      <w:r w:rsidRPr="007A7678">
        <w:rPr>
          <w:b/>
          <w:bCs/>
          <w:u w:val="single"/>
        </w:rPr>
        <w:t xml:space="preserve"> </w:t>
      </w:r>
    </w:p>
    <w:p w14:paraId="05ED4BC4" w14:textId="029A2047" w:rsidR="004A3747" w:rsidRPr="004D76A1" w:rsidRDefault="000475D8" w:rsidP="00AE214D">
      <w:pPr>
        <w:pStyle w:val="NumPlain1"/>
        <w:numPr>
          <w:ilvl w:val="0"/>
          <w:numId w:val="0"/>
        </w:numPr>
        <w:shd w:val="pct12" w:color="auto" w:fill="auto"/>
        <w:ind w:left="1020" w:hanging="510"/>
        <w:rPr>
          <w:u w:val="single"/>
        </w:rPr>
      </w:pPr>
      <w:r w:rsidRPr="00FF0A81">
        <w:rPr>
          <w:u w:val="single"/>
          <w:shd w:val="clear" w:color="auto" w:fill="D9D9D9" w:themeFill="background1" w:themeFillShade="D9"/>
        </w:rPr>
        <w:t>17</w:t>
      </w:r>
      <w:r w:rsidR="004D76A1" w:rsidRPr="006763B1">
        <w:tab/>
      </w:r>
      <w:r w:rsidR="006640C4" w:rsidRPr="00FF0A81">
        <w:rPr>
          <w:u w:val="single"/>
          <w:shd w:val="clear" w:color="auto" w:fill="D9D9D9" w:themeFill="background1" w:themeFillShade="D9"/>
        </w:rPr>
        <w:t>When an IFRS</w:t>
      </w:r>
      <w:r w:rsidR="00046C1D" w:rsidRPr="00FF0A81">
        <w:rPr>
          <w:u w:val="single"/>
          <w:shd w:val="clear" w:color="auto" w:fill="D9D9D9" w:themeFill="background1" w:themeFillShade="D9"/>
        </w:rPr>
        <w:t xml:space="preserve"> Standard</w:t>
      </w:r>
      <w:r w:rsidR="006640C4" w:rsidRPr="00FF0A81">
        <w:rPr>
          <w:u w:val="single"/>
          <w:shd w:val="clear" w:color="auto" w:fill="D9D9D9" w:themeFill="background1" w:themeFillShade="D9"/>
        </w:rPr>
        <w:t xml:space="preserve"> has been issued by the International Accounting Standards Board but the equivalent Australian Accounting Standard has yet to be issued by the AASB, an entity </w:t>
      </w:r>
      <w:r w:rsidR="009539A4">
        <w:rPr>
          <w:u w:val="single"/>
          <w:shd w:val="clear" w:color="auto" w:fill="D9D9D9" w:themeFill="background1" w:themeFillShade="D9"/>
        </w:rPr>
        <w:t>intending to comply with IFRS Standards</w:t>
      </w:r>
      <w:r w:rsidR="005B2E91">
        <w:rPr>
          <w:u w:val="single"/>
          <w:shd w:val="clear" w:color="auto" w:fill="D9D9D9" w:themeFill="background1" w:themeFillShade="D9"/>
        </w:rPr>
        <w:t xml:space="preserve"> </w:t>
      </w:r>
      <w:r w:rsidR="00EA3FAD" w:rsidRPr="00FF0A81">
        <w:rPr>
          <w:u w:val="single"/>
          <w:shd w:val="clear" w:color="auto" w:fill="D9D9D9" w:themeFill="background1" w:themeFillShade="D9"/>
        </w:rPr>
        <w:t>shall</w:t>
      </w:r>
      <w:r w:rsidR="006640C4" w:rsidRPr="00FF0A81">
        <w:rPr>
          <w:u w:val="single"/>
          <w:shd w:val="clear" w:color="auto" w:fill="D9D9D9" w:themeFill="background1" w:themeFillShade="D9"/>
        </w:rPr>
        <w:t xml:space="preserve"> disclose the information specified in paragraphs 30 and 31 of AASB 108 </w:t>
      </w:r>
      <w:r w:rsidR="006640C4" w:rsidRPr="00FF0A81">
        <w:rPr>
          <w:i/>
          <w:iCs/>
          <w:u w:val="single"/>
          <w:shd w:val="clear" w:color="auto" w:fill="D9D9D9" w:themeFill="background1" w:themeFillShade="D9"/>
        </w:rPr>
        <w:t xml:space="preserve">Accounting Policies, Changes in Accounting Estimates and Errors </w:t>
      </w:r>
      <w:r w:rsidR="006640C4" w:rsidRPr="00FF0A81">
        <w:rPr>
          <w:u w:val="single"/>
          <w:shd w:val="clear" w:color="auto" w:fill="D9D9D9" w:themeFill="background1" w:themeFillShade="D9"/>
        </w:rPr>
        <w:t>in relation to that IFRS</w:t>
      </w:r>
      <w:r w:rsidR="00C72B78" w:rsidRPr="00FF0A81">
        <w:rPr>
          <w:u w:val="single"/>
          <w:shd w:val="clear" w:color="auto" w:fill="D9D9D9" w:themeFill="background1" w:themeFillShade="D9"/>
        </w:rPr>
        <w:t xml:space="preserve"> Standar</w:t>
      </w:r>
      <w:r w:rsidR="00C72B78" w:rsidRPr="00794C5B">
        <w:rPr>
          <w:u w:val="single"/>
          <w:shd w:val="clear" w:color="auto" w:fill="D9D9D9" w:themeFill="background1" w:themeFillShade="D9"/>
        </w:rPr>
        <w:t>d</w:t>
      </w:r>
      <w:r w:rsidR="006640C4" w:rsidRPr="00794C5B">
        <w:rPr>
          <w:u w:val="single"/>
        </w:rPr>
        <w:t>.</w:t>
      </w:r>
    </w:p>
    <w:p w14:paraId="7059F746" w14:textId="77777777" w:rsidR="004A3747" w:rsidRDefault="004A3747">
      <w:pPr>
        <w:pStyle w:val="Heading2"/>
      </w:pPr>
      <w:r>
        <w:t>Commencement of the legislative instrument</w:t>
      </w:r>
    </w:p>
    <w:p w14:paraId="2B347C28" w14:textId="386721CF" w:rsidR="000D582D" w:rsidRPr="00765915" w:rsidRDefault="004A3747" w:rsidP="00074CB7">
      <w:pPr>
        <w:pStyle w:val="NumBold1"/>
        <w:tabs>
          <w:tab w:val="left" w:pos="783"/>
        </w:tabs>
        <w:jc w:val="left"/>
      </w:pPr>
      <w:r w:rsidRPr="00273B7F">
        <w:rPr>
          <w:b w:val="0"/>
        </w:rPr>
        <w:t xml:space="preserve">For legal purposes, this legislative instrument commences on </w:t>
      </w:r>
      <w:bookmarkStart w:id="17" w:name="CommenceDate"/>
      <w:r w:rsidRPr="00273B7F">
        <w:rPr>
          <w:b w:val="0"/>
        </w:rPr>
        <w:t>31 December 20</w:t>
      </w:r>
      <w:r w:rsidR="0025497B">
        <w:rPr>
          <w:b w:val="0"/>
        </w:rPr>
        <w:t>19</w:t>
      </w:r>
      <w:bookmarkEnd w:id="17"/>
      <w:r w:rsidRPr="00273B7F">
        <w:rPr>
          <w:b w:val="0"/>
        </w:rPr>
        <w:t>.</w:t>
      </w:r>
    </w:p>
    <w:p w14:paraId="6788E33B" w14:textId="77777777" w:rsidR="00765915" w:rsidRDefault="00765915" w:rsidP="00186559">
      <w:pPr>
        <w:pStyle w:val="NumBold1"/>
        <w:numPr>
          <w:ilvl w:val="0"/>
          <w:numId w:val="0"/>
        </w:numPr>
        <w:tabs>
          <w:tab w:val="left" w:pos="783"/>
        </w:tabs>
        <w:jc w:val="left"/>
      </w:pPr>
    </w:p>
    <w:p w14:paraId="68F67986" w14:textId="5AF1AD55" w:rsidR="004D5AD1" w:rsidRPr="000D582D" w:rsidRDefault="004D5AD1" w:rsidP="000D582D">
      <w:pPr>
        <w:tabs>
          <w:tab w:val="left" w:pos="783"/>
        </w:tabs>
        <w:sectPr w:rsidR="004D5AD1" w:rsidRPr="000D582D" w:rsidSect="00D74C6A">
          <w:headerReference w:type="even" r:id="rId18"/>
          <w:footerReference w:type="default" r:id="rId19"/>
          <w:headerReference w:type="first" r:id="rId20"/>
          <w:pgSz w:w="11907" w:h="16840" w:code="9"/>
          <w:pgMar w:top="1418" w:right="1418" w:bottom="1418" w:left="1418" w:header="709" w:footer="709" w:gutter="0"/>
          <w:paperSrc w:first="7" w:other="7"/>
          <w:cols w:space="720"/>
          <w:docGrid w:linePitch="65"/>
        </w:sectPr>
      </w:pPr>
    </w:p>
    <w:p w14:paraId="0C911E97" w14:textId="23D10C35" w:rsidR="004D5AD1" w:rsidRPr="00766E15" w:rsidRDefault="004D5AD1" w:rsidP="004D5AD1">
      <w:pPr>
        <w:pStyle w:val="ConvSectionTitle"/>
        <w:jc w:val="both"/>
      </w:pPr>
      <w:r w:rsidRPr="00766E15">
        <w:lastRenderedPageBreak/>
        <w:t>Basis for Conclusions</w:t>
      </w:r>
    </w:p>
    <w:p w14:paraId="364F3B88" w14:textId="49A8B125" w:rsidR="004D5AD1" w:rsidRPr="00766E15" w:rsidRDefault="004D5AD1" w:rsidP="004D5AD1">
      <w:pPr>
        <w:pStyle w:val="AppendixNote"/>
        <w:spacing w:after="100"/>
      </w:pPr>
      <w:r w:rsidRPr="00766E15">
        <w:t xml:space="preserve">This Basis for Conclusions accompanies, but is not </w:t>
      </w:r>
      <w:r w:rsidRPr="006763B1">
        <w:t xml:space="preserve">part of, </w:t>
      </w:r>
      <w:r w:rsidRPr="007A7678">
        <w:t>AASB </w:t>
      </w:r>
      <w:r w:rsidR="00C90A53" w:rsidRPr="007A7678">
        <w:fldChar w:fldCharType="begin"/>
      </w:r>
      <w:r w:rsidR="00C90A53" w:rsidRPr="007A7678">
        <w:instrText xml:space="preserve"> REF \* charformat DocNo </w:instrText>
      </w:r>
      <w:r w:rsidR="006763B1">
        <w:instrText xml:space="preserve"> \* MERGEFORMAT </w:instrText>
      </w:r>
      <w:r w:rsidR="00C90A53" w:rsidRPr="007A7678">
        <w:fldChar w:fldCharType="separate"/>
      </w:r>
      <w:r w:rsidR="00542C82">
        <w:t>2019-5</w:t>
      </w:r>
      <w:r w:rsidR="00C90A53" w:rsidRPr="007A7678">
        <w:fldChar w:fldCharType="end"/>
      </w:r>
      <w:r w:rsidRPr="006763B1">
        <w:t xml:space="preserve"> </w:t>
      </w:r>
      <w:r w:rsidR="00695B1F" w:rsidRPr="004C08FF">
        <w:rPr>
          <w:i w:val="0"/>
        </w:rPr>
        <w:fldChar w:fldCharType="begin"/>
      </w:r>
      <w:r w:rsidR="00695B1F" w:rsidRPr="004C08FF">
        <w:rPr>
          <w:i w:val="0"/>
        </w:rPr>
        <w:instrText xml:space="preserve"> REF \* charformat DocTitle  \* MERGEFORMAT </w:instrText>
      </w:r>
      <w:r w:rsidR="00695B1F" w:rsidRPr="004C08FF">
        <w:rPr>
          <w:i w:val="0"/>
        </w:rPr>
        <w:fldChar w:fldCharType="separate"/>
      </w:r>
      <w:r w:rsidR="00542C82" w:rsidRPr="00542C82">
        <w:rPr>
          <w:i w:val="0"/>
        </w:rPr>
        <w:t xml:space="preserve">Amendments to Australian Accounting Standards – </w:t>
      </w:r>
      <w:r w:rsidR="00695B1F" w:rsidRPr="004C08FF">
        <w:rPr>
          <w:i w:val="0"/>
        </w:rPr>
        <w:fldChar w:fldCharType="end"/>
      </w:r>
      <w:r w:rsidR="004C08FF" w:rsidRPr="004C08FF">
        <w:rPr>
          <w:i w:val="0"/>
        </w:rPr>
        <w:t>Disclosure of the Effect of New IFRS Standards Not Yet Issued in Australia</w:t>
      </w:r>
      <w:r w:rsidR="004C08FF">
        <w:t>.</w:t>
      </w:r>
    </w:p>
    <w:p w14:paraId="18AB9E7C" w14:textId="77777777" w:rsidR="004D5AD1" w:rsidRPr="00766E15" w:rsidRDefault="004D5AD1" w:rsidP="004D5AD1">
      <w:pPr>
        <w:pStyle w:val="IASBSectionTitle1NonInd"/>
        <w:jc w:val="both"/>
      </w:pPr>
      <w:r w:rsidRPr="00766E15">
        <w:t>Introduction</w:t>
      </w:r>
    </w:p>
    <w:p w14:paraId="0AEBB8DE" w14:textId="47FAC0BC" w:rsidR="004D5AD1" w:rsidRPr="00766E15" w:rsidRDefault="004D5AD1" w:rsidP="004D5AD1">
      <w:pPr>
        <w:pStyle w:val="NumBC1"/>
        <w:numPr>
          <w:ilvl w:val="0"/>
          <w:numId w:val="24"/>
        </w:numPr>
        <w:spacing w:before="0"/>
      </w:pPr>
      <w:r w:rsidRPr="00766E15">
        <w:t xml:space="preserve">This Basis for Conclusions summarises the Australian Accounting Standards Board’s considerations in reaching the conclusions </w:t>
      </w:r>
      <w:r>
        <w:t>i</w:t>
      </w:r>
      <w:r w:rsidRPr="00766E15">
        <w:t xml:space="preserve">n this </w:t>
      </w:r>
      <w:r>
        <w:t>Standard</w:t>
      </w:r>
      <w:r w:rsidRPr="00766E15">
        <w:t xml:space="preserve">. It sets out the reasons why the Board developed the </w:t>
      </w:r>
      <w:r>
        <w:t>Standard</w:t>
      </w:r>
      <w:r w:rsidRPr="00766E15">
        <w:t xml:space="preserve">, the approach taken to developing the </w:t>
      </w:r>
      <w:r>
        <w:t>Standard</w:t>
      </w:r>
      <w:r w:rsidRPr="00766E15">
        <w:t xml:space="preserve"> and the key decisions made. In making decisions, individual Board members gave greater weight to some factors than to others. </w:t>
      </w:r>
    </w:p>
    <w:p w14:paraId="101FCA82" w14:textId="77777777" w:rsidR="004D5AD1" w:rsidRPr="00766E15" w:rsidRDefault="004D5AD1" w:rsidP="004D5AD1">
      <w:pPr>
        <w:pStyle w:val="IASBSectionTitle1NonInd"/>
        <w:jc w:val="both"/>
        <w:rPr>
          <w:iCs/>
        </w:rPr>
      </w:pPr>
      <w:r w:rsidRPr="00766E15">
        <w:t xml:space="preserve">Reasons for </w:t>
      </w:r>
      <w:r>
        <w:t>issuing this Standard</w:t>
      </w:r>
    </w:p>
    <w:p w14:paraId="51E42DBD" w14:textId="3F5504C1" w:rsidR="00C72B78" w:rsidRPr="00C72B78" w:rsidRDefault="000864F0" w:rsidP="00676042">
      <w:pPr>
        <w:pStyle w:val="NumPlain1"/>
        <w:numPr>
          <w:ilvl w:val="0"/>
          <w:numId w:val="24"/>
        </w:numPr>
        <w:spacing w:before="120" w:after="120"/>
        <w:rPr>
          <w:szCs w:val="19"/>
        </w:rPr>
      </w:pPr>
      <w:r>
        <w:rPr>
          <w:szCs w:val="19"/>
        </w:rPr>
        <w:t xml:space="preserve">In line with </w:t>
      </w:r>
      <w:r w:rsidR="00C72B78" w:rsidRPr="00C72B78">
        <w:rPr>
          <w:szCs w:val="19"/>
        </w:rPr>
        <w:t xml:space="preserve">the </w:t>
      </w:r>
      <w:r w:rsidR="00B25A90">
        <w:rPr>
          <w:szCs w:val="19"/>
        </w:rPr>
        <w:t>Board</w:t>
      </w:r>
      <w:r w:rsidR="00C72B78" w:rsidRPr="00C72B78">
        <w:rPr>
          <w:szCs w:val="19"/>
        </w:rPr>
        <w:t xml:space="preserve">’s Key Performance Indicators, when an IFRS Standard is issued by the </w:t>
      </w:r>
      <w:r w:rsidR="006C4D6B">
        <w:rPr>
          <w:szCs w:val="19"/>
        </w:rPr>
        <w:t>International Accounting Standards Board (</w:t>
      </w:r>
      <w:r w:rsidR="00C72B78" w:rsidRPr="00C72B78">
        <w:rPr>
          <w:szCs w:val="19"/>
        </w:rPr>
        <w:t>IASB</w:t>
      </w:r>
      <w:r w:rsidR="006C4D6B">
        <w:rPr>
          <w:szCs w:val="19"/>
        </w:rPr>
        <w:t>)</w:t>
      </w:r>
      <w:r w:rsidR="00C72B78" w:rsidRPr="00C72B78">
        <w:rPr>
          <w:szCs w:val="19"/>
        </w:rPr>
        <w:t xml:space="preserve">, the </w:t>
      </w:r>
      <w:r w:rsidR="00590F6F">
        <w:rPr>
          <w:szCs w:val="19"/>
        </w:rPr>
        <w:t>Board</w:t>
      </w:r>
      <w:r w:rsidR="00C72B78" w:rsidRPr="00C72B78">
        <w:rPr>
          <w:szCs w:val="19"/>
        </w:rPr>
        <w:t xml:space="preserve"> aims to issue an equivalent Australian Accounting Standard within two months of the release of the IFRS Standard. The </w:t>
      </w:r>
      <w:r w:rsidR="00590F6F">
        <w:rPr>
          <w:szCs w:val="19"/>
        </w:rPr>
        <w:t>Board</w:t>
      </w:r>
      <w:r w:rsidR="00C72B78" w:rsidRPr="00C72B78">
        <w:rPr>
          <w:szCs w:val="19"/>
        </w:rPr>
        <w:t>’s intention is that</w:t>
      </w:r>
      <w:r w:rsidR="005E10CC">
        <w:rPr>
          <w:szCs w:val="19"/>
        </w:rPr>
        <w:t xml:space="preserve"> for-</w:t>
      </w:r>
      <w:r w:rsidR="00412BA2">
        <w:rPr>
          <w:szCs w:val="19"/>
        </w:rPr>
        <w:t>profit publicly accountable</w:t>
      </w:r>
      <w:r w:rsidR="00C72B78" w:rsidRPr="00C72B78">
        <w:rPr>
          <w:szCs w:val="19"/>
        </w:rPr>
        <w:t xml:space="preserve"> entities that comply with A</w:t>
      </w:r>
      <w:r w:rsidR="004E5FC6">
        <w:rPr>
          <w:szCs w:val="19"/>
        </w:rPr>
        <w:t xml:space="preserve">ustralian </w:t>
      </w:r>
      <w:r w:rsidR="00C72B78" w:rsidRPr="00C72B78">
        <w:rPr>
          <w:szCs w:val="19"/>
        </w:rPr>
        <w:t>A</w:t>
      </w:r>
      <w:r w:rsidR="004E5FC6">
        <w:rPr>
          <w:szCs w:val="19"/>
        </w:rPr>
        <w:t xml:space="preserve">ccounting </w:t>
      </w:r>
      <w:r w:rsidR="00C72B78" w:rsidRPr="00C72B78">
        <w:rPr>
          <w:szCs w:val="19"/>
        </w:rPr>
        <w:t>S</w:t>
      </w:r>
      <w:r w:rsidR="004E5FC6">
        <w:rPr>
          <w:szCs w:val="19"/>
        </w:rPr>
        <w:t>tandards</w:t>
      </w:r>
      <w:r w:rsidR="00C72B78" w:rsidRPr="00C72B78">
        <w:rPr>
          <w:szCs w:val="19"/>
        </w:rPr>
        <w:t xml:space="preserve"> should be able to assert compliance with IFRS Standards. </w:t>
      </w:r>
    </w:p>
    <w:p w14:paraId="48DE5582" w14:textId="59BBC3F1" w:rsidR="00C72B78" w:rsidRPr="00C72B78" w:rsidRDefault="00631F41" w:rsidP="00676042">
      <w:pPr>
        <w:pStyle w:val="NumPlain1"/>
        <w:numPr>
          <w:ilvl w:val="0"/>
          <w:numId w:val="24"/>
        </w:numPr>
        <w:spacing w:before="120" w:after="120"/>
        <w:rPr>
          <w:szCs w:val="19"/>
        </w:rPr>
      </w:pPr>
      <w:r>
        <w:rPr>
          <w:szCs w:val="19"/>
        </w:rPr>
        <w:t>T</w:t>
      </w:r>
      <w:r w:rsidR="00C72B78" w:rsidRPr="00C72B78">
        <w:rPr>
          <w:szCs w:val="19"/>
        </w:rPr>
        <w:t>he Board noted that</w:t>
      </w:r>
      <w:r w:rsidR="003F7101">
        <w:rPr>
          <w:szCs w:val="19"/>
        </w:rPr>
        <w:t>, without these amendments,</w:t>
      </w:r>
      <w:r w:rsidR="00C72B78" w:rsidRPr="00C72B78">
        <w:rPr>
          <w:szCs w:val="19"/>
        </w:rPr>
        <w:t xml:space="preserve"> this would not be possible in a situation where an entity’s reporting date falls between the date of the IASB issuing a</w:t>
      </w:r>
      <w:r w:rsidR="00C408AD">
        <w:rPr>
          <w:szCs w:val="19"/>
        </w:rPr>
        <w:t>n IFRS</w:t>
      </w:r>
      <w:r w:rsidR="00C72B78" w:rsidRPr="00C72B78">
        <w:rPr>
          <w:szCs w:val="19"/>
        </w:rPr>
        <w:t xml:space="preserve"> Standard and the AASB issuing the corresponding Australian Accounting Standard, as the AASB 108</w:t>
      </w:r>
      <w:r w:rsidR="00F2144B">
        <w:rPr>
          <w:szCs w:val="19"/>
        </w:rPr>
        <w:t xml:space="preserve"> </w:t>
      </w:r>
      <w:r w:rsidR="00F2144B" w:rsidRPr="00F2144B">
        <w:rPr>
          <w:i/>
          <w:iCs/>
          <w:szCs w:val="19"/>
        </w:rPr>
        <w:t>Accounting Policies, Changes in Accounting Estimates and Errors</w:t>
      </w:r>
      <w:r w:rsidR="00C72B78" w:rsidRPr="00C72B78">
        <w:rPr>
          <w:szCs w:val="19"/>
        </w:rPr>
        <w:t xml:space="preserve"> disclosure requirements would not apply in relation to </w:t>
      </w:r>
      <w:r w:rsidR="00F171E5">
        <w:rPr>
          <w:szCs w:val="19"/>
        </w:rPr>
        <w:t>that</w:t>
      </w:r>
      <w:r w:rsidR="00F171E5" w:rsidRPr="00C72B78">
        <w:rPr>
          <w:szCs w:val="19"/>
        </w:rPr>
        <w:t xml:space="preserve"> </w:t>
      </w:r>
      <w:r w:rsidR="00C72B78" w:rsidRPr="00C72B78">
        <w:rPr>
          <w:szCs w:val="19"/>
        </w:rPr>
        <w:t xml:space="preserve">IFRS Standard. </w:t>
      </w:r>
      <w:r w:rsidR="00C72B78">
        <w:t>Under these circumstances, an entity would not be able to assert compliance with IFRS Standards unless it elected to make the disclosures set out in paragraphs 30 and 31 of AASB 108</w:t>
      </w:r>
      <w:r w:rsidR="00B01FE4">
        <w:t xml:space="preserve"> in relation to </w:t>
      </w:r>
      <w:r w:rsidR="0088535B">
        <w:t>that</w:t>
      </w:r>
      <w:r w:rsidR="00B01FE4">
        <w:t xml:space="preserve"> IFRS Standard</w:t>
      </w:r>
      <w:r w:rsidR="00C72B78">
        <w:t xml:space="preserve">. </w:t>
      </w:r>
    </w:p>
    <w:p w14:paraId="5FFEDB95" w14:textId="6090BEB8" w:rsidR="006640C4" w:rsidRDefault="00C72B78" w:rsidP="00676042">
      <w:pPr>
        <w:pStyle w:val="NoNumPlain1"/>
        <w:numPr>
          <w:ilvl w:val="0"/>
          <w:numId w:val="24"/>
        </w:numPr>
        <w:spacing w:before="120" w:after="120"/>
      </w:pPr>
      <w:r>
        <w:t xml:space="preserve">The Board decided to add an additional disclosure requirement to </w:t>
      </w:r>
      <w:r w:rsidR="00441472" w:rsidRPr="00822D91">
        <w:t xml:space="preserve">AASB 1054 </w:t>
      </w:r>
      <w:r w:rsidR="00441472" w:rsidRPr="0016567B">
        <w:rPr>
          <w:i/>
          <w:iCs/>
        </w:rPr>
        <w:t>Australian Additional Disclosures</w:t>
      </w:r>
      <w:r w:rsidR="00441472" w:rsidRPr="00822D91">
        <w:t xml:space="preserve"> </w:t>
      </w:r>
      <w:r w:rsidR="004D65E2">
        <w:t xml:space="preserve">requiring </w:t>
      </w:r>
      <w:r w:rsidR="00441472" w:rsidRPr="00822D91">
        <w:t xml:space="preserve">an entity </w:t>
      </w:r>
      <w:r w:rsidR="002C747A">
        <w:t xml:space="preserve">that intends to comply with IFRS Standards </w:t>
      </w:r>
      <w:r w:rsidR="00441472" w:rsidRPr="00822D91">
        <w:t xml:space="preserve">to disclose the information in paragraphs 30 and 31 of AASB 108 on the potential effect </w:t>
      </w:r>
      <w:r w:rsidR="001F6762">
        <w:t xml:space="preserve">on the entity’s financial statements </w:t>
      </w:r>
      <w:r w:rsidR="00C31838">
        <w:t>o</w:t>
      </w:r>
      <w:r w:rsidR="00441472" w:rsidRPr="00822D91">
        <w:t>f a</w:t>
      </w:r>
      <w:r w:rsidR="00DB6E1B">
        <w:t>n</w:t>
      </w:r>
      <w:r w:rsidR="00441472" w:rsidRPr="00822D91">
        <w:t xml:space="preserve"> IFRS Standard that has not yet been issued by the B</w:t>
      </w:r>
      <w:r w:rsidR="00C31838">
        <w:t>oard</w:t>
      </w:r>
      <w:r w:rsidR="00441472" w:rsidRPr="00822D91">
        <w:t xml:space="preserve">. </w:t>
      </w:r>
      <w:r w:rsidR="00F13A6F" w:rsidRPr="00F13A6F">
        <w:t>This disclosure requirement will be particularly relevant to for-profit publicly accountable entities seeking IFRS compliance. Not-for-profit entities need not provide the disclosures if they are not able to or are not seeking to comply with IFRS Standards.</w:t>
      </w:r>
    </w:p>
    <w:p w14:paraId="7ECF3D95" w14:textId="6D4FD89F" w:rsidR="009C0111" w:rsidRDefault="00A1012E" w:rsidP="00E94343">
      <w:pPr>
        <w:pStyle w:val="NoNumPlain1"/>
        <w:numPr>
          <w:ilvl w:val="0"/>
          <w:numId w:val="24"/>
        </w:numPr>
        <w:spacing w:before="120" w:after="120"/>
      </w:pPr>
      <w:r w:rsidRPr="00A13450">
        <w:t xml:space="preserve">The disclosures set out in paragraphs 30 and 31 are not required of Tier 2 entities under Australian Accounting Standards – Reduced Disclosure Requirements. Similarly, these disclosures are not </w:t>
      </w:r>
      <w:r w:rsidR="00884A80">
        <w:t xml:space="preserve">proposed to be required </w:t>
      </w:r>
      <w:r w:rsidR="00B47BB9">
        <w:t xml:space="preserve">of </w:t>
      </w:r>
      <w:r w:rsidR="00884A80">
        <w:t xml:space="preserve">Tier 2 entities </w:t>
      </w:r>
      <w:r w:rsidR="005D75B0">
        <w:t xml:space="preserve">in </w:t>
      </w:r>
      <w:r w:rsidR="00862030">
        <w:t>E</w:t>
      </w:r>
      <w:r w:rsidR="00FE54EC">
        <w:t xml:space="preserve">xposure </w:t>
      </w:r>
      <w:r w:rsidR="00862030">
        <w:t>D</w:t>
      </w:r>
      <w:r w:rsidR="00FE54EC">
        <w:t>ra</w:t>
      </w:r>
      <w:r w:rsidR="00884A80">
        <w:t>f</w:t>
      </w:r>
      <w:r w:rsidR="00FE54EC">
        <w:t>t</w:t>
      </w:r>
      <w:r w:rsidR="00862030">
        <w:t xml:space="preserve"> </w:t>
      </w:r>
      <w:r w:rsidR="006E5738">
        <w:t xml:space="preserve">ED </w:t>
      </w:r>
      <w:r w:rsidR="00862030">
        <w:t>295</w:t>
      </w:r>
      <w:r w:rsidR="005D75B0">
        <w:t xml:space="preserve"> </w:t>
      </w:r>
      <w:r w:rsidR="00C07ED0" w:rsidRPr="006111D8">
        <w:rPr>
          <w:i/>
          <w:iCs/>
        </w:rPr>
        <w:t>General Purpose Financial Statements</w:t>
      </w:r>
      <w:r w:rsidR="00C07ED0">
        <w:t xml:space="preserve"> </w:t>
      </w:r>
      <w:r w:rsidR="00B25723">
        <w:t>–</w:t>
      </w:r>
      <w:r w:rsidR="00752685">
        <w:t xml:space="preserve"> </w:t>
      </w:r>
      <w:r w:rsidR="00752685" w:rsidRPr="00752685">
        <w:rPr>
          <w:i/>
          <w:iCs/>
        </w:rPr>
        <w:t>Simplified Disclosures for For-Profit and Not-for-Profit Tier 2 Entities.</w:t>
      </w:r>
      <w:r w:rsidR="00752685">
        <w:t xml:space="preserve"> </w:t>
      </w:r>
      <w:r w:rsidRPr="00A13450">
        <w:t xml:space="preserve">Therefore, </w:t>
      </w:r>
      <w:r>
        <w:t>the Board decided</w:t>
      </w:r>
      <w:r w:rsidRPr="00A13450">
        <w:t xml:space="preserve"> it would be appropriate </w:t>
      </w:r>
      <w:r w:rsidR="003C0CAC">
        <w:t xml:space="preserve">not </w:t>
      </w:r>
      <w:r w:rsidRPr="00A13450">
        <w:t xml:space="preserve">to </w:t>
      </w:r>
      <w:r w:rsidR="003C0CAC">
        <w:t xml:space="preserve">require </w:t>
      </w:r>
      <w:r w:rsidRPr="00A13450">
        <w:t>Tier 2 entities to provide the disclosures in relation to new IFRS Standards</w:t>
      </w:r>
      <w:r>
        <w:t xml:space="preserve"> not </w:t>
      </w:r>
      <w:r w:rsidR="00B67A61">
        <w:t xml:space="preserve">yet </w:t>
      </w:r>
      <w:r>
        <w:t xml:space="preserve">issued in </w:t>
      </w:r>
      <w:r w:rsidR="001F022B">
        <w:t>Australia. Tier</w:t>
      </w:r>
      <w:r w:rsidR="000B68EF">
        <w:t xml:space="preserve"> </w:t>
      </w:r>
      <w:r w:rsidR="00E94343" w:rsidRPr="00E94343">
        <w:t>2 entities preparing general purpose financial statement</w:t>
      </w:r>
      <w:r w:rsidR="006E1AF7">
        <w:t>s</w:t>
      </w:r>
      <w:r w:rsidR="00E94343" w:rsidRPr="00E94343">
        <w:t xml:space="preserve"> under the Reduced Disclosure Requirements will not </w:t>
      </w:r>
      <w:proofErr w:type="gramStart"/>
      <w:r w:rsidR="00E94343" w:rsidRPr="00E94343">
        <w:t>be in compliance with</w:t>
      </w:r>
      <w:proofErr w:type="gramEnd"/>
      <w:r w:rsidR="00E94343" w:rsidRPr="00E94343">
        <w:t xml:space="preserve"> IFRS Standards, and so such entities could not intend to comply with IFRS Standards. Although the disclosure requirement therefore would not apply to Tier 2 entities, the Board decided to make explicit the non-application to Tier 2 entities.</w:t>
      </w:r>
    </w:p>
    <w:p w14:paraId="73679515" w14:textId="34D563F8" w:rsidR="0043249C" w:rsidRDefault="0043249C" w:rsidP="005D1395">
      <w:pPr>
        <w:pStyle w:val="NoNumPlain1"/>
        <w:numPr>
          <w:ilvl w:val="0"/>
          <w:numId w:val="24"/>
        </w:numPr>
        <w:spacing w:before="120" w:after="120"/>
      </w:pPr>
      <w:r>
        <w:t xml:space="preserve">The Board </w:t>
      </w:r>
      <w:r w:rsidR="00395BEF">
        <w:t xml:space="preserve">also </w:t>
      </w:r>
      <w:r>
        <w:t>noted that the New Zealand equivalent of AASB 1054, Financial Reporting Standard</w:t>
      </w:r>
      <w:r w:rsidR="00F14345">
        <w:t xml:space="preserve"> FRS</w:t>
      </w:r>
      <w:r w:rsidR="00597552">
        <w:t xml:space="preserve"> 44</w:t>
      </w:r>
      <w:r>
        <w:t xml:space="preserve"> </w:t>
      </w:r>
      <w:r w:rsidRPr="00087F86">
        <w:rPr>
          <w:i/>
          <w:iCs/>
        </w:rPr>
        <w:t>New Zealand Additional Disclosures</w:t>
      </w:r>
      <w:r w:rsidR="00902543">
        <w:t>,</w:t>
      </w:r>
      <w:r>
        <w:t xml:space="preserve"> has been amended </w:t>
      </w:r>
      <w:r w:rsidR="000C5AE1">
        <w:t xml:space="preserve">similarly </w:t>
      </w:r>
      <w:r w:rsidR="00CC64EA">
        <w:t xml:space="preserve">in relation to IFRS </w:t>
      </w:r>
      <w:r w:rsidR="00CF4F2C">
        <w:t>Standards that have not yet been issued in New Zealand</w:t>
      </w:r>
      <w:r>
        <w:t xml:space="preserve">. </w:t>
      </w:r>
      <w:r w:rsidR="004B29FF" w:rsidRPr="003F3F72">
        <w:rPr>
          <w:i/>
          <w:iCs/>
        </w:rPr>
        <w:t>The</w:t>
      </w:r>
      <w:r w:rsidR="004B29FF">
        <w:t xml:space="preserve"> </w:t>
      </w:r>
      <w:r w:rsidR="004B29FF" w:rsidRPr="00597552">
        <w:rPr>
          <w:i/>
          <w:iCs/>
        </w:rPr>
        <w:t>AASB’s For-Profit Entity Standard-Setting Framework</w:t>
      </w:r>
      <w:r w:rsidR="004B29FF">
        <w:t xml:space="preserve"> requires that, wherever possible, differences between accounting standards issued in Australia and New Zealand should be minimised to reduce costs for entities operating trans-Tasman. </w:t>
      </w:r>
    </w:p>
    <w:p w14:paraId="4323D065" w14:textId="2DEE6205" w:rsidR="00767341" w:rsidRPr="00766E15" w:rsidRDefault="008C5537" w:rsidP="00767341">
      <w:pPr>
        <w:pStyle w:val="IASBSectionTitle1NonInd"/>
        <w:jc w:val="both"/>
        <w:rPr>
          <w:iCs/>
        </w:rPr>
      </w:pPr>
      <w:r w:rsidRPr="008C5537">
        <w:t>Issue of Fatal-Flaw Review version</w:t>
      </w:r>
    </w:p>
    <w:p w14:paraId="44D4F700" w14:textId="468CD332" w:rsidR="004B29FF" w:rsidRDefault="00306779" w:rsidP="004E2AAF">
      <w:pPr>
        <w:pStyle w:val="NoNumPlain1"/>
        <w:numPr>
          <w:ilvl w:val="0"/>
          <w:numId w:val="24"/>
        </w:numPr>
      </w:pPr>
      <w:r>
        <w:rPr>
          <w:szCs w:val="19"/>
        </w:rPr>
        <w:t xml:space="preserve">In October 2019, the Board issued a Fatal-Flaw Review version </w:t>
      </w:r>
      <w:r w:rsidR="00707CA8">
        <w:rPr>
          <w:szCs w:val="19"/>
        </w:rPr>
        <w:t xml:space="preserve">of the amendment </w:t>
      </w:r>
      <w:r>
        <w:rPr>
          <w:szCs w:val="19"/>
        </w:rPr>
        <w:t>for public comment</w:t>
      </w:r>
      <w:r w:rsidR="00B51AAB">
        <w:rPr>
          <w:szCs w:val="19"/>
        </w:rPr>
        <w:t xml:space="preserve"> with a </w:t>
      </w:r>
      <w:r w:rsidR="004E2AAF">
        <w:rPr>
          <w:szCs w:val="19"/>
        </w:rPr>
        <w:t>two-week</w:t>
      </w:r>
      <w:r w:rsidR="00B51AAB">
        <w:rPr>
          <w:szCs w:val="19"/>
        </w:rPr>
        <w:t xml:space="preserve"> comment period</w:t>
      </w:r>
      <w:r>
        <w:rPr>
          <w:szCs w:val="19"/>
        </w:rPr>
        <w:t>.</w:t>
      </w:r>
      <w:r w:rsidR="004E2AAF">
        <w:rPr>
          <w:szCs w:val="19"/>
        </w:rPr>
        <w:t xml:space="preserve"> </w:t>
      </w:r>
      <w:r w:rsidR="00B51AAB">
        <w:rPr>
          <w:szCs w:val="19"/>
        </w:rPr>
        <w:t>The Board decided t</w:t>
      </w:r>
      <w:r w:rsidR="005829B2">
        <w:rPr>
          <w:szCs w:val="19"/>
        </w:rPr>
        <w:t xml:space="preserve">o provide </w:t>
      </w:r>
      <w:r w:rsidR="00BE08AA">
        <w:rPr>
          <w:szCs w:val="19"/>
        </w:rPr>
        <w:t xml:space="preserve">only </w:t>
      </w:r>
      <w:r w:rsidR="005829B2">
        <w:rPr>
          <w:szCs w:val="19"/>
        </w:rPr>
        <w:t xml:space="preserve">a short comment period </w:t>
      </w:r>
      <w:r w:rsidR="004E2AAF">
        <w:rPr>
          <w:szCs w:val="19"/>
        </w:rPr>
        <w:t>as</w:t>
      </w:r>
      <w:r w:rsidR="00FA3C96">
        <w:rPr>
          <w:szCs w:val="19"/>
        </w:rPr>
        <w:t xml:space="preserve"> it considered</w:t>
      </w:r>
      <w:r w:rsidR="004E2AAF">
        <w:rPr>
          <w:szCs w:val="19"/>
        </w:rPr>
        <w:t xml:space="preserve"> the </w:t>
      </w:r>
      <w:r w:rsidR="00741FC0">
        <w:rPr>
          <w:szCs w:val="19"/>
        </w:rPr>
        <w:t>matter</w:t>
      </w:r>
      <w:r w:rsidR="004E2AAF">
        <w:rPr>
          <w:szCs w:val="19"/>
        </w:rPr>
        <w:t xml:space="preserve"> was straightforward and no</w:t>
      </w:r>
      <w:r w:rsidR="00741FC0">
        <w:rPr>
          <w:szCs w:val="19"/>
        </w:rPr>
        <w:t xml:space="preserve">t </w:t>
      </w:r>
      <w:r w:rsidR="004E2AAF">
        <w:rPr>
          <w:szCs w:val="19"/>
        </w:rPr>
        <w:t>controversial.</w:t>
      </w:r>
      <w:r>
        <w:rPr>
          <w:szCs w:val="19"/>
        </w:rPr>
        <w:t xml:space="preserve"> </w:t>
      </w:r>
      <w:r w:rsidR="000E361D">
        <w:rPr>
          <w:szCs w:val="19"/>
        </w:rPr>
        <w:t>The Board received one s</w:t>
      </w:r>
      <w:r>
        <w:rPr>
          <w:szCs w:val="19"/>
        </w:rPr>
        <w:t>ubmission</w:t>
      </w:r>
      <w:r w:rsidR="000E361D">
        <w:rPr>
          <w:szCs w:val="19"/>
        </w:rPr>
        <w:t xml:space="preserve"> on the Fatal</w:t>
      </w:r>
      <w:r w:rsidR="00DC052E">
        <w:rPr>
          <w:szCs w:val="19"/>
        </w:rPr>
        <w:t>-</w:t>
      </w:r>
      <w:r w:rsidR="000E361D">
        <w:rPr>
          <w:szCs w:val="19"/>
        </w:rPr>
        <w:t xml:space="preserve">Flaw Review </w:t>
      </w:r>
      <w:r w:rsidR="00DC052E">
        <w:rPr>
          <w:szCs w:val="19"/>
        </w:rPr>
        <w:t>version</w:t>
      </w:r>
      <w:r>
        <w:rPr>
          <w:szCs w:val="19"/>
        </w:rPr>
        <w:t xml:space="preserve">. </w:t>
      </w:r>
      <w:r>
        <w:t xml:space="preserve">The </w:t>
      </w:r>
      <w:r w:rsidRPr="00741B1B">
        <w:t>B</w:t>
      </w:r>
      <w:r>
        <w:t>oard</w:t>
      </w:r>
      <w:r w:rsidRPr="00741B1B">
        <w:t xml:space="preserve"> considered </w:t>
      </w:r>
      <w:r w:rsidR="00741FC0">
        <w:t>the</w:t>
      </w:r>
      <w:r w:rsidRPr="00741B1B">
        <w:t xml:space="preserve"> feedback </w:t>
      </w:r>
      <w:r w:rsidR="00741FC0">
        <w:t xml:space="preserve">received </w:t>
      </w:r>
      <w:r w:rsidRPr="00741B1B">
        <w:t xml:space="preserve">and decided </w:t>
      </w:r>
      <w:r w:rsidR="00957BD0">
        <w:t xml:space="preserve">that </w:t>
      </w:r>
      <w:r w:rsidR="006C291A">
        <w:t xml:space="preserve">the proposed </w:t>
      </w:r>
      <w:r w:rsidRPr="00741B1B">
        <w:t>amend</w:t>
      </w:r>
      <w:r w:rsidR="006C291A">
        <w:t>ing Standard did not require</w:t>
      </w:r>
      <w:r w:rsidR="00707056">
        <w:t xml:space="preserve"> </w:t>
      </w:r>
      <w:r w:rsidR="00F75EF1">
        <w:t>amendment and that further due process was not needed</w:t>
      </w:r>
      <w:r>
        <w:t xml:space="preserve">. </w:t>
      </w:r>
      <w:r w:rsidR="005D6B83">
        <w:t>Accord</w:t>
      </w:r>
      <w:r w:rsidR="00777C42">
        <w:t>ingly, the Board finalised the amending Standard</w:t>
      </w:r>
      <w:r w:rsidR="00486777">
        <w:t xml:space="preserve"> to add the disclosure requirement to AASB 1054.</w:t>
      </w:r>
    </w:p>
    <w:sectPr w:rsidR="004B29FF" w:rsidSect="00D74C6A">
      <w:headerReference w:type="even" r:id="rId21"/>
      <w:footerReference w:type="default" r:id="rId22"/>
      <w:headerReference w:type="first" r:id="rId23"/>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01F32" w14:textId="77777777" w:rsidR="00717235" w:rsidRDefault="00717235">
      <w:r>
        <w:separator/>
      </w:r>
    </w:p>
  </w:endnote>
  <w:endnote w:type="continuationSeparator" w:id="0">
    <w:p w14:paraId="79758E88" w14:textId="77777777" w:rsidR="00717235" w:rsidRDefault="00717235">
      <w:r>
        <w:continuationSeparator/>
      </w:r>
    </w:p>
  </w:endnote>
  <w:endnote w:type="continuationNotice" w:id="1">
    <w:p w14:paraId="050EDEF0" w14:textId="77777777" w:rsidR="00717235" w:rsidRDefault="00717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D074" w14:textId="5CAA0A7E" w:rsidR="00074CB7" w:rsidRDefault="00074CB7">
    <w:pPr>
      <w:pStyle w:val="Footer"/>
      <w:rPr>
        <w:b/>
      </w:rPr>
    </w:pPr>
    <w:r>
      <w:rPr>
        <w:b/>
      </w:rPr>
      <w:t xml:space="preserve">AASB </w:t>
    </w:r>
    <w:r>
      <w:rPr>
        <w:b/>
      </w:rPr>
      <w:fldChar w:fldCharType="begin"/>
    </w:r>
    <w:r>
      <w:rPr>
        <w:b/>
      </w:rPr>
      <w:instrText xml:space="preserve"> REF DocNo  \* charformat </w:instrText>
    </w:r>
    <w:r>
      <w:rPr>
        <w:b/>
      </w:rPr>
      <w:fldChar w:fldCharType="separate"/>
    </w:r>
    <w:r w:rsidR="00542C82" w:rsidRPr="00542C82">
      <w:rPr>
        <w:b/>
      </w:rPr>
      <w:t>2019-5</w:t>
    </w:r>
    <w:r>
      <w:rPr>
        <w:b/>
      </w:rPr>
      <w:fldChar w:fldCharType="end"/>
    </w:r>
    <w:r>
      <w:rPr>
        <w:b/>
      </w:rPr>
      <w:tab/>
    </w:r>
    <w:r>
      <w:fldChar w:fldCharType="begin"/>
    </w:r>
    <w:r>
      <w:instrText>PAGE</w:instrText>
    </w:r>
    <w:r>
      <w:fldChar w:fldCharType="separate"/>
    </w:r>
    <w:r w:rsidR="001E09E1">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C217" w14:textId="351A4670" w:rsidR="00074CB7" w:rsidRDefault="00074CB7">
    <w:pPr>
      <w:pStyle w:val="Footer"/>
      <w:rPr>
        <w:b/>
      </w:rPr>
    </w:pPr>
    <w:r>
      <w:rPr>
        <w:b/>
      </w:rPr>
      <w:t>AASB</w:t>
    </w:r>
    <w:r w:rsidR="00FE4A97">
      <w:rPr>
        <w:b/>
      </w:rPr>
      <w:t xml:space="preserve"> 2019-5</w:t>
    </w:r>
    <w:r>
      <w:rPr>
        <w:b/>
      </w:rPr>
      <w:tab/>
    </w:r>
    <w:r>
      <w:fldChar w:fldCharType="begin"/>
    </w:r>
    <w:r>
      <w:instrText>PAGE</w:instrText>
    </w:r>
    <w:r>
      <w:fldChar w:fldCharType="separate"/>
    </w:r>
    <w:r w:rsidR="001E09E1">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D1F4" w14:textId="7EAB6E64" w:rsidR="00074CB7" w:rsidRDefault="00074CB7">
    <w:pPr>
      <w:pStyle w:val="Footer"/>
      <w:rPr>
        <w:b/>
      </w:rPr>
    </w:pPr>
    <w:r>
      <w:rPr>
        <w:b/>
      </w:rPr>
      <w:t xml:space="preserve">AASB </w:t>
    </w:r>
    <w:r>
      <w:rPr>
        <w:b/>
      </w:rPr>
      <w:fldChar w:fldCharType="begin"/>
    </w:r>
    <w:r>
      <w:rPr>
        <w:b/>
      </w:rPr>
      <w:instrText xml:space="preserve"> REF DocNo  \* charformat </w:instrText>
    </w:r>
    <w:r>
      <w:rPr>
        <w:b/>
      </w:rPr>
      <w:fldChar w:fldCharType="separate"/>
    </w:r>
    <w:r w:rsidR="00542C82" w:rsidRPr="00542C82">
      <w:rPr>
        <w:b/>
      </w:rPr>
      <w:t>2019-5</w:t>
    </w:r>
    <w:r>
      <w:rPr>
        <w:b/>
      </w:rPr>
      <w:fldChar w:fldCharType="end"/>
    </w:r>
    <w:r>
      <w:rPr>
        <w:b/>
      </w:rPr>
      <w:tab/>
    </w:r>
    <w:r>
      <w:fldChar w:fldCharType="begin"/>
    </w:r>
    <w:r>
      <w:instrText>PAGE</w:instrText>
    </w:r>
    <w:r>
      <w:fldChar w:fldCharType="separate"/>
    </w:r>
    <w:r w:rsidR="001E09E1">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DC8BB" w14:textId="48C3FCA5" w:rsidR="00074CB7" w:rsidRDefault="00074CB7">
    <w:pPr>
      <w:pStyle w:val="Footer"/>
      <w:rPr>
        <w:b/>
      </w:rPr>
    </w:pPr>
    <w:r>
      <w:rPr>
        <w:b/>
      </w:rPr>
      <w:t xml:space="preserve">AASB </w:t>
    </w:r>
    <w:r>
      <w:rPr>
        <w:b/>
      </w:rPr>
      <w:fldChar w:fldCharType="begin"/>
    </w:r>
    <w:r>
      <w:rPr>
        <w:b/>
      </w:rPr>
      <w:instrText xml:space="preserve"> REF DocNo  \* charformat </w:instrText>
    </w:r>
    <w:r>
      <w:rPr>
        <w:b/>
      </w:rPr>
      <w:fldChar w:fldCharType="separate"/>
    </w:r>
    <w:r w:rsidR="00542C82" w:rsidRPr="00542C82">
      <w:rPr>
        <w:b/>
      </w:rPr>
      <w:t>2019-5</w:t>
    </w:r>
    <w:r>
      <w:rPr>
        <w:b/>
      </w:rPr>
      <w:fldChar w:fldCharType="end"/>
    </w:r>
    <w:r>
      <w:rPr>
        <w:b/>
      </w:rPr>
      <w:tab/>
    </w:r>
    <w:r>
      <w:fldChar w:fldCharType="begin"/>
    </w:r>
    <w:r>
      <w:instrText>PAGE</w:instrText>
    </w:r>
    <w:r>
      <w:fldChar w:fldCharType="separate"/>
    </w:r>
    <w:r w:rsidR="008009CB">
      <w:rPr>
        <w:noProof/>
      </w:rPr>
      <w:t>7</w:t>
    </w:r>
    <w:r>
      <w:fldChar w:fldCharType="end"/>
    </w:r>
    <w:r>
      <w:tab/>
    </w:r>
    <w:r w:rsidRPr="00870A13">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2647" w14:textId="262291A4" w:rsidR="00074CB7" w:rsidRDefault="00074CB7">
    <w:pPr>
      <w:pStyle w:val="Footer"/>
      <w:rPr>
        <w:b/>
      </w:rPr>
    </w:pPr>
    <w:r>
      <w:rPr>
        <w:b/>
      </w:rPr>
      <w:t xml:space="preserve">AASB </w:t>
    </w:r>
    <w:r>
      <w:rPr>
        <w:b/>
      </w:rPr>
      <w:fldChar w:fldCharType="begin"/>
    </w:r>
    <w:r>
      <w:rPr>
        <w:b/>
      </w:rPr>
      <w:instrText xml:space="preserve"> REF DocNo  \* charformat </w:instrText>
    </w:r>
    <w:r>
      <w:rPr>
        <w:b/>
      </w:rPr>
      <w:fldChar w:fldCharType="separate"/>
    </w:r>
    <w:r w:rsidR="00542C82" w:rsidRPr="00542C82">
      <w:rPr>
        <w:b/>
      </w:rPr>
      <w:t>2019-5</w:t>
    </w:r>
    <w:r>
      <w:rPr>
        <w:b/>
      </w:rPr>
      <w:fldChar w:fldCharType="end"/>
    </w:r>
    <w:r>
      <w:rPr>
        <w:b/>
      </w:rPr>
      <w:tab/>
    </w:r>
    <w:r>
      <w:fldChar w:fldCharType="begin"/>
    </w:r>
    <w:r>
      <w:instrText>PAGE</w:instrText>
    </w:r>
    <w:r>
      <w:fldChar w:fldCharType="separate"/>
    </w:r>
    <w:r w:rsidR="008009CB">
      <w:rPr>
        <w:noProof/>
      </w:rPr>
      <w:t>9</w:t>
    </w:r>
    <w:r>
      <w:fldChar w:fldCharType="end"/>
    </w:r>
    <w:r>
      <w:tab/>
    </w:r>
    <w:r>
      <w:rPr>
        <w:b/>
        <w:bCs/>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D9E7A" w14:textId="77777777" w:rsidR="00717235" w:rsidRDefault="00717235">
      <w:r>
        <w:separator/>
      </w:r>
    </w:p>
  </w:footnote>
  <w:footnote w:type="continuationSeparator" w:id="0">
    <w:p w14:paraId="0DB869F3" w14:textId="77777777" w:rsidR="00717235" w:rsidRDefault="00717235">
      <w:r>
        <w:continuationSeparator/>
      </w:r>
    </w:p>
  </w:footnote>
  <w:footnote w:type="continuationNotice" w:id="1">
    <w:p w14:paraId="0B285A90" w14:textId="77777777" w:rsidR="00717235" w:rsidRDefault="00717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42413" w14:textId="1548736F" w:rsidR="00EE179F" w:rsidRDefault="00EE17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E995" w14:textId="54C28B11" w:rsidR="00EE179F" w:rsidRDefault="00EE1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5EBD3" w14:textId="0864922D" w:rsidR="00EE179F" w:rsidRDefault="00EE1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B482F" w14:textId="51C738C9" w:rsidR="00EE179F" w:rsidRDefault="00EE17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3CDCA" w14:textId="17812DD0" w:rsidR="00EE179F" w:rsidRDefault="00EE17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D631" w14:textId="6FD511A1" w:rsidR="00EE179F" w:rsidRDefault="00EE17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38F4" w14:textId="62DA6802" w:rsidR="00EE179F" w:rsidRDefault="00EE17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5D4E" w14:textId="440D7EB4" w:rsidR="00EE179F" w:rsidRDefault="00EE17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F4B4" w14:textId="5C1245D2" w:rsidR="00EE179F" w:rsidRDefault="00EE17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C626F" w14:textId="465DF68C" w:rsidR="00EE179F" w:rsidRDefault="00EE1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871AB"/>
    <w:multiLevelType w:val="hybridMultilevel"/>
    <w:tmpl w:val="3DE49FEC"/>
    <w:lvl w:ilvl="0" w:tplc="E4A2CEE2">
      <w:start w:val="1"/>
      <w:numFmt w:val="lowerLetter"/>
      <w:lvlText w:val="(%1)"/>
      <w:lvlJc w:val="left"/>
      <w:pPr>
        <w:ind w:left="366" w:hanging="720"/>
      </w:pPr>
      <w:rPr>
        <w:rFonts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 w15:restartNumberingAfterBreak="0">
    <w:nsid w:val="0E9A5CE4"/>
    <w:multiLevelType w:val="multilevel"/>
    <w:tmpl w:val="C3841212"/>
    <w:lvl w:ilvl="0">
      <w:start w:val="1"/>
      <w:numFmt w:val="decimal"/>
      <w:lvlText w:val="%1"/>
      <w:lvlJc w:val="left"/>
      <w:pPr>
        <w:tabs>
          <w:tab w:val="num" w:pos="510"/>
        </w:tabs>
        <w:ind w:left="510" w:hanging="510"/>
      </w:pPr>
      <w:rPr>
        <w:rFonts w:hint="default"/>
        <w:u w:val="none"/>
      </w:rPr>
    </w:lvl>
    <w:lvl w:ilvl="1">
      <w:start w:val="1"/>
      <w:numFmt w:val="lowerLetter"/>
      <w:lvlText w:val="(%2)"/>
      <w:lvlJc w:val="left"/>
      <w:pPr>
        <w:tabs>
          <w:tab w:val="num" w:pos="1021"/>
        </w:tabs>
        <w:ind w:left="1021" w:hanging="511"/>
      </w:pPr>
      <w:rPr>
        <w:rFonts w:hint="default"/>
        <w:b/>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5"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15:restartNumberingAfterBreak="0">
    <w:nsid w:val="15494054"/>
    <w:multiLevelType w:val="multilevel"/>
    <w:tmpl w:val="3170FD08"/>
    <w:lvl w:ilvl="0">
      <w:start w:val="1"/>
      <w:numFmt w:val="bullet"/>
      <w:lvlText w:val=""/>
      <w:lvlJc w:val="left"/>
      <w:pPr>
        <w:tabs>
          <w:tab w:val="num" w:pos="782"/>
        </w:tabs>
        <w:ind w:left="782" w:hanging="782"/>
      </w:pPr>
      <w:rPr>
        <w:rFonts w:ascii="Symbol" w:hAnsi="Symbol" w:hint="default"/>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EC74DA"/>
    <w:multiLevelType w:val="hybridMultilevel"/>
    <w:tmpl w:val="3DE49FEC"/>
    <w:lvl w:ilvl="0" w:tplc="E4A2CEE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9"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0" w15:restartNumberingAfterBreak="0">
    <w:nsid w:val="2576465B"/>
    <w:multiLevelType w:val="multilevel"/>
    <w:tmpl w:val="D9F888A8"/>
    <w:lvl w:ilvl="0">
      <w:start w:val="1"/>
      <w:numFmt w:val="lowerLetter"/>
      <w:pStyle w:val="NumPlainA"/>
      <w:lvlText w:val="(%1)"/>
      <w:lvlJc w:val="left"/>
      <w:pPr>
        <w:tabs>
          <w:tab w:val="num" w:pos="1666"/>
        </w:tabs>
        <w:ind w:left="1666" w:hanging="510"/>
      </w:pPr>
      <w:rPr>
        <w:rFonts w:hint="default"/>
      </w:rPr>
    </w:lvl>
    <w:lvl w:ilvl="1">
      <w:start w:val="1"/>
      <w:numFmt w:val="lowerRoman"/>
      <w:pStyle w:val="NumPlainA2"/>
      <w:lvlText w:val="(%2)"/>
      <w:lvlJc w:val="left"/>
      <w:pPr>
        <w:tabs>
          <w:tab w:val="num" w:pos="2177"/>
        </w:tabs>
        <w:ind w:left="2177" w:hanging="511"/>
      </w:pPr>
      <w:rPr>
        <w:rFonts w:hint="default"/>
      </w:rPr>
    </w:lvl>
    <w:lvl w:ilvl="2">
      <w:start w:val="1"/>
      <w:numFmt w:val="lowerRoman"/>
      <w:lvlText w:val="%3."/>
      <w:lvlJc w:val="right"/>
      <w:pPr>
        <w:tabs>
          <w:tab w:val="num" w:pos="3316"/>
        </w:tabs>
        <w:ind w:left="3316" w:hanging="180"/>
      </w:pPr>
      <w:rPr>
        <w:rFonts w:hint="default"/>
      </w:rPr>
    </w:lvl>
    <w:lvl w:ilvl="3">
      <w:start w:val="1"/>
      <w:numFmt w:val="decimal"/>
      <w:lvlText w:val="%4."/>
      <w:lvlJc w:val="left"/>
      <w:pPr>
        <w:tabs>
          <w:tab w:val="num" w:pos="4036"/>
        </w:tabs>
        <w:ind w:left="4036" w:hanging="360"/>
      </w:pPr>
      <w:rPr>
        <w:rFonts w:hint="default"/>
      </w:rPr>
    </w:lvl>
    <w:lvl w:ilvl="4">
      <w:start w:val="1"/>
      <w:numFmt w:val="lowerLetter"/>
      <w:lvlText w:val="%5."/>
      <w:lvlJc w:val="left"/>
      <w:pPr>
        <w:tabs>
          <w:tab w:val="num" w:pos="4756"/>
        </w:tabs>
        <w:ind w:left="4756" w:hanging="360"/>
      </w:pPr>
      <w:rPr>
        <w:rFonts w:hint="default"/>
      </w:rPr>
    </w:lvl>
    <w:lvl w:ilvl="5">
      <w:start w:val="1"/>
      <w:numFmt w:val="lowerRoman"/>
      <w:lvlText w:val="%6."/>
      <w:lvlJc w:val="right"/>
      <w:pPr>
        <w:tabs>
          <w:tab w:val="num" w:pos="5476"/>
        </w:tabs>
        <w:ind w:left="5476" w:hanging="180"/>
      </w:pPr>
      <w:rPr>
        <w:rFonts w:hint="default"/>
      </w:rPr>
    </w:lvl>
    <w:lvl w:ilvl="6">
      <w:start w:val="1"/>
      <w:numFmt w:val="decimal"/>
      <w:lvlText w:val="%7."/>
      <w:lvlJc w:val="left"/>
      <w:pPr>
        <w:tabs>
          <w:tab w:val="num" w:pos="6196"/>
        </w:tabs>
        <w:ind w:left="6196" w:hanging="360"/>
      </w:pPr>
      <w:rPr>
        <w:rFonts w:hint="default"/>
      </w:rPr>
    </w:lvl>
    <w:lvl w:ilvl="7">
      <w:start w:val="1"/>
      <w:numFmt w:val="lowerLetter"/>
      <w:lvlText w:val="%8."/>
      <w:lvlJc w:val="left"/>
      <w:pPr>
        <w:tabs>
          <w:tab w:val="num" w:pos="6916"/>
        </w:tabs>
        <w:ind w:left="6916" w:hanging="360"/>
      </w:pPr>
      <w:rPr>
        <w:rFonts w:hint="default"/>
      </w:rPr>
    </w:lvl>
    <w:lvl w:ilvl="8">
      <w:start w:val="1"/>
      <w:numFmt w:val="lowerRoman"/>
      <w:lvlText w:val="%9."/>
      <w:lvlJc w:val="right"/>
      <w:pPr>
        <w:tabs>
          <w:tab w:val="num" w:pos="7636"/>
        </w:tabs>
        <w:ind w:left="7636" w:hanging="180"/>
      </w:pPr>
      <w:rPr>
        <w:rFonts w:hint="default"/>
      </w:rPr>
    </w:lvl>
  </w:abstractNum>
  <w:abstractNum w:abstractNumId="11" w15:restartNumberingAfterBreak="0">
    <w:nsid w:val="25B25A19"/>
    <w:multiLevelType w:val="hybridMultilevel"/>
    <w:tmpl w:val="D16238EE"/>
    <w:lvl w:ilvl="0" w:tplc="3A2ABD76">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2"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3" w15:restartNumberingAfterBreak="0">
    <w:nsid w:val="41FF24D0"/>
    <w:multiLevelType w:val="hybridMultilevel"/>
    <w:tmpl w:val="DA8CB9D0"/>
    <w:lvl w:ilvl="0" w:tplc="0C090001">
      <w:start w:val="1"/>
      <w:numFmt w:val="bullet"/>
      <w:lvlText w:val=""/>
      <w:lvlJc w:val="left"/>
      <w:pPr>
        <w:ind w:left="1142" w:hanging="360"/>
      </w:pPr>
      <w:rPr>
        <w:rFonts w:ascii="Symbol" w:hAnsi="Symbo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4" w15:restartNumberingAfterBreak="0">
    <w:nsid w:val="4CA52957"/>
    <w:multiLevelType w:val="hybridMultilevel"/>
    <w:tmpl w:val="4ADC3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0DF307B"/>
    <w:multiLevelType w:val="hybridMultilevel"/>
    <w:tmpl w:val="1AAA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F60789"/>
    <w:multiLevelType w:val="hybridMultilevel"/>
    <w:tmpl w:val="7BB06F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0812F3"/>
    <w:multiLevelType w:val="multilevel"/>
    <w:tmpl w:val="B90699F8"/>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8"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542243"/>
    <w:multiLevelType w:val="multilevel"/>
    <w:tmpl w:val="C868E5B4"/>
    <w:lvl w:ilvl="0">
      <w:start w:val="1"/>
      <w:numFmt w:val="decimal"/>
      <w:pStyle w:val="NumPlain1"/>
      <w:lvlText w:val="%1"/>
      <w:lvlJc w:val="left"/>
      <w:pPr>
        <w:tabs>
          <w:tab w:val="num" w:pos="510"/>
        </w:tabs>
        <w:ind w:left="510" w:hanging="510"/>
      </w:pPr>
      <w:rPr>
        <w:rFonts w:hint="default"/>
        <w:b w:val="0"/>
      </w:rPr>
    </w:lvl>
    <w:lvl w:ilvl="1">
      <w:start w:val="1"/>
      <w:numFmt w:val="lowerLetter"/>
      <w:pStyle w:val="NumPlain2"/>
      <w:lvlText w:val="(%2)"/>
      <w:lvlJc w:val="left"/>
      <w:pPr>
        <w:tabs>
          <w:tab w:val="num" w:pos="1021"/>
        </w:tabs>
        <w:ind w:left="1021" w:hanging="511"/>
      </w:pPr>
      <w:rPr>
        <w:rFonts w:hint="default"/>
        <w:i w:val="0"/>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0" w15:restartNumberingAfterBreak="0">
    <w:nsid w:val="62373062"/>
    <w:multiLevelType w:val="hybridMultilevel"/>
    <w:tmpl w:val="D16238EE"/>
    <w:lvl w:ilvl="0" w:tplc="3A2ABD7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22" w15:restartNumberingAfterBreak="0">
    <w:nsid w:val="6FB25B01"/>
    <w:multiLevelType w:val="hybridMultilevel"/>
    <w:tmpl w:val="E8D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5"/>
  </w:num>
  <w:num w:numId="5">
    <w:abstractNumId w:val="9"/>
  </w:num>
  <w:num w:numId="6">
    <w:abstractNumId w:val="21"/>
  </w:num>
  <w:num w:numId="7">
    <w:abstractNumId w:val="10"/>
  </w:num>
  <w:num w:numId="8">
    <w:abstractNumId w:val="12"/>
  </w:num>
  <w:num w:numId="9">
    <w:abstractNumId w:val="1"/>
  </w:num>
  <w:num w:numId="10">
    <w:abstractNumId w:val="0"/>
  </w:num>
  <w:num w:numId="11">
    <w:abstractNumId w:val="18"/>
  </w:num>
  <w:num w:numId="12">
    <w:abstractNumId w:val="20"/>
  </w:num>
  <w:num w:numId="13">
    <w:abstractNumId w:val="11"/>
  </w:num>
  <w:num w:numId="14">
    <w:abstractNumId w:val="19"/>
  </w:num>
  <w:num w:numId="15">
    <w:abstractNumId w:val="10"/>
  </w:num>
  <w:num w:numId="16">
    <w:abstractNumId w:val="15"/>
  </w:num>
  <w:num w:numId="17">
    <w:abstractNumId w:val="3"/>
  </w:num>
  <w:num w:numId="18">
    <w:abstractNumId w:val="7"/>
  </w:num>
  <w:num w:numId="19">
    <w:abstractNumId w:val="19"/>
  </w:num>
  <w:num w:numId="20">
    <w:abstractNumId w:val="6"/>
  </w:num>
  <w:num w:numId="21">
    <w:abstractNumId w:val="2"/>
  </w:num>
  <w:num w:numId="22">
    <w:abstractNumId w:val="4"/>
  </w:num>
  <w:num w:numId="23">
    <w:abstractNumId w:val="22"/>
  </w:num>
  <w:num w:numId="24">
    <w:abstractNumId w:val="8"/>
  </w:num>
  <w:num w:numId="25">
    <w:abstractNumId w:val="14"/>
  </w:num>
  <w:num w:numId="26">
    <w:abstractNumId w:val="16"/>
  </w:num>
  <w:num w:numId="27">
    <w:abstractNumId w:val="19"/>
    <w:lvlOverride w:ilvl="0">
      <w:startOverride w:val="30"/>
    </w:lvlOverride>
  </w:num>
  <w:num w:numId="28">
    <w:abstractNumId w:val="19"/>
  </w:num>
  <w:num w:numId="29">
    <w:abstractNumId w:val="19"/>
  </w:num>
  <w:num w:numId="30">
    <w:abstractNumId w:val="17"/>
    <w:lvlOverride w:ilvl="0">
      <w:lvl w:ilvl="0">
        <w:start w:val="1"/>
        <w:numFmt w:val="decimal"/>
        <w:lvlText w:val="%1"/>
        <w:lvlJc w:val="left"/>
        <w:pPr>
          <w:ind w:left="709" w:hanging="709"/>
        </w:pPr>
        <w:rPr>
          <w:rFonts w:asciiTheme="minorHAnsi" w:hAnsiTheme="minorHAnsi" w:cstheme="minorHAnsi" w:hint="default"/>
          <w:b w:val="0"/>
          <w:bCs w:val="0"/>
          <w:sz w:val="22"/>
          <w:szCs w:val="22"/>
        </w:rPr>
      </w:lvl>
    </w:lvlOverride>
    <w:lvlOverride w:ilvl="1">
      <w:lvl w:ilvl="1">
        <w:start w:val="1"/>
        <w:numFmt w:val="lowerLetter"/>
        <w:lvlText w:val="(%2)"/>
        <w:lvlJc w:val="left"/>
        <w:pPr>
          <w:ind w:left="1418" w:hanging="709"/>
        </w:pPr>
        <w:rPr>
          <w:rFonts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31">
    <w:abstractNumId w:val="17"/>
  </w:num>
  <w:num w:numId="3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10"/>
  <w:doNotHyphenateCaps/>
  <w:drawingGridHorizontalSpacing w:val="24"/>
  <w:displayHorizontalDrawingGridEvery w:val="0"/>
  <w:displayVerticalDrawingGridEvery w:val="0"/>
  <w:doNotShadeFormData/>
  <w:noPunctuationKerning/>
  <w:characterSpacingControl w:val="doNotCompress"/>
  <w:hdrShapeDefaults>
    <o:shapedefaults v:ext="edit" spidmax="4097">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47"/>
    <w:rsid w:val="000012B4"/>
    <w:rsid w:val="0000292B"/>
    <w:rsid w:val="00010277"/>
    <w:rsid w:val="00016717"/>
    <w:rsid w:val="000217DB"/>
    <w:rsid w:val="00027E8B"/>
    <w:rsid w:val="0003692E"/>
    <w:rsid w:val="00043291"/>
    <w:rsid w:val="000434BF"/>
    <w:rsid w:val="0004455B"/>
    <w:rsid w:val="00046196"/>
    <w:rsid w:val="00046C1D"/>
    <w:rsid w:val="000475D8"/>
    <w:rsid w:val="000478B3"/>
    <w:rsid w:val="00054071"/>
    <w:rsid w:val="000621BE"/>
    <w:rsid w:val="000625F2"/>
    <w:rsid w:val="00065B29"/>
    <w:rsid w:val="00074133"/>
    <w:rsid w:val="00074CB7"/>
    <w:rsid w:val="00076084"/>
    <w:rsid w:val="00080156"/>
    <w:rsid w:val="000812F8"/>
    <w:rsid w:val="00081745"/>
    <w:rsid w:val="00084AB4"/>
    <w:rsid w:val="000864F0"/>
    <w:rsid w:val="00090A6F"/>
    <w:rsid w:val="00091916"/>
    <w:rsid w:val="0009326D"/>
    <w:rsid w:val="00096027"/>
    <w:rsid w:val="00096ED1"/>
    <w:rsid w:val="000A343B"/>
    <w:rsid w:val="000A368E"/>
    <w:rsid w:val="000A589D"/>
    <w:rsid w:val="000B2AD3"/>
    <w:rsid w:val="000B68EF"/>
    <w:rsid w:val="000B733C"/>
    <w:rsid w:val="000B7719"/>
    <w:rsid w:val="000C35A0"/>
    <w:rsid w:val="000C3EB0"/>
    <w:rsid w:val="000C5AE1"/>
    <w:rsid w:val="000D0541"/>
    <w:rsid w:val="000D24A6"/>
    <w:rsid w:val="000D4A03"/>
    <w:rsid w:val="000D4D95"/>
    <w:rsid w:val="000D582D"/>
    <w:rsid w:val="000D7B40"/>
    <w:rsid w:val="000E1858"/>
    <w:rsid w:val="000E361D"/>
    <w:rsid w:val="000E3E92"/>
    <w:rsid w:val="000E6A4E"/>
    <w:rsid w:val="000F2088"/>
    <w:rsid w:val="000F64CC"/>
    <w:rsid w:val="0010515C"/>
    <w:rsid w:val="00110B96"/>
    <w:rsid w:val="001162C5"/>
    <w:rsid w:val="001206CF"/>
    <w:rsid w:val="0012107D"/>
    <w:rsid w:val="0013564B"/>
    <w:rsid w:val="00156D7E"/>
    <w:rsid w:val="001651E2"/>
    <w:rsid w:val="0016567B"/>
    <w:rsid w:val="001662B8"/>
    <w:rsid w:val="001672C9"/>
    <w:rsid w:val="001677CD"/>
    <w:rsid w:val="00171F51"/>
    <w:rsid w:val="00173F2A"/>
    <w:rsid w:val="001748C1"/>
    <w:rsid w:val="001761C6"/>
    <w:rsid w:val="0017712E"/>
    <w:rsid w:val="001779E8"/>
    <w:rsid w:val="001864D4"/>
    <w:rsid w:val="00186559"/>
    <w:rsid w:val="0019263D"/>
    <w:rsid w:val="0019286F"/>
    <w:rsid w:val="001950F0"/>
    <w:rsid w:val="00196E7E"/>
    <w:rsid w:val="001A2206"/>
    <w:rsid w:val="001A25B1"/>
    <w:rsid w:val="001A4E74"/>
    <w:rsid w:val="001A5641"/>
    <w:rsid w:val="001B2092"/>
    <w:rsid w:val="001B276A"/>
    <w:rsid w:val="001B2CF0"/>
    <w:rsid w:val="001B33A5"/>
    <w:rsid w:val="001B342F"/>
    <w:rsid w:val="001B3E4F"/>
    <w:rsid w:val="001B4780"/>
    <w:rsid w:val="001C1016"/>
    <w:rsid w:val="001C1D40"/>
    <w:rsid w:val="001C225F"/>
    <w:rsid w:val="001C272A"/>
    <w:rsid w:val="001C3AE8"/>
    <w:rsid w:val="001C4032"/>
    <w:rsid w:val="001C49AC"/>
    <w:rsid w:val="001C5AE7"/>
    <w:rsid w:val="001C7365"/>
    <w:rsid w:val="001D46F3"/>
    <w:rsid w:val="001E09E1"/>
    <w:rsid w:val="001E351E"/>
    <w:rsid w:val="001E6CDF"/>
    <w:rsid w:val="001F022B"/>
    <w:rsid w:val="001F2B35"/>
    <w:rsid w:val="001F2DBC"/>
    <w:rsid w:val="001F6762"/>
    <w:rsid w:val="001F78DF"/>
    <w:rsid w:val="00201A99"/>
    <w:rsid w:val="0020560B"/>
    <w:rsid w:val="002109E3"/>
    <w:rsid w:val="00212E65"/>
    <w:rsid w:val="0021393D"/>
    <w:rsid w:val="0022022E"/>
    <w:rsid w:val="00223A79"/>
    <w:rsid w:val="00226F32"/>
    <w:rsid w:val="00227E8F"/>
    <w:rsid w:val="002336D8"/>
    <w:rsid w:val="00233915"/>
    <w:rsid w:val="002472F4"/>
    <w:rsid w:val="0025497B"/>
    <w:rsid w:val="00254B16"/>
    <w:rsid w:val="002553A0"/>
    <w:rsid w:val="00265A50"/>
    <w:rsid w:val="00265E0B"/>
    <w:rsid w:val="0027167F"/>
    <w:rsid w:val="00273B7F"/>
    <w:rsid w:val="0027458B"/>
    <w:rsid w:val="00275490"/>
    <w:rsid w:val="00276BC5"/>
    <w:rsid w:val="0028086D"/>
    <w:rsid w:val="00283110"/>
    <w:rsid w:val="00283482"/>
    <w:rsid w:val="002862EE"/>
    <w:rsid w:val="0028759D"/>
    <w:rsid w:val="002910FD"/>
    <w:rsid w:val="0029647E"/>
    <w:rsid w:val="00296554"/>
    <w:rsid w:val="002A201D"/>
    <w:rsid w:val="002A2FD2"/>
    <w:rsid w:val="002A3230"/>
    <w:rsid w:val="002B20C3"/>
    <w:rsid w:val="002B4063"/>
    <w:rsid w:val="002B5A0A"/>
    <w:rsid w:val="002B7803"/>
    <w:rsid w:val="002C2901"/>
    <w:rsid w:val="002C5641"/>
    <w:rsid w:val="002C6390"/>
    <w:rsid w:val="002C736F"/>
    <w:rsid w:val="002C747A"/>
    <w:rsid w:val="002C78A4"/>
    <w:rsid w:val="002E1891"/>
    <w:rsid w:val="002E395C"/>
    <w:rsid w:val="002E791E"/>
    <w:rsid w:val="002F1CD0"/>
    <w:rsid w:val="002F32ED"/>
    <w:rsid w:val="002F56B2"/>
    <w:rsid w:val="00306779"/>
    <w:rsid w:val="00307F26"/>
    <w:rsid w:val="00312928"/>
    <w:rsid w:val="003160E6"/>
    <w:rsid w:val="00324B05"/>
    <w:rsid w:val="003251D8"/>
    <w:rsid w:val="0033581C"/>
    <w:rsid w:val="003365B3"/>
    <w:rsid w:val="003514A7"/>
    <w:rsid w:val="003605F6"/>
    <w:rsid w:val="00364B30"/>
    <w:rsid w:val="00367C1D"/>
    <w:rsid w:val="00367DC9"/>
    <w:rsid w:val="00377B8D"/>
    <w:rsid w:val="00380CDD"/>
    <w:rsid w:val="00382796"/>
    <w:rsid w:val="00384D89"/>
    <w:rsid w:val="0039009E"/>
    <w:rsid w:val="00391430"/>
    <w:rsid w:val="00392C42"/>
    <w:rsid w:val="00395BEF"/>
    <w:rsid w:val="003A488F"/>
    <w:rsid w:val="003A60C1"/>
    <w:rsid w:val="003B0CAA"/>
    <w:rsid w:val="003B0E71"/>
    <w:rsid w:val="003B483F"/>
    <w:rsid w:val="003B6633"/>
    <w:rsid w:val="003C0CAC"/>
    <w:rsid w:val="003C284A"/>
    <w:rsid w:val="003C6B24"/>
    <w:rsid w:val="003D094A"/>
    <w:rsid w:val="003D1DD4"/>
    <w:rsid w:val="003E0A68"/>
    <w:rsid w:val="003E1900"/>
    <w:rsid w:val="003F3F72"/>
    <w:rsid w:val="003F6ED6"/>
    <w:rsid w:val="003F7101"/>
    <w:rsid w:val="00401ECA"/>
    <w:rsid w:val="004037F5"/>
    <w:rsid w:val="004113EE"/>
    <w:rsid w:val="00411BD0"/>
    <w:rsid w:val="00412BA2"/>
    <w:rsid w:val="004150BD"/>
    <w:rsid w:val="00416A82"/>
    <w:rsid w:val="00422E4D"/>
    <w:rsid w:val="004230A7"/>
    <w:rsid w:val="00426876"/>
    <w:rsid w:val="004300D9"/>
    <w:rsid w:val="0043249C"/>
    <w:rsid w:val="00433FC5"/>
    <w:rsid w:val="00434D86"/>
    <w:rsid w:val="00435728"/>
    <w:rsid w:val="00436A2D"/>
    <w:rsid w:val="00441472"/>
    <w:rsid w:val="0044702C"/>
    <w:rsid w:val="00456D0C"/>
    <w:rsid w:val="00460FBB"/>
    <w:rsid w:val="004615EC"/>
    <w:rsid w:val="00463794"/>
    <w:rsid w:val="00470CE9"/>
    <w:rsid w:val="0047683E"/>
    <w:rsid w:val="0048155F"/>
    <w:rsid w:val="00482B90"/>
    <w:rsid w:val="00485481"/>
    <w:rsid w:val="00486777"/>
    <w:rsid w:val="00487CF6"/>
    <w:rsid w:val="00490C6F"/>
    <w:rsid w:val="00491083"/>
    <w:rsid w:val="004939D0"/>
    <w:rsid w:val="004961F8"/>
    <w:rsid w:val="004A30DC"/>
    <w:rsid w:val="004A3747"/>
    <w:rsid w:val="004A3BB8"/>
    <w:rsid w:val="004A3C2F"/>
    <w:rsid w:val="004A417F"/>
    <w:rsid w:val="004B038C"/>
    <w:rsid w:val="004B29FF"/>
    <w:rsid w:val="004B4319"/>
    <w:rsid w:val="004B736C"/>
    <w:rsid w:val="004C08FF"/>
    <w:rsid w:val="004C28A9"/>
    <w:rsid w:val="004C4195"/>
    <w:rsid w:val="004C43E0"/>
    <w:rsid w:val="004C4BAD"/>
    <w:rsid w:val="004C5BDE"/>
    <w:rsid w:val="004D245C"/>
    <w:rsid w:val="004D3809"/>
    <w:rsid w:val="004D4D1C"/>
    <w:rsid w:val="004D5AD1"/>
    <w:rsid w:val="004D65E2"/>
    <w:rsid w:val="004D76A1"/>
    <w:rsid w:val="004E1023"/>
    <w:rsid w:val="004E20BC"/>
    <w:rsid w:val="004E2AAF"/>
    <w:rsid w:val="004E3B24"/>
    <w:rsid w:val="004E5FC6"/>
    <w:rsid w:val="004F46A9"/>
    <w:rsid w:val="004F55FE"/>
    <w:rsid w:val="004F6EFE"/>
    <w:rsid w:val="00500479"/>
    <w:rsid w:val="00500E80"/>
    <w:rsid w:val="00507971"/>
    <w:rsid w:val="00511C34"/>
    <w:rsid w:val="005127C8"/>
    <w:rsid w:val="00514AD2"/>
    <w:rsid w:val="005161CB"/>
    <w:rsid w:val="005166B2"/>
    <w:rsid w:val="0052076B"/>
    <w:rsid w:val="00521A8B"/>
    <w:rsid w:val="00532102"/>
    <w:rsid w:val="00533F9C"/>
    <w:rsid w:val="0053452C"/>
    <w:rsid w:val="00534BAD"/>
    <w:rsid w:val="00534E7B"/>
    <w:rsid w:val="00535EC5"/>
    <w:rsid w:val="00537456"/>
    <w:rsid w:val="00540308"/>
    <w:rsid w:val="00542C82"/>
    <w:rsid w:val="00544AF9"/>
    <w:rsid w:val="00546583"/>
    <w:rsid w:val="00560041"/>
    <w:rsid w:val="0056081E"/>
    <w:rsid w:val="0056274D"/>
    <w:rsid w:val="00564C0B"/>
    <w:rsid w:val="005654E2"/>
    <w:rsid w:val="005655CE"/>
    <w:rsid w:val="00572D8E"/>
    <w:rsid w:val="005740FC"/>
    <w:rsid w:val="00574C92"/>
    <w:rsid w:val="005764E6"/>
    <w:rsid w:val="00577065"/>
    <w:rsid w:val="0058004D"/>
    <w:rsid w:val="00580BC4"/>
    <w:rsid w:val="005829B2"/>
    <w:rsid w:val="005834BF"/>
    <w:rsid w:val="00583A03"/>
    <w:rsid w:val="00590051"/>
    <w:rsid w:val="00590F6F"/>
    <w:rsid w:val="00592AF9"/>
    <w:rsid w:val="0059477B"/>
    <w:rsid w:val="0059506D"/>
    <w:rsid w:val="00597552"/>
    <w:rsid w:val="005A2514"/>
    <w:rsid w:val="005A4642"/>
    <w:rsid w:val="005A6AC7"/>
    <w:rsid w:val="005A7519"/>
    <w:rsid w:val="005B146F"/>
    <w:rsid w:val="005B2E91"/>
    <w:rsid w:val="005B63F2"/>
    <w:rsid w:val="005C070D"/>
    <w:rsid w:val="005C082C"/>
    <w:rsid w:val="005C16DC"/>
    <w:rsid w:val="005D1395"/>
    <w:rsid w:val="005D607A"/>
    <w:rsid w:val="005D6B83"/>
    <w:rsid w:val="005D75B0"/>
    <w:rsid w:val="005D7B82"/>
    <w:rsid w:val="005E08A7"/>
    <w:rsid w:val="005E0AB0"/>
    <w:rsid w:val="005E10CC"/>
    <w:rsid w:val="005E275A"/>
    <w:rsid w:val="005E47D8"/>
    <w:rsid w:val="005E6BE4"/>
    <w:rsid w:val="00602261"/>
    <w:rsid w:val="00607D02"/>
    <w:rsid w:val="006105BF"/>
    <w:rsid w:val="006111D8"/>
    <w:rsid w:val="0063185E"/>
    <w:rsid w:val="00631F41"/>
    <w:rsid w:val="0063418D"/>
    <w:rsid w:val="00637341"/>
    <w:rsid w:val="006403F7"/>
    <w:rsid w:val="00641282"/>
    <w:rsid w:val="00642D9D"/>
    <w:rsid w:val="00652DF8"/>
    <w:rsid w:val="0065356F"/>
    <w:rsid w:val="00661CFD"/>
    <w:rsid w:val="006640C4"/>
    <w:rsid w:val="00676042"/>
    <w:rsid w:val="006763B1"/>
    <w:rsid w:val="0068249A"/>
    <w:rsid w:val="00690C05"/>
    <w:rsid w:val="006914C1"/>
    <w:rsid w:val="006947D2"/>
    <w:rsid w:val="00695B1F"/>
    <w:rsid w:val="006A3AE9"/>
    <w:rsid w:val="006A40E5"/>
    <w:rsid w:val="006B0CD6"/>
    <w:rsid w:val="006B2801"/>
    <w:rsid w:val="006B450D"/>
    <w:rsid w:val="006B6D0F"/>
    <w:rsid w:val="006C00ED"/>
    <w:rsid w:val="006C1524"/>
    <w:rsid w:val="006C1DCD"/>
    <w:rsid w:val="006C291A"/>
    <w:rsid w:val="006C2E37"/>
    <w:rsid w:val="006C39E5"/>
    <w:rsid w:val="006C4C85"/>
    <w:rsid w:val="006C4D6B"/>
    <w:rsid w:val="006D055E"/>
    <w:rsid w:val="006D134A"/>
    <w:rsid w:val="006D4700"/>
    <w:rsid w:val="006D6C54"/>
    <w:rsid w:val="006D7679"/>
    <w:rsid w:val="006E1AF7"/>
    <w:rsid w:val="006E2C39"/>
    <w:rsid w:val="006E37A9"/>
    <w:rsid w:val="006E5738"/>
    <w:rsid w:val="006E65DF"/>
    <w:rsid w:val="006E6C5D"/>
    <w:rsid w:val="006F1BB6"/>
    <w:rsid w:val="006F608F"/>
    <w:rsid w:val="006F6367"/>
    <w:rsid w:val="007010F2"/>
    <w:rsid w:val="007068B3"/>
    <w:rsid w:val="00707056"/>
    <w:rsid w:val="00707CA8"/>
    <w:rsid w:val="007124EA"/>
    <w:rsid w:val="00714340"/>
    <w:rsid w:val="00716C62"/>
    <w:rsid w:val="00717235"/>
    <w:rsid w:val="007174A1"/>
    <w:rsid w:val="0072132D"/>
    <w:rsid w:val="007219F7"/>
    <w:rsid w:val="007228EA"/>
    <w:rsid w:val="00722990"/>
    <w:rsid w:val="007304EC"/>
    <w:rsid w:val="007333C2"/>
    <w:rsid w:val="00733927"/>
    <w:rsid w:val="00737714"/>
    <w:rsid w:val="0074018D"/>
    <w:rsid w:val="00741B1B"/>
    <w:rsid w:val="00741FC0"/>
    <w:rsid w:val="00742E4B"/>
    <w:rsid w:val="00743492"/>
    <w:rsid w:val="007455F0"/>
    <w:rsid w:val="00746751"/>
    <w:rsid w:val="00746C78"/>
    <w:rsid w:val="00751F6A"/>
    <w:rsid w:val="00752685"/>
    <w:rsid w:val="007530C3"/>
    <w:rsid w:val="00754160"/>
    <w:rsid w:val="007554ED"/>
    <w:rsid w:val="00755E40"/>
    <w:rsid w:val="0075667A"/>
    <w:rsid w:val="00756FF6"/>
    <w:rsid w:val="0076127E"/>
    <w:rsid w:val="0076451D"/>
    <w:rsid w:val="00765404"/>
    <w:rsid w:val="00765915"/>
    <w:rsid w:val="00767341"/>
    <w:rsid w:val="0076791F"/>
    <w:rsid w:val="0077083B"/>
    <w:rsid w:val="00771905"/>
    <w:rsid w:val="007757DC"/>
    <w:rsid w:val="00777C42"/>
    <w:rsid w:val="0078116B"/>
    <w:rsid w:val="00794C5B"/>
    <w:rsid w:val="00797C56"/>
    <w:rsid w:val="007A0A8F"/>
    <w:rsid w:val="007A283F"/>
    <w:rsid w:val="007A530A"/>
    <w:rsid w:val="007A6BC3"/>
    <w:rsid w:val="007A6F5D"/>
    <w:rsid w:val="007A7678"/>
    <w:rsid w:val="007B10F8"/>
    <w:rsid w:val="007B2BD9"/>
    <w:rsid w:val="007B4F11"/>
    <w:rsid w:val="007B7BC6"/>
    <w:rsid w:val="007C0416"/>
    <w:rsid w:val="007D255B"/>
    <w:rsid w:val="007F1D3D"/>
    <w:rsid w:val="007F4D41"/>
    <w:rsid w:val="008009CB"/>
    <w:rsid w:val="008040B3"/>
    <w:rsid w:val="008048DD"/>
    <w:rsid w:val="00804D25"/>
    <w:rsid w:val="008125D8"/>
    <w:rsid w:val="00812637"/>
    <w:rsid w:val="00812B7C"/>
    <w:rsid w:val="00813227"/>
    <w:rsid w:val="00816494"/>
    <w:rsid w:val="00820208"/>
    <w:rsid w:val="00820794"/>
    <w:rsid w:val="00822D91"/>
    <w:rsid w:val="0082655E"/>
    <w:rsid w:val="00831497"/>
    <w:rsid w:val="00841999"/>
    <w:rsid w:val="00844F07"/>
    <w:rsid w:val="008459E8"/>
    <w:rsid w:val="00851C59"/>
    <w:rsid w:val="00854591"/>
    <w:rsid w:val="0085770B"/>
    <w:rsid w:val="00862030"/>
    <w:rsid w:val="008641CD"/>
    <w:rsid w:val="00864ADE"/>
    <w:rsid w:val="00867FB0"/>
    <w:rsid w:val="008704A5"/>
    <w:rsid w:val="00870A13"/>
    <w:rsid w:val="00871A12"/>
    <w:rsid w:val="008775C5"/>
    <w:rsid w:val="008818A6"/>
    <w:rsid w:val="00881BBE"/>
    <w:rsid w:val="00884A80"/>
    <w:rsid w:val="0088535B"/>
    <w:rsid w:val="00887E6E"/>
    <w:rsid w:val="00887FEC"/>
    <w:rsid w:val="00891E39"/>
    <w:rsid w:val="00892DE1"/>
    <w:rsid w:val="00895809"/>
    <w:rsid w:val="00895AC5"/>
    <w:rsid w:val="0089620B"/>
    <w:rsid w:val="0089775A"/>
    <w:rsid w:val="008A064C"/>
    <w:rsid w:val="008A16EB"/>
    <w:rsid w:val="008A6182"/>
    <w:rsid w:val="008A7948"/>
    <w:rsid w:val="008B178C"/>
    <w:rsid w:val="008B1D94"/>
    <w:rsid w:val="008B4C8D"/>
    <w:rsid w:val="008B4F78"/>
    <w:rsid w:val="008B5A2D"/>
    <w:rsid w:val="008B6376"/>
    <w:rsid w:val="008B643A"/>
    <w:rsid w:val="008C1C4A"/>
    <w:rsid w:val="008C5537"/>
    <w:rsid w:val="008C60B1"/>
    <w:rsid w:val="008C688E"/>
    <w:rsid w:val="008C6BD0"/>
    <w:rsid w:val="008D0682"/>
    <w:rsid w:val="008D2CAF"/>
    <w:rsid w:val="008D2EBD"/>
    <w:rsid w:val="008E5AAA"/>
    <w:rsid w:val="008F0274"/>
    <w:rsid w:val="008F0A81"/>
    <w:rsid w:val="008F3EBA"/>
    <w:rsid w:val="008F4AC5"/>
    <w:rsid w:val="008F5963"/>
    <w:rsid w:val="008F65A3"/>
    <w:rsid w:val="00902543"/>
    <w:rsid w:val="009146EF"/>
    <w:rsid w:val="00916EFA"/>
    <w:rsid w:val="00920B8B"/>
    <w:rsid w:val="00923261"/>
    <w:rsid w:val="009256B7"/>
    <w:rsid w:val="009317F6"/>
    <w:rsid w:val="009325E1"/>
    <w:rsid w:val="009375CE"/>
    <w:rsid w:val="0094275E"/>
    <w:rsid w:val="00945F15"/>
    <w:rsid w:val="00950602"/>
    <w:rsid w:val="009507C3"/>
    <w:rsid w:val="00952EDF"/>
    <w:rsid w:val="009539A4"/>
    <w:rsid w:val="00957BD0"/>
    <w:rsid w:val="00957F05"/>
    <w:rsid w:val="0096317D"/>
    <w:rsid w:val="00970C7A"/>
    <w:rsid w:val="00970CA5"/>
    <w:rsid w:val="009721DB"/>
    <w:rsid w:val="00972BFA"/>
    <w:rsid w:val="0098396A"/>
    <w:rsid w:val="00995622"/>
    <w:rsid w:val="009965BA"/>
    <w:rsid w:val="009B6535"/>
    <w:rsid w:val="009C0111"/>
    <w:rsid w:val="009C2479"/>
    <w:rsid w:val="009C53B1"/>
    <w:rsid w:val="009C54B8"/>
    <w:rsid w:val="009D06F8"/>
    <w:rsid w:val="009D20CB"/>
    <w:rsid w:val="009D49C9"/>
    <w:rsid w:val="009D6817"/>
    <w:rsid w:val="009D6C02"/>
    <w:rsid w:val="009D73F1"/>
    <w:rsid w:val="009E0425"/>
    <w:rsid w:val="009E0595"/>
    <w:rsid w:val="009E1DF4"/>
    <w:rsid w:val="009E24EC"/>
    <w:rsid w:val="009E2F6C"/>
    <w:rsid w:val="009F0388"/>
    <w:rsid w:val="009F138F"/>
    <w:rsid w:val="00A05041"/>
    <w:rsid w:val="00A05125"/>
    <w:rsid w:val="00A057EF"/>
    <w:rsid w:val="00A07FF3"/>
    <w:rsid w:val="00A1012E"/>
    <w:rsid w:val="00A13450"/>
    <w:rsid w:val="00A138E6"/>
    <w:rsid w:val="00A13F82"/>
    <w:rsid w:val="00A16664"/>
    <w:rsid w:val="00A1759A"/>
    <w:rsid w:val="00A211C9"/>
    <w:rsid w:val="00A22E0D"/>
    <w:rsid w:val="00A336B2"/>
    <w:rsid w:val="00A34D20"/>
    <w:rsid w:val="00A41ED3"/>
    <w:rsid w:val="00A46CD4"/>
    <w:rsid w:val="00A47FA2"/>
    <w:rsid w:val="00A509F3"/>
    <w:rsid w:val="00A5122D"/>
    <w:rsid w:val="00A51A7E"/>
    <w:rsid w:val="00A55F4F"/>
    <w:rsid w:val="00A57D8C"/>
    <w:rsid w:val="00A6022B"/>
    <w:rsid w:val="00A63E7F"/>
    <w:rsid w:val="00A65361"/>
    <w:rsid w:val="00A70CFB"/>
    <w:rsid w:val="00A732D5"/>
    <w:rsid w:val="00A748BA"/>
    <w:rsid w:val="00A74EE2"/>
    <w:rsid w:val="00A76E16"/>
    <w:rsid w:val="00A834A5"/>
    <w:rsid w:val="00A83862"/>
    <w:rsid w:val="00A8486C"/>
    <w:rsid w:val="00A935DD"/>
    <w:rsid w:val="00A96702"/>
    <w:rsid w:val="00A97EB2"/>
    <w:rsid w:val="00AA0729"/>
    <w:rsid w:val="00AA14A9"/>
    <w:rsid w:val="00AA24CD"/>
    <w:rsid w:val="00AB069B"/>
    <w:rsid w:val="00AB0BBD"/>
    <w:rsid w:val="00AB780A"/>
    <w:rsid w:val="00AC1003"/>
    <w:rsid w:val="00AC1AAE"/>
    <w:rsid w:val="00AC4315"/>
    <w:rsid w:val="00AC47A5"/>
    <w:rsid w:val="00AC5895"/>
    <w:rsid w:val="00AD42DA"/>
    <w:rsid w:val="00AD644D"/>
    <w:rsid w:val="00AE1E99"/>
    <w:rsid w:val="00AE214D"/>
    <w:rsid w:val="00AF61B8"/>
    <w:rsid w:val="00B01FE4"/>
    <w:rsid w:val="00B02D38"/>
    <w:rsid w:val="00B02D7A"/>
    <w:rsid w:val="00B07E83"/>
    <w:rsid w:val="00B110AD"/>
    <w:rsid w:val="00B11716"/>
    <w:rsid w:val="00B15A34"/>
    <w:rsid w:val="00B162DD"/>
    <w:rsid w:val="00B16904"/>
    <w:rsid w:val="00B1716B"/>
    <w:rsid w:val="00B177B9"/>
    <w:rsid w:val="00B22833"/>
    <w:rsid w:val="00B22865"/>
    <w:rsid w:val="00B25723"/>
    <w:rsid w:val="00B25A90"/>
    <w:rsid w:val="00B271BA"/>
    <w:rsid w:val="00B27792"/>
    <w:rsid w:val="00B30F75"/>
    <w:rsid w:val="00B31DD6"/>
    <w:rsid w:val="00B3429E"/>
    <w:rsid w:val="00B3514A"/>
    <w:rsid w:val="00B4649F"/>
    <w:rsid w:val="00B47BB9"/>
    <w:rsid w:val="00B51AAB"/>
    <w:rsid w:val="00B52346"/>
    <w:rsid w:val="00B60364"/>
    <w:rsid w:val="00B60A6D"/>
    <w:rsid w:val="00B61F02"/>
    <w:rsid w:val="00B6764A"/>
    <w:rsid w:val="00B67A61"/>
    <w:rsid w:val="00B67EDE"/>
    <w:rsid w:val="00B70C65"/>
    <w:rsid w:val="00B7407D"/>
    <w:rsid w:val="00B74237"/>
    <w:rsid w:val="00B82875"/>
    <w:rsid w:val="00B82F15"/>
    <w:rsid w:val="00B8312F"/>
    <w:rsid w:val="00B84150"/>
    <w:rsid w:val="00B84486"/>
    <w:rsid w:val="00B90A1F"/>
    <w:rsid w:val="00B92155"/>
    <w:rsid w:val="00BA1529"/>
    <w:rsid w:val="00BA3AB4"/>
    <w:rsid w:val="00BA4622"/>
    <w:rsid w:val="00BB4C9F"/>
    <w:rsid w:val="00BB7619"/>
    <w:rsid w:val="00BC0402"/>
    <w:rsid w:val="00BC0794"/>
    <w:rsid w:val="00BC0D5D"/>
    <w:rsid w:val="00BC3A19"/>
    <w:rsid w:val="00BC41C9"/>
    <w:rsid w:val="00BC6C17"/>
    <w:rsid w:val="00BD1050"/>
    <w:rsid w:val="00BD240D"/>
    <w:rsid w:val="00BD3AAA"/>
    <w:rsid w:val="00BD3CEA"/>
    <w:rsid w:val="00BD5411"/>
    <w:rsid w:val="00BD6F89"/>
    <w:rsid w:val="00BE08AA"/>
    <w:rsid w:val="00BE2F68"/>
    <w:rsid w:val="00BE38FC"/>
    <w:rsid w:val="00BE3B18"/>
    <w:rsid w:val="00BE4F34"/>
    <w:rsid w:val="00BF0190"/>
    <w:rsid w:val="00BF3DA7"/>
    <w:rsid w:val="00BF7945"/>
    <w:rsid w:val="00C0074A"/>
    <w:rsid w:val="00C03C7B"/>
    <w:rsid w:val="00C0730D"/>
    <w:rsid w:val="00C07ED0"/>
    <w:rsid w:val="00C176A8"/>
    <w:rsid w:val="00C20C07"/>
    <w:rsid w:val="00C21982"/>
    <w:rsid w:val="00C22B7D"/>
    <w:rsid w:val="00C22C25"/>
    <w:rsid w:val="00C23E4E"/>
    <w:rsid w:val="00C24DB0"/>
    <w:rsid w:val="00C31838"/>
    <w:rsid w:val="00C3362D"/>
    <w:rsid w:val="00C33E45"/>
    <w:rsid w:val="00C343A9"/>
    <w:rsid w:val="00C3493B"/>
    <w:rsid w:val="00C36925"/>
    <w:rsid w:val="00C37458"/>
    <w:rsid w:val="00C408AD"/>
    <w:rsid w:val="00C41B48"/>
    <w:rsid w:val="00C438DD"/>
    <w:rsid w:val="00C43CD1"/>
    <w:rsid w:val="00C45020"/>
    <w:rsid w:val="00C450A6"/>
    <w:rsid w:val="00C45A4F"/>
    <w:rsid w:val="00C5022C"/>
    <w:rsid w:val="00C511B9"/>
    <w:rsid w:val="00C534B9"/>
    <w:rsid w:val="00C54A26"/>
    <w:rsid w:val="00C552FD"/>
    <w:rsid w:val="00C63573"/>
    <w:rsid w:val="00C66BBE"/>
    <w:rsid w:val="00C72B78"/>
    <w:rsid w:val="00C8083E"/>
    <w:rsid w:val="00C876C0"/>
    <w:rsid w:val="00C90A53"/>
    <w:rsid w:val="00C91BD3"/>
    <w:rsid w:val="00C94804"/>
    <w:rsid w:val="00C95D8A"/>
    <w:rsid w:val="00CA61C5"/>
    <w:rsid w:val="00CA641E"/>
    <w:rsid w:val="00CB719A"/>
    <w:rsid w:val="00CC0C5F"/>
    <w:rsid w:val="00CC1DF4"/>
    <w:rsid w:val="00CC3247"/>
    <w:rsid w:val="00CC38EA"/>
    <w:rsid w:val="00CC3B81"/>
    <w:rsid w:val="00CC44B5"/>
    <w:rsid w:val="00CC4B0C"/>
    <w:rsid w:val="00CC5596"/>
    <w:rsid w:val="00CC5913"/>
    <w:rsid w:val="00CC64EA"/>
    <w:rsid w:val="00CC6FCD"/>
    <w:rsid w:val="00CD0BC2"/>
    <w:rsid w:val="00CD16AA"/>
    <w:rsid w:val="00CD5D1C"/>
    <w:rsid w:val="00CE19AE"/>
    <w:rsid w:val="00CE2F8C"/>
    <w:rsid w:val="00CE698E"/>
    <w:rsid w:val="00CF4F2C"/>
    <w:rsid w:val="00CF5144"/>
    <w:rsid w:val="00CF5EBC"/>
    <w:rsid w:val="00CF75CA"/>
    <w:rsid w:val="00CF7B67"/>
    <w:rsid w:val="00CF7FC5"/>
    <w:rsid w:val="00D00FD5"/>
    <w:rsid w:val="00D041F2"/>
    <w:rsid w:val="00D05901"/>
    <w:rsid w:val="00D10214"/>
    <w:rsid w:val="00D24765"/>
    <w:rsid w:val="00D253C7"/>
    <w:rsid w:val="00D3081B"/>
    <w:rsid w:val="00D32532"/>
    <w:rsid w:val="00D52086"/>
    <w:rsid w:val="00D54C3C"/>
    <w:rsid w:val="00D54F5C"/>
    <w:rsid w:val="00D63D80"/>
    <w:rsid w:val="00D67336"/>
    <w:rsid w:val="00D73DA3"/>
    <w:rsid w:val="00D74038"/>
    <w:rsid w:val="00D74C6A"/>
    <w:rsid w:val="00D755C1"/>
    <w:rsid w:val="00D841CC"/>
    <w:rsid w:val="00D85AED"/>
    <w:rsid w:val="00D942EB"/>
    <w:rsid w:val="00D96A64"/>
    <w:rsid w:val="00DA1474"/>
    <w:rsid w:val="00DA2A7B"/>
    <w:rsid w:val="00DA2B44"/>
    <w:rsid w:val="00DA3B2B"/>
    <w:rsid w:val="00DB00CD"/>
    <w:rsid w:val="00DB2CB8"/>
    <w:rsid w:val="00DB2CB9"/>
    <w:rsid w:val="00DB6E1B"/>
    <w:rsid w:val="00DC052E"/>
    <w:rsid w:val="00DC30F2"/>
    <w:rsid w:val="00DC488B"/>
    <w:rsid w:val="00DC4E37"/>
    <w:rsid w:val="00DC6A22"/>
    <w:rsid w:val="00DC7E1B"/>
    <w:rsid w:val="00DD1DDC"/>
    <w:rsid w:val="00DD2104"/>
    <w:rsid w:val="00DD2C49"/>
    <w:rsid w:val="00DD30E6"/>
    <w:rsid w:val="00DD7E7A"/>
    <w:rsid w:val="00DE6186"/>
    <w:rsid w:val="00DF111F"/>
    <w:rsid w:val="00DF39E3"/>
    <w:rsid w:val="00DF5522"/>
    <w:rsid w:val="00DF6B7B"/>
    <w:rsid w:val="00E033B7"/>
    <w:rsid w:val="00E06A1A"/>
    <w:rsid w:val="00E06C2F"/>
    <w:rsid w:val="00E12714"/>
    <w:rsid w:val="00E21AE9"/>
    <w:rsid w:val="00E22C26"/>
    <w:rsid w:val="00E24399"/>
    <w:rsid w:val="00E24C45"/>
    <w:rsid w:val="00E274C6"/>
    <w:rsid w:val="00E31E0E"/>
    <w:rsid w:val="00E41399"/>
    <w:rsid w:val="00E4571D"/>
    <w:rsid w:val="00E46988"/>
    <w:rsid w:val="00E52ACC"/>
    <w:rsid w:val="00E55F2F"/>
    <w:rsid w:val="00E5692C"/>
    <w:rsid w:val="00E6015B"/>
    <w:rsid w:val="00E61199"/>
    <w:rsid w:val="00E62F65"/>
    <w:rsid w:val="00E63279"/>
    <w:rsid w:val="00E63D53"/>
    <w:rsid w:val="00E74BD5"/>
    <w:rsid w:val="00E7592A"/>
    <w:rsid w:val="00E76618"/>
    <w:rsid w:val="00E839DA"/>
    <w:rsid w:val="00E866DA"/>
    <w:rsid w:val="00E87206"/>
    <w:rsid w:val="00E90B4F"/>
    <w:rsid w:val="00E915E3"/>
    <w:rsid w:val="00E9203B"/>
    <w:rsid w:val="00E94343"/>
    <w:rsid w:val="00E94DA2"/>
    <w:rsid w:val="00E95789"/>
    <w:rsid w:val="00E96457"/>
    <w:rsid w:val="00E96D45"/>
    <w:rsid w:val="00E97B4B"/>
    <w:rsid w:val="00EA3FAD"/>
    <w:rsid w:val="00EA4266"/>
    <w:rsid w:val="00EA45A5"/>
    <w:rsid w:val="00EA5DBC"/>
    <w:rsid w:val="00EA626B"/>
    <w:rsid w:val="00EB16BA"/>
    <w:rsid w:val="00EB1A63"/>
    <w:rsid w:val="00EB4197"/>
    <w:rsid w:val="00EB4756"/>
    <w:rsid w:val="00EB59A7"/>
    <w:rsid w:val="00EB7BBD"/>
    <w:rsid w:val="00EC2896"/>
    <w:rsid w:val="00EC4AFD"/>
    <w:rsid w:val="00ED0067"/>
    <w:rsid w:val="00ED06E4"/>
    <w:rsid w:val="00ED0AA7"/>
    <w:rsid w:val="00ED3777"/>
    <w:rsid w:val="00ED4848"/>
    <w:rsid w:val="00ED602F"/>
    <w:rsid w:val="00ED7187"/>
    <w:rsid w:val="00EE179F"/>
    <w:rsid w:val="00EE2509"/>
    <w:rsid w:val="00EE3D03"/>
    <w:rsid w:val="00EE740D"/>
    <w:rsid w:val="00EF5917"/>
    <w:rsid w:val="00EF7A1D"/>
    <w:rsid w:val="00EF7A7F"/>
    <w:rsid w:val="00F015EE"/>
    <w:rsid w:val="00F03F7B"/>
    <w:rsid w:val="00F0723D"/>
    <w:rsid w:val="00F13674"/>
    <w:rsid w:val="00F13A6F"/>
    <w:rsid w:val="00F13C5A"/>
    <w:rsid w:val="00F14345"/>
    <w:rsid w:val="00F14BDB"/>
    <w:rsid w:val="00F16636"/>
    <w:rsid w:val="00F171E5"/>
    <w:rsid w:val="00F2144B"/>
    <w:rsid w:val="00F21F7E"/>
    <w:rsid w:val="00F22154"/>
    <w:rsid w:val="00F22A9B"/>
    <w:rsid w:val="00F22AF2"/>
    <w:rsid w:val="00F2677A"/>
    <w:rsid w:val="00F27D29"/>
    <w:rsid w:val="00F311FB"/>
    <w:rsid w:val="00F32116"/>
    <w:rsid w:val="00F34813"/>
    <w:rsid w:val="00F424C9"/>
    <w:rsid w:val="00F46813"/>
    <w:rsid w:val="00F53E59"/>
    <w:rsid w:val="00F56BB3"/>
    <w:rsid w:val="00F66585"/>
    <w:rsid w:val="00F66B41"/>
    <w:rsid w:val="00F73284"/>
    <w:rsid w:val="00F75EF1"/>
    <w:rsid w:val="00F77456"/>
    <w:rsid w:val="00F8047D"/>
    <w:rsid w:val="00F82A0E"/>
    <w:rsid w:val="00F85B87"/>
    <w:rsid w:val="00F970FB"/>
    <w:rsid w:val="00FA1051"/>
    <w:rsid w:val="00FA3C96"/>
    <w:rsid w:val="00FA7B0A"/>
    <w:rsid w:val="00FB3093"/>
    <w:rsid w:val="00FB39CB"/>
    <w:rsid w:val="00FB42D3"/>
    <w:rsid w:val="00FB597C"/>
    <w:rsid w:val="00FC2254"/>
    <w:rsid w:val="00FC2C1E"/>
    <w:rsid w:val="00FC30DA"/>
    <w:rsid w:val="00FC64EE"/>
    <w:rsid w:val="00FC73E4"/>
    <w:rsid w:val="00FD5ED1"/>
    <w:rsid w:val="00FD6293"/>
    <w:rsid w:val="00FE4A97"/>
    <w:rsid w:val="00FE54EC"/>
    <w:rsid w:val="00FF0A81"/>
    <w:rsid w:val="00FF0B42"/>
    <w:rsid w:val="00FF1D45"/>
    <w:rsid w:val="00FF2DF2"/>
    <w:rsid w:val="00FF4DB8"/>
    <w:rsid w:val="00FF7A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silver,#eaeaea"/>
    </o:shapedefaults>
    <o:shapelayout v:ext="edit">
      <o:idmap v:ext="edit" data="1"/>
    </o:shapelayout>
  </w:shapeDefaults>
  <w:decimalSymbol w:val="."/>
  <w:listSeparator w:val=","/>
  <w14:docId w14:val="1BCF4817"/>
  <w15:docId w15:val="{D58BD0FE-E3D0-4899-A4A5-466451A5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6"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580BC4"/>
    <w:pPr>
      <w:numPr>
        <w:numId w:val="1"/>
      </w:numPr>
      <w:spacing w:before="100" w:after="100"/>
    </w:pPr>
  </w:style>
  <w:style w:type="paragraph" w:customStyle="1" w:styleId="NumPlain2">
    <w:name w:val="Num Plain2"/>
    <w:basedOn w:val="NumPlain1"/>
    <w:uiPriority w:val="2"/>
    <w:qFormat/>
    <w:rsid w:val="00426876"/>
    <w:pPr>
      <w:numPr>
        <w:ilvl w:val="1"/>
      </w:numPr>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uiPriority w:val="2"/>
    <w:rsid w:val="000812F8"/>
    <w:rPr>
      <w:sz w:val="19"/>
      <w:lang w:eastAsia="en-US"/>
    </w:rPr>
  </w:style>
  <w:style w:type="paragraph" w:customStyle="1" w:styleId="Default">
    <w:name w:val="Default"/>
    <w:rsid w:val="00532102"/>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6F608F"/>
    <w:rPr>
      <w:rFonts w:ascii="Segoe UI" w:hAnsi="Segoe UI" w:cs="Segoe UI"/>
      <w:sz w:val="18"/>
      <w:szCs w:val="18"/>
    </w:rPr>
  </w:style>
  <w:style w:type="character" w:customStyle="1" w:styleId="BalloonTextChar">
    <w:name w:val="Balloon Text Char"/>
    <w:basedOn w:val="DefaultParagraphFont"/>
    <w:link w:val="BalloonText"/>
    <w:semiHidden/>
    <w:rsid w:val="006F608F"/>
    <w:rPr>
      <w:rFonts w:ascii="Segoe UI" w:hAnsi="Segoe UI" w:cs="Segoe UI"/>
      <w:sz w:val="18"/>
      <w:szCs w:val="18"/>
      <w:lang w:eastAsia="en-US"/>
    </w:rPr>
  </w:style>
  <w:style w:type="character" w:customStyle="1" w:styleId="HeaderChar">
    <w:name w:val="Header Char"/>
    <w:basedOn w:val="DefaultParagraphFont"/>
    <w:link w:val="Header"/>
    <w:rsid w:val="00EB16BA"/>
    <w:rPr>
      <w:sz w:val="19"/>
      <w:lang w:eastAsia="en-US"/>
    </w:rPr>
  </w:style>
  <w:style w:type="character" w:styleId="CommentReference">
    <w:name w:val="annotation reference"/>
    <w:basedOn w:val="DefaultParagraphFont"/>
    <w:semiHidden/>
    <w:unhideWhenUsed/>
    <w:rsid w:val="00A65361"/>
    <w:rPr>
      <w:sz w:val="16"/>
      <w:szCs w:val="16"/>
    </w:rPr>
  </w:style>
  <w:style w:type="paragraph" w:styleId="CommentText">
    <w:name w:val="annotation text"/>
    <w:basedOn w:val="Normal"/>
    <w:link w:val="CommentTextChar"/>
    <w:semiHidden/>
    <w:unhideWhenUsed/>
    <w:rsid w:val="00A65361"/>
    <w:rPr>
      <w:sz w:val="20"/>
    </w:rPr>
  </w:style>
  <w:style w:type="character" w:customStyle="1" w:styleId="CommentTextChar">
    <w:name w:val="Comment Text Char"/>
    <w:basedOn w:val="DefaultParagraphFont"/>
    <w:link w:val="CommentText"/>
    <w:semiHidden/>
    <w:rsid w:val="00A65361"/>
    <w:rPr>
      <w:lang w:eastAsia="en-US"/>
    </w:rPr>
  </w:style>
  <w:style w:type="paragraph" w:styleId="CommentSubject">
    <w:name w:val="annotation subject"/>
    <w:basedOn w:val="CommentText"/>
    <w:next w:val="CommentText"/>
    <w:link w:val="CommentSubjectChar"/>
    <w:semiHidden/>
    <w:unhideWhenUsed/>
    <w:rsid w:val="00A65361"/>
    <w:rPr>
      <w:b/>
      <w:bCs/>
    </w:rPr>
  </w:style>
  <w:style w:type="character" w:customStyle="1" w:styleId="CommentSubjectChar">
    <w:name w:val="Comment Subject Char"/>
    <w:basedOn w:val="CommentTextChar"/>
    <w:link w:val="CommentSubject"/>
    <w:semiHidden/>
    <w:rsid w:val="00A65361"/>
    <w:rPr>
      <w:b/>
      <w:bCs/>
      <w:lang w:eastAsia="en-US"/>
    </w:rPr>
  </w:style>
  <w:style w:type="paragraph" w:styleId="ListParagraph">
    <w:name w:val="List Paragraph"/>
    <w:basedOn w:val="Normal"/>
    <w:uiPriority w:val="34"/>
    <w:rsid w:val="00BC3A19"/>
    <w:pPr>
      <w:ind w:left="720"/>
      <w:contextualSpacing/>
      <w:jc w:val="left"/>
    </w:pPr>
    <w:rPr>
      <w:sz w:val="24"/>
      <w:szCs w:val="24"/>
      <w:lang w:eastAsia="en-AU"/>
    </w:rPr>
  </w:style>
  <w:style w:type="paragraph" w:styleId="NormalWeb">
    <w:name w:val="Normal (Web)"/>
    <w:basedOn w:val="Normal"/>
    <w:uiPriority w:val="6"/>
    <w:semiHidden/>
    <w:rsid w:val="00BC3A19"/>
    <w:pPr>
      <w:jc w:val="left"/>
    </w:pPr>
    <w:rPr>
      <w:sz w:val="24"/>
      <w:szCs w:val="24"/>
      <w:lang w:eastAsia="en-AU"/>
    </w:rPr>
  </w:style>
  <w:style w:type="paragraph" w:customStyle="1" w:styleId="IGpara1">
    <w:name w:val="IG para 1"/>
    <w:basedOn w:val="Normal"/>
    <w:uiPriority w:val="9"/>
    <w:qFormat/>
    <w:rsid w:val="00C8083E"/>
    <w:pPr>
      <w:numPr>
        <w:numId w:val="21"/>
      </w:numPr>
      <w:spacing w:after="100"/>
    </w:pPr>
    <w:rPr>
      <w:szCs w:val="19"/>
    </w:rPr>
  </w:style>
  <w:style w:type="paragraph" w:customStyle="1" w:styleId="IASBNote">
    <w:name w:val="IASB Note"/>
    <w:basedOn w:val="Normal"/>
    <w:uiPriority w:val="8"/>
    <w:rsid w:val="00C8083E"/>
    <w:pPr>
      <w:tabs>
        <w:tab w:val="left" w:pos="4253"/>
      </w:tabs>
      <w:spacing w:before="100" w:after="100"/>
    </w:pPr>
    <w:rPr>
      <w:i/>
    </w:rPr>
  </w:style>
  <w:style w:type="paragraph" w:customStyle="1" w:styleId="NumBoldA2">
    <w:name w:val="Num BoldA2"/>
    <w:basedOn w:val="NumPlain2"/>
    <w:uiPriority w:val="9"/>
    <w:qFormat/>
    <w:rsid w:val="00C8083E"/>
    <w:pPr>
      <w:numPr>
        <w:ilvl w:val="0"/>
        <w:numId w:val="0"/>
      </w:numPr>
      <w:tabs>
        <w:tab w:val="num" w:pos="1021"/>
      </w:tabs>
      <w:spacing w:before="0"/>
      <w:ind w:left="1021" w:hanging="511"/>
    </w:pPr>
    <w:rPr>
      <w:b/>
      <w:szCs w:val="24"/>
      <w:lang w:eastAsia="en-AU"/>
    </w:rPr>
  </w:style>
  <w:style w:type="paragraph" w:customStyle="1" w:styleId="IASBSectionTitle1NonInd">
    <w:name w:val="IASB Section Title 1 NonInd"/>
    <w:basedOn w:val="Normal"/>
    <w:link w:val="IASBSectionTitle1NonIndChar"/>
    <w:uiPriority w:val="8"/>
    <w:rsid w:val="004D5AD1"/>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4D5AD1"/>
    <w:rPr>
      <w:rFonts w:ascii="Arial" w:hAnsi="Arial" w:cs="Arial"/>
      <w:b/>
      <w:sz w:val="26"/>
      <w:lang w:eastAsia="en-US"/>
    </w:rPr>
  </w:style>
  <w:style w:type="paragraph" w:customStyle="1" w:styleId="ConvSectionTitle">
    <w:name w:val="Conv Section Title"/>
    <w:basedOn w:val="IASBSectionTitle1NonInd"/>
    <w:uiPriority w:val="9"/>
    <w:qFormat/>
    <w:rsid w:val="004D5AD1"/>
    <w:pPr>
      <w:pBdr>
        <w:bottom w:val="none" w:sz="0" w:space="0" w:color="auto"/>
      </w:pBdr>
    </w:pPr>
  </w:style>
  <w:style w:type="paragraph" w:customStyle="1" w:styleId="IASBSectionTitle2Ind">
    <w:name w:val="IASB Section Title 2 Ind"/>
    <w:basedOn w:val="Normal"/>
    <w:uiPriority w:val="8"/>
    <w:rsid w:val="009C54B8"/>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semiHidden/>
    <w:unhideWhenUsed/>
    <w:rsid w:val="00490C6F"/>
    <w:rPr>
      <w:vertAlign w:val="superscript"/>
    </w:rPr>
  </w:style>
  <w:style w:type="paragraph" w:customStyle="1" w:styleId="IASBNormal">
    <w:name w:val="IASB Normal"/>
    <w:link w:val="IASBNormalChar"/>
    <w:uiPriority w:val="8"/>
    <w:rsid w:val="009E0595"/>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9E0595"/>
    <w:rPr>
      <w:sz w:val="19"/>
      <w:lang w:eastAsia="en-US"/>
    </w:rPr>
  </w:style>
  <w:style w:type="numbering" w:customStyle="1" w:styleId="AASBNumbers">
    <w:name w:val="AASB Numbers"/>
    <w:uiPriority w:val="99"/>
    <w:rsid w:val="00C72B78"/>
    <w:pPr>
      <w:numPr>
        <w:numId w:val="31"/>
      </w:numPr>
    </w:pPr>
  </w:style>
  <w:style w:type="paragraph" w:styleId="Revision">
    <w:name w:val="Revision"/>
    <w:hidden/>
    <w:uiPriority w:val="99"/>
    <w:semiHidden/>
    <w:rsid w:val="001677CD"/>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B5060-8826-4E2C-82AE-1EB59A94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1458</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subject/>
  <dc:creator>.</dc:creator>
  <cp:keywords/>
  <cp:lastModifiedBy>Andrew Tomich</cp:lastModifiedBy>
  <cp:revision>265</cp:revision>
  <cp:lastPrinted>2019-11-27T23:00:00Z</cp:lastPrinted>
  <dcterms:created xsi:type="dcterms:W3CDTF">2019-09-19T18:15:00Z</dcterms:created>
  <dcterms:modified xsi:type="dcterms:W3CDTF">2019-11-27T23:50:00Z</dcterms:modified>
</cp:coreProperties>
</file>