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B61CF" w14:textId="77777777" w:rsidR="00A419EA" w:rsidRDefault="00ED081D" w:rsidP="009A530B">
      <w:pPr>
        <w:spacing w:before="100" w:beforeAutospacing="1" w:after="100" w:afterAutospacing="1"/>
        <w:jc w:val="center"/>
        <w:rPr>
          <w:rFonts w:ascii="Times New Roman" w:eastAsia="Times New Roman" w:hAnsi="Times New Roman" w:cs="Times New Roman"/>
          <w:b/>
          <w:bCs/>
          <w:sz w:val="24"/>
          <w:szCs w:val="24"/>
          <w:u w:val="single"/>
          <w:lang w:eastAsia="en-AU"/>
        </w:rPr>
      </w:pPr>
      <w:bookmarkStart w:id="0" w:name="_GoBack"/>
      <w:bookmarkEnd w:id="0"/>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14:paraId="7A143476" w14:textId="77777777" w:rsidR="00B60F0C" w:rsidRPr="00625284" w:rsidRDefault="00B60F0C" w:rsidP="00B60F0C">
      <w:pPr>
        <w:jc w:val="center"/>
        <w:rPr>
          <w:rFonts w:ascii="Times New Roman" w:hAnsi="Times New Roman"/>
          <w:bCs/>
          <w:i/>
          <w:iCs/>
          <w:szCs w:val="24"/>
        </w:rPr>
      </w:pPr>
      <w:r w:rsidRPr="00625284">
        <w:rPr>
          <w:rFonts w:ascii="Times New Roman" w:hAnsi="Times New Roman"/>
          <w:bCs/>
          <w:i/>
          <w:iCs/>
          <w:szCs w:val="24"/>
        </w:rPr>
        <w:t>Therapeutic Goods Act 1989</w:t>
      </w:r>
    </w:p>
    <w:p w14:paraId="742D9337" w14:textId="7AC35D17" w:rsidR="00EF1F18" w:rsidRPr="008727AB" w:rsidRDefault="00EF1F18" w:rsidP="009A530B">
      <w:pPr>
        <w:spacing w:before="100" w:beforeAutospacing="1" w:after="100" w:afterAutospacing="1"/>
        <w:jc w:val="center"/>
        <w:rPr>
          <w:rFonts w:ascii="Times New Roman" w:eastAsia="Times New Roman" w:hAnsi="Times New Roman" w:cs="Times New Roman"/>
          <w:bCs/>
          <w:i/>
          <w:sz w:val="24"/>
          <w:szCs w:val="24"/>
          <w:lang w:eastAsia="en-AU"/>
        </w:rPr>
      </w:pPr>
      <w:r w:rsidRPr="008727AB">
        <w:rPr>
          <w:rFonts w:ascii="Times New Roman" w:eastAsia="Times New Roman" w:hAnsi="Times New Roman" w:cs="Times New Roman"/>
          <w:bCs/>
          <w:i/>
          <w:sz w:val="24"/>
          <w:szCs w:val="24"/>
          <w:lang w:eastAsia="en-AU"/>
        </w:rPr>
        <w:t>Therapeutic Goods</w:t>
      </w:r>
      <w:r w:rsidR="008727AB" w:rsidRPr="008727AB">
        <w:rPr>
          <w:rFonts w:ascii="Times New Roman" w:eastAsia="Times New Roman" w:hAnsi="Times New Roman" w:cs="Times New Roman"/>
          <w:bCs/>
          <w:i/>
          <w:sz w:val="24"/>
          <w:szCs w:val="24"/>
          <w:lang w:eastAsia="en-AU"/>
        </w:rPr>
        <w:t xml:space="preserve"> </w:t>
      </w:r>
      <w:r w:rsidRPr="008727AB">
        <w:rPr>
          <w:rFonts w:ascii="Times New Roman" w:eastAsia="Times New Roman" w:hAnsi="Times New Roman" w:cs="Times New Roman"/>
          <w:bCs/>
          <w:i/>
          <w:sz w:val="24"/>
          <w:szCs w:val="24"/>
          <w:lang w:eastAsia="en-AU"/>
        </w:rPr>
        <w:t>(Permissible Ingredients) Determination </w:t>
      </w:r>
      <w:r w:rsidR="00045C71">
        <w:rPr>
          <w:rFonts w:ascii="Times New Roman" w:eastAsia="Times New Roman" w:hAnsi="Times New Roman" w:cs="Times New Roman"/>
          <w:bCs/>
          <w:i/>
          <w:sz w:val="24"/>
          <w:szCs w:val="24"/>
          <w:lang w:eastAsia="en-AU"/>
        </w:rPr>
        <w:t>(No.</w:t>
      </w:r>
      <w:r w:rsidR="00B60F0C">
        <w:rPr>
          <w:rFonts w:ascii="Times New Roman" w:eastAsia="Times New Roman" w:hAnsi="Times New Roman" w:cs="Times New Roman"/>
          <w:bCs/>
          <w:i/>
          <w:sz w:val="24"/>
          <w:szCs w:val="24"/>
          <w:lang w:eastAsia="en-AU"/>
        </w:rPr>
        <w:t xml:space="preserve"> </w:t>
      </w:r>
      <w:r w:rsidR="001C38AF">
        <w:rPr>
          <w:rFonts w:ascii="Times New Roman" w:eastAsia="Times New Roman" w:hAnsi="Times New Roman" w:cs="Times New Roman"/>
          <w:bCs/>
          <w:i/>
          <w:sz w:val="24"/>
          <w:szCs w:val="24"/>
          <w:lang w:eastAsia="en-AU"/>
        </w:rPr>
        <w:t>3</w:t>
      </w:r>
      <w:r w:rsidR="00045C71">
        <w:rPr>
          <w:rFonts w:ascii="Times New Roman" w:eastAsia="Times New Roman" w:hAnsi="Times New Roman" w:cs="Times New Roman"/>
          <w:bCs/>
          <w:i/>
          <w:sz w:val="24"/>
          <w:szCs w:val="24"/>
          <w:lang w:eastAsia="en-AU"/>
        </w:rPr>
        <w:t xml:space="preserve">) </w:t>
      </w:r>
      <w:r w:rsidR="00685980" w:rsidRPr="008727AB">
        <w:rPr>
          <w:rFonts w:ascii="Times New Roman" w:eastAsia="Times New Roman" w:hAnsi="Times New Roman" w:cs="Times New Roman"/>
          <w:bCs/>
          <w:i/>
          <w:sz w:val="24"/>
          <w:szCs w:val="24"/>
          <w:lang w:eastAsia="en-AU"/>
        </w:rPr>
        <w:t>2019</w:t>
      </w:r>
    </w:p>
    <w:p w14:paraId="1375AB08"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w:t>
      </w:r>
      <w:r w:rsidR="00B60F0C">
        <w:rPr>
          <w:rFonts w:ascii="Times New Roman" w:eastAsia="Times New Roman" w:hAnsi="Times New Roman" w:cs="Times New Roman"/>
          <w:sz w:val="24"/>
          <w:szCs w:val="24"/>
          <w:lang w:eastAsia="en-AU"/>
        </w:rPr>
        <w:t>TGA</w:t>
      </w:r>
      <w:r>
        <w:rPr>
          <w:rFonts w:ascii="Times New Roman" w:eastAsia="Times New Roman" w:hAnsi="Times New Roman" w:cs="Times New Roman"/>
          <w:sz w:val="24"/>
          <w:szCs w:val="24"/>
          <w:lang w:eastAsia="en-AU"/>
        </w:rPr>
        <w:t>”) within the Australian Government Department of Health.</w:t>
      </w:r>
    </w:p>
    <w:p w14:paraId="242F03BC"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p>
    <w:p w14:paraId="3AAF151F"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26BB of the Act relevantly provides that the Minister of Health may, by legislative instrument, make a determination </w:t>
      </w:r>
      <w:r w:rsidR="004E05C9">
        <w:rPr>
          <w:rFonts w:ascii="Times New Roman" w:eastAsia="Times New Roman" w:hAnsi="Times New Roman" w:cs="Times New Roman"/>
          <w:sz w:val="24"/>
          <w:szCs w:val="24"/>
          <w:lang w:eastAsia="en-AU"/>
        </w:rPr>
        <w:t>specifying ingredients and, for some or all of those ingredients, requirements in relation to those ingredients being contained in a medicine.  Under subsections 26BB(2), (2A) and (3) of the Act, such requirements may relate to particular ingredients not being con</w:t>
      </w:r>
      <w:r w:rsidR="00226F3C">
        <w:rPr>
          <w:rFonts w:ascii="Times New Roman" w:eastAsia="Times New Roman" w:hAnsi="Times New Roman" w:cs="Times New Roman"/>
          <w:sz w:val="24"/>
          <w:szCs w:val="24"/>
          <w:lang w:eastAsia="en-AU"/>
        </w:rPr>
        <w:t xml:space="preserve">tained in particular medicines or </w:t>
      </w:r>
      <w:r w:rsidR="004E05C9">
        <w:rPr>
          <w:rFonts w:ascii="Times New Roman" w:eastAsia="Times New Roman" w:hAnsi="Times New Roman" w:cs="Times New Roman"/>
          <w:sz w:val="24"/>
          <w:szCs w:val="24"/>
          <w:lang w:eastAsia="en-AU"/>
        </w:rPr>
        <w:t>being contained in p</w:t>
      </w:r>
      <w:r w:rsidR="00226F3C">
        <w:rPr>
          <w:rFonts w:ascii="Times New Roman" w:eastAsia="Times New Roman" w:hAnsi="Times New Roman" w:cs="Times New Roman"/>
          <w:sz w:val="24"/>
          <w:szCs w:val="24"/>
          <w:lang w:eastAsia="en-AU"/>
        </w:rPr>
        <w:t xml:space="preserve">articular medicines only in specified </w:t>
      </w:r>
      <w:r w:rsidR="004E05C9">
        <w:rPr>
          <w:rFonts w:ascii="Times New Roman" w:eastAsia="Times New Roman" w:hAnsi="Times New Roman" w:cs="Times New Roman"/>
          <w:sz w:val="24"/>
          <w:szCs w:val="24"/>
          <w:lang w:eastAsia="en-AU"/>
        </w:rPr>
        <w:t>circumstances, or to permitted concentrations or total amounts of an ingredient in a medicine.</w:t>
      </w:r>
    </w:p>
    <w:p w14:paraId="69CA0739"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0684020F" w14:textId="77777777" w:rsidR="004E05C9" w:rsidRDefault="00226F3C"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w:t>
      </w:r>
      <w:r w:rsidR="004E05C9">
        <w:rPr>
          <w:rFonts w:ascii="Times New Roman" w:eastAsia="Times New Roman" w:hAnsi="Times New Roman" w:cs="Times New Roman"/>
          <w:sz w:val="24"/>
          <w:szCs w:val="24"/>
          <w:lang w:eastAsia="en-AU"/>
        </w:rPr>
        <w:t xml:space="preserve">egislative instruments made </w:t>
      </w:r>
      <w:r>
        <w:rPr>
          <w:rFonts w:ascii="Times New Roman" w:eastAsia="Times New Roman" w:hAnsi="Times New Roman" w:cs="Times New Roman"/>
          <w:sz w:val="24"/>
          <w:szCs w:val="24"/>
          <w:lang w:eastAsia="en-AU"/>
        </w:rPr>
        <w:t>under section 26BB of the Act are designed</w:t>
      </w:r>
      <w:r w:rsidR="004E05C9">
        <w:rPr>
          <w:rFonts w:ascii="Times New Roman" w:eastAsia="Times New Roman" w:hAnsi="Times New Roman" w:cs="Times New Roman"/>
          <w:sz w:val="24"/>
          <w:szCs w:val="24"/>
          <w:lang w:eastAsia="en-AU"/>
        </w:rPr>
        <w:t xml:space="preserve"> to specify those ingredients that may be contained in a medicine that is listed in the Australian Register of Therapeutic Goods (“the Register”) under section 26A or 26AE of the Act, and </w:t>
      </w:r>
      <w:r>
        <w:rPr>
          <w:rFonts w:ascii="Times New Roman" w:eastAsia="Times New Roman" w:hAnsi="Times New Roman" w:cs="Times New Roman"/>
          <w:sz w:val="24"/>
          <w:szCs w:val="24"/>
          <w:lang w:eastAsia="en-AU"/>
        </w:rPr>
        <w:t xml:space="preserve">to specify </w:t>
      </w:r>
      <w:r w:rsidR="004E05C9">
        <w:rPr>
          <w:rFonts w:ascii="Times New Roman" w:eastAsia="Times New Roman" w:hAnsi="Times New Roman" w:cs="Times New Roman"/>
          <w:sz w:val="24"/>
          <w:szCs w:val="24"/>
          <w:lang w:eastAsia="en-AU"/>
        </w:rPr>
        <w:t>requirements in relation to the inclusion of those ingredients in such medicines.</w:t>
      </w:r>
    </w:p>
    <w:p w14:paraId="114F9F97"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441C0023" w14:textId="3CE3868D" w:rsidR="004E05C9" w:rsidRDefault="0052033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Determination</w:t>
      </w:r>
      <w:r w:rsidR="004E05C9">
        <w:rPr>
          <w:rFonts w:ascii="Times New Roman" w:eastAsia="Times New Roman" w:hAnsi="Times New Roman" w:cs="Times New Roman"/>
          <w:sz w:val="24"/>
          <w:szCs w:val="24"/>
          <w:lang w:eastAsia="en-AU"/>
        </w:rPr>
        <w:t xml:space="preserve"> </w:t>
      </w:r>
      <w:r w:rsidR="00E67371">
        <w:rPr>
          <w:rFonts w:ascii="Times New Roman" w:eastAsia="Times New Roman" w:hAnsi="Times New Roman" w:cs="Times New Roman"/>
          <w:sz w:val="24"/>
          <w:szCs w:val="24"/>
          <w:lang w:eastAsia="en-AU"/>
        </w:rPr>
        <w:t>repeal</w:t>
      </w:r>
      <w:r w:rsidR="007C503B">
        <w:rPr>
          <w:rFonts w:ascii="Times New Roman" w:eastAsia="Times New Roman" w:hAnsi="Times New Roman" w:cs="Times New Roman"/>
          <w:sz w:val="24"/>
          <w:szCs w:val="24"/>
          <w:lang w:eastAsia="en-AU"/>
        </w:rPr>
        <w:t xml:space="preserve">s </w:t>
      </w:r>
      <w:r w:rsidR="00E67371">
        <w:rPr>
          <w:rFonts w:ascii="Times New Roman" w:eastAsia="Times New Roman" w:hAnsi="Times New Roman" w:cs="Times New Roman"/>
          <w:sz w:val="24"/>
          <w:szCs w:val="24"/>
          <w:lang w:eastAsia="en-AU"/>
        </w:rPr>
        <w:t>and replace</w:t>
      </w:r>
      <w:r w:rsidR="007C503B">
        <w:rPr>
          <w:rFonts w:ascii="Times New Roman" w:eastAsia="Times New Roman" w:hAnsi="Times New Roman" w:cs="Times New Roman"/>
          <w:sz w:val="24"/>
          <w:szCs w:val="24"/>
          <w:lang w:eastAsia="en-AU"/>
        </w:rPr>
        <w:t>s</w:t>
      </w:r>
      <w:r w:rsidR="00E67371">
        <w:rPr>
          <w:rFonts w:ascii="Times New Roman" w:eastAsia="Times New Roman" w:hAnsi="Times New Roman" w:cs="Times New Roman"/>
          <w:sz w:val="24"/>
          <w:szCs w:val="24"/>
          <w:lang w:eastAsia="en-AU"/>
        </w:rPr>
        <w:t xml:space="preserve"> </w:t>
      </w:r>
      <w:r w:rsidR="004E05C9">
        <w:rPr>
          <w:rFonts w:ascii="Times New Roman" w:eastAsia="Times New Roman" w:hAnsi="Times New Roman" w:cs="Times New Roman"/>
          <w:sz w:val="24"/>
          <w:szCs w:val="24"/>
          <w:lang w:eastAsia="en-AU"/>
        </w:rPr>
        <w:t xml:space="preserve">the </w:t>
      </w:r>
      <w:r w:rsidR="004E05C9" w:rsidRPr="004E05C9">
        <w:rPr>
          <w:rFonts w:ascii="Times New Roman" w:eastAsia="Times New Roman" w:hAnsi="Times New Roman" w:cs="Times New Roman"/>
          <w:i/>
          <w:sz w:val="24"/>
          <w:szCs w:val="24"/>
          <w:lang w:eastAsia="en-AU"/>
        </w:rPr>
        <w:t>Therapeutic Goods</w:t>
      </w:r>
      <w:r w:rsidR="001C38AF">
        <w:rPr>
          <w:rFonts w:ascii="Times New Roman" w:eastAsia="Times New Roman" w:hAnsi="Times New Roman" w:cs="Times New Roman"/>
          <w:i/>
          <w:sz w:val="24"/>
          <w:szCs w:val="24"/>
          <w:lang w:eastAsia="en-AU"/>
        </w:rPr>
        <w:t xml:space="preserve"> </w:t>
      </w:r>
      <w:r w:rsidR="004E05C9" w:rsidRPr="004E05C9">
        <w:rPr>
          <w:rFonts w:ascii="Times New Roman" w:eastAsia="Times New Roman" w:hAnsi="Times New Roman" w:cs="Times New Roman"/>
          <w:i/>
          <w:sz w:val="24"/>
          <w:szCs w:val="24"/>
          <w:lang w:eastAsia="en-AU"/>
        </w:rPr>
        <w:t>(Permissible Ingredients) Determination (No.</w:t>
      </w:r>
      <w:r w:rsidR="00B60F0C">
        <w:rPr>
          <w:rFonts w:ascii="Times New Roman" w:eastAsia="Times New Roman" w:hAnsi="Times New Roman" w:cs="Times New Roman"/>
          <w:i/>
          <w:sz w:val="24"/>
          <w:szCs w:val="24"/>
          <w:lang w:eastAsia="en-AU"/>
        </w:rPr>
        <w:t xml:space="preserve"> </w:t>
      </w:r>
      <w:r w:rsidR="004E05C9" w:rsidRPr="004E05C9">
        <w:rPr>
          <w:rFonts w:ascii="Times New Roman" w:eastAsia="Times New Roman" w:hAnsi="Times New Roman" w:cs="Times New Roman"/>
          <w:i/>
          <w:sz w:val="24"/>
          <w:szCs w:val="24"/>
          <w:lang w:eastAsia="en-AU"/>
        </w:rPr>
        <w:t>2) 2019</w:t>
      </w:r>
      <w:r w:rsidR="00B60F0C">
        <w:rPr>
          <w:rFonts w:ascii="Times New Roman" w:eastAsia="Times New Roman" w:hAnsi="Times New Roman" w:cs="Times New Roman"/>
          <w:i/>
          <w:sz w:val="24"/>
          <w:szCs w:val="24"/>
          <w:lang w:eastAsia="en-AU"/>
        </w:rPr>
        <w:t xml:space="preserve"> </w:t>
      </w:r>
      <w:r w:rsidR="00B60F0C">
        <w:rPr>
          <w:rFonts w:ascii="Times New Roman" w:eastAsia="Times New Roman" w:hAnsi="Times New Roman" w:cs="Times New Roman"/>
          <w:sz w:val="24"/>
          <w:szCs w:val="24"/>
          <w:lang w:eastAsia="en-AU"/>
        </w:rPr>
        <w:t xml:space="preserve">(“the </w:t>
      </w:r>
      <w:r w:rsidR="00E67371">
        <w:rPr>
          <w:rFonts w:ascii="Times New Roman" w:eastAsia="Times New Roman" w:hAnsi="Times New Roman" w:cs="Times New Roman"/>
          <w:sz w:val="24"/>
          <w:szCs w:val="24"/>
          <w:lang w:eastAsia="en-AU"/>
        </w:rPr>
        <w:t xml:space="preserve">former </w:t>
      </w:r>
      <w:r w:rsidR="00B60F0C">
        <w:rPr>
          <w:rFonts w:ascii="Times New Roman" w:eastAsia="Times New Roman" w:hAnsi="Times New Roman" w:cs="Times New Roman"/>
          <w:sz w:val="24"/>
          <w:szCs w:val="24"/>
          <w:lang w:eastAsia="en-AU"/>
        </w:rPr>
        <w:t>Determination”)</w:t>
      </w:r>
      <w:r w:rsidR="007C503B">
        <w:rPr>
          <w:rFonts w:ascii="Times New Roman" w:eastAsia="Times New Roman" w:hAnsi="Times New Roman" w:cs="Times New Roman"/>
          <w:sz w:val="24"/>
          <w:szCs w:val="24"/>
          <w:lang w:eastAsia="en-AU"/>
        </w:rPr>
        <w:t>, and specifies those ingredients that may be contained in a medicine that is listed in the Register, and requirements in relation to the inclusion of those ingredients in such medicines</w:t>
      </w:r>
      <w:r w:rsidR="001C38AF">
        <w:rPr>
          <w:rFonts w:ascii="Times New Roman" w:eastAsia="Times New Roman" w:hAnsi="Times New Roman" w:cs="Times New Roman"/>
          <w:sz w:val="24"/>
          <w:szCs w:val="24"/>
          <w:lang w:eastAsia="en-AU"/>
        </w:rPr>
        <w:t xml:space="preserve">. </w:t>
      </w:r>
    </w:p>
    <w:p w14:paraId="013E1782" w14:textId="77777777" w:rsidR="00EF1F18" w:rsidRPr="00B028DC" w:rsidRDefault="00EF1F18" w:rsidP="009A530B">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B</w:t>
      </w:r>
      <w:r w:rsidR="00E01934" w:rsidRPr="00B028DC">
        <w:rPr>
          <w:rFonts w:ascii="Times New Roman" w:eastAsia="Times New Roman" w:hAnsi="Times New Roman" w:cs="Times New Roman"/>
          <w:b/>
          <w:bCs/>
          <w:sz w:val="24"/>
          <w:szCs w:val="24"/>
          <w:lang w:eastAsia="en-AU"/>
        </w:rPr>
        <w:t>ackground</w:t>
      </w:r>
    </w:p>
    <w:p w14:paraId="46189311" w14:textId="77777777" w:rsidR="00D4773E" w:rsidRPr="00D4773E" w:rsidRDefault="00D4773E" w:rsidP="00D4773E">
      <w:pPr>
        <w:spacing w:before="100" w:beforeAutospacing="1" w:after="100" w:afterAutospacing="1"/>
        <w:rPr>
          <w:rFonts w:ascii="Times New Roman" w:eastAsia="Times New Roman" w:hAnsi="Times New Roman" w:cs="Times New Roman"/>
          <w:sz w:val="24"/>
          <w:szCs w:val="24"/>
          <w:lang w:val="en-US" w:eastAsia="en-AU"/>
        </w:rPr>
      </w:pPr>
      <w:r w:rsidRPr="00D4773E">
        <w:rPr>
          <w:rFonts w:ascii="Times New Roman" w:eastAsia="Times New Roman" w:hAnsi="Times New Roman" w:cs="Times New Roman"/>
          <w:sz w:val="24"/>
          <w:szCs w:val="24"/>
          <w:lang w:eastAsia="en-AU"/>
        </w:rPr>
        <w:t>Medicines that are listed in the Register under section 26A of the Act are considered to be low risk and are not individually evaluated before those medicines are listed. 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When listed under section 26AE, these listed medicines are commonly referred to as ‘assessed listed medicines’.</w:t>
      </w:r>
    </w:p>
    <w:p w14:paraId="37CEDFE6" w14:textId="77777777" w:rsidR="00D4773E" w:rsidRPr="00D4773E" w:rsidRDefault="00D4773E" w:rsidP="00D4773E">
      <w:pPr>
        <w:spacing w:before="100" w:beforeAutospacing="1" w:after="100" w:afterAutospacing="1"/>
        <w:rPr>
          <w:rFonts w:ascii="Times New Roman" w:eastAsia="Times New Roman" w:hAnsi="Times New Roman" w:cs="Times New Roman"/>
          <w:sz w:val="24"/>
          <w:szCs w:val="24"/>
          <w:lang w:val="en-US" w:eastAsia="en-AU"/>
        </w:rPr>
      </w:pPr>
      <w:r w:rsidRPr="00D4773E">
        <w:rPr>
          <w:rFonts w:ascii="Times New Roman" w:eastAsia="Times New Roman" w:hAnsi="Times New Roman" w:cs="Times New Roman"/>
          <w:sz w:val="24"/>
          <w:szCs w:val="24"/>
          <w:lang w:eastAsia="en-AU"/>
        </w:rPr>
        <w:t>As the safety and quality of medicines listed under section</w:t>
      </w:r>
      <w:r w:rsidR="00B60F0C">
        <w:rPr>
          <w:rFonts w:ascii="Times New Roman" w:eastAsia="Times New Roman" w:hAnsi="Times New Roman" w:cs="Times New Roman"/>
          <w:sz w:val="24"/>
          <w:szCs w:val="24"/>
          <w:lang w:eastAsia="en-AU"/>
        </w:rPr>
        <w:t>s</w:t>
      </w:r>
      <w:r w:rsidRPr="00D4773E">
        <w:rPr>
          <w:rFonts w:ascii="Times New Roman" w:eastAsia="Times New Roman" w:hAnsi="Times New Roman" w:cs="Times New Roman"/>
          <w:sz w:val="24"/>
          <w:szCs w:val="24"/>
          <w:lang w:eastAsia="en-AU"/>
        </w:rPr>
        <w:t xml:space="preserve"> 26A and 26AE are not evaluated by the TGA before being given marketing approval, the Act contains mechanisms to help ensure that those medicines are of appropriate quality and able to be used safely by consumers. In particular, medicines listed under section 26A and 26AE may only contain ingredients from an approved list of ingredients that have been evaluated in relation to their quality and safety and suitability for use in such medicines. Sponsors of such medicines may </w:t>
      </w:r>
      <w:r w:rsidR="008E082F">
        <w:rPr>
          <w:rFonts w:ascii="Times New Roman" w:eastAsia="Times New Roman" w:hAnsi="Times New Roman" w:cs="Times New Roman"/>
          <w:sz w:val="24"/>
          <w:szCs w:val="24"/>
          <w:lang w:eastAsia="en-AU"/>
        </w:rPr>
        <w:lastRenderedPageBreak/>
        <w:t xml:space="preserve">also </w:t>
      </w:r>
      <w:r w:rsidRPr="00D4773E">
        <w:rPr>
          <w:rFonts w:ascii="Times New Roman" w:eastAsia="Times New Roman" w:hAnsi="Times New Roman" w:cs="Times New Roman"/>
          <w:sz w:val="24"/>
          <w:szCs w:val="24"/>
          <w:lang w:eastAsia="en-AU"/>
        </w:rPr>
        <w:t>only use indications (statements of therapeutic use) from a list of pre-approved low level indications to ensure that these products do not overstate their therapeutic benefits.</w:t>
      </w:r>
    </w:p>
    <w:p w14:paraId="16704F00" w14:textId="77777777" w:rsidR="00D4773E" w:rsidRPr="00D4773E" w:rsidRDefault="00D4773E" w:rsidP="00D4773E">
      <w:pPr>
        <w:spacing w:before="100" w:beforeAutospacing="1" w:after="100" w:afterAutospacing="1"/>
        <w:rPr>
          <w:rFonts w:ascii="Times New Roman" w:eastAsia="Times New Roman" w:hAnsi="Times New Roman" w:cs="Times New Roman"/>
          <w:sz w:val="24"/>
          <w:szCs w:val="24"/>
          <w:lang w:val="en-US" w:eastAsia="en-AU"/>
        </w:rPr>
      </w:pPr>
      <w:r w:rsidRPr="00D4773E">
        <w:rPr>
          <w:rFonts w:ascii="Times New Roman" w:eastAsia="Times New Roman" w:hAnsi="Times New Roman" w:cs="Times New Roman"/>
          <w:sz w:val="24"/>
          <w:szCs w:val="24"/>
          <w:lang w:eastAsia="en-AU"/>
        </w:rPr>
        <w:t>Under paragraphs 26A(2)(ca) and (cb)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 Paragraphs 26AB(2)(d) and (e) contain equivalent certification requirements for applicants seeking marketing approval in relation to assessed listed medicines. A listed (or assessed listed) medicine may be cancelled from the Register if it appears to the Secretary that such a certification is incorrect.</w:t>
      </w:r>
    </w:p>
    <w:p w14:paraId="6D9381AC" w14:textId="77777777" w:rsidR="00D4773E" w:rsidRPr="00D4773E" w:rsidRDefault="00D4773E" w:rsidP="00D4773E">
      <w:pPr>
        <w:spacing w:before="100" w:beforeAutospacing="1" w:after="100" w:afterAutospacing="1"/>
        <w:rPr>
          <w:rFonts w:ascii="Times New Roman" w:eastAsia="Times New Roman" w:hAnsi="Times New Roman" w:cs="Times New Roman"/>
          <w:sz w:val="24"/>
          <w:szCs w:val="24"/>
          <w:lang w:val="en-US" w:eastAsia="en-AU"/>
        </w:rPr>
      </w:pPr>
      <w:r w:rsidRPr="00D4773E">
        <w:rPr>
          <w:rFonts w:ascii="Times New Roman" w:eastAsia="Times New Roman" w:hAnsi="Times New Roman" w:cs="Times New Roman"/>
          <w:sz w:val="24"/>
          <w:szCs w:val="24"/>
          <w:lang w:eastAsia="en-AU"/>
        </w:rPr>
        <w:t xml:space="preserve">Separately, items 3, 4A, 5, 7 and 8 of Schedule 4 to the </w:t>
      </w:r>
      <w:r w:rsidRPr="00D4773E">
        <w:rPr>
          <w:rFonts w:ascii="Times New Roman" w:eastAsia="Times New Roman" w:hAnsi="Times New Roman" w:cs="Times New Roman"/>
          <w:i/>
          <w:iCs/>
          <w:sz w:val="24"/>
          <w:szCs w:val="24"/>
          <w:lang w:eastAsia="en-AU"/>
        </w:rPr>
        <w:t>Therapeutic Goods Regulations 1990</w:t>
      </w:r>
      <w:r w:rsidRPr="00D4773E">
        <w:rPr>
          <w:rFonts w:ascii="Times New Roman" w:eastAsia="Times New Roman" w:hAnsi="Times New Roman" w:cs="Times New Roman"/>
          <w:sz w:val="24"/>
          <w:szCs w:val="24"/>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 and must not contravene a requirement in such a determination.</w:t>
      </w:r>
    </w:p>
    <w:p w14:paraId="4EE2990C" w14:textId="5BA6F8D4" w:rsidR="00D4773E" w:rsidRDefault="00226F3C" w:rsidP="00D4773E">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such, determinations </w:t>
      </w:r>
      <w:r w:rsidR="0062190F">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section 26BB are</w:t>
      </w:r>
      <w:r w:rsidR="00D4773E" w:rsidRPr="00D4773E">
        <w:rPr>
          <w:rFonts w:ascii="Times New Roman" w:eastAsia="Times New Roman" w:hAnsi="Times New Roman" w:cs="Times New Roman"/>
          <w:sz w:val="24"/>
          <w:szCs w:val="24"/>
          <w:lang w:eastAsia="en-AU"/>
        </w:rPr>
        <w:t xml:space="preserve"> designed to provide a comprehensive list of ingredients which have been assessed or otherwise considered to be safe for use in listed medicines (including assessed listed medicines), and associated requirements to be followed when using particular ingredients in such products.</w:t>
      </w:r>
      <w:r w:rsidR="00D4773E">
        <w:rPr>
          <w:rFonts w:ascii="Times New Roman" w:eastAsia="Times New Roman" w:hAnsi="Times New Roman" w:cs="Times New Roman"/>
          <w:sz w:val="24"/>
          <w:szCs w:val="24"/>
          <w:lang w:eastAsia="en-AU"/>
        </w:rPr>
        <w:t xml:space="preserve">  These requirements may relate to a range of matters including, for example, </w:t>
      </w:r>
      <w:r>
        <w:rPr>
          <w:rFonts w:ascii="Times New Roman" w:eastAsia="Times New Roman" w:hAnsi="Times New Roman" w:cs="Times New Roman"/>
          <w:sz w:val="24"/>
          <w:szCs w:val="24"/>
          <w:lang w:eastAsia="en-AU"/>
        </w:rPr>
        <w:t xml:space="preserve">how an ingredient may be used in a medicine or </w:t>
      </w:r>
      <w:r w:rsidR="00D4773E">
        <w:rPr>
          <w:rFonts w:ascii="Times New Roman" w:eastAsia="Times New Roman" w:hAnsi="Times New Roman" w:cs="Times New Roman"/>
          <w:sz w:val="24"/>
          <w:szCs w:val="24"/>
          <w:lang w:eastAsia="en-AU"/>
        </w:rPr>
        <w:t>the inclusion of relevant safety information on product labels</w:t>
      </w:r>
      <w:r>
        <w:rPr>
          <w:rFonts w:ascii="Times New Roman" w:eastAsia="Times New Roman" w:hAnsi="Times New Roman" w:cs="Times New Roman"/>
          <w:sz w:val="24"/>
          <w:szCs w:val="24"/>
          <w:lang w:eastAsia="en-AU"/>
        </w:rPr>
        <w:t>.</w:t>
      </w:r>
    </w:p>
    <w:p w14:paraId="2B026CDA" w14:textId="33F8974E" w:rsidR="00A4560C" w:rsidRPr="00A4560C" w:rsidRDefault="00A4560C" w:rsidP="00AF44AF">
      <w:pPr>
        <w:spacing w:before="100" w:beforeAutospacing="1" w:after="100" w:afterAutospacing="1"/>
        <w:rPr>
          <w:rFonts w:ascii="Arial" w:eastAsia="Times New Roman" w:hAnsi="Arial" w:cs="Arial"/>
          <w:sz w:val="19"/>
          <w:szCs w:val="19"/>
          <w:lang w:val="en-US" w:eastAsia="en-AU"/>
        </w:rPr>
      </w:pPr>
      <w:r w:rsidRPr="00A4560C">
        <w:rPr>
          <w:rFonts w:ascii="Times New Roman" w:eastAsia="Times New Roman" w:hAnsi="Times New Roman" w:cs="Times New Roman"/>
          <w:sz w:val="24"/>
          <w:szCs w:val="24"/>
          <w:lang w:eastAsia="en-AU"/>
        </w:rPr>
        <w:t xml:space="preserve">The requirements imposed under the Determination </w:t>
      </w:r>
      <w:r w:rsidR="007C503B">
        <w:rPr>
          <w:rFonts w:ascii="Times New Roman" w:eastAsia="Times New Roman" w:hAnsi="Times New Roman" w:cs="Times New Roman"/>
          <w:sz w:val="24"/>
          <w:szCs w:val="24"/>
          <w:lang w:eastAsia="en-AU"/>
        </w:rPr>
        <w:t xml:space="preserve">are </w:t>
      </w:r>
      <w:r w:rsidRPr="00A4560C">
        <w:rPr>
          <w:rFonts w:ascii="Times New Roman" w:eastAsia="Times New Roman" w:hAnsi="Times New Roman" w:cs="Times New Roman"/>
          <w:sz w:val="24"/>
          <w:szCs w:val="24"/>
          <w:lang w:eastAsia="en-AU"/>
        </w:rPr>
        <w:t xml:space="preserve">principally </w:t>
      </w:r>
      <w:r w:rsidR="007C503B">
        <w:rPr>
          <w:rFonts w:ascii="Times New Roman" w:eastAsia="Times New Roman" w:hAnsi="Times New Roman" w:cs="Times New Roman"/>
          <w:sz w:val="24"/>
          <w:szCs w:val="24"/>
          <w:lang w:eastAsia="en-AU"/>
        </w:rPr>
        <w:t>designed to</w:t>
      </w:r>
      <w:r w:rsidRPr="00A4560C">
        <w:rPr>
          <w:rFonts w:ascii="Times New Roman" w:eastAsia="Times New Roman" w:hAnsi="Times New Roman" w:cs="Times New Roman"/>
          <w:sz w:val="24"/>
          <w:szCs w:val="24"/>
          <w:lang w:eastAsia="en-AU"/>
        </w:rPr>
        <w:t xml:space="preserve"> ensur</w:t>
      </w:r>
      <w:r w:rsidR="007C503B">
        <w:rPr>
          <w:rFonts w:ascii="Times New Roman" w:eastAsia="Times New Roman" w:hAnsi="Times New Roman" w:cs="Times New Roman"/>
          <w:sz w:val="24"/>
          <w:szCs w:val="24"/>
          <w:lang w:eastAsia="en-AU"/>
        </w:rPr>
        <w:t>e</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 xml:space="preserve">or support </w:t>
      </w:r>
      <w:r w:rsidRPr="00A4560C">
        <w:rPr>
          <w:rFonts w:ascii="Times New Roman" w:eastAsia="Times New Roman" w:hAnsi="Times New Roman" w:cs="Times New Roman"/>
          <w:sz w:val="24"/>
          <w:szCs w:val="24"/>
          <w:lang w:eastAsia="en-AU"/>
        </w:rPr>
        <w:t xml:space="preserve">the quality and safety of </w:t>
      </w:r>
      <w:r w:rsidR="007C503B">
        <w:rPr>
          <w:rFonts w:ascii="Times New Roman" w:eastAsia="Times New Roman" w:hAnsi="Times New Roman" w:cs="Times New Roman"/>
          <w:sz w:val="24"/>
          <w:szCs w:val="24"/>
          <w:lang w:eastAsia="en-AU"/>
        </w:rPr>
        <w:t xml:space="preserve">listed medicines that contain permitted </w:t>
      </w:r>
      <w:r w:rsidRPr="00A4560C">
        <w:rPr>
          <w:rFonts w:ascii="Times New Roman" w:eastAsia="Times New Roman" w:hAnsi="Times New Roman" w:cs="Times New Roman"/>
          <w:sz w:val="24"/>
          <w:szCs w:val="24"/>
          <w:lang w:eastAsia="en-AU"/>
        </w:rPr>
        <w:t>ingredient</w:t>
      </w:r>
      <w:r w:rsidR="007C503B">
        <w:rPr>
          <w:rFonts w:ascii="Times New Roman" w:eastAsia="Times New Roman" w:hAnsi="Times New Roman" w:cs="Times New Roman"/>
          <w:sz w:val="24"/>
          <w:szCs w:val="24"/>
          <w:lang w:eastAsia="en-AU"/>
        </w:rPr>
        <w:t>s</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The r</w:t>
      </w:r>
      <w:r w:rsidRPr="00A4560C">
        <w:rPr>
          <w:rFonts w:ascii="Times New Roman" w:eastAsia="Times New Roman" w:hAnsi="Times New Roman" w:cs="Times New Roman"/>
          <w:sz w:val="24"/>
          <w:szCs w:val="24"/>
          <w:lang w:eastAsia="en-AU"/>
        </w:rPr>
        <w:t>equirements may relate</w:t>
      </w:r>
      <w:r w:rsidR="007C503B">
        <w:rPr>
          <w:rFonts w:ascii="Times New Roman" w:eastAsia="Times New Roman" w:hAnsi="Times New Roman" w:cs="Times New Roman"/>
          <w:sz w:val="24"/>
          <w:szCs w:val="24"/>
          <w:lang w:eastAsia="en-AU"/>
        </w:rPr>
        <w:t xml:space="preserve"> to</w:t>
      </w:r>
      <w:r w:rsidRPr="00A4560C">
        <w:rPr>
          <w:rFonts w:ascii="Times New Roman" w:eastAsia="Times New Roman" w:hAnsi="Times New Roman" w:cs="Times New Roman"/>
          <w:sz w:val="24"/>
          <w:szCs w:val="24"/>
          <w:lang w:eastAsia="en-AU"/>
        </w:rPr>
        <w:t>, for example:</w:t>
      </w:r>
    </w:p>
    <w:p w14:paraId="1716BFC3" w14:textId="62D153A4"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 xml:space="preserve">how </w:t>
      </w:r>
      <w:r w:rsidR="007C503B">
        <w:t>a permitted</w:t>
      </w:r>
      <w:r w:rsidRPr="00AF44AF">
        <w:t xml:space="preserve"> ingredient is to be used in the medicine, that is, as an active, homoeopathic or excipient ingredient;</w:t>
      </w:r>
    </w:p>
    <w:p w14:paraId="5EC76A23" w14:textId="0AA1EE28"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intended method of ingestion or application of the medicine, for example, oral or topical use;</w:t>
      </w:r>
    </w:p>
    <w:p w14:paraId="233FB9CD" w14:textId="2FEF7CF5"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source of the ingredient, or procedures to be followed in its manufacture;</w:t>
      </w:r>
    </w:p>
    <w:p w14:paraId="5EC7B554" w14:textId="4DFA7DF1"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appropriate limits on the volume or concentration of an ingredient; and</w:t>
      </w:r>
    </w:p>
    <w:p w14:paraId="2FA4BD86" w14:textId="746ABECD"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inclusion of relevant safety information on product labels, for example, allergen advice or advice about the use of medicine containing the ingredient for susceptible members of the population such as children and pregnant women.</w:t>
      </w:r>
    </w:p>
    <w:p w14:paraId="5B4C9B44" w14:textId="77777777" w:rsidR="007445FE" w:rsidRDefault="007445FE" w:rsidP="00DF0880">
      <w:pPr>
        <w:spacing w:after="0"/>
        <w:contextualSpacing/>
        <w:rPr>
          <w:rFonts w:ascii="Times New Roman" w:eastAsia="Times New Roman" w:hAnsi="Times New Roman" w:cs="Times New Roman"/>
          <w:sz w:val="24"/>
          <w:szCs w:val="24"/>
          <w:lang w:eastAsia="en-AU"/>
        </w:rPr>
      </w:pPr>
    </w:p>
    <w:p w14:paraId="1C9706BC" w14:textId="7B66142D" w:rsidR="006D4AB8" w:rsidRDefault="006D4AB8" w:rsidP="004761AE">
      <w:pPr>
        <w:keepNext/>
        <w:spacing w:before="100" w:beforeAutospacing="1" w:after="100" w:afterAutospacing="1"/>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Determination incorporates a number of changes in comparison to the former Determination, including in particular:</w:t>
      </w:r>
    </w:p>
    <w:p w14:paraId="7AFB2559" w14:textId="0D379848" w:rsidR="008957CE" w:rsidRDefault="007C503B" w:rsidP="00917AD5">
      <w:pPr>
        <w:pStyle w:val="ListParagraph"/>
        <w:keepNext/>
        <w:numPr>
          <w:ilvl w:val="0"/>
          <w:numId w:val="10"/>
        </w:numPr>
        <w:spacing w:before="120" w:beforeAutospacing="0" w:after="120" w:afterAutospacing="0" w:line="276" w:lineRule="auto"/>
        <w:ind w:left="714" w:hanging="357"/>
      </w:pPr>
      <w:r>
        <w:t xml:space="preserve">the introduction of </w:t>
      </w:r>
      <w:r w:rsidR="001F063F">
        <w:t>6</w:t>
      </w:r>
      <w:r w:rsidR="00AF3859">
        <w:t xml:space="preserve"> new ingredients </w:t>
      </w:r>
      <w:r w:rsidR="008957CE">
        <w:t xml:space="preserve">following </w:t>
      </w:r>
      <w:r>
        <w:t>the e</w:t>
      </w:r>
      <w:r w:rsidR="008957CE">
        <w:t xml:space="preserve">valuation </w:t>
      </w:r>
      <w:r>
        <w:t xml:space="preserve">of those ingredients </w:t>
      </w:r>
      <w:r w:rsidR="008957CE">
        <w:t>by the TGA</w:t>
      </w:r>
      <w:r>
        <w:t xml:space="preserve"> for their suitability for use in listed medicines</w:t>
      </w:r>
      <w:r w:rsidR="008957CE">
        <w:t xml:space="preserve"> </w:t>
      </w:r>
      <w:r w:rsidR="00AF3859">
        <w:t xml:space="preserve">(palmidrol, nicotinamide </w:t>
      </w:r>
      <w:r w:rsidR="00AF3859">
        <w:lastRenderedPageBreak/>
        <w:t>riboside chloride, styrallyl propionate, 2-ethyl-N-methyl-N-(3-methylphenyl) butanamide, 2,5-dimethyl-4-ethoxy-3(2H)-furanone</w:t>
      </w:r>
      <w:r w:rsidR="001F063F">
        <w:t xml:space="preserve"> and hexyl resorcinol</w:t>
      </w:r>
      <w:r w:rsidR="00AF3859">
        <w:t>)</w:t>
      </w:r>
      <w:r w:rsidR="008957CE">
        <w:t>;</w:t>
      </w:r>
      <w:r w:rsidR="00AF3859">
        <w:t xml:space="preserve"> </w:t>
      </w:r>
    </w:p>
    <w:p w14:paraId="645680BB" w14:textId="5F6217E7" w:rsidR="001F063F" w:rsidRDefault="007C503B" w:rsidP="001F063F">
      <w:pPr>
        <w:pStyle w:val="ListParagraph"/>
        <w:keepNext/>
        <w:numPr>
          <w:ilvl w:val="0"/>
          <w:numId w:val="10"/>
        </w:numPr>
        <w:spacing w:before="120" w:beforeAutospacing="0" w:after="120" w:afterAutospacing="0" w:line="276" w:lineRule="auto"/>
        <w:ind w:left="714" w:hanging="357"/>
      </w:pPr>
      <w:r>
        <w:t xml:space="preserve">changes to the applicable requirements </w:t>
      </w:r>
      <w:r w:rsidR="008F25EE">
        <w:t>for</w:t>
      </w:r>
      <w:r w:rsidR="0034672A">
        <w:t xml:space="preserve"> </w:t>
      </w:r>
      <w:r w:rsidR="001F063F">
        <w:t>7</w:t>
      </w:r>
      <w:r w:rsidR="0034672A">
        <w:t xml:space="preserve"> ingredients </w:t>
      </w:r>
      <w:r>
        <w:t xml:space="preserve">to reduce the level of regulation associated with the use of those ingredients in listed medicines </w:t>
      </w:r>
      <w:r w:rsidR="006D4AB8">
        <w:t>(</w:t>
      </w:r>
      <w:r w:rsidR="0034672A">
        <w:t>sodium chondroitin sulfate, bovine sodium chrondroitin sulfate, shark sodium chondroitin sulfate</w:t>
      </w:r>
      <w:r w:rsidR="00DE0E9F">
        <w:t xml:space="preserve">, </w:t>
      </w:r>
      <w:r w:rsidR="008F25EE">
        <w:t>shark chondroitin sulfate</w:t>
      </w:r>
      <w:r w:rsidR="001F063F">
        <w:t>,</w:t>
      </w:r>
      <w:r w:rsidR="008F25EE">
        <w:t xml:space="preserve"> </w:t>
      </w:r>
      <w:r w:rsidR="0034672A" w:rsidRPr="0034672A">
        <w:rPr>
          <w:i/>
        </w:rPr>
        <w:t>Candida utilis</w:t>
      </w:r>
      <w:r w:rsidR="001F063F">
        <w:t>, benzyl alcohol and cetylpyridinium chloride</w:t>
      </w:r>
      <w:r w:rsidR="0034672A">
        <w:t>)</w:t>
      </w:r>
      <w:r w:rsidR="0050197A">
        <w:t>;</w:t>
      </w:r>
    </w:p>
    <w:p w14:paraId="4FE8E030" w14:textId="7B0BCC86" w:rsidR="00917AD5" w:rsidRDefault="00917AD5" w:rsidP="00917AD5">
      <w:pPr>
        <w:pStyle w:val="ListParagraph"/>
        <w:keepNext/>
        <w:numPr>
          <w:ilvl w:val="0"/>
          <w:numId w:val="10"/>
        </w:numPr>
        <w:spacing w:before="120" w:beforeAutospacing="0" w:after="120" w:afterAutospacing="0" w:line="276" w:lineRule="auto"/>
        <w:ind w:left="714" w:hanging="357"/>
      </w:pPr>
      <w:r>
        <w:t xml:space="preserve">removal of  </w:t>
      </w:r>
      <w:r w:rsidR="007C503B">
        <w:t xml:space="preserve">a </w:t>
      </w:r>
      <w:r>
        <w:t xml:space="preserve">requirement </w:t>
      </w:r>
      <w:r w:rsidR="007C503B">
        <w:t xml:space="preserve">relating </w:t>
      </w:r>
      <w:r>
        <w:t>to</w:t>
      </w:r>
      <w:r w:rsidR="007C503B">
        <w:t xml:space="preserve"> the use of </w:t>
      </w:r>
      <w:r>
        <w:t xml:space="preserve">gluten, </w:t>
      </w:r>
      <w:r w:rsidR="00E715AB">
        <w:t>to ensure consistency with applicable standards relating to medicine labelling</w:t>
      </w:r>
      <w:r>
        <w:t>;</w:t>
      </w:r>
      <w:r w:rsidR="00E715AB">
        <w:t xml:space="preserve"> and</w:t>
      </w:r>
    </w:p>
    <w:p w14:paraId="79834F8B" w14:textId="74B2C58B" w:rsidR="0050197A" w:rsidRPr="006D4AB8" w:rsidRDefault="0050197A" w:rsidP="008F25EE">
      <w:pPr>
        <w:pStyle w:val="ListParagraph"/>
        <w:keepNext/>
        <w:numPr>
          <w:ilvl w:val="0"/>
          <w:numId w:val="10"/>
        </w:numPr>
        <w:spacing w:before="120" w:beforeAutospacing="0" w:after="120" w:afterAutospacing="0" w:line="276" w:lineRule="auto"/>
        <w:ind w:left="714" w:hanging="357"/>
      </w:pPr>
      <w:r>
        <w:t xml:space="preserve">minor changes to </w:t>
      </w:r>
      <w:r w:rsidR="008F25EE">
        <w:t>3 ingredients</w:t>
      </w:r>
      <w:r w:rsidR="00917AD5">
        <w:t xml:space="preserve"> to </w:t>
      </w:r>
      <w:r w:rsidR="008957CE">
        <w:t xml:space="preserve">correct errors and </w:t>
      </w:r>
      <w:r w:rsidR="00E715AB">
        <w:t xml:space="preserve">improve </w:t>
      </w:r>
      <w:r w:rsidR="008957CE">
        <w:t>clari</w:t>
      </w:r>
      <w:r w:rsidR="00E715AB">
        <w:t>ty</w:t>
      </w:r>
      <w:r w:rsidR="008F25EE">
        <w:t>.</w:t>
      </w:r>
    </w:p>
    <w:p w14:paraId="43BACDC7" w14:textId="77777777" w:rsidR="00EF1F18" w:rsidRPr="007313BA" w:rsidRDefault="00EF1F18" w:rsidP="0015421F">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C</w:t>
      </w:r>
      <w:r w:rsidR="00E1152E" w:rsidRPr="00B028DC">
        <w:rPr>
          <w:rFonts w:ascii="Times New Roman" w:eastAsia="Times New Roman" w:hAnsi="Times New Roman" w:cs="Times New Roman"/>
          <w:b/>
          <w:bCs/>
          <w:sz w:val="24"/>
          <w:szCs w:val="24"/>
          <w:lang w:eastAsia="en-AU"/>
        </w:rPr>
        <w:t>onsultation</w:t>
      </w:r>
      <w:r w:rsidRPr="00B028DC">
        <w:rPr>
          <w:rFonts w:ascii="Times New Roman" w:eastAsia="Times New Roman" w:hAnsi="Times New Roman" w:cs="Times New Roman"/>
          <w:sz w:val="24"/>
          <w:szCs w:val="24"/>
          <w:lang w:eastAsia="en-AU"/>
        </w:rPr>
        <w:t> </w:t>
      </w:r>
    </w:p>
    <w:p w14:paraId="5ACC8296" w14:textId="6E667C59" w:rsidR="001F063F" w:rsidRPr="00E715AB" w:rsidRDefault="001F063F">
      <w:pPr>
        <w:spacing w:before="100" w:beforeAutospacing="1" w:after="100" w:afterAutospacing="1"/>
        <w:rPr>
          <w:rFonts w:ascii="Times New Roman" w:eastAsia="Times New Roman" w:hAnsi="Times New Roman" w:cs="Times New Roman"/>
          <w:sz w:val="24"/>
          <w:szCs w:val="24"/>
          <w:lang w:eastAsia="en-AU"/>
        </w:rPr>
      </w:pPr>
      <w:r w:rsidRPr="00E715AB">
        <w:rPr>
          <w:rFonts w:ascii="Times New Roman" w:eastAsia="Times New Roman" w:hAnsi="Times New Roman" w:cs="Times New Roman"/>
          <w:sz w:val="24"/>
          <w:szCs w:val="24"/>
          <w:lang w:eastAsia="en-AU"/>
        </w:rPr>
        <w:t xml:space="preserve">One of the new ingredients (hexylresorcinol) and 2 of the existing ingredients (benzyl alcohol and cetylpyridinium chloride) evaluated by the TGA were </w:t>
      </w:r>
      <w:r w:rsidRPr="00DC56A0">
        <w:rPr>
          <w:rFonts w:ascii="Times New Roman" w:eastAsia="Times New Roman" w:hAnsi="Times New Roman" w:cs="Times New Roman"/>
          <w:sz w:val="24"/>
          <w:szCs w:val="24"/>
          <w:lang w:eastAsia="en-AU"/>
        </w:rPr>
        <w:t xml:space="preserve">considered </w:t>
      </w:r>
      <w:r w:rsidR="00850146" w:rsidRPr="00EF6D39">
        <w:rPr>
          <w:rFonts w:ascii="Times New Roman" w:eastAsia="Times New Roman" w:hAnsi="Times New Roman" w:cs="Times New Roman"/>
          <w:sz w:val="24"/>
          <w:szCs w:val="24"/>
          <w:lang w:eastAsia="en-AU"/>
        </w:rPr>
        <w:t xml:space="preserve">following consultation </w:t>
      </w:r>
      <w:r w:rsidR="00E715AB" w:rsidRPr="00E715AB">
        <w:rPr>
          <w:rFonts w:ascii="Times New Roman" w:eastAsia="Times New Roman" w:hAnsi="Times New Roman" w:cs="Times New Roman"/>
          <w:sz w:val="24"/>
          <w:szCs w:val="24"/>
          <w:lang w:eastAsia="en-AU"/>
        </w:rPr>
        <w:t>as part of</w:t>
      </w:r>
      <w:r w:rsidRPr="00E715AB">
        <w:rPr>
          <w:rFonts w:ascii="Times New Roman" w:eastAsia="Times New Roman" w:hAnsi="Times New Roman" w:cs="Times New Roman"/>
          <w:sz w:val="24"/>
          <w:szCs w:val="24"/>
          <w:lang w:eastAsia="en-AU"/>
        </w:rPr>
        <w:t xml:space="preserve"> the </w:t>
      </w:r>
      <w:hyperlink r:id="rId8" w:history="1">
        <w:r w:rsidRPr="00E715AB">
          <w:rPr>
            <w:rStyle w:val="Hyperlink"/>
            <w:rFonts w:ascii="Times New Roman" w:eastAsia="Times New Roman" w:hAnsi="Times New Roman" w:cs="Times New Roman"/>
            <w:sz w:val="24"/>
            <w:szCs w:val="24"/>
            <w:lang w:eastAsia="en-AU"/>
          </w:rPr>
          <w:t>low risk products review</w:t>
        </w:r>
      </w:hyperlink>
      <w:r w:rsidR="00850146" w:rsidRPr="0074493B">
        <w:rPr>
          <w:rFonts w:ascii="Times New Roman" w:hAnsi="Times New Roman" w:cs="Times New Roman"/>
          <w:sz w:val="24"/>
          <w:szCs w:val="24"/>
        </w:rPr>
        <w:t xml:space="preserve"> </w:t>
      </w:r>
      <w:r w:rsidR="00E715AB" w:rsidRPr="00E715AB">
        <w:rPr>
          <w:rFonts w:ascii="Times New Roman" w:hAnsi="Times New Roman" w:cs="Times New Roman"/>
          <w:sz w:val="24"/>
          <w:szCs w:val="24"/>
        </w:rPr>
        <w:t xml:space="preserve">conducted </w:t>
      </w:r>
      <w:r w:rsidR="00E715AB" w:rsidRPr="00D31199">
        <w:rPr>
          <w:rFonts w:ascii="Times New Roman" w:hAnsi="Times New Roman" w:cs="Times New Roman"/>
          <w:sz w:val="24"/>
          <w:szCs w:val="24"/>
        </w:rPr>
        <w:t xml:space="preserve">by the TGA </w:t>
      </w:r>
      <w:r w:rsidR="006F49F6" w:rsidRPr="00D31199">
        <w:rPr>
          <w:rFonts w:ascii="Times New Roman" w:hAnsi="Times New Roman" w:cs="Times New Roman"/>
          <w:sz w:val="24"/>
          <w:szCs w:val="24"/>
        </w:rPr>
        <w:t>from 31 March 2017;</w:t>
      </w:r>
      <w:r w:rsidR="00E715AB" w:rsidRPr="00D31199">
        <w:rPr>
          <w:rFonts w:ascii="Times New Roman" w:hAnsi="Times New Roman" w:cs="Times New Roman"/>
          <w:sz w:val="24"/>
          <w:szCs w:val="24"/>
        </w:rPr>
        <w:t xml:space="preserve"> following</w:t>
      </w:r>
      <w:r w:rsidR="00850146" w:rsidRPr="00D31199">
        <w:rPr>
          <w:rFonts w:ascii="Times New Roman" w:hAnsi="Times New Roman" w:cs="Times New Roman"/>
          <w:sz w:val="24"/>
          <w:szCs w:val="24"/>
        </w:rPr>
        <w:t xml:space="preserve"> the </w:t>
      </w:r>
      <w:r w:rsidR="00850146" w:rsidRPr="00D31199">
        <w:rPr>
          <w:rFonts w:ascii="Times New Roman" w:eastAsia="Times New Roman" w:hAnsi="Times New Roman" w:cs="Times New Roman"/>
          <w:sz w:val="24"/>
          <w:szCs w:val="24"/>
          <w:lang w:eastAsia="en-AU"/>
        </w:rPr>
        <w:t>Government</w:t>
      </w:r>
      <w:r w:rsidR="00E715AB" w:rsidRPr="00D31199">
        <w:rPr>
          <w:rFonts w:ascii="Times New Roman" w:eastAsia="Times New Roman" w:hAnsi="Times New Roman" w:cs="Times New Roman"/>
          <w:sz w:val="24"/>
          <w:szCs w:val="24"/>
          <w:lang w:eastAsia="en-AU"/>
        </w:rPr>
        <w:t>’s</w:t>
      </w:r>
      <w:r w:rsidR="00850146" w:rsidRPr="00D31199">
        <w:rPr>
          <w:rFonts w:ascii="Times New Roman" w:eastAsia="Times New Roman" w:hAnsi="Times New Roman" w:cs="Times New Roman"/>
          <w:sz w:val="24"/>
          <w:szCs w:val="24"/>
          <w:lang w:eastAsia="en-AU"/>
        </w:rPr>
        <w:t xml:space="preserve">  </w:t>
      </w:r>
      <w:r w:rsidR="00E715AB" w:rsidRPr="00D31199">
        <w:rPr>
          <w:rFonts w:ascii="Times New Roman" w:eastAsia="Times New Roman" w:hAnsi="Times New Roman" w:cs="Times New Roman"/>
          <w:sz w:val="24"/>
          <w:szCs w:val="24"/>
          <w:lang w:eastAsia="en-AU"/>
        </w:rPr>
        <w:t xml:space="preserve">response to </w:t>
      </w:r>
      <w:r w:rsidR="00850146" w:rsidRPr="00D31199">
        <w:rPr>
          <w:rFonts w:ascii="Times New Roman" w:eastAsia="Times New Roman" w:hAnsi="Times New Roman" w:cs="Times New Roman"/>
          <w:sz w:val="24"/>
          <w:szCs w:val="24"/>
          <w:lang w:eastAsia="en-AU"/>
        </w:rPr>
        <w:t xml:space="preserve">the </w:t>
      </w:r>
      <w:r w:rsidR="00E715AB" w:rsidRPr="00D31199">
        <w:rPr>
          <w:rFonts w:ascii="Times New Roman" w:eastAsia="Times New Roman" w:hAnsi="Times New Roman" w:cs="Times New Roman"/>
          <w:sz w:val="24"/>
          <w:szCs w:val="24"/>
          <w:lang w:eastAsia="en-AU"/>
        </w:rPr>
        <w:t xml:space="preserve">Expert Panel </w:t>
      </w:r>
      <w:hyperlink r:id="rId9" w:history="1">
        <w:r w:rsidR="00850146" w:rsidRPr="00D31199">
          <w:rPr>
            <w:rStyle w:val="Hyperlink"/>
            <w:rFonts w:ascii="Times New Roman" w:hAnsi="Times New Roman" w:cs="Times New Roman"/>
            <w:sz w:val="24"/>
            <w:szCs w:val="24"/>
          </w:rPr>
          <w:t>Review of Medicines and Medical Devices Regulation</w:t>
        </w:r>
      </w:hyperlink>
      <w:r w:rsidR="00850146" w:rsidRPr="00D31199">
        <w:rPr>
          <w:rFonts w:ascii="Times New Roman" w:eastAsia="Times New Roman" w:hAnsi="Times New Roman" w:cs="Times New Roman"/>
          <w:sz w:val="24"/>
          <w:szCs w:val="24"/>
          <w:lang w:eastAsia="en-AU"/>
        </w:rPr>
        <w:t>.</w:t>
      </w:r>
      <w:r w:rsidR="00850146" w:rsidRPr="00E715AB">
        <w:rPr>
          <w:rFonts w:ascii="Times New Roman" w:eastAsia="Times New Roman" w:hAnsi="Times New Roman" w:cs="Times New Roman"/>
          <w:sz w:val="24"/>
          <w:szCs w:val="24"/>
          <w:lang w:eastAsia="en-AU"/>
        </w:rPr>
        <w:t xml:space="preserve"> </w:t>
      </w:r>
    </w:p>
    <w:p w14:paraId="67FAA302" w14:textId="2739F5E1" w:rsidR="00C10BAC" w:rsidRDefault="0050197A">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850146">
        <w:rPr>
          <w:rFonts w:ascii="Times New Roman" w:eastAsia="Times New Roman" w:hAnsi="Times New Roman" w:cs="Times New Roman"/>
          <w:sz w:val="24"/>
          <w:szCs w:val="24"/>
          <w:lang w:eastAsia="en-AU"/>
        </w:rPr>
        <w:t xml:space="preserve">remaining </w:t>
      </w:r>
      <w:r w:rsidR="00C10BAC">
        <w:rPr>
          <w:rFonts w:ascii="Times New Roman" w:eastAsia="Times New Roman" w:hAnsi="Times New Roman" w:cs="Times New Roman"/>
          <w:sz w:val="24"/>
          <w:szCs w:val="24"/>
          <w:lang w:eastAsia="en-AU"/>
        </w:rPr>
        <w:t>5 new</w:t>
      </w:r>
      <w:r w:rsidR="008F25E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ingredients</w:t>
      </w:r>
      <w:r w:rsidR="00C10BAC">
        <w:rPr>
          <w:rFonts w:ascii="Times New Roman" w:eastAsia="Times New Roman" w:hAnsi="Times New Roman" w:cs="Times New Roman"/>
          <w:sz w:val="24"/>
          <w:szCs w:val="24"/>
          <w:lang w:eastAsia="en-AU"/>
        </w:rPr>
        <w:t xml:space="preserve"> and </w:t>
      </w:r>
      <w:r w:rsidR="00E715AB">
        <w:rPr>
          <w:rFonts w:ascii="Times New Roman" w:eastAsia="Times New Roman" w:hAnsi="Times New Roman" w:cs="Times New Roman"/>
          <w:sz w:val="24"/>
          <w:szCs w:val="24"/>
          <w:lang w:eastAsia="en-AU"/>
        </w:rPr>
        <w:t xml:space="preserve">changes to make the applicable requirements for </w:t>
      </w:r>
      <w:r w:rsidR="00C10BAC">
        <w:rPr>
          <w:rFonts w:ascii="Times New Roman" w:eastAsia="Times New Roman" w:hAnsi="Times New Roman" w:cs="Times New Roman"/>
          <w:sz w:val="24"/>
          <w:szCs w:val="24"/>
          <w:lang w:eastAsia="en-AU"/>
        </w:rPr>
        <w:t>existing ingredients</w:t>
      </w:r>
      <w:r w:rsidR="00E715AB">
        <w:rPr>
          <w:rFonts w:ascii="Times New Roman" w:eastAsia="Times New Roman" w:hAnsi="Times New Roman" w:cs="Times New Roman"/>
          <w:sz w:val="24"/>
          <w:szCs w:val="24"/>
          <w:lang w:eastAsia="en-AU"/>
        </w:rPr>
        <w:t xml:space="preserve"> more flexible</w:t>
      </w:r>
      <w:r w:rsidR="00C10BAC">
        <w:rPr>
          <w:rFonts w:ascii="Times New Roman" w:eastAsia="Times New Roman" w:hAnsi="Times New Roman" w:cs="Times New Roman"/>
          <w:sz w:val="24"/>
          <w:szCs w:val="24"/>
          <w:lang w:eastAsia="en-AU"/>
        </w:rPr>
        <w:t xml:space="preserve"> which</w:t>
      </w:r>
      <w:r w:rsidR="008F25EE">
        <w:rPr>
          <w:rFonts w:ascii="Times New Roman" w:eastAsia="Times New Roman" w:hAnsi="Times New Roman" w:cs="Times New Roman"/>
          <w:sz w:val="24"/>
          <w:szCs w:val="24"/>
          <w:lang w:eastAsia="en-AU"/>
        </w:rPr>
        <w:t xml:space="preserve"> </w:t>
      </w:r>
      <w:r w:rsidR="00E715AB">
        <w:rPr>
          <w:rFonts w:ascii="Times New Roman" w:eastAsia="Times New Roman" w:hAnsi="Times New Roman" w:cs="Times New Roman"/>
          <w:sz w:val="24"/>
          <w:szCs w:val="24"/>
          <w:lang w:eastAsia="en-AU"/>
        </w:rPr>
        <w:t xml:space="preserve">in the Determination were the subject of engagement </w:t>
      </w:r>
      <w:r>
        <w:rPr>
          <w:rFonts w:ascii="Times New Roman" w:eastAsia="Times New Roman" w:hAnsi="Times New Roman" w:cs="Times New Roman"/>
          <w:sz w:val="24"/>
          <w:szCs w:val="24"/>
          <w:lang w:eastAsia="en-AU"/>
        </w:rPr>
        <w:t xml:space="preserve">with the </w:t>
      </w:r>
      <w:r w:rsidR="00E715AB">
        <w:rPr>
          <w:rFonts w:ascii="Times New Roman" w:eastAsia="Times New Roman" w:hAnsi="Times New Roman" w:cs="Times New Roman"/>
          <w:sz w:val="24"/>
          <w:szCs w:val="24"/>
          <w:lang w:eastAsia="en-AU"/>
        </w:rPr>
        <w:t>sponsors who applied to the Secretary for those variations</w:t>
      </w:r>
      <w:r>
        <w:rPr>
          <w:rFonts w:ascii="Times New Roman" w:eastAsia="Times New Roman" w:hAnsi="Times New Roman" w:cs="Times New Roman"/>
          <w:sz w:val="24"/>
          <w:szCs w:val="24"/>
          <w:lang w:eastAsia="en-AU"/>
        </w:rPr>
        <w:t>.</w:t>
      </w:r>
    </w:p>
    <w:p w14:paraId="5B851EAA" w14:textId="4315A7B9" w:rsidR="0050197A" w:rsidRDefault="00807896">
      <w:pPr>
        <w:spacing w:before="100" w:beforeAutospacing="1" w:after="100" w:afterAutospacing="1"/>
        <w:rPr>
          <w:rFonts w:ascii="Times New Roman" w:eastAsia="Times New Roman" w:hAnsi="Times New Roman" w:cs="Times New Roman"/>
          <w:sz w:val="24"/>
          <w:szCs w:val="24"/>
          <w:lang w:eastAsia="en-AU"/>
        </w:rPr>
      </w:pPr>
      <w:r w:rsidRPr="00807896">
        <w:rPr>
          <w:rFonts w:ascii="Times New Roman" w:eastAsia="Times New Roman" w:hAnsi="Times New Roman" w:cs="Times New Roman"/>
          <w:sz w:val="24"/>
          <w:szCs w:val="24"/>
          <w:lang w:eastAsia="en-AU"/>
        </w:rPr>
        <w:t>The Office of Best Practice has previously advised that a regulatory impact statement is not required for updates to determinations made under section 26BB of the Act that are minor or machinery in nature</w:t>
      </w:r>
      <w:r w:rsidR="00E715AB">
        <w:rPr>
          <w:rFonts w:ascii="Times New Roman" w:eastAsia="Times New Roman" w:hAnsi="Times New Roman" w:cs="Times New Roman"/>
          <w:sz w:val="24"/>
          <w:szCs w:val="24"/>
          <w:lang w:eastAsia="en-AU"/>
        </w:rPr>
        <w:t>, including</w:t>
      </w:r>
      <w:r w:rsidRPr="00807896">
        <w:rPr>
          <w:rFonts w:ascii="Times New Roman" w:eastAsia="Times New Roman" w:hAnsi="Times New Roman" w:cs="Times New Roman"/>
          <w:sz w:val="24"/>
          <w:szCs w:val="24"/>
          <w:lang w:eastAsia="en-AU"/>
        </w:rPr>
        <w:t xml:space="preserve"> the introduction of new permitted ingredients, corrections of errors, clarifications of requirements and ingredient names, changes to reflect scheduling decisions in the Poisons Standard or the outcomes of TGA safety evaluations where the regulatory impacts are minor or machinery in nature (OBPR references 14416, 20999 and 21645).</w:t>
      </w:r>
    </w:p>
    <w:p w14:paraId="7A00BF75" w14:textId="77777777" w:rsidR="0050197A" w:rsidRPr="00B94E86" w:rsidRDefault="0050197A" w:rsidP="001F063F">
      <w:pPr>
        <w:keepNext/>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r>
        <w:rPr>
          <w:rFonts w:ascii="Times New Roman" w:hAnsi="Times New Roman" w:cs="Times New Roman"/>
          <w:b/>
          <w:sz w:val="24"/>
          <w:szCs w:val="24"/>
          <w:lang w:eastAsia="en-AU"/>
        </w:rPr>
        <w:t xml:space="preserve"> by reference</w:t>
      </w:r>
    </w:p>
    <w:p w14:paraId="09BDDD8C" w14:textId="77777777" w:rsidR="0050197A" w:rsidRDefault="0050197A" w:rsidP="003467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w:t>
      </w:r>
      <w:r w:rsidRPr="0034672A">
        <w:rPr>
          <w:rFonts w:ascii="Times New Roman" w:eastAsia="Times New Roman" w:hAnsi="Times New Roman" w:cs="Times New Roman"/>
          <w:sz w:val="24"/>
          <w:szCs w:val="24"/>
          <w:lang w:eastAsia="en-AU"/>
        </w:rPr>
        <w:t>Determination</w:t>
      </w:r>
      <w:r>
        <w:rPr>
          <w:rFonts w:ascii="Times New Roman" w:hAnsi="Times New Roman" w:cs="Times New Roman"/>
          <w:sz w:val="24"/>
          <w:szCs w:val="24"/>
        </w:rPr>
        <w:t xml:space="preserve"> references each of the British Pharmacopoeia, European Pharmacopoeia and United States Pharmacopeia-National Formulary, and the note in section 4 of the Determination makes it clear that each of these pharmacopoeia are those as defined in subsection 3(1) of the Act.</w:t>
      </w:r>
    </w:p>
    <w:p w14:paraId="53E90904" w14:textId="77777777" w:rsidR="0050197A" w:rsidRDefault="0050197A" w:rsidP="003467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and to any subsequent amendments or editions. The intention in this Determination is therefore to adopt the defined meaning of the pharmacopoeia as set out in subsection 3(1) of the Act (an approach permitted by subsection 10(4) of the Act). That pharmacopoeia may be accessed from </w:t>
      </w:r>
      <w:hyperlink r:id="rId10" w:history="1">
        <w:r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11" w:history="1">
        <w:r w:rsidRPr="00BB66B5">
          <w:rPr>
            <w:rStyle w:val="Hyperlink"/>
            <w:rFonts w:ascii="Times New Roman" w:hAnsi="Times New Roman" w:cs="Times New Roman"/>
            <w:sz w:val="24"/>
            <w:szCs w:val="24"/>
          </w:rPr>
          <w:t>www.edqm.eu/en/european-pharmacopoeia-ph-eur-9th-edition</w:t>
        </w:r>
      </w:hyperlink>
      <w:r>
        <w:rPr>
          <w:rFonts w:ascii="Times New Roman" w:hAnsi="Times New Roman" w:cs="Times New Roman"/>
          <w:sz w:val="24"/>
          <w:szCs w:val="24"/>
        </w:rPr>
        <w:t xml:space="preserve"> and </w:t>
      </w:r>
      <w:hyperlink r:id="rId12" w:history="1">
        <w:r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 xml:space="preserve">. </w:t>
      </w:r>
    </w:p>
    <w:p w14:paraId="2E0BD165" w14:textId="77777777" w:rsidR="0050197A" w:rsidRPr="00D35938" w:rsidRDefault="0050197A" w:rsidP="003467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Determination also adopts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3" w:history="1">
        <w:r w:rsidRPr="00BB66B5">
          <w:rPr>
            <w:rStyle w:val="Hyperlink"/>
            <w:rFonts w:ascii="Times New Roman" w:hAnsi="Times New Roman" w:cs="Times New Roman"/>
            <w:sz w:val="24"/>
            <w:szCs w:val="24"/>
          </w:rPr>
          <w:t>www.online.foodchemicalscodex.org</w:t>
        </w:r>
      </w:hyperlink>
      <w:r>
        <w:rPr>
          <w:rFonts w:ascii="Times New Roman" w:hAnsi="Times New Roman" w:cs="Times New Roman"/>
          <w:sz w:val="24"/>
          <w:szCs w:val="24"/>
        </w:rPr>
        <w:t xml:space="preserve">). The intended manner of adoption of the FCC is also as it is in force or existing from time to time. </w:t>
      </w:r>
      <w:r w:rsidRPr="00A2081A">
        <w:rPr>
          <w:rFonts w:ascii="Times New Roman" w:hAnsi="Times New Roman" w:cs="Times New Roman"/>
          <w:sz w:val="24"/>
          <w:szCs w:val="24"/>
          <w:lang w:eastAsia="en-AU"/>
        </w:rPr>
        <w:t xml:space="preserve">The Determination </w:t>
      </w:r>
      <w:r>
        <w:rPr>
          <w:rFonts w:ascii="Times New Roman" w:hAnsi="Times New Roman" w:cs="Times New Roman"/>
          <w:sz w:val="24"/>
          <w:szCs w:val="24"/>
          <w:lang w:eastAsia="en-AU"/>
        </w:rPr>
        <w:t xml:space="preserve">adopts each of the </w:t>
      </w:r>
      <w:r w:rsidRPr="00CF10D9">
        <w:rPr>
          <w:rStyle w:val="Hyperlink"/>
          <w:rFonts w:ascii="Times New Roman" w:hAnsi="Times New Roman" w:cs="Times New Roman"/>
          <w:i/>
          <w:sz w:val="24"/>
          <w:szCs w:val="24"/>
        </w:rPr>
        <w:t>Animal Products Act 1999</w:t>
      </w:r>
      <w:r>
        <w:rPr>
          <w:rStyle w:val="Hyperlink"/>
        </w:rPr>
        <w:t xml:space="preserve"> </w:t>
      </w:r>
      <w:r w:rsidRPr="00CF10D9">
        <w:rPr>
          <w:rStyle w:val="Hyperlink"/>
          <w:rFonts w:ascii="Times New Roman" w:hAnsi="Times New Roman" w:cs="Times New Roman"/>
          <w:sz w:val="24"/>
          <w:szCs w:val="24"/>
        </w:rPr>
        <w:t xml:space="preserve">and the </w:t>
      </w:r>
      <w:r w:rsidRPr="00CF10D9">
        <w:rPr>
          <w:rStyle w:val="Hyperlink"/>
          <w:rFonts w:ascii="Times New Roman" w:hAnsi="Times New Roman" w:cs="Times New Roman"/>
          <w:i/>
          <w:sz w:val="24"/>
          <w:szCs w:val="24"/>
        </w:rPr>
        <w:t>Animal Welfare Act 1999</w:t>
      </w:r>
      <w:r>
        <w:rPr>
          <w:rStyle w:val="Hyperlink"/>
          <w:rFonts w:ascii="Times New Roman" w:hAnsi="Times New Roman" w:cs="Times New Roman"/>
          <w:sz w:val="24"/>
          <w:szCs w:val="24"/>
        </w:rPr>
        <w:t xml:space="preserve"> </w:t>
      </w:r>
      <w:r>
        <w:rPr>
          <w:rFonts w:ascii="Times New Roman" w:hAnsi="Times New Roman" w:cs="Times New Roman"/>
          <w:sz w:val="24"/>
          <w:szCs w:val="24"/>
          <w:lang w:eastAsia="en-AU"/>
        </w:rPr>
        <w:t xml:space="preserve">of New Zealand on the same basis. These Acts are available for free from </w:t>
      </w:r>
      <w:hyperlink r:id="rId14" w:history="1">
        <w:r w:rsidRPr="00BB66B5">
          <w:rPr>
            <w:rStyle w:val="Hyperlink"/>
            <w:rFonts w:ascii="Times New Roman" w:hAnsi="Times New Roman" w:cs="Times New Roman"/>
            <w:sz w:val="24"/>
            <w:szCs w:val="24"/>
          </w:rPr>
          <w:t>www.legislation.govt.nz/</w:t>
        </w:r>
      </w:hyperlink>
      <w:r>
        <w:rPr>
          <w:rStyle w:val="Hyperlink"/>
        </w:rPr>
        <w:t>.</w:t>
      </w:r>
    </w:p>
    <w:p w14:paraId="166CDB99" w14:textId="77777777" w:rsidR="0050197A" w:rsidRPr="00950D68" w:rsidRDefault="0050197A" w:rsidP="0034672A">
      <w:pPr>
        <w:spacing w:before="100" w:beforeAutospacing="1" w:after="100" w:afterAutospacing="1"/>
        <w:rPr>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 This document is available for free from</w:t>
      </w:r>
      <w:r w:rsidRPr="00CC73D8">
        <w:rPr>
          <w:rFonts w:ascii="Times New Roman" w:hAnsi="Times New Roman" w:cs="Times New Roman"/>
          <w:sz w:val="24"/>
          <w:szCs w:val="24"/>
          <w:lang w:eastAsia="en-AU"/>
        </w:rPr>
        <w:t xml:space="preserve"> </w:t>
      </w:r>
      <w:hyperlink r:id="rId15" w:history="1">
        <w:r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14:paraId="69313021" w14:textId="2F359116" w:rsidR="0050197A" w:rsidRDefault="0050197A" w:rsidP="003467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the persons most affected by their adoption in this Determination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 xml:space="preserve">s industry using the Determination),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Pr="009C06D8">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Pr>
          <w:rFonts w:ascii="Times New Roman" w:hAnsi="Times New Roman" w:cs="Times New Roman"/>
          <w:sz w:val="24"/>
          <w:szCs w:val="24"/>
        </w:rPr>
        <w:t>on the basis that</w:t>
      </w:r>
      <w:r w:rsidRPr="00B13B06">
        <w:rPr>
          <w:rFonts w:ascii="Times New Roman" w:hAnsi="Times New Roman" w:cs="Times New Roman"/>
          <w:sz w:val="24"/>
          <w:szCs w:val="24"/>
        </w:rPr>
        <w:t xml:space="preserve"> the</w:t>
      </w:r>
      <w:r>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14:paraId="350BBCA7" w14:textId="69F28153" w:rsidR="00E715AB" w:rsidRPr="00B13B06" w:rsidRDefault="00E715AB" w:rsidP="00E715AB">
      <w:pPr>
        <w:spacing w:before="120" w:line="240" w:lineRule="auto"/>
        <w:rPr>
          <w:rFonts w:ascii="Times New Roman" w:hAnsi="Times New Roman" w:cs="Times New Roman"/>
          <w:sz w:val="24"/>
          <w:szCs w:val="24"/>
        </w:rPr>
      </w:pPr>
      <w:r w:rsidRPr="00CA165D">
        <w:rPr>
          <w:rFonts w:ascii="Times New Roman" w:hAnsi="Times New Roman" w:cs="Times New Roman"/>
          <w:sz w:val="24"/>
          <w:szCs w:val="24"/>
        </w:rPr>
        <w:t>However, by prior written arrangement</w:t>
      </w:r>
      <w:r>
        <w:rPr>
          <w:rFonts w:ascii="Times New Roman" w:hAnsi="Times New Roman" w:cs="Times New Roman"/>
          <w:sz w:val="24"/>
          <w:szCs w:val="24"/>
        </w:rPr>
        <w:t xml:space="preserve"> with the TGA</w:t>
      </w:r>
      <w:r w:rsidRPr="00CA165D">
        <w:rPr>
          <w:rFonts w:ascii="Times New Roman" w:hAnsi="Times New Roman" w:cs="Times New Roman"/>
          <w:sz w:val="24"/>
          <w:szCs w:val="24"/>
        </w:rPr>
        <w:t xml:space="preserve">, </w:t>
      </w:r>
      <w:r>
        <w:rPr>
          <w:rFonts w:ascii="Times New Roman" w:hAnsi="Times New Roman" w:cs="Times New Roman"/>
          <w:sz w:val="24"/>
          <w:szCs w:val="24"/>
        </w:rPr>
        <w:t>members of the public may request to view the</w:t>
      </w:r>
      <w:r w:rsidRPr="00CA165D">
        <w:rPr>
          <w:rFonts w:ascii="Times New Roman" w:hAnsi="Times New Roman" w:cs="Times New Roman"/>
          <w:sz w:val="24"/>
          <w:szCs w:val="24"/>
        </w:rPr>
        <w:t xml:space="preserve"> pharmacopoeia </w:t>
      </w:r>
      <w:r>
        <w:rPr>
          <w:rFonts w:ascii="Times New Roman" w:hAnsi="Times New Roman" w:cs="Times New Roman"/>
          <w:sz w:val="24"/>
          <w:szCs w:val="24"/>
        </w:rPr>
        <w:t xml:space="preserve">and the FCC without charge </w:t>
      </w:r>
      <w:r w:rsidRPr="00CA165D">
        <w:rPr>
          <w:rFonts w:ascii="Times New Roman" w:hAnsi="Times New Roman" w:cs="Times New Roman"/>
          <w:sz w:val="24"/>
          <w:szCs w:val="24"/>
        </w:rPr>
        <w:t>at the TGA office in Symonston, ACT.</w:t>
      </w:r>
    </w:p>
    <w:p w14:paraId="1F1060FE" w14:textId="6D02EC35" w:rsidR="0050197A" w:rsidRDefault="0050197A" w:rsidP="0034672A">
      <w:pPr>
        <w:spacing w:before="100" w:beforeAutospacing="1" w:after="100" w:afterAutospacing="1"/>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w:t>
      </w:r>
      <w:r w:rsidR="00DC56A0">
        <w:rPr>
          <w:rFonts w:ascii="Times New Roman" w:hAnsi="Times New Roman" w:cs="Times New Roman"/>
          <w:sz w:val="24"/>
          <w:szCs w:val="24"/>
        </w:rPr>
        <w:t>, in relation to the pharmacopoeia,</w:t>
      </w:r>
      <w:r w:rsidRPr="00B13B06">
        <w:rPr>
          <w:rFonts w:ascii="Times New Roman" w:hAnsi="Times New Roman" w:cs="Times New Roman"/>
          <w:sz w:val="24"/>
          <w:szCs w:val="24"/>
        </w:rPr>
        <w:t xml:space="preserve"> that the National Library’s Trove online system (</w:t>
      </w:r>
      <w:hyperlink r:id="rId16" w:history="1">
        <w:r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Pr>
          <w:rFonts w:ascii="Times New Roman" w:hAnsi="Times New Roman" w:cs="Times New Roman"/>
          <w:sz w:val="24"/>
          <w:szCs w:val="24"/>
        </w:rPr>
        <w:t>British Pharmacopoeia</w:t>
      </w:r>
      <w:r w:rsidRPr="00B13B06">
        <w:rPr>
          <w:rFonts w:ascii="Times New Roman" w:hAnsi="Times New Roman" w:cs="Times New Roman"/>
          <w:sz w:val="24"/>
          <w:szCs w:val="24"/>
        </w:rPr>
        <w:t xml:space="preserve">). Members of the public may also approach any library that participates in inter-library loans </w:t>
      </w:r>
      <w:r>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 at a usual cost of $16.50 per request (enquiries should be made with local libraries, State libraries and the National Library).</w:t>
      </w:r>
    </w:p>
    <w:p w14:paraId="5265C58B" w14:textId="77777777" w:rsidR="0050197A" w:rsidRDefault="0050197A" w:rsidP="003467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7" w:history="1">
        <w:r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University</w:t>
      </w:r>
      <w:r>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 </w:t>
      </w:r>
    </w:p>
    <w:p w14:paraId="25583419" w14:textId="77777777" w:rsidR="0050197A" w:rsidRPr="00953BDD" w:rsidRDefault="0050197A" w:rsidP="0034672A">
      <w:pPr>
        <w:spacing w:before="100" w:beforeAutospacing="1" w:after="100" w:afterAutospacing="1"/>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14:paraId="43D36B50" w14:textId="77777777" w:rsidR="0050197A" w:rsidRPr="00953BDD" w:rsidRDefault="0050197A" w:rsidP="0034672A">
      <w:pPr>
        <w:spacing w:before="100" w:beforeAutospacing="1" w:after="100" w:afterAutospacing="1"/>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 xml:space="preserve">. 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14:paraId="4F8CA9DD" w14:textId="3CF7C5FC" w:rsidR="0029115B" w:rsidRDefault="0050197A" w:rsidP="0034672A">
      <w:pPr>
        <w:spacing w:before="100" w:beforeAutospacing="1" w:after="100" w:afterAutospacing="1" w:line="240" w:lineRule="auto"/>
        <w:jc w:val="both"/>
        <w:rPr>
          <w:rFonts w:ascii="Times New Roman" w:eastAsia="Times New Roman" w:hAnsi="Times New Roman" w:cs="Times New Roman"/>
          <w:b/>
          <w:sz w:val="24"/>
          <w:szCs w:val="24"/>
          <w:lang w:eastAsia="en-AU"/>
        </w:rPr>
      </w:pPr>
      <w:r w:rsidRPr="00953BDD">
        <w:rPr>
          <w:rFonts w:ascii="Times New Roman" w:hAnsi="Times New Roman" w:cs="Times New Roman"/>
          <w:sz w:val="24"/>
          <w:szCs w:val="24"/>
        </w:rPr>
        <w:t xml:space="preserve">This Determination is a disallowable legislative </w:t>
      </w:r>
      <w:r w:rsidRPr="008929E8">
        <w:rPr>
          <w:rFonts w:ascii="Times New Roman" w:hAnsi="Times New Roman" w:cs="Times New Roman"/>
          <w:sz w:val="24"/>
          <w:szCs w:val="24"/>
        </w:rPr>
        <w:t xml:space="preserve">instrument </w:t>
      </w:r>
      <w:r w:rsidRPr="00D01BFB">
        <w:rPr>
          <w:rFonts w:ascii="Times New Roman" w:hAnsi="Times New Roman" w:cs="Times New Roman"/>
          <w:sz w:val="24"/>
          <w:szCs w:val="24"/>
        </w:rPr>
        <w:t xml:space="preserve">for the purposes of the </w:t>
      </w:r>
      <w:r w:rsidRPr="00D01BFB">
        <w:rPr>
          <w:rFonts w:ascii="Times New Roman" w:hAnsi="Times New Roman" w:cs="Times New Roman"/>
          <w:i/>
          <w:sz w:val="24"/>
          <w:szCs w:val="24"/>
        </w:rPr>
        <w:t>Legislation Act 2003</w:t>
      </w:r>
      <w:r w:rsidRPr="008929E8">
        <w:rPr>
          <w:rFonts w:ascii="Times New Roman" w:hAnsi="Times New Roman" w:cs="Times New Roman"/>
          <w:sz w:val="24"/>
          <w:szCs w:val="24"/>
        </w:rPr>
        <w:t>,</w:t>
      </w:r>
      <w:r>
        <w:rPr>
          <w:rFonts w:ascii="Times New Roman" w:hAnsi="Times New Roman" w:cs="Times New Roman"/>
          <w:sz w:val="24"/>
          <w:szCs w:val="24"/>
        </w:rPr>
        <w:t xml:space="preserve"> and commences </w:t>
      </w:r>
      <w:r w:rsidR="0073245E">
        <w:rPr>
          <w:rFonts w:ascii="Times New Roman" w:eastAsia="Times New Roman" w:hAnsi="Times New Roman" w:cs="Times New Roman"/>
          <w:sz w:val="24"/>
          <w:szCs w:val="24"/>
          <w:lang w:eastAsia="en-AU"/>
        </w:rPr>
        <w:t>the day after registration</w:t>
      </w:r>
      <w:r>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br w:type="page"/>
      </w:r>
      <w:r w:rsidR="0040312B" w:rsidRPr="0040312B">
        <w:rPr>
          <w:rFonts w:ascii="Times New Roman" w:eastAsia="Times New Roman" w:hAnsi="Times New Roman" w:cs="Times New Roman"/>
          <w:b/>
          <w:sz w:val="24"/>
          <w:szCs w:val="24"/>
          <w:lang w:eastAsia="en-AU"/>
        </w:rPr>
        <w:t>Attachment A</w:t>
      </w:r>
    </w:p>
    <w:p w14:paraId="625D6C8F" w14:textId="66E0E0A2"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Pr="0040312B">
        <w:rPr>
          <w:rFonts w:ascii="Times New Roman" w:eastAsia="Times New Roman" w:hAnsi="Times New Roman" w:cs="Times New Roman"/>
          <w:b/>
          <w:i/>
          <w:sz w:val="24"/>
          <w:szCs w:val="24"/>
          <w:lang w:eastAsia="en-AU"/>
        </w:rPr>
        <w:t xml:space="preserve">Therapeutic Goods (Permissible Ingredients) Determination </w:t>
      </w:r>
      <w:r w:rsidR="00045C71">
        <w:rPr>
          <w:rFonts w:ascii="Times New Roman" w:eastAsia="Times New Roman" w:hAnsi="Times New Roman" w:cs="Times New Roman"/>
          <w:b/>
          <w:i/>
          <w:sz w:val="24"/>
          <w:szCs w:val="24"/>
          <w:lang w:eastAsia="en-AU"/>
        </w:rPr>
        <w:t>(No.</w:t>
      </w:r>
      <w:r w:rsidR="00C92827">
        <w:rPr>
          <w:rFonts w:ascii="Times New Roman" w:eastAsia="Times New Roman" w:hAnsi="Times New Roman" w:cs="Times New Roman"/>
          <w:b/>
          <w:i/>
          <w:sz w:val="24"/>
          <w:szCs w:val="24"/>
          <w:lang w:eastAsia="en-AU"/>
        </w:rPr>
        <w:t xml:space="preserve"> </w:t>
      </w:r>
      <w:r w:rsidR="0050197A">
        <w:rPr>
          <w:rFonts w:ascii="Times New Roman" w:eastAsia="Times New Roman" w:hAnsi="Times New Roman" w:cs="Times New Roman"/>
          <w:b/>
          <w:i/>
          <w:sz w:val="24"/>
          <w:szCs w:val="24"/>
          <w:lang w:eastAsia="en-AU"/>
        </w:rPr>
        <w:t>3</w:t>
      </w:r>
      <w:r w:rsidR="00045C71">
        <w:rPr>
          <w:rFonts w:ascii="Times New Roman" w:eastAsia="Times New Roman" w:hAnsi="Times New Roman" w:cs="Times New Roman"/>
          <w:b/>
          <w:i/>
          <w:sz w:val="24"/>
          <w:szCs w:val="24"/>
          <w:lang w:eastAsia="en-AU"/>
        </w:rPr>
        <w:t xml:space="preserve">) </w:t>
      </w:r>
      <w:r w:rsidRPr="0040312B">
        <w:rPr>
          <w:rFonts w:ascii="Times New Roman" w:eastAsia="Times New Roman" w:hAnsi="Times New Roman" w:cs="Times New Roman"/>
          <w:b/>
          <w:i/>
          <w:sz w:val="24"/>
          <w:szCs w:val="24"/>
          <w:lang w:eastAsia="en-AU"/>
        </w:rPr>
        <w:t>2019</w:t>
      </w:r>
    </w:p>
    <w:p w14:paraId="351A8BA8" w14:textId="77777777" w:rsidR="0040312B" w:rsidRDefault="0040312B" w:rsidP="0040312B">
      <w:pPr>
        <w:spacing w:before="100" w:beforeAutospacing="1" w:after="100" w:afterAutospacing="1"/>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1 Name</w:t>
      </w:r>
    </w:p>
    <w:p w14:paraId="566C8079" w14:textId="4351F361"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w:t>
      </w:r>
      <w:r w:rsidR="00C92827">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the </w:t>
      </w:r>
      <w:r w:rsidRPr="00AE2E87">
        <w:rPr>
          <w:rFonts w:ascii="Times New Roman" w:eastAsia="Times New Roman" w:hAnsi="Times New Roman" w:cs="Times New Roman"/>
          <w:i/>
          <w:sz w:val="24"/>
          <w:szCs w:val="24"/>
          <w:lang w:eastAsia="en-AU"/>
        </w:rPr>
        <w:t xml:space="preserve">Therapeutic Goods (Permissible Ingredients) Determination </w:t>
      </w:r>
      <w:r w:rsidR="00045C71">
        <w:rPr>
          <w:rFonts w:ascii="Times New Roman" w:eastAsia="Times New Roman" w:hAnsi="Times New Roman" w:cs="Times New Roman"/>
          <w:i/>
          <w:sz w:val="24"/>
          <w:szCs w:val="24"/>
          <w:lang w:eastAsia="en-AU"/>
        </w:rPr>
        <w:t>(No.</w:t>
      </w:r>
      <w:r w:rsidR="00C92827">
        <w:rPr>
          <w:rFonts w:ascii="Times New Roman" w:eastAsia="Times New Roman" w:hAnsi="Times New Roman" w:cs="Times New Roman"/>
          <w:i/>
          <w:sz w:val="24"/>
          <w:szCs w:val="24"/>
          <w:lang w:eastAsia="en-AU"/>
        </w:rPr>
        <w:t xml:space="preserve"> </w:t>
      </w:r>
      <w:r w:rsidR="0050197A">
        <w:rPr>
          <w:rFonts w:ascii="Times New Roman" w:eastAsia="Times New Roman" w:hAnsi="Times New Roman" w:cs="Times New Roman"/>
          <w:i/>
          <w:sz w:val="24"/>
          <w:szCs w:val="24"/>
          <w:lang w:eastAsia="en-AU"/>
        </w:rPr>
        <w:t>3</w:t>
      </w:r>
      <w:r w:rsidR="00045C71">
        <w:rPr>
          <w:rFonts w:ascii="Times New Roman" w:eastAsia="Times New Roman" w:hAnsi="Times New Roman" w:cs="Times New Roman"/>
          <w:i/>
          <w:sz w:val="24"/>
          <w:szCs w:val="24"/>
          <w:lang w:eastAsia="en-AU"/>
        </w:rPr>
        <w:t xml:space="preserve">) </w:t>
      </w:r>
      <w:r w:rsidRPr="00AE2E87">
        <w:rPr>
          <w:rFonts w:ascii="Times New Roman" w:eastAsia="Times New Roman" w:hAnsi="Times New Roman" w:cs="Times New Roman"/>
          <w:i/>
          <w:sz w:val="24"/>
          <w:szCs w:val="24"/>
          <w:lang w:eastAsia="en-AU"/>
        </w:rPr>
        <w:t>2019</w:t>
      </w:r>
      <w:r w:rsidR="00AE2E87">
        <w:rPr>
          <w:rFonts w:ascii="Times New Roman" w:eastAsia="Times New Roman" w:hAnsi="Times New Roman" w:cs="Times New Roman"/>
          <w:sz w:val="24"/>
          <w:szCs w:val="24"/>
          <w:lang w:eastAsia="en-AU"/>
        </w:rPr>
        <w:t xml:space="preserve"> (“the Determination”)</w:t>
      </w:r>
      <w:r>
        <w:rPr>
          <w:rFonts w:ascii="Times New Roman" w:eastAsia="Times New Roman" w:hAnsi="Times New Roman" w:cs="Times New Roman"/>
          <w:sz w:val="24"/>
          <w:szCs w:val="24"/>
          <w:lang w:eastAsia="en-AU"/>
        </w:rPr>
        <w:t>.</w:t>
      </w:r>
    </w:p>
    <w:p w14:paraId="1B8996FF" w14:textId="77777777" w:rsidR="0040312B" w:rsidRPr="0040312B" w:rsidRDefault="0040312B" w:rsidP="0040312B">
      <w:pPr>
        <w:spacing w:before="100" w:beforeAutospacing="1" w:after="100" w:afterAutospacing="1"/>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2 Commencement</w:t>
      </w:r>
    </w:p>
    <w:p w14:paraId="087283D7" w14:textId="5911B6A3" w:rsidR="0050197A" w:rsidRDefault="0050197A" w:rsidP="0050197A">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Determination </w:t>
      </w:r>
      <w:r w:rsidR="00FB4355">
        <w:rPr>
          <w:rFonts w:ascii="Times New Roman" w:eastAsia="Times New Roman" w:hAnsi="Times New Roman" w:cs="Times New Roman"/>
          <w:sz w:val="24"/>
          <w:szCs w:val="24"/>
          <w:lang w:eastAsia="en-AU"/>
        </w:rPr>
        <w:t xml:space="preserve">commences </w:t>
      </w:r>
      <w:r w:rsidR="0073245E">
        <w:rPr>
          <w:rFonts w:ascii="Times New Roman" w:eastAsia="Times New Roman" w:hAnsi="Times New Roman" w:cs="Times New Roman"/>
          <w:sz w:val="24"/>
          <w:szCs w:val="24"/>
          <w:lang w:eastAsia="en-AU"/>
        </w:rPr>
        <w:t>the day after registration</w:t>
      </w:r>
      <w:r w:rsidRPr="0022707A">
        <w:rPr>
          <w:rFonts w:ascii="Times New Roman" w:eastAsia="Times New Roman" w:hAnsi="Times New Roman" w:cs="Times New Roman"/>
          <w:sz w:val="24"/>
          <w:szCs w:val="24"/>
          <w:lang w:eastAsia="en-AU"/>
        </w:rPr>
        <w:t>.</w:t>
      </w:r>
    </w:p>
    <w:p w14:paraId="0EEDC031" w14:textId="77777777" w:rsidR="0040312B" w:rsidRPr="0040312B" w:rsidRDefault="0040312B" w:rsidP="0040312B">
      <w:pPr>
        <w:spacing w:before="100" w:beforeAutospacing="1" w:after="100" w:afterAutospacing="1"/>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3 Authority</w:t>
      </w:r>
    </w:p>
    <w:p w14:paraId="51F2D730" w14:textId="7CF74916"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w:t>
      </w:r>
      <w:r w:rsidR="00FB4355">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of the</w:t>
      </w:r>
      <w:r w:rsidR="00C92827">
        <w:rPr>
          <w:rFonts w:ascii="Times New Roman" w:eastAsia="Times New Roman" w:hAnsi="Times New Roman" w:cs="Times New Roman"/>
          <w:sz w:val="24"/>
          <w:szCs w:val="24"/>
          <w:lang w:eastAsia="en-AU"/>
        </w:rPr>
        <w:t xml:space="preserve"> </w:t>
      </w:r>
      <w:r w:rsidR="00C92827" w:rsidRPr="00AC41A5">
        <w:rPr>
          <w:rFonts w:ascii="Times New Roman" w:eastAsia="Times New Roman" w:hAnsi="Times New Roman" w:cs="Times New Roman"/>
          <w:i/>
          <w:sz w:val="24"/>
          <w:szCs w:val="24"/>
          <w:lang w:eastAsia="en-AU"/>
        </w:rPr>
        <w:t>Therapeutic Goods Act 1989</w:t>
      </w:r>
      <w:r w:rsidR="00C9282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Act</w:t>
      </w:r>
      <w:r w:rsidR="00C928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6C363FE6" w14:textId="77777777" w:rsidR="0040312B" w:rsidRPr="00AE2E87" w:rsidRDefault="0040312B" w:rsidP="0040312B">
      <w:pPr>
        <w:spacing w:before="100" w:beforeAutospacing="1" w:after="100" w:afterAutospacing="1"/>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Section 4</w:t>
      </w:r>
      <w:r w:rsidR="001B7ED3">
        <w:rPr>
          <w:rFonts w:ascii="Times New Roman" w:eastAsia="Times New Roman" w:hAnsi="Times New Roman" w:cs="Times New Roman"/>
          <w:b/>
          <w:sz w:val="24"/>
          <w:szCs w:val="24"/>
          <w:lang w:eastAsia="en-AU"/>
        </w:rPr>
        <w:t xml:space="preserve"> Interpretation</w:t>
      </w:r>
    </w:p>
    <w:p w14:paraId="0D82FB5D" w14:textId="383CE956" w:rsidR="0091180B" w:rsidRPr="0091180B" w:rsidRDefault="0091180B" w:rsidP="0091180B">
      <w:pPr>
        <w:spacing w:before="100" w:beforeAutospacing="1" w:after="100" w:afterAutospacing="1"/>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4(1) provides definitions for a number of terms used in the Determination. These include ‘code tables’, ‘excipient’, ‘homoeopathic preparation ingredient’ and ‘TGA eBusiness Services’.</w:t>
      </w:r>
    </w:p>
    <w:p w14:paraId="7DCB529C" w14:textId="77777777" w:rsidR="0091180B" w:rsidRPr="0091180B" w:rsidRDefault="0091180B" w:rsidP="0091180B">
      <w:pPr>
        <w:spacing w:before="100" w:beforeAutospacing="1" w:after="100" w:afterAutospacing="1"/>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The note to this section also makes it clear that a number of expressions used in the Determination have the same meaning as in the Act, for example ‘British Pharmacopoeia’, ‘European Pharmacopoeia’ and ‘United States Pharmacopeia-National Formulary’.</w:t>
      </w:r>
    </w:p>
    <w:p w14:paraId="783E573B" w14:textId="6B1AAD65" w:rsidR="00AE2E87" w:rsidRDefault="0091180B" w:rsidP="0091180B">
      <w:pPr>
        <w:spacing w:before="100" w:beforeAutospacing="1" w:after="100" w:afterAutospacing="1"/>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4(2) provides that the terms set out in closed brackets in column 4 of the table in Schedule 1 to the Determination that are associated with warning statements in relation to particular ingredients, are terms from the code tables under the heading ‘Indications’ or ‘Product Warning’, and are not required to be included on the label of the medicine.</w:t>
      </w:r>
    </w:p>
    <w:p w14:paraId="0AA57C3B" w14:textId="77777777" w:rsidR="001B7ED3" w:rsidRPr="007B443E" w:rsidRDefault="001B7ED3" w:rsidP="001B7ED3">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5 Permissible ingredients </w:t>
      </w:r>
    </w:p>
    <w:p w14:paraId="099B9869" w14:textId="77777777" w:rsidR="001B7ED3" w:rsidRDefault="001B7ED3" w:rsidP="001B7ED3">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ingredients specified in column 2 of the table in Schedule 1 to the Determination are specified for the purposes of paragraph 26BB(1)(a) of the Act. </w:t>
      </w:r>
    </w:p>
    <w:p w14:paraId="3132B7BB" w14:textId="77777777" w:rsidR="001B7ED3" w:rsidRPr="006B644D" w:rsidRDefault="001B7ED3" w:rsidP="001B7ED3">
      <w:pPr>
        <w:spacing w:before="240"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Section 6 Requirements in relation to permissible ingredients being contained in medicine</w:t>
      </w:r>
    </w:p>
    <w:p w14:paraId="01BF54A2" w14:textId="77777777" w:rsidR="001B7ED3" w:rsidRDefault="001B7ED3" w:rsidP="001B7ED3">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for an ingredient mentioned in column 2 of an item in the table in Schedule 1 to the Determination, the requirements in paragraphs 6(a) to (c) are specified for the purposes of paragraph 26BB(1)(b) of the Act. These include, for example, that the ingredient must only be used in a medicine for a purpose specified in relation to the ingredient in column 3 of that item.</w:t>
      </w:r>
    </w:p>
    <w:p w14:paraId="241E7A35" w14:textId="77777777" w:rsidR="001B7ED3" w:rsidRPr="007B443E" w:rsidRDefault="001B7ED3" w:rsidP="001B7ED3">
      <w:pPr>
        <w:keepNext/>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Repeals</w:t>
      </w:r>
    </w:p>
    <w:p w14:paraId="4043154E" w14:textId="77777777" w:rsidR="001B7ED3" w:rsidRDefault="001B7ED3" w:rsidP="001B7ED3">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each instrument that is specified in Schedule 2 to the Determination is repealed as set out in the applicable items in that Schedule.</w:t>
      </w:r>
    </w:p>
    <w:p w14:paraId="3AC09063" w14:textId="13D0598B" w:rsidR="00AE2E87" w:rsidRDefault="00AE2E87">
      <w:pPr>
        <w:spacing w:before="100" w:beforeAutospacing="1" w:after="100" w:afterAutospacing="1"/>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91180B" w:rsidRPr="0091180B">
        <w:rPr>
          <w:rFonts w:ascii="Times New Roman" w:eastAsia="Times New Roman" w:hAnsi="Times New Roman" w:cs="Times New Roman"/>
          <w:b/>
          <w:sz w:val="24"/>
          <w:szCs w:val="24"/>
          <w:lang w:eastAsia="en-AU"/>
        </w:rPr>
        <w:t>Specified permissible ingredients and requirements applying to these ingredients when contained in a medicine</w:t>
      </w:r>
    </w:p>
    <w:p w14:paraId="086FF46B" w14:textId="34C0F3D5" w:rsidR="00045C71" w:rsidRDefault="00CA2F70" w:rsidP="005F1175">
      <w:pPr>
        <w:spacing w:before="100" w:beforeAutospacing="1" w:after="100" w:afterAutospacing="1"/>
        <w:rPr>
          <w:rFonts w:ascii="Times New Roman" w:eastAsia="Times New Roman" w:hAnsi="Times New Roman" w:cs="Times New Roman"/>
          <w:sz w:val="24"/>
          <w:szCs w:val="24"/>
          <w:lang w:eastAsia="en-AU"/>
        </w:rPr>
      </w:pPr>
      <w:r w:rsidRPr="00CA2F70">
        <w:rPr>
          <w:rFonts w:ascii="Times New Roman" w:eastAsia="Times New Roman" w:hAnsi="Times New Roman" w:cs="Times New Roman"/>
          <w:sz w:val="24"/>
          <w:szCs w:val="24"/>
          <w:lang w:eastAsia="en-AU"/>
        </w:rPr>
        <w:t>This Schedule specifies ingredients and related requirements for the purposes of sections 5 and 6 of the Determination.</w:t>
      </w:r>
      <w:r>
        <w:rPr>
          <w:rFonts w:ascii="Times New Roman" w:eastAsia="Times New Roman" w:hAnsi="Times New Roman" w:cs="Times New Roman"/>
          <w:sz w:val="24"/>
          <w:szCs w:val="24"/>
          <w:lang w:eastAsia="en-AU"/>
        </w:rPr>
        <w:t xml:space="preserve"> </w:t>
      </w:r>
    </w:p>
    <w:p w14:paraId="023BE486" w14:textId="2EC5EE95" w:rsidR="00CA2F70" w:rsidRPr="00CA2F70" w:rsidRDefault="00CA2F70" w:rsidP="00CA2F70">
      <w:pPr>
        <w:spacing w:before="100" w:beforeAutospacing="1" w:after="100" w:afterAutospacing="1"/>
        <w:rPr>
          <w:rFonts w:ascii="Times New Roman" w:eastAsia="Times New Roman" w:hAnsi="Times New Roman" w:cs="Times New Roman"/>
          <w:sz w:val="24"/>
          <w:szCs w:val="24"/>
          <w:lang w:val="en-US" w:eastAsia="en-AU"/>
        </w:rPr>
      </w:pPr>
      <w:r w:rsidRPr="00CA2F70">
        <w:rPr>
          <w:rFonts w:ascii="Times New Roman" w:eastAsia="Times New Roman" w:hAnsi="Times New Roman" w:cs="Times New Roman"/>
          <w:b/>
          <w:bCs/>
          <w:sz w:val="24"/>
          <w:szCs w:val="24"/>
          <w:lang w:eastAsia="en-AU"/>
        </w:rPr>
        <w:t>Schedule 2 – Repeals</w:t>
      </w:r>
    </w:p>
    <w:p w14:paraId="4EBA8EBE" w14:textId="707C48BC" w:rsidR="00CA2F70" w:rsidRPr="00CA2F70" w:rsidRDefault="00CA2F70" w:rsidP="00CA2F70">
      <w:pPr>
        <w:spacing w:before="100" w:beforeAutospacing="1" w:after="100" w:afterAutospacing="1"/>
        <w:rPr>
          <w:rFonts w:ascii="Times New Roman" w:eastAsia="Times New Roman" w:hAnsi="Times New Roman" w:cs="Times New Roman"/>
          <w:sz w:val="24"/>
          <w:szCs w:val="24"/>
          <w:lang w:val="en-US" w:eastAsia="en-AU"/>
        </w:rPr>
      </w:pPr>
      <w:r w:rsidRPr="00CA2F70">
        <w:rPr>
          <w:rFonts w:ascii="Times New Roman" w:eastAsia="Times New Roman" w:hAnsi="Times New Roman" w:cs="Times New Roman"/>
          <w:sz w:val="24"/>
          <w:szCs w:val="24"/>
          <w:lang w:eastAsia="en-AU"/>
        </w:rPr>
        <w:t xml:space="preserve">This Schedule repeals the </w:t>
      </w:r>
      <w:r w:rsidRPr="00CA2F70">
        <w:rPr>
          <w:rFonts w:ascii="Times New Roman" w:eastAsia="Times New Roman" w:hAnsi="Times New Roman" w:cs="Times New Roman"/>
          <w:i/>
          <w:iCs/>
          <w:sz w:val="24"/>
          <w:szCs w:val="24"/>
          <w:lang w:eastAsia="en-AU"/>
        </w:rPr>
        <w:t>Therapeutic Goods (Permissible Ingredients) Determination (No. </w:t>
      </w:r>
      <w:r>
        <w:rPr>
          <w:rFonts w:ascii="Times New Roman" w:eastAsia="Times New Roman" w:hAnsi="Times New Roman" w:cs="Times New Roman"/>
          <w:i/>
          <w:iCs/>
          <w:sz w:val="24"/>
          <w:szCs w:val="24"/>
          <w:lang w:eastAsia="en-AU"/>
        </w:rPr>
        <w:t>2</w:t>
      </w:r>
      <w:r w:rsidRPr="00CA2F70">
        <w:rPr>
          <w:rFonts w:ascii="Times New Roman" w:eastAsia="Times New Roman" w:hAnsi="Times New Roman" w:cs="Times New Roman"/>
          <w:i/>
          <w:iCs/>
          <w:sz w:val="24"/>
          <w:szCs w:val="24"/>
          <w:lang w:eastAsia="en-AU"/>
        </w:rPr>
        <w:t>) 2019.</w:t>
      </w:r>
    </w:p>
    <w:p w14:paraId="5520322D" w14:textId="77777777" w:rsidR="00CA2F70" w:rsidRDefault="00CA2F70" w:rsidP="00CA2F70">
      <w:pPr>
        <w:spacing w:before="100" w:beforeAutospacing="1" w:after="100" w:afterAutospacing="1"/>
        <w:rPr>
          <w:rFonts w:ascii="Times New Roman" w:eastAsia="Times New Roman" w:hAnsi="Times New Roman" w:cs="Times New Roman"/>
          <w:sz w:val="24"/>
          <w:szCs w:val="24"/>
          <w:lang w:eastAsia="en-AU"/>
        </w:rPr>
      </w:pPr>
    </w:p>
    <w:p w14:paraId="09B08BCF" w14:textId="77777777" w:rsidR="00045C71" w:rsidRDefault="00045C71" w:rsidP="008D3A14">
      <w:pPr>
        <w:spacing w:before="100" w:beforeAutospacing="1" w:after="100" w:afterAutospacing="1"/>
        <w:ind w:left="284"/>
        <w:contextualSpacing/>
        <w:rPr>
          <w:rFonts w:ascii="Times New Roman" w:eastAsia="Times New Roman" w:hAnsi="Times New Roman" w:cs="Times New Roman"/>
          <w:sz w:val="24"/>
          <w:szCs w:val="24"/>
          <w:lang w:eastAsia="en-AU"/>
        </w:rPr>
      </w:pPr>
    </w:p>
    <w:p w14:paraId="54F027CA" w14:textId="77777777" w:rsidR="00EF1F18" w:rsidRDefault="00EF1F18">
      <w:pPr>
        <w:spacing w:before="100" w:beforeAutospacing="1" w:after="100" w:afterAutospacing="1"/>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1C3354F0" w14:textId="77777777" w:rsidR="005F2423" w:rsidRPr="00A419EA" w:rsidRDefault="005F2423" w:rsidP="0034672A">
      <w:pPr>
        <w:spacing w:before="100" w:beforeAutospacing="1" w:after="100" w:afterAutospacing="1"/>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Attachment B</w:t>
      </w:r>
    </w:p>
    <w:p w14:paraId="784E4BE2" w14:textId="77777777" w:rsidR="00EF1F18" w:rsidRDefault="00EF1F18" w:rsidP="00720518">
      <w:pPr>
        <w:spacing w:before="120" w:after="0"/>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6EC20EFD" w14:textId="77777777" w:rsidR="00510EB5" w:rsidRPr="005F2423" w:rsidRDefault="00510EB5" w:rsidP="00720518">
      <w:pPr>
        <w:spacing w:after="0"/>
        <w:jc w:val="center"/>
        <w:rPr>
          <w:rFonts w:ascii="Times New Roman" w:eastAsia="Times New Roman" w:hAnsi="Times New Roman" w:cs="Times New Roman"/>
          <w:sz w:val="24"/>
          <w:szCs w:val="24"/>
          <w:lang w:val="en-US" w:eastAsia="en-AU"/>
        </w:rPr>
      </w:pPr>
    </w:p>
    <w:p w14:paraId="25C603B6" w14:textId="77777777" w:rsidR="00510EB5" w:rsidRDefault="00EF1F18" w:rsidP="00510EB5">
      <w:pPr>
        <w:spacing w:after="0"/>
        <w:jc w:val="center"/>
        <w:rPr>
          <w:rFonts w:ascii="Times New Roman" w:eastAsia="Times New Roman" w:hAnsi="Times New Roman" w:cs="Times New Roman"/>
          <w:sz w:val="24"/>
          <w:szCs w:val="24"/>
          <w:lang w:eastAsia="en-AU"/>
        </w:rPr>
      </w:pPr>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r w:rsidR="00510EB5" w:rsidRPr="00510EB5">
        <w:rPr>
          <w:rFonts w:ascii="Times New Roman" w:eastAsia="Times New Roman" w:hAnsi="Times New Roman" w:cs="Times New Roman"/>
          <w:sz w:val="24"/>
          <w:szCs w:val="24"/>
          <w:lang w:eastAsia="en-AU"/>
        </w:rPr>
        <w:t xml:space="preserve"> </w:t>
      </w:r>
    </w:p>
    <w:p w14:paraId="38892413" w14:textId="77777777" w:rsidR="00510EB5" w:rsidRPr="00A419EA" w:rsidRDefault="00510EB5" w:rsidP="00720518">
      <w:pPr>
        <w:spacing w:after="0"/>
        <w:jc w:val="center"/>
        <w:rPr>
          <w:rFonts w:ascii="Times New Roman" w:eastAsia="Times New Roman" w:hAnsi="Times New Roman" w:cs="Times New Roman"/>
          <w:sz w:val="24"/>
          <w:szCs w:val="24"/>
          <w:lang w:val="en-US" w:eastAsia="en-AU"/>
        </w:rPr>
      </w:pPr>
    </w:p>
    <w:p w14:paraId="0039C745" w14:textId="1BED70F5" w:rsidR="005F2423" w:rsidRDefault="005F2423" w:rsidP="00720518">
      <w:pPr>
        <w:spacing w:after="0"/>
        <w:jc w:val="center"/>
        <w:rPr>
          <w:rFonts w:ascii="Times New Roman" w:eastAsia="Times New Roman" w:hAnsi="Times New Roman" w:cs="Times New Roman"/>
          <w:sz w:val="24"/>
          <w:szCs w:val="24"/>
          <w:lang w:eastAsia="en-AU"/>
        </w:rPr>
      </w:pPr>
      <w:r w:rsidRPr="005F2423">
        <w:rPr>
          <w:rFonts w:ascii="Times New Roman" w:eastAsia="Times New Roman" w:hAnsi="Times New Roman" w:cs="Times New Roman"/>
          <w:b/>
          <w:i/>
          <w:sz w:val="24"/>
          <w:szCs w:val="24"/>
          <w:lang w:eastAsia="en-AU"/>
        </w:rPr>
        <w:t>Therapeutic Goods (Permissible Ingredients) Determination (No.</w:t>
      </w:r>
      <w:r w:rsidR="00C92827">
        <w:rPr>
          <w:rFonts w:ascii="Times New Roman" w:eastAsia="Times New Roman" w:hAnsi="Times New Roman" w:cs="Times New Roman"/>
          <w:b/>
          <w:i/>
          <w:sz w:val="24"/>
          <w:szCs w:val="24"/>
          <w:lang w:eastAsia="en-AU"/>
        </w:rPr>
        <w:t xml:space="preserve"> </w:t>
      </w:r>
      <w:r w:rsidR="001B7ED3">
        <w:rPr>
          <w:rFonts w:ascii="Times New Roman" w:eastAsia="Times New Roman" w:hAnsi="Times New Roman" w:cs="Times New Roman"/>
          <w:b/>
          <w:i/>
          <w:sz w:val="24"/>
          <w:szCs w:val="24"/>
          <w:lang w:eastAsia="en-AU"/>
        </w:rPr>
        <w:t>3</w:t>
      </w:r>
      <w:r w:rsidRPr="005F2423">
        <w:rPr>
          <w:rFonts w:ascii="Times New Roman" w:eastAsia="Times New Roman" w:hAnsi="Times New Roman" w:cs="Times New Roman"/>
          <w:b/>
          <w:i/>
          <w:sz w:val="24"/>
          <w:szCs w:val="24"/>
          <w:lang w:eastAsia="en-AU"/>
        </w:rPr>
        <w:t>) 2019</w:t>
      </w:r>
    </w:p>
    <w:p w14:paraId="439E57CA" w14:textId="77777777" w:rsidR="004761AE" w:rsidRDefault="004761AE" w:rsidP="00720518">
      <w:pPr>
        <w:spacing w:after="0"/>
        <w:rPr>
          <w:rFonts w:ascii="Times New Roman" w:eastAsia="Times New Roman" w:hAnsi="Times New Roman" w:cs="Times New Roman"/>
          <w:sz w:val="24"/>
          <w:szCs w:val="24"/>
          <w:lang w:eastAsia="en-AU"/>
        </w:rPr>
      </w:pPr>
    </w:p>
    <w:p w14:paraId="2C9AC34B" w14:textId="77777777" w:rsidR="00510EB5" w:rsidRDefault="00EF1F18" w:rsidP="00510EB5">
      <w:pPr>
        <w:spacing w:after="0"/>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sidR="005F2423">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r w:rsidR="00510EB5" w:rsidRPr="00510EB5">
        <w:rPr>
          <w:rFonts w:ascii="Times New Roman" w:eastAsia="Times New Roman" w:hAnsi="Times New Roman" w:cs="Times New Roman"/>
          <w:sz w:val="24"/>
          <w:szCs w:val="24"/>
          <w:lang w:eastAsia="en-AU"/>
        </w:rPr>
        <w:t xml:space="preserve"> </w:t>
      </w:r>
    </w:p>
    <w:p w14:paraId="4842CD1E" w14:textId="77777777" w:rsidR="00EF1F18" w:rsidRPr="00A419EA" w:rsidRDefault="00EF1F18" w:rsidP="00720518">
      <w:pPr>
        <w:spacing w:after="0"/>
        <w:rPr>
          <w:rFonts w:ascii="Times New Roman" w:eastAsia="Times New Roman" w:hAnsi="Times New Roman" w:cs="Times New Roman"/>
          <w:sz w:val="24"/>
          <w:szCs w:val="24"/>
          <w:lang w:val="en-US" w:eastAsia="en-AU"/>
        </w:rPr>
      </w:pPr>
    </w:p>
    <w:p w14:paraId="45C3CC91"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038BBA42" w14:textId="77777777" w:rsidR="00005653" w:rsidRPr="00A419EA" w:rsidRDefault="00005653" w:rsidP="00720518">
      <w:pPr>
        <w:spacing w:after="0"/>
        <w:rPr>
          <w:rFonts w:ascii="Times New Roman" w:eastAsia="Times New Roman" w:hAnsi="Times New Roman" w:cs="Times New Roman"/>
          <w:sz w:val="24"/>
          <w:szCs w:val="24"/>
          <w:lang w:val="en-US" w:eastAsia="en-AU"/>
        </w:rPr>
      </w:pPr>
    </w:p>
    <w:p w14:paraId="227538D1" w14:textId="07914A09" w:rsidR="00B82A8D"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5F2423" w:rsidRPr="00AE2E87">
        <w:rPr>
          <w:rFonts w:ascii="Times New Roman" w:eastAsia="Times New Roman" w:hAnsi="Times New Roman" w:cs="Times New Roman"/>
          <w:i/>
          <w:sz w:val="24"/>
          <w:szCs w:val="24"/>
          <w:lang w:eastAsia="en-AU"/>
        </w:rPr>
        <w:t xml:space="preserve">Therapeutic Goods (Permissible Ingredients) Determination </w:t>
      </w:r>
      <w:r w:rsidR="005F2423">
        <w:rPr>
          <w:rFonts w:ascii="Times New Roman" w:eastAsia="Times New Roman" w:hAnsi="Times New Roman" w:cs="Times New Roman"/>
          <w:i/>
          <w:sz w:val="24"/>
          <w:szCs w:val="24"/>
          <w:lang w:eastAsia="en-AU"/>
        </w:rPr>
        <w:t>(No.</w:t>
      </w:r>
      <w:r w:rsidR="0046549C">
        <w:rPr>
          <w:rFonts w:ascii="Times New Roman" w:eastAsia="Times New Roman" w:hAnsi="Times New Roman" w:cs="Times New Roman"/>
          <w:i/>
          <w:sz w:val="24"/>
          <w:szCs w:val="24"/>
          <w:lang w:eastAsia="en-AU"/>
        </w:rPr>
        <w:t xml:space="preserve"> </w:t>
      </w:r>
      <w:r w:rsidR="001B7ED3">
        <w:rPr>
          <w:rFonts w:ascii="Times New Roman" w:eastAsia="Times New Roman" w:hAnsi="Times New Roman" w:cs="Times New Roman"/>
          <w:i/>
          <w:sz w:val="24"/>
          <w:szCs w:val="24"/>
          <w:lang w:eastAsia="en-AU"/>
        </w:rPr>
        <w:t>3</w:t>
      </w:r>
      <w:r w:rsidR="005F2423">
        <w:rPr>
          <w:rFonts w:ascii="Times New Roman" w:eastAsia="Times New Roman" w:hAnsi="Times New Roman" w:cs="Times New Roman"/>
          <w:i/>
          <w:sz w:val="24"/>
          <w:szCs w:val="24"/>
          <w:lang w:eastAsia="en-AU"/>
        </w:rPr>
        <w:t xml:space="preserve">) </w:t>
      </w:r>
      <w:r w:rsidR="005F2423" w:rsidRPr="00AE2E87">
        <w:rPr>
          <w:rFonts w:ascii="Times New Roman" w:eastAsia="Times New Roman" w:hAnsi="Times New Roman" w:cs="Times New Roman"/>
          <w:i/>
          <w:sz w:val="24"/>
          <w:szCs w:val="24"/>
          <w:lang w:eastAsia="en-AU"/>
        </w:rPr>
        <w:t>2019</w:t>
      </w:r>
      <w:r w:rsidR="005F2423">
        <w:rPr>
          <w:rFonts w:ascii="Times New Roman" w:eastAsia="Times New Roman" w:hAnsi="Times New Roman" w:cs="Times New Roman"/>
          <w:sz w:val="24"/>
          <w:szCs w:val="24"/>
          <w:lang w:eastAsia="en-AU"/>
        </w:rPr>
        <w:t xml:space="preserve"> (“the instrument”)</w:t>
      </w:r>
      <w:r w:rsidRPr="00A419EA">
        <w:rPr>
          <w:rFonts w:ascii="Times New Roman" w:eastAsia="Times New Roman" w:hAnsi="Times New Roman" w:cs="Times New Roman"/>
          <w:sz w:val="24"/>
          <w:szCs w:val="24"/>
          <w:lang w:eastAsia="en-AU"/>
        </w:rPr>
        <w:t xml:space="preserve"> is made by </w:t>
      </w:r>
      <w:r w:rsidR="008E75B9">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sidR="008E75B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w:t>
      </w:r>
      <w:r w:rsidR="008E75B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r w:rsidRPr="00A419EA">
        <w:rPr>
          <w:rFonts w:ascii="Times New Roman" w:eastAsia="Times New Roman" w:hAnsi="Times New Roman" w:cs="Times New Roman"/>
          <w:sz w:val="24"/>
          <w:szCs w:val="24"/>
          <w:lang w:eastAsia="en-AU"/>
        </w:rPr>
        <w:t xml:space="preserve"> </w:t>
      </w:r>
    </w:p>
    <w:p w14:paraId="7918988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99ABA85" w14:textId="7978AF52"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purpose of the instrument is to specify those ingredients that may be contained in a medicine that is listed in the Australian Register of Therapeutic Goods (“the Register”) under section 26A or 26AE of the Act, and requirements in relation to the inclusion of those ingredients in such medicines. The instrument also repeals and replaces the existing </w:t>
      </w:r>
      <w:r w:rsidRPr="00D731D4">
        <w:rPr>
          <w:rFonts w:ascii="Times New Roman" w:eastAsia="Times New Roman" w:hAnsi="Times New Roman" w:cs="Times New Roman"/>
          <w:i/>
          <w:iCs/>
          <w:sz w:val="24"/>
          <w:szCs w:val="24"/>
          <w:lang w:eastAsia="en-AU"/>
        </w:rPr>
        <w:t>Therapeutic Goods (Permissible I</w:t>
      </w:r>
      <w:r>
        <w:rPr>
          <w:rFonts w:ascii="Times New Roman" w:eastAsia="Times New Roman" w:hAnsi="Times New Roman" w:cs="Times New Roman"/>
          <w:i/>
          <w:iCs/>
          <w:sz w:val="24"/>
          <w:szCs w:val="24"/>
          <w:lang w:eastAsia="en-AU"/>
        </w:rPr>
        <w:t>ngredients) Determination (No. 2</w:t>
      </w:r>
      <w:r w:rsidRPr="00D731D4">
        <w:rPr>
          <w:rFonts w:ascii="Times New Roman" w:eastAsia="Times New Roman" w:hAnsi="Times New Roman" w:cs="Times New Roman"/>
          <w:i/>
          <w:iCs/>
          <w:sz w:val="24"/>
          <w:szCs w:val="24"/>
          <w:lang w:eastAsia="en-AU"/>
        </w:rPr>
        <w:t xml:space="preserve">) </w:t>
      </w:r>
      <w:r w:rsidRPr="00D731D4">
        <w:rPr>
          <w:rFonts w:ascii="Times New Roman" w:eastAsia="Times New Roman" w:hAnsi="Times New Roman" w:cs="Times New Roman"/>
          <w:sz w:val="24"/>
          <w:szCs w:val="24"/>
          <w:lang w:eastAsia="en-AU"/>
        </w:rPr>
        <w:t>2019 (“the former instrument”).</w:t>
      </w:r>
    </w:p>
    <w:p w14:paraId="666DC18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FF27308" w14:textId="4E3871AC"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Medicines that are listed in the Register under section 26A of the Act are considered to be low risk and are not individually evaluated before they are listed. 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 When listed under section 26AE, these listed medicines are commonly referred to as ‘assessed listed medicines’.</w:t>
      </w:r>
    </w:p>
    <w:p w14:paraId="2B17E1A6"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5333D757" w14:textId="4C210DB6"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As the safety and quality of medicines listed under section 26A and 26AE are not evaluated by the Therapeutic Goods Administration (“the TGA”) before being given marketing approval, the Act contains mechanisms to help ensure that listed medicines are of appropriate quality and able to be used safely by consumers. In particular, listed medicines may only contain ingredients from an approved list of ingredients that have been evaluated in relation to their quality and safety and suitability for use in such medicines.</w:t>
      </w:r>
    </w:p>
    <w:p w14:paraId="34F8E97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6D911DB" w14:textId="320CED50"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Under paragraphs 26A(2)(ca) and (cb)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 Paragraphs 26AB(2)(d) and (e) set out equivalent certification requirements for applicants seeking marketing approval for an assessed listed medicine. A listed (or assessed listed) medicine may be cancelled from the Register if it appears to the Secretary that such a certification is incorrect.</w:t>
      </w:r>
    </w:p>
    <w:p w14:paraId="328560A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8BDDD60" w14:textId="67EE0D69"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Schedule 4 to the </w:t>
      </w:r>
      <w:r w:rsidRPr="00D731D4">
        <w:rPr>
          <w:rFonts w:ascii="Times New Roman" w:eastAsia="Times New Roman" w:hAnsi="Times New Roman" w:cs="Times New Roman"/>
          <w:i/>
          <w:iCs/>
          <w:sz w:val="24"/>
          <w:szCs w:val="24"/>
          <w:lang w:eastAsia="en-AU"/>
        </w:rPr>
        <w:t>Therapeutic Goods Regulations 1990</w:t>
      </w:r>
      <w:r w:rsidRPr="00D731D4">
        <w:rPr>
          <w:rFonts w:ascii="Times New Roman" w:eastAsia="Times New Roman" w:hAnsi="Times New Roman" w:cs="Times New Roman"/>
          <w:sz w:val="24"/>
          <w:szCs w:val="24"/>
          <w:lang w:eastAsia="en-AU"/>
        </w:rPr>
        <w:t>. Medicines that are not eligible for listing because those medicines do not comply with these criteria (including compliance with the instrument) would be required to be registered, rather than listed, in the Register (a considerably more lengthy and costly exercise).</w:t>
      </w:r>
    </w:p>
    <w:p w14:paraId="09E316C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6E2595A" w14:textId="5D831C5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instrument is designed to provide a comprehensive list of ingredients which have been assessed or otherwise considered to be safe for use in listed (and assessed listed) medicines, and associated requirements to be followed when using particular ingredients in such products, to support the overall safety of these products for consumers.</w:t>
      </w:r>
    </w:p>
    <w:p w14:paraId="70D604C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48ADBB6" w14:textId="7FAED2B2"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requirements imposed under the instrument principally relate to ensuring the quality and safety of the ingredient when used. Requirements may relate, for example, to:</w:t>
      </w:r>
    </w:p>
    <w:p w14:paraId="3E1BC56F" w14:textId="6C8A965F"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how the ingredient is to be used in the medicine, that is, as an active, homoeopathic or excipient ingredient;</w:t>
      </w:r>
    </w:p>
    <w:p w14:paraId="4A7217E1" w14:textId="7254D24B"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intended method of ingestion or application of the medicine, for example, oral or topical use;</w:t>
      </w:r>
    </w:p>
    <w:p w14:paraId="160AE370" w14:textId="2FBDB112"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source of the ingredient, or procedures to be followed in its manufacture;</w:t>
      </w:r>
    </w:p>
    <w:p w14:paraId="3AC40B37" w14:textId="547C978A"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appropriate limits on the volume or concentration of an ingredient; and</w:t>
      </w:r>
    </w:p>
    <w:p w14:paraId="0DEF1A6B" w14:textId="6C97C687"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inclusion of relevant safety information on product labels, for example, allergen advice or advice about the use of medicine containing the ingredient for susceptible members of the population such as children and pregnant women.</w:t>
      </w:r>
    </w:p>
    <w:p w14:paraId="3589B9EF" w14:textId="4993939A"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28D541C1" w14:textId="1992F33A"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instrument repeals and replaces the former instrument, and incorporates a number of changes in comparison to the former instrument, including in particular:</w:t>
      </w:r>
    </w:p>
    <w:p w14:paraId="6AA74AFE" w14:textId="7FAD9AE6" w:rsidR="002751D3" w:rsidRDefault="002751D3" w:rsidP="002751D3">
      <w:pPr>
        <w:pStyle w:val="ListParagraph"/>
        <w:keepNext/>
        <w:numPr>
          <w:ilvl w:val="0"/>
          <w:numId w:val="13"/>
        </w:numPr>
        <w:spacing w:before="120" w:beforeAutospacing="0" w:after="120" w:afterAutospacing="0" w:line="276" w:lineRule="auto"/>
      </w:pPr>
      <w:r>
        <w:t xml:space="preserve">including </w:t>
      </w:r>
      <w:r w:rsidR="007313BA">
        <w:t>6</w:t>
      </w:r>
      <w:r>
        <w:t xml:space="preserve"> new ingredients and </w:t>
      </w:r>
      <w:r w:rsidR="00EF6D39">
        <w:t xml:space="preserve">changes to the applicable requirements for 7 ingredients to reduce the level of regulation associated with the use of those ingredients in listed </w:t>
      </w:r>
      <w:r w:rsidR="0052033B">
        <w:t>medicines,</w:t>
      </w:r>
      <w:r>
        <w:t xml:space="preserve"> following evaluation by the TGA;</w:t>
      </w:r>
    </w:p>
    <w:p w14:paraId="05718AB9" w14:textId="5E19C357" w:rsidR="002751D3" w:rsidRPr="006D4AB8" w:rsidRDefault="002751D3" w:rsidP="002751D3">
      <w:pPr>
        <w:pStyle w:val="ListParagraph"/>
        <w:keepNext/>
        <w:numPr>
          <w:ilvl w:val="0"/>
          <w:numId w:val="13"/>
        </w:numPr>
        <w:spacing w:before="120" w:beforeAutospacing="0" w:after="120" w:afterAutospacing="0" w:line="276" w:lineRule="auto"/>
      </w:pPr>
      <w:r>
        <w:t xml:space="preserve">minor changes to 26 ingredients to </w:t>
      </w:r>
      <w:r w:rsidR="00EF6D39">
        <w:t>ensure consistency with applicable standards relating to labelling for such medicines</w:t>
      </w:r>
      <w:r>
        <w:t>.</w:t>
      </w:r>
    </w:p>
    <w:p w14:paraId="1C579E21" w14:textId="3D92626C" w:rsidR="00E1152E" w:rsidRDefault="00E1152E" w:rsidP="001F063F">
      <w:pPr>
        <w:pStyle w:val="ListParagraph"/>
      </w:pPr>
    </w:p>
    <w:p w14:paraId="685A0A7D"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61514795" w14:textId="77777777" w:rsidR="00510EB5" w:rsidRPr="00A419EA" w:rsidRDefault="00510EB5" w:rsidP="00720518">
      <w:pPr>
        <w:spacing w:after="0"/>
        <w:rPr>
          <w:rFonts w:ascii="Times New Roman" w:eastAsia="Times New Roman" w:hAnsi="Times New Roman" w:cs="Times New Roman"/>
          <w:sz w:val="24"/>
          <w:szCs w:val="24"/>
          <w:lang w:val="en-US" w:eastAsia="en-AU"/>
        </w:rPr>
      </w:pPr>
    </w:p>
    <w:p w14:paraId="063407BC" w14:textId="1F8E43D7" w:rsidR="00510EB5" w:rsidRDefault="008F596A" w:rsidP="00510EB5">
      <w:pPr>
        <w:spacing w:after="0"/>
        <w:contextualSpacing/>
        <w:rPr>
          <w:rFonts w:ascii="Times New Roman" w:eastAsia="Times New Roman" w:hAnsi="Times New Roman" w:cs="Times New Roman"/>
          <w:sz w:val="24"/>
          <w:szCs w:val="24"/>
          <w:lang w:eastAsia="en-AU"/>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health, and includes an obligation to take reasonable measures within available resources to progressively secure broader enjoyment of the right.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Default="00510EB5" w:rsidP="00510EB5">
      <w:pPr>
        <w:spacing w:after="0"/>
        <w:contextualSpacing/>
        <w:rPr>
          <w:rFonts w:ascii="Times New Roman" w:hAnsi="Times New Roman" w:cs="Times New Roman"/>
          <w:sz w:val="24"/>
          <w:szCs w:val="24"/>
        </w:rPr>
      </w:pPr>
    </w:p>
    <w:p w14:paraId="163E7727" w14:textId="77777777" w:rsidR="00DD5F7F" w:rsidRPr="00DD5F7F" w:rsidRDefault="00DD5F7F" w:rsidP="00DD5F7F">
      <w:pPr>
        <w:spacing w:after="0"/>
        <w:contextualSpacing/>
        <w:rPr>
          <w:rFonts w:ascii="Times New Roman" w:hAnsi="Times New Roman" w:cs="Times New Roman"/>
          <w:sz w:val="24"/>
          <w:szCs w:val="24"/>
        </w:rPr>
      </w:pPr>
      <w:r w:rsidRPr="00DD5F7F">
        <w:rPr>
          <w:rFonts w:ascii="Times New Roman" w:hAnsi="Times New Roman" w:cs="Times New Roman"/>
          <w:sz w:val="24"/>
          <w:szCs w:val="24"/>
        </w:rPr>
        <w:t>The instrument takes positive steps to promote the right to health by ensuring the safety and quality of therapeutic goods that are listed medicines. 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14:paraId="756DBF00" w14:textId="77777777" w:rsidR="00DD5F7F" w:rsidRPr="00DD5F7F" w:rsidRDefault="00DD5F7F" w:rsidP="00DD5F7F">
      <w:pPr>
        <w:spacing w:after="0"/>
        <w:contextualSpacing/>
        <w:rPr>
          <w:rFonts w:ascii="Times New Roman" w:hAnsi="Times New Roman" w:cs="Times New Roman"/>
          <w:sz w:val="24"/>
          <w:szCs w:val="24"/>
        </w:rPr>
      </w:pPr>
    </w:p>
    <w:p w14:paraId="30FFB6E5" w14:textId="3BFFAF81" w:rsidR="00510EB5" w:rsidRDefault="008F596A" w:rsidP="00510EB5">
      <w:pPr>
        <w:spacing w:after="0"/>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This is particularly important for listed medicines, given that those medicines are not evaluated for safety and quality by the TGA prior to listing in the </w:t>
      </w:r>
      <w:r w:rsidR="00A34A44">
        <w:rPr>
          <w:rFonts w:ascii="Times New Roman" w:hAnsi="Times New Roman" w:cs="Times New Roman"/>
          <w:sz w:val="24"/>
          <w:szCs w:val="24"/>
        </w:rPr>
        <w:t>Register</w:t>
      </w:r>
      <w:r>
        <w:rPr>
          <w:rFonts w:ascii="Times New Roman" w:hAnsi="Times New Roman" w:cs="Times New Roman"/>
          <w:sz w:val="24"/>
          <w:szCs w:val="24"/>
        </w:rPr>
        <w:t>, and as they are usually available for self-selection by consumers without a requirement to first obtain the advice or prescription of a registered medical doctor, or the advice of a pharmacist.</w:t>
      </w:r>
    </w:p>
    <w:p w14:paraId="5D183399" w14:textId="77777777" w:rsidR="00510EB5" w:rsidRDefault="00510EB5" w:rsidP="00510EB5">
      <w:pPr>
        <w:spacing w:after="0"/>
        <w:contextualSpacing/>
        <w:rPr>
          <w:rFonts w:ascii="Times New Roman" w:eastAsia="Times New Roman" w:hAnsi="Times New Roman" w:cs="Times New Roman"/>
          <w:sz w:val="24"/>
          <w:szCs w:val="24"/>
          <w:lang w:eastAsia="en-AU"/>
        </w:rPr>
      </w:pPr>
    </w:p>
    <w:p w14:paraId="04806E92" w14:textId="77777777" w:rsidR="00EF1F18" w:rsidRPr="00A419EA" w:rsidRDefault="00EF1F18" w:rsidP="00720518">
      <w:pPr>
        <w:keepNext/>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Conclusion</w:t>
      </w:r>
    </w:p>
    <w:p w14:paraId="4E1E7F6D" w14:textId="77777777" w:rsidR="00EF1F18" w:rsidRPr="0034672A" w:rsidRDefault="00EF1F18" w:rsidP="0034672A">
      <w:pPr>
        <w:spacing w:after="0"/>
        <w:contextualSpacing/>
        <w:rPr>
          <w:rFonts w:ascii="Times New Roman" w:hAnsi="Times New Roman" w:cs="Times New Roman"/>
          <w:sz w:val="24"/>
          <w:szCs w:val="24"/>
        </w:rPr>
      </w:pPr>
      <w:r w:rsidRPr="0034672A">
        <w:rPr>
          <w:rFonts w:ascii="Times New Roman" w:hAnsi="Times New Roman" w:cs="Times New Roman"/>
          <w:sz w:val="24"/>
          <w:szCs w:val="24"/>
        </w:rPr>
        <w:t>This legislative instrument is compatible with human rights</w:t>
      </w:r>
      <w:r w:rsidR="00A34A44" w:rsidRPr="0034672A">
        <w:rPr>
          <w:rFonts w:ascii="Times New Roman" w:hAnsi="Times New Roman" w:cs="Times New Roman"/>
          <w:sz w:val="24"/>
          <w:szCs w:val="24"/>
        </w:rPr>
        <w:t xml:space="preserve"> because it promotes the right to health in Article 12 of the ICESCR and </w:t>
      </w:r>
      <w:r w:rsidRPr="0034672A">
        <w:rPr>
          <w:rFonts w:ascii="Times New Roman" w:hAnsi="Times New Roman" w:cs="Times New Roman"/>
          <w:sz w:val="24"/>
          <w:szCs w:val="24"/>
        </w:rPr>
        <w:t xml:space="preserve">does not raise any </w:t>
      </w:r>
      <w:r w:rsidR="00A34A44" w:rsidRPr="0034672A">
        <w:rPr>
          <w:rFonts w:ascii="Times New Roman" w:hAnsi="Times New Roman" w:cs="Times New Roman"/>
          <w:sz w:val="24"/>
          <w:szCs w:val="24"/>
        </w:rPr>
        <w:t xml:space="preserve">other </w:t>
      </w:r>
      <w:r w:rsidRPr="0034672A">
        <w:rPr>
          <w:rFonts w:ascii="Times New Roman" w:hAnsi="Times New Roman" w:cs="Times New Roman"/>
          <w:sz w:val="24"/>
          <w:szCs w:val="24"/>
        </w:rPr>
        <w:t>human rights issues.</w:t>
      </w:r>
    </w:p>
    <w:p w14:paraId="030B4EC5" w14:textId="77777777" w:rsidR="004761AE" w:rsidRDefault="004761AE">
      <w:pPr>
        <w:spacing w:before="120" w:after="120"/>
        <w:rPr>
          <w:rFonts w:ascii="Times New Roman" w:eastAsia="Times New Roman" w:hAnsi="Times New Roman" w:cs="Times New Roman"/>
          <w:b/>
          <w:bCs/>
          <w:sz w:val="24"/>
          <w:szCs w:val="24"/>
          <w:lang w:eastAsia="en-AU"/>
        </w:rPr>
      </w:pPr>
    </w:p>
    <w:p w14:paraId="63D98AB2" w14:textId="77777777" w:rsidR="008C0845" w:rsidRDefault="00E36564">
      <w:pPr>
        <w:spacing w:before="120" w:after="120"/>
      </w:pPr>
      <w:r>
        <w:rPr>
          <w:rFonts w:ascii="Times New Roman" w:eastAsia="Times New Roman" w:hAnsi="Times New Roman" w:cs="Times New Roman"/>
          <w:b/>
          <w:bCs/>
          <w:sz w:val="24"/>
          <w:szCs w:val="24"/>
          <w:lang w:eastAsia="en-AU"/>
        </w:rPr>
        <w:t>Cheryl McRae</w:t>
      </w:r>
      <w:r w:rsidR="00EF1F18" w:rsidRPr="00A419EA">
        <w:rPr>
          <w:rFonts w:ascii="Times New Roman" w:eastAsia="Times New Roman" w:hAnsi="Times New Roman" w:cs="Times New Roman"/>
          <w:b/>
          <w:bCs/>
          <w:sz w:val="24"/>
          <w:szCs w:val="24"/>
          <w:lang w:eastAsia="en-AU"/>
        </w:rPr>
        <w:t xml:space="preserve">, </w:t>
      </w:r>
      <w:r w:rsidR="00EF1F18" w:rsidRPr="00456FF8">
        <w:rPr>
          <w:rFonts w:ascii="Times New Roman" w:eastAsia="Times New Roman" w:hAnsi="Times New Roman" w:cs="Times New Roman"/>
          <w:b/>
          <w:bCs/>
          <w:sz w:val="24"/>
          <w:szCs w:val="24"/>
          <w:lang w:eastAsia="en-AU"/>
        </w:rPr>
        <w:t>delegate of the Minister for Health</w:t>
      </w:r>
      <w:r w:rsidR="00EF1F18">
        <w:rPr>
          <w:rFonts w:ascii="Times New Roman" w:eastAsia="Times New Roman" w:hAnsi="Times New Roman" w:cs="Times New Roman"/>
          <w:b/>
          <w:bCs/>
          <w:sz w:val="24"/>
          <w:szCs w:val="24"/>
          <w:lang w:eastAsia="en-AU"/>
        </w:rPr>
        <w:t xml:space="preserve"> </w:t>
      </w:r>
    </w:p>
    <w:sectPr w:rsidR="008C0845" w:rsidSect="00680B2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FD9FC" w14:textId="77777777" w:rsidR="00201DC1" w:rsidRDefault="00201DC1" w:rsidP="008939B1">
      <w:pPr>
        <w:spacing w:after="0" w:line="240" w:lineRule="auto"/>
      </w:pPr>
      <w:r>
        <w:separator/>
      </w:r>
    </w:p>
  </w:endnote>
  <w:endnote w:type="continuationSeparator" w:id="0">
    <w:p w14:paraId="5911F7C5" w14:textId="77777777" w:rsidR="00201DC1" w:rsidRDefault="00201DC1" w:rsidP="0089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3EDE" w14:textId="77777777" w:rsidR="00201DC1" w:rsidRDefault="00201DC1" w:rsidP="008939B1">
      <w:pPr>
        <w:spacing w:after="0" w:line="240" w:lineRule="auto"/>
      </w:pPr>
      <w:r>
        <w:separator/>
      </w:r>
    </w:p>
  </w:footnote>
  <w:footnote w:type="continuationSeparator" w:id="0">
    <w:p w14:paraId="15FEDFBC" w14:textId="77777777" w:rsidR="00201DC1" w:rsidRDefault="00201DC1" w:rsidP="0089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AA55E2"/>
    <w:multiLevelType w:val="hybridMultilevel"/>
    <w:tmpl w:val="2A54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8167AC"/>
    <w:multiLevelType w:val="hybridMultilevel"/>
    <w:tmpl w:val="1B2A6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762D3"/>
    <w:multiLevelType w:val="hybridMultilevel"/>
    <w:tmpl w:val="0C74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0"/>
  </w:num>
  <w:num w:numId="5">
    <w:abstractNumId w:val="2"/>
  </w:num>
  <w:num w:numId="6">
    <w:abstractNumId w:val="5"/>
  </w:num>
  <w:num w:numId="7">
    <w:abstractNumId w:val="9"/>
  </w:num>
  <w:num w:numId="8">
    <w:abstractNumId w:val="8"/>
  </w:num>
  <w:num w:numId="9">
    <w:abstractNumId w:val="3"/>
  </w:num>
  <w:num w:numId="10">
    <w:abstractNumId w:val="6"/>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45"/>
    <w:rsid w:val="00005653"/>
    <w:rsid w:val="00007539"/>
    <w:rsid w:val="00014A86"/>
    <w:rsid w:val="000253EC"/>
    <w:rsid w:val="00042274"/>
    <w:rsid w:val="00045C71"/>
    <w:rsid w:val="00050B0F"/>
    <w:rsid w:val="00055505"/>
    <w:rsid w:val="0006051F"/>
    <w:rsid w:val="00066B2F"/>
    <w:rsid w:val="00072A36"/>
    <w:rsid w:val="00073166"/>
    <w:rsid w:val="00073AFE"/>
    <w:rsid w:val="000743AA"/>
    <w:rsid w:val="000805C8"/>
    <w:rsid w:val="00083EC1"/>
    <w:rsid w:val="0009412D"/>
    <w:rsid w:val="000A7327"/>
    <w:rsid w:val="000E1C1C"/>
    <w:rsid w:val="000E3020"/>
    <w:rsid w:val="000F4D51"/>
    <w:rsid w:val="00113AE2"/>
    <w:rsid w:val="00123510"/>
    <w:rsid w:val="001260D9"/>
    <w:rsid w:val="0013266B"/>
    <w:rsid w:val="00142FE8"/>
    <w:rsid w:val="00143BEC"/>
    <w:rsid w:val="00145ED6"/>
    <w:rsid w:val="00151C11"/>
    <w:rsid w:val="0015421F"/>
    <w:rsid w:val="00180117"/>
    <w:rsid w:val="00187288"/>
    <w:rsid w:val="00187B3D"/>
    <w:rsid w:val="00192658"/>
    <w:rsid w:val="0019281D"/>
    <w:rsid w:val="00197C3F"/>
    <w:rsid w:val="001A1891"/>
    <w:rsid w:val="001B7ED3"/>
    <w:rsid w:val="001C38AF"/>
    <w:rsid w:val="001C5A13"/>
    <w:rsid w:val="001D15A8"/>
    <w:rsid w:val="001D3782"/>
    <w:rsid w:val="001D6B26"/>
    <w:rsid w:val="001D75F6"/>
    <w:rsid w:val="001F063F"/>
    <w:rsid w:val="001F1830"/>
    <w:rsid w:val="001F626E"/>
    <w:rsid w:val="00201DC1"/>
    <w:rsid w:val="0020404A"/>
    <w:rsid w:val="00207B8A"/>
    <w:rsid w:val="00210E3C"/>
    <w:rsid w:val="00216B37"/>
    <w:rsid w:val="00226F3C"/>
    <w:rsid w:val="002323CF"/>
    <w:rsid w:val="00232972"/>
    <w:rsid w:val="00236ECD"/>
    <w:rsid w:val="0023720D"/>
    <w:rsid w:val="002374AC"/>
    <w:rsid w:val="00254970"/>
    <w:rsid w:val="0025627C"/>
    <w:rsid w:val="0026142F"/>
    <w:rsid w:val="002751D3"/>
    <w:rsid w:val="00275D92"/>
    <w:rsid w:val="00284FF6"/>
    <w:rsid w:val="00287D9F"/>
    <w:rsid w:val="0029115B"/>
    <w:rsid w:val="00293C0C"/>
    <w:rsid w:val="002968E0"/>
    <w:rsid w:val="0029743B"/>
    <w:rsid w:val="002B741E"/>
    <w:rsid w:val="002B7A34"/>
    <w:rsid w:val="002C1322"/>
    <w:rsid w:val="002C4652"/>
    <w:rsid w:val="002D1160"/>
    <w:rsid w:val="002D3CD4"/>
    <w:rsid w:val="002D67DA"/>
    <w:rsid w:val="002E2975"/>
    <w:rsid w:val="002E6160"/>
    <w:rsid w:val="002F5583"/>
    <w:rsid w:val="002F6548"/>
    <w:rsid w:val="00316B98"/>
    <w:rsid w:val="00322EC3"/>
    <w:rsid w:val="0032369E"/>
    <w:rsid w:val="003260F5"/>
    <w:rsid w:val="003307B8"/>
    <w:rsid w:val="003327D3"/>
    <w:rsid w:val="00337FDB"/>
    <w:rsid w:val="00340F3C"/>
    <w:rsid w:val="00345822"/>
    <w:rsid w:val="0034672A"/>
    <w:rsid w:val="003811C0"/>
    <w:rsid w:val="0038203D"/>
    <w:rsid w:val="003A0BFB"/>
    <w:rsid w:val="003A20C5"/>
    <w:rsid w:val="003A2811"/>
    <w:rsid w:val="003A3E75"/>
    <w:rsid w:val="003A4D8C"/>
    <w:rsid w:val="003A59EA"/>
    <w:rsid w:val="003B4F23"/>
    <w:rsid w:val="003B7DAB"/>
    <w:rsid w:val="003C6D6E"/>
    <w:rsid w:val="003C7446"/>
    <w:rsid w:val="003D20CE"/>
    <w:rsid w:val="003D610C"/>
    <w:rsid w:val="003F01C5"/>
    <w:rsid w:val="00402AD7"/>
    <w:rsid w:val="0040312B"/>
    <w:rsid w:val="004031E5"/>
    <w:rsid w:val="00403263"/>
    <w:rsid w:val="0040482D"/>
    <w:rsid w:val="00406749"/>
    <w:rsid w:val="00410EC3"/>
    <w:rsid w:val="00414CD9"/>
    <w:rsid w:val="0042665D"/>
    <w:rsid w:val="004325B5"/>
    <w:rsid w:val="00432CF7"/>
    <w:rsid w:val="00437C00"/>
    <w:rsid w:val="00437C42"/>
    <w:rsid w:val="00444741"/>
    <w:rsid w:val="0044599A"/>
    <w:rsid w:val="00446EA8"/>
    <w:rsid w:val="00456FF8"/>
    <w:rsid w:val="00461ED8"/>
    <w:rsid w:val="0046549C"/>
    <w:rsid w:val="004761AE"/>
    <w:rsid w:val="00477283"/>
    <w:rsid w:val="00495C5F"/>
    <w:rsid w:val="0049672B"/>
    <w:rsid w:val="004A68BB"/>
    <w:rsid w:val="004A7F16"/>
    <w:rsid w:val="004B4DF3"/>
    <w:rsid w:val="004C6EFE"/>
    <w:rsid w:val="004D7D5D"/>
    <w:rsid w:val="004E05C9"/>
    <w:rsid w:val="004F11F8"/>
    <w:rsid w:val="004F52D9"/>
    <w:rsid w:val="004F5754"/>
    <w:rsid w:val="004F601B"/>
    <w:rsid w:val="0050197A"/>
    <w:rsid w:val="00503A36"/>
    <w:rsid w:val="00504F4D"/>
    <w:rsid w:val="00510EB5"/>
    <w:rsid w:val="005110EF"/>
    <w:rsid w:val="00511E85"/>
    <w:rsid w:val="00516446"/>
    <w:rsid w:val="0052033B"/>
    <w:rsid w:val="00522A66"/>
    <w:rsid w:val="005300AF"/>
    <w:rsid w:val="00530B7D"/>
    <w:rsid w:val="00543F77"/>
    <w:rsid w:val="00546044"/>
    <w:rsid w:val="00546C0E"/>
    <w:rsid w:val="0055006E"/>
    <w:rsid w:val="00553D8E"/>
    <w:rsid w:val="005647D9"/>
    <w:rsid w:val="00567C3B"/>
    <w:rsid w:val="00567F6F"/>
    <w:rsid w:val="00571AF3"/>
    <w:rsid w:val="00576EB4"/>
    <w:rsid w:val="0058050E"/>
    <w:rsid w:val="00587C76"/>
    <w:rsid w:val="005A5867"/>
    <w:rsid w:val="005A5B1A"/>
    <w:rsid w:val="005C1E01"/>
    <w:rsid w:val="005C30DC"/>
    <w:rsid w:val="005C3927"/>
    <w:rsid w:val="005C475C"/>
    <w:rsid w:val="005D2839"/>
    <w:rsid w:val="005D7A92"/>
    <w:rsid w:val="005E1A47"/>
    <w:rsid w:val="005F1175"/>
    <w:rsid w:val="005F192D"/>
    <w:rsid w:val="005F2423"/>
    <w:rsid w:val="005F516E"/>
    <w:rsid w:val="005F524B"/>
    <w:rsid w:val="006003F5"/>
    <w:rsid w:val="00603428"/>
    <w:rsid w:val="006068A0"/>
    <w:rsid w:val="0062190F"/>
    <w:rsid w:val="00622033"/>
    <w:rsid w:val="006320B2"/>
    <w:rsid w:val="00632A23"/>
    <w:rsid w:val="00633529"/>
    <w:rsid w:val="0063789C"/>
    <w:rsid w:val="00644F7C"/>
    <w:rsid w:val="00652960"/>
    <w:rsid w:val="00653B08"/>
    <w:rsid w:val="00665E71"/>
    <w:rsid w:val="00673DE0"/>
    <w:rsid w:val="00680B29"/>
    <w:rsid w:val="006850DB"/>
    <w:rsid w:val="00685980"/>
    <w:rsid w:val="00686884"/>
    <w:rsid w:val="0069146E"/>
    <w:rsid w:val="006A3A8C"/>
    <w:rsid w:val="006A63BE"/>
    <w:rsid w:val="006B6D92"/>
    <w:rsid w:val="006C1D61"/>
    <w:rsid w:val="006C6DF0"/>
    <w:rsid w:val="006D48D4"/>
    <w:rsid w:val="006D4AB8"/>
    <w:rsid w:val="006D5E19"/>
    <w:rsid w:val="006D768D"/>
    <w:rsid w:val="006E787D"/>
    <w:rsid w:val="006F0BA2"/>
    <w:rsid w:val="006F49F6"/>
    <w:rsid w:val="006F4A40"/>
    <w:rsid w:val="006F6F98"/>
    <w:rsid w:val="007040CD"/>
    <w:rsid w:val="0070680E"/>
    <w:rsid w:val="00706B96"/>
    <w:rsid w:val="007075E6"/>
    <w:rsid w:val="00716D98"/>
    <w:rsid w:val="00720518"/>
    <w:rsid w:val="00730B3D"/>
    <w:rsid w:val="007313BA"/>
    <w:rsid w:val="0073245E"/>
    <w:rsid w:val="00737E1D"/>
    <w:rsid w:val="0074268C"/>
    <w:rsid w:val="007445FE"/>
    <w:rsid w:val="0074493B"/>
    <w:rsid w:val="0075281F"/>
    <w:rsid w:val="007537FC"/>
    <w:rsid w:val="00753C5B"/>
    <w:rsid w:val="007541DC"/>
    <w:rsid w:val="0077454E"/>
    <w:rsid w:val="00786056"/>
    <w:rsid w:val="007925F3"/>
    <w:rsid w:val="00794D3C"/>
    <w:rsid w:val="007A251F"/>
    <w:rsid w:val="007B019E"/>
    <w:rsid w:val="007B1478"/>
    <w:rsid w:val="007C503B"/>
    <w:rsid w:val="007C6937"/>
    <w:rsid w:val="007C7B0A"/>
    <w:rsid w:val="007D161A"/>
    <w:rsid w:val="007E62AA"/>
    <w:rsid w:val="007F6345"/>
    <w:rsid w:val="00804BAA"/>
    <w:rsid w:val="00807896"/>
    <w:rsid w:val="00810BFB"/>
    <w:rsid w:val="00814F7B"/>
    <w:rsid w:val="00815399"/>
    <w:rsid w:val="00822DF8"/>
    <w:rsid w:val="008238B7"/>
    <w:rsid w:val="008403C0"/>
    <w:rsid w:val="008416DD"/>
    <w:rsid w:val="008452B5"/>
    <w:rsid w:val="00845A4E"/>
    <w:rsid w:val="00850146"/>
    <w:rsid w:val="008501F3"/>
    <w:rsid w:val="008666FC"/>
    <w:rsid w:val="008727AB"/>
    <w:rsid w:val="00873CEF"/>
    <w:rsid w:val="008833F0"/>
    <w:rsid w:val="00887720"/>
    <w:rsid w:val="00890B01"/>
    <w:rsid w:val="008939B1"/>
    <w:rsid w:val="00893D80"/>
    <w:rsid w:val="00894393"/>
    <w:rsid w:val="00895420"/>
    <w:rsid w:val="008957CE"/>
    <w:rsid w:val="008B20FC"/>
    <w:rsid w:val="008B341F"/>
    <w:rsid w:val="008C0845"/>
    <w:rsid w:val="008C1892"/>
    <w:rsid w:val="008C64E0"/>
    <w:rsid w:val="008C7CA5"/>
    <w:rsid w:val="008D2E76"/>
    <w:rsid w:val="008D3A14"/>
    <w:rsid w:val="008D4189"/>
    <w:rsid w:val="008E082F"/>
    <w:rsid w:val="008E298E"/>
    <w:rsid w:val="008E5682"/>
    <w:rsid w:val="008E6A84"/>
    <w:rsid w:val="008E75B9"/>
    <w:rsid w:val="008F25EE"/>
    <w:rsid w:val="008F596A"/>
    <w:rsid w:val="008F5C4E"/>
    <w:rsid w:val="00903A99"/>
    <w:rsid w:val="00905BC7"/>
    <w:rsid w:val="00907B73"/>
    <w:rsid w:val="0091180B"/>
    <w:rsid w:val="009127C8"/>
    <w:rsid w:val="00913CF7"/>
    <w:rsid w:val="00916D96"/>
    <w:rsid w:val="00917AD5"/>
    <w:rsid w:val="009357A3"/>
    <w:rsid w:val="0094113C"/>
    <w:rsid w:val="00945858"/>
    <w:rsid w:val="00955B2F"/>
    <w:rsid w:val="00955E93"/>
    <w:rsid w:val="00960091"/>
    <w:rsid w:val="00960206"/>
    <w:rsid w:val="009629C3"/>
    <w:rsid w:val="00977EF7"/>
    <w:rsid w:val="00987467"/>
    <w:rsid w:val="00990D02"/>
    <w:rsid w:val="009959B1"/>
    <w:rsid w:val="009A530B"/>
    <w:rsid w:val="009A537D"/>
    <w:rsid w:val="009B1DA1"/>
    <w:rsid w:val="009B31D6"/>
    <w:rsid w:val="009D3627"/>
    <w:rsid w:val="009D51D2"/>
    <w:rsid w:val="009E5A87"/>
    <w:rsid w:val="009F1E49"/>
    <w:rsid w:val="009F2BD2"/>
    <w:rsid w:val="009F3777"/>
    <w:rsid w:val="00A01E31"/>
    <w:rsid w:val="00A03B13"/>
    <w:rsid w:val="00A06715"/>
    <w:rsid w:val="00A10B2D"/>
    <w:rsid w:val="00A10F78"/>
    <w:rsid w:val="00A268EA"/>
    <w:rsid w:val="00A34A44"/>
    <w:rsid w:val="00A409E1"/>
    <w:rsid w:val="00A419EA"/>
    <w:rsid w:val="00A4560C"/>
    <w:rsid w:val="00A47C69"/>
    <w:rsid w:val="00A521FE"/>
    <w:rsid w:val="00A62B26"/>
    <w:rsid w:val="00A63D97"/>
    <w:rsid w:val="00A63F95"/>
    <w:rsid w:val="00A70EDF"/>
    <w:rsid w:val="00A73FA2"/>
    <w:rsid w:val="00A84DEA"/>
    <w:rsid w:val="00A8608C"/>
    <w:rsid w:val="00A94F6E"/>
    <w:rsid w:val="00AB4D85"/>
    <w:rsid w:val="00AB7E03"/>
    <w:rsid w:val="00AC0E83"/>
    <w:rsid w:val="00AC3DBC"/>
    <w:rsid w:val="00AC41A5"/>
    <w:rsid w:val="00AD01A3"/>
    <w:rsid w:val="00AE2E87"/>
    <w:rsid w:val="00AF2374"/>
    <w:rsid w:val="00AF3859"/>
    <w:rsid w:val="00AF44AF"/>
    <w:rsid w:val="00AF70C1"/>
    <w:rsid w:val="00B028DC"/>
    <w:rsid w:val="00B03322"/>
    <w:rsid w:val="00B136FA"/>
    <w:rsid w:val="00B16543"/>
    <w:rsid w:val="00B229D8"/>
    <w:rsid w:val="00B43CEF"/>
    <w:rsid w:val="00B4506D"/>
    <w:rsid w:val="00B46639"/>
    <w:rsid w:val="00B5769D"/>
    <w:rsid w:val="00B60F0C"/>
    <w:rsid w:val="00B66E04"/>
    <w:rsid w:val="00B72803"/>
    <w:rsid w:val="00B7641E"/>
    <w:rsid w:val="00B80545"/>
    <w:rsid w:val="00B82A8D"/>
    <w:rsid w:val="00B877B0"/>
    <w:rsid w:val="00BA016B"/>
    <w:rsid w:val="00BA150B"/>
    <w:rsid w:val="00BA3FDB"/>
    <w:rsid w:val="00BB0C79"/>
    <w:rsid w:val="00BB3518"/>
    <w:rsid w:val="00BB3E8A"/>
    <w:rsid w:val="00BC1EFA"/>
    <w:rsid w:val="00BC40E4"/>
    <w:rsid w:val="00BD02A2"/>
    <w:rsid w:val="00BD2902"/>
    <w:rsid w:val="00BE184C"/>
    <w:rsid w:val="00BE7EA1"/>
    <w:rsid w:val="00BF0F92"/>
    <w:rsid w:val="00BF7DD9"/>
    <w:rsid w:val="00C10BAC"/>
    <w:rsid w:val="00C30116"/>
    <w:rsid w:val="00C55EE9"/>
    <w:rsid w:val="00C74D38"/>
    <w:rsid w:val="00C85FBC"/>
    <w:rsid w:val="00C86005"/>
    <w:rsid w:val="00C87CCD"/>
    <w:rsid w:val="00C92827"/>
    <w:rsid w:val="00C93C1A"/>
    <w:rsid w:val="00CA2F70"/>
    <w:rsid w:val="00CA566F"/>
    <w:rsid w:val="00CA768A"/>
    <w:rsid w:val="00CC6EC4"/>
    <w:rsid w:val="00CC7D63"/>
    <w:rsid w:val="00CD6D87"/>
    <w:rsid w:val="00CE0B2D"/>
    <w:rsid w:val="00CE1E8C"/>
    <w:rsid w:val="00CE49AE"/>
    <w:rsid w:val="00CE5103"/>
    <w:rsid w:val="00D00D43"/>
    <w:rsid w:val="00D054A9"/>
    <w:rsid w:val="00D064A3"/>
    <w:rsid w:val="00D06C24"/>
    <w:rsid w:val="00D104BF"/>
    <w:rsid w:val="00D132B4"/>
    <w:rsid w:val="00D202AD"/>
    <w:rsid w:val="00D25169"/>
    <w:rsid w:val="00D2675E"/>
    <w:rsid w:val="00D31199"/>
    <w:rsid w:val="00D40842"/>
    <w:rsid w:val="00D450ED"/>
    <w:rsid w:val="00D460EB"/>
    <w:rsid w:val="00D4773E"/>
    <w:rsid w:val="00D506AB"/>
    <w:rsid w:val="00D71DFE"/>
    <w:rsid w:val="00D731D4"/>
    <w:rsid w:val="00D732D5"/>
    <w:rsid w:val="00D73363"/>
    <w:rsid w:val="00D84DF2"/>
    <w:rsid w:val="00DA0372"/>
    <w:rsid w:val="00DA5DA3"/>
    <w:rsid w:val="00DB706A"/>
    <w:rsid w:val="00DB7FF6"/>
    <w:rsid w:val="00DC4741"/>
    <w:rsid w:val="00DC4C8C"/>
    <w:rsid w:val="00DC56A0"/>
    <w:rsid w:val="00DD12DA"/>
    <w:rsid w:val="00DD5F7F"/>
    <w:rsid w:val="00DD7962"/>
    <w:rsid w:val="00DE0E9F"/>
    <w:rsid w:val="00DE79DF"/>
    <w:rsid w:val="00DF0880"/>
    <w:rsid w:val="00DF5293"/>
    <w:rsid w:val="00E01934"/>
    <w:rsid w:val="00E05ACE"/>
    <w:rsid w:val="00E06731"/>
    <w:rsid w:val="00E1152E"/>
    <w:rsid w:val="00E1463E"/>
    <w:rsid w:val="00E2024D"/>
    <w:rsid w:val="00E20723"/>
    <w:rsid w:val="00E32ED1"/>
    <w:rsid w:val="00E36564"/>
    <w:rsid w:val="00E368A6"/>
    <w:rsid w:val="00E41C3E"/>
    <w:rsid w:val="00E436CF"/>
    <w:rsid w:val="00E516A3"/>
    <w:rsid w:val="00E5765F"/>
    <w:rsid w:val="00E663A0"/>
    <w:rsid w:val="00E67371"/>
    <w:rsid w:val="00E715AB"/>
    <w:rsid w:val="00E757B0"/>
    <w:rsid w:val="00E77437"/>
    <w:rsid w:val="00E82B82"/>
    <w:rsid w:val="00E83143"/>
    <w:rsid w:val="00E87D5E"/>
    <w:rsid w:val="00E93B09"/>
    <w:rsid w:val="00E9519B"/>
    <w:rsid w:val="00E97E68"/>
    <w:rsid w:val="00EA670C"/>
    <w:rsid w:val="00EB1BE3"/>
    <w:rsid w:val="00EB25AF"/>
    <w:rsid w:val="00EB67BE"/>
    <w:rsid w:val="00EC4FAB"/>
    <w:rsid w:val="00ED02ED"/>
    <w:rsid w:val="00ED081D"/>
    <w:rsid w:val="00ED0A40"/>
    <w:rsid w:val="00EF1F18"/>
    <w:rsid w:val="00EF2A8C"/>
    <w:rsid w:val="00EF6D39"/>
    <w:rsid w:val="00EF6E66"/>
    <w:rsid w:val="00F0557E"/>
    <w:rsid w:val="00F125E1"/>
    <w:rsid w:val="00F12793"/>
    <w:rsid w:val="00F211CC"/>
    <w:rsid w:val="00F340FC"/>
    <w:rsid w:val="00F464DC"/>
    <w:rsid w:val="00F52A03"/>
    <w:rsid w:val="00F610A7"/>
    <w:rsid w:val="00F67EF7"/>
    <w:rsid w:val="00F70C6F"/>
    <w:rsid w:val="00F84B7B"/>
    <w:rsid w:val="00F86FEE"/>
    <w:rsid w:val="00F951C9"/>
    <w:rsid w:val="00F954D2"/>
    <w:rsid w:val="00F96347"/>
    <w:rsid w:val="00F977F5"/>
    <w:rsid w:val="00FA19D6"/>
    <w:rsid w:val="00FA555C"/>
    <w:rsid w:val="00FB4355"/>
    <w:rsid w:val="00FB538B"/>
    <w:rsid w:val="00FC26CD"/>
    <w:rsid w:val="00FC38CE"/>
    <w:rsid w:val="00FC5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36D3F3"/>
  <w15:docId w15:val="{566A9380-3B28-4C45-9617-5CD506F7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future-regulation-low-risk-products" TargetMode="External"/><Relationship Id="rId13" Type="http://schemas.openxmlformats.org/officeDocument/2006/relationships/hyperlink" Target="http://www.online.foodchemicalscodex.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pnf.com/" TargetMode="External"/><Relationship Id="rId17" Type="http://schemas.openxmlformats.org/officeDocument/2006/relationships/hyperlink" Target="http://www.openlibrary.org/books/OL22071008M/European_pharmacopoeia" TargetMode="External"/><Relationship Id="rId2" Type="http://schemas.openxmlformats.org/officeDocument/2006/relationships/numbering" Target="numbering.xml"/><Relationship Id="rId16" Type="http://schemas.openxmlformats.org/officeDocument/2006/relationships/hyperlink" Target="http://www.trove.nl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qm.eu/en/european-pharmacopoeia-ph-eur-9th-edition" TargetMode="External"/><Relationship Id="rId5" Type="http://schemas.openxmlformats.org/officeDocument/2006/relationships/webSettings" Target="webSettings.xml"/><Relationship Id="rId15" Type="http://schemas.openxmlformats.org/officeDocument/2006/relationships/hyperlink" Target="http://www.rehydrate.org/ors/expert-consultation.html" TargetMode="External"/><Relationship Id="rId10" Type="http://schemas.openxmlformats.org/officeDocument/2006/relationships/hyperlink" Target="http://www.pharmacopoei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mmdr" TargetMode="External"/><Relationship Id="rId14" Type="http://schemas.openxmlformats.org/officeDocument/2006/relationships/hyperlink" Target="http://www.legisl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3CE1B-D649-4D09-931E-97CD55B3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3370</Words>
  <Characters>19209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 Vimala</dc:creator>
  <cp:lastModifiedBy>Carter, Bless</cp:lastModifiedBy>
  <cp:revision>2</cp:revision>
  <cp:lastPrinted>2019-08-27T07:02:00Z</cp:lastPrinted>
  <dcterms:created xsi:type="dcterms:W3CDTF">2019-11-15T05:12:00Z</dcterms:created>
  <dcterms:modified xsi:type="dcterms:W3CDTF">2019-11-15T05:12:00Z</dcterms:modified>
</cp:coreProperties>
</file>