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7D" w:rsidRPr="003167F7" w:rsidRDefault="008C547D" w:rsidP="004E41E8">
      <w:pPr>
        <w:spacing w:after="240" w:line="240" w:lineRule="auto"/>
        <w:jc w:val="center"/>
        <w:rPr>
          <w:rFonts w:cs="Times New Roman"/>
          <w:b/>
          <w:szCs w:val="24"/>
          <w:lang w:val="en-US"/>
        </w:rPr>
      </w:pPr>
      <w:r w:rsidRPr="003167F7">
        <w:rPr>
          <w:rFonts w:cs="Times New Roman"/>
          <w:b/>
          <w:szCs w:val="24"/>
          <w:lang w:val="en-US"/>
        </w:rPr>
        <w:t>EXPLANATORY STATEMENT</w:t>
      </w:r>
    </w:p>
    <w:p w:rsidR="000B0F6B" w:rsidRPr="000B0F6B" w:rsidRDefault="000B0F6B" w:rsidP="000B0F6B">
      <w:pPr>
        <w:spacing w:after="0" w:line="240" w:lineRule="auto"/>
        <w:jc w:val="center"/>
        <w:rPr>
          <w:rFonts w:ascii="Arial" w:eastAsia="Times New Roman" w:hAnsi="Arial" w:cs="Arial"/>
          <w:sz w:val="22"/>
          <w:lang w:eastAsia="en-AU"/>
        </w:rPr>
      </w:pPr>
      <w:r w:rsidRPr="000B0F6B">
        <w:rPr>
          <w:rFonts w:ascii="Arial" w:eastAsia="Times New Roman" w:hAnsi="Arial" w:cs="Arial"/>
          <w:sz w:val="22"/>
          <w:lang w:eastAsia="en-AU"/>
        </w:rPr>
        <w:t xml:space="preserve">Issued by the authority of the Administrator of </w:t>
      </w:r>
      <w:r w:rsidR="00B760AE">
        <w:rPr>
          <w:rFonts w:ascii="Arial" w:eastAsia="Times New Roman" w:hAnsi="Arial" w:cs="Arial"/>
          <w:sz w:val="22"/>
          <w:lang w:eastAsia="en-AU"/>
        </w:rPr>
        <w:t>the Cocos (Keeling) Islands</w:t>
      </w:r>
    </w:p>
    <w:p w:rsidR="000B0F6B" w:rsidRPr="000B0F6B" w:rsidRDefault="000B0F6B" w:rsidP="000B0F6B">
      <w:pPr>
        <w:spacing w:after="0" w:line="240" w:lineRule="auto"/>
        <w:rPr>
          <w:rFonts w:ascii="Arial" w:eastAsia="Times New Roman" w:hAnsi="Arial" w:cs="Arial"/>
          <w:sz w:val="22"/>
          <w:lang w:eastAsia="en-AU"/>
        </w:rPr>
      </w:pPr>
    </w:p>
    <w:p w:rsidR="000B0F6B" w:rsidRPr="000B0F6B" w:rsidRDefault="00B760AE" w:rsidP="000B0F6B">
      <w:pPr>
        <w:spacing w:after="0" w:line="240" w:lineRule="auto"/>
        <w:jc w:val="center"/>
        <w:rPr>
          <w:rFonts w:ascii="Arial" w:eastAsia="Times New Roman" w:hAnsi="Arial" w:cs="Arial"/>
          <w:sz w:val="22"/>
          <w:lang w:eastAsia="en-AU"/>
        </w:rPr>
      </w:pPr>
      <w:r w:rsidRPr="00B760AE">
        <w:rPr>
          <w:rFonts w:ascii="Arial" w:eastAsia="Times New Roman" w:hAnsi="Arial" w:cs="Arial"/>
          <w:i/>
          <w:sz w:val="22"/>
          <w:lang w:eastAsia="en-AU"/>
        </w:rPr>
        <w:t xml:space="preserve">Cocos (Keeling) Islands </w:t>
      </w:r>
      <w:r w:rsidR="000B0F6B" w:rsidRPr="000B0F6B">
        <w:rPr>
          <w:rFonts w:ascii="Arial" w:eastAsia="Times New Roman" w:hAnsi="Arial" w:cs="Arial"/>
          <w:i/>
          <w:sz w:val="22"/>
          <w:lang w:eastAsia="en-AU"/>
        </w:rPr>
        <w:t>Act 195</w:t>
      </w:r>
      <w:r>
        <w:rPr>
          <w:rFonts w:ascii="Arial" w:eastAsia="Times New Roman" w:hAnsi="Arial" w:cs="Arial"/>
          <w:i/>
          <w:sz w:val="22"/>
          <w:lang w:eastAsia="en-AU"/>
        </w:rPr>
        <w:t>5</w:t>
      </w:r>
    </w:p>
    <w:p w:rsidR="000B0F6B" w:rsidRPr="000B0F6B" w:rsidRDefault="00B760AE" w:rsidP="000B0F6B">
      <w:pPr>
        <w:spacing w:after="0" w:line="240" w:lineRule="auto"/>
        <w:jc w:val="center"/>
        <w:rPr>
          <w:rFonts w:ascii="Arial" w:eastAsia="Times New Roman" w:hAnsi="Arial" w:cs="Arial"/>
          <w:i/>
          <w:sz w:val="22"/>
          <w:lang w:eastAsia="en-AU"/>
        </w:rPr>
      </w:pPr>
      <w:r w:rsidRPr="00B760AE">
        <w:rPr>
          <w:rFonts w:ascii="Arial" w:eastAsia="Times New Roman" w:hAnsi="Arial" w:cs="Arial"/>
          <w:i/>
          <w:sz w:val="22"/>
          <w:lang w:eastAsia="en-AU"/>
        </w:rPr>
        <w:t xml:space="preserve">Cocos (Keeling) Islands </w:t>
      </w:r>
      <w:r w:rsidR="000B0F6B" w:rsidRPr="000B0F6B">
        <w:rPr>
          <w:rFonts w:ascii="Arial" w:eastAsia="Times New Roman" w:hAnsi="Arial" w:cs="Arial"/>
          <w:i/>
          <w:sz w:val="22"/>
          <w:lang w:eastAsia="en-AU"/>
        </w:rPr>
        <w:t>Utilities and Services Ordinance 2016</w:t>
      </w:r>
    </w:p>
    <w:p w:rsidR="003734B2" w:rsidRPr="003167F7" w:rsidRDefault="003734B2" w:rsidP="004E41E8">
      <w:pPr>
        <w:spacing w:after="240" w:line="240" w:lineRule="auto"/>
        <w:jc w:val="center"/>
        <w:rPr>
          <w:rFonts w:cs="Times New Roman"/>
          <w:b/>
          <w:i/>
          <w:szCs w:val="24"/>
          <w:lang w:val="en-US"/>
        </w:rPr>
      </w:pPr>
    </w:p>
    <w:p w:rsidR="009B600A" w:rsidRDefault="00EA7AC8" w:rsidP="00301F6B">
      <w:pPr>
        <w:spacing w:after="240" w:line="240" w:lineRule="auto"/>
        <w:rPr>
          <w:rFonts w:cs="Times New Roman"/>
          <w:b/>
          <w:szCs w:val="24"/>
          <w:lang w:val="en-US"/>
        </w:rPr>
      </w:pPr>
      <w:r>
        <w:rPr>
          <w:rFonts w:cs="Times New Roman"/>
          <w:b/>
          <w:szCs w:val="24"/>
          <w:lang w:val="en-US"/>
        </w:rPr>
        <w:t xml:space="preserve">Cocos (Keeling) </w:t>
      </w:r>
      <w:r w:rsidR="0091077D" w:rsidRPr="002D45F2">
        <w:rPr>
          <w:rFonts w:cs="Times New Roman"/>
          <w:b/>
          <w:szCs w:val="24"/>
          <w:lang w:val="en-US"/>
        </w:rPr>
        <w:t>Island</w:t>
      </w:r>
      <w:r>
        <w:rPr>
          <w:rFonts w:cs="Times New Roman"/>
          <w:b/>
          <w:szCs w:val="24"/>
          <w:lang w:val="en-US"/>
        </w:rPr>
        <w:t>s</w:t>
      </w:r>
      <w:r w:rsidR="0091077D" w:rsidRPr="002D45F2">
        <w:rPr>
          <w:rFonts w:cs="Times New Roman"/>
          <w:b/>
          <w:szCs w:val="24"/>
          <w:lang w:val="en-US"/>
        </w:rPr>
        <w:t xml:space="preserve"> </w:t>
      </w:r>
      <w:r w:rsidR="005D3F40">
        <w:rPr>
          <w:rFonts w:cs="Times New Roman"/>
          <w:b/>
          <w:szCs w:val="24"/>
          <w:lang w:val="en-US"/>
        </w:rPr>
        <w:t xml:space="preserve">Utilities and Services (Vehicle Examination Fees) </w:t>
      </w:r>
      <w:r w:rsidR="0069346D" w:rsidRPr="002D45F2">
        <w:rPr>
          <w:rFonts w:cs="Times New Roman"/>
          <w:b/>
          <w:szCs w:val="24"/>
          <w:lang w:val="en-US"/>
        </w:rPr>
        <w:t>Determination 201</w:t>
      </w:r>
      <w:r w:rsidR="005D3F40">
        <w:rPr>
          <w:rFonts w:cs="Times New Roman"/>
          <w:b/>
          <w:szCs w:val="24"/>
          <w:lang w:val="en-US"/>
        </w:rPr>
        <w:t>9</w:t>
      </w:r>
    </w:p>
    <w:p w:rsidR="008C547D" w:rsidRPr="00C406E2" w:rsidRDefault="008C547D" w:rsidP="00301F6B">
      <w:pPr>
        <w:spacing w:after="120" w:line="240" w:lineRule="auto"/>
        <w:rPr>
          <w:rFonts w:cs="Times New Roman"/>
          <w:i/>
          <w:szCs w:val="24"/>
          <w:lang w:val="en-US"/>
        </w:rPr>
      </w:pPr>
      <w:r w:rsidRPr="00C406E2">
        <w:rPr>
          <w:rFonts w:cs="Times New Roman"/>
          <w:i/>
          <w:szCs w:val="24"/>
          <w:lang w:val="en-US"/>
        </w:rPr>
        <w:t>Authority</w:t>
      </w:r>
    </w:p>
    <w:p w:rsidR="00AC39E5" w:rsidRPr="003167F7" w:rsidRDefault="005D3F40" w:rsidP="00301F6B">
      <w:pPr>
        <w:spacing w:after="240" w:line="240" w:lineRule="auto"/>
        <w:rPr>
          <w:rFonts w:cs="Times New Roman"/>
          <w:szCs w:val="24"/>
        </w:rPr>
      </w:pPr>
      <w:r>
        <w:rPr>
          <w:rFonts w:cs="Times New Roman"/>
          <w:szCs w:val="24"/>
        </w:rPr>
        <w:t xml:space="preserve">This instrument is made under paragraph 7(2)(a) of the </w:t>
      </w:r>
      <w:r w:rsidR="00B760AE" w:rsidRPr="00B760AE">
        <w:rPr>
          <w:rFonts w:cs="Times New Roman"/>
          <w:szCs w:val="24"/>
        </w:rPr>
        <w:t xml:space="preserve">Cocos (Keeling) Islands </w:t>
      </w:r>
      <w:r>
        <w:rPr>
          <w:rFonts w:cs="Times New Roman"/>
          <w:szCs w:val="24"/>
        </w:rPr>
        <w:t xml:space="preserve">Utilities and </w:t>
      </w:r>
      <w:r w:rsidR="00E2287D">
        <w:rPr>
          <w:rFonts w:cs="Times New Roman"/>
          <w:szCs w:val="24"/>
        </w:rPr>
        <w:t>S</w:t>
      </w:r>
      <w:r>
        <w:rPr>
          <w:rFonts w:cs="Times New Roman"/>
          <w:szCs w:val="24"/>
        </w:rPr>
        <w:t>ervices Ordinance 2016.</w:t>
      </w:r>
      <w:r w:rsidR="008C547D" w:rsidRPr="003167F7">
        <w:rPr>
          <w:rFonts w:cs="Times New Roman"/>
          <w:szCs w:val="24"/>
        </w:rPr>
        <w:t xml:space="preserve"> </w:t>
      </w:r>
    </w:p>
    <w:p w:rsidR="008C547D" w:rsidRPr="00C406E2" w:rsidRDefault="008C547D" w:rsidP="00301F6B">
      <w:pPr>
        <w:spacing w:before="120" w:after="120" w:line="240" w:lineRule="auto"/>
        <w:rPr>
          <w:rFonts w:cs="Times New Roman"/>
          <w:i/>
          <w:szCs w:val="24"/>
          <w:lang w:val="en-US"/>
        </w:rPr>
      </w:pPr>
      <w:r w:rsidRPr="00C406E2">
        <w:rPr>
          <w:rFonts w:cs="Times New Roman"/>
          <w:i/>
          <w:szCs w:val="24"/>
          <w:lang w:val="en-US"/>
        </w:rPr>
        <w:t>Purpose</w:t>
      </w:r>
      <w:r w:rsidR="003734B2" w:rsidRPr="00C406E2">
        <w:rPr>
          <w:rFonts w:cs="Times New Roman"/>
          <w:i/>
          <w:szCs w:val="24"/>
          <w:lang w:val="en-US"/>
        </w:rPr>
        <w:t xml:space="preserve"> and Operation</w:t>
      </w:r>
    </w:p>
    <w:p w:rsidR="00893623" w:rsidRDefault="00893623" w:rsidP="00301F6B">
      <w:pPr>
        <w:spacing w:before="120" w:after="240" w:line="240" w:lineRule="auto"/>
        <w:rPr>
          <w:rFonts w:cs="Times New Roman"/>
          <w:szCs w:val="24"/>
        </w:rPr>
      </w:pPr>
      <w:r>
        <w:rPr>
          <w:rFonts w:cs="Times New Roman"/>
          <w:szCs w:val="24"/>
        </w:rPr>
        <w:t>Vehicle examinations are not specifically mentioned as a “utility or service” in the Utilities and Services Ordinance. However the ordinary meaning of ‘utilities or services” is taken to include vehicle examinations.</w:t>
      </w:r>
    </w:p>
    <w:p w:rsidR="005E5ACC" w:rsidRDefault="00042D68" w:rsidP="00301F6B">
      <w:pPr>
        <w:spacing w:before="120" w:after="240" w:line="240" w:lineRule="auto"/>
        <w:rPr>
          <w:rFonts w:cs="Times New Roman"/>
          <w:szCs w:val="24"/>
        </w:rPr>
      </w:pPr>
      <w:r>
        <w:rPr>
          <w:rFonts w:cs="Times New Roman"/>
          <w:szCs w:val="24"/>
        </w:rPr>
        <w:t xml:space="preserve">The </w:t>
      </w:r>
      <w:r w:rsidR="00B760AE" w:rsidRPr="00B760AE">
        <w:rPr>
          <w:rFonts w:cs="Times New Roman"/>
          <w:szCs w:val="24"/>
        </w:rPr>
        <w:t xml:space="preserve">Cocos (Keeling) Islands </w:t>
      </w:r>
      <w:r w:rsidR="000649A6">
        <w:rPr>
          <w:rFonts w:cs="Times New Roman"/>
          <w:szCs w:val="24"/>
        </w:rPr>
        <w:t>is not listed as a regional area for the purposes of fees for vehicle examinations in the R</w:t>
      </w:r>
      <w:r w:rsidR="000649A6" w:rsidRPr="000649A6">
        <w:rPr>
          <w:rFonts w:cs="Times New Roman"/>
          <w:szCs w:val="24"/>
        </w:rPr>
        <w:t xml:space="preserve">oad Traffic (Vehicles) Regulations 2014 </w:t>
      </w:r>
      <w:r w:rsidR="000649A6">
        <w:rPr>
          <w:rFonts w:cs="Times New Roman"/>
          <w:szCs w:val="24"/>
        </w:rPr>
        <w:t>(WA)(C</w:t>
      </w:r>
      <w:r w:rsidR="00B760AE">
        <w:rPr>
          <w:rFonts w:cs="Times New Roman"/>
          <w:szCs w:val="24"/>
        </w:rPr>
        <w:t>K</w:t>
      </w:r>
      <w:r w:rsidR="000649A6">
        <w:rPr>
          <w:rFonts w:cs="Times New Roman"/>
          <w:szCs w:val="24"/>
        </w:rPr>
        <w:t xml:space="preserve">I). </w:t>
      </w:r>
      <w:r>
        <w:rPr>
          <w:rFonts w:cs="Times New Roman"/>
          <w:szCs w:val="24"/>
        </w:rPr>
        <w:t xml:space="preserve">Fees specified in the regulations for vehicle examinations in non-regional areas apply. </w:t>
      </w:r>
      <w:r w:rsidR="000649A6">
        <w:rPr>
          <w:rFonts w:cs="Times New Roman"/>
          <w:szCs w:val="24"/>
        </w:rPr>
        <w:t>T</w:t>
      </w:r>
      <w:r w:rsidR="005A6900" w:rsidRPr="003167F7">
        <w:rPr>
          <w:rFonts w:cs="Times New Roman"/>
          <w:szCs w:val="24"/>
        </w:rPr>
        <w:t xml:space="preserve">he purpose of </w:t>
      </w:r>
      <w:r w:rsidR="00B95C24" w:rsidRPr="003167F7">
        <w:rPr>
          <w:rFonts w:cs="Times New Roman"/>
          <w:szCs w:val="24"/>
        </w:rPr>
        <w:t>th</w:t>
      </w:r>
      <w:r w:rsidR="006858DC" w:rsidRPr="003167F7">
        <w:rPr>
          <w:rFonts w:cs="Times New Roman"/>
          <w:szCs w:val="24"/>
        </w:rPr>
        <w:t xml:space="preserve">is </w:t>
      </w:r>
      <w:r w:rsidR="00E2287D">
        <w:rPr>
          <w:rFonts w:cs="Times New Roman"/>
          <w:szCs w:val="24"/>
        </w:rPr>
        <w:t>D</w:t>
      </w:r>
      <w:r w:rsidR="006858DC" w:rsidRPr="003167F7">
        <w:rPr>
          <w:rFonts w:cs="Times New Roman"/>
          <w:szCs w:val="24"/>
        </w:rPr>
        <w:t xml:space="preserve">etermination </w:t>
      </w:r>
      <w:r w:rsidR="003628DF" w:rsidRPr="003167F7">
        <w:rPr>
          <w:rFonts w:cs="Times New Roman"/>
          <w:szCs w:val="24"/>
        </w:rPr>
        <w:t xml:space="preserve">is to </w:t>
      </w:r>
      <w:r w:rsidR="005D3F40">
        <w:rPr>
          <w:rFonts w:cs="Times New Roman"/>
          <w:szCs w:val="24"/>
        </w:rPr>
        <w:t xml:space="preserve">establish vehicle examination fees </w:t>
      </w:r>
      <w:r w:rsidR="00C406E2">
        <w:rPr>
          <w:rFonts w:cs="Times New Roman"/>
          <w:szCs w:val="24"/>
        </w:rPr>
        <w:t xml:space="preserve">that apply </w:t>
      </w:r>
      <w:r w:rsidR="005D3F40">
        <w:rPr>
          <w:rFonts w:cs="Times New Roman"/>
          <w:szCs w:val="24"/>
        </w:rPr>
        <w:t xml:space="preserve">for motor vehicle licensing </w:t>
      </w:r>
      <w:r w:rsidR="00C406E2">
        <w:rPr>
          <w:rFonts w:cs="Times New Roman"/>
          <w:szCs w:val="24"/>
        </w:rPr>
        <w:t xml:space="preserve">and registration on </w:t>
      </w:r>
      <w:r w:rsidR="00B760AE" w:rsidRPr="00B760AE">
        <w:rPr>
          <w:rFonts w:cs="Times New Roman"/>
          <w:szCs w:val="24"/>
        </w:rPr>
        <w:t>Cocos (Keeling) Islands</w:t>
      </w:r>
      <w:r w:rsidR="00B760AE">
        <w:rPr>
          <w:rFonts w:cs="Times New Roman"/>
          <w:szCs w:val="24"/>
        </w:rPr>
        <w:t xml:space="preserve"> that are consistent with vehicle examination fees on Christmas Island</w:t>
      </w:r>
      <w:r w:rsidR="00C406E2">
        <w:rPr>
          <w:rFonts w:cs="Times New Roman"/>
          <w:szCs w:val="24"/>
        </w:rPr>
        <w:t>.</w:t>
      </w:r>
      <w:r w:rsidR="00B87564">
        <w:rPr>
          <w:rFonts w:cs="Times New Roman"/>
          <w:szCs w:val="24"/>
        </w:rPr>
        <w:t xml:space="preserve"> </w:t>
      </w:r>
    </w:p>
    <w:p w:rsidR="00E651D1" w:rsidRPr="00C406E2" w:rsidRDefault="00E651D1" w:rsidP="00301F6B">
      <w:pPr>
        <w:spacing w:before="120" w:after="120" w:line="240" w:lineRule="auto"/>
        <w:rPr>
          <w:rFonts w:cs="Times New Roman"/>
          <w:i/>
          <w:szCs w:val="24"/>
          <w:lang w:val="en-US"/>
        </w:rPr>
      </w:pPr>
      <w:r w:rsidRPr="00C406E2">
        <w:rPr>
          <w:rFonts w:cs="Times New Roman"/>
          <w:i/>
          <w:szCs w:val="24"/>
          <w:lang w:val="en-US"/>
        </w:rPr>
        <w:t xml:space="preserve">Impact </w:t>
      </w:r>
      <w:r w:rsidR="00C406E2" w:rsidRPr="00C406E2">
        <w:rPr>
          <w:rFonts w:cs="Times New Roman"/>
          <w:i/>
          <w:szCs w:val="24"/>
          <w:lang w:val="en-US"/>
        </w:rPr>
        <w:t>and effect</w:t>
      </w:r>
    </w:p>
    <w:p w:rsidR="00350505" w:rsidRDefault="009B61D1" w:rsidP="00301F6B">
      <w:pPr>
        <w:spacing w:before="120" w:after="0" w:line="240" w:lineRule="auto"/>
        <w:rPr>
          <w:rFonts w:cs="Times New Roman"/>
          <w:szCs w:val="24"/>
        </w:rPr>
      </w:pPr>
      <w:r w:rsidRPr="003167F7">
        <w:rPr>
          <w:rFonts w:cs="Times New Roman"/>
          <w:szCs w:val="24"/>
        </w:rPr>
        <w:t>T</w:t>
      </w:r>
      <w:r w:rsidR="00022778" w:rsidRPr="003167F7">
        <w:rPr>
          <w:rFonts w:cs="Times New Roman"/>
          <w:szCs w:val="24"/>
        </w:rPr>
        <w:t xml:space="preserve">he Determination does not create any additional regulatory impacts for </w:t>
      </w:r>
      <w:r w:rsidR="00C406E2">
        <w:rPr>
          <w:rFonts w:cs="Times New Roman"/>
          <w:szCs w:val="24"/>
        </w:rPr>
        <w:t>vehicle owners</w:t>
      </w:r>
      <w:r w:rsidR="00022778" w:rsidRPr="003167F7">
        <w:rPr>
          <w:rFonts w:cs="Times New Roman"/>
          <w:szCs w:val="24"/>
        </w:rPr>
        <w:t>.</w:t>
      </w:r>
      <w:r w:rsidR="00C0654C" w:rsidRPr="003167F7">
        <w:rPr>
          <w:rFonts w:cs="Times New Roman"/>
          <w:szCs w:val="24"/>
        </w:rPr>
        <w:t xml:space="preserve"> </w:t>
      </w:r>
    </w:p>
    <w:p w:rsidR="005E5ACC" w:rsidRDefault="00B87564" w:rsidP="00301F6B">
      <w:pPr>
        <w:spacing w:before="120" w:after="240" w:line="240" w:lineRule="auto"/>
        <w:rPr>
          <w:rFonts w:cs="Times New Roman"/>
          <w:szCs w:val="24"/>
        </w:rPr>
      </w:pPr>
      <w:r w:rsidRPr="00B87564">
        <w:rPr>
          <w:rFonts w:cs="Times New Roman"/>
          <w:szCs w:val="24"/>
        </w:rPr>
        <w:t xml:space="preserve">The </w:t>
      </w:r>
      <w:r>
        <w:rPr>
          <w:rFonts w:cs="Times New Roman"/>
          <w:szCs w:val="24"/>
        </w:rPr>
        <w:t xml:space="preserve">Determination </w:t>
      </w:r>
      <w:r w:rsidRPr="00B87564">
        <w:rPr>
          <w:rFonts w:cs="Times New Roman"/>
          <w:szCs w:val="24"/>
        </w:rPr>
        <w:t>adopt</w:t>
      </w:r>
      <w:r>
        <w:rPr>
          <w:rFonts w:cs="Times New Roman"/>
          <w:szCs w:val="24"/>
        </w:rPr>
        <w:t>s</w:t>
      </w:r>
      <w:r w:rsidRPr="00B87564">
        <w:rPr>
          <w:rFonts w:cs="Times New Roman"/>
          <w:szCs w:val="24"/>
        </w:rPr>
        <w:t xml:space="preserve"> </w:t>
      </w:r>
      <w:r w:rsidR="005E5ACC">
        <w:rPr>
          <w:rFonts w:cs="Times New Roman"/>
          <w:szCs w:val="24"/>
        </w:rPr>
        <w:t>similar m</w:t>
      </w:r>
      <w:r w:rsidRPr="00B87564">
        <w:rPr>
          <w:rFonts w:cs="Times New Roman"/>
          <w:szCs w:val="24"/>
        </w:rPr>
        <w:t xml:space="preserve">otor vehicle </w:t>
      </w:r>
      <w:r w:rsidR="005E5ACC">
        <w:rPr>
          <w:rFonts w:cs="Times New Roman"/>
          <w:szCs w:val="24"/>
        </w:rPr>
        <w:t xml:space="preserve">inspection </w:t>
      </w:r>
      <w:r>
        <w:rPr>
          <w:rFonts w:cs="Times New Roman"/>
          <w:szCs w:val="24"/>
        </w:rPr>
        <w:t xml:space="preserve">fees </w:t>
      </w:r>
      <w:r w:rsidRPr="00B87564">
        <w:rPr>
          <w:rFonts w:cs="Times New Roman"/>
          <w:szCs w:val="24"/>
        </w:rPr>
        <w:t xml:space="preserve">currently </w:t>
      </w:r>
      <w:r>
        <w:rPr>
          <w:rFonts w:cs="Times New Roman"/>
          <w:szCs w:val="24"/>
        </w:rPr>
        <w:t xml:space="preserve">paid by customers for </w:t>
      </w:r>
      <w:r w:rsidR="000A79C3">
        <w:rPr>
          <w:rFonts w:cs="Times New Roman"/>
          <w:szCs w:val="24"/>
        </w:rPr>
        <w:t>examinations</w:t>
      </w:r>
      <w:r>
        <w:rPr>
          <w:rFonts w:cs="Times New Roman"/>
          <w:szCs w:val="24"/>
        </w:rPr>
        <w:t xml:space="preserve"> on </w:t>
      </w:r>
      <w:r w:rsidRPr="00B87564">
        <w:rPr>
          <w:rFonts w:cs="Times New Roman"/>
          <w:szCs w:val="24"/>
        </w:rPr>
        <w:t>Christmas Island</w:t>
      </w:r>
      <w:r>
        <w:rPr>
          <w:rFonts w:cs="Times New Roman"/>
          <w:szCs w:val="24"/>
        </w:rPr>
        <w:t>.</w:t>
      </w:r>
      <w:r w:rsidR="005E5ACC" w:rsidRPr="005E5ACC">
        <w:rPr>
          <w:rFonts w:cs="Times New Roman"/>
          <w:szCs w:val="24"/>
        </w:rPr>
        <w:t xml:space="preserve"> </w:t>
      </w:r>
    </w:p>
    <w:p w:rsidR="00B87564" w:rsidRPr="003167F7" w:rsidRDefault="0046078C" w:rsidP="00301F6B">
      <w:pPr>
        <w:spacing w:before="120" w:after="240" w:line="240" w:lineRule="auto"/>
        <w:rPr>
          <w:rFonts w:cs="Times New Roman"/>
          <w:szCs w:val="24"/>
        </w:rPr>
      </w:pPr>
      <w:r>
        <w:rPr>
          <w:rFonts w:cs="Times New Roman"/>
          <w:szCs w:val="24"/>
        </w:rPr>
        <w:t xml:space="preserve">The fees for vehicle examination services on </w:t>
      </w:r>
      <w:r w:rsidR="00B760AE" w:rsidRPr="00B760AE">
        <w:rPr>
          <w:rFonts w:cs="Times New Roman"/>
          <w:szCs w:val="24"/>
        </w:rPr>
        <w:t xml:space="preserve">Cocos (Keeling) Islands </w:t>
      </w:r>
      <w:r>
        <w:rPr>
          <w:rFonts w:cs="Times New Roman"/>
          <w:szCs w:val="24"/>
        </w:rPr>
        <w:t xml:space="preserve">displace any </w:t>
      </w:r>
      <w:r w:rsidR="00EA4506">
        <w:rPr>
          <w:rFonts w:cs="Times New Roman"/>
          <w:szCs w:val="24"/>
        </w:rPr>
        <w:t xml:space="preserve">fees </w:t>
      </w:r>
      <w:r>
        <w:rPr>
          <w:rFonts w:cs="Times New Roman"/>
          <w:szCs w:val="24"/>
        </w:rPr>
        <w:t>that otherwise apply under an applied W</w:t>
      </w:r>
      <w:r w:rsidR="006E77BD">
        <w:rPr>
          <w:rFonts w:cs="Times New Roman"/>
          <w:szCs w:val="24"/>
        </w:rPr>
        <w:t>estern Australian</w:t>
      </w:r>
      <w:r>
        <w:rPr>
          <w:rFonts w:cs="Times New Roman"/>
          <w:szCs w:val="24"/>
        </w:rPr>
        <w:t xml:space="preserve"> law. </w:t>
      </w:r>
      <w:r w:rsidR="005E5ACC">
        <w:rPr>
          <w:rFonts w:cs="Times New Roman"/>
          <w:szCs w:val="24"/>
        </w:rPr>
        <w:t>These fees are not to be indexed, and are to continue to apply until this instrument is amended or repealed.</w:t>
      </w:r>
    </w:p>
    <w:p w:rsidR="00D410BB" w:rsidRPr="003B3BBF" w:rsidRDefault="002D45F2" w:rsidP="00301F6B">
      <w:pPr>
        <w:spacing w:before="120" w:after="120" w:line="240" w:lineRule="auto"/>
        <w:rPr>
          <w:rFonts w:cs="Times New Roman"/>
          <w:i/>
          <w:szCs w:val="24"/>
        </w:rPr>
      </w:pPr>
      <w:r w:rsidRPr="003B3BBF">
        <w:rPr>
          <w:rFonts w:cs="Times New Roman"/>
          <w:i/>
          <w:szCs w:val="24"/>
        </w:rPr>
        <w:t>Basis for D</w:t>
      </w:r>
      <w:r w:rsidR="00D410BB" w:rsidRPr="003B3BBF">
        <w:rPr>
          <w:rFonts w:cs="Times New Roman"/>
          <w:i/>
          <w:szCs w:val="24"/>
        </w:rPr>
        <w:t>etermining Charges</w:t>
      </w:r>
    </w:p>
    <w:p w:rsidR="00C2158D" w:rsidRDefault="00885D0F" w:rsidP="00301F6B">
      <w:pPr>
        <w:spacing w:before="120" w:after="0" w:line="240" w:lineRule="auto"/>
        <w:rPr>
          <w:szCs w:val="24"/>
        </w:rPr>
      </w:pPr>
      <w:r w:rsidRPr="003167F7">
        <w:rPr>
          <w:szCs w:val="24"/>
        </w:rPr>
        <w:t>The Government’s objective is to align</w:t>
      </w:r>
      <w:r w:rsidR="002D45F2">
        <w:rPr>
          <w:szCs w:val="24"/>
        </w:rPr>
        <w:t>,</w:t>
      </w:r>
      <w:r w:rsidRPr="003167F7">
        <w:rPr>
          <w:szCs w:val="24"/>
        </w:rPr>
        <w:t xml:space="preserve"> as far as practical</w:t>
      </w:r>
      <w:r w:rsidR="002D45F2">
        <w:rPr>
          <w:szCs w:val="24"/>
        </w:rPr>
        <w:t>,</w:t>
      </w:r>
      <w:r w:rsidRPr="003167F7">
        <w:rPr>
          <w:szCs w:val="24"/>
        </w:rPr>
        <w:t xml:space="preserve"> conditions and standards in the </w:t>
      </w:r>
      <w:r w:rsidR="003B009C" w:rsidRPr="003167F7">
        <w:rPr>
          <w:szCs w:val="24"/>
        </w:rPr>
        <w:t xml:space="preserve">Indian Ocean </w:t>
      </w:r>
      <w:r w:rsidRPr="003167F7">
        <w:rPr>
          <w:szCs w:val="24"/>
        </w:rPr>
        <w:t>Territories</w:t>
      </w:r>
      <w:r w:rsidR="00E05DE5" w:rsidRPr="003167F7">
        <w:rPr>
          <w:szCs w:val="24"/>
        </w:rPr>
        <w:t>, which includes</w:t>
      </w:r>
      <w:r w:rsidR="00B760AE">
        <w:rPr>
          <w:szCs w:val="24"/>
        </w:rPr>
        <w:t xml:space="preserve"> the </w:t>
      </w:r>
      <w:r w:rsidR="00B760AE" w:rsidRPr="00B760AE">
        <w:rPr>
          <w:szCs w:val="24"/>
        </w:rPr>
        <w:t>Cocos (Keeling) Islands</w:t>
      </w:r>
      <w:r w:rsidR="00E05DE5" w:rsidRPr="003167F7">
        <w:rPr>
          <w:szCs w:val="24"/>
        </w:rPr>
        <w:t>,</w:t>
      </w:r>
      <w:r w:rsidRPr="003167F7">
        <w:rPr>
          <w:szCs w:val="24"/>
        </w:rPr>
        <w:t xml:space="preserve"> with those in comparable communities in the rest of Australia.  </w:t>
      </w:r>
      <w:r w:rsidR="00C2158D" w:rsidRPr="00C2158D">
        <w:rPr>
          <w:szCs w:val="24"/>
        </w:rPr>
        <w:t xml:space="preserve">It aims for full cost recovery across the range of operations, however it is acknowledged that for some locations this may not be achievable. </w:t>
      </w:r>
      <w:r w:rsidR="00B760AE">
        <w:rPr>
          <w:szCs w:val="24"/>
        </w:rPr>
        <w:t xml:space="preserve">The </w:t>
      </w:r>
      <w:r w:rsidR="00B760AE" w:rsidRPr="00B760AE">
        <w:rPr>
          <w:szCs w:val="24"/>
        </w:rPr>
        <w:t xml:space="preserve">Cocos (Keeling) Islands </w:t>
      </w:r>
      <w:r w:rsidR="003B3BBF">
        <w:rPr>
          <w:szCs w:val="24"/>
        </w:rPr>
        <w:t xml:space="preserve">is a </w:t>
      </w:r>
      <w:r w:rsidR="00C2158D" w:rsidRPr="00C2158D">
        <w:rPr>
          <w:szCs w:val="24"/>
        </w:rPr>
        <w:t>place where recouped fees are currently less than the cost of supply.</w:t>
      </w:r>
    </w:p>
    <w:p w:rsidR="005F60BB" w:rsidRDefault="00B476F5" w:rsidP="005F60BB">
      <w:pPr>
        <w:spacing w:before="120" w:after="240" w:line="240" w:lineRule="auto"/>
        <w:rPr>
          <w:szCs w:val="24"/>
        </w:rPr>
      </w:pPr>
      <w:r w:rsidRPr="00B476F5">
        <w:rPr>
          <w:szCs w:val="24"/>
        </w:rPr>
        <w:t xml:space="preserve">It is Australian Government policy that, wherever possible, there should be parity in the cost of provision of state-type services on </w:t>
      </w:r>
      <w:r w:rsidR="00B760AE">
        <w:rPr>
          <w:szCs w:val="24"/>
        </w:rPr>
        <w:t xml:space="preserve">the </w:t>
      </w:r>
      <w:r w:rsidR="00B760AE" w:rsidRPr="00B760AE">
        <w:rPr>
          <w:szCs w:val="24"/>
        </w:rPr>
        <w:t xml:space="preserve">Cocos (Keeling) Islands </w:t>
      </w:r>
      <w:r w:rsidRPr="00B476F5">
        <w:rPr>
          <w:szCs w:val="24"/>
        </w:rPr>
        <w:t xml:space="preserve">with those applied in a similar remote Australian mainland location. The </w:t>
      </w:r>
      <w:r w:rsidR="00B760AE">
        <w:rPr>
          <w:szCs w:val="24"/>
        </w:rPr>
        <w:t xml:space="preserve">fees </w:t>
      </w:r>
      <w:r w:rsidRPr="00B476F5">
        <w:rPr>
          <w:szCs w:val="24"/>
        </w:rPr>
        <w:t xml:space="preserve">are similar to </w:t>
      </w:r>
      <w:r w:rsidR="000A79C3">
        <w:rPr>
          <w:szCs w:val="24"/>
        </w:rPr>
        <w:t xml:space="preserve">examination </w:t>
      </w:r>
      <w:r w:rsidR="00182ED7">
        <w:rPr>
          <w:szCs w:val="24"/>
        </w:rPr>
        <w:t xml:space="preserve">fees </w:t>
      </w:r>
      <w:r w:rsidRPr="00B476F5">
        <w:rPr>
          <w:szCs w:val="24"/>
        </w:rPr>
        <w:t>that apply in the Kimberley region of Western Australia</w:t>
      </w:r>
      <w:r w:rsidR="005F60BB">
        <w:rPr>
          <w:szCs w:val="24"/>
        </w:rPr>
        <w:t xml:space="preserve"> (WA)</w:t>
      </w:r>
      <w:r w:rsidR="006E77BD">
        <w:rPr>
          <w:szCs w:val="24"/>
        </w:rPr>
        <w:t xml:space="preserve">. </w:t>
      </w:r>
      <w:r w:rsidR="005F60BB" w:rsidRPr="005F60BB">
        <w:rPr>
          <w:szCs w:val="24"/>
        </w:rPr>
        <w:t>The Australian Government Commonwealth Grants Commission report on the Indian Ocean Territories 2007, lists a number of towns in the Kimberley as ‘comparable communities’.</w:t>
      </w:r>
    </w:p>
    <w:p w:rsidR="005F60BB" w:rsidRPr="005F60BB" w:rsidRDefault="005F60BB" w:rsidP="005F60BB">
      <w:pPr>
        <w:spacing w:before="120" w:after="240" w:line="240" w:lineRule="auto"/>
        <w:rPr>
          <w:szCs w:val="24"/>
        </w:rPr>
      </w:pPr>
    </w:p>
    <w:p w:rsidR="003B3BBF" w:rsidRPr="003B3BBF" w:rsidRDefault="003B3BBF" w:rsidP="00301F6B">
      <w:pPr>
        <w:spacing w:before="120" w:after="0" w:line="240" w:lineRule="auto"/>
        <w:rPr>
          <w:i/>
          <w:szCs w:val="24"/>
        </w:rPr>
      </w:pPr>
      <w:r w:rsidRPr="003B3BBF">
        <w:rPr>
          <w:i/>
          <w:szCs w:val="24"/>
        </w:rPr>
        <w:lastRenderedPageBreak/>
        <w:t>Regulatory Impact Statement</w:t>
      </w:r>
    </w:p>
    <w:p w:rsidR="003B3BBF" w:rsidRPr="003B3BBF" w:rsidRDefault="003B3BBF" w:rsidP="00301F6B">
      <w:pPr>
        <w:spacing w:before="120" w:after="240" w:line="240" w:lineRule="auto"/>
        <w:rPr>
          <w:szCs w:val="24"/>
        </w:rPr>
      </w:pPr>
      <w:r w:rsidRPr="003B3BBF">
        <w:rPr>
          <w:szCs w:val="24"/>
        </w:rPr>
        <w:t>The Office of Best Practice Regulation considers the proposal is likely to have no more than minor regulatory impacts on business, community organisations or individuals. In addition, it understands that the matter will not be considered by Cabinet, and so the preparation of a Regulation Impact Statement is not require</w:t>
      </w:r>
      <w:r w:rsidR="005F60BB">
        <w:rPr>
          <w:szCs w:val="24"/>
        </w:rPr>
        <w:t xml:space="preserve">d </w:t>
      </w:r>
      <w:r w:rsidR="005F60BB" w:rsidRPr="005F60BB">
        <w:rPr>
          <w:szCs w:val="24"/>
        </w:rPr>
        <w:t>(OBPR ID: 25604).</w:t>
      </w:r>
    </w:p>
    <w:p w:rsidR="003B3BBF" w:rsidRPr="000B0F6B" w:rsidRDefault="003B3BBF" w:rsidP="00301F6B">
      <w:pPr>
        <w:spacing w:before="120" w:after="0" w:line="240" w:lineRule="auto"/>
        <w:rPr>
          <w:i/>
          <w:szCs w:val="24"/>
        </w:rPr>
      </w:pPr>
      <w:r w:rsidRPr="000B0F6B">
        <w:rPr>
          <w:i/>
          <w:szCs w:val="24"/>
        </w:rPr>
        <w:t xml:space="preserve">Conditions to be </w:t>
      </w:r>
      <w:r w:rsidR="00AA46E3" w:rsidRPr="000B0F6B">
        <w:rPr>
          <w:i/>
          <w:szCs w:val="24"/>
        </w:rPr>
        <w:t>satisfied</w:t>
      </w:r>
    </w:p>
    <w:p w:rsidR="00C2158D" w:rsidRDefault="003B3BBF" w:rsidP="00301F6B">
      <w:pPr>
        <w:spacing w:before="120" w:after="0" w:line="240" w:lineRule="auto"/>
        <w:rPr>
          <w:szCs w:val="24"/>
        </w:rPr>
      </w:pPr>
      <w:r w:rsidRPr="003B3BBF">
        <w:rPr>
          <w:szCs w:val="24"/>
        </w:rPr>
        <w:t>The Ordinance does not specify conditions that need to be satisfied before power to make the Determination may be exercised.</w:t>
      </w:r>
    </w:p>
    <w:p w:rsidR="000B0F6B" w:rsidRPr="003B3BBF" w:rsidRDefault="000B0F6B" w:rsidP="00301F6B">
      <w:pPr>
        <w:spacing w:before="120" w:after="0" w:line="240" w:lineRule="auto"/>
        <w:rPr>
          <w:rFonts w:cs="Times New Roman"/>
          <w:i/>
          <w:szCs w:val="24"/>
        </w:rPr>
      </w:pPr>
      <w:r w:rsidRPr="003B3BBF">
        <w:rPr>
          <w:rFonts w:cs="Times New Roman"/>
          <w:i/>
          <w:szCs w:val="24"/>
        </w:rPr>
        <w:t>Consultation</w:t>
      </w:r>
    </w:p>
    <w:p w:rsidR="000B0F6B" w:rsidRPr="003167F7" w:rsidRDefault="000B0F6B" w:rsidP="00301F6B">
      <w:pPr>
        <w:spacing w:before="120" w:after="0" w:line="240" w:lineRule="auto"/>
        <w:rPr>
          <w:rFonts w:cs="Times New Roman"/>
          <w:szCs w:val="24"/>
        </w:rPr>
      </w:pPr>
      <w:r w:rsidRPr="003167F7">
        <w:rPr>
          <w:rFonts w:cs="Times New Roman"/>
          <w:szCs w:val="24"/>
        </w:rPr>
        <w:t xml:space="preserve">The Department of Infrastructure </w:t>
      </w:r>
      <w:r w:rsidR="00E2287D">
        <w:rPr>
          <w:rFonts w:cs="Times New Roman"/>
          <w:szCs w:val="24"/>
        </w:rPr>
        <w:t xml:space="preserve">Transport, Cities </w:t>
      </w:r>
      <w:r w:rsidRPr="003167F7">
        <w:rPr>
          <w:rFonts w:cs="Times New Roman"/>
          <w:szCs w:val="24"/>
        </w:rPr>
        <w:t xml:space="preserve">and Regional Development consulted with the Administrator of the Territory of </w:t>
      </w:r>
      <w:r w:rsidR="00B760AE">
        <w:rPr>
          <w:rFonts w:cs="Times New Roman"/>
          <w:szCs w:val="24"/>
        </w:rPr>
        <w:t xml:space="preserve">the </w:t>
      </w:r>
      <w:r w:rsidR="00B760AE" w:rsidRPr="00B760AE">
        <w:rPr>
          <w:rFonts w:cs="Times New Roman"/>
          <w:szCs w:val="24"/>
        </w:rPr>
        <w:t>Cocos (Keeling) Islands</w:t>
      </w:r>
      <w:r w:rsidRPr="003167F7">
        <w:rPr>
          <w:rFonts w:cs="Times New Roman"/>
          <w:szCs w:val="24"/>
        </w:rPr>
        <w:t xml:space="preserve">, the </w:t>
      </w:r>
      <w:r>
        <w:rPr>
          <w:rFonts w:cs="Times New Roman"/>
          <w:szCs w:val="24"/>
        </w:rPr>
        <w:t xml:space="preserve">WA Department of Transport, </w:t>
      </w:r>
      <w:r w:rsidR="00E2287D">
        <w:rPr>
          <w:rFonts w:cs="Times New Roman"/>
          <w:szCs w:val="24"/>
        </w:rPr>
        <w:t xml:space="preserve">the </w:t>
      </w:r>
      <w:r>
        <w:rPr>
          <w:rFonts w:cs="Times New Roman"/>
          <w:szCs w:val="24"/>
        </w:rPr>
        <w:t xml:space="preserve">Indian Ocean Territories Administration (Motor Vehicle Registry), </w:t>
      </w:r>
      <w:r w:rsidRPr="003167F7">
        <w:rPr>
          <w:rFonts w:cs="Times New Roman"/>
          <w:szCs w:val="24"/>
        </w:rPr>
        <w:t xml:space="preserve">and the </w:t>
      </w:r>
      <w:r w:rsidRPr="003B3BBF">
        <w:rPr>
          <w:rFonts w:cs="Times New Roman"/>
          <w:szCs w:val="24"/>
        </w:rPr>
        <w:t>Office of Best Practice Regulation</w:t>
      </w:r>
      <w:r w:rsidRPr="003167F7">
        <w:rPr>
          <w:rFonts w:cs="Times New Roman"/>
          <w:szCs w:val="24"/>
        </w:rPr>
        <w:t xml:space="preserve">. </w:t>
      </w:r>
    </w:p>
    <w:p w:rsidR="000B0F6B" w:rsidRPr="003167F7" w:rsidRDefault="000B0F6B" w:rsidP="00301F6B">
      <w:pPr>
        <w:spacing w:before="120" w:after="240" w:line="240" w:lineRule="auto"/>
        <w:rPr>
          <w:rFonts w:cs="Times New Roman"/>
          <w:szCs w:val="24"/>
        </w:rPr>
      </w:pPr>
      <w:r w:rsidRPr="003167F7">
        <w:rPr>
          <w:rFonts w:cs="Times New Roman"/>
          <w:szCs w:val="24"/>
        </w:rPr>
        <w:t xml:space="preserve">Further consultation was not considered necessary </w:t>
      </w:r>
      <w:r w:rsidR="005F60BB">
        <w:rPr>
          <w:rFonts w:cs="Times New Roman"/>
          <w:szCs w:val="24"/>
        </w:rPr>
        <w:t xml:space="preserve">because </w:t>
      </w:r>
      <w:r w:rsidRPr="003167F7">
        <w:rPr>
          <w:rFonts w:cs="Times New Roman"/>
          <w:szCs w:val="24"/>
        </w:rPr>
        <w:t xml:space="preserve">this Determination </w:t>
      </w:r>
      <w:r w:rsidR="005F60BB">
        <w:rPr>
          <w:rFonts w:cs="Times New Roman"/>
          <w:szCs w:val="24"/>
        </w:rPr>
        <w:t xml:space="preserve">amends regulated fees. </w:t>
      </w:r>
    </w:p>
    <w:p w:rsidR="00B476F5" w:rsidRPr="00B476F5" w:rsidRDefault="00B476F5" w:rsidP="00301F6B">
      <w:pPr>
        <w:rPr>
          <w:rFonts w:cs="Times New Roman"/>
          <w:b/>
          <w:szCs w:val="24"/>
        </w:rPr>
      </w:pPr>
      <w:r w:rsidRPr="00B476F5">
        <w:rPr>
          <w:rFonts w:cs="Times New Roman"/>
          <w:b/>
          <w:i/>
          <w:szCs w:val="24"/>
          <w:u w:val="single"/>
        </w:rPr>
        <w:t>Detailed Description of this Determination</w:t>
      </w:r>
    </w:p>
    <w:p w:rsidR="00B476F5" w:rsidRPr="00B476F5" w:rsidRDefault="00B476F5" w:rsidP="00301F6B">
      <w:pPr>
        <w:rPr>
          <w:rFonts w:cs="Times New Roman"/>
          <w:b/>
          <w:szCs w:val="24"/>
        </w:rPr>
      </w:pPr>
      <w:r w:rsidRPr="00B476F5">
        <w:rPr>
          <w:rFonts w:cs="Times New Roman"/>
          <w:b/>
          <w:szCs w:val="24"/>
        </w:rPr>
        <w:t>Section 1 – Name</w:t>
      </w:r>
    </w:p>
    <w:p w:rsidR="00B476F5" w:rsidRPr="00B476F5" w:rsidRDefault="00B476F5" w:rsidP="00301F6B">
      <w:pPr>
        <w:rPr>
          <w:rFonts w:cs="Times New Roman"/>
          <w:szCs w:val="24"/>
        </w:rPr>
      </w:pPr>
      <w:r w:rsidRPr="00B476F5">
        <w:rPr>
          <w:rFonts w:cs="Times New Roman"/>
          <w:szCs w:val="24"/>
        </w:rPr>
        <w:t xml:space="preserve">This section provides that the name of this Determination is the </w:t>
      </w:r>
      <w:r w:rsidR="00042D68" w:rsidRPr="00042D68">
        <w:rPr>
          <w:rFonts w:cs="Times New Roman"/>
          <w:szCs w:val="24"/>
        </w:rPr>
        <w:t xml:space="preserve">Cocos (Keeling) Islands </w:t>
      </w:r>
      <w:r w:rsidRPr="00B476F5">
        <w:rPr>
          <w:rFonts w:cs="Times New Roman"/>
          <w:szCs w:val="24"/>
        </w:rPr>
        <w:t>Utilities and Services (</w:t>
      </w:r>
      <w:r>
        <w:rPr>
          <w:rFonts w:cs="Times New Roman"/>
          <w:szCs w:val="24"/>
        </w:rPr>
        <w:t xml:space="preserve">Vehicle Examination </w:t>
      </w:r>
      <w:r w:rsidRPr="00B476F5">
        <w:rPr>
          <w:rFonts w:cs="Times New Roman"/>
          <w:szCs w:val="24"/>
        </w:rPr>
        <w:t>Fees) Determination 2019.</w:t>
      </w:r>
    </w:p>
    <w:p w:rsidR="00B476F5" w:rsidRPr="00B476F5" w:rsidRDefault="00B476F5" w:rsidP="00301F6B">
      <w:pPr>
        <w:rPr>
          <w:rFonts w:cs="Times New Roman"/>
          <w:b/>
          <w:szCs w:val="24"/>
        </w:rPr>
      </w:pPr>
      <w:r w:rsidRPr="00B476F5">
        <w:rPr>
          <w:rFonts w:cs="Times New Roman"/>
          <w:b/>
          <w:szCs w:val="24"/>
        </w:rPr>
        <w:t>Section 2 – Commencement</w:t>
      </w:r>
    </w:p>
    <w:p w:rsidR="00B476F5" w:rsidRPr="00B476F5" w:rsidRDefault="00B476F5" w:rsidP="00301F6B">
      <w:pPr>
        <w:rPr>
          <w:rFonts w:cs="Times New Roman"/>
          <w:szCs w:val="24"/>
        </w:rPr>
      </w:pPr>
      <w:r w:rsidRPr="00B476F5">
        <w:rPr>
          <w:rFonts w:cs="Times New Roman"/>
          <w:szCs w:val="24"/>
        </w:rPr>
        <w:t xml:space="preserve">This section provides that this Determination is to commence on </w:t>
      </w:r>
      <w:r w:rsidR="00C10762">
        <w:rPr>
          <w:rFonts w:cs="Times New Roman"/>
          <w:szCs w:val="24"/>
        </w:rPr>
        <w:t>8</w:t>
      </w:r>
      <w:r w:rsidRPr="00B476F5">
        <w:rPr>
          <w:rFonts w:cs="Times New Roman"/>
          <w:szCs w:val="24"/>
        </w:rPr>
        <w:t xml:space="preserve"> </w:t>
      </w:r>
      <w:r>
        <w:rPr>
          <w:rFonts w:cs="Times New Roman"/>
          <w:szCs w:val="24"/>
        </w:rPr>
        <w:t>November</w:t>
      </w:r>
      <w:r w:rsidRPr="00B476F5">
        <w:rPr>
          <w:rFonts w:cs="Times New Roman"/>
          <w:szCs w:val="24"/>
        </w:rPr>
        <w:t xml:space="preserve"> 2019.</w:t>
      </w:r>
    </w:p>
    <w:p w:rsidR="00B476F5" w:rsidRPr="00B476F5" w:rsidRDefault="00B476F5" w:rsidP="00301F6B">
      <w:pPr>
        <w:rPr>
          <w:rFonts w:cs="Times New Roman"/>
          <w:b/>
          <w:szCs w:val="24"/>
        </w:rPr>
      </w:pPr>
      <w:r w:rsidRPr="00B476F5">
        <w:rPr>
          <w:rFonts w:cs="Times New Roman"/>
          <w:b/>
          <w:szCs w:val="24"/>
        </w:rPr>
        <w:t>Section 3 – Authority</w:t>
      </w:r>
    </w:p>
    <w:p w:rsidR="00042D68" w:rsidRDefault="00B476F5" w:rsidP="00042D68">
      <w:pPr>
        <w:spacing w:after="0"/>
        <w:rPr>
          <w:rFonts w:cs="Times New Roman"/>
          <w:szCs w:val="24"/>
        </w:rPr>
      </w:pPr>
      <w:r w:rsidRPr="00B476F5">
        <w:rPr>
          <w:rFonts w:cs="Times New Roman"/>
          <w:szCs w:val="24"/>
        </w:rPr>
        <w:t>This section provides that this Determination is made under paragraph 7(2)(a) of the</w:t>
      </w:r>
      <w:r w:rsidR="00042D68">
        <w:rPr>
          <w:rFonts w:cs="Times New Roman"/>
          <w:szCs w:val="24"/>
        </w:rPr>
        <w:t xml:space="preserve"> </w:t>
      </w:r>
    </w:p>
    <w:p w:rsidR="00B476F5" w:rsidRPr="00B476F5" w:rsidRDefault="00042D68" w:rsidP="00301F6B">
      <w:pPr>
        <w:rPr>
          <w:rFonts w:cs="Times New Roman"/>
          <w:i/>
          <w:szCs w:val="24"/>
        </w:rPr>
      </w:pPr>
      <w:r w:rsidRPr="00042D68">
        <w:rPr>
          <w:rFonts w:cs="Times New Roman"/>
          <w:i/>
          <w:szCs w:val="24"/>
        </w:rPr>
        <w:t xml:space="preserve">Cocos (Keeling) Islands </w:t>
      </w:r>
      <w:r w:rsidR="00B476F5" w:rsidRPr="00B476F5">
        <w:rPr>
          <w:rFonts w:cs="Times New Roman"/>
          <w:i/>
          <w:szCs w:val="24"/>
        </w:rPr>
        <w:t>Utilities and Services Ordinance 2016.</w:t>
      </w:r>
    </w:p>
    <w:p w:rsidR="00B476F5" w:rsidRDefault="00B476F5" w:rsidP="00301F6B">
      <w:pPr>
        <w:rPr>
          <w:rFonts w:cs="Times New Roman"/>
          <w:b/>
          <w:szCs w:val="24"/>
        </w:rPr>
      </w:pPr>
      <w:r w:rsidRPr="00B476F5">
        <w:rPr>
          <w:rFonts w:cs="Times New Roman"/>
          <w:b/>
          <w:szCs w:val="24"/>
        </w:rPr>
        <w:t xml:space="preserve">Section 4 – </w:t>
      </w:r>
      <w:r>
        <w:rPr>
          <w:rFonts w:cs="Times New Roman"/>
          <w:b/>
          <w:szCs w:val="24"/>
        </w:rPr>
        <w:t>Definitions</w:t>
      </w:r>
    </w:p>
    <w:p w:rsidR="00203496" w:rsidRDefault="00203496" w:rsidP="00301F6B">
      <w:pPr>
        <w:rPr>
          <w:rFonts w:cs="Times New Roman"/>
          <w:szCs w:val="24"/>
        </w:rPr>
      </w:pPr>
      <w:r>
        <w:rPr>
          <w:rFonts w:cs="Times New Roman"/>
          <w:szCs w:val="24"/>
        </w:rPr>
        <w:t>This section defin</w:t>
      </w:r>
      <w:r w:rsidR="00AA46E3">
        <w:rPr>
          <w:rFonts w:cs="Times New Roman"/>
          <w:szCs w:val="24"/>
        </w:rPr>
        <w:t xml:space="preserve">es </w:t>
      </w:r>
      <w:r>
        <w:rPr>
          <w:rFonts w:cs="Times New Roman"/>
          <w:szCs w:val="24"/>
        </w:rPr>
        <w:t xml:space="preserve">the types of vehicle </w:t>
      </w:r>
      <w:r w:rsidR="00AA46E3">
        <w:rPr>
          <w:rFonts w:cs="Times New Roman"/>
          <w:szCs w:val="24"/>
        </w:rPr>
        <w:t>that can be i</w:t>
      </w:r>
      <w:r>
        <w:rPr>
          <w:rFonts w:cs="Times New Roman"/>
          <w:szCs w:val="24"/>
        </w:rPr>
        <w:t>nspected:</w:t>
      </w:r>
    </w:p>
    <w:p w:rsidR="00AA46E3" w:rsidRPr="00AA46E3" w:rsidRDefault="006E7F21" w:rsidP="00301F6B">
      <w:pPr>
        <w:spacing w:after="0"/>
        <w:rPr>
          <w:rFonts w:cs="Times New Roman"/>
          <w:szCs w:val="24"/>
        </w:rPr>
      </w:pPr>
      <w:r w:rsidRPr="006E7F21">
        <w:rPr>
          <w:rFonts w:cs="Times New Roman"/>
          <w:b/>
          <w:i/>
          <w:szCs w:val="24"/>
        </w:rPr>
        <w:t>heavy vehicle</w:t>
      </w:r>
      <w:r w:rsidRPr="006E7F21">
        <w:rPr>
          <w:rFonts w:cs="Times New Roman"/>
          <w:szCs w:val="24"/>
        </w:rPr>
        <w:t xml:space="preserve"> has the same meaning as in section 12 of the </w:t>
      </w:r>
      <w:r w:rsidRPr="00D77D74">
        <w:rPr>
          <w:rFonts w:cs="Times New Roman"/>
          <w:szCs w:val="24"/>
        </w:rPr>
        <w:t>Road Traffic (Vehicles) Regulations 2014</w:t>
      </w:r>
      <w:r w:rsidRPr="006E7F21">
        <w:rPr>
          <w:rFonts w:cs="Times New Roman"/>
          <w:szCs w:val="24"/>
        </w:rPr>
        <w:t xml:space="preserve"> (WA).</w:t>
      </w:r>
      <w:r w:rsidR="00203496">
        <w:rPr>
          <w:rFonts w:cs="Times New Roman"/>
          <w:szCs w:val="24"/>
        </w:rPr>
        <w:t xml:space="preserve"> For example</w:t>
      </w:r>
      <w:r w:rsidR="00AA46E3">
        <w:rPr>
          <w:rFonts w:cs="Times New Roman"/>
          <w:szCs w:val="24"/>
        </w:rPr>
        <w:t xml:space="preserve">: </w:t>
      </w:r>
    </w:p>
    <w:p w:rsidR="00AA46E3" w:rsidRPr="00AA46E3" w:rsidRDefault="00AA46E3" w:rsidP="005F60BB">
      <w:pPr>
        <w:spacing w:after="0"/>
        <w:ind w:left="1701" w:hanging="1701"/>
        <w:rPr>
          <w:rFonts w:cs="Times New Roman"/>
          <w:szCs w:val="24"/>
        </w:rPr>
      </w:pPr>
      <w:r w:rsidRPr="00AA46E3">
        <w:rPr>
          <w:rFonts w:cs="Times New Roman"/>
          <w:szCs w:val="24"/>
        </w:rPr>
        <w:t xml:space="preserve">                  (a)     a vehicle with an MRC exceeding 4 500 kg that is an agricultural vehicle, a car or bus, a goods vehicle, a motor home, a prime mover or a special purpose vehicle; or</w:t>
      </w:r>
    </w:p>
    <w:p w:rsidR="006E7F21" w:rsidRPr="006E7F21" w:rsidRDefault="00AA46E3" w:rsidP="00301F6B">
      <w:pPr>
        <w:spacing w:after="120"/>
        <w:rPr>
          <w:rFonts w:cs="Times New Roman"/>
          <w:szCs w:val="24"/>
        </w:rPr>
      </w:pPr>
      <w:r w:rsidRPr="00AA46E3">
        <w:rPr>
          <w:rFonts w:cs="Times New Roman"/>
          <w:szCs w:val="24"/>
        </w:rPr>
        <w:t xml:space="preserve">                  (b)     a heavy trailer</w:t>
      </w:r>
    </w:p>
    <w:p w:rsidR="006E7F21" w:rsidRPr="006E7F21" w:rsidRDefault="006E7F21" w:rsidP="00301F6B">
      <w:pPr>
        <w:spacing w:after="120"/>
        <w:rPr>
          <w:rFonts w:cs="Times New Roman"/>
          <w:szCs w:val="24"/>
        </w:rPr>
      </w:pPr>
      <w:r w:rsidRPr="006E7F21">
        <w:rPr>
          <w:rFonts w:cs="Times New Roman"/>
          <w:b/>
          <w:i/>
          <w:szCs w:val="24"/>
        </w:rPr>
        <w:t>moped</w:t>
      </w:r>
      <w:r w:rsidRPr="006E7F21">
        <w:rPr>
          <w:rFonts w:cs="Times New Roman"/>
          <w:szCs w:val="24"/>
        </w:rPr>
        <w:t xml:space="preserve"> has the same meaning as in section 3 of the </w:t>
      </w:r>
      <w:r w:rsidRPr="00D77D74">
        <w:rPr>
          <w:rFonts w:cs="Times New Roman"/>
          <w:szCs w:val="24"/>
        </w:rPr>
        <w:t xml:space="preserve">Road Traffic (Vehicles) Regulations 2014 </w:t>
      </w:r>
      <w:r w:rsidRPr="006E7F21">
        <w:rPr>
          <w:rFonts w:cs="Times New Roman"/>
          <w:szCs w:val="24"/>
        </w:rPr>
        <w:t>(WA).</w:t>
      </w:r>
      <w:r w:rsidR="00203496">
        <w:rPr>
          <w:rFonts w:cs="Times New Roman"/>
          <w:szCs w:val="24"/>
        </w:rPr>
        <w:t xml:space="preserve"> For example</w:t>
      </w:r>
      <w:r w:rsidR="00AA46E3" w:rsidRPr="00AA46E3">
        <w:t xml:space="preserve"> </w:t>
      </w:r>
      <w:r w:rsidR="00AA46E3" w:rsidRPr="00AA46E3">
        <w:rPr>
          <w:rFonts w:cs="Times New Roman"/>
          <w:szCs w:val="24"/>
        </w:rPr>
        <w:t>a motor cycle or motor tricycle with an engine cylinder capacity of not over 50 mL and a maximum speed of not over 50 km/h</w:t>
      </w:r>
    </w:p>
    <w:p w:rsidR="00AA46E3" w:rsidRPr="00AA46E3" w:rsidRDefault="006E7F21" w:rsidP="00301F6B">
      <w:pPr>
        <w:spacing w:after="0"/>
        <w:rPr>
          <w:rFonts w:cs="Times New Roman"/>
          <w:szCs w:val="24"/>
        </w:rPr>
      </w:pPr>
      <w:r w:rsidRPr="006E7F21">
        <w:rPr>
          <w:rFonts w:cs="Times New Roman"/>
          <w:b/>
          <w:i/>
          <w:szCs w:val="24"/>
        </w:rPr>
        <w:t>motor carrier</w:t>
      </w:r>
      <w:r w:rsidRPr="006E7F21">
        <w:rPr>
          <w:rFonts w:cs="Times New Roman"/>
          <w:szCs w:val="24"/>
        </w:rPr>
        <w:t xml:space="preserve"> has the same meaning as in section 86 of the </w:t>
      </w:r>
      <w:r w:rsidRPr="00D77D74">
        <w:rPr>
          <w:rFonts w:cs="Times New Roman"/>
          <w:szCs w:val="24"/>
        </w:rPr>
        <w:t>Road Traffic (Vehicles) Regulations 2014</w:t>
      </w:r>
      <w:r w:rsidRPr="006E7F21">
        <w:rPr>
          <w:rFonts w:cs="Times New Roman"/>
          <w:szCs w:val="24"/>
        </w:rPr>
        <w:t xml:space="preserve"> (WA).</w:t>
      </w:r>
      <w:r w:rsidR="00203496">
        <w:rPr>
          <w:rFonts w:cs="Times New Roman"/>
          <w:szCs w:val="24"/>
        </w:rPr>
        <w:t xml:space="preserve"> For example</w:t>
      </w:r>
      <w:r w:rsidR="00AA46E3">
        <w:rPr>
          <w:rFonts w:cs="Times New Roman"/>
          <w:szCs w:val="24"/>
        </w:rPr>
        <w:t xml:space="preserve">: </w:t>
      </w:r>
    </w:p>
    <w:p w:rsidR="00AA46E3" w:rsidRPr="00AA46E3" w:rsidRDefault="00AA46E3" w:rsidP="00301F6B">
      <w:pPr>
        <w:spacing w:after="0"/>
        <w:rPr>
          <w:rFonts w:cs="Times New Roman"/>
          <w:szCs w:val="24"/>
        </w:rPr>
      </w:pPr>
      <w:r w:rsidRPr="00AA46E3">
        <w:rPr>
          <w:rFonts w:cs="Times New Roman"/>
          <w:szCs w:val="24"/>
        </w:rPr>
        <w:lastRenderedPageBreak/>
        <w:t>                  (a)     motor vehicle that —</w:t>
      </w:r>
    </w:p>
    <w:p w:rsidR="00AA46E3" w:rsidRPr="00AA46E3" w:rsidRDefault="00AA46E3" w:rsidP="00301F6B">
      <w:pPr>
        <w:spacing w:after="0"/>
        <w:rPr>
          <w:rFonts w:cs="Times New Roman"/>
          <w:szCs w:val="24"/>
        </w:rPr>
      </w:pPr>
      <w:r w:rsidRPr="00AA46E3">
        <w:rPr>
          <w:rFonts w:cs="Times New Roman"/>
          <w:szCs w:val="24"/>
        </w:rPr>
        <w:t>                               (i)     is designed to travel on 3 wheels; and</w:t>
      </w:r>
    </w:p>
    <w:p w:rsidR="00AA46E3" w:rsidRPr="00AA46E3" w:rsidRDefault="00AA46E3" w:rsidP="00301F6B">
      <w:pPr>
        <w:spacing w:after="0"/>
        <w:rPr>
          <w:rFonts w:cs="Times New Roman"/>
          <w:szCs w:val="24"/>
        </w:rPr>
      </w:pPr>
      <w:r w:rsidRPr="00AA46E3">
        <w:rPr>
          <w:rFonts w:cs="Times New Roman"/>
          <w:szCs w:val="24"/>
        </w:rPr>
        <w:t>                              (ii)     has an unladen mass of not more than 1 016 kg; and</w:t>
      </w:r>
    </w:p>
    <w:p w:rsidR="00AA46E3" w:rsidRPr="00AA46E3" w:rsidRDefault="00AA46E3" w:rsidP="005F60BB">
      <w:pPr>
        <w:spacing w:after="0"/>
        <w:ind w:left="2410" w:hanging="2410"/>
        <w:rPr>
          <w:rFonts w:cs="Times New Roman"/>
          <w:szCs w:val="24"/>
        </w:rPr>
      </w:pPr>
      <w:r w:rsidRPr="00AA46E3">
        <w:rPr>
          <w:rFonts w:cs="Times New Roman"/>
          <w:szCs w:val="24"/>
        </w:rPr>
        <w:t>                             (iii)     is designed with a significant portion of its steering mechanism and other controls similar to those of a motor cycle;</w:t>
      </w:r>
    </w:p>
    <w:p w:rsidR="00AA46E3" w:rsidRPr="00AA46E3" w:rsidRDefault="00AA46E3" w:rsidP="00301F6B">
      <w:pPr>
        <w:spacing w:after="0"/>
        <w:rPr>
          <w:rFonts w:cs="Times New Roman"/>
          <w:szCs w:val="24"/>
        </w:rPr>
      </w:pPr>
      <w:r w:rsidRPr="00AA46E3">
        <w:rPr>
          <w:rFonts w:cs="Times New Roman"/>
          <w:szCs w:val="24"/>
        </w:rPr>
        <w:t>                           or</w:t>
      </w:r>
    </w:p>
    <w:p w:rsidR="00AA46E3" w:rsidRPr="00AA46E3" w:rsidRDefault="00AA46E3" w:rsidP="005F60BB">
      <w:pPr>
        <w:spacing w:after="120"/>
        <w:ind w:left="1701" w:hanging="1701"/>
        <w:rPr>
          <w:rFonts w:cs="Times New Roman"/>
          <w:szCs w:val="24"/>
        </w:rPr>
      </w:pPr>
      <w:r w:rsidRPr="00AA46E3">
        <w:rPr>
          <w:rFonts w:cs="Times New Roman"/>
          <w:szCs w:val="24"/>
        </w:rPr>
        <w:t>                  (b)     motorised wheelchair other than a motorised wheelchair that is designed so as not to be capable of a speed exceeding 10 km/h;</w:t>
      </w:r>
    </w:p>
    <w:p w:rsidR="00494A52" w:rsidRDefault="006E7F21" w:rsidP="00301F6B">
      <w:pPr>
        <w:spacing w:after="0"/>
        <w:rPr>
          <w:rFonts w:cs="Times New Roman"/>
          <w:szCs w:val="24"/>
        </w:rPr>
      </w:pPr>
      <w:proofErr w:type="gramStart"/>
      <w:r w:rsidRPr="006E7F21">
        <w:rPr>
          <w:rFonts w:cs="Times New Roman"/>
          <w:b/>
          <w:i/>
          <w:szCs w:val="24"/>
        </w:rPr>
        <w:t>motor</w:t>
      </w:r>
      <w:proofErr w:type="gramEnd"/>
      <w:r w:rsidRPr="006E7F21">
        <w:rPr>
          <w:rFonts w:cs="Times New Roman"/>
          <w:b/>
          <w:i/>
          <w:szCs w:val="24"/>
        </w:rPr>
        <w:t xml:space="preserve"> cycle</w:t>
      </w:r>
      <w:r w:rsidRPr="006E7F21">
        <w:rPr>
          <w:rFonts w:cs="Times New Roman"/>
          <w:szCs w:val="24"/>
        </w:rPr>
        <w:t xml:space="preserve"> has the same meaning as in section 3 of the </w:t>
      </w:r>
      <w:r w:rsidRPr="00D77D74">
        <w:rPr>
          <w:rFonts w:cs="Times New Roman"/>
          <w:szCs w:val="24"/>
        </w:rPr>
        <w:t>Road Traffic (Vehicles)</w:t>
      </w:r>
    </w:p>
    <w:p w:rsidR="00AA46E3" w:rsidRPr="00AA46E3" w:rsidRDefault="006E7F21" w:rsidP="00301F6B">
      <w:pPr>
        <w:spacing w:after="0"/>
        <w:rPr>
          <w:rFonts w:cs="Times New Roman"/>
          <w:szCs w:val="24"/>
        </w:rPr>
      </w:pPr>
      <w:r w:rsidRPr="00D77D74">
        <w:rPr>
          <w:rFonts w:cs="Times New Roman"/>
          <w:szCs w:val="24"/>
        </w:rPr>
        <w:t>Regulations</w:t>
      </w:r>
      <w:r w:rsidR="00494A52">
        <w:rPr>
          <w:rFonts w:cs="Times New Roman"/>
          <w:szCs w:val="24"/>
        </w:rPr>
        <w:t xml:space="preserve"> </w:t>
      </w:r>
      <w:bookmarkStart w:id="0" w:name="_GoBack"/>
      <w:bookmarkEnd w:id="0"/>
      <w:r w:rsidRPr="00D77D74">
        <w:rPr>
          <w:rFonts w:cs="Times New Roman"/>
          <w:szCs w:val="24"/>
        </w:rPr>
        <w:t>2014</w:t>
      </w:r>
      <w:r w:rsidRPr="006E7F21">
        <w:rPr>
          <w:rFonts w:cs="Times New Roman"/>
          <w:szCs w:val="24"/>
        </w:rPr>
        <w:t xml:space="preserve"> (WA).</w:t>
      </w:r>
      <w:r w:rsidR="00203496">
        <w:rPr>
          <w:rFonts w:cs="Times New Roman"/>
          <w:szCs w:val="24"/>
        </w:rPr>
        <w:t xml:space="preserve"> For example</w:t>
      </w:r>
      <w:r w:rsidR="00AA46E3">
        <w:rPr>
          <w:rFonts w:cs="Times New Roman"/>
          <w:szCs w:val="24"/>
        </w:rPr>
        <w:t xml:space="preserve"> </w:t>
      </w:r>
      <w:r w:rsidR="00AA46E3" w:rsidRPr="00AA46E3">
        <w:rPr>
          <w:rFonts w:cs="Times New Roman"/>
          <w:szCs w:val="24"/>
        </w:rPr>
        <w:t>a motor vehicle, other than a motorised wheelchair or a goods vehicle, that is not equipped with a permanent cab and cab roof and that —</w:t>
      </w:r>
    </w:p>
    <w:p w:rsidR="00AA46E3" w:rsidRPr="00AA46E3" w:rsidRDefault="00AA46E3" w:rsidP="00301F6B">
      <w:pPr>
        <w:spacing w:after="0"/>
        <w:rPr>
          <w:rFonts w:cs="Times New Roman"/>
          <w:szCs w:val="24"/>
        </w:rPr>
      </w:pPr>
      <w:r w:rsidRPr="00AA46E3">
        <w:rPr>
          <w:rFonts w:cs="Times New Roman"/>
          <w:szCs w:val="24"/>
        </w:rPr>
        <w:t xml:space="preserve">                  (a)     is designed to travel on 2 wheels, or, with a sidecar attached, 3 wheels; or</w:t>
      </w:r>
    </w:p>
    <w:p w:rsidR="006E7F21" w:rsidRDefault="00AA46E3" w:rsidP="005F60BB">
      <w:pPr>
        <w:spacing w:after="120"/>
        <w:ind w:left="1701" w:hanging="1701"/>
        <w:rPr>
          <w:rFonts w:cs="Times New Roman"/>
          <w:szCs w:val="24"/>
        </w:rPr>
      </w:pPr>
      <w:r w:rsidRPr="00AA46E3">
        <w:rPr>
          <w:rFonts w:cs="Times New Roman"/>
          <w:szCs w:val="24"/>
        </w:rPr>
        <w:t xml:space="preserve">                  (b)     has 3 wheels arranged so that the axis of rotation of 2 wheels lies on the same straight line and each of those 2 wheels is equidistant from the third</w:t>
      </w:r>
      <w:r>
        <w:rPr>
          <w:rFonts w:cs="Times New Roman"/>
          <w:szCs w:val="24"/>
        </w:rPr>
        <w:t>.</w:t>
      </w:r>
    </w:p>
    <w:p w:rsidR="006E7F21" w:rsidRDefault="006E7F21" w:rsidP="00301F6B">
      <w:pPr>
        <w:spacing w:after="120"/>
        <w:rPr>
          <w:rFonts w:cs="Times New Roman"/>
          <w:szCs w:val="24"/>
        </w:rPr>
      </w:pPr>
      <w:r w:rsidRPr="006E7F21">
        <w:rPr>
          <w:rFonts w:cs="Times New Roman"/>
          <w:b/>
          <w:i/>
          <w:szCs w:val="24"/>
        </w:rPr>
        <w:t>trailer</w:t>
      </w:r>
      <w:r w:rsidRPr="006E7F21">
        <w:rPr>
          <w:rFonts w:cs="Times New Roman"/>
          <w:szCs w:val="24"/>
        </w:rPr>
        <w:t xml:space="preserve"> has the same meaning as in section 3 of the </w:t>
      </w:r>
      <w:r w:rsidRPr="00D77D74">
        <w:rPr>
          <w:rFonts w:cs="Times New Roman"/>
          <w:szCs w:val="24"/>
        </w:rPr>
        <w:t xml:space="preserve">Road Traffic (Vehicles) Regulations 2014 </w:t>
      </w:r>
      <w:r w:rsidRPr="006E7F21">
        <w:rPr>
          <w:rFonts w:cs="Times New Roman"/>
          <w:szCs w:val="24"/>
        </w:rPr>
        <w:t>(WA).</w:t>
      </w:r>
      <w:r w:rsidR="00203496">
        <w:rPr>
          <w:rFonts w:cs="Times New Roman"/>
          <w:szCs w:val="24"/>
        </w:rPr>
        <w:t xml:space="preserve"> For example</w:t>
      </w:r>
      <w:r w:rsidR="00AA46E3" w:rsidRPr="00AA46E3">
        <w:rPr>
          <w:rFonts w:eastAsia="Calibri" w:cs="Times New Roman"/>
          <w:szCs w:val="24"/>
          <w:lang w:eastAsia="en-AU"/>
        </w:rPr>
        <w:t xml:space="preserve"> </w:t>
      </w:r>
      <w:r w:rsidR="00AA46E3" w:rsidRPr="00AA46E3">
        <w:rPr>
          <w:rFonts w:cs="Times New Roman"/>
          <w:szCs w:val="24"/>
        </w:rPr>
        <w:t>a vehicle without its own motive power that is built to be towed, or is towed, by a motor vehicle, but does not include a motor vehicle that is being towed</w:t>
      </w:r>
      <w:r w:rsidR="00AA46E3">
        <w:rPr>
          <w:rFonts w:cs="Times New Roman"/>
          <w:szCs w:val="24"/>
        </w:rPr>
        <w:t>.</w:t>
      </w:r>
    </w:p>
    <w:p w:rsidR="006E7F21" w:rsidRPr="006E7F21" w:rsidRDefault="006E7F21" w:rsidP="00301F6B">
      <w:pPr>
        <w:spacing w:after="240"/>
        <w:rPr>
          <w:rFonts w:cs="Times New Roman"/>
          <w:szCs w:val="24"/>
        </w:rPr>
      </w:pPr>
      <w:r w:rsidRPr="006E7F21">
        <w:rPr>
          <w:rFonts w:cs="Times New Roman"/>
          <w:b/>
          <w:i/>
          <w:szCs w:val="24"/>
        </w:rPr>
        <w:t>trailer derivative</w:t>
      </w:r>
      <w:r w:rsidRPr="006E7F21">
        <w:rPr>
          <w:rFonts w:cs="Times New Roman"/>
          <w:szCs w:val="24"/>
        </w:rPr>
        <w:t xml:space="preserve"> has the same meaning as in section 38 of the </w:t>
      </w:r>
      <w:r w:rsidRPr="00D77D74">
        <w:rPr>
          <w:rFonts w:cs="Times New Roman"/>
          <w:szCs w:val="24"/>
        </w:rPr>
        <w:t>Road Traffic (Vehicles) Regulations 2014</w:t>
      </w:r>
      <w:r w:rsidRPr="006E7F21">
        <w:rPr>
          <w:rFonts w:cs="Times New Roman"/>
          <w:szCs w:val="24"/>
        </w:rPr>
        <w:t xml:space="preserve"> (WA).</w:t>
      </w:r>
      <w:r w:rsidR="00203496">
        <w:rPr>
          <w:rFonts w:cs="Times New Roman"/>
          <w:szCs w:val="24"/>
        </w:rPr>
        <w:t xml:space="preserve"> For example</w:t>
      </w:r>
      <w:r w:rsidR="00AA46E3" w:rsidRPr="00AA46E3">
        <w:rPr>
          <w:rFonts w:eastAsia="Calibri" w:cs="Times New Roman"/>
          <w:szCs w:val="24"/>
          <w:lang w:eastAsia="en-AU"/>
        </w:rPr>
        <w:t xml:space="preserve"> </w:t>
      </w:r>
      <w:r w:rsidR="00AA46E3" w:rsidRPr="00AA46E3">
        <w:rPr>
          <w:rFonts w:cs="Times New Roman"/>
          <w:szCs w:val="24"/>
        </w:rPr>
        <w:t>a caravan (trailer type) or plant trailer, in which the body form and the greater part of the mechanical equipment are the same as in a trailer or semi</w:t>
      </w:r>
      <w:r w:rsidR="00AA46E3" w:rsidRPr="00AA46E3">
        <w:rPr>
          <w:rFonts w:cs="Times New Roman"/>
          <w:szCs w:val="24"/>
        </w:rPr>
        <w:noBreakHyphen/>
        <w:t>trailer</w:t>
      </w:r>
      <w:r w:rsidR="00AA46E3">
        <w:rPr>
          <w:rFonts w:cs="Times New Roman"/>
          <w:szCs w:val="24"/>
        </w:rPr>
        <w:t>.</w:t>
      </w:r>
    </w:p>
    <w:p w:rsidR="00203496" w:rsidRDefault="00203496" w:rsidP="00301F6B">
      <w:pPr>
        <w:rPr>
          <w:rFonts w:cs="Times New Roman"/>
          <w:b/>
          <w:szCs w:val="24"/>
        </w:rPr>
      </w:pPr>
      <w:bookmarkStart w:id="1" w:name="_Toc21625764"/>
      <w:r w:rsidRPr="00B476F5">
        <w:rPr>
          <w:rFonts w:cs="Times New Roman"/>
          <w:b/>
          <w:szCs w:val="24"/>
        </w:rPr>
        <w:t xml:space="preserve">Section </w:t>
      </w:r>
      <w:r>
        <w:rPr>
          <w:rFonts w:cs="Times New Roman"/>
          <w:b/>
          <w:szCs w:val="24"/>
        </w:rPr>
        <w:t>5</w:t>
      </w:r>
      <w:r w:rsidRPr="00B476F5">
        <w:rPr>
          <w:rFonts w:cs="Times New Roman"/>
          <w:b/>
          <w:szCs w:val="24"/>
        </w:rPr>
        <w:t xml:space="preserve"> – Fees</w:t>
      </w:r>
    </w:p>
    <w:p w:rsidR="00B476F5" w:rsidRPr="006E7F21" w:rsidRDefault="00203496" w:rsidP="00301F6B">
      <w:pPr>
        <w:rPr>
          <w:rFonts w:cs="Times New Roman"/>
          <w:szCs w:val="24"/>
        </w:rPr>
      </w:pPr>
      <w:r w:rsidRPr="00203496">
        <w:rPr>
          <w:rFonts w:cs="Times New Roman"/>
          <w:szCs w:val="24"/>
        </w:rPr>
        <w:t>The table in this section lists the fees for the supply of vehicle examination services</w:t>
      </w:r>
      <w:r w:rsidR="004319C9">
        <w:rPr>
          <w:rFonts w:cs="Times New Roman"/>
          <w:szCs w:val="24"/>
        </w:rPr>
        <w:t xml:space="preserve"> that apply from and including the date this instrument commences</w:t>
      </w:r>
      <w:r w:rsidRPr="00203496">
        <w:rPr>
          <w:rFonts w:cs="Times New Roman"/>
          <w:szCs w:val="24"/>
        </w:rPr>
        <w:t>.</w:t>
      </w:r>
      <w:r w:rsidR="00182ED7">
        <w:rPr>
          <w:rFonts w:cs="Times New Roman"/>
          <w:szCs w:val="24"/>
        </w:rPr>
        <w:t xml:space="preserve"> </w:t>
      </w:r>
      <w:r w:rsidR="004319C9">
        <w:rPr>
          <w:rFonts w:cs="Times New Roman"/>
          <w:szCs w:val="24"/>
        </w:rPr>
        <w:t>P</w:t>
      </w:r>
      <w:r w:rsidR="00EA4506">
        <w:rPr>
          <w:rFonts w:cs="Times New Roman"/>
          <w:szCs w:val="24"/>
        </w:rPr>
        <w:t>rovisions in the regulations to e</w:t>
      </w:r>
      <w:r w:rsidR="002C1FD5">
        <w:rPr>
          <w:rFonts w:cs="Times New Roman"/>
          <w:szCs w:val="24"/>
        </w:rPr>
        <w:t xml:space="preserve">xempt a person with disability or </w:t>
      </w:r>
      <w:r w:rsidR="00EA4506">
        <w:rPr>
          <w:rFonts w:cs="Times New Roman"/>
          <w:szCs w:val="24"/>
        </w:rPr>
        <w:t xml:space="preserve">to </w:t>
      </w:r>
      <w:r w:rsidR="002C1FD5">
        <w:rPr>
          <w:rFonts w:cs="Times New Roman"/>
          <w:szCs w:val="24"/>
        </w:rPr>
        <w:t>exempt</w:t>
      </w:r>
      <w:r w:rsidR="00EA4506">
        <w:rPr>
          <w:rFonts w:cs="Times New Roman"/>
          <w:szCs w:val="24"/>
        </w:rPr>
        <w:t xml:space="preserve"> </w:t>
      </w:r>
      <w:r w:rsidR="002C1FD5">
        <w:rPr>
          <w:rFonts w:cs="Times New Roman"/>
          <w:szCs w:val="24"/>
        </w:rPr>
        <w:t xml:space="preserve">or refund in exceptional circumstance </w:t>
      </w:r>
      <w:r w:rsidR="00EA4506">
        <w:rPr>
          <w:rFonts w:cs="Times New Roman"/>
          <w:szCs w:val="24"/>
        </w:rPr>
        <w:t xml:space="preserve">remain. </w:t>
      </w:r>
      <w:bookmarkEnd w:id="1"/>
    </w:p>
    <w:p w:rsidR="00B476F5" w:rsidRPr="006E7F21" w:rsidRDefault="00B476F5" w:rsidP="00301F6B">
      <w:pPr>
        <w:rPr>
          <w:rFonts w:cs="Times New Roman"/>
          <w:szCs w:val="24"/>
        </w:rPr>
      </w:pPr>
    </w:p>
    <w:p w:rsidR="00B476F5" w:rsidRPr="006E7F21" w:rsidRDefault="00B476F5" w:rsidP="00301F6B">
      <w:pPr>
        <w:rPr>
          <w:rFonts w:cs="Times New Roman"/>
          <w:szCs w:val="24"/>
        </w:rPr>
      </w:pPr>
    </w:p>
    <w:p w:rsidR="00B476F5" w:rsidRPr="006E7F21" w:rsidRDefault="00B476F5" w:rsidP="00301F6B">
      <w:pPr>
        <w:rPr>
          <w:rFonts w:cs="Times New Roman"/>
          <w:szCs w:val="24"/>
        </w:rPr>
      </w:pPr>
    </w:p>
    <w:p w:rsidR="00B476F5" w:rsidRDefault="00B476F5" w:rsidP="00301F6B">
      <w:pPr>
        <w:rPr>
          <w:rFonts w:cs="Times New Roman"/>
          <w:b/>
          <w:szCs w:val="24"/>
        </w:rPr>
      </w:pPr>
      <w:r>
        <w:rPr>
          <w:rFonts w:cs="Times New Roman"/>
          <w:b/>
          <w:szCs w:val="24"/>
        </w:rPr>
        <w:br w:type="page"/>
      </w:r>
    </w:p>
    <w:p w:rsidR="00DA0E3D" w:rsidRPr="003167F7" w:rsidRDefault="00DA0E3D" w:rsidP="00301F6B">
      <w:pPr>
        <w:spacing w:after="240"/>
        <w:rPr>
          <w:rFonts w:cs="Times New Roman"/>
          <w:b/>
          <w:szCs w:val="24"/>
        </w:rPr>
      </w:pPr>
      <w:r w:rsidRPr="003167F7">
        <w:rPr>
          <w:rFonts w:cs="Times New Roman"/>
          <w:b/>
          <w:szCs w:val="24"/>
        </w:rPr>
        <w:lastRenderedPageBreak/>
        <w:t>Statement of Compatibility with Human Rights</w:t>
      </w:r>
    </w:p>
    <w:p w:rsidR="00DA0E3D" w:rsidRPr="003167F7" w:rsidRDefault="00DA0E3D" w:rsidP="00301F6B">
      <w:pPr>
        <w:spacing w:after="240"/>
        <w:rPr>
          <w:rFonts w:cs="Times New Roman"/>
          <w:i/>
          <w:szCs w:val="24"/>
        </w:rPr>
      </w:pPr>
      <w:r w:rsidRPr="003167F7">
        <w:rPr>
          <w:rFonts w:cs="Times New Roman"/>
          <w:i/>
          <w:szCs w:val="24"/>
        </w:rPr>
        <w:t>Prepared in Accordance with Part 3 of the Human Rights (Parliamentary Scrutiny) Act 2011</w:t>
      </w:r>
    </w:p>
    <w:p w:rsidR="000B0F6B" w:rsidRPr="00C06258" w:rsidRDefault="00042D68" w:rsidP="00301F6B">
      <w:pPr>
        <w:spacing w:after="240" w:line="240" w:lineRule="auto"/>
        <w:rPr>
          <w:rFonts w:cs="Times New Roman"/>
          <w:b/>
          <w:szCs w:val="24"/>
          <w:lang w:val="en-US"/>
        </w:rPr>
      </w:pPr>
      <w:r w:rsidRPr="00042D68">
        <w:rPr>
          <w:rFonts w:cs="Times New Roman"/>
          <w:b/>
          <w:szCs w:val="24"/>
        </w:rPr>
        <w:t>Cocos (Keeling) Islands</w:t>
      </w:r>
      <w:r w:rsidR="000B0F6B" w:rsidRPr="00C06258">
        <w:rPr>
          <w:rFonts w:cs="Times New Roman"/>
          <w:b/>
          <w:szCs w:val="24"/>
          <w:lang w:val="en-US"/>
        </w:rPr>
        <w:t xml:space="preserve"> Utilities and Services (Vehicle Examination Fees) Determination 2019</w:t>
      </w:r>
    </w:p>
    <w:p w:rsidR="00D539AB" w:rsidRDefault="00DA0E3D" w:rsidP="00D539AB">
      <w:pPr>
        <w:spacing w:after="0" w:line="240" w:lineRule="auto"/>
        <w:rPr>
          <w:rFonts w:cs="Times New Roman"/>
          <w:szCs w:val="24"/>
        </w:rPr>
      </w:pPr>
      <w:r w:rsidRPr="003167F7">
        <w:rPr>
          <w:rFonts w:cs="Times New Roman"/>
          <w:szCs w:val="24"/>
        </w:rPr>
        <w:t xml:space="preserve">This Legislative Instrument is compatible with the human rights and freedoms recognised or declared in the international instruments listed in section 3 of the </w:t>
      </w:r>
    </w:p>
    <w:p w:rsidR="002D27BB" w:rsidRPr="003167F7" w:rsidRDefault="00DA0E3D" w:rsidP="00301F6B">
      <w:pPr>
        <w:spacing w:after="240" w:line="240" w:lineRule="auto"/>
        <w:rPr>
          <w:rFonts w:cs="Times New Roman"/>
          <w:b/>
          <w:szCs w:val="24"/>
        </w:rPr>
      </w:pPr>
      <w:r w:rsidRPr="003167F7">
        <w:rPr>
          <w:rFonts w:cs="Times New Roman"/>
          <w:i/>
          <w:szCs w:val="24"/>
        </w:rPr>
        <w:t>Human Rights (Parliamentary Scrutiny) Act 2011</w:t>
      </w:r>
      <w:r w:rsidRPr="003167F7">
        <w:rPr>
          <w:rFonts w:cs="Times New Roman"/>
          <w:szCs w:val="24"/>
        </w:rPr>
        <w:t>.</w:t>
      </w:r>
    </w:p>
    <w:p w:rsidR="00C06258" w:rsidRPr="00C06258" w:rsidRDefault="00C06258" w:rsidP="00301F6B">
      <w:pPr>
        <w:spacing w:after="240" w:line="240" w:lineRule="auto"/>
        <w:rPr>
          <w:rFonts w:cs="Times New Roman"/>
          <w:b/>
          <w:szCs w:val="24"/>
          <w:lang w:val="en-US"/>
        </w:rPr>
      </w:pPr>
      <w:r w:rsidRPr="00C06258">
        <w:rPr>
          <w:rFonts w:cs="Times New Roman"/>
          <w:b/>
          <w:szCs w:val="24"/>
          <w:lang w:val="en-US"/>
        </w:rPr>
        <w:t>Overview of the Determination</w:t>
      </w:r>
    </w:p>
    <w:p w:rsidR="008751FF" w:rsidRDefault="00042D68" w:rsidP="00301F6B">
      <w:pPr>
        <w:spacing w:after="240" w:line="240" w:lineRule="auto"/>
        <w:rPr>
          <w:rFonts w:cs="Times New Roman"/>
          <w:szCs w:val="24"/>
        </w:rPr>
      </w:pPr>
      <w:r w:rsidRPr="00042D68">
        <w:rPr>
          <w:rFonts w:cs="Times New Roman"/>
          <w:szCs w:val="24"/>
        </w:rPr>
        <w:t>The Cocos (Keeling) Islands is not listed as a regional area for the purposes of fees for vehicle examinations in the Road Traffic (Vehicles) Regulations 2014 (WA)(CKI). Fees specified in the regulations for vehicle examinations in non-regional areas apply. The purpose of this Determination is to establish vehicle examination fees that apply for motor vehicle licensing and registration on Cocos (Keeling) Islands that are consistent with vehicle examination fees on Christmas Island.</w:t>
      </w:r>
      <w:r w:rsidR="008751FF" w:rsidRPr="008751FF">
        <w:rPr>
          <w:rFonts w:cs="Times New Roman"/>
          <w:szCs w:val="24"/>
        </w:rPr>
        <w:t xml:space="preserve"> </w:t>
      </w:r>
    </w:p>
    <w:p w:rsidR="00C06258" w:rsidRPr="00C06258" w:rsidRDefault="00C06258" w:rsidP="00301F6B">
      <w:pPr>
        <w:spacing w:after="240" w:line="240" w:lineRule="auto"/>
        <w:rPr>
          <w:rFonts w:cs="Times New Roman"/>
          <w:szCs w:val="24"/>
        </w:rPr>
      </w:pPr>
      <w:r w:rsidRPr="00C06258">
        <w:rPr>
          <w:rFonts w:cs="Times New Roman"/>
          <w:szCs w:val="24"/>
        </w:rPr>
        <w:t xml:space="preserve">The Australian Government aims for full cost recovery across its range of operations. However, it is acknowledged that for some locations this may not be achievable. </w:t>
      </w:r>
      <w:r w:rsidR="00042D68" w:rsidRPr="00042D68">
        <w:rPr>
          <w:rFonts w:cs="Times New Roman"/>
          <w:szCs w:val="24"/>
        </w:rPr>
        <w:t xml:space="preserve">The Cocos (Keeling) Islands </w:t>
      </w:r>
      <w:r w:rsidRPr="00C06258">
        <w:rPr>
          <w:rFonts w:cs="Times New Roman"/>
          <w:szCs w:val="24"/>
        </w:rPr>
        <w:t xml:space="preserve">is an area where recouped fees are currently less than the cost of supply. </w:t>
      </w:r>
    </w:p>
    <w:p w:rsidR="00D539AB" w:rsidRDefault="00C06258" w:rsidP="00301F6B">
      <w:pPr>
        <w:spacing w:after="240" w:line="240" w:lineRule="auto"/>
        <w:rPr>
          <w:rFonts w:cs="Times New Roman"/>
          <w:szCs w:val="24"/>
        </w:rPr>
      </w:pPr>
      <w:r w:rsidRPr="00C06258">
        <w:rPr>
          <w:rFonts w:cs="Times New Roman"/>
          <w:szCs w:val="24"/>
        </w:rPr>
        <w:t xml:space="preserve">It is Australian Government policy that, wherever possible, there should be parity in the cost of provision of state-type services on </w:t>
      </w:r>
      <w:r w:rsidR="00042D68">
        <w:rPr>
          <w:rFonts w:cs="Times New Roman"/>
          <w:szCs w:val="24"/>
        </w:rPr>
        <w:t>t</w:t>
      </w:r>
      <w:r w:rsidR="00042D68" w:rsidRPr="00042D68">
        <w:rPr>
          <w:rFonts w:cs="Times New Roman"/>
          <w:szCs w:val="24"/>
        </w:rPr>
        <w:t xml:space="preserve">he Cocos (Keeling) Islands </w:t>
      </w:r>
      <w:r w:rsidRPr="00C06258">
        <w:rPr>
          <w:rFonts w:cs="Times New Roman"/>
          <w:szCs w:val="24"/>
        </w:rPr>
        <w:t>with those applied in a similar remote Australian mainland location.</w:t>
      </w:r>
      <w:r w:rsidR="001D6BA2">
        <w:rPr>
          <w:rFonts w:cs="Times New Roman"/>
          <w:szCs w:val="24"/>
        </w:rPr>
        <w:t xml:space="preserve"> </w:t>
      </w:r>
      <w:r w:rsidR="00042D68" w:rsidRPr="00042D68">
        <w:rPr>
          <w:rFonts w:cs="Times New Roman"/>
          <w:szCs w:val="24"/>
        </w:rPr>
        <w:t>The fees are similar to examination fees that apply in the Kimberley region of Western Australia</w:t>
      </w:r>
      <w:r w:rsidR="005F60BB">
        <w:rPr>
          <w:rFonts w:cs="Times New Roman"/>
          <w:szCs w:val="24"/>
        </w:rPr>
        <w:t>.</w:t>
      </w:r>
      <w:r w:rsidR="00042D68" w:rsidRPr="00042D68">
        <w:rPr>
          <w:rFonts w:cs="Times New Roman"/>
          <w:szCs w:val="24"/>
        </w:rPr>
        <w:t xml:space="preserve"> </w:t>
      </w:r>
      <w:r w:rsidR="005F60BB" w:rsidRPr="005F60BB">
        <w:rPr>
          <w:rFonts w:cs="Times New Roman"/>
          <w:szCs w:val="24"/>
        </w:rPr>
        <w:t>The Australian Government Commonwealth Grants Commission report on the Indian Ocean Territories 2007, lists a number of towns in the Kimberley as ‘comparable communities’.</w:t>
      </w:r>
    </w:p>
    <w:p w:rsidR="00C06258" w:rsidRPr="00C06258" w:rsidRDefault="00C06258" w:rsidP="00301F6B">
      <w:pPr>
        <w:spacing w:after="240" w:line="240" w:lineRule="auto"/>
        <w:rPr>
          <w:rFonts w:cs="Times New Roman"/>
          <w:b/>
          <w:szCs w:val="24"/>
        </w:rPr>
      </w:pPr>
      <w:r w:rsidRPr="00C06258">
        <w:rPr>
          <w:rFonts w:cs="Times New Roman"/>
          <w:b/>
          <w:szCs w:val="24"/>
        </w:rPr>
        <w:t>Human rights implications</w:t>
      </w:r>
    </w:p>
    <w:p w:rsidR="00C06258" w:rsidRDefault="00C06258" w:rsidP="00301F6B">
      <w:pPr>
        <w:spacing w:after="240" w:line="240" w:lineRule="auto"/>
        <w:rPr>
          <w:rFonts w:cs="Times New Roman"/>
          <w:szCs w:val="24"/>
        </w:rPr>
      </w:pPr>
      <w:r w:rsidRPr="00C06258">
        <w:rPr>
          <w:rFonts w:cs="Times New Roman"/>
          <w:szCs w:val="24"/>
        </w:rPr>
        <w:t>The De</w:t>
      </w:r>
      <w:r w:rsidR="003E05C7">
        <w:rPr>
          <w:rFonts w:cs="Times New Roman"/>
          <w:szCs w:val="24"/>
        </w:rPr>
        <w:t>termination</w:t>
      </w:r>
      <w:r w:rsidRPr="00C06258">
        <w:rPr>
          <w:rFonts w:cs="Times New Roman"/>
          <w:szCs w:val="24"/>
        </w:rPr>
        <w:t xml:space="preserve"> </w:t>
      </w:r>
      <w:r w:rsidR="001D6BA2">
        <w:rPr>
          <w:rFonts w:cs="Times New Roman"/>
          <w:szCs w:val="24"/>
        </w:rPr>
        <w:t xml:space="preserve">does not </w:t>
      </w:r>
      <w:r w:rsidRPr="00C06258">
        <w:rPr>
          <w:rFonts w:cs="Times New Roman"/>
          <w:szCs w:val="24"/>
        </w:rPr>
        <w:t xml:space="preserve">engage the right </w:t>
      </w:r>
      <w:r w:rsidR="008751FF" w:rsidRPr="008751FF">
        <w:rPr>
          <w:rFonts w:cs="Times New Roman"/>
          <w:szCs w:val="24"/>
        </w:rPr>
        <w:t>to an adequate standard of living in Article 11 of the International Covenant on Economic, Social and Cultural Rights</w:t>
      </w:r>
      <w:r w:rsidR="008751FF" w:rsidRPr="00C06258">
        <w:rPr>
          <w:rFonts w:cs="Times New Roman"/>
          <w:szCs w:val="24"/>
        </w:rPr>
        <w:t xml:space="preserve"> </w:t>
      </w:r>
      <w:r w:rsidR="008751FF">
        <w:rPr>
          <w:rFonts w:cs="Times New Roman"/>
          <w:szCs w:val="24"/>
        </w:rPr>
        <w:t xml:space="preserve">because it does not impact on the right </w:t>
      </w:r>
      <w:r w:rsidR="008751FF" w:rsidRPr="008751FF">
        <w:rPr>
          <w:rFonts w:cs="Times New Roman"/>
          <w:szCs w:val="24"/>
        </w:rPr>
        <w:t>requir</w:t>
      </w:r>
      <w:r w:rsidR="008751FF">
        <w:rPr>
          <w:rFonts w:cs="Times New Roman"/>
          <w:szCs w:val="24"/>
        </w:rPr>
        <w:t xml:space="preserve">ing </w:t>
      </w:r>
      <w:r w:rsidR="008751FF" w:rsidRPr="008751FF">
        <w:rPr>
          <w:rFonts w:cs="Times New Roman"/>
          <w:szCs w:val="24"/>
        </w:rPr>
        <w:t xml:space="preserve">Australia </w:t>
      </w:r>
      <w:r w:rsidR="003E05C7">
        <w:rPr>
          <w:rFonts w:cs="Times New Roman"/>
          <w:szCs w:val="24"/>
        </w:rPr>
        <w:t xml:space="preserve">to </w:t>
      </w:r>
      <w:r w:rsidR="008751FF" w:rsidRPr="008751FF">
        <w:rPr>
          <w:rFonts w:cs="Times New Roman"/>
          <w:szCs w:val="24"/>
        </w:rPr>
        <w:t>ensure the availability, adequacy and accessibility of food, water and housing for all people in Australia</w:t>
      </w:r>
      <w:r w:rsidR="008751FF">
        <w:rPr>
          <w:rFonts w:cs="Times New Roman"/>
          <w:szCs w:val="24"/>
        </w:rPr>
        <w:t>.</w:t>
      </w:r>
    </w:p>
    <w:p w:rsidR="000649A6" w:rsidRPr="00C06258" w:rsidRDefault="000649A6" w:rsidP="00301F6B">
      <w:pPr>
        <w:spacing w:after="240" w:line="240" w:lineRule="auto"/>
        <w:rPr>
          <w:rFonts w:cs="Times New Roman"/>
          <w:szCs w:val="24"/>
        </w:rPr>
      </w:pPr>
      <w:r w:rsidRPr="000649A6">
        <w:rPr>
          <w:rFonts w:cs="Times New Roman"/>
          <w:szCs w:val="24"/>
        </w:rPr>
        <w:t>Provisions in the regulations to exempt a person with disability or to exempt or refund in exceptional circumstance remain.</w:t>
      </w:r>
    </w:p>
    <w:p w:rsidR="00C06258" w:rsidRPr="00C06258" w:rsidRDefault="00C06258" w:rsidP="00301F6B">
      <w:pPr>
        <w:spacing w:after="240" w:line="240" w:lineRule="auto"/>
        <w:rPr>
          <w:rFonts w:cs="Times New Roman"/>
          <w:b/>
          <w:szCs w:val="24"/>
        </w:rPr>
      </w:pPr>
      <w:r w:rsidRPr="00C06258">
        <w:rPr>
          <w:rFonts w:cs="Times New Roman"/>
          <w:b/>
          <w:szCs w:val="24"/>
        </w:rPr>
        <w:t>Conclusion</w:t>
      </w:r>
    </w:p>
    <w:p w:rsidR="006E77BD" w:rsidRPr="006E77BD" w:rsidRDefault="006E77BD" w:rsidP="006E77BD">
      <w:pPr>
        <w:spacing w:after="240" w:line="240" w:lineRule="auto"/>
        <w:rPr>
          <w:rFonts w:cs="Times New Roman"/>
          <w:szCs w:val="24"/>
        </w:rPr>
      </w:pPr>
      <w:r w:rsidRPr="006E77BD">
        <w:rPr>
          <w:rFonts w:cs="Times New Roman"/>
          <w:szCs w:val="24"/>
        </w:rPr>
        <w:t xml:space="preserve">The Determination is compatible with human rights as it does not raise any human rights issues. </w:t>
      </w:r>
    </w:p>
    <w:p w:rsidR="00C06258" w:rsidRDefault="00C06258" w:rsidP="00301F6B">
      <w:pPr>
        <w:spacing w:after="240" w:line="240" w:lineRule="auto"/>
        <w:rPr>
          <w:rFonts w:cs="Times New Roman"/>
          <w:szCs w:val="24"/>
        </w:rPr>
      </w:pPr>
    </w:p>
    <w:p w:rsidR="00441496" w:rsidRPr="00C06258" w:rsidRDefault="00441496" w:rsidP="00301F6B">
      <w:pPr>
        <w:spacing w:after="240" w:line="240" w:lineRule="auto"/>
        <w:rPr>
          <w:rFonts w:cs="Times New Roman"/>
          <w:szCs w:val="24"/>
        </w:rPr>
      </w:pPr>
    </w:p>
    <w:p w:rsidR="00DA0E3D" w:rsidRPr="002D27BB" w:rsidRDefault="000B0F6B" w:rsidP="00301F6B">
      <w:pPr>
        <w:spacing w:after="240"/>
        <w:rPr>
          <w:rFonts w:cs="Times New Roman"/>
          <w:b/>
          <w:szCs w:val="24"/>
        </w:rPr>
      </w:pPr>
      <w:r>
        <w:rPr>
          <w:rFonts w:cs="Times New Roman"/>
          <w:b/>
          <w:szCs w:val="24"/>
        </w:rPr>
        <w:t>Natasha Griggs</w:t>
      </w:r>
      <w:r w:rsidR="004A2B5B" w:rsidRPr="003167F7">
        <w:rPr>
          <w:rFonts w:cs="Times New Roman"/>
          <w:b/>
          <w:szCs w:val="24"/>
        </w:rPr>
        <w:t xml:space="preserve">, Administrator of </w:t>
      </w:r>
      <w:r w:rsidR="00042D68">
        <w:rPr>
          <w:rFonts w:cs="Times New Roman"/>
          <w:b/>
          <w:szCs w:val="24"/>
        </w:rPr>
        <w:t xml:space="preserve">the </w:t>
      </w:r>
      <w:r w:rsidR="00441496" w:rsidRPr="00441496">
        <w:rPr>
          <w:rFonts w:cs="Times New Roman"/>
          <w:b/>
          <w:szCs w:val="24"/>
        </w:rPr>
        <w:t xml:space="preserve">Cocos (Keeling) Islands </w:t>
      </w:r>
    </w:p>
    <w:sectPr w:rsidR="00DA0E3D" w:rsidRPr="002D27BB"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BC4" w:rsidRDefault="00D60BC4" w:rsidP="00D60BC4">
      <w:pPr>
        <w:spacing w:after="0" w:line="240" w:lineRule="auto"/>
      </w:pPr>
      <w:r>
        <w:separator/>
      </w:r>
    </w:p>
  </w:endnote>
  <w:endnote w:type="continuationSeparator" w:id="0">
    <w:p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BC4" w:rsidRDefault="00D60BC4" w:rsidP="00D60BC4">
      <w:pPr>
        <w:spacing w:after="0" w:line="240" w:lineRule="auto"/>
      </w:pPr>
      <w:r>
        <w:separator/>
      </w:r>
    </w:p>
  </w:footnote>
  <w:footnote w:type="continuationSeparator" w:id="0">
    <w:p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F6"/>
    <w:rsid w:val="000017AC"/>
    <w:rsid w:val="0000653E"/>
    <w:rsid w:val="00017DDF"/>
    <w:rsid w:val="00022778"/>
    <w:rsid w:val="00025AE2"/>
    <w:rsid w:val="000263D0"/>
    <w:rsid w:val="00034598"/>
    <w:rsid w:val="00034B2F"/>
    <w:rsid w:val="000352EA"/>
    <w:rsid w:val="00042D68"/>
    <w:rsid w:val="00055B68"/>
    <w:rsid w:val="00056926"/>
    <w:rsid w:val="000618FF"/>
    <w:rsid w:val="000649A6"/>
    <w:rsid w:val="00067E4F"/>
    <w:rsid w:val="0008187E"/>
    <w:rsid w:val="00081C4C"/>
    <w:rsid w:val="000838C4"/>
    <w:rsid w:val="0008603A"/>
    <w:rsid w:val="000A61DF"/>
    <w:rsid w:val="000A79C3"/>
    <w:rsid w:val="000B0F6B"/>
    <w:rsid w:val="000C18D2"/>
    <w:rsid w:val="000D7B12"/>
    <w:rsid w:val="000E00CD"/>
    <w:rsid w:val="000E142A"/>
    <w:rsid w:val="000E3E8B"/>
    <w:rsid w:val="000F0166"/>
    <w:rsid w:val="000F39C0"/>
    <w:rsid w:val="000F437B"/>
    <w:rsid w:val="000F5084"/>
    <w:rsid w:val="000F6B15"/>
    <w:rsid w:val="00100380"/>
    <w:rsid w:val="00100DA8"/>
    <w:rsid w:val="00107C54"/>
    <w:rsid w:val="0011070C"/>
    <w:rsid w:val="00115F21"/>
    <w:rsid w:val="0011612F"/>
    <w:rsid w:val="0012363A"/>
    <w:rsid w:val="00124C11"/>
    <w:rsid w:val="00125A95"/>
    <w:rsid w:val="00127775"/>
    <w:rsid w:val="001304D3"/>
    <w:rsid w:val="001353D4"/>
    <w:rsid w:val="00152980"/>
    <w:rsid w:val="0017124E"/>
    <w:rsid w:val="00182ED7"/>
    <w:rsid w:val="0018306F"/>
    <w:rsid w:val="00183F39"/>
    <w:rsid w:val="00186350"/>
    <w:rsid w:val="00187751"/>
    <w:rsid w:val="00190229"/>
    <w:rsid w:val="001978A3"/>
    <w:rsid w:val="00197D36"/>
    <w:rsid w:val="001A1584"/>
    <w:rsid w:val="001B0124"/>
    <w:rsid w:val="001B30C1"/>
    <w:rsid w:val="001B5323"/>
    <w:rsid w:val="001B71B9"/>
    <w:rsid w:val="001C510E"/>
    <w:rsid w:val="001C7BAF"/>
    <w:rsid w:val="001D3EFB"/>
    <w:rsid w:val="001D6BA2"/>
    <w:rsid w:val="001E59E1"/>
    <w:rsid w:val="001E7C8C"/>
    <w:rsid w:val="001F38F0"/>
    <w:rsid w:val="001F6E9C"/>
    <w:rsid w:val="00200F4D"/>
    <w:rsid w:val="00203496"/>
    <w:rsid w:val="00210666"/>
    <w:rsid w:val="00225BF0"/>
    <w:rsid w:val="0024096D"/>
    <w:rsid w:val="00247162"/>
    <w:rsid w:val="002543A9"/>
    <w:rsid w:val="00265D6E"/>
    <w:rsid w:val="002808FE"/>
    <w:rsid w:val="002822BE"/>
    <w:rsid w:val="002853B9"/>
    <w:rsid w:val="002A18D2"/>
    <w:rsid w:val="002A4440"/>
    <w:rsid w:val="002A5911"/>
    <w:rsid w:val="002C1ABC"/>
    <w:rsid w:val="002C1FD5"/>
    <w:rsid w:val="002D27BB"/>
    <w:rsid w:val="002D3191"/>
    <w:rsid w:val="002D45F2"/>
    <w:rsid w:val="002D5665"/>
    <w:rsid w:val="002D671C"/>
    <w:rsid w:val="002D718A"/>
    <w:rsid w:val="002D7823"/>
    <w:rsid w:val="002E72D2"/>
    <w:rsid w:val="002F07B3"/>
    <w:rsid w:val="002F3FED"/>
    <w:rsid w:val="002F5D74"/>
    <w:rsid w:val="00301F6B"/>
    <w:rsid w:val="003053E0"/>
    <w:rsid w:val="00305BCC"/>
    <w:rsid w:val="00310797"/>
    <w:rsid w:val="003108BC"/>
    <w:rsid w:val="00314FF5"/>
    <w:rsid w:val="00315FEA"/>
    <w:rsid w:val="003167F7"/>
    <w:rsid w:val="00326F88"/>
    <w:rsid w:val="003308D1"/>
    <w:rsid w:val="003337F5"/>
    <w:rsid w:val="003362F3"/>
    <w:rsid w:val="00346792"/>
    <w:rsid w:val="00346B66"/>
    <w:rsid w:val="0035013E"/>
    <w:rsid w:val="00350505"/>
    <w:rsid w:val="00356BF9"/>
    <w:rsid w:val="00361C29"/>
    <w:rsid w:val="003628DF"/>
    <w:rsid w:val="003675C4"/>
    <w:rsid w:val="00371850"/>
    <w:rsid w:val="003734B2"/>
    <w:rsid w:val="0038712F"/>
    <w:rsid w:val="00396E55"/>
    <w:rsid w:val="003B009C"/>
    <w:rsid w:val="003B210A"/>
    <w:rsid w:val="003B3BBF"/>
    <w:rsid w:val="003C53A8"/>
    <w:rsid w:val="003D5A31"/>
    <w:rsid w:val="003D73AC"/>
    <w:rsid w:val="003E05C7"/>
    <w:rsid w:val="003E4F60"/>
    <w:rsid w:val="003F50BC"/>
    <w:rsid w:val="003F750F"/>
    <w:rsid w:val="00401FD5"/>
    <w:rsid w:val="00403B76"/>
    <w:rsid w:val="00404E08"/>
    <w:rsid w:val="00407E99"/>
    <w:rsid w:val="00412F3A"/>
    <w:rsid w:val="00416855"/>
    <w:rsid w:val="0042032C"/>
    <w:rsid w:val="004210BB"/>
    <w:rsid w:val="00421420"/>
    <w:rsid w:val="004319C9"/>
    <w:rsid w:val="00434B3B"/>
    <w:rsid w:val="00441496"/>
    <w:rsid w:val="00443EC2"/>
    <w:rsid w:val="0044568C"/>
    <w:rsid w:val="004506B3"/>
    <w:rsid w:val="00456B30"/>
    <w:rsid w:val="0046078C"/>
    <w:rsid w:val="004629EA"/>
    <w:rsid w:val="00462F02"/>
    <w:rsid w:val="00464FDC"/>
    <w:rsid w:val="00472C0E"/>
    <w:rsid w:val="00481BF0"/>
    <w:rsid w:val="00490429"/>
    <w:rsid w:val="00494A52"/>
    <w:rsid w:val="004A2B5B"/>
    <w:rsid w:val="004A7BAA"/>
    <w:rsid w:val="004A7BD1"/>
    <w:rsid w:val="004B635F"/>
    <w:rsid w:val="004C44F0"/>
    <w:rsid w:val="004E126D"/>
    <w:rsid w:val="004E15BE"/>
    <w:rsid w:val="004E41E8"/>
    <w:rsid w:val="004E4ACD"/>
    <w:rsid w:val="004F382B"/>
    <w:rsid w:val="004F4A14"/>
    <w:rsid w:val="00501E49"/>
    <w:rsid w:val="0050450E"/>
    <w:rsid w:val="00505401"/>
    <w:rsid w:val="0051127A"/>
    <w:rsid w:val="00522770"/>
    <w:rsid w:val="00530065"/>
    <w:rsid w:val="0053208C"/>
    <w:rsid w:val="005330F8"/>
    <w:rsid w:val="0054584F"/>
    <w:rsid w:val="00553E1E"/>
    <w:rsid w:val="00560552"/>
    <w:rsid w:val="005648CE"/>
    <w:rsid w:val="005817E2"/>
    <w:rsid w:val="0058409D"/>
    <w:rsid w:val="00584A24"/>
    <w:rsid w:val="005A0051"/>
    <w:rsid w:val="005A6900"/>
    <w:rsid w:val="005A7912"/>
    <w:rsid w:val="005B13E3"/>
    <w:rsid w:val="005B1697"/>
    <w:rsid w:val="005B27F0"/>
    <w:rsid w:val="005B4223"/>
    <w:rsid w:val="005B68D8"/>
    <w:rsid w:val="005D287B"/>
    <w:rsid w:val="005D3F40"/>
    <w:rsid w:val="005E0C02"/>
    <w:rsid w:val="005E1628"/>
    <w:rsid w:val="005E3504"/>
    <w:rsid w:val="005E5ACC"/>
    <w:rsid w:val="005E60C2"/>
    <w:rsid w:val="005F04C4"/>
    <w:rsid w:val="005F4223"/>
    <w:rsid w:val="005F60BB"/>
    <w:rsid w:val="00613AAE"/>
    <w:rsid w:val="00640AA1"/>
    <w:rsid w:val="0064330D"/>
    <w:rsid w:val="00654323"/>
    <w:rsid w:val="0065696C"/>
    <w:rsid w:val="00662C5A"/>
    <w:rsid w:val="00684B9F"/>
    <w:rsid w:val="006858DC"/>
    <w:rsid w:val="00690188"/>
    <w:rsid w:val="0069318E"/>
    <w:rsid w:val="0069346D"/>
    <w:rsid w:val="006A03A2"/>
    <w:rsid w:val="006A1D6C"/>
    <w:rsid w:val="006B078E"/>
    <w:rsid w:val="006C5A2C"/>
    <w:rsid w:val="006D2EC9"/>
    <w:rsid w:val="006D30F6"/>
    <w:rsid w:val="006D3896"/>
    <w:rsid w:val="006E11FE"/>
    <w:rsid w:val="006E2BCA"/>
    <w:rsid w:val="006E33E5"/>
    <w:rsid w:val="006E593E"/>
    <w:rsid w:val="006E612B"/>
    <w:rsid w:val="006E77BD"/>
    <w:rsid w:val="006E7F21"/>
    <w:rsid w:val="006F08E9"/>
    <w:rsid w:val="006F26BB"/>
    <w:rsid w:val="006F369C"/>
    <w:rsid w:val="006F4B77"/>
    <w:rsid w:val="00700877"/>
    <w:rsid w:val="00700E7D"/>
    <w:rsid w:val="007010F5"/>
    <w:rsid w:val="00703D67"/>
    <w:rsid w:val="007100B1"/>
    <w:rsid w:val="00712985"/>
    <w:rsid w:val="00715CFE"/>
    <w:rsid w:val="00721979"/>
    <w:rsid w:val="00735DED"/>
    <w:rsid w:val="007373EB"/>
    <w:rsid w:val="00745A8C"/>
    <w:rsid w:val="00751C2F"/>
    <w:rsid w:val="00751FE4"/>
    <w:rsid w:val="007543A2"/>
    <w:rsid w:val="007719A5"/>
    <w:rsid w:val="00773427"/>
    <w:rsid w:val="007756C9"/>
    <w:rsid w:val="00781E52"/>
    <w:rsid w:val="007831FF"/>
    <w:rsid w:val="007872EE"/>
    <w:rsid w:val="00796FF6"/>
    <w:rsid w:val="007A1EA1"/>
    <w:rsid w:val="007A2A16"/>
    <w:rsid w:val="007B25E4"/>
    <w:rsid w:val="007B70EE"/>
    <w:rsid w:val="007C17DC"/>
    <w:rsid w:val="007C23D9"/>
    <w:rsid w:val="007D279C"/>
    <w:rsid w:val="007D3DC6"/>
    <w:rsid w:val="007D56C3"/>
    <w:rsid w:val="007E179C"/>
    <w:rsid w:val="007E4F76"/>
    <w:rsid w:val="007E696D"/>
    <w:rsid w:val="007F1453"/>
    <w:rsid w:val="007F3227"/>
    <w:rsid w:val="007F5E9F"/>
    <w:rsid w:val="00800EA0"/>
    <w:rsid w:val="00804E2F"/>
    <w:rsid w:val="00815DE8"/>
    <w:rsid w:val="0083295B"/>
    <w:rsid w:val="008751FF"/>
    <w:rsid w:val="0088071D"/>
    <w:rsid w:val="0088120C"/>
    <w:rsid w:val="008845DA"/>
    <w:rsid w:val="008852DE"/>
    <w:rsid w:val="00885D0F"/>
    <w:rsid w:val="008870DC"/>
    <w:rsid w:val="008877E1"/>
    <w:rsid w:val="008920C1"/>
    <w:rsid w:val="00893623"/>
    <w:rsid w:val="00893F6C"/>
    <w:rsid w:val="008A2FF1"/>
    <w:rsid w:val="008C547D"/>
    <w:rsid w:val="008E5F2D"/>
    <w:rsid w:val="008E63F1"/>
    <w:rsid w:val="008E7657"/>
    <w:rsid w:val="0090132F"/>
    <w:rsid w:val="00903F83"/>
    <w:rsid w:val="0091077D"/>
    <w:rsid w:val="00912E3A"/>
    <w:rsid w:val="009132B6"/>
    <w:rsid w:val="00913E97"/>
    <w:rsid w:val="0091678E"/>
    <w:rsid w:val="00925FF4"/>
    <w:rsid w:val="00931A45"/>
    <w:rsid w:val="00933634"/>
    <w:rsid w:val="009360F2"/>
    <w:rsid w:val="0094013F"/>
    <w:rsid w:val="00942C4C"/>
    <w:rsid w:val="00943689"/>
    <w:rsid w:val="00943779"/>
    <w:rsid w:val="00944F30"/>
    <w:rsid w:val="00954BB4"/>
    <w:rsid w:val="00966E90"/>
    <w:rsid w:val="00966EB3"/>
    <w:rsid w:val="00985645"/>
    <w:rsid w:val="009946C2"/>
    <w:rsid w:val="009A3484"/>
    <w:rsid w:val="009A6505"/>
    <w:rsid w:val="009B28E6"/>
    <w:rsid w:val="009B2D8D"/>
    <w:rsid w:val="009B359D"/>
    <w:rsid w:val="009B5B43"/>
    <w:rsid w:val="009B600A"/>
    <w:rsid w:val="009B61D1"/>
    <w:rsid w:val="009C62FB"/>
    <w:rsid w:val="009D24AA"/>
    <w:rsid w:val="009E0AD4"/>
    <w:rsid w:val="009E1328"/>
    <w:rsid w:val="009E3260"/>
    <w:rsid w:val="009E4AEC"/>
    <w:rsid w:val="009F104A"/>
    <w:rsid w:val="00A00354"/>
    <w:rsid w:val="00A2426A"/>
    <w:rsid w:val="00A27A82"/>
    <w:rsid w:val="00A30280"/>
    <w:rsid w:val="00A372AA"/>
    <w:rsid w:val="00A4008F"/>
    <w:rsid w:val="00A40550"/>
    <w:rsid w:val="00A47BC0"/>
    <w:rsid w:val="00A62D07"/>
    <w:rsid w:val="00A670FD"/>
    <w:rsid w:val="00A712F8"/>
    <w:rsid w:val="00A7458A"/>
    <w:rsid w:val="00A86632"/>
    <w:rsid w:val="00A92B11"/>
    <w:rsid w:val="00AA0E2A"/>
    <w:rsid w:val="00AA1DDC"/>
    <w:rsid w:val="00AA46E3"/>
    <w:rsid w:val="00AA5FCB"/>
    <w:rsid w:val="00AB1138"/>
    <w:rsid w:val="00AB1A56"/>
    <w:rsid w:val="00AB1C2E"/>
    <w:rsid w:val="00AB60EC"/>
    <w:rsid w:val="00AC39E5"/>
    <w:rsid w:val="00AC4C97"/>
    <w:rsid w:val="00AD1E96"/>
    <w:rsid w:val="00AD560A"/>
    <w:rsid w:val="00AD7C2D"/>
    <w:rsid w:val="00AE6F92"/>
    <w:rsid w:val="00AF4665"/>
    <w:rsid w:val="00AF7B12"/>
    <w:rsid w:val="00B0425B"/>
    <w:rsid w:val="00B214B1"/>
    <w:rsid w:val="00B231A4"/>
    <w:rsid w:val="00B32D61"/>
    <w:rsid w:val="00B42E3C"/>
    <w:rsid w:val="00B43B64"/>
    <w:rsid w:val="00B476F5"/>
    <w:rsid w:val="00B51723"/>
    <w:rsid w:val="00B5411E"/>
    <w:rsid w:val="00B6057E"/>
    <w:rsid w:val="00B61487"/>
    <w:rsid w:val="00B6469D"/>
    <w:rsid w:val="00B64F02"/>
    <w:rsid w:val="00B6766C"/>
    <w:rsid w:val="00B72A53"/>
    <w:rsid w:val="00B760AE"/>
    <w:rsid w:val="00B76DA7"/>
    <w:rsid w:val="00B77A20"/>
    <w:rsid w:val="00B84D2E"/>
    <w:rsid w:val="00B87564"/>
    <w:rsid w:val="00B94BDC"/>
    <w:rsid w:val="00B95C24"/>
    <w:rsid w:val="00BA218B"/>
    <w:rsid w:val="00BA2660"/>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6258"/>
    <w:rsid w:val="00C0654C"/>
    <w:rsid w:val="00C10762"/>
    <w:rsid w:val="00C1667E"/>
    <w:rsid w:val="00C16DF9"/>
    <w:rsid w:val="00C20549"/>
    <w:rsid w:val="00C2158D"/>
    <w:rsid w:val="00C225A9"/>
    <w:rsid w:val="00C406E2"/>
    <w:rsid w:val="00C40D99"/>
    <w:rsid w:val="00C4414E"/>
    <w:rsid w:val="00C57393"/>
    <w:rsid w:val="00C60D49"/>
    <w:rsid w:val="00C66F06"/>
    <w:rsid w:val="00C72A47"/>
    <w:rsid w:val="00C72C51"/>
    <w:rsid w:val="00C7321C"/>
    <w:rsid w:val="00C77AA5"/>
    <w:rsid w:val="00C80FFA"/>
    <w:rsid w:val="00C87277"/>
    <w:rsid w:val="00C954BF"/>
    <w:rsid w:val="00CA3780"/>
    <w:rsid w:val="00CA4169"/>
    <w:rsid w:val="00CA48F1"/>
    <w:rsid w:val="00CA61F8"/>
    <w:rsid w:val="00CA6B67"/>
    <w:rsid w:val="00CB5854"/>
    <w:rsid w:val="00CC15B6"/>
    <w:rsid w:val="00CC2B98"/>
    <w:rsid w:val="00CC456A"/>
    <w:rsid w:val="00CC4E5A"/>
    <w:rsid w:val="00CE3063"/>
    <w:rsid w:val="00D27171"/>
    <w:rsid w:val="00D40ADC"/>
    <w:rsid w:val="00D410BB"/>
    <w:rsid w:val="00D47656"/>
    <w:rsid w:val="00D539AB"/>
    <w:rsid w:val="00D5458E"/>
    <w:rsid w:val="00D60BC4"/>
    <w:rsid w:val="00D6671C"/>
    <w:rsid w:val="00D72D3A"/>
    <w:rsid w:val="00D72F5E"/>
    <w:rsid w:val="00D77D74"/>
    <w:rsid w:val="00D80040"/>
    <w:rsid w:val="00D9051D"/>
    <w:rsid w:val="00D920A3"/>
    <w:rsid w:val="00D947B4"/>
    <w:rsid w:val="00D964C8"/>
    <w:rsid w:val="00D976C6"/>
    <w:rsid w:val="00DA0E3D"/>
    <w:rsid w:val="00DA6F3E"/>
    <w:rsid w:val="00DA7C22"/>
    <w:rsid w:val="00DB1F2A"/>
    <w:rsid w:val="00DE5D81"/>
    <w:rsid w:val="00DE69E7"/>
    <w:rsid w:val="00E05DE5"/>
    <w:rsid w:val="00E07856"/>
    <w:rsid w:val="00E148D3"/>
    <w:rsid w:val="00E20475"/>
    <w:rsid w:val="00E2287D"/>
    <w:rsid w:val="00E2347C"/>
    <w:rsid w:val="00E36F23"/>
    <w:rsid w:val="00E36F28"/>
    <w:rsid w:val="00E42AA1"/>
    <w:rsid w:val="00E4439A"/>
    <w:rsid w:val="00E470E2"/>
    <w:rsid w:val="00E47EA6"/>
    <w:rsid w:val="00E52699"/>
    <w:rsid w:val="00E651D1"/>
    <w:rsid w:val="00E72016"/>
    <w:rsid w:val="00E7564A"/>
    <w:rsid w:val="00E821E4"/>
    <w:rsid w:val="00EA4506"/>
    <w:rsid w:val="00EA7AC8"/>
    <w:rsid w:val="00EB3E1E"/>
    <w:rsid w:val="00EB72C6"/>
    <w:rsid w:val="00EC23D5"/>
    <w:rsid w:val="00ED24DB"/>
    <w:rsid w:val="00ED2BFD"/>
    <w:rsid w:val="00ED37F7"/>
    <w:rsid w:val="00EF06D1"/>
    <w:rsid w:val="00EF5A52"/>
    <w:rsid w:val="00F11385"/>
    <w:rsid w:val="00F372D2"/>
    <w:rsid w:val="00F41F38"/>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E5943"/>
    <w:rsid w:val="00FE676D"/>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A9DDBD"/>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B937-C7A9-41B5-8777-A0BA3C8F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ERidgeway</dc:creator>
  <cp:lastModifiedBy>KUSTER Chris</cp:lastModifiedBy>
  <cp:revision>4</cp:revision>
  <cp:lastPrinted>2019-10-23T03:06:00Z</cp:lastPrinted>
  <dcterms:created xsi:type="dcterms:W3CDTF">2019-11-04T04:39:00Z</dcterms:created>
  <dcterms:modified xsi:type="dcterms:W3CDTF">2019-11-04T04:44:00Z</dcterms:modified>
</cp:coreProperties>
</file>