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A6F84" w14:textId="77777777" w:rsidR="002004B5" w:rsidRPr="0007214C" w:rsidRDefault="002004B5" w:rsidP="002004B5">
      <w:pPr>
        <w:jc w:val="center"/>
        <w:rPr>
          <w:b/>
          <w:i/>
          <w:sz w:val="28"/>
        </w:rPr>
      </w:pPr>
      <w:bookmarkStart w:id="0" w:name="_Toc290210739"/>
      <w:r w:rsidRPr="0007214C">
        <w:rPr>
          <w:b/>
          <w:sz w:val="28"/>
          <w:u w:val="single"/>
        </w:rPr>
        <w:t>EXPLANATORY STATEMENT</w:t>
      </w:r>
      <w:r w:rsidRPr="0007214C">
        <w:rPr>
          <w:b/>
          <w:sz w:val="28"/>
          <w:u w:val="single"/>
        </w:rPr>
        <w:br/>
      </w:r>
      <w:r w:rsidRPr="0007214C">
        <w:rPr>
          <w:b/>
          <w:sz w:val="28"/>
          <w:u w:val="single"/>
        </w:rPr>
        <w:br/>
      </w:r>
      <w:r w:rsidRPr="0007214C">
        <w:rPr>
          <w:b/>
          <w:i/>
          <w:sz w:val="28"/>
        </w:rPr>
        <w:t>Telecommunications (Carrier Licence Charges) Act 1997</w:t>
      </w:r>
    </w:p>
    <w:p w14:paraId="58050FFD" w14:textId="77777777" w:rsidR="002004B5" w:rsidRPr="0007214C" w:rsidRDefault="002004B5" w:rsidP="002004B5">
      <w:pPr>
        <w:spacing w:before="240"/>
        <w:jc w:val="center"/>
        <w:rPr>
          <w:b/>
          <w:sz w:val="28"/>
        </w:rPr>
      </w:pPr>
      <w:r w:rsidRPr="0007214C">
        <w:rPr>
          <w:b/>
          <w:sz w:val="28"/>
        </w:rPr>
        <w:t>Determination under Paragraph 15(1</w:t>
      </w:r>
      <w:proofErr w:type="gramStart"/>
      <w:r w:rsidRPr="0007214C">
        <w:rPr>
          <w:b/>
          <w:sz w:val="28"/>
        </w:rPr>
        <w:t>)(</w:t>
      </w:r>
      <w:proofErr w:type="gramEnd"/>
      <w:r w:rsidRPr="0007214C">
        <w:rPr>
          <w:b/>
          <w:sz w:val="28"/>
        </w:rPr>
        <w:t xml:space="preserve">b) </w:t>
      </w:r>
      <w:r w:rsidRPr="002120B8">
        <w:rPr>
          <w:b/>
          <w:sz w:val="28"/>
        </w:rPr>
        <w:t>No. 1 of 201</w:t>
      </w:r>
      <w:r>
        <w:rPr>
          <w:b/>
          <w:sz w:val="28"/>
        </w:rPr>
        <w:t>9</w:t>
      </w:r>
      <w:r w:rsidRPr="0007214C">
        <w:rPr>
          <w:b/>
          <w:sz w:val="28"/>
        </w:rPr>
        <w:t xml:space="preserve"> </w:t>
      </w:r>
    </w:p>
    <w:p w14:paraId="55435279" w14:textId="352AA3BA" w:rsidR="002004B5" w:rsidRPr="001D139B" w:rsidRDefault="002004B5" w:rsidP="002004B5">
      <w:pPr>
        <w:spacing w:before="240"/>
        <w:jc w:val="center"/>
        <w:rPr>
          <w:b/>
        </w:rPr>
      </w:pPr>
      <w:r w:rsidRPr="0007214C">
        <w:rPr>
          <w:b/>
        </w:rPr>
        <w:t xml:space="preserve">Issued by the Australian Competition </w:t>
      </w:r>
      <w:r w:rsidR="003C612F">
        <w:rPr>
          <w:b/>
        </w:rPr>
        <w:t>and</w:t>
      </w:r>
      <w:r w:rsidRPr="0007214C">
        <w:rPr>
          <w:b/>
        </w:rPr>
        <w:t xml:space="preserve"> Consumer Commission</w:t>
      </w:r>
      <w:r>
        <w:rPr>
          <w:b/>
        </w:rPr>
        <w:br/>
      </w:r>
    </w:p>
    <w:p w14:paraId="12BFC593" w14:textId="77777777" w:rsidR="002004B5" w:rsidRPr="00833922" w:rsidRDefault="002004B5" w:rsidP="002004B5">
      <w:r w:rsidRPr="001D139B">
        <w:rPr>
          <w:b/>
        </w:rPr>
        <w:t>Legislative Provisions</w:t>
      </w:r>
      <w:r>
        <w:rPr>
          <w:b/>
        </w:rPr>
        <w:br/>
      </w:r>
      <w:r>
        <w:rPr>
          <w:b/>
        </w:rPr>
        <w:br/>
      </w:r>
      <w:r w:rsidRPr="001D139B">
        <w:t xml:space="preserve">The </w:t>
      </w:r>
      <w:r w:rsidRPr="001D139B">
        <w:rPr>
          <w:i/>
        </w:rPr>
        <w:t>Telecommunications (Carrier Licence Charges) Act 1997</w:t>
      </w:r>
      <w:r w:rsidRPr="001D139B">
        <w:t xml:space="preserve"> (the Act) sets out the method </w:t>
      </w:r>
      <w:r>
        <w:t>for imposing</w:t>
      </w:r>
      <w:r w:rsidRPr="001D139B">
        <w:t xml:space="preserve"> annual charges </w:t>
      </w:r>
      <w:r>
        <w:t>in relation</w:t>
      </w:r>
      <w:r w:rsidRPr="001D139B">
        <w:t xml:space="preserve"> to the carrier licences held by telecommunications carriers</w:t>
      </w:r>
      <w:r>
        <w:t xml:space="preserve"> under the </w:t>
      </w:r>
      <w:r w:rsidRPr="001F7736">
        <w:rPr>
          <w:i/>
        </w:rPr>
        <w:t>Telecommunications Act 1997</w:t>
      </w:r>
      <w:r w:rsidRPr="001D139B">
        <w:t xml:space="preserve">.  </w:t>
      </w:r>
      <w:r w:rsidRPr="00833922">
        <w:t>Subsection 15(1) of the Act provides that the total of charges that are imposed on carrier licences in force at the beginning of a fi</w:t>
      </w:r>
      <w:bookmarkStart w:id="1" w:name="_GoBack"/>
      <w:bookmarkEnd w:id="1"/>
      <w:r w:rsidRPr="00833922">
        <w:t>nancial year must not exceed the sum of:</w:t>
      </w:r>
    </w:p>
    <w:p w14:paraId="620B552B" w14:textId="77777777" w:rsidR="002004B5" w:rsidRPr="00833922" w:rsidRDefault="002004B5" w:rsidP="002004B5">
      <w:pPr>
        <w:numPr>
          <w:ilvl w:val="0"/>
          <w:numId w:val="8"/>
        </w:numPr>
        <w:ind w:left="1080" w:hanging="643"/>
        <w:jc w:val="both"/>
      </w:pPr>
      <w:r w:rsidRPr="00833922">
        <w:t>the amount determined, by a written instrument made by the A</w:t>
      </w:r>
      <w:r>
        <w:t xml:space="preserve">ustralian </w:t>
      </w:r>
      <w:r w:rsidRPr="00833922">
        <w:t>C</w:t>
      </w:r>
      <w:r>
        <w:t xml:space="preserve">ommunications and </w:t>
      </w:r>
      <w:r w:rsidRPr="00833922">
        <w:t>M</w:t>
      </w:r>
      <w:r>
        <w:t xml:space="preserve">edia </w:t>
      </w:r>
      <w:r w:rsidRPr="00833922">
        <w:t>A</w:t>
      </w:r>
      <w:r>
        <w:t>uthority (ACMA)</w:t>
      </w:r>
      <w:r w:rsidRPr="00833922">
        <w:t>, to be the proportion of the ACMA's costs for the immediately preceding financial year that is attributable to the ACMA's telecommunications functions and powers; and</w:t>
      </w:r>
    </w:p>
    <w:p w14:paraId="67CF385F" w14:textId="77777777" w:rsidR="002004B5" w:rsidRPr="00833922" w:rsidRDefault="002004B5" w:rsidP="002004B5">
      <w:pPr>
        <w:numPr>
          <w:ilvl w:val="0"/>
          <w:numId w:val="8"/>
        </w:numPr>
        <w:ind w:left="1080" w:hanging="643"/>
        <w:jc w:val="both"/>
      </w:pPr>
      <w:r w:rsidRPr="00833922">
        <w:t xml:space="preserve">the amount determined, by a written instrument made by the </w:t>
      </w:r>
      <w:r>
        <w:t>Australian Competition and Consumer Commission (</w:t>
      </w:r>
      <w:r w:rsidRPr="00833922">
        <w:t>ACCC</w:t>
      </w:r>
      <w:r>
        <w:t>)</w:t>
      </w:r>
      <w:r w:rsidRPr="00833922">
        <w:t>, to be the proportion of the ACCC's costs for the immediately preceding financial year that is attributable to the ACCC's telecommunications functions and powers; and</w:t>
      </w:r>
    </w:p>
    <w:p w14:paraId="13B287FB" w14:textId="77777777" w:rsidR="002004B5" w:rsidRPr="00833922" w:rsidRDefault="002004B5" w:rsidP="002004B5">
      <w:pPr>
        <w:numPr>
          <w:ilvl w:val="0"/>
          <w:numId w:val="8"/>
        </w:numPr>
        <w:ind w:left="1080" w:hanging="643"/>
        <w:jc w:val="both"/>
      </w:pPr>
      <w:r w:rsidRPr="00833922">
        <w:t>the amount determined, by a written instrument made by the ACMA, to be the proportion of the Commonwealth's contribution to the budget of the International Telecommunication Union for the calendar year in which the beginning of the financial year occurs that is to be recovered from carriers; and</w:t>
      </w:r>
    </w:p>
    <w:p w14:paraId="43175823" w14:textId="77777777" w:rsidR="002004B5" w:rsidRPr="00833922" w:rsidRDefault="002004B5" w:rsidP="002004B5">
      <w:pPr>
        <w:tabs>
          <w:tab w:val="left" w:pos="1080"/>
        </w:tabs>
        <w:ind w:left="1080" w:hanging="643"/>
        <w:jc w:val="both"/>
      </w:pPr>
      <w:r w:rsidRPr="00833922">
        <w:t>(ca)</w:t>
      </w:r>
      <w:r w:rsidRPr="00833922">
        <w:tab/>
        <w:t xml:space="preserve">the amount determined, by a written instrument made by the ACMA, to be the sum of the amounts paid under section 136C of the </w:t>
      </w:r>
      <w:r w:rsidRPr="00833922">
        <w:rPr>
          <w:i/>
        </w:rPr>
        <w:t>Telecommunications Act 1997</w:t>
      </w:r>
      <w:r w:rsidRPr="00833922">
        <w:t xml:space="preserve"> during the immediately preceding financial year; and</w:t>
      </w:r>
    </w:p>
    <w:p w14:paraId="719D1A24" w14:textId="77777777" w:rsidR="002004B5" w:rsidRPr="00833922" w:rsidRDefault="002004B5" w:rsidP="002004B5">
      <w:pPr>
        <w:numPr>
          <w:ilvl w:val="0"/>
          <w:numId w:val="8"/>
        </w:numPr>
        <w:ind w:left="1080" w:hanging="643"/>
        <w:jc w:val="both"/>
      </w:pPr>
      <w:proofErr w:type="gramStart"/>
      <w:r w:rsidRPr="00833922">
        <w:t>the</w:t>
      </w:r>
      <w:proofErr w:type="gramEnd"/>
      <w:r w:rsidRPr="00833922">
        <w:t xml:space="preserve"> amount determined, in a written instrument made by the Minister, to be the estimated total amount of grants likely to be made during the financial year under section 593 of the </w:t>
      </w:r>
      <w:r w:rsidRPr="00833922">
        <w:rPr>
          <w:i/>
        </w:rPr>
        <w:t>Telecommunications Act 1997</w:t>
      </w:r>
      <w:r w:rsidRPr="00833922">
        <w:t>.</w:t>
      </w:r>
    </w:p>
    <w:p w14:paraId="3300D8B5" w14:textId="77777777" w:rsidR="002004B5" w:rsidRDefault="002004B5" w:rsidP="002004B5">
      <w:r>
        <w:br/>
      </w:r>
      <w:r w:rsidRPr="00833922">
        <w:t xml:space="preserve">Paragraph 15(4)(b) of the Act defines “cost” and provides that in relation to the ACCC, costs means an amount that, in accordance with accrual-based accounting principles, is treated as a cost of the ACCC. </w:t>
      </w:r>
      <w:r w:rsidRPr="00C941D4">
        <w:t xml:space="preserve">The ACCC’s costs </w:t>
      </w:r>
      <w:r>
        <w:t xml:space="preserve">for the 2017-18 financial year </w:t>
      </w:r>
      <w:r w:rsidRPr="00C941D4">
        <w:t>have been calculated in accordance with those principles</w:t>
      </w:r>
      <w:r>
        <w:t>.</w:t>
      </w:r>
      <w:r w:rsidRPr="00833922">
        <w:t xml:space="preserve"> </w:t>
      </w:r>
      <w:r w:rsidRPr="00833922">
        <w:br/>
      </w:r>
      <w:r>
        <w:br/>
      </w:r>
      <w:r w:rsidRPr="001D139B">
        <w:t xml:space="preserve">A </w:t>
      </w:r>
      <w:r>
        <w:t>d</w:t>
      </w:r>
      <w:r w:rsidRPr="001D139B">
        <w:t xml:space="preserve">etermination made under subsection 15(1) of the Act is a legislative instrument for the purposes of the </w:t>
      </w:r>
      <w:r>
        <w:rPr>
          <w:i/>
        </w:rPr>
        <w:t>Legislation</w:t>
      </w:r>
      <w:r w:rsidRPr="001D139B">
        <w:rPr>
          <w:i/>
        </w:rPr>
        <w:t xml:space="preserve"> Act 2003</w:t>
      </w:r>
      <w:r>
        <w:t>.</w:t>
      </w:r>
      <w:r>
        <w:br/>
      </w:r>
      <w:r>
        <w:br/>
      </w:r>
      <w:r w:rsidRPr="001D139B">
        <w:rPr>
          <w:b/>
        </w:rPr>
        <w:t>Purpose</w:t>
      </w:r>
      <w:r>
        <w:rPr>
          <w:b/>
        </w:rPr>
        <w:br/>
      </w:r>
      <w:r>
        <w:rPr>
          <w:b/>
        </w:rPr>
        <w:br/>
      </w:r>
      <w:r w:rsidRPr="00604453">
        <w:t>The Determination has been made for the purposes of paragraph 15(1</w:t>
      </w:r>
      <w:proofErr w:type="gramStart"/>
      <w:r w:rsidRPr="00604453">
        <w:t>)(</w:t>
      </w:r>
      <w:proofErr w:type="gramEnd"/>
      <w:r w:rsidRPr="00604453">
        <w:t>b) of the Act</w:t>
      </w:r>
      <w:r>
        <w:t>, and</w:t>
      </w:r>
      <w:r w:rsidRPr="00604453">
        <w:t xml:space="preserve"> provides that $13,295,863 </w:t>
      </w:r>
      <w:r>
        <w:t>is</w:t>
      </w:r>
      <w:r w:rsidRPr="00604453">
        <w:t xml:space="preserve"> the amount determined to be the proportion of cost</w:t>
      </w:r>
      <w:r>
        <w:t>s</w:t>
      </w:r>
      <w:r w:rsidRPr="00604453">
        <w:t xml:space="preserve"> for the 2017-18 financial year that is attributable to the ACCC’s telecommunications functions and powers. Of this amount, $1,531,854 relates to costs incurred on the ACCC’s Measuring Broadband Australia program.</w:t>
      </w:r>
      <w:r>
        <w:t xml:space="preserve"> </w:t>
      </w:r>
      <w:r>
        <w:br/>
      </w:r>
      <w:r>
        <w:rPr>
          <w:b/>
        </w:rPr>
        <w:br/>
      </w:r>
      <w:r w:rsidRPr="001D139B">
        <w:rPr>
          <w:b/>
        </w:rPr>
        <w:t>Consultation</w:t>
      </w:r>
      <w:r>
        <w:rPr>
          <w:b/>
        </w:rPr>
        <w:br/>
      </w:r>
      <w:r>
        <w:rPr>
          <w:b/>
        </w:rPr>
        <w:br/>
      </w:r>
      <w:r>
        <w:t xml:space="preserve">The ACMA, on behalf of the ACCC, conducted a public consultation in relation to the making of this Determination. The consultation period was open to carriers on 22 July 2019 for a four week period ending 19 August 2019. Two submissions were </w:t>
      </w:r>
      <w:r w:rsidRPr="00AA64F6">
        <w:t xml:space="preserve">received relating to the ACCC which raised </w:t>
      </w:r>
      <w:r w:rsidRPr="00AA64F6">
        <w:lastRenderedPageBreak/>
        <w:t xml:space="preserve">significant issues regarding the drafting of this instrument. Responses to these issues are published on the ACMA website in Attachment D of the </w:t>
      </w:r>
      <w:r w:rsidRPr="00AA64F6">
        <w:rPr>
          <w:i/>
          <w:iCs/>
        </w:rPr>
        <w:t>Cost Recovery Implementation Statement: Annual Carrier Licence Charge for the charging period 1 July 2018 to 30 June 2019</w:t>
      </w:r>
      <w:r w:rsidRPr="00AA64F6">
        <w:t>.  </w:t>
      </w:r>
    </w:p>
    <w:p w14:paraId="61044C80" w14:textId="77777777" w:rsidR="002004B5" w:rsidRDefault="002004B5" w:rsidP="00D47AF2">
      <w:pPr>
        <w:ind w:left="720" w:hanging="720"/>
        <w:rPr>
          <w:rFonts w:ascii="Arial" w:hAnsi="Arial" w:cs="Arial"/>
        </w:rPr>
      </w:pPr>
    </w:p>
    <w:p w14:paraId="48451747" w14:textId="77777777" w:rsidR="002004B5" w:rsidRDefault="002004B5">
      <w:pPr>
        <w:rPr>
          <w:rFonts w:ascii="Arial" w:hAnsi="Arial" w:cs="Arial"/>
        </w:rPr>
      </w:pPr>
      <w:r>
        <w:rPr>
          <w:rFonts w:ascii="Arial" w:hAnsi="Arial" w:cs="Arial"/>
        </w:rPr>
        <w:br w:type="page"/>
      </w:r>
    </w:p>
    <w:p w14:paraId="7C6EE7C2" w14:textId="7CF7C4C8" w:rsidR="00D47AF2" w:rsidRPr="00596327" w:rsidRDefault="003C612F" w:rsidP="00D47AF2">
      <w:pPr>
        <w:ind w:left="720" w:hanging="720"/>
        <w:rPr>
          <w:rFonts w:ascii="Arial" w:hAnsi="Arial" w:cs="Arial"/>
        </w:rPr>
      </w:pPr>
      <w:r>
        <w:rPr>
          <w:rFonts w:ascii="Arial" w:hAnsi="Arial" w:cs="Arial"/>
          <w:noProof/>
        </w:rPr>
        <w:lastRenderedPageBreak/>
        <w:pict w14:anchorId="1ED3B6F8">
          <v:rect id="_x0000_s1027" style="position:absolute;left:0;text-align:left;margin-left:.85pt;margin-top:14.1pt;width:481.8pt;height:540.6pt;z-index:251660288" strokeweight="6pt">
            <v:stroke linestyle="thickBetweenThin"/>
            <v:textbox style="mso-next-textbox:#_x0000_s1027" inset="5mm,,5mm">
              <w:txbxContent>
                <w:p w14:paraId="675E92E1" w14:textId="77777777" w:rsidR="00D47AF2" w:rsidRPr="00E4135E" w:rsidRDefault="00D47AF2" w:rsidP="00D47AF2">
                  <w:pPr>
                    <w:spacing w:before="360" w:after="120"/>
                    <w:jc w:val="center"/>
                    <w:rPr>
                      <w:b/>
                      <w:sz w:val="28"/>
                      <w:szCs w:val="28"/>
                    </w:rPr>
                  </w:pPr>
                  <w:r w:rsidRPr="00E4135E">
                    <w:rPr>
                      <w:b/>
                      <w:sz w:val="28"/>
                      <w:szCs w:val="28"/>
                    </w:rPr>
                    <w:t>Statement of Compatibility with Human Rights</w:t>
                  </w:r>
                </w:p>
                <w:p w14:paraId="3235B61A" w14:textId="77777777" w:rsidR="00D47AF2" w:rsidRPr="00E4135E" w:rsidRDefault="00D47AF2" w:rsidP="00D47AF2">
                  <w:pPr>
                    <w:spacing w:before="120" w:after="120"/>
                    <w:jc w:val="center"/>
                    <w:rPr>
                      <w:szCs w:val="24"/>
                    </w:rPr>
                  </w:pPr>
                  <w:r w:rsidRPr="00E4135E">
                    <w:rPr>
                      <w:i/>
                      <w:szCs w:val="24"/>
                    </w:rPr>
                    <w:t>Prepared in accordance with Part 3 of the Human Rights (Parliamentary Scrutiny) Act 2011</w:t>
                  </w:r>
                </w:p>
                <w:p w14:paraId="5197E0A8" w14:textId="77777777" w:rsidR="00D47AF2" w:rsidRPr="0082791E" w:rsidRDefault="007D2AA8" w:rsidP="0082791E">
                  <w:pPr>
                    <w:pStyle w:val="Heading7"/>
                    <w:jc w:val="center"/>
                    <w:rPr>
                      <w:i/>
                    </w:rPr>
                  </w:pPr>
                  <w:r w:rsidRPr="0082791E">
                    <w:rPr>
                      <w:rFonts w:ascii="Times New Roman" w:hAnsi="Times New Roman" w:cs="Times New Roman"/>
                      <w:i/>
                    </w:rPr>
                    <w:t>Telecommunications (Carrier Licence Charges) Act 1997</w:t>
                  </w:r>
                </w:p>
                <w:p w14:paraId="4A92655F" w14:textId="4898CC8B" w:rsidR="00D47AF2" w:rsidRPr="00CE7868" w:rsidRDefault="00D47AF2" w:rsidP="00D47AF2">
                  <w:pPr>
                    <w:pStyle w:val="Heading6"/>
                    <w:jc w:val="center"/>
                    <w:rPr>
                      <w:rFonts w:ascii="Times New Roman" w:hAnsi="Times New Roman"/>
                      <w:sz w:val="24"/>
                      <w:szCs w:val="24"/>
                    </w:rPr>
                  </w:pPr>
                  <w:r w:rsidRPr="00CE7868">
                    <w:rPr>
                      <w:rFonts w:ascii="Times New Roman" w:hAnsi="Times New Roman"/>
                      <w:sz w:val="24"/>
                      <w:szCs w:val="24"/>
                    </w:rPr>
                    <w:t>DETERMINATION UNDER</w:t>
                  </w:r>
                  <w:r>
                    <w:rPr>
                      <w:rFonts w:ascii="Times New Roman" w:hAnsi="Times New Roman"/>
                      <w:sz w:val="24"/>
                      <w:szCs w:val="24"/>
                    </w:rPr>
                    <w:t xml:space="preserve"> SECTION</w:t>
                  </w:r>
                  <w:r w:rsidRPr="00CE7868">
                    <w:rPr>
                      <w:rFonts w:ascii="Times New Roman" w:hAnsi="Times New Roman"/>
                      <w:sz w:val="24"/>
                      <w:szCs w:val="24"/>
                    </w:rPr>
                    <w:t xml:space="preserve"> 15(1</w:t>
                  </w:r>
                  <w:proofErr w:type="gramStart"/>
                  <w:r w:rsidRPr="00CE7868">
                    <w:rPr>
                      <w:rFonts w:ascii="Times New Roman" w:hAnsi="Times New Roman"/>
                      <w:sz w:val="24"/>
                      <w:szCs w:val="24"/>
                    </w:rPr>
                    <w:t>)(</w:t>
                  </w:r>
                  <w:proofErr w:type="gramEnd"/>
                  <w:r w:rsidRPr="00CE7868">
                    <w:rPr>
                      <w:rFonts w:ascii="Times New Roman" w:hAnsi="Times New Roman"/>
                      <w:sz w:val="24"/>
                      <w:szCs w:val="24"/>
                    </w:rPr>
                    <w:t>b) No</w:t>
                  </w:r>
                  <w:r w:rsidRPr="00535582">
                    <w:rPr>
                      <w:rFonts w:ascii="Times New Roman" w:hAnsi="Times New Roman"/>
                      <w:sz w:val="24"/>
                      <w:szCs w:val="24"/>
                    </w:rPr>
                    <w:t>. 1 of 201</w:t>
                  </w:r>
                  <w:r w:rsidR="00F760C1">
                    <w:rPr>
                      <w:rFonts w:ascii="Times New Roman" w:hAnsi="Times New Roman"/>
                      <w:sz w:val="24"/>
                      <w:szCs w:val="24"/>
                    </w:rPr>
                    <w:t>9</w:t>
                  </w:r>
                  <w:r w:rsidR="00381292" w:rsidRPr="00535582">
                    <w:rPr>
                      <w:rFonts w:ascii="Times New Roman" w:hAnsi="Times New Roman"/>
                      <w:sz w:val="24"/>
                      <w:szCs w:val="24"/>
                    </w:rPr>
                    <w:t xml:space="preserve"> – </w:t>
                  </w:r>
                  <w:r w:rsidR="008F4702">
                    <w:rPr>
                      <w:rFonts w:ascii="Times New Roman" w:hAnsi="Times New Roman"/>
                      <w:sz w:val="24"/>
                      <w:szCs w:val="24"/>
                    </w:rPr>
                    <w:t>29</w:t>
                  </w:r>
                  <w:r w:rsidR="00381292" w:rsidRPr="000F1719">
                    <w:rPr>
                      <w:rFonts w:ascii="Times New Roman" w:hAnsi="Times New Roman"/>
                      <w:sz w:val="24"/>
                      <w:szCs w:val="24"/>
                    </w:rPr>
                    <w:t xml:space="preserve"> </w:t>
                  </w:r>
                  <w:r w:rsidR="00F760C1">
                    <w:rPr>
                      <w:rFonts w:ascii="Times New Roman" w:hAnsi="Times New Roman"/>
                      <w:sz w:val="24"/>
                      <w:szCs w:val="24"/>
                    </w:rPr>
                    <w:t>OCTOBER</w:t>
                  </w:r>
                  <w:r w:rsidR="00381292" w:rsidRPr="000F1719">
                    <w:rPr>
                      <w:rFonts w:ascii="Times New Roman" w:hAnsi="Times New Roman"/>
                      <w:sz w:val="24"/>
                      <w:szCs w:val="24"/>
                    </w:rPr>
                    <w:t xml:space="preserve"> 201</w:t>
                  </w:r>
                  <w:r w:rsidR="00F760C1">
                    <w:rPr>
                      <w:rFonts w:ascii="Times New Roman" w:hAnsi="Times New Roman"/>
                      <w:sz w:val="24"/>
                      <w:szCs w:val="24"/>
                    </w:rPr>
                    <w:t>9</w:t>
                  </w:r>
                </w:p>
                <w:p w14:paraId="6D47CD45" w14:textId="77777777" w:rsidR="00D47AF2" w:rsidRPr="00E4135E" w:rsidRDefault="00D47AF2" w:rsidP="00D47AF2">
                  <w:pPr>
                    <w:spacing w:before="120" w:after="120"/>
                    <w:jc w:val="center"/>
                    <w:rPr>
                      <w:b/>
                      <w:szCs w:val="24"/>
                    </w:rPr>
                  </w:pPr>
                  <w:r w:rsidRPr="00E4135E">
                    <w:rPr>
                      <w:b/>
                      <w:szCs w:val="24"/>
                    </w:rPr>
                    <w:t xml:space="preserve"> </w:t>
                  </w:r>
                </w:p>
                <w:p w14:paraId="769AAF26" w14:textId="77777777" w:rsidR="00D47AF2" w:rsidRPr="00E4135E" w:rsidRDefault="00D47AF2" w:rsidP="00D47AF2">
                  <w:pPr>
                    <w:spacing w:before="120" w:after="120"/>
                    <w:jc w:val="center"/>
                    <w:rPr>
                      <w:szCs w:val="24"/>
                    </w:rPr>
                  </w:pPr>
                </w:p>
                <w:p w14:paraId="273E31FA" w14:textId="77777777" w:rsidR="00D47AF2" w:rsidRPr="00E4135E" w:rsidRDefault="00D47AF2" w:rsidP="00D47AF2">
                  <w:pPr>
                    <w:spacing w:before="120" w:after="120"/>
                    <w:jc w:val="center"/>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18101053" w14:textId="77777777" w:rsidR="00D47AF2" w:rsidRPr="00E4135E" w:rsidRDefault="00D47AF2" w:rsidP="00D47AF2">
                  <w:pPr>
                    <w:spacing w:before="120" w:after="120"/>
                    <w:jc w:val="center"/>
                    <w:rPr>
                      <w:szCs w:val="24"/>
                    </w:rPr>
                  </w:pPr>
                </w:p>
                <w:p w14:paraId="3B4F0516" w14:textId="77777777" w:rsidR="00D47AF2" w:rsidRPr="00E4135E" w:rsidRDefault="00D47AF2" w:rsidP="00D47AF2">
                  <w:pPr>
                    <w:spacing w:before="120" w:after="120"/>
                    <w:jc w:val="center"/>
                    <w:rPr>
                      <w:szCs w:val="24"/>
                    </w:rPr>
                  </w:pPr>
                </w:p>
                <w:p w14:paraId="6182FB07" w14:textId="77777777" w:rsidR="00D47AF2" w:rsidRPr="00E4135E" w:rsidRDefault="00D47AF2" w:rsidP="00D47AF2">
                  <w:pPr>
                    <w:spacing w:before="120" w:after="120"/>
                    <w:jc w:val="both"/>
                    <w:rPr>
                      <w:b/>
                      <w:szCs w:val="24"/>
                    </w:rPr>
                  </w:pPr>
                  <w:r w:rsidRPr="00E4135E">
                    <w:rPr>
                      <w:b/>
                      <w:szCs w:val="24"/>
                    </w:rPr>
                    <w:t>Overview of the Legislative Instrument</w:t>
                  </w:r>
                </w:p>
                <w:p w14:paraId="78E513CE" w14:textId="77777777" w:rsidR="00D47AF2" w:rsidRPr="0082791E" w:rsidRDefault="00D47AF2" w:rsidP="00D47AF2">
                  <w:pPr>
                    <w:spacing w:before="120" w:after="120"/>
                    <w:rPr>
                      <w:i/>
                    </w:rPr>
                  </w:pPr>
                  <w:r>
                    <w:rPr>
                      <w:szCs w:val="24"/>
                    </w:rPr>
                    <w:t xml:space="preserve">This Determination </w:t>
                  </w:r>
                  <w:r w:rsidR="00BC5088">
                    <w:rPr>
                      <w:szCs w:val="24"/>
                    </w:rPr>
                    <w:t>provides</w:t>
                  </w:r>
                  <w:r>
                    <w:rPr>
                      <w:szCs w:val="24"/>
                    </w:rPr>
                    <w:t xml:space="preserve"> the Australian Competition </w:t>
                  </w:r>
                  <w:r w:rsidR="00F760C1">
                    <w:rPr>
                      <w:szCs w:val="24"/>
                    </w:rPr>
                    <w:t>and</w:t>
                  </w:r>
                  <w:r>
                    <w:rPr>
                      <w:szCs w:val="24"/>
                    </w:rPr>
                    <w:t xml:space="preserve"> Consumer Commission’s relevant costs </w:t>
                  </w:r>
                  <w:r w:rsidR="00A75720">
                    <w:rPr>
                      <w:szCs w:val="24"/>
                    </w:rPr>
                    <w:t xml:space="preserve">for the immediately preceding financial year that is attributable to the ACCC’s telecommunications functions and powers, which is to be </w:t>
                  </w:r>
                  <w:r>
                    <w:rPr>
                      <w:szCs w:val="24"/>
                    </w:rPr>
                    <w:t xml:space="preserve">used in the calculation of the </w:t>
                  </w:r>
                  <w:r w:rsidRPr="00703FBC">
                    <w:rPr>
                      <w:szCs w:val="24"/>
                    </w:rPr>
                    <w:t>201</w:t>
                  </w:r>
                  <w:r w:rsidR="00F760C1">
                    <w:rPr>
                      <w:szCs w:val="24"/>
                    </w:rPr>
                    <w:t>7</w:t>
                  </w:r>
                  <w:r w:rsidR="00AF1772">
                    <w:rPr>
                      <w:szCs w:val="24"/>
                    </w:rPr>
                    <w:t>-1</w:t>
                  </w:r>
                  <w:r w:rsidR="00F760C1">
                    <w:rPr>
                      <w:szCs w:val="24"/>
                    </w:rPr>
                    <w:t>8</w:t>
                  </w:r>
                  <w:r>
                    <w:rPr>
                      <w:szCs w:val="24"/>
                    </w:rPr>
                    <w:t xml:space="preserve"> </w:t>
                  </w:r>
                  <w:r w:rsidR="00797502">
                    <w:rPr>
                      <w:szCs w:val="24"/>
                    </w:rPr>
                    <w:t>Annual</w:t>
                  </w:r>
                  <w:r>
                    <w:rPr>
                      <w:szCs w:val="24"/>
                    </w:rPr>
                    <w:t xml:space="preserve"> Carrier Licence Charge</w:t>
                  </w:r>
                  <w:r w:rsidR="00A75720">
                    <w:rPr>
                      <w:szCs w:val="24"/>
                    </w:rPr>
                    <w:t xml:space="preserve"> under the </w:t>
                  </w:r>
                  <w:r w:rsidR="00A75720" w:rsidRPr="00A75720">
                    <w:rPr>
                      <w:i/>
                    </w:rPr>
                    <w:t>Telecommunications (Carrier Licence Charges) Act 1997</w:t>
                  </w:r>
                  <w:r>
                    <w:rPr>
                      <w:szCs w:val="24"/>
                    </w:rPr>
                    <w:t>.</w:t>
                  </w:r>
                </w:p>
                <w:p w14:paraId="0735C4FE" w14:textId="77777777" w:rsidR="00D47AF2" w:rsidRPr="00E4135E" w:rsidRDefault="00D47AF2" w:rsidP="00D47AF2">
                  <w:pPr>
                    <w:spacing w:before="120" w:after="120"/>
                    <w:rPr>
                      <w:szCs w:val="24"/>
                    </w:rPr>
                  </w:pPr>
                </w:p>
                <w:p w14:paraId="34D30131" w14:textId="77777777" w:rsidR="00D47AF2" w:rsidRPr="00E4135E" w:rsidRDefault="00D47AF2" w:rsidP="00D47AF2">
                  <w:pPr>
                    <w:spacing w:before="120" w:after="120"/>
                    <w:rPr>
                      <w:b/>
                      <w:szCs w:val="24"/>
                    </w:rPr>
                  </w:pPr>
                  <w:r w:rsidRPr="00E4135E">
                    <w:rPr>
                      <w:b/>
                      <w:szCs w:val="24"/>
                    </w:rPr>
                    <w:t>Human rights implications</w:t>
                  </w:r>
                </w:p>
                <w:p w14:paraId="1DE18221" w14:textId="77777777" w:rsidR="00D47AF2" w:rsidRPr="00E4135E" w:rsidRDefault="00D47AF2" w:rsidP="00D47AF2">
                  <w:pPr>
                    <w:spacing w:before="120" w:after="120"/>
                    <w:rPr>
                      <w:szCs w:val="24"/>
                    </w:rPr>
                  </w:pPr>
                  <w:r>
                    <w:rPr>
                      <w:szCs w:val="24"/>
                    </w:rPr>
                    <w:t xml:space="preserve">This </w:t>
                  </w:r>
                  <w:r w:rsidRPr="00E4135E">
                    <w:rPr>
                      <w:szCs w:val="24"/>
                    </w:rPr>
                    <w:t>Legislative Instrument does not engage any of the applicable rights or freedoms.</w:t>
                  </w:r>
                </w:p>
                <w:p w14:paraId="6F49F0D8" w14:textId="77777777" w:rsidR="00D47AF2" w:rsidRPr="00E4135E" w:rsidRDefault="00D47AF2" w:rsidP="00D47AF2">
                  <w:pPr>
                    <w:spacing w:before="120" w:after="120"/>
                    <w:rPr>
                      <w:szCs w:val="24"/>
                    </w:rPr>
                  </w:pPr>
                </w:p>
                <w:p w14:paraId="02A98BE7" w14:textId="77777777" w:rsidR="00D47AF2" w:rsidRPr="00E4135E" w:rsidRDefault="00D47AF2" w:rsidP="00D47AF2">
                  <w:pPr>
                    <w:spacing w:before="120" w:after="120"/>
                    <w:rPr>
                      <w:b/>
                      <w:szCs w:val="24"/>
                    </w:rPr>
                  </w:pPr>
                  <w:r w:rsidRPr="00E4135E">
                    <w:rPr>
                      <w:b/>
                      <w:szCs w:val="24"/>
                    </w:rPr>
                    <w:t>Conclusion</w:t>
                  </w:r>
                </w:p>
                <w:p w14:paraId="3D68D317" w14:textId="77777777" w:rsidR="00D47AF2" w:rsidRPr="00E4135E" w:rsidRDefault="00D47AF2" w:rsidP="00D47AF2">
                  <w:pPr>
                    <w:spacing w:before="120" w:after="120"/>
                    <w:rPr>
                      <w:szCs w:val="24"/>
                    </w:rPr>
                  </w:pPr>
                  <w:r>
                    <w:rPr>
                      <w:szCs w:val="24"/>
                    </w:rPr>
                    <w:t xml:space="preserve">This </w:t>
                  </w:r>
                  <w:r w:rsidRPr="00E4135E">
                    <w:rPr>
                      <w:szCs w:val="24"/>
                    </w:rPr>
                    <w:t>Legislative Instrument is compatible with human rights as it does not raise any human rights issues.</w:t>
                  </w:r>
                </w:p>
                <w:p w14:paraId="7976FFB5" w14:textId="77777777" w:rsidR="00D47AF2" w:rsidRPr="00E4135E" w:rsidRDefault="00D47AF2" w:rsidP="00D47AF2">
                  <w:pPr>
                    <w:spacing w:before="120" w:after="120"/>
                    <w:jc w:val="center"/>
                    <w:rPr>
                      <w:szCs w:val="24"/>
                    </w:rPr>
                  </w:pPr>
                </w:p>
                <w:p w14:paraId="653CB83D" w14:textId="77777777" w:rsidR="00D47AF2" w:rsidRPr="004B3E2D" w:rsidRDefault="00F760C1" w:rsidP="00D47AF2">
                  <w:pPr>
                    <w:spacing w:before="120" w:after="120"/>
                    <w:jc w:val="center"/>
                    <w:rPr>
                      <w:i/>
                      <w:szCs w:val="24"/>
                    </w:rPr>
                  </w:pPr>
                  <w:r>
                    <w:rPr>
                      <w:i/>
                      <w:szCs w:val="24"/>
                    </w:rPr>
                    <w:t>Rodney</w:t>
                  </w:r>
                  <w:r w:rsidR="00DB7407" w:rsidRPr="007C4DCF">
                    <w:rPr>
                      <w:i/>
                      <w:szCs w:val="24"/>
                    </w:rPr>
                    <w:t xml:space="preserve"> </w:t>
                  </w:r>
                  <w:r>
                    <w:rPr>
                      <w:i/>
                      <w:szCs w:val="24"/>
                    </w:rPr>
                    <w:t>Graham</w:t>
                  </w:r>
                  <w:r w:rsidR="00DB7407" w:rsidRPr="007C4DCF">
                    <w:rPr>
                      <w:i/>
                      <w:szCs w:val="24"/>
                    </w:rPr>
                    <w:t xml:space="preserve"> </w:t>
                  </w:r>
                  <w:r>
                    <w:rPr>
                      <w:i/>
                      <w:szCs w:val="24"/>
                    </w:rPr>
                    <w:t>Sims</w:t>
                  </w:r>
                  <w:r w:rsidR="00AF1772" w:rsidRPr="007C4DCF">
                    <w:rPr>
                      <w:i/>
                      <w:szCs w:val="24"/>
                    </w:rPr>
                    <w:t>,</w:t>
                  </w:r>
                  <w:r w:rsidR="00D47AF2" w:rsidRPr="007C4DCF">
                    <w:rPr>
                      <w:i/>
                      <w:szCs w:val="24"/>
                    </w:rPr>
                    <w:t xml:space="preserve"> Chair</w:t>
                  </w:r>
                  <w:r w:rsidR="00DB7407" w:rsidRPr="007C4DCF">
                    <w:rPr>
                      <w:i/>
                      <w:szCs w:val="24"/>
                    </w:rPr>
                    <w:t>,</w:t>
                  </w:r>
                  <w:r w:rsidR="00D47AF2" w:rsidRPr="007C4DCF">
                    <w:rPr>
                      <w:i/>
                      <w:szCs w:val="24"/>
                    </w:rPr>
                    <w:t xml:space="preserve"> Australian</w:t>
                  </w:r>
                  <w:r w:rsidR="00D47AF2">
                    <w:rPr>
                      <w:i/>
                      <w:szCs w:val="24"/>
                    </w:rPr>
                    <w:t xml:space="preserve"> Competition and Consumer Commission</w:t>
                  </w:r>
                </w:p>
              </w:txbxContent>
            </v:textbox>
          </v:rect>
        </w:pict>
      </w:r>
    </w:p>
    <w:p w14:paraId="45BE003A" w14:textId="77777777" w:rsidR="00D47AF2" w:rsidRPr="00596327" w:rsidRDefault="00D47AF2" w:rsidP="00D47AF2">
      <w:pPr>
        <w:ind w:left="720" w:hanging="720"/>
        <w:rPr>
          <w:rFonts w:ascii="Arial" w:hAnsi="Arial" w:cs="Arial"/>
        </w:rPr>
      </w:pPr>
    </w:p>
    <w:p w14:paraId="251B8990" w14:textId="77777777" w:rsidR="00D47AF2" w:rsidRPr="00596327" w:rsidRDefault="00D47AF2" w:rsidP="00D47AF2">
      <w:pPr>
        <w:ind w:left="720" w:hanging="720"/>
        <w:rPr>
          <w:rFonts w:ascii="Arial" w:hAnsi="Arial" w:cs="Arial"/>
        </w:rPr>
      </w:pPr>
    </w:p>
    <w:p w14:paraId="2C7920A5" w14:textId="77777777" w:rsidR="00D47AF2" w:rsidRPr="00596327" w:rsidRDefault="00D47AF2" w:rsidP="00D47AF2">
      <w:pPr>
        <w:ind w:left="720" w:hanging="720"/>
        <w:rPr>
          <w:rFonts w:ascii="Arial" w:hAnsi="Arial" w:cs="Arial"/>
        </w:rPr>
      </w:pPr>
    </w:p>
    <w:p w14:paraId="3DE630C9" w14:textId="77777777" w:rsidR="00D47AF2" w:rsidRPr="00596327" w:rsidRDefault="00D47AF2" w:rsidP="00D47AF2">
      <w:pPr>
        <w:ind w:left="720" w:hanging="720"/>
        <w:rPr>
          <w:rFonts w:ascii="Arial" w:hAnsi="Arial" w:cs="Arial"/>
        </w:rPr>
      </w:pPr>
    </w:p>
    <w:p w14:paraId="42EA5680" w14:textId="77777777" w:rsidR="00D47AF2" w:rsidRPr="00596327" w:rsidRDefault="00D47AF2" w:rsidP="00D47AF2">
      <w:pPr>
        <w:ind w:left="720" w:hanging="720"/>
        <w:rPr>
          <w:rFonts w:ascii="Arial" w:hAnsi="Arial" w:cs="Arial"/>
        </w:rPr>
      </w:pPr>
    </w:p>
    <w:p w14:paraId="33055148" w14:textId="77777777" w:rsidR="00D47AF2" w:rsidRPr="00596327" w:rsidRDefault="00D47AF2" w:rsidP="00D47AF2">
      <w:pPr>
        <w:ind w:left="720" w:hanging="720"/>
        <w:rPr>
          <w:rFonts w:ascii="Arial" w:hAnsi="Arial" w:cs="Arial"/>
        </w:rPr>
      </w:pPr>
    </w:p>
    <w:p w14:paraId="6E0BF665" w14:textId="77777777" w:rsidR="00D47AF2" w:rsidRPr="00596327" w:rsidRDefault="00D47AF2" w:rsidP="00D47AF2">
      <w:pPr>
        <w:ind w:left="720" w:hanging="720"/>
        <w:rPr>
          <w:rFonts w:ascii="Arial" w:hAnsi="Arial" w:cs="Arial"/>
        </w:rPr>
      </w:pPr>
    </w:p>
    <w:p w14:paraId="5BF86638" w14:textId="77777777" w:rsidR="00D47AF2" w:rsidRPr="00596327" w:rsidRDefault="00D47AF2" w:rsidP="00D47AF2">
      <w:pPr>
        <w:ind w:left="720" w:hanging="720"/>
        <w:rPr>
          <w:rFonts w:ascii="Arial" w:hAnsi="Arial" w:cs="Arial"/>
        </w:rPr>
      </w:pPr>
    </w:p>
    <w:p w14:paraId="637650FA" w14:textId="77777777" w:rsidR="00D47AF2" w:rsidRPr="00596327" w:rsidRDefault="00D47AF2" w:rsidP="00D47AF2">
      <w:pPr>
        <w:ind w:left="720" w:hanging="720"/>
        <w:rPr>
          <w:rFonts w:ascii="Arial" w:hAnsi="Arial" w:cs="Arial"/>
        </w:rPr>
      </w:pPr>
    </w:p>
    <w:p w14:paraId="4D0D7078" w14:textId="77777777" w:rsidR="00D47AF2" w:rsidRPr="00596327" w:rsidRDefault="00D47AF2" w:rsidP="00D47AF2">
      <w:pPr>
        <w:ind w:left="720" w:hanging="720"/>
        <w:rPr>
          <w:rFonts w:ascii="Arial" w:hAnsi="Arial" w:cs="Arial"/>
        </w:rPr>
      </w:pPr>
    </w:p>
    <w:p w14:paraId="17A089C8" w14:textId="77777777" w:rsidR="00D47AF2" w:rsidRPr="00596327" w:rsidRDefault="00D47AF2" w:rsidP="00D47AF2">
      <w:pPr>
        <w:ind w:left="720" w:hanging="720"/>
        <w:rPr>
          <w:rFonts w:ascii="Arial" w:hAnsi="Arial" w:cs="Arial"/>
        </w:rPr>
      </w:pPr>
    </w:p>
    <w:p w14:paraId="04D27D80" w14:textId="77777777" w:rsidR="00D47AF2" w:rsidRPr="00596327" w:rsidRDefault="00D47AF2" w:rsidP="00D47AF2">
      <w:pPr>
        <w:ind w:left="720" w:hanging="720"/>
        <w:rPr>
          <w:rFonts w:ascii="Arial" w:hAnsi="Arial" w:cs="Arial"/>
        </w:rPr>
      </w:pPr>
    </w:p>
    <w:p w14:paraId="1A2541B0" w14:textId="77777777" w:rsidR="00D47AF2" w:rsidRPr="00596327" w:rsidRDefault="00D47AF2" w:rsidP="00D47AF2">
      <w:pPr>
        <w:ind w:left="720" w:hanging="720"/>
        <w:rPr>
          <w:rFonts w:ascii="Arial" w:hAnsi="Arial" w:cs="Arial"/>
        </w:rPr>
      </w:pPr>
    </w:p>
    <w:p w14:paraId="2255BA88" w14:textId="77777777" w:rsidR="00D47AF2" w:rsidRPr="00596327" w:rsidRDefault="00D47AF2" w:rsidP="00D47AF2">
      <w:pPr>
        <w:ind w:left="720" w:hanging="720"/>
        <w:rPr>
          <w:rFonts w:ascii="Arial" w:hAnsi="Arial" w:cs="Arial"/>
        </w:rPr>
      </w:pPr>
    </w:p>
    <w:p w14:paraId="4DE1B2B8" w14:textId="77777777" w:rsidR="00D47AF2" w:rsidRPr="00596327" w:rsidRDefault="00D47AF2" w:rsidP="00D47AF2">
      <w:pPr>
        <w:ind w:left="720" w:hanging="720"/>
        <w:rPr>
          <w:rFonts w:ascii="Arial" w:hAnsi="Arial" w:cs="Arial"/>
        </w:rPr>
      </w:pPr>
    </w:p>
    <w:p w14:paraId="66922956" w14:textId="77777777" w:rsidR="00D47AF2" w:rsidRPr="00596327" w:rsidRDefault="00D47AF2" w:rsidP="00D47AF2">
      <w:pPr>
        <w:ind w:left="720" w:hanging="720"/>
        <w:rPr>
          <w:rFonts w:ascii="Arial" w:hAnsi="Arial" w:cs="Arial"/>
        </w:rPr>
      </w:pPr>
    </w:p>
    <w:p w14:paraId="1048C90C" w14:textId="77777777" w:rsidR="00D47AF2" w:rsidRPr="00596327" w:rsidRDefault="00D47AF2" w:rsidP="00D47AF2">
      <w:pPr>
        <w:ind w:left="720" w:hanging="720"/>
        <w:rPr>
          <w:rFonts w:ascii="Arial" w:hAnsi="Arial" w:cs="Arial"/>
        </w:rPr>
      </w:pPr>
    </w:p>
    <w:p w14:paraId="53558E0D" w14:textId="77777777" w:rsidR="00D47AF2" w:rsidRPr="00596327" w:rsidRDefault="00D47AF2" w:rsidP="00D47AF2">
      <w:pPr>
        <w:ind w:left="720" w:hanging="720"/>
        <w:rPr>
          <w:rFonts w:ascii="Arial" w:hAnsi="Arial" w:cs="Arial"/>
        </w:rPr>
      </w:pPr>
    </w:p>
    <w:p w14:paraId="14376783" w14:textId="77777777" w:rsidR="00D47AF2" w:rsidRPr="00596327" w:rsidRDefault="00D47AF2" w:rsidP="00D47AF2">
      <w:pPr>
        <w:ind w:left="720" w:hanging="720"/>
        <w:rPr>
          <w:rFonts w:ascii="Arial" w:hAnsi="Arial" w:cs="Arial"/>
        </w:rPr>
      </w:pPr>
    </w:p>
    <w:p w14:paraId="2C8AB773" w14:textId="77777777" w:rsidR="00D47AF2" w:rsidRPr="00596327" w:rsidRDefault="00D47AF2" w:rsidP="00D47AF2">
      <w:pPr>
        <w:ind w:left="720" w:hanging="720"/>
        <w:rPr>
          <w:rFonts w:ascii="Arial" w:hAnsi="Arial" w:cs="Arial"/>
        </w:rPr>
      </w:pPr>
    </w:p>
    <w:p w14:paraId="60AC8CB8" w14:textId="77777777" w:rsidR="00D47AF2" w:rsidRPr="00596327" w:rsidRDefault="00D47AF2" w:rsidP="00D47AF2">
      <w:pPr>
        <w:ind w:left="720" w:hanging="720"/>
        <w:rPr>
          <w:rFonts w:ascii="Arial" w:hAnsi="Arial" w:cs="Arial"/>
        </w:rPr>
      </w:pPr>
    </w:p>
    <w:p w14:paraId="569F55CB" w14:textId="77777777" w:rsidR="00D47AF2" w:rsidRPr="00596327" w:rsidRDefault="00D47AF2" w:rsidP="00D47AF2">
      <w:pPr>
        <w:ind w:left="720" w:hanging="720"/>
        <w:rPr>
          <w:rFonts w:ascii="Arial" w:hAnsi="Arial" w:cs="Arial"/>
        </w:rPr>
      </w:pPr>
    </w:p>
    <w:p w14:paraId="39AB3C9D" w14:textId="77777777" w:rsidR="00D47AF2" w:rsidRPr="00596327" w:rsidRDefault="00D47AF2" w:rsidP="00D47AF2">
      <w:pPr>
        <w:ind w:left="720" w:hanging="720"/>
        <w:rPr>
          <w:rFonts w:ascii="Arial" w:hAnsi="Arial" w:cs="Arial"/>
        </w:rPr>
      </w:pPr>
    </w:p>
    <w:p w14:paraId="79413424" w14:textId="77777777" w:rsidR="00D47AF2" w:rsidRPr="00596327" w:rsidRDefault="00D47AF2" w:rsidP="00D47AF2">
      <w:pPr>
        <w:ind w:left="720" w:hanging="720"/>
        <w:rPr>
          <w:rFonts w:ascii="Arial" w:hAnsi="Arial" w:cs="Arial"/>
        </w:rPr>
      </w:pPr>
    </w:p>
    <w:p w14:paraId="557A3280" w14:textId="77777777" w:rsidR="00D47AF2" w:rsidRPr="00596327" w:rsidRDefault="00D47AF2" w:rsidP="00D47AF2">
      <w:pPr>
        <w:ind w:left="720" w:hanging="720"/>
        <w:rPr>
          <w:rFonts w:ascii="Arial" w:hAnsi="Arial" w:cs="Arial"/>
        </w:rPr>
      </w:pPr>
    </w:p>
    <w:p w14:paraId="4BF04838" w14:textId="77777777" w:rsidR="00D47AF2" w:rsidRPr="00596327" w:rsidRDefault="00D47AF2" w:rsidP="00D47AF2">
      <w:pPr>
        <w:ind w:left="720" w:hanging="720"/>
        <w:rPr>
          <w:rFonts w:ascii="Arial" w:hAnsi="Arial" w:cs="Arial"/>
        </w:rPr>
      </w:pPr>
    </w:p>
    <w:p w14:paraId="5C0F5F83" w14:textId="77777777" w:rsidR="00D47AF2" w:rsidRPr="00596327" w:rsidRDefault="00D47AF2" w:rsidP="00D47AF2">
      <w:pPr>
        <w:ind w:left="720" w:hanging="720"/>
        <w:rPr>
          <w:rFonts w:ascii="Arial" w:hAnsi="Arial" w:cs="Arial"/>
        </w:rPr>
      </w:pPr>
    </w:p>
    <w:p w14:paraId="54D01641" w14:textId="77777777" w:rsidR="00D47AF2" w:rsidRPr="00596327" w:rsidRDefault="00D47AF2" w:rsidP="00D47AF2">
      <w:pPr>
        <w:ind w:left="720" w:hanging="720"/>
        <w:rPr>
          <w:rFonts w:ascii="Arial" w:hAnsi="Arial" w:cs="Arial"/>
        </w:rPr>
      </w:pPr>
    </w:p>
    <w:p w14:paraId="4DF2AA82" w14:textId="77777777" w:rsidR="00D47AF2" w:rsidRPr="00596327" w:rsidRDefault="00D47AF2" w:rsidP="00D47AF2">
      <w:pPr>
        <w:ind w:left="720" w:hanging="720"/>
        <w:rPr>
          <w:rFonts w:ascii="Arial" w:hAnsi="Arial" w:cs="Arial"/>
        </w:rPr>
      </w:pPr>
    </w:p>
    <w:p w14:paraId="71841078" w14:textId="77777777" w:rsidR="00D47AF2" w:rsidRPr="00596327" w:rsidRDefault="00D47AF2" w:rsidP="00D47AF2">
      <w:pPr>
        <w:ind w:left="720" w:hanging="720"/>
        <w:rPr>
          <w:rFonts w:ascii="Arial" w:hAnsi="Arial" w:cs="Arial"/>
        </w:rPr>
      </w:pPr>
    </w:p>
    <w:p w14:paraId="7278C43A" w14:textId="77777777" w:rsidR="00D47AF2" w:rsidRPr="00596327" w:rsidRDefault="00D47AF2" w:rsidP="00D47AF2">
      <w:pPr>
        <w:ind w:left="720" w:hanging="720"/>
        <w:rPr>
          <w:rFonts w:ascii="Arial" w:hAnsi="Arial" w:cs="Arial"/>
        </w:rPr>
      </w:pPr>
    </w:p>
    <w:p w14:paraId="1E0CCFFF" w14:textId="77777777" w:rsidR="00D47AF2" w:rsidRPr="00596327" w:rsidRDefault="00D47AF2" w:rsidP="00D47AF2">
      <w:pPr>
        <w:ind w:left="720" w:hanging="720"/>
        <w:rPr>
          <w:rFonts w:ascii="Arial" w:hAnsi="Arial" w:cs="Arial"/>
        </w:rPr>
      </w:pPr>
    </w:p>
    <w:p w14:paraId="6C9424E7" w14:textId="77777777" w:rsidR="00D47AF2" w:rsidRPr="00596327" w:rsidRDefault="00D47AF2" w:rsidP="00D47AF2">
      <w:pPr>
        <w:ind w:left="720" w:hanging="720"/>
        <w:rPr>
          <w:rFonts w:ascii="Arial" w:hAnsi="Arial" w:cs="Arial"/>
        </w:rPr>
      </w:pPr>
    </w:p>
    <w:p w14:paraId="0A58A5C3" w14:textId="77777777" w:rsidR="00D47AF2" w:rsidRPr="00596327" w:rsidRDefault="00D47AF2" w:rsidP="00D47AF2">
      <w:pPr>
        <w:ind w:left="720" w:hanging="720"/>
        <w:rPr>
          <w:rFonts w:ascii="Arial" w:hAnsi="Arial" w:cs="Arial"/>
        </w:rPr>
      </w:pPr>
    </w:p>
    <w:p w14:paraId="05DBD66D" w14:textId="77777777" w:rsidR="00D47AF2" w:rsidRPr="00596327" w:rsidRDefault="00D47AF2" w:rsidP="00D47AF2">
      <w:pPr>
        <w:ind w:left="720" w:hanging="720"/>
        <w:rPr>
          <w:rFonts w:ascii="Arial" w:hAnsi="Arial" w:cs="Arial"/>
        </w:rPr>
      </w:pPr>
    </w:p>
    <w:p w14:paraId="5DBDC9FE" w14:textId="77777777" w:rsidR="00D47AF2" w:rsidRPr="00596327" w:rsidRDefault="00D47AF2" w:rsidP="00D47AF2">
      <w:pPr>
        <w:ind w:left="720" w:hanging="720"/>
        <w:rPr>
          <w:rFonts w:ascii="Arial" w:hAnsi="Arial" w:cs="Arial"/>
        </w:rPr>
      </w:pPr>
    </w:p>
    <w:p w14:paraId="54FB1088" w14:textId="77777777" w:rsidR="00D47AF2" w:rsidRPr="00596327" w:rsidRDefault="00D47AF2" w:rsidP="00D47AF2">
      <w:pPr>
        <w:ind w:left="720" w:hanging="720"/>
        <w:rPr>
          <w:rFonts w:ascii="Arial" w:hAnsi="Arial" w:cs="Arial"/>
        </w:rPr>
      </w:pPr>
    </w:p>
    <w:p w14:paraId="3EB60387" w14:textId="77777777" w:rsidR="00D47AF2" w:rsidRPr="00596327" w:rsidRDefault="00D47AF2" w:rsidP="00D47AF2">
      <w:pPr>
        <w:ind w:left="720" w:hanging="720"/>
        <w:rPr>
          <w:rFonts w:ascii="Arial" w:hAnsi="Arial" w:cs="Arial"/>
        </w:rPr>
      </w:pPr>
    </w:p>
    <w:p w14:paraId="67B22EE1" w14:textId="77777777" w:rsidR="00D47AF2" w:rsidRPr="00596327" w:rsidRDefault="00D47AF2" w:rsidP="00D47AF2">
      <w:pPr>
        <w:ind w:left="720" w:hanging="720"/>
        <w:rPr>
          <w:rFonts w:ascii="Arial" w:hAnsi="Arial" w:cs="Arial"/>
        </w:rPr>
      </w:pPr>
    </w:p>
    <w:p w14:paraId="39BD499A" w14:textId="77777777" w:rsidR="00D47AF2" w:rsidRPr="00596327" w:rsidRDefault="00D47AF2" w:rsidP="00D47AF2">
      <w:pPr>
        <w:ind w:left="720" w:hanging="720"/>
        <w:rPr>
          <w:rFonts w:ascii="Arial" w:hAnsi="Arial" w:cs="Arial"/>
        </w:rPr>
      </w:pPr>
    </w:p>
    <w:bookmarkEnd w:id="0"/>
    <w:p w14:paraId="56232F20" w14:textId="77777777" w:rsidR="00D47AF2" w:rsidRPr="00596327" w:rsidRDefault="00D47AF2" w:rsidP="00D47AF2">
      <w:pPr>
        <w:rPr>
          <w:rFonts w:ascii="Arial" w:hAnsi="Arial" w:cs="Arial"/>
        </w:rPr>
      </w:pPr>
    </w:p>
    <w:sectPr w:rsidR="00D47AF2" w:rsidRPr="00596327" w:rsidSect="000169A1">
      <w:headerReference w:type="default" r:id="rId8"/>
      <w:pgSz w:w="11906" w:h="16838"/>
      <w:pgMar w:top="907" w:right="1077" w:bottom="340" w:left="1077"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91AA" w14:textId="77777777" w:rsidR="00830E32" w:rsidRDefault="00830E32" w:rsidP="00596327">
      <w:r>
        <w:separator/>
      </w:r>
    </w:p>
  </w:endnote>
  <w:endnote w:type="continuationSeparator" w:id="0">
    <w:p w14:paraId="40629C49" w14:textId="77777777" w:rsidR="00830E32" w:rsidRDefault="00830E32" w:rsidP="0059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44625" w14:textId="77777777" w:rsidR="00830E32" w:rsidRDefault="00830E32" w:rsidP="00596327">
      <w:r>
        <w:separator/>
      </w:r>
    </w:p>
  </w:footnote>
  <w:footnote w:type="continuationSeparator" w:id="0">
    <w:p w14:paraId="6BD10AE7" w14:textId="77777777" w:rsidR="00830E32" w:rsidRDefault="00830E32" w:rsidP="0059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5B5C" w14:textId="77777777" w:rsidR="00596327" w:rsidRPr="00596327" w:rsidRDefault="00596327" w:rsidP="00596327">
    <w:pPr>
      <w:pStyle w:val="Header"/>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4A17"/>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A2C5146"/>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AA433CB"/>
    <w:multiLevelType w:val="singleLevel"/>
    <w:tmpl w:val="F1A0227C"/>
    <w:lvl w:ilvl="0">
      <w:start w:val="1"/>
      <w:numFmt w:val="lowerLetter"/>
      <w:lvlText w:val="%1)"/>
      <w:legacy w:legacy="1" w:legacySpace="0" w:legacyIndent="283"/>
      <w:lvlJc w:val="left"/>
      <w:pPr>
        <w:ind w:left="720" w:hanging="283"/>
      </w:pPr>
    </w:lvl>
  </w:abstractNum>
  <w:abstractNum w:abstractNumId="3" w15:restartNumberingAfterBreak="0">
    <w:nsid w:val="22246D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BB2016"/>
    <w:multiLevelType w:val="singleLevel"/>
    <w:tmpl w:val="73AE73E4"/>
    <w:lvl w:ilvl="0">
      <w:start w:val="1"/>
      <w:numFmt w:val="bullet"/>
      <w:pStyle w:val="Bullet2"/>
      <w:lvlText w:val=""/>
      <w:lvlJc w:val="left"/>
      <w:pPr>
        <w:tabs>
          <w:tab w:val="num" w:pos="360"/>
        </w:tabs>
        <w:ind w:left="360" w:hanging="360"/>
      </w:pPr>
      <w:rPr>
        <w:rFonts w:ascii="Wingdings" w:hAnsi="Wingdings" w:hint="default"/>
        <w:b w:val="0"/>
        <w:i w:val="0"/>
        <w:sz w:val="24"/>
      </w:rPr>
    </w:lvl>
  </w:abstractNum>
  <w:abstractNum w:abstractNumId="5" w15:restartNumberingAfterBreak="0">
    <w:nsid w:val="510023BF"/>
    <w:multiLevelType w:val="singleLevel"/>
    <w:tmpl w:val="702CADA2"/>
    <w:lvl w:ilvl="0">
      <w:start w:val="1"/>
      <w:numFmt w:val="bullet"/>
      <w:pStyle w:val="Bullet1"/>
      <w:lvlText w:val=""/>
      <w:lvlJc w:val="left"/>
      <w:pPr>
        <w:tabs>
          <w:tab w:val="num" w:pos="360"/>
        </w:tabs>
        <w:ind w:left="360" w:hanging="360"/>
      </w:pPr>
      <w:rPr>
        <w:rFonts w:ascii="Wingdings" w:hAnsi="Wingdings" w:hint="default"/>
        <w:b w:val="0"/>
        <w:i w:val="0"/>
        <w:sz w:val="36"/>
      </w:rPr>
    </w:lvl>
  </w:abstractNum>
  <w:abstractNum w:abstractNumId="6" w15:restartNumberingAfterBreak="0">
    <w:nsid w:val="56F1200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B92924"/>
    <w:multiLevelType w:val="singleLevel"/>
    <w:tmpl w:val="AEF43A32"/>
    <w:lvl w:ilvl="0">
      <w:start w:val="1"/>
      <w:numFmt w:val="bullet"/>
      <w:lvlText w:val=""/>
      <w:lvlJc w:val="left"/>
      <w:pPr>
        <w:tabs>
          <w:tab w:val="num" w:pos="1080"/>
        </w:tabs>
        <w:ind w:left="360" w:firstLine="360"/>
      </w:pPr>
      <w:rPr>
        <w:rFonts w:ascii="Symbol" w:hAnsi="Symbol" w:hint="default"/>
        <w:b w:val="0"/>
        <w:i w:val="0"/>
        <w:sz w:val="24"/>
      </w:rPr>
    </w:lvl>
  </w:abstractNum>
  <w:num w:numId="1">
    <w:abstractNumId w:val="6"/>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currentname" w:val="S:\MSS\Finance Section 15-16\Cost Recoveries\ACLC 2015-16\Papers for Chairman\Finance - 2014-15 ACLC - Statement of Compatibility with Human Rights.docx"/>
  </w:docVars>
  <w:rsids>
    <w:rsidRoot w:val="002A6F65"/>
    <w:rsid w:val="00010265"/>
    <w:rsid w:val="00011707"/>
    <w:rsid w:val="000169A1"/>
    <w:rsid w:val="000321E2"/>
    <w:rsid w:val="00035B86"/>
    <w:rsid w:val="00064333"/>
    <w:rsid w:val="0008246A"/>
    <w:rsid w:val="00090473"/>
    <w:rsid w:val="000F1719"/>
    <w:rsid w:val="0010018A"/>
    <w:rsid w:val="0010113B"/>
    <w:rsid w:val="00126B7B"/>
    <w:rsid w:val="00137508"/>
    <w:rsid w:val="0017336F"/>
    <w:rsid w:val="001B4631"/>
    <w:rsid w:val="001C0831"/>
    <w:rsid w:val="001C371A"/>
    <w:rsid w:val="001F4B58"/>
    <w:rsid w:val="002004B5"/>
    <w:rsid w:val="002317BC"/>
    <w:rsid w:val="00256D10"/>
    <w:rsid w:val="002A43FD"/>
    <w:rsid w:val="002A6F65"/>
    <w:rsid w:val="002A705C"/>
    <w:rsid w:val="002C6067"/>
    <w:rsid w:val="00300F95"/>
    <w:rsid w:val="00314EDA"/>
    <w:rsid w:val="0033001B"/>
    <w:rsid w:val="00335D8B"/>
    <w:rsid w:val="00353925"/>
    <w:rsid w:val="00381292"/>
    <w:rsid w:val="003A3E45"/>
    <w:rsid w:val="003C612F"/>
    <w:rsid w:val="003D18A9"/>
    <w:rsid w:val="004313D3"/>
    <w:rsid w:val="00467E06"/>
    <w:rsid w:val="004B4041"/>
    <w:rsid w:val="0050222E"/>
    <w:rsid w:val="00507D86"/>
    <w:rsid w:val="0052729E"/>
    <w:rsid w:val="005334C2"/>
    <w:rsid w:val="00535582"/>
    <w:rsid w:val="00596327"/>
    <w:rsid w:val="00601A5A"/>
    <w:rsid w:val="00631C9C"/>
    <w:rsid w:val="0064053B"/>
    <w:rsid w:val="00652FBC"/>
    <w:rsid w:val="006B3CF4"/>
    <w:rsid w:val="006C47A9"/>
    <w:rsid w:val="00725FB4"/>
    <w:rsid w:val="00756396"/>
    <w:rsid w:val="00774B2A"/>
    <w:rsid w:val="00776D4C"/>
    <w:rsid w:val="00787E03"/>
    <w:rsid w:val="00796836"/>
    <w:rsid w:val="00797502"/>
    <w:rsid w:val="007A1C28"/>
    <w:rsid w:val="007A6FE2"/>
    <w:rsid w:val="007B02CB"/>
    <w:rsid w:val="007C4A78"/>
    <w:rsid w:val="007C4DCF"/>
    <w:rsid w:val="007D2AA8"/>
    <w:rsid w:val="007E4DF5"/>
    <w:rsid w:val="007F0E01"/>
    <w:rsid w:val="007F3A37"/>
    <w:rsid w:val="00820EB6"/>
    <w:rsid w:val="0082791E"/>
    <w:rsid w:val="00830E32"/>
    <w:rsid w:val="00871361"/>
    <w:rsid w:val="008843E3"/>
    <w:rsid w:val="008A6D65"/>
    <w:rsid w:val="008F4702"/>
    <w:rsid w:val="008F7E8F"/>
    <w:rsid w:val="00954259"/>
    <w:rsid w:val="009A05DC"/>
    <w:rsid w:val="009A4F96"/>
    <w:rsid w:val="009A5BB9"/>
    <w:rsid w:val="009D6159"/>
    <w:rsid w:val="009E75FC"/>
    <w:rsid w:val="00A32E2A"/>
    <w:rsid w:val="00A50B2B"/>
    <w:rsid w:val="00A75720"/>
    <w:rsid w:val="00AE55FD"/>
    <w:rsid w:val="00AF1772"/>
    <w:rsid w:val="00B10B9F"/>
    <w:rsid w:val="00B47513"/>
    <w:rsid w:val="00B54D5E"/>
    <w:rsid w:val="00BC0D63"/>
    <w:rsid w:val="00BC5088"/>
    <w:rsid w:val="00BD1372"/>
    <w:rsid w:val="00BE0D8B"/>
    <w:rsid w:val="00BE4ED7"/>
    <w:rsid w:val="00BE6B3D"/>
    <w:rsid w:val="00C0139E"/>
    <w:rsid w:val="00C01DDB"/>
    <w:rsid w:val="00C0590A"/>
    <w:rsid w:val="00C12B83"/>
    <w:rsid w:val="00C14EE9"/>
    <w:rsid w:val="00C40663"/>
    <w:rsid w:val="00C71533"/>
    <w:rsid w:val="00C75DBF"/>
    <w:rsid w:val="00C961EB"/>
    <w:rsid w:val="00CC0383"/>
    <w:rsid w:val="00CD4567"/>
    <w:rsid w:val="00D05E51"/>
    <w:rsid w:val="00D47AF2"/>
    <w:rsid w:val="00D57D45"/>
    <w:rsid w:val="00D77BF9"/>
    <w:rsid w:val="00D938CD"/>
    <w:rsid w:val="00DB7407"/>
    <w:rsid w:val="00DC17A2"/>
    <w:rsid w:val="00DD5289"/>
    <w:rsid w:val="00E12366"/>
    <w:rsid w:val="00E1518D"/>
    <w:rsid w:val="00E438A3"/>
    <w:rsid w:val="00E50031"/>
    <w:rsid w:val="00E54DDB"/>
    <w:rsid w:val="00E83BFB"/>
    <w:rsid w:val="00E85AE3"/>
    <w:rsid w:val="00E960C1"/>
    <w:rsid w:val="00EC3087"/>
    <w:rsid w:val="00EC5383"/>
    <w:rsid w:val="00ED16FE"/>
    <w:rsid w:val="00ED66A0"/>
    <w:rsid w:val="00F3729B"/>
    <w:rsid w:val="00F4455A"/>
    <w:rsid w:val="00F60DA6"/>
    <w:rsid w:val="00F760C1"/>
    <w:rsid w:val="00F77BB9"/>
    <w:rsid w:val="00F84623"/>
    <w:rsid w:val="00FD3251"/>
    <w:rsid w:val="00FD5AC3"/>
    <w:rsid w:val="00FF5BE6"/>
    <w:rsid w:val="00FF5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2E91E2A"/>
  <w15:docId w15:val="{3D4768F1-FE15-476E-9C27-BA5EFA6D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265"/>
    <w:rPr>
      <w:sz w:val="24"/>
    </w:rPr>
  </w:style>
  <w:style w:type="paragraph" w:styleId="Heading1">
    <w:name w:val="heading 1"/>
    <w:basedOn w:val="Normal"/>
    <w:next w:val="Normal"/>
    <w:qFormat/>
    <w:rsid w:val="00010265"/>
    <w:pPr>
      <w:keepNext/>
      <w:tabs>
        <w:tab w:val="left" w:pos="720"/>
      </w:tabs>
      <w:spacing w:after="480"/>
      <w:ind w:left="720" w:hanging="720"/>
      <w:outlineLvl w:val="0"/>
    </w:pPr>
    <w:rPr>
      <w:b/>
      <w:kern w:val="28"/>
      <w:sz w:val="36"/>
    </w:rPr>
  </w:style>
  <w:style w:type="paragraph" w:styleId="Heading2">
    <w:name w:val="heading 2"/>
    <w:basedOn w:val="Normal"/>
    <w:next w:val="Normal"/>
    <w:qFormat/>
    <w:rsid w:val="00010265"/>
    <w:pPr>
      <w:keepNext/>
      <w:spacing w:before="240"/>
      <w:outlineLvl w:val="1"/>
    </w:pPr>
    <w:rPr>
      <w:b/>
      <w:sz w:val="32"/>
    </w:rPr>
  </w:style>
  <w:style w:type="paragraph" w:styleId="Heading3">
    <w:name w:val="heading 3"/>
    <w:basedOn w:val="Normal"/>
    <w:next w:val="Normal"/>
    <w:qFormat/>
    <w:rsid w:val="00010265"/>
    <w:pPr>
      <w:keepNext/>
      <w:spacing w:before="120" w:after="120"/>
      <w:outlineLvl w:val="2"/>
    </w:pPr>
    <w:rPr>
      <w:b/>
    </w:rPr>
  </w:style>
  <w:style w:type="paragraph" w:styleId="Heading4">
    <w:name w:val="heading 4"/>
    <w:basedOn w:val="Normal"/>
    <w:next w:val="Normal"/>
    <w:qFormat/>
    <w:rsid w:val="00010265"/>
    <w:pPr>
      <w:keepNext/>
      <w:spacing w:after="120"/>
      <w:outlineLvl w:val="3"/>
    </w:pPr>
    <w:rPr>
      <w:b/>
      <w:i/>
    </w:rPr>
  </w:style>
  <w:style w:type="paragraph" w:styleId="Heading5">
    <w:name w:val="heading 5"/>
    <w:basedOn w:val="Normal"/>
    <w:next w:val="Normal"/>
    <w:qFormat/>
    <w:rsid w:val="00010265"/>
    <w:pPr>
      <w:spacing w:after="120"/>
      <w:outlineLvl w:val="4"/>
    </w:pPr>
    <w:rPr>
      <w:i/>
    </w:rPr>
  </w:style>
  <w:style w:type="paragraph" w:styleId="Heading6">
    <w:name w:val="heading 6"/>
    <w:basedOn w:val="Normal"/>
    <w:next w:val="Normal"/>
    <w:link w:val="Heading6Char"/>
    <w:semiHidden/>
    <w:unhideWhenUsed/>
    <w:qFormat/>
    <w:rsid w:val="000169A1"/>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nhideWhenUsed/>
    <w:qFormat/>
    <w:rsid w:val="000169A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rsid w:val="00010265"/>
    <w:pPr>
      <w:numPr>
        <w:numId w:val="3"/>
      </w:numPr>
    </w:pPr>
  </w:style>
  <w:style w:type="paragraph" w:customStyle="1" w:styleId="Bullet2">
    <w:name w:val="Bullet2"/>
    <w:basedOn w:val="Normal"/>
    <w:rsid w:val="00010265"/>
    <w:pPr>
      <w:numPr>
        <w:numId w:val="4"/>
      </w:numPr>
      <w:ind w:left="0" w:firstLine="0"/>
    </w:pPr>
  </w:style>
  <w:style w:type="paragraph" w:customStyle="1" w:styleId="Bullet3">
    <w:name w:val="Bullet3"/>
    <w:basedOn w:val="Normal"/>
    <w:rsid w:val="00010265"/>
    <w:pPr>
      <w:tabs>
        <w:tab w:val="num" w:pos="1080"/>
      </w:tabs>
      <w:ind w:left="360" w:firstLine="360"/>
    </w:pPr>
  </w:style>
  <w:style w:type="paragraph" w:customStyle="1" w:styleId="Quotes">
    <w:name w:val="Quotes"/>
    <w:basedOn w:val="Bullet3"/>
    <w:rsid w:val="00010265"/>
    <w:pPr>
      <w:tabs>
        <w:tab w:val="clear" w:pos="1080"/>
      </w:tabs>
      <w:ind w:right="360" w:firstLine="0"/>
    </w:pPr>
    <w:rPr>
      <w:sz w:val="20"/>
    </w:rPr>
  </w:style>
  <w:style w:type="paragraph" w:customStyle="1" w:styleId="TOCAll">
    <w:name w:val="TOC All"/>
    <w:basedOn w:val="Quotes"/>
    <w:rsid w:val="00010265"/>
    <w:pPr>
      <w:ind w:left="0" w:right="0"/>
    </w:pPr>
    <w:rPr>
      <w:sz w:val="24"/>
    </w:rPr>
  </w:style>
  <w:style w:type="paragraph" w:customStyle="1" w:styleId="TOC1">
    <w:name w:val="TOC1"/>
    <w:basedOn w:val="TOCAll"/>
    <w:next w:val="Normal"/>
    <w:rsid w:val="00010265"/>
    <w:pPr>
      <w:spacing w:before="240" w:after="120"/>
      <w:ind w:left="720" w:hanging="360"/>
    </w:pPr>
    <w:rPr>
      <w:b/>
    </w:rPr>
  </w:style>
  <w:style w:type="paragraph" w:customStyle="1" w:styleId="TOC2">
    <w:name w:val="TOC2"/>
    <w:basedOn w:val="TOCAll"/>
    <w:next w:val="Normal"/>
    <w:rsid w:val="00010265"/>
  </w:style>
  <w:style w:type="paragraph" w:customStyle="1" w:styleId="TOC3">
    <w:name w:val="TOC3"/>
    <w:basedOn w:val="TOCAll"/>
    <w:next w:val="Normal"/>
    <w:rsid w:val="00010265"/>
    <w:pPr>
      <w:ind w:left="360"/>
    </w:pPr>
  </w:style>
  <w:style w:type="paragraph" w:customStyle="1" w:styleId="TOC4">
    <w:name w:val="TOC4"/>
    <w:basedOn w:val="TOCAll"/>
    <w:next w:val="Normal"/>
    <w:rsid w:val="00010265"/>
    <w:pPr>
      <w:ind w:left="720"/>
    </w:pPr>
  </w:style>
  <w:style w:type="paragraph" w:styleId="Footer">
    <w:name w:val="footer"/>
    <w:basedOn w:val="Normal"/>
    <w:rsid w:val="00010265"/>
    <w:pPr>
      <w:tabs>
        <w:tab w:val="center" w:pos="4320"/>
        <w:tab w:val="right" w:pos="8640"/>
      </w:tabs>
    </w:pPr>
    <w:rPr>
      <w:rFonts w:ascii="Arial" w:hAnsi="Arial"/>
      <w:lang w:val="en-GB"/>
    </w:rPr>
  </w:style>
  <w:style w:type="paragraph" w:styleId="BodyText3">
    <w:name w:val="Body Text 3"/>
    <w:basedOn w:val="Normal"/>
    <w:rsid w:val="00010265"/>
    <w:pPr>
      <w:tabs>
        <w:tab w:val="left" w:pos="7200"/>
      </w:tabs>
    </w:pPr>
    <w:rPr>
      <w:rFonts w:ascii="Arial" w:hAnsi="Arial"/>
      <w:b/>
      <w:sz w:val="18"/>
      <w:lang w:val="en-GB"/>
    </w:rPr>
  </w:style>
  <w:style w:type="paragraph" w:styleId="Title">
    <w:name w:val="Title"/>
    <w:basedOn w:val="Normal"/>
    <w:qFormat/>
    <w:rsid w:val="00010265"/>
    <w:pPr>
      <w:ind w:left="720" w:firstLine="720"/>
      <w:jc w:val="center"/>
    </w:pPr>
    <w:rPr>
      <w:rFonts w:ascii="Arial" w:hAnsi="Arial"/>
      <w:b/>
      <w:lang w:val="en-GB"/>
    </w:rPr>
  </w:style>
  <w:style w:type="paragraph" w:styleId="BodyTextIndent">
    <w:name w:val="Body Text Indent"/>
    <w:basedOn w:val="Normal"/>
    <w:rsid w:val="00010265"/>
    <w:pPr>
      <w:pBdr>
        <w:top w:val="single" w:sz="6" w:space="1" w:color="auto"/>
        <w:left w:val="single" w:sz="6" w:space="1" w:color="auto"/>
        <w:bottom w:val="single" w:sz="6" w:space="1" w:color="auto"/>
        <w:right w:val="single" w:sz="6" w:space="1" w:color="auto"/>
      </w:pBdr>
      <w:tabs>
        <w:tab w:val="left" w:pos="709"/>
      </w:tabs>
      <w:ind w:firstLine="720"/>
    </w:pPr>
    <w:rPr>
      <w:rFonts w:ascii="Arial" w:hAnsi="Arial"/>
      <w:sz w:val="22"/>
      <w:lang w:val="en-GB"/>
    </w:rPr>
  </w:style>
  <w:style w:type="paragraph" w:styleId="BodyTextIndent2">
    <w:name w:val="Body Text Indent 2"/>
    <w:basedOn w:val="Normal"/>
    <w:rsid w:val="00010265"/>
    <w:pPr>
      <w:ind w:left="1440" w:hanging="716"/>
    </w:pPr>
    <w:rPr>
      <w:rFonts w:ascii="Arial" w:hAnsi="Arial"/>
      <w:lang w:val="en-GB"/>
    </w:rPr>
  </w:style>
  <w:style w:type="paragraph" w:customStyle="1" w:styleId="CharCharCharCharCharCharChar">
    <w:name w:val="Char Char Char Char Char Char Char"/>
    <w:basedOn w:val="Normal"/>
    <w:semiHidden/>
    <w:rsid w:val="00F4455A"/>
    <w:pPr>
      <w:spacing w:after="160" w:line="240" w:lineRule="exact"/>
    </w:pPr>
    <w:rPr>
      <w:rFonts w:ascii="Tahoma" w:hAnsi="Tahoma"/>
      <w:sz w:val="20"/>
      <w:lang w:val="en-US" w:eastAsia="en-US"/>
    </w:rPr>
  </w:style>
  <w:style w:type="paragraph" w:styleId="Subtitle">
    <w:name w:val="Subtitle"/>
    <w:basedOn w:val="Normal"/>
    <w:link w:val="SubtitleChar"/>
    <w:qFormat/>
    <w:rsid w:val="000169A1"/>
    <w:pPr>
      <w:jc w:val="center"/>
    </w:pPr>
    <w:rPr>
      <w:b/>
      <w:sz w:val="28"/>
      <w:lang w:val="en-GB"/>
    </w:rPr>
  </w:style>
  <w:style w:type="character" w:customStyle="1" w:styleId="SubtitleChar">
    <w:name w:val="Subtitle Char"/>
    <w:basedOn w:val="DefaultParagraphFont"/>
    <w:link w:val="Subtitle"/>
    <w:rsid w:val="000169A1"/>
    <w:rPr>
      <w:b/>
      <w:sz w:val="28"/>
      <w:lang w:val="en-GB"/>
    </w:rPr>
  </w:style>
  <w:style w:type="character" w:customStyle="1" w:styleId="Heading6Char">
    <w:name w:val="Heading 6 Char"/>
    <w:basedOn w:val="DefaultParagraphFont"/>
    <w:link w:val="Heading6"/>
    <w:semiHidden/>
    <w:rsid w:val="000169A1"/>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rsid w:val="000169A1"/>
    <w:rPr>
      <w:rFonts w:asciiTheme="minorHAnsi" w:eastAsiaTheme="minorEastAsia" w:hAnsiTheme="minorHAnsi" w:cstheme="minorBidi"/>
      <w:sz w:val="24"/>
      <w:szCs w:val="24"/>
    </w:rPr>
  </w:style>
  <w:style w:type="paragraph" w:styleId="BalloonText">
    <w:name w:val="Balloon Text"/>
    <w:basedOn w:val="Normal"/>
    <w:link w:val="BalloonTextChar"/>
    <w:rsid w:val="002317BC"/>
    <w:rPr>
      <w:rFonts w:ascii="Tahoma" w:hAnsi="Tahoma" w:cs="Tahoma"/>
      <w:sz w:val="16"/>
      <w:szCs w:val="16"/>
    </w:rPr>
  </w:style>
  <w:style w:type="character" w:customStyle="1" w:styleId="BalloonTextChar">
    <w:name w:val="Balloon Text Char"/>
    <w:basedOn w:val="DefaultParagraphFont"/>
    <w:link w:val="BalloonText"/>
    <w:rsid w:val="002317BC"/>
    <w:rPr>
      <w:rFonts w:ascii="Tahoma" w:hAnsi="Tahoma" w:cs="Tahoma"/>
      <w:sz w:val="16"/>
      <w:szCs w:val="16"/>
    </w:rPr>
  </w:style>
  <w:style w:type="paragraph" w:styleId="Header">
    <w:name w:val="header"/>
    <w:basedOn w:val="Normal"/>
    <w:link w:val="HeaderChar"/>
    <w:unhideWhenUsed/>
    <w:rsid w:val="00D47AF2"/>
    <w:pPr>
      <w:tabs>
        <w:tab w:val="center" w:pos="4513"/>
        <w:tab w:val="right" w:pos="9026"/>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rsid w:val="00D47AF2"/>
    <w:rPr>
      <w:rFonts w:ascii="Calibri" w:eastAsia="Calibri" w:hAnsi="Calibri"/>
      <w:sz w:val="22"/>
      <w:szCs w:val="22"/>
      <w:lang w:eastAsia="en-US"/>
    </w:rPr>
  </w:style>
  <w:style w:type="character" w:styleId="CommentReference">
    <w:name w:val="annotation reference"/>
    <w:basedOn w:val="DefaultParagraphFont"/>
    <w:semiHidden/>
    <w:unhideWhenUsed/>
    <w:rsid w:val="00C12B83"/>
    <w:rPr>
      <w:sz w:val="16"/>
      <w:szCs w:val="16"/>
    </w:rPr>
  </w:style>
  <w:style w:type="paragraph" w:styleId="CommentText">
    <w:name w:val="annotation text"/>
    <w:basedOn w:val="Normal"/>
    <w:link w:val="CommentTextChar"/>
    <w:unhideWhenUsed/>
    <w:rsid w:val="00C12B83"/>
    <w:rPr>
      <w:sz w:val="20"/>
    </w:rPr>
  </w:style>
  <w:style w:type="character" w:customStyle="1" w:styleId="CommentTextChar">
    <w:name w:val="Comment Text Char"/>
    <w:basedOn w:val="DefaultParagraphFont"/>
    <w:link w:val="CommentText"/>
    <w:rsid w:val="00C12B83"/>
  </w:style>
  <w:style w:type="paragraph" w:styleId="CommentSubject">
    <w:name w:val="annotation subject"/>
    <w:basedOn w:val="CommentText"/>
    <w:next w:val="CommentText"/>
    <w:link w:val="CommentSubjectChar"/>
    <w:semiHidden/>
    <w:unhideWhenUsed/>
    <w:rsid w:val="00C12B83"/>
    <w:rPr>
      <w:b/>
      <w:bCs/>
    </w:rPr>
  </w:style>
  <w:style w:type="character" w:customStyle="1" w:styleId="CommentSubjectChar">
    <w:name w:val="Comment Subject Char"/>
    <w:basedOn w:val="CommentTextChar"/>
    <w:link w:val="CommentSubject"/>
    <w:semiHidden/>
    <w:rsid w:val="00C12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E0E16-4E57-4AAF-8844-9D091B51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3342</CharactersWithSpaces>
  <SharedDoc>false</SharedDoc>
  <HLinks>
    <vt:vector size="6" baseType="variant">
      <vt:variant>
        <vt:i4>5701735</vt:i4>
      </vt:variant>
      <vt:variant>
        <vt:i4>2196</vt:i4>
      </vt:variant>
      <vt:variant>
        <vt:i4>1025</vt:i4>
      </vt:variant>
      <vt:variant>
        <vt:i4>1</vt:i4>
      </vt:variant>
      <vt:variant>
        <vt:lpwstr>http://intranet.accc.gov.au/content/item.phtml?itemId=448246&amp;nodeId=file3ffa3047bfa21&amp;fn=logo_72dpi-web.gif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Kesinee Aziz</dc:creator>
  <cp:lastModifiedBy>Nadarajah, Davian</cp:lastModifiedBy>
  <cp:revision>3</cp:revision>
  <cp:lastPrinted>2015-01-29T04:01:00Z</cp:lastPrinted>
  <dcterms:created xsi:type="dcterms:W3CDTF">2019-10-31T04:14:00Z</dcterms:created>
  <dcterms:modified xsi:type="dcterms:W3CDTF">2019-10-31T04:18:00Z</dcterms:modified>
</cp:coreProperties>
</file>