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35D6" w:rsidRDefault="00C35364">
      <w:pPr>
        <w:spacing w:before="8" w:line="185" w:lineRule="exact"/>
        <w:jc w:val="right"/>
        <w:textAlignment w:val="baseline"/>
        <w:rPr>
          <w:rFonts w:eastAsia="Times New Roman"/>
          <w:color w:val="000000"/>
          <w:sz w:val="16"/>
        </w:rPr>
      </w:pPr>
      <w:r>
        <w:rPr>
          <w:rFonts w:eastAsia="Times New Roman"/>
          <w:color w:val="000000"/>
          <w:sz w:val="16"/>
        </w:rPr>
        <w:t>LIN 19/198</w:t>
      </w:r>
    </w:p>
    <w:p w:rsidR="00D135D6" w:rsidRDefault="00C35364">
      <w:pPr>
        <w:spacing w:before="707" w:line="528" w:lineRule="exact"/>
        <w:jc w:val="center"/>
        <w:textAlignment w:val="baseline"/>
        <w:rPr>
          <w:rFonts w:eastAsia="Times New Roman"/>
          <w:b/>
          <w:color w:val="000000"/>
          <w:sz w:val="24"/>
          <w:u w:val="single"/>
        </w:rPr>
      </w:pPr>
      <w:r>
        <w:rPr>
          <w:rFonts w:eastAsia="Times New Roman"/>
          <w:b/>
          <w:color w:val="000000"/>
          <w:sz w:val="24"/>
          <w:u w:val="single"/>
        </w:rPr>
        <w:t xml:space="preserve">EXPLANATORY STATEMENT </w:t>
      </w:r>
      <w:r>
        <w:rPr>
          <w:rFonts w:eastAsia="Times New Roman"/>
          <w:b/>
          <w:color w:val="000000"/>
          <w:sz w:val="24"/>
          <w:u w:val="single"/>
        </w:rPr>
        <w:br/>
      </w:r>
      <w:r>
        <w:rPr>
          <w:rFonts w:eastAsia="Times New Roman"/>
          <w:i/>
          <w:color w:val="000000"/>
          <w:sz w:val="24"/>
        </w:rPr>
        <w:t>Migration Regulations 1994</w:t>
      </w:r>
    </w:p>
    <w:p w:rsidR="00D135D6" w:rsidRDefault="00C35364" w:rsidP="00C17F0B">
      <w:pPr>
        <w:spacing w:before="365" w:line="413" w:lineRule="exact"/>
        <w:ind w:right="144" w:hanging="22"/>
        <w:jc w:val="center"/>
        <w:textAlignment w:val="baseline"/>
        <w:rPr>
          <w:rFonts w:eastAsia="Times New Roman"/>
          <w:b/>
          <w:color w:val="000000"/>
          <w:sz w:val="24"/>
        </w:rPr>
      </w:pPr>
      <w:r>
        <w:rPr>
          <w:rFonts w:eastAsia="Times New Roman"/>
          <w:b/>
          <w:color w:val="000000"/>
          <w:sz w:val="24"/>
        </w:rPr>
        <w:t>Migration (LIN 19/198:</w:t>
      </w:r>
      <w:r w:rsidR="00C17F0B">
        <w:rPr>
          <w:rFonts w:eastAsia="Times New Roman"/>
          <w:b/>
          <w:color w:val="000000"/>
          <w:sz w:val="24"/>
        </w:rPr>
        <w:t xml:space="preserve"> Evidence of financial capacity</w:t>
      </w:r>
      <w:r w:rsidR="00C17F0B" w:rsidRPr="00C17F0B">
        <w:rPr>
          <w:rFonts w:eastAsia="Times New Roman"/>
          <w:b/>
          <w:color w:val="000000"/>
          <w:sz w:val="24"/>
        </w:rPr>
        <w:t>—</w:t>
      </w:r>
      <w:r w:rsidR="00C17F0B">
        <w:rPr>
          <w:rFonts w:eastAsia="Times New Roman"/>
          <w:b/>
          <w:color w:val="000000"/>
          <w:sz w:val="24"/>
        </w:rPr>
        <w:t>Subclass 500 Visa</w:t>
      </w:r>
      <w:r>
        <w:rPr>
          <w:rFonts w:eastAsia="Times New Roman"/>
          <w:b/>
          <w:color w:val="000000"/>
          <w:sz w:val="24"/>
        </w:rPr>
        <w:t xml:space="preserve"> and </w:t>
      </w:r>
      <w:r w:rsidR="00C17F0B">
        <w:rPr>
          <w:rFonts w:eastAsia="Times New Roman"/>
          <w:b/>
          <w:color w:val="000000"/>
          <w:sz w:val="24"/>
        </w:rPr>
        <w:t>Subclass 590 Visa)</w:t>
      </w:r>
      <w:r>
        <w:rPr>
          <w:rFonts w:eastAsia="Times New Roman"/>
          <w:b/>
          <w:color w:val="000000"/>
          <w:sz w:val="24"/>
        </w:rPr>
        <w:t xml:space="preserve"> Instrument 2019</w:t>
      </w:r>
    </w:p>
    <w:p w:rsidR="00D135D6" w:rsidRDefault="00C35364">
      <w:pPr>
        <w:spacing w:before="257" w:line="224" w:lineRule="exact"/>
        <w:jc w:val="center"/>
        <w:textAlignment w:val="baseline"/>
        <w:rPr>
          <w:rFonts w:eastAsia="Times New Roman"/>
          <w:i/>
          <w:color w:val="000000"/>
          <w:sz w:val="20"/>
        </w:rPr>
      </w:pPr>
      <w:r>
        <w:rPr>
          <w:rFonts w:eastAsia="Times New Roman"/>
          <w:i/>
          <w:color w:val="000000"/>
          <w:sz w:val="20"/>
        </w:rPr>
        <w:t>(</w:t>
      </w:r>
      <w:proofErr w:type="spellStart"/>
      <w:r>
        <w:rPr>
          <w:rFonts w:eastAsia="Times New Roman"/>
          <w:i/>
          <w:color w:val="000000"/>
          <w:sz w:val="20"/>
        </w:rPr>
        <w:t>Subclauses</w:t>
      </w:r>
      <w:proofErr w:type="spellEnd"/>
      <w:r>
        <w:rPr>
          <w:rFonts w:eastAsia="Times New Roman"/>
          <w:i/>
          <w:color w:val="000000"/>
          <w:sz w:val="20"/>
        </w:rPr>
        <w:t xml:space="preserve"> 500.214(4), 500.313(4) and 590.216(4) of Schedule 2)</w:t>
      </w:r>
    </w:p>
    <w:p w:rsidR="00D135D6" w:rsidRDefault="00C35364">
      <w:pPr>
        <w:numPr>
          <w:ilvl w:val="0"/>
          <w:numId w:val="1"/>
        </w:numPr>
        <w:spacing w:before="463" w:line="413" w:lineRule="exact"/>
        <w:ind w:left="576" w:hanging="576"/>
        <w:jc w:val="both"/>
        <w:textAlignment w:val="baseline"/>
        <w:rPr>
          <w:rFonts w:eastAsia="Times New Roman"/>
          <w:color w:val="000000"/>
          <w:sz w:val="24"/>
        </w:rPr>
      </w:pPr>
      <w:r>
        <w:rPr>
          <w:rFonts w:eastAsia="Times New Roman"/>
          <w:color w:val="000000"/>
          <w:sz w:val="24"/>
        </w:rPr>
        <w:t xml:space="preserve">The instrument LIN 19/198 is made under </w:t>
      </w:r>
      <w:proofErr w:type="spellStart"/>
      <w:r>
        <w:rPr>
          <w:rFonts w:eastAsia="Times New Roman"/>
          <w:color w:val="000000"/>
          <w:sz w:val="24"/>
        </w:rPr>
        <w:t>subclauses</w:t>
      </w:r>
      <w:proofErr w:type="spellEnd"/>
      <w:r>
        <w:rPr>
          <w:rFonts w:eastAsia="Times New Roman"/>
          <w:color w:val="000000"/>
          <w:sz w:val="24"/>
        </w:rPr>
        <w:t xml:space="preserve"> 500.214(4), 500.313(4) and 590.216(4) of Schedule 2 to the </w:t>
      </w:r>
      <w:r>
        <w:rPr>
          <w:rFonts w:eastAsia="Times New Roman"/>
          <w:i/>
          <w:color w:val="000000"/>
          <w:sz w:val="24"/>
        </w:rPr>
        <w:t xml:space="preserve">Migration Regulations 1994 </w:t>
      </w:r>
      <w:r>
        <w:rPr>
          <w:rFonts w:eastAsia="Times New Roman"/>
          <w:color w:val="000000"/>
          <w:sz w:val="24"/>
        </w:rPr>
        <w:t>(the Regulations).</w:t>
      </w:r>
    </w:p>
    <w:p w:rsidR="00D135D6" w:rsidRDefault="00C35364">
      <w:pPr>
        <w:numPr>
          <w:ilvl w:val="0"/>
          <w:numId w:val="1"/>
        </w:numPr>
        <w:spacing w:before="244" w:line="413" w:lineRule="exact"/>
        <w:ind w:left="576" w:hanging="576"/>
        <w:jc w:val="both"/>
        <w:textAlignment w:val="baseline"/>
        <w:rPr>
          <w:rFonts w:eastAsia="Times New Roman"/>
          <w:color w:val="000000"/>
          <w:sz w:val="24"/>
        </w:rPr>
      </w:pPr>
      <w:r>
        <w:rPr>
          <w:rFonts w:eastAsia="Times New Roman"/>
          <w:color w:val="000000"/>
          <w:sz w:val="24"/>
        </w:rPr>
        <w:t xml:space="preserve">The instrument repeals IMMI 18/010 (F2018L00032) in accordance with subsection 33(3) of the </w:t>
      </w:r>
      <w:r>
        <w:rPr>
          <w:rFonts w:eastAsia="Times New Roman"/>
          <w:i/>
          <w:color w:val="000000"/>
          <w:sz w:val="24"/>
        </w:rPr>
        <w:t xml:space="preserve">Acts Interpretation Act 1901 </w:t>
      </w:r>
      <w:r>
        <w:rPr>
          <w:rFonts w:eastAsia="Times New Roman"/>
          <w:color w:val="000000"/>
          <w:sz w:val="24"/>
        </w:rPr>
        <w:t>(Interpretation Act). Su</w:t>
      </w:r>
      <w:bookmarkStart w:id="0" w:name="_GoBack"/>
      <w:bookmarkEnd w:id="0"/>
      <w:r>
        <w:rPr>
          <w:rFonts w:eastAsia="Times New Roman"/>
          <w:color w:val="000000"/>
          <w:sz w:val="24"/>
        </w:rPr>
        <w:t>bsection 33(3) of the Interpretation Act states where an Act confers a power to make, grant or issue any instrument of a legislative or administrative character, the power shall be construed as including a power exercisable in the like manner and subject to the like conditions (if any) to repeal, rescind, revoke, amend, or vary any such instrument.</w:t>
      </w:r>
    </w:p>
    <w:p w:rsidR="00D135D6" w:rsidRDefault="00C35364">
      <w:pPr>
        <w:numPr>
          <w:ilvl w:val="0"/>
          <w:numId w:val="1"/>
        </w:numPr>
        <w:spacing w:before="248" w:line="413" w:lineRule="exact"/>
        <w:ind w:left="576" w:hanging="576"/>
        <w:jc w:val="both"/>
        <w:textAlignment w:val="baseline"/>
        <w:rPr>
          <w:rFonts w:eastAsia="Times New Roman"/>
          <w:color w:val="000000"/>
          <w:sz w:val="24"/>
        </w:rPr>
      </w:pPr>
      <w:r>
        <w:rPr>
          <w:rFonts w:eastAsia="Times New Roman"/>
          <w:color w:val="000000"/>
          <w:sz w:val="24"/>
        </w:rPr>
        <w:t>For an applicant seeking to satisfy the primary criteria for a Subclass 500 (Student) visa (Subclass 500 visa); the secondary criteria for a Subclass 500 visa; or the primary criteria for a Subclass 590 (Student Guardian) visa (Subclass 590 visa), the Minister may require the applicant to give to the Minister evidence of financial capacity that satisfies specified requirements. The operation of LIN 19/198 is to specify requirements an applicant must meet.</w:t>
      </w:r>
    </w:p>
    <w:p w:rsidR="00D135D6" w:rsidRDefault="00C35364">
      <w:pPr>
        <w:numPr>
          <w:ilvl w:val="0"/>
          <w:numId w:val="1"/>
        </w:numPr>
        <w:spacing w:before="380" w:line="273" w:lineRule="exact"/>
        <w:ind w:left="576" w:hanging="576"/>
        <w:jc w:val="both"/>
        <w:textAlignment w:val="baseline"/>
        <w:rPr>
          <w:rFonts w:eastAsia="Times New Roman"/>
          <w:color w:val="000000"/>
          <w:sz w:val="24"/>
        </w:rPr>
      </w:pPr>
      <w:r>
        <w:rPr>
          <w:rFonts w:eastAsia="Times New Roman"/>
          <w:color w:val="000000"/>
          <w:sz w:val="24"/>
        </w:rPr>
        <w:t>The purpose of instrument LIN 19/198 is to:</w:t>
      </w:r>
    </w:p>
    <w:p w:rsidR="00D135D6" w:rsidRDefault="00C35364">
      <w:pPr>
        <w:numPr>
          <w:ilvl w:val="0"/>
          <w:numId w:val="2"/>
        </w:numPr>
        <w:tabs>
          <w:tab w:val="clear" w:pos="360"/>
          <w:tab w:val="left" w:pos="1080"/>
        </w:tabs>
        <w:spacing w:before="118" w:line="415" w:lineRule="exact"/>
        <w:ind w:left="1080" w:hanging="360"/>
        <w:jc w:val="both"/>
        <w:textAlignment w:val="baseline"/>
        <w:rPr>
          <w:rFonts w:eastAsia="Times New Roman"/>
          <w:color w:val="000000"/>
          <w:spacing w:val="-1"/>
          <w:sz w:val="24"/>
        </w:rPr>
      </w:pPr>
      <w:r>
        <w:rPr>
          <w:rFonts w:eastAsia="Times New Roman"/>
          <w:color w:val="000000"/>
          <w:spacing w:val="-1"/>
          <w:sz w:val="24"/>
        </w:rPr>
        <w:t>specify that an applicant seeking to satisfy the primary criteria for a Subclass 590 visa must provide evidence of sufficient funds to meet the costs and expenses of the nominating student, including travel expenses, living costs and course fees; and</w:t>
      </w:r>
    </w:p>
    <w:p w:rsidR="00D135D6" w:rsidRDefault="00C35364">
      <w:pPr>
        <w:numPr>
          <w:ilvl w:val="0"/>
          <w:numId w:val="2"/>
        </w:numPr>
        <w:tabs>
          <w:tab w:val="clear" w:pos="360"/>
          <w:tab w:val="left" w:pos="1080"/>
        </w:tabs>
        <w:spacing w:before="120" w:line="414" w:lineRule="exact"/>
        <w:ind w:left="1080" w:hanging="360"/>
        <w:jc w:val="both"/>
        <w:textAlignment w:val="baseline"/>
        <w:rPr>
          <w:rFonts w:eastAsia="Times New Roman"/>
          <w:color w:val="000000"/>
          <w:sz w:val="24"/>
        </w:rPr>
      </w:pPr>
      <w:r>
        <w:rPr>
          <w:rFonts w:eastAsia="Times New Roman"/>
          <w:color w:val="000000"/>
          <w:sz w:val="24"/>
        </w:rPr>
        <w:t>specify that, for an applicant for a primary Subclass 500 visa, where the applicant’s course is longer than 12 months, but the applicant has less than 12 months remaining, the applicant only needs to show evidence of unpaid course fees to cover the remaining components of the course of study; and</w:t>
      </w:r>
    </w:p>
    <w:p w:rsidR="00D135D6" w:rsidRDefault="00C35364">
      <w:pPr>
        <w:numPr>
          <w:ilvl w:val="0"/>
          <w:numId w:val="2"/>
        </w:numPr>
        <w:tabs>
          <w:tab w:val="clear" w:pos="360"/>
          <w:tab w:val="left" w:pos="1080"/>
        </w:tabs>
        <w:spacing w:before="118" w:line="413" w:lineRule="exact"/>
        <w:ind w:left="1080" w:hanging="360"/>
        <w:jc w:val="both"/>
        <w:textAlignment w:val="baseline"/>
        <w:rPr>
          <w:rFonts w:eastAsia="Times New Roman"/>
          <w:color w:val="000000"/>
          <w:sz w:val="24"/>
        </w:rPr>
      </w:pPr>
      <w:r>
        <w:rPr>
          <w:rFonts w:eastAsia="Times New Roman"/>
          <w:color w:val="000000"/>
          <w:sz w:val="24"/>
        </w:rPr>
        <w:t>specify that, for a primary applicant for a Subclass 500 visa, course fees are to be calculated in relation to the applicant’s period of study, being the period</w:t>
      </w:r>
    </w:p>
    <w:p w:rsidR="00D135D6" w:rsidRDefault="00D135D6">
      <w:pPr>
        <w:sectPr w:rsidR="00D135D6">
          <w:pgSz w:w="11909" w:h="16838"/>
          <w:pgMar w:top="420" w:right="1368" w:bottom="902" w:left="1421" w:header="720" w:footer="720" w:gutter="0"/>
          <w:cols w:space="720"/>
        </w:sectPr>
      </w:pPr>
    </w:p>
    <w:p w:rsidR="00D135D6" w:rsidRDefault="00C35364">
      <w:pPr>
        <w:spacing w:before="8" w:line="185" w:lineRule="exact"/>
        <w:jc w:val="right"/>
        <w:textAlignment w:val="baseline"/>
        <w:rPr>
          <w:rFonts w:eastAsia="Times New Roman"/>
          <w:color w:val="000000"/>
          <w:sz w:val="16"/>
        </w:rPr>
      </w:pPr>
      <w:r>
        <w:rPr>
          <w:rFonts w:eastAsia="Times New Roman"/>
          <w:color w:val="000000"/>
          <w:sz w:val="16"/>
        </w:rPr>
        <w:lastRenderedPageBreak/>
        <w:t>LIN 19/198</w:t>
      </w:r>
    </w:p>
    <w:p w:rsidR="00D135D6" w:rsidRDefault="00C35364">
      <w:pPr>
        <w:spacing w:before="819" w:line="412" w:lineRule="exact"/>
        <w:ind w:left="360"/>
        <w:jc w:val="both"/>
        <w:textAlignment w:val="baseline"/>
        <w:rPr>
          <w:rFonts w:eastAsia="Times New Roman"/>
          <w:color w:val="000000"/>
          <w:sz w:val="24"/>
        </w:rPr>
      </w:pPr>
      <w:proofErr w:type="gramStart"/>
      <w:r>
        <w:rPr>
          <w:rFonts w:eastAsia="Times New Roman"/>
          <w:color w:val="000000"/>
          <w:sz w:val="24"/>
        </w:rPr>
        <w:t>commencing</w:t>
      </w:r>
      <w:proofErr w:type="gramEnd"/>
      <w:r>
        <w:rPr>
          <w:rFonts w:eastAsia="Times New Roman"/>
          <w:color w:val="000000"/>
          <w:sz w:val="24"/>
        </w:rPr>
        <w:t xml:space="preserve"> on either the first day of the applicant’s first course of study or the date of application (whichever date is last) and ending on the final day of the applicant’s final course of study; and</w:t>
      </w:r>
    </w:p>
    <w:p w:rsidR="00D135D6" w:rsidRDefault="00C35364">
      <w:pPr>
        <w:numPr>
          <w:ilvl w:val="0"/>
          <w:numId w:val="3"/>
        </w:numPr>
        <w:spacing w:before="119" w:line="414" w:lineRule="exact"/>
        <w:ind w:left="360" w:hanging="360"/>
        <w:jc w:val="both"/>
        <w:textAlignment w:val="baseline"/>
        <w:rPr>
          <w:rFonts w:eastAsia="Times New Roman"/>
          <w:color w:val="000000"/>
          <w:sz w:val="24"/>
        </w:rPr>
      </w:pPr>
      <w:r>
        <w:rPr>
          <w:rFonts w:eastAsia="Times New Roman"/>
          <w:color w:val="000000"/>
          <w:sz w:val="24"/>
        </w:rPr>
        <w:t>specify that the primary applicant’s or nominating student’s course fees required to be shown by an applicant for a subsequent secondary Subclass 500 visa or a primary Subclass 590 visa are the unpaid course fees that will be incurred during the period that the subsequent secondary Subclass 500 visa applicant or primary Subclass 590 visa applicant will be in Australia; and</w:t>
      </w:r>
    </w:p>
    <w:p w:rsidR="00D135D6" w:rsidRDefault="00C35364">
      <w:pPr>
        <w:numPr>
          <w:ilvl w:val="0"/>
          <w:numId w:val="3"/>
        </w:numPr>
        <w:spacing w:before="125" w:line="412" w:lineRule="exact"/>
        <w:ind w:left="360" w:hanging="360"/>
        <w:jc w:val="both"/>
        <w:textAlignment w:val="baseline"/>
        <w:rPr>
          <w:rFonts w:eastAsia="Times New Roman"/>
          <w:color w:val="000000"/>
          <w:sz w:val="24"/>
        </w:rPr>
      </w:pPr>
      <w:r>
        <w:rPr>
          <w:rFonts w:eastAsia="Times New Roman"/>
          <w:color w:val="000000"/>
          <w:sz w:val="24"/>
        </w:rPr>
        <w:t xml:space="preserve">specify that an applicant for a Subclass 500 visa or a Subclass 590 visa, is required to provide evidence of sufficient funds to cover school fees for a ‘school-age </w:t>
      </w:r>
      <w:proofErr w:type="spellStart"/>
      <w:r>
        <w:rPr>
          <w:rFonts w:eastAsia="Times New Roman"/>
          <w:color w:val="000000"/>
          <w:sz w:val="24"/>
        </w:rPr>
        <w:t>dependant</w:t>
      </w:r>
      <w:proofErr w:type="spellEnd"/>
      <w:r>
        <w:rPr>
          <w:rFonts w:eastAsia="Times New Roman"/>
          <w:color w:val="000000"/>
          <w:sz w:val="24"/>
        </w:rPr>
        <w:t>’ as defined by the Regulations;</w:t>
      </w:r>
    </w:p>
    <w:p w:rsidR="00D135D6" w:rsidRDefault="00C35364">
      <w:pPr>
        <w:numPr>
          <w:ilvl w:val="0"/>
          <w:numId w:val="3"/>
        </w:numPr>
        <w:spacing w:before="117" w:line="418" w:lineRule="exact"/>
        <w:ind w:left="360" w:hanging="360"/>
        <w:jc w:val="both"/>
        <w:textAlignment w:val="baseline"/>
        <w:rPr>
          <w:rFonts w:eastAsia="Times New Roman"/>
          <w:color w:val="000000"/>
          <w:sz w:val="24"/>
        </w:rPr>
      </w:pPr>
      <w:r>
        <w:rPr>
          <w:rFonts w:eastAsia="Times New Roman"/>
          <w:color w:val="000000"/>
          <w:sz w:val="24"/>
        </w:rPr>
        <w:t>specify the evidence of financial capacity that is required to be provided to the Minister by the following applicants:</w:t>
      </w:r>
    </w:p>
    <w:p w:rsidR="00D135D6" w:rsidRDefault="00C35364">
      <w:pPr>
        <w:numPr>
          <w:ilvl w:val="0"/>
          <w:numId w:val="4"/>
        </w:numPr>
        <w:tabs>
          <w:tab w:val="clear" w:pos="648"/>
          <w:tab w:val="left" w:pos="1008"/>
        </w:tabs>
        <w:spacing w:before="121" w:line="413" w:lineRule="exact"/>
        <w:ind w:left="1008" w:hanging="648"/>
        <w:jc w:val="both"/>
        <w:textAlignment w:val="baseline"/>
        <w:rPr>
          <w:rFonts w:eastAsia="Times New Roman"/>
          <w:color w:val="000000"/>
          <w:sz w:val="24"/>
        </w:rPr>
      </w:pPr>
      <w:r>
        <w:rPr>
          <w:rFonts w:eastAsia="Times New Roman"/>
          <w:color w:val="000000"/>
          <w:sz w:val="24"/>
        </w:rPr>
        <w:t xml:space="preserve">a secondary applicant for a Subclass 500 visa who is making a combined application with the primary student visa holder, where the primary student visa holder has not provided a letter of support from Department of Foreign Affairs and Trade (DFAT) or Department of </w:t>
      </w:r>
      <w:proofErr w:type="spellStart"/>
      <w:r>
        <w:rPr>
          <w:rFonts w:eastAsia="Times New Roman"/>
          <w:color w:val="000000"/>
          <w:sz w:val="24"/>
        </w:rPr>
        <w:t>Defence</w:t>
      </w:r>
      <w:proofErr w:type="spellEnd"/>
      <w:r>
        <w:rPr>
          <w:rFonts w:eastAsia="Times New Roman"/>
          <w:color w:val="000000"/>
          <w:sz w:val="24"/>
        </w:rPr>
        <w:t>, and the secondary applicant does not provide evidence of their parent, spouse or de facto partner’s income; and</w:t>
      </w:r>
    </w:p>
    <w:p w:rsidR="00D135D6" w:rsidRDefault="00C35364">
      <w:pPr>
        <w:numPr>
          <w:ilvl w:val="0"/>
          <w:numId w:val="4"/>
        </w:numPr>
        <w:tabs>
          <w:tab w:val="clear" w:pos="648"/>
          <w:tab w:val="left" w:pos="1008"/>
        </w:tabs>
        <w:spacing w:before="125" w:line="414" w:lineRule="exact"/>
        <w:ind w:left="1008" w:hanging="648"/>
        <w:jc w:val="both"/>
        <w:textAlignment w:val="baseline"/>
        <w:rPr>
          <w:rFonts w:eastAsia="Times New Roman"/>
          <w:color w:val="000000"/>
          <w:spacing w:val="1"/>
          <w:sz w:val="24"/>
        </w:rPr>
      </w:pPr>
      <w:r>
        <w:rPr>
          <w:rFonts w:eastAsia="Times New Roman"/>
          <w:color w:val="000000"/>
          <w:spacing w:val="1"/>
          <w:sz w:val="24"/>
        </w:rPr>
        <w:t xml:space="preserve">a secondary applicant for a Subclass 500 visa who is making an application that is not combined with the primary student visa holder’s application, where the primary student visa holder has not provided a letter of support from DFAT or Department of </w:t>
      </w:r>
      <w:proofErr w:type="spellStart"/>
      <w:r>
        <w:rPr>
          <w:rFonts w:eastAsia="Times New Roman"/>
          <w:color w:val="000000"/>
          <w:spacing w:val="1"/>
          <w:sz w:val="24"/>
        </w:rPr>
        <w:t>Defence</w:t>
      </w:r>
      <w:proofErr w:type="spellEnd"/>
      <w:r>
        <w:rPr>
          <w:rFonts w:eastAsia="Times New Roman"/>
          <w:color w:val="000000"/>
          <w:spacing w:val="1"/>
          <w:sz w:val="24"/>
        </w:rPr>
        <w:t>, and the secondary applicant does not provide evidence of their parent, spouse or de facto partner’s income; and</w:t>
      </w:r>
    </w:p>
    <w:p w:rsidR="00D135D6" w:rsidRDefault="00C35364">
      <w:pPr>
        <w:numPr>
          <w:ilvl w:val="0"/>
          <w:numId w:val="4"/>
        </w:numPr>
        <w:tabs>
          <w:tab w:val="clear" w:pos="648"/>
          <w:tab w:val="left" w:pos="1008"/>
        </w:tabs>
        <w:spacing w:before="121" w:line="413" w:lineRule="exact"/>
        <w:ind w:left="1008" w:hanging="648"/>
        <w:jc w:val="both"/>
        <w:textAlignment w:val="baseline"/>
        <w:rPr>
          <w:rFonts w:eastAsia="Times New Roman"/>
          <w:color w:val="000000"/>
          <w:sz w:val="24"/>
        </w:rPr>
      </w:pPr>
      <w:r>
        <w:rPr>
          <w:rFonts w:eastAsia="Times New Roman"/>
          <w:color w:val="000000"/>
          <w:sz w:val="24"/>
        </w:rPr>
        <w:t xml:space="preserve">a secondary applicant for a Subclass 500 visa who is making an application that is not combined with the primary student visa holder’s application, where the primary student visa holder has provided a letter of support from DFAT or Department of </w:t>
      </w:r>
      <w:proofErr w:type="spellStart"/>
      <w:r>
        <w:rPr>
          <w:rFonts w:eastAsia="Times New Roman"/>
          <w:color w:val="000000"/>
          <w:sz w:val="24"/>
        </w:rPr>
        <w:t>Defence</w:t>
      </w:r>
      <w:proofErr w:type="spellEnd"/>
      <w:r>
        <w:rPr>
          <w:rFonts w:eastAsia="Times New Roman"/>
          <w:color w:val="000000"/>
          <w:sz w:val="24"/>
        </w:rPr>
        <w:t>, but this letter of support does not indicate that the relevant department will meet the living costs and expenses of each secondary applicant, and the secondary applicant does not provide evidence of their parent, spouse or de facto partner’s income; and</w:t>
      </w:r>
    </w:p>
    <w:p w:rsidR="00D135D6" w:rsidRDefault="00D135D6">
      <w:pPr>
        <w:sectPr w:rsidR="00D135D6">
          <w:pgSz w:w="11909" w:h="16838"/>
          <w:pgMar w:top="420" w:right="1403" w:bottom="1042" w:left="2146" w:header="720" w:footer="720" w:gutter="0"/>
          <w:cols w:space="720"/>
        </w:sectPr>
      </w:pPr>
    </w:p>
    <w:p w:rsidR="00D135D6" w:rsidRDefault="00C35364">
      <w:pPr>
        <w:spacing w:before="8" w:line="185" w:lineRule="exact"/>
        <w:jc w:val="right"/>
        <w:textAlignment w:val="baseline"/>
        <w:rPr>
          <w:rFonts w:eastAsia="Times New Roman"/>
          <w:color w:val="000000"/>
          <w:sz w:val="16"/>
        </w:rPr>
      </w:pPr>
      <w:r>
        <w:rPr>
          <w:rFonts w:eastAsia="Times New Roman"/>
          <w:color w:val="000000"/>
          <w:sz w:val="16"/>
        </w:rPr>
        <w:lastRenderedPageBreak/>
        <w:t>LIN 19/198</w:t>
      </w:r>
    </w:p>
    <w:p w:rsidR="00D135D6" w:rsidRDefault="00C35364">
      <w:pPr>
        <w:spacing w:before="818" w:line="412" w:lineRule="exact"/>
        <w:ind w:left="1080" w:hanging="360"/>
        <w:jc w:val="both"/>
        <w:textAlignment w:val="baseline"/>
        <w:rPr>
          <w:rFonts w:eastAsia="Times New Roman"/>
          <w:color w:val="000000"/>
          <w:sz w:val="24"/>
        </w:rPr>
      </w:pPr>
      <w:r>
        <w:rPr>
          <w:rFonts w:eastAsia="Times New Roman"/>
          <w:color w:val="000000"/>
          <w:sz w:val="24"/>
        </w:rPr>
        <w:t>g. specify that the evidence of annual income provided to the Minister must demonstrate that the annual income amount evidenced, is the annual income amount earned by the parent, spouse or de facto partner of the applicant in the 12 months immediately before the application was made.</w:t>
      </w:r>
    </w:p>
    <w:p w:rsidR="00D135D6" w:rsidRDefault="00C35364">
      <w:pPr>
        <w:tabs>
          <w:tab w:val="left" w:pos="576"/>
        </w:tabs>
        <w:spacing w:before="368" w:line="412" w:lineRule="exact"/>
        <w:ind w:left="576" w:hanging="576"/>
        <w:jc w:val="both"/>
        <w:textAlignment w:val="baseline"/>
        <w:rPr>
          <w:rFonts w:eastAsia="Times New Roman"/>
          <w:color w:val="000000"/>
          <w:sz w:val="24"/>
        </w:rPr>
      </w:pPr>
      <w:r>
        <w:rPr>
          <w:rFonts w:eastAsia="Times New Roman"/>
          <w:color w:val="000000"/>
          <w:sz w:val="24"/>
        </w:rPr>
        <w:t>5.</w:t>
      </w:r>
      <w:r>
        <w:rPr>
          <w:rFonts w:eastAsia="Times New Roman"/>
          <w:color w:val="000000"/>
          <w:sz w:val="24"/>
        </w:rPr>
        <w:tab/>
        <w:t>The instrument operates to update the following annual living costs and expenses from the previous instrument IMMI 18/010, in line with the Consumer Price Index (CPI) increases from June 2017 to June 2019. Adjustments in the CPI are provided by the Australian Bureau of Statistics:</w:t>
      </w:r>
    </w:p>
    <w:p w:rsidR="00D135D6" w:rsidRDefault="00C35364">
      <w:pPr>
        <w:numPr>
          <w:ilvl w:val="0"/>
          <w:numId w:val="5"/>
        </w:numPr>
        <w:tabs>
          <w:tab w:val="clear" w:pos="360"/>
          <w:tab w:val="left" w:pos="1080"/>
        </w:tabs>
        <w:spacing w:before="267" w:line="271" w:lineRule="exact"/>
        <w:ind w:left="1080" w:hanging="360"/>
        <w:textAlignment w:val="baseline"/>
        <w:rPr>
          <w:rFonts w:eastAsia="Times New Roman"/>
          <w:color w:val="000000"/>
          <w:sz w:val="24"/>
        </w:rPr>
      </w:pPr>
      <w:r>
        <w:rPr>
          <w:rFonts w:eastAsia="Times New Roman"/>
          <w:color w:val="000000"/>
          <w:sz w:val="24"/>
        </w:rPr>
        <w:t>for a primary applicant:</w:t>
      </w:r>
    </w:p>
    <w:p w:rsidR="00D135D6" w:rsidRDefault="00C35364">
      <w:pPr>
        <w:spacing w:before="142" w:line="271" w:lineRule="exact"/>
        <w:ind w:left="1080"/>
        <w:textAlignment w:val="baseline"/>
        <w:rPr>
          <w:rFonts w:eastAsia="Times New Roman"/>
          <w:color w:val="000000"/>
          <w:sz w:val="24"/>
        </w:rPr>
      </w:pPr>
      <w:proofErr w:type="gramStart"/>
      <w:r>
        <w:rPr>
          <w:rFonts w:eastAsia="Times New Roman"/>
          <w:color w:val="000000"/>
          <w:sz w:val="24"/>
        </w:rPr>
        <w:t>an</w:t>
      </w:r>
      <w:proofErr w:type="gramEnd"/>
      <w:r>
        <w:rPr>
          <w:rFonts w:eastAsia="Times New Roman"/>
          <w:color w:val="000000"/>
          <w:sz w:val="24"/>
        </w:rPr>
        <w:t xml:space="preserve"> increase from AUD20,</w:t>
      </w:r>
      <w:r w:rsidR="000F25C6">
        <w:rPr>
          <w:rFonts w:eastAsia="Times New Roman"/>
          <w:color w:val="000000"/>
          <w:sz w:val="24"/>
        </w:rPr>
        <w:t>290</w:t>
      </w:r>
      <w:r>
        <w:rPr>
          <w:rFonts w:eastAsia="Times New Roman"/>
          <w:color w:val="000000"/>
          <w:sz w:val="24"/>
        </w:rPr>
        <w:t>to AUD21,041;</w:t>
      </w:r>
    </w:p>
    <w:p w:rsidR="00D135D6" w:rsidRDefault="00C35364">
      <w:pPr>
        <w:numPr>
          <w:ilvl w:val="0"/>
          <w:numId w:val="5"/>
        </w:numPr>
        <w:tabs>
          <w:tab w:val="clear" w:pos="360"/>
          <w:tab w:val="left" w:pos="1080"/>
        </w:tabs>
        <w:spacing w:before="119" w:line="413" w:lineRule="exact"/>
        <w:ind w:left="1080" w:hanging="360"/>
        <w:textAlignment w:val="baseline"/>
        <w:rPr>
          <w:rFonts w:eastAsia="Times New Roman"/>
          <w:color w:val="000000"/>
          <w:sz w:val="24"/>
        </w:rPr>
      </w:pPr>
      <w:r>
        <w:rPr>
          <w:rFonts w:eastAsia="Times New Roman"/>
          <w:color w:val="000000"/>
          <w:sz w:val="24"/>
        </w:rPr>
        <w:t xml:space="preserve">for a spouse or de facto partner of the primary applicant: </w:t>
      </w:r>
      <w:r>
        <w:rPr>
          <w:rFonts w:eastAsia="Times New Roman"/>
          <w:color w:val="000000"/>
          <w:sz w:val="24"/>
        </w:rPr>
        <w:br/>
        <w:t>an increase from AUD7,</w:t>
      </w:r>
      <w:r w:rsidR="00752C6E">
        <w:rPr>
          <w:rFonts w:eastAsia="Times New Roman"/>
          <w:color w:val="000000"/>
          <w:sz w:val="24"/>
        </w:rPr>
        <w:t xml:space="preserve">100 </w:t>
      </w:r>
      <w:r>
        <w:rPr>
          <w:rFonts w:eastAsia="Times New Roman"/>
          <w:color w:val="000000"/>
          <w:sz w:val="24"/>
        </w:rPr>
        <w:t>to AUD7,362;</w:t>
      </w:r>
    </w:p>
    <w:p w:rsidR="00D135D6" w:rsidRDefault="00C35364">
      <w:pPr>
        <w:numPr>
          <w:ilvl w:val="0"/>
          <w:numId w:val="5"/>
        </w:numPr>
        <w:tabs>
          <w:tab w:val="clear" w:pos="360"/>
          <w:tab w:val="left" w:pos="1080"/>
        </w:tabs>
        <w:spacing w:before="267" w:line="271" w:lineRule="exact"/>
        <w:ind w:left="1080" w:hanging="360"/>
        <w:textAlignment w:val="baseline"/>
        <w:rPr>
          <w:rFonts w:eastAsia="Times New Roman"/>
          <w:color w:val="000000"/>
          <w:sz w:val="24"/>
        </w:rPr>
      </w:pPr>
      <w:r>
        <w:rPr>
          <w:rFonts w:eastAsia="Times New Roman"/>
          <w:color w:val="000000"/>
          <w:sz w:val="24"/>
        </w:rPr>
        <w:t>for a dependent child:</w:t>
      </w:r>
    </w:p>
    <w:p w:rsidR="00D135D6" w:rsidRDefault="00C35364">
      <w:pPr>
        <w:spacing w:before="142" w:line="271" w:lineRule="exact"/>
        <w:ind w:left="1080"/>
        <w:textAlignment w:val="baseline"/>
        <w:rPr>
          <w:rFonts w:eastAsia="Times New Roman"/>
          <w:color w:val="000000"/>
          <w:sz w:val="24"/>
        </w:rPr>
      </w:pPr>
      <w:proofErr w:type="gramStart"/>
      <w:r>
        <w:rPr>
          <w:rFonts w:eastAsia="Times New Roman"/>
          <w:color w:val="000000"/>
          <w:sz w:val="24"/>
        </w:rPr>
        <w:t>an</w:t>
      </w:r>
      <w:proofErr w:type="gramEnd"/>
      <w:r>
        <w:rPr>
          <w:rFonts w:eastAsia="Times New Roman"/>
          <w:color w:val="000000"/>
          <w:sz w:val="24"/>
        </w:rPr>
        <w:t xml:space="preserve"> increase from AUD3,040 to AUD3,152;</w:t>
      </w:r>
    </w:p>
    <w:p w:rsidR="00D135D6" w:rsidRDefault="00C35364">
      <w:pPr>
        <w:numPr>
          <w:ilvl w:val="0"/>
          <w:numId w:val="5"/>
        </w:numPr>
        <w:tabs>
          <w:tab w:val="clear" w:pos="360"/>
          <w:tab w:val="left" w:pos="1080"/>
        </w:tabs>
        <w:spacing w:before="141" w:line="271" w:lineRule="exact"/>
        <w:ind w:left="1080" w:hanging="360"/>
        <w:textAlignment w:val="baseline"/>
        <w:rPr>
          <w:rFonts w:eastAsia="Times New Roman"/>
          <w:color w:val="000000"/>
          <w:sz w:val="24"/>
        </w:rPr>
      </w:pPr>
      <w:r>
        <w:rPr>
          <w:rFonts w:eastAsia="Times New Roman"/>
          <w:color w:val="000000"/>
          <w:sz w:val="24"/>
        </w:rPr>
        <w:t>annual school costs:</w:t>
      </w:r>
    </w:p>
    <w:p w:rsidR="00D135D6" w:rsidRDefault="00C35364">
      <w:pPr>
        <w:spacing w:before="142" w:line="271" w:lineRule="exact"/>
        <w:ind w:left="1080"/>
        <w:textAlignment w:val="baseline"/>
        <w:rPr>
          <w:rFonts w:eastAsia="Times New Roman"/>
          <w:color w:val="000000"/>
          <w:sz w:val="24"/>
        </w:rPr>
      </w:pPr>
      <w:proofErr w:type="gramStart"/>
      <w:r>
        <w:rPr>
          <w:rFonts w:eastAsia="Times New Roman"/>
          <w:color w:val="000000"/>
          <w:sz w:val="24"/>
        </w:rPr>
        <w:t>an</w:t>
      </w:r>
      <w:proofErr w:type="gramEnd"/>
      <w:r>
        <w:rPr>
          <w:rFonts w:eastAsia="Times New Roman"/>
          <w:color w:val="000000"/>
          <w:sz w:val="24"/>
        </w:rPr>
        <w:t xml:space="preserve"> increase from AUD8,000 to AUD8,296;</w:t>
      </w:r>
    </w:p>
    <w:p w:rsidR="00D135D6" w:rsidRDefault="00C35364">
      <w:pPr>
        <w:numPr>
          <w:ilvl w:val="0"/>
          <w:numId w:val="5"/>
        </w:numPr>
        <w:tabs>
          <w:tab w:val="clear" w:pos="360"/>
          <w:tab w:val="left" w:pos="1080"/>
        </w:tabs>
        <w:spacing w:before="125" w:line="413" w:lineRule="exact"/>
        <w:ind w:left="1080" w:hanging="360"/>
        <w:textAlignment w:val="baseline"/>
        <w:rPr>
          <w:rFonts w:eastAsia="Times New Roman"/>
          <w:color w:val="000000"/>
          <w:sz w:val="24"/>
        </w:rPr>
      </w:pPr>
      <w:r>
        <w:rPr>
          <w:rFonts w:eastAsia="Times New Roman"/>
          <w:color w:val="000000"/>
          <w:sz w:val="24"/>
        </w:rPr>
        <w:t xml:space="preserve">personal </w:t>
      </w:r>
      <w:r w:rsidR="003E6238">
        <w:rPr>
          <w:rFonts w:eastAsia="Times New Roman"/>
          <w:color w:val="000000"/>
          <w:sz w:val="24"/>
        </w:rPr>
        <w:t xml:space="preserve">annual </w:t>
      </w:r>
      <w:r>
        <w:rPr>
          <w:rFonts w:eastAsia="Times New Roman"/>
          <w:color w:val="000000"/>
          <w:sz w:val="24"/>
        </w:rPr>
        <w:t xml:space="preserve">income if there is no secondary applicant: </w:t>
      </w:r>
      <w:r>
        <w:rPr>
          <w:rFonts w:eastAsia="Times New Roman"/>
          <w:color w:val="000000"/>
          <w:sz w:val="24"/>
        </w:rPr>
        <w:br/>
        <w:t>an increase from AUD60,000 to AUD62,222;</w:t>
      </w:r>
    </w:p>
    <w:p w:rsidR="00D135D6" w:rsidRDefault="00C35364">
      <w:pPr>
        <w:numPr>
          <w:ilvl w:val="0"/>
          <w:numId w:val="5"/>
        </w:numPr>
        <w:tabs>
          <w:tab w:val="clear" w:pos="360"/>
          <w:tab w:val="left" w:pos="1080"/>
        </w:tabs>
        <w:spacing w:before="119" w:line="413" w:lineRule="exact"/>
        <w:ind w:left="1080" w:hanging="360"/>
        <w:textAlignment w:val="baseline"/>
        <w:rPr>
          <w:rFonts w:eastAsia="Times New Roman"/>
          <w:color w:val="000000"/>
          <w:sz w:val="24"/>
        </w:rPr>
      </w:pPr>
      <w:r>
        <w:rPr>
          <w:rFonts w:eastAsia="Times New Roman"/>
          <w:color w:val="000000"/>
          <w:sz w:val="24"/>
        </w:rPr>
        <w:t xml:space="preserve">personal </w:t>
      </w:r>
      <w:r w:rsidR="003E6238">
        <w:rPr>
          <w:rFonts w:eastAsia="Times New Roman"/>
          <w:color w:val="000000"/>
          <w:sz w:val="24"/>
        </w:rPr>
        <w:t xml:space="preserve">annual </w:t>
      </w:r>
      <w:r>
        <w:rPr>
          <w:rFonts w:eastAsia="Times New Roman"/>
          <w:color w:val="000000"/>
          <w:sz w:val="24"/>
        </w:rPr>
        <w:t xml:space="preserve">income where there is a secondary applicant: </w:t>
      </w:r>
      <w:r>
        <w:rPr>
          <w:rFonts w:eastAsia="Times New Roman"/>
          <w:color w:val="000000"/>
          <w:sz w:val="24"/>
        </w:rPr>
        <w:br/>
        <w:t>an increase from AUD 70,000 to AUD72,592</w:t>
      </w:r>
    </w:p>
    <w:p w:rsidR="00D135D6" w:rsidRDefault="00C35364">
      <w:pPr>
        <w:tabs>
          <w:tab w:val="left" w:pos="576"/>
        </w:tabs>
        <w:spacing w:before="507" w:line="271" w:lineRule="exact"/>
        <w:textAlignment w:val="baseline"/>
        <w:rPr>
          <w:rFonts w:eastAsia="Times New Roman"/>
          <w:color w:val="000000"/>
          <w:sz w:val="24"/>
        </w:rPr>
      </w:pPr>
      <w:r>
        <w:rPr>
          <w:rFonts w:eastAsia="Times New Roman"/>
          <w:color w:val="000000"/>
          <w:sz w:val="24"/>
        </w:rPr>
        <w:t>6.</w:t>
      </w:r>
      <w:r>
        <w:rPr>
          <w:rFonts w:eastAsia="Times New Roman"/>
          <w:color w:val="000000"/>
          <w:sz w:val="24"/>
        </w:rPr>
        <w:tab/>
        <w:t>Consultation was undertaken with the Australian Bureau of Statistics.</w:t>
      </w:r>
    </w:p>
    <w:p w:rsidR="00D135D6" w:rsidRDefault="00C35364">
      <w:pPr>
        <w:tabs>
          <w:tab w:val="left" w:pos="576"/>
        </w:tabs>
        <w:spacing w:before="361" w:line="412" w:lineRule="exact"/>
        <w:ind w:left="576" w:hanging="576"/>
        <w:jc w:val="both"/>
        <w:textAlignment w:val="baseline"/>
        <w:rPr>
          <w:rFonts w:eastAsia="Times New Roman"/>
          <w:color w:val="000000"/>
          <w:sz w:val="24"/>
        </w:rPr>
      </w:pPr>
      <w:r>
        <w:rPr>
          <w:rFonts w:eastAsia="Times New Roman"/>
          <w:color w:val="000000"/>
          <w:sz w:val="24"/>
        </w:rPr>
        <w:t>7.</w:t>
      </w:r>
      <w:r>
        <w:rPr>
          <w:rFonts w:eastAsia="Times New Roman"/>
          <w:color w:val="000000"/>
          <w:sz w:val="24"/>
        </w:rPr>
        <w:tab/>
        <w:t>The Office of Best Practice Regulation (OBPR) has advised that a Regulatory Impact Statement is not required (OBPR Reference 25197).</w:t>
      </w:r>
    </w:p>
    <w:p w:rsidR="00D135D6" w:rsidRDefault="00C35364">
      <w:pPr>
        <w:tabs>
          <w:tab w:val="left" w:pos="576"/>
        </w:tabs>
        <w:spacing w:before="362" w:line="414" w:lineRule="exact"/>
        <w:ind w:left="576" w:hanging="576"/>
        <w:jc w:val="both"/>
        <w:textAlignment w:val="baseline"/>
        <w:rPr>
          <w:rFonts w:eastAsia="Times New Roman"/>
          <w:color w:val="000000"/>
          <w:sz w:val="24"/>
        </w:rPr>
      </w:pPr>
      <w:r>
        <w:rPr>
          <w:rFonts w:eastAsia="Times New Roman"/>
          <w:color w:val="000000"/>
          <w:sz w:val="24"/>
        </w:rPr>
        <w:t>8.</w:t>
      </w:r>
      <w:r>
        <w:rPr>
          <w:rFonts w:eastAsia="Times New Roman"/>
          <w:color w:val="000000"/>
          <w:sz w:val="24"/>
        </w:rPr>
        <w:tab/>
        <w:t xml:space="preserve">The First Assistant Secretary, Senior Executive Service, Band Two of the Immigration and Community Protection Policy Division was delegated the powers in </w:t>
      </w:r>
      <w:proofErr w:type="spellStart"/>
      <w:r>
        <w:rPr>
          <w:rFonts w:eastAsia="Times New Roman"/>
          <w:color w:val="000000"/>
          <w:sz w:val="24"/>
        </w:rPr>
        <w:t>subclauses</w:t>
      </w:r>
      <w:proofErr w:type="spellEnd"/>
      <w:r>
        <w:rPr>
          <w:rFonts w:eastAsia="Times New Roman"/>
          <w:color w:val="000000"/>
          <w:sz w:val="24"/>
        </w:rPr>
        <w:t xml:space="preserve"> 500.214(4), 500.313(4) and 590.216(4) in </w:t>
      </w:r>
      <w:r>
        <w:rPr>
          <w:rFonts w:eastAsia="Times New Roman"/>
          <w:i/>
          <w:color w:val="000000"/>
          <w:sz w:val="24"/>
        </w:rPr>
        <w:t xml:space="preserve">Instrument Making Powers (Minister) Instrument 2019 </w:t>
      </w:r>
      <w:r>
        <w:rPr>
          <w:rFonts w:eastAsia="Times New Roman"/>
          <w:color w:val="000000"/>
          <w:sz w:val="24"/>
        </w:rPr>
        <w:t>(LIN 19/022), signed on 1 July 2019.</w:t>
      </w:r>
    </w:p>
    <w:p w:rsidR="00D135D6" w:rsidRDefault="00D135D6">
      <w:pPr>
        <w:sectPr w:rsidR="00D135D6">
          <w:pgSz w:w="11909" w:h="16838"/>
          <w:pgMar w:top="420" w:right="1387" w:bottom="1742" w:left="1402" w:header="720" w:footer="720" w:gutter="0"/>
          <w:cols w:space="720"/>
        </w:sectPr>
      </w:pPr>
    </w:p>
    <w:p w:rsidR="00D135D6" w:rsidRDefault="00C35364">
      <w:pPr>
        <w:spacing w:before="8" w:line="185" w:lineRule="exact"/>
        <w:jc w:val="right"/>
        <w:textAlignment w:val="baseline"/>
        <w:rPr>
          <w:rFonts w:eastAsia="Times New Roman"/>
          <w:color w:val="000000"/>
          <w:sz w:val="16"/>
        </w:rPr>
      </w:pPr>
      <w:r>
        <w:rPr>
          <w:rFonts w:eastAsia="Times New Roman"/>
          <w:color w:val="000000"/>
          <w:sz w:val="16"/>
        </w:rPr>
        <w:lastRenderedPageBreak/>
        <w:t>LIN 19/198</w:t>
      </w:r>
    </w:p>
    <w:p w:rsidR="00D135D6" w:rsidRDefault="00C35364">
      <w:pPr>
        <w:numPr>
          <w:ilvl w:val="0"/>
          <w:numId w:val="6"/>
        </w:numPr>
        <w:tabs>
          <w:tab w:val="right" w:pos="9144"/>
        </w:tabs>
        <w:spacing w:before="820" w:line="412" w:lineRule="exact"/>
        <w:ind w:left="576" w:hanging="576"/>
        <w:jc w:val="both"/>
        <w:textAlignment w:val="baseline"/>
        <w:rPr>
          <w:rFonts w:eastAsia="Times New Roman"/>
          <w:color w:val="000000"/>
          <w:sz w:val="24"/>
        </w:rPr>
      </w:pPr>
      <w:r>
        <w:rPr>
          <w:rFonts w:eastAsia="Times New Roman"/>
          <w:color w:val="000000"/>
          <w:sz w:val="24"/>
        </w:rPr>
        <w:t xml:space="preserve">Under paragraph 20(b) of the table in section 10 of the </w:t>
      </w:r>
      <w:r>
        <w:rPr>
          <w:rFonts w:eastAsia="Times New Roman"/>
          <w:i/>
          <w:color w:val="000000"/>
          <w:sz w:val="24"/>
        </w:rPr>
        <w:t xml:space="preserve">Legislation (Exemptions and </w:t>
      </w:r>
      <w:r>
        <w:rPr>
          <w:rFonts w:eastAsia="Times New Roman"/>
          <w:i/>
          <w:color w:val="000000"/>
          <w:sz w:val="24"/>
        </w:rPr>
        <w:br/>
        <w:t>Other Matters) Regulation 2015</w:t>
      </w:r>
      <w:r>
        <w:rPr>
          <w:rFonts w:eastAsia="Times New Roman"/>
          <w:color w:val="000000"/>
          <w:sz w:val="24"/>
        </w:rPr>
        <w:t>, the instrument is not subject to disallowance. A Statement of Compatibility with Human Rights is therefore not required.</w:t>
      </w:r>
    </w:p>
    <w:p w:rsidR="00D135D6" w:rsidRDefault="00C35364">
      <w:pPr>
        <w:numPr>
          <w:ilvl w:val="0"/>
          <w:numId w:val="6"/>
        </w:numPr>
        <w:spacing w:before="355" w:line="418" w:lineRule="exact"/>
        <w:ind w:left="576" w:hanging="576"/>
        <w:jc w:val="both"/>
        <w:textAlignment w:val="baseline"/>
        <w:rPr>
          <w:rFonts w:eastAsia="Times New Roman"/>
          <w:color w:val="000000"/>
          <w:sz w:val="24"/>
        </w:rPr>
      </w:pPr>
      <w:r>
        <w:rPr>
          <w:rFonts w:eastAsia="Times New Roman"/>
          <w:color w:val="000000"/>
          <w:sz w:val="24"/>
        </w:rPr>
        <w:t>The instrument commences on the day after registration on the Federal Register of Legislation.</w:t>
      </w:r>
    </w:p>
    <w:sectPr w:rsidR="00D135D6">
      <w:pgSz w:w="11909" w:h="16838"/>
      <w:pgMar w:top="420" w:right="1375" w:bottom="12562" w:left="141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Times New Roman">
    <w:charset w:val="00"/>
    <w:pitch w:val="variable"/>
    <w:family w:val="roman"/>
    <w:panose1 w:val="02020603050405020304"/>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04F39"/>
    <w:multiLevelType w:val="multilevel"/>
    <w:tmpl w:val="1EF8647A"/>
    <w:lvl w:ilvl="0">
      <w:start w:val="1"/>
      <w:numFmt w:val="lowerLetter"/>
      <w:lvlText w:val="%1."/>
      <w:lvlJc w:val="left"/>
      <w:pPr>
        <w:tabs>
          <w:tab w:val="left" w:pos="360"/>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18D129D"/>
    <w:multiLevelType w:val="multilevel"/>
    <w:tmpl w:val="6BBA51D6"/>
    <w:lvl w:ilvl="0">
      <w:start w:val="1"/>
      <w:numFmt w:val="lowerRoman"/>
      <w:lvlText w:val="%1."/>
      <w:lvlJc w:val="left"/>
      <w:pPr>
        <w:tabs>
          <w:tab w:val="left" w:pos="648"/>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3E01C75"/>
    <w:multiLevelType w:val="multilevel"/>
    <w:tmpl w:val="ECA2B50C"/>
    <w:lvl w:ilvl="0">
      <w:start w:val="9"/>
      <w:numFmt w:val="decimal"/>
      <w:lvlText w:val="%1."/>
      <w:lvlJc w:val="left"/>
      <w:pPr>
        <w:tabs>
          <w:tab w:val="left" w:pos="576"/>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7733E0F"/>
    <w:multiLevelType w:val="multilevel"/>
    <w:tmpl w:val="2D266478"/>
    <w:lvl w:ilvl="0">
      <w:start w:val="1"/>
      <w:numFmt w:val="lowerLetter"/>
      <w:lvlText w:val="%1."/>
      <w:lvlJc w:val="left"/>
      <w:pPr>
        <w:tabs>
          <w:tab w:val="left" w:pos="360"/>
        </w:tabs>
      </w:pPr>
      <w:rPr>
        <w:rFonts w:ascii="Times New Roman" w:eastAsia="Times New Roman" w:hAnsi="Times New Roman"/>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F7F7F25"/>
    <w:multiLevelType w:val="multilevel"/>
    <w:tmpl w:val="EB68B9EC"/>
    <w:lvl w:ilvl="0">
      <w:start w:val="1"/>
      <w:numFmt w:val="decimal"/>
      <w:lvlText w:val="%1."/>
      <w:lvlJc w:val="left"/>
      <w:pPr>
        <w:tabs>
          <w:tab w:val="left" w:pos="576"/>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6FF6F65"/>
    <w:multiLevelType w:val="multilevel"/>
    <w:tmpl w:val="6B10A706"/>
    <w:lvl w:ilvl="0">
      <w:start w:val="4"/>
      <w:numFmt w:val="lowerLetter"/>
      <w:lvlText w:val="%1."/>
      <w:lvlJc w:val="left"/>
      <w:pPr>
        <w:tabs>
          <w:tab w:val="left" w:pos="360"/>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5"/>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5D6"/>
    <w:rsid w:val="00095BEB"/>
    <w:rsid w:val="000F25C6"/>
    <w:rsid w:val="003E6238"/>
    <w:rsid w:val="00752C6E"/>
    <w:rsid w:val="00C17F0B"/>
    <w:rsid w:val="00C35364"/>
    <w:rsid w:val="00D135D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B9670"/>
  <w15:docId w15:val="{86E5C6B5-EF5C-47C3-80A9-ACF8D2701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17F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7F0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fId" Type="http://schemas.openxmlformats.org/wordprocessingml/2006/fontTable" Target="fontTable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927</Words>
  <Characters>5284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Department Of Immigration And Border Protection</Company>
  <LinksUpToDate>false</LinksUpToDate>
  <CharactersWithSpaces>6199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HUNTER</dc:creator>
  <cp:lastModifiedBy>Grace LIM</cp:lastModifiedBy>
  <cp:revision>3</cp:revision>
  <dcterms:created xsi:type="dcterms:W3CDTF">2019-09-25T06:14:00Z</dcterms:created>
  <dcterms:modified xsi:type="dcterms:W3CDTF">2019-10-16T04:03:00Z</dcterms:modified>
</cp:coreProperties>
</file>