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0FA21" w14:textId="77777777" w:rsidR="00E0159D" w:rsidRPr="00C61385" w:rsidRDefault="00E0159D" w:rsidP="00DD53AF">
      <w:pPr>
        <w:jc w:val="center"/>
        <w:rPr>
          <w:rFonts w:cs="Arial"/>
          <w:b/>
          <w:color w:val="000000"/>
          <w:sz w:val="24"/>
          <w:szCs w:val="24"/>
          <w:u w:val="single"/>
        </w:rPr>
      </w:pPr>
    </w:p>
    <w:p w14:paraId="54B0FA22" w14:textId="77777777" w:rsidR="00FD16BC" w:rsidRPr="009F1E40" w:rsidRDefault="00DD53AF" w:rsidP="00DD53AF">
      <w:pPr>
        <w:jc w:val="center"/>
        <w:rPr>
          <w:rFonts w:ascii="Times New Roman" w:hAnsi="Times New Roman"/>
          <w:b/>
          <w:color w:val="000000"/>
          <w:sz w:val="24"/>
          <w:szCs w:val="24"/>
          <w:u w:val="single"/>
        </w:rPr>
      </w:pPr>
      <w:r w:rsidRPr="009F1E40">
        <w:rPr>
          <w:rFonts w:ascii="Times New Roman" w:hAnsi="Times New Roman"/>
          <w:b/>
          <w:color w:val="000000"/>
          <w:sz w:val="24"/>
          <w:szCs w:val="24"/>
          <w:u w:val="single"/>
        </w:rPr>
        <w:t>EXPLANATORY STATEMENT</w:t>
      </w:r>
    </w:p>
    <w:p w14:paraId="54B0FA23" w14:textId="77777777" w:rsidR="00DD53AF" w:rsidRPr="009F1E40" w:rsidRDefault="00DD53AF" w:rsidP="00E65DE5">
      <w:pPr>
        <w:rPr>
          <w:rFonts w:ascii="Times New Roman" w:hAnsi="Times New Roman"/>
          <w:color w:val="000000"/>
          <w:sz w:val="24"/>
          <w:szCs w:val="24"/>
        </w:rPr>
      </w:pPr>
    </w:p>
    <w:p w14:paraId="54B0FA24" w14:textId="77777777" w:rsidR="00E006BB" w:rsidRPr="009F1E40" w:rsidRDefault="00CF3FB6" w:rsidP="00E006BB">
      <w:pPr>
        <w:jc w:val="center"/>
        <w:rPr>
          <w:rFonts w:ascii="Times New Roman" w:hAnsi="Times New Roman"/>
          <w:i/>
          <w:color w:val="000000"/>
          <w:sz w:val="24"/>
          <w:szCs w:val="24"/>
        </w:rPr>
      </w:pPr>
      <w:r w:rsidRPr="009F1E40">
        <w:rPr>
          <w:rFonts w:ascii="Times New Roman" w:hAnsi="Times New Roman"/>
          <w:i/>
          <w:color w:val="000000"/>
          <w:sz w:val="24"/>
          <w:szCs w:val="24"/>
        </w:rPr>
        <w:t xml:space="preserve">Guidelines issued under </w:t>
      </w:r>
      <w:r w:rsidR="00E006BB" w:rsidRPr="009F1E40">
        <w:rPr>
          <w:rFonts w:ascii="Times New Roman" w:hAnsi="Times New Roman"/>
          <w:i/>
          <w:color w:val="000000"/>
          <w:sz w:val="24"/>
          <w:szCs w:val="24"/>
        </w:rPr>
        <w:t>section 238-10 of the Higher Education Support Act 2003</w:t>
      </w:r>
    </w:p>
    <w:p w14:paraId="54B0FA25" w14:textId="77777777" w:rsidR="00DD53AF" w:rsidRPr="009F1E40" w:rsidRDefault="00DD53AF" w:rsidP="00DD53AF">
      <w:pPr>
        <w:jc w:val="center"/>
        <w:rPr>
          <w:rFonts w:ascii="Times New Roman" w:hAnsi="Times New Roman"/>
          <w:color w:val="000000"/>
          <w:sz w:val="24"/>
          <w:szCs w:val="24"/>
          <w:u w:val="single"/>
        </w:rPr>
      </w:pPr>
    </w:p>
    <w:p w14:paraId="54B0FA26" w14:textId="043CD5F1" w:rsidR="00E006BB" w:rsidRPr="009F1E40" w:rsidRDefault="00474288" w:rsidP="00DD53AF">
      <w:pPr>
        <w:jc w:val="center"/>
        <w:rPr>
          <w:rFonts w:ascii="Times New Roman" w:hAnsi="Times New Roman"/>
          <w:color w:val="000000"/>
          <w:sz w:val="24"/>
          <w:szCs w:val="24"/>
        </w:rPr>
      </w:pPr>
      <w:r w:rsidRPr="009F1E40">
        <w:rPr>
          <w:rFonts w:ascii="Times New Roman" w:hAnsi="Times New Roman"/>
          <w:i/>
          <w:color w:val="000000"/>
          <w:sz w:val="24"/>
          <w:szCs w:val="24"/>
        </w:rPr>
        <w:t xml:space="preserve">Other Grants </w:t>
      </w:r>
      <w:r w:rsidR="003A08BD" w:rsidRPr="009F1E40">
        <w:rPr>
          <w:rFonts w:ascii="Times New Roman" w:hAnsi="Times New Roman"/>
          <w:i/>
          <w:color w:val="000000"/>
          <w:sz w:val="24"/>
          <w:szCs w:val="24"/>
        </w:rPr>
        <w:t>Guidelines</w:t>
      </w:r>
      <w:r w:rsidRPr="009F1E40">
        <w:rPr>
          <w:rFonts w:ascii="Times New Roman" w:hAnsi="Times New Roman"/>
          <w:i/>
          <w:color w:val="000000"/>
          <w:sz w:val="24"/>
          <w:szCs w:val="24"/>
        </w:rPr>
        <w:t xml:space="preserve"> (Education) </w:t>
      </w:r>
      <w:r w:rsidR="00A0482E">
        <w:rPr>
          <w:rFonts w:ascii="Times New Roman" w:hAnsi="Times New Roman"/>
          <w:i/>
          <w:color w:val="000000"/>
          <w:sz w:val="24"/>
          <w:szCs w:val="24"/>
        </w:rPr>
        <w:t xml:space="preserve">Amendment (No. 1) </w:t>
      </w:r>
      <w:r w:rsidR="00A0482E" w:rsidRPr="009F1E40">
        <w:rPr>
          <w:rFonts w:ascii="Times New Roman" w:hAnsi="Times New Roman"/>
          <w:i/>
          <w:color w:val="000000"/>
          <w:sz w:val="24"/>
          <w:szCs w:val="24"/>
        </w:rPr>
        <w:t>201</w:t>
      </w:r>
      <w:r w:rsidR="00A0482E">
        <w:rPr>
          <w:rFonts w:ascii="Times New Roman" w:hAnsi="Times New Roman"/>
          <w:i/>
          <w:color w:val="000000"/>
          <w:sz w:val="24"/>
          <w:szCs w:val="24"/>
        </w:rPr>
        <w:t>9</w:t>
      </w:r>
    </w:p>
    <w:p w14:paraId="54B0FA27" w14:textId="77777777" w:rsidR="00CD06B0" w:rsidRPr="009F1E40" w:rsidRDefault="00CD06B0" w:rsidP="00E65DE5">
      <w:pPr>
        <w:rPr>
          <w:rFonts w:ascii="Times New Roman" w:hAnsi="Times New Roman"/>
          <w:color w:val="000000"/>
          <w:sz w:val="24"/>
          <w:szCs w:val="24"/>
          <w:u w:val="single"/>
        </w:rPr>
      </w:pPr>
    </w:p>
    <w:p w14:paraId="54B0FA2D" w14:textId="77777777" w:rsidR="00CF3FB6" w:rsidRPr="009F1E40" w:rsidRDefault="00CF3FB6" w:rsidP="00E65DE5">
      <w:pPr>
        <w:rPr>
          <w:rFonts w:ascii="Times New Roman" w:hAnsi="Times New Roman"/>
          <w:color w:val="000000"/>
          <w:sz w:val="24"/>
          <w:szCs w:val="24"/>
        </w:rPr>
      </w:pPr>
    </w:p>
    <w:p w14:paraId="54B0FA2E" w14:textId="77777777" w:rsidR="00CF3FB6" w:rsidRPr="00CB1519" w:rsidRDefault="00CF3FB6" w:rsidP="00CF3FB6">
      <w:pPr>
        <w:rPr>
          <w:rFonts w:ascii="Times New Roman" w:hAnsi="Times New Roman"/>
          <w:b/>
          <w:color w:val="000000"/>
          <w:sz w:val="24"/>
          <w:szCs w:val="24"/>
        </w:rPr>
      </w:pPr>
      <w:r w:rsidRPr="00CB1519">
        <w:rPr>
          <w:rFonts w:ascii="Times New Roman" w:hAnsi="Times New Roman"/>
          <w:b/>
          <w:color w:val="000000"/>
          <w:sz w:val="24"/>
          <w:szCs w:val="24"/>
        </w:rPr>
        <w:t>Authority</w:t>
      </w:r>
    </w:p>
    <w:p w14:paraId="54B0FA2F" w14:textId="77777777" w:rsidR="00CF3FB6" w:rsidRPr="009F1E40" w:rsidRDefault="00CF3FB6" w:rsidP="00CF3FB6">
      <w:pPr>
        <w:rPr>
          <w:rFonts w:ascii="Times New Roman" w:hAnsi="Times New Roman"/>
          <w:color w:val="000000"/>
          <w:sz w:val="24"/>
          <w:szCs w:val="24"/>
          <w:u w:val="single"/>
        </w:rPr>
      </w:pPr>
    </w:p>
    <w:p w14:paraId="54B0FA30" w14:textId="77777777" w:rsidR="00E320C2" w:rsidRPr="009F1E40" w:rsidRDefault="00A45D09" w:rsidP="00CF3FB6">
      <w:pPr>
        <w:rPr>
          <w:rFonts w:ascii="Times New Roman" w:hAnsi="Times New Roman"/>
          <w:iCs/>
          <w:color w:val="000000"/>
          <w:sz w:val="24"/>
          <w:szCs w:val="24"/>
        </w:rPr>
      </w:pPr>
      <w:r w:rsidRPr="009F1E40">
        <w:rPr>
          <w:rFonts w:ascii="Times New Roman" w:hAnsi="Times New Roman"/>
          <w:color w:val="000000"/>
          <w:sz w:val="24"/>
          <w:szCs w:val="24"/>
        </w:rPr>
        <w:t xml:space="preserve">Section 238-10 of the </w:t>
      </w:r>
      <w:r w:rsidRPr="009F1E40">
        <w:rPr>
          <w:rFonts w:ascii="Times New Roman" w:hAnsi="Times New Roman"/>
          <w:i/>
          <w:color w:val="000000"/>
          <w:sz w:val="24"/>
          <w:szCs w:val="24"/>
        </w:rPr>
        <w:t>Higher Education Support Act 2003</w:t>
      </w:r>
      <w:r w:rsidRPr="009F1E40">
        <w:rPr>
          <w:rFonts w:ascii="Times New Roman" w:hAnsi="Times New Roman"/>
          <w:color w:val="000000"/>
          <w:sz w:val="24"/>
          <w:szCs w:val="24"/>
        </w:rPr>
        <w:t xml:space="preserve"> (the Act) provides that the Minister may make guidelines providing for matters required or permitted by the Act </w:t>
      </w:r>
      <w:r w:rsidR="007A6B0E" w:rsidRPr="009F1E40">
        <w:rPr>
          <w:rFonts w:ascii="Times New Roman" w:hAnsi="Times New Roman"/>
          <w:color w:val="000000"/>
          <w:sz w:val="24"/>
          <w:szCs w:val="24"/>
        </w:rPr>
        <w:t xml:space="preserve">or is </w:t>
      </w:r>
      <w:r w:rsidRPr="009F1E40">
        <w:rPr>
          <w:rFonts w:ascii="Times New Roman" w:hAnsi="Times New Roman"/>
          <w:color w:val="000000"/>
          <w:sz w:val="24"/>
          <w:szCs w:val="24"/>
        </w:rPr>
        <w:t>necessary or convenient to be provided in order to carry</w:t>
      </w:r>
      <w:r w:rsidR="00E923C6" w:rsidRPr="009F1E40">
        <w:rPr>
          <w:rFonts w:ascii="Times New Roman" w:hAnsi="Times New Roman"/>
          <w:color w:val="000000"/>
          <w:sz w:val="24"/>
          <w:szCs w:val="24"/>
        </w:rPr>
        <w:t xml:space="preserve"> </w:t>
      </w:r>
      <w:r w:rsidR="0076583B" w:rsidRPr="009F1E40">
        <w:rPr>
          <w:rFonts w:ascii="Times New Roman" w:hAnsi="Times New Roman"/>
          <w:color w:val="000000"/>
          <w:sz w:val="24"/>
          <w:szCs w:val="24"/>
        </w:rPr>
        <w:t>out or give effect to the Act.</w:t>
      </w:r>
      <w:r w:rsidR="00516EE2">
        <w:rPr>
          <w:rFonts w:ascii="Times New Roman" w:hAnsi="Times New Roman"/>
          <w:iCs/>
          <w:color w:val="000000"/>
          <w:sz w:val="24"/>
          <w:szCs w:val="24"/>
        </w:rPr>
        <w:t xml:space="preserve"> </w:t>
      </w:r>
      <w:r w:rsidR="00AD79C2" w:rsidRPr="009F1E40">
        <w:rPr>
          <w:rFonts w:ascii="Times New Roman" w:hAnsi="Times New Roman"/>
          <w:color w:val="000000"/>
          <w:sz w:val="24"/>
          <w:szCs w:val="24"/>
        </w:rPr>
        <w:t>In particular item 8 of the table in subsection 238-10(1) specifies the Minister may make Other Grants Guidelines to give effect to matters under Part 2-3 of the Act. Section 41-15 of the Act provides that the Other Grants Guidelines may specify one or more programs under which grants for particular purposes specified in the table in subsection 41</w:t>
      </w:r>
      <w:r w:rsidR="00AD79C2" w:rsidRPr="009F1E40">
        <w:rPr>
          <w:rFonts w:ascii="Times New Roman" w:hAnsi="Times New Roman"/>
          <w:color w:val="000000"/>
          <w:sz w:val="24"/>
          <w:szCs w:val="24"/>
        </w:rPr>
        <w:noBreakHyphen/>
        <w:t xml:space="preserve">10(1) are to be paid. </w:t>
      </w:r>
    </w:p>
    <w:p w14:paraId="54B0FA31" w14:textId="77777777" w:rsidR="00AD79C2" w:rsidRPr="009F1E40" w:rsidRDefault="00AD79C2" w:rsidP="00CF3FB6">
      <w:pPr>
        <w:rPr>
          <w:rFonts w:ascii="Times New Roman" w:hAnsi="Times New Roman"/>
          <w:color w:val="000000"/>
          <w:sz w:val="24"/>
          <w:szCs w:val="24"/>
        </w:rPr>
      </w:pPr>
    </w:p>
    <w:p w14:paraId="54B0FA32" w14:textId="78EF5B13" w:rsidR="00E320C2" w:rsidRPr="00CB1519" w:rsidRDefault="00E320C2" w:rsidP="00E320C2">
      <w:pPr>
        <w:rPr>
          <w:rFonts w:ascii="Times New Roman" w:hAnsi="Times New Roman"/>
          <w:b/>
          <w:color w:val="000000"/>
          <w:sz w:val="24"/>
          <w:szCs w:val="24"/>
        </w:rPr>
      </w:pPr>
      <w:r w:rsidRPr="00CB1519">
        <w:rPr>
          <w:rFonts w:ascii="Times New Roman" w:hAnsi="Times New Roman"/>
          <w:b/>
          <w:color w:val="000000"/>
          <w:sz w:val="24"/>
          <w:szCs w:val="24"/>
        </w:rPr>
        <w:t>Purpose</w:t>
      </w:r>
    </w:p>
    <w:p w14:paraId="54B0FA33" w14:textId="77777777" w:rsidR="004F5347" w:rsidRPr="009F1E40" w:rsidRDefault="004F5347" w:rsidP="004F5347">
      <w:pPr>
        <w:rPr>
          <w:rFonts w:ascii="Times New Roman" w:hAnsi="Times New Roman"/>
          <w:color w:val="000000"/>
          <w:sz w:val="24"/>
          <w:szCs w:val="24"/>
        </w:rPr>
      </w:pPr>
    </w:p>
    <w:p w14:paraId="54B0FA34" w14:textId="77777777" w:rsidR="004C61F3" w:rsidRPr="009F1E40" w:rsidRDefault="004C61F3" w:rsidP="004C61F3">
      <w:pPr>
        <w:tabs>
          <w:tab w:val="left" w:pos="851"/>
        </w:tabs>
        <w:rPr>
          <w:rFonts w:ascii="Times New Roman" w:hAnsi="Times New Roman"/>
          <w:iCs/>
          <w:color w:val="000000"/>
          <w:sz w:val="24"/>
          <w:szCs w:val="24"/>
        </w:rPr>
      </w:pPr>
      <w:r w:rsidRPr="009F1E40">
        <w:rPr>
          <w:rFonts w:ascii="Times New Roman" w:hAnsi="Times New Roman"/>
          <w:iCs/>
          <w:color w:val="000000"/>
          <w:sz w:val="24"/>
          <w:szCs w:val="24"/>
        </w:rPr>
        <w:t>The purpose of this instrument is to amend the</w:t>
      </w:r>
      <w:r w:rsidRPr="009F1E40">
        <w:rPr>
          <w:rFonts w:ascii="Times New Roman" w:hAnsi="Times New Roman"/>
          <w:i/>
          <w:iCs/>
          <w:color w:val="000000"/>
          <w:sz w:val="24"/>
          <w:szCs w:val="24"/>
        </w:rPr>
        <w:t xml:space="preserve"> Other Grants Guidelines (Education)</w:t>
      </w:r>
      <w:r w:rsidRPr="009F1E40">
        <w:rPr>
          <w:rFonts w:ascii="Times New Roman" w:hAnsi="Times New Roman"/>
          <w:iCs/>
          <w:color w:val="000000"/>
          <w:sz w:val="24"/>
          <w:szCs w:val="24"/>
        </w:rPr>
        <w:t xml:space="preserve"> </w:t>
      </w:r>
      <w:r w:rsidRPr="009F1E40">
        <w:rPr>
          <w:rFonts w:ascii="Times New Roman" w:hAnsi="Times New Roman"/>
          <w:i/>
          <w:iCs/>
          <w:color w:val="000000"/>
          <w:sz w:val="24"/>
          <w:szCs w:val="24"/>
        </w:rPr>
        <w:t>2012</w:t>
      </w:r>
      <w:r w:rsidRPr="009F1E40">
        <w:rPr>
          <w:rFonts w:ascii="Times New Roman" w:hAnsi="Times New Roman"/>
          <w:iCs/>
          <w:color w:val="000000"/>
          <w:sz w:val="24"/>
          <w:szCs w:val="24"/>
        </w:rPr>
        <w:t xml:space="preserve"> </w:t>
      </w:r>
      <w:r w:rsidRPr="009F1E40">
        <w:rPr>
          <w:rFonts w:ascii="Times New Roman" w:hAnsi="Times New Roman"/>
          <w:bCs/>
          <w:sz w:val="24"/>
          <w:szCs w:val="24"/>
        </w:rPr>
        <w:t>(the Guidelines) which were registered on the Federal Register of Legislative Instruments on 13</w:t>
      </w:r>
      <w:r w:rsidR="00260DF4">
        <w:rPr>
          <w:rFonts w:ascii="Times New Roman" w:hAnsi="Times New Roman"/>
          <w:bCs/>
          <w:sz w:val="24"/>
          <w:szCs w:val="24"/>
        </w:rPr>
        <w:t> </w:t>
      </w:r>
      <w:r w:rsidRPr="009F1E40">
        <w:rPr>
          <w:rFonts w:ascii="Times New Roman" w:hAnsi="Times New Roman"/>
          <w:bCs/>
          <w:sz w:val="24"/>
          <w:szCs w:val="24"/>
        </w:rPr>
        <w:t>February 2012 (see F2012L00281).</w:t>
      </w:r>
    </w:p>
    <w:p w14:paraId="54B0FA35" w14:textId="77777777" w:rsidR="004C61F3" w:rsidRPr="009F1E40" w:rsidRDefault="004C61F3" w:rsidP="00E1232F">
      <w:pPr>
        <w:rPr>
          <w:rFonts w:ascii="Times New Roman" w:hAnsi="Times New Roman"/>
          <w:iCs/>
          <w:color w:val="000000"/>
          <w:sz w:val="24"/>
          <w:szCs w:val="24"/>
        </w:rPr>
      </w:pPr>
    </w:p>
    <w:p w14:paraId="54B0FA36" w14:textId="571AFD17" w:rsidR="009C0C15" w:rsidRPr="009F1E40" w:rsidRDefault="00B104A1" w:rsidP="00E1232F">
      <w:pPr>
        <w:rPr>
          <w:rFonts w:ascii="Times New Roman" w:hAnsi="Times New Roman"/>
          <w:iCs/>
          <w:color w:val="000000"/>
          <w:sz w:val="24"/>
          <w:szCs w:val="24"/>
        </w:rPr>
      </w:pPr>
      <w:r w:rsidRPr="009F1E40">
        <w:rPr>
          <w:rFonts w:ascii="Times New Roman" w:hAnsi="Times New Roman"/>
          <w:iCs/>
          <w:color w:val="000000"/>
          <w:sz w:val="24"/>
          <w:szCs w:val="24"/>
        </w:rPr>
        <w:t xml:space="preserve">The </w:t>
      </w:r>
      <w:r w:rsidR="004C61F3" w:rsidRPr="009F1E40">
        <w:rPr>
          <w:rFonts w:ascii="Times New Roman" w:hAnsi="Times New Roman"/>
          <w:iCs/>
          <w:color w:val="000000"/>
          <w:sz w:val="24"/>
          <w:szCs w:val="24"/>
        </w:rPr>
        <w:t xml:space="preserve">main </w:t>
      </w:r>
      <w:r w:rsidRPr="009F1E40">
        <w:rPr>
          <w:rFonts w:ascii="Times New Roman" w:hAnsi="Times New Roman"/>
          <w:iCs/>
          <w:color w:val="000000"/>
          <w:sz w:val="24"/>
          <w:szCs w:val="24"/>
        </w:rPr>
        <w:t xml:space="preserve">purpose of this instrument is to </w:t>
      </w:r>
      <w:r w:rsidR="00520797" w:rsidRPr="009F1E40">
        <w:rPr>
          <w:rFonts w:ascii="Times New Roman" w:hAnsi="Times New Roman"/>
          <w:iCs/>
          <w:color w:val="000000"/>
          <w:sz w:val="24"/>
          <w:szCs w:val="24"/>
        </w:rPr>
        <w:t>delete and substitute the Higher Education Disability Support Program</w:t>
      </w:r>
      <w:r w:rsidR="005C5760">
        <w:rPr>
          <w:rFonts w:ascii="Times New Roman" w:hAnsi="Times New Roman"/>
          <w:iCs/>
          <w:color w:val="000000"/>
          <w:sz w:val="24"/>
          <w:szCs w:val="24"/>
        </w:rPr>
        <w:t xml:space="preserve"> (DSP)</w:t>
      </w:r>
      <w:r w:rsidR="00520797" w:rsidRPr="009F1E40">
        <w:rPr>
          <w:rFonts w:ascii="Times New Roman" w:hAnsi="Times New Roman"/>
          <w:iCs/>
          <w:color w:val="000000"/>
          <w:sz w:val="24"/>
          <w:szCs w:val="24"/>
        </w:rPr>
        <w:t xml:space="preserve"> provisions of Chapter 1 of the Guidelines with </w:t>
      </w:r>
      <w:r w:rsidR="005B59BB" w:rsidRPr="009F1E40">
        <w:rPr>
          <w:rFonts w:ascii="Times New Roman" w:hAnsi="Times New Roman"/>
          <w:iCs/>
          <w:color w:val="000000"/>
          <w:sz w:val="24"/>
          <w:szCs w:val="24"/>
        </w:rPr>
        <w:t xml:space="preserve">new </w:t>
      </w:r>
      <w:r w:rsidR="00520797" w:rsidRPr="009F1E40">
        <w:rPr>
          <w:rFonts w:ascii="Times New Roman" w:hAnsi="Times New Roman"/>
          <w:iCs/>
          <w:color w:val="000000"/>
          <w:sz w:val="24"/>
          <w:szCs w:val="24"/>
        </w:rPr>
        <w:t xml:space="preserve">Higher Education </w:t>
      </w:r>
      <w:r w:rsidR="00B343F2">
        <w:rPr>
          <w:rFonts w:ascii="Times New Roman" w:hAnsi="Times New Roman"/>
          <w:iCs/>
          <w:color w:val="000000"/>
          <w:sz w:val="24"/>
          <w:szCs w:val="24"/>
        </w:rPr>
        <w:t xml:space="preserve">DSP </w:t>
      </w:r>
      <w:r w:rsidR="00520797" w:rsidRPr="009F1E40">
        <w:rPr>
          <w:rFonts w:ascii="Times New Roman" w:hAnsi="Times New Roman"/>
          <w:iCs/>
          <w:color w:val="000000"/>
          <w:sz w:val="24"/>
          <w:szCs w:val="24"/>
        </w:rPr>
        <w:t>provisions</w:t>
      </w:r>
      <w:r w:rsidR="00DE5370" w:rsidRPr="009F1E40">
        <w:rPr>
          <w:rFonts w:ascii="Times New Roman" w:hAnsi="Times New Roman"/>
          <w:iCs/>
          <w:color w:val="000000"/>
          <w:sz w:val="24"/>
          <w:szCs w:val="24"/>
        </w:rPr>
        <w:t xml:space="preserve">. </w:t>
      </w:r>
      <w:r w:rsidR="004C61F3" w:rsidRPr="009F1E40">
        <w:rPr>
          <w:rFonts w:ascii="Times New Roman" w:hAnsi="Times New Roman"/>
          <w:iCs/>
          <w:color w:val="000000"/>
          <w:sz w:val="24"/>
          <w:szCs w:val="24"/>
        </w:rPr>
        <w:t xml:space="preserve">These amendments will give effect to the Australian Government’s response to the Higher Education Disability Support Program </w:t>
      </w:r>
      <w:r w:rsidR="00AD79C2" w:rsidRPr="009F1E40">
        <w:rPr>
          <w:rFonts w:ascii="Times New Roman" w:hAnsi="Times New Roman"/>
          <w:iCs/>
          <w:color w:val="000000"/>
          <w:sz w:val="24"/>
          <w:szCs w:val="24"/>
        </w:rPr>
        <w:t xml:space="preserve">2015 </w:t>
      </w:r>
      <w:r w:rsidR="004C61F3" w:rsidRPr="009F1E40">
        <w:rPr>
          <w:rFonts w:ascii="Times New Roman" w:hAnsi="Times New Roman"/>
          <w:iCs/>
          <w:color w:val="000000"/>
          <w:sz w:val="24"/>
          <w:szCs w:val="24"/>
        </w:rPr>
        <w:t xml:space="preserve">evaluation. </w:t>
      </w:r>
    </w:p>
    <w:p w14:paraId="54B0FA37" w14:textId="77777777" w:rsidR="004C61F3" w:rsidRPr="009F1E40" w:rsidRDefault="004C61F3" w:rsidP="00E1232F">
      <w:pPr>
        <w:rPr>
          <w:rFonts w:ascii="Times New Roman" w:hAnsi="Times New Roman"/>
          <w:iCs/>
          <w:color w:val="000000"/>
          <w:sz w:val="24"/>
          <w:szCs w:val="24"/>
        </w:rPr>
      </w:pPr>
    </w:p>
    <w:p w14:paraId="54B0FA38" w14:textId="77777777" w:rsidR="004C61F3" w:rsidRPr="009F1E40" w:rsidRDefault="004C61F3" w:rsidP="00B9501D">
      <w:pPr>
        <w:tabs>
          <w:tab w:val="left" w:pos="851"/>
        </w:tabs>
        <w:rPr>
          <w:rFonts w:ascii="Times New Roman" w:hAnsi="Times New Roman"/>
          <w:color w:val="000000"/>
          <w:sz w:val="24"/>
          <w:szCs w:val="24"/>
        </w:rPr>
      </w:pPr>
      <w:r w:rsidRPr="009F1E40">
        <w:rPr>
          <w:rFonts w:ascii="Times New Roman" w:hAnsi="Times New Roman"/>
          <w:iCs/>
          <w:color w:val="000000"/>
          <w:sz w:val="24"/>
          <w:szCs w:val="24"/>
        </w:rPr>
        <w:t>The amendments also make some technical amendments to the Introduction (Chapter i), including updating definitions.</w:t>
      </w:r>
    </w:p>
    <w:p w14:paraId="54B0FA39" w14:textId="77777777" w:rsidR="004C61F3" w:rsidRPr="009F1E40" w:rsidRDefault="004C61F3" w:rsidP="00474288">
      <w:pPr>
        <w:rPr>
          <w:rFonts w:ascii="Times New Roman" w:hAnsi="Times New Roman"/>
          <w:iCs/>
          <w:color w:val="000000"/>
          <w:sz w:val="24"/>
          <w:szCs w:val="24"/>
        </w:rPr>
      </w:pPr>
    </w:p>
    <w:p w14:paraId="46F3DB15" w14:textId="07771222" w:rsidR="00A0482E" w:rsidRPr="00BE19BA" w:rsidRDefault="00A0482E" w:rsidP="00A0482E">
      <w:pPr>
        <w:rPr>
          <w:rFonts w:ascii="Times New Roman" w:hAnsi="Times New Roman"/>
          <w:b/>
          <w:iCs/>
          <w:color w:val="000000"/>
          <w:sz w:val="24"/>
          <w:szCs w:val="24"/>
        </w:rPr>
      </w:pPr>
      <w:r w:rsidRPr="00BE19BA">
        <w:rPr>
          <w:rFonts w:ascii="Times New Roman" w:hAnsi="Times New Roman"/>
          <w:b/>
          <w:iCs/>
          <w:color w:val="000000"/>
          <w:sz w:val="24"/>
          <w:szCs w:val="24"/>
        </w:rPr>
        <w:t>Commencement</w:t>
      </w:r>
      <w:r w:rsidR="00B343F2">
        <w:rPr>
          <w:rFonts w:ascii="Times New Roman" w:hAnsi="Times New Roman"/>
          <w:b/>
          <w:iCs/>
          <w:color w:val="000000"/>
          <w:sz w:val="24"/>
          <w:szCs w:val="24"/>
        </w:rPr>
        <w:br/>
      </w:r>
    </w:p>
    <w:p w14:paraId="14288062" w14:textId="1F7D7EF4" w:rsidR="00A0482E" w:rsidRDefault="00A0482E" w:rsidP="00A0482E">
      <w:pPr>
        <w:tabs>
          <w:tab w:val="left" w:pos="851"/>
        </w:tabs>
        <w:rPr>
          <w:rFonts w:ascii="Times New Roman" w:hAnsi="Times New Roman"/>
          <w:bCs/>
          <w:sz w:val="24"/>
          <w:szCs w:val="24"/>
        </w:rPr>
      </w:pPr>
      <w:r w:rsidRPr="009F1E40">
        <w:rPr>
          <w:rFonts w:ascii="Times New Roman" w:hAnsi="Times New Roman"/>
          <w:bCs/>
          <w:color w:val="000000"/>
          <w:sz w:val="24"/>
          <w:szCs w:val="24"/>
        </w:rPr>
        <w:t xml:space="preserve">This legislative instrument </w:t>
      </w:r>
      <w:r w:rsidRPr="009F1E40">
        <w:rPr>
          <w:rFonts w:ascii="Times New Roman" w:hAnsi="Times New Roman"/>
          <w:bCs/>
          <w:sz w:val="24"/>
          <w:szCs w:val="24"/>
        </w:rPr>
        <w:t xml:space="preserve">takes effect </w:t>
      </w:r>
      <w:r>
        <w:rPr>
          <w:rFonts w:ascii="Times New Roman" w:hAnsi="Times New Roman"/>
          <w:bCs/>
          <w:sz w:val="24"/>
          <w:szCs w:val="24"/>
        </w:rPr>
        <w:t xml:space="preserve">on 1 January 2020. </w:t>
      </w:r>
    </w:p>
    <w:p w14:paraId="2C7C107D" w14:textId="77777777" w:rsidR="00A0482E" w:rsidRPr="009F1E40" w:rsidRDefault="00A0482E" w:rsidP="00A0482E">
      <w:pPr>
        <w:tabs>
          <w:tab w:val="left" w:pos="851"/>
        </w:tabs>
        <w:rPr>
          <w:rFonts w:ascii="Times New Roman" w:hAnsi="Times New Roman"/>
          <w:bCs/>
          <w:sz w:val="24"/>
          <w:szCs w:val="24"/>
        </w:rPr>
      </w:pPr>
    </w:p>
    <w:p w14:paraId="54B0FA3A" w14:textId="728C024B" w:rsidR="009325F4" w:rsidRPr="00CB1519" w:rsidRDefault="00AD79C2" w:rsidP="00474288">
      <w:pPr>
        <w:rPr>
          <w:rFonts w:ascii="Times New Roman" w:hAnsi="Times New Roman"/>
          <w:b/>
          <w:iCs/>
          <w:color w:val="000000"/>
          <w:sz w:val="24"/>
          <w:szCs w:val="24"/>
        </w:rPr>
      </w:pPr>
      <w:r w:rsidRPr="00CB1519">
        <w:rPr>
          <w:rFonts w:ascii="Times New Roman" w:hAnsi="Times New Roman"/>
          <w:b/>
          <w:iCs/>
          <w:color w:val="000000"/>
          <w:sz w:val="24"/>
          <w:szCs w:val="24"/>
        </w:rPr>
        <w:t>Consultation</w:t>
      </w:r>
      <w:r w:rsidR="00B343F2">
        <w:rPr>
          <w:rFonts w:ascii="Times New Roman" w:hAnsi="Times New Roman"/>
          <w:b/>
          <w:iCs/>
          <w:color w:val="000000"/>
          <w:sz w:val="24"/>
          <w:szCs w:val="24"/>
        </w:rPr>
        <w:br/>
      </w:r>
    </w:p>
    <w:p w14:paraId="54B0FA3B" w14:textId="7789308C" w:rsidR="009325F4" w:rsidRPr="009F1E40" w:rsidRDefault="009325F4" w:rsidP="009325F4">
      <w:pPr>
        <w:rPr>
          <w:rFonts w:ascii="Times New Roman" w:hAnsi="Times New Roman"/>
          <w:bCs/>
          <w:color w:val="000000"/>
          <w:sz w:val="24"/>
          <w:szCs w:val="24"/>
        </w:rPr>
      </w:pPr>
      <w:r w:rsidRPr="009F1E40">
        <w:rPr>
          <w:rFonts w:ascii="Times New Roman" w:hAnsi="Times New Roman"/>
          <w:bCs/>
          <w:color w:val="000000"/>
          <w:sz w:val="24"/>
          <w:szCs w:val="24"/>
        </w:rPr>
        <w:t xml:space="preserve">In June 2014, the </w:t>
      </w:r>
      <w:r w:rsidR="00B343F2">
        <w:rPr>
          <w:rFonts w:ascii="Times New Roman" w:hAnsi="Times New Roman"/>
          <w:bCs/>
          <w:color w:val="000000"/>
          <w:sz w:val="24"/>
          <w:szCs w:val="24"/>
        </w:rPr>
        <w:t>d</w:t>
      </w:r>
      <w:r w:rsidR="00857DE0">
        <w:rPr>
          <w:rFonts w:ascii="Times New Roman" w:hAnsi="Times New Roman"/>
          <w:bCs/>
          <w:color w:val="000000"/>
          <w:sz w:val="24"/>
          <w:szCs w:val="24"/>
        </w:rPr>
        <w:t>epartment</w:t>
      </w:r>
      <w:r w:rsidRPr="009F1E40">
        <w:rPr>
          <w:rFonts w:ascii="Times New Roman" w:hAnsi="Times New Roman"/>
          <w:bCs/>
          <w:color w:val="000000"/>
          <w:sz w:val="24"/>
          <w:szCs w:val="24"/>
        </w:rPr>
        <w:t xml:space="preserve"> engaged KPMG to conduct an evaluation of the DSP. </w:t>
      </w:r>
    </w:p>
    <w:p w14:paraId="54B0FA3C" w14:textId="65187387" w:rsidR="009325F4" w:rsidRPr="009F1E40" w:rsidRDefault="009325F4" w:rsidP="009325F4">
      <w:pPr>
        <w:rPr>
          <w:rFonts w:ascii="Times New Roman" w:hAnsi="Times New Roman"/>
          <w:bCs/>
          <w:color w:val="000000"/>
          <w:sz w:val="24"/>
          <w:szCs w:val="24"/>
        </w:rPr>
      </w:pPr>
      <w:r w:rsidRPr="009F1E40">
        <w:rPr>
          <w:rFonts w:ascii="Times New Roman" w:hAnsi="Times New Roman"/>
          <w:bCs/>
          <w:color w:val="000000"/>
          <w:sz w:val="24"/>
          <w:szCs w:val="24"/>
        </w:rPr>
        <w:t xml:space="preserve">The evaluation identified a number of options for improving the program’s efficiency and appropriateness. The program evaluation report and executive </w:t>
      </w:r>
      <w:r w:rsidR="001030DF">
        <w:rPr>
          <w:rFonts w:ascii="Times New Roman" w:hAnsi="Times New Roman"/>
          <w:bCs/>
          <w:color w:val="000000"/>
          <w:sz w:val="24"/>
          <w:szCs w:val="24"/>
        </w:rPr>
        <w:t>summary</w:t>
      </w:r>
      <w:r w:rsidRPr="009F1E40">
        <w:rPr>
          <w:rFonts w:ascii="Times New Roman" w:hAnsi="Times New Roman"/>
          <w:bCs/>
          <w:color w:val="000000"/>
          <w:sz w:val="24"/>
          <w:szCs w:val="24"/>
        </w:rPr>
        <w:t xml:space="preserve"> w</w:t>
      </w:r>
      <w:r w:rsidR="00857DE0">
        <w:rPr>
          <w:rFonts w:ascii="Times New Roman" w:hAnsi="Times New Roman"/>
          <w:bCs/>
          <w:color w:val="000000"/>
          <w:sz w:val="24"/>
          <w:szCs w:val="24"/>
        </w:rPr>
        <w:t xml:space="preserve">ere published on the </w:t>
      </w:r>
      <w:r w:rsidR="00B343F2">
        <w:rPr>
          <w:rFonts w:ascii="Times New Roman" w:hAnsi="Times New Roman"/>
          <w:bCs/>
          <w:color w:val="000000"/>
          <w:sz w:val="24"/>
          <w:szCs w:val="24"/>
        </w:rPr>
        <w:t>d</w:t>
      </w:r>
      <w:r w:rsidR="00857DE0">
        <w:rPr>
          <w:rFonts w:ascii="Times New Roman" w:hAnsi="Times New Roman"/>
          <w:bCs/>
          <w:color w:val="000000"/>
          <w:sz w:val="24"/>
          <w:szCs w:val="24"/>
        </w:rPr>
        <w:t>epartment’s</w:t>
      </w:r>
      <w:r w:rsidRPr="009F1E40">
        <w:rPr>
          <w:rFonts w:ascii="Times New Roman" w:hAnsi="Times New Roman"/>
          <w:bCs/>
          <w:color w:val="000000"/>
          <w:sz w:val="24"/>
          <w:szCs w:val="24"/>
        </w:rPr>
        <w:t xml:space="preserve"> website in 2015. </w:t>
      </w:r>
    </w:p>
    <w:p w14:paraId="54B0FA3D" w14:textId="77777777" w:rsidR="009325F4" w:rsidRPr="009F1E40" w:rsidRDefault="009325F4" w:rsidP="009325F4">
      <w:pPr>
        <w:rPr>
          <w:rFonts w:ascii="Times New Roman" w:hAnsi="Times New Roman"/>
          <w:bCs/>
          <w:color w:val="000000"/>
          <w:sz w:val="24"/>
          <w:szCs w:val="24"/>
        </w:rPr>
      </w:pPr>
    </w:p>
    <w:p w14:paraId="54B0FA3F" w14:textId="0A272F08" w:rsidR="00AD79C2" w:rsidRPr="009F1E40" w:rsidRDefault="00857DE0" w:rsidP="00474288">
      <w:pPr>
        <w:rPr>
          <w:rFonts w:ascii="Times New Roman" w:hAnsi="Times New Roman"/>
          <w:iCs/>
          <w:color w:val="000000"/>
          <w:sz w:val="24"/>
          <w:szCs w:val="24"/>
        </w:rPr>
      </w:pPr>
      <w:r>
        <w:rPr>
          <w:rFonts w:ascii="Times New Roman" w:hAnsi="Times New Roman"/>
          <w:bCs/>
          <w:color w:val="000000"/>
          <w:sz w:val="24"/>
          <w:szCs w:val="24"/>
        </w:rPr>
        <w:t>In O</w:t>
      </w:r>
      <w:r w:rsidR="009325F4" w:rsidRPr="009F1E40">
        <w:rPr>
          <w:rFonts w:ascii="Times New Roman" w:hAnsi="Times New Roman"/>
          <w:bCs/>
          <w:color w:val="000000"/>
          <w:sz w:val="24"/>
          <w:szCs w:val="24"/>
        </w:rPr>
        <w:t xml:space="preserve">ctober 2016, the </w:t>
      </w:r>
      <w:r w:rsidR="00B343F2">
        <w:rPr>
          <w:rFonts w:ascii="Times New Roman" w:hAnsi="Times New Roman"/>
          <w:bCs/>
          <w:color w:val="000000"/>
          <w:sz w:val="24"/>
          <w:szCs w:val="24"/>
        </w:rPr>
        <w:t>d</w:t>
      </w:r>
      <w:r w:rsidR="009325F4" w:rsidRPr="009F1E40">
        <w:rPr>
          <w:rFonts w:ascii="Times New Roman" w:hAnsi="Times New Roman"/>
          <w:bCs/>
          <w:color w:val="000000"/>
          <w:sz w:val="24"/>
          <w:szCs w:val="24"/>
        </w:rPr>
        <w:t xml:space="preserve">epartment published a consultation paper on its website outlining the Government’s proposed response to the issues raised in the program evaluation report. The </w:t>
      </w:r>
      <w:r w:rsidR="00B343F2">
        <w:rPr>
          <w:rFonts w:ascii="Times New Roman" w:hAnsi="Times New Roman"/>
          <w:bCs/>
          <w:color w:val="000000"/>
          <w:sz w:val="24"/>
          <w:szCs w:val="24"/>
        </w:rPr>
        <w:t>d</w:t>
      </w:r>
      <w:r w:rsidR="009325F4" w:rsidRPr="009F1E40">
        <w:rPr>
          <w:rFonts w:ascii="Times New Roman" w:hAnsi="Times New Roman"/>
          <w:bCs/>
          <w:color w:val="000000"/>
          <w:sz w:val="24"/>
          <w:szCs w:val="24"/>
        </w:rPr>
        <w:t xml:space="preserve">epartment also wrote to universities and stakeholders inviting feedback on the ideas presented in the consultation paper, or any other proposals to improve the DSP and outcomes for students with disability. The department received 24 submissions through this process, and </w:t>
      </w:r>
      <w:r>
        <w:rPr>
          <w:rFonts w:ascii="Times New Roman" w:hAnsi="Times New Roman"/>
          <w:iCs/>
          <w:color w:val="000000"/>
          <w:sz w:val="24"/>
          <w:szCs w:val="24"/>
        </w:rPr>
        <w:t>f</w:t>
      </w:r>
      <w:r w:rsidRPr="009F1E40">
        <w:rPr>
          <w:rFonts w:ascii="Times New Roman" w:hAnsi="Times New Roman"/>
          <w:iCs/>
          <w:color w:val="000000"/>
          <w:sz w:val="24"/>
          <w:szCs w:val="24"/>
        </w:rPr>
        <w:t xml:space="preserve">eedback received </w:t>
      </w:r>
      <w:r>
        <w:rPr>
          <w:rFonts w:ascii="Times New Roman" w:hAnsi="Times New Roman"/>
          <w:iCs/>
          <w:color w:val="000000"/>
          <w:sz w:val="24"/>
          <w:szCs w:val="24"/>
        </w:rPr>
        <w:t xml:space="preserve">was </w:t>
      </w:r>
      <w:r w:rsidRPr="009F1E40">
        <w:rPr>
          <w:rFonts w:ascii="Times New Roman" w:hAnsi="Times New Roman"/>
          <w:iCs/>
          <w:color w:val="000000"/>
          <w:sz w:val="24"/>
          <w:szCs w:val="24"/>
        </w:rPr>
        <w:t>used to inform thes</w:t>
      </w:r>
      <w:r>
        <w:rPr>
          <w:rFonts w:ascii="Times New Roman" w:hAnsi="Times New Roman"/>
          <w:iCs/>
          <w:color w:val="000000"/>
          <w:sz w:val="24"/>
          <w:szCs w:val="24"/>
        </w:rPr>
        <w:t>e amendments to the Guidelines.</w:t>
      </w:r>
    </w:p>
    <w:p w14:paraId="54B0FA42" w14:textId="77777777" w:rsidR="00AD79C2" w:rsidRPr="009F1E40" w:rsidRDefault="00AD79C2" w:rsidP="00474288">
      <w:pPr>
        <w:rPr>
          <w:rFonts w:ascii="Times New Roman" w:hAnsi="Times New Roman"/>
          <w:iCs/>
          <w:color w:val="000000"/>
          <w:sz w:val="24"/>
          <w:szCs w:val="24"/>
        </w:rPr>
      </w:pPr>
    </w:p>
    <w:p w14:paraId="54B0FA43" w14:textId="27DC3986" w:rsidR="00AD79C2" w:rsidRPr="00CB1519" w:rsidRDefault="00AD79C2" w:rsidP="00474288">
      <w:pPr>
        <w:rPr>
          <w:rFonts w:ascii="Times New Roman" w:hAnsi="Times New Roman"/>
          <w:b/>
          <w:iCs/>
          <w:color w:val="000000"/>
          <w:sz w:val="24"/>
          <w:szCs w:val="24"/>
        </w:rPr>
      </w:pPr>
      <w:r w:rsidRPr="00CB1519">
        <w:rPr>
          <w:rFonts w:ascii="Times New Roman" w:hAnsi="Times New Roman"/>
          <w:b/>
          <w:iCs/>
          <w:color w:val="000000"/>
          <w:sz w:val="24"/>
          <w:szCs w:val="24"/>
        </w:rPr>
        <w:lastRenderedPageBreak/>
        <w:t>Transitional arrangements</w:t>
      </w:r>
      <w:r w:rsidR="00B343F2">
        <w:rPr>
          <w:rFonts w:ascii="Times New Roman" w:hAnsi="Times New Roman"/>
          <w:b/>
          <w:iCs/>
          <w:color w:val="000000"/>
          <w:sz w:val="24"/>
          <w:szCs w:val="24"/>
        </w:rPr>
        <w:br/>
      </w:r>
    </w:p>
    <w:p w14:paraId="54B0FA44" w14:textId="77777777" w:rsidR="00784904" w:rsidRPr="009F1E40" w:rsidRDefault="00B9501D" w:rsidP="00861338">
      <w:pPr>
        <w:rPr>
          <w:rFonts w:ascii="Times New Roman" w:hAnsi="Times New Roman"/>
          <w:bCs/>
          <w:color w:val="000000"/>
          <w:sz w:val="24"/>
          <w:szCs w:val="24"/>
        </w:rPr>
      </w:pPr>
      <w:bookmarkStart w:id="0" w:name="OLE_LINK4"/>
      <w:r w:rsidRPr="009F1E40">
        <w:rPr>
          <w:rFonts w:ascii="Times New Roman" w:hAnsi="Times New Roman"/>
          <w:bCs/>
          <w:color w:val="000000"/>
          <w:sz w:val="24"/>
          <w:szCs w:val="24"/>
        </w:rPr>
        <w:t xml:space="preserve">A decision or payment made under the Guidelines as in effect immediately before this instrument commences will continue to have effect as if the amendments had not occurred. </w:t>
      </w:r>
    </w:p>
    <w:p w14:paraId="54B0FA45" w14:textId="77777777" w:rsidR="00B9501D" w:rsidRPr="009F1E40" w:rsidRDefault="00B9501D" w:rsidP="00861338">
      <w:pPr>
        <w:rPr>
          <w:rFonts w:ascii="Times New Roman" w:hAnsi="Times New Roman"/>
          <w:i/>
          <w:color w:val="000000"/>
          <w:sz w:val="24"/>
          <w:szCs w:val="24"/>
        </w:rPr>
      </w:pPr>
    </w:p>
    <w:p w14:paraId="54B0FA46" w14:textId="0A28E6E7" w:rsidR="007C5778" w:rsidRDefault="00A0482E" w:rsidP="00861338">
      <w:pPr>
        <w:rPr>
          <w:rFonts w:ascii="Times New Roman" w:hAnsi="Times New Roman"/>
          <w:b/>
          <w:color w:val="000000"/>
          <w:sz w:val="24"/>
          <w:szCs w:val="24"/>
        </w:rPr>
      </w:pPr>
      <w:r>
        <w:rPr>
          <w:rFonts w:ascii="Times New Roman" w:hAnsi="Times New Roman"/>
          <w:b/>
          <w:color w:val="000000"/>
          <w:sz w:val="24"/>
          <w:szCs w:val="24"/>
        </w:rPr>
        <w:t>Regulatory impact statement</w:t>
      </w:r>
    </w:p>
    <w:p w14:paraId="5E2EED54" w14:textId="6EE71768" w:rsidR="00A0482E" w:rsidRDefault="00A0482E" w:rsidP="00861338">
      <w:pPr>
        <w:rPr>
          <w:rFonts w:ascii="Times New Roman" w:hAnsi="Times New Roman"/>
          <w:b/>
          <w:color w:val="000000"/>
          <w:sz w:val="24"/>
          <w:szCs w:val="24"/>
        </w:rPr>
      </w:pPr>
    </w:p>
    <w:p w14:paraId="3279F688" w14:textId="710118E7" w:rsidR="00A0482E" w:rsidRPr="00CB1519" w:rsidRDefault="00A0482E" w:rsidP="00861338">
      <w:pPr>
        <w:rPr>
          <w:rFonts w:ascii="Times New Roman" w:hAnsi="Times New Roman"/>
          <w:color w:val="000000"/>
          <w:sz w:val="24"/>
          <w:szCs w:val="24"/>
        </w:rPr>
      </w:pPr>
      <w:r w:rsidRPr="00CB1519">
        <w:rPr>
          <w:rFonts w:ascii="Times New Roman" w:hAnsi="Times New Roman"/>
          <w:color w:val="000000"/>
          <w:sz w:val="24"/>
          <w:szCs w:val="24"/>
        </w:rPr>
        <w:t xml:space="preserve">The Office of Best Practice Regulation </w:t>
      </w:r>
      <w:r w:rsidRPr="00A0482E">
        <w:rPr>
          <w:rFonts w:ascii="Times New Roman" w:hAnsi="Times New Roman"/>
          <w:sz w:val="24"/>
          <w:szCs w:val="24"/>
        </w:rPr>
        <w:t>was consulted in the preparation of the Amendment Instrument. The Office concluded that a Regulation Impact statement was not required</w:t>
      </w:r>
      <w:r>
        <w:rPr>
          <w:rFonts w:ascii="Times New Roman" w:hAnsi="Times New Roman"/>
          <w:sz w:val="24"/>
          <w:szCs w:val="24"/>
        </w:rPr>
        <w:t xml:space="preserve"> (OBPR ID: 20990).</w:t>
      </w:r>
    </w:p>
    <w:p w14:paraId="54B0FA47" w14:textId="77777777" w:rsidR="007C5778" w:rsidRDefault="007C5778" w:rsidP="00861338">
      <w:pPr>
        <w:rPr>
          <w:rFonts w:ascii="Times New Roman" w:hAnsi="Times New Roman"/>
          <w:b/>
          <w:color w:val="000000"/>
          <w:sz w:val="24"/>
          <w:szCs w:val="24"/>
        </w:rPr>
      </w:pPr>
    </w:p>
    <w:p w14:paraId="54B0FA48" w14:textId="77777777" w:rsidR="007C5778" w:rsidRDefault="007C5778" w:rsidP="00861338">
      <w:pPr>
        <w:rPr>
          <w:rFonts w:ascii="Times New Roman" w:hAnsi="Times New Roman"/>
          <w:b/>
          <w:color w:val="000000"/>
          <w:sz w:val="24"/>
          <w:szCs w:val="24"/>
        </w:rPr>
      </w:pPr>
    </w:p>
    <w:p w14:paraId="54B0FA49" w14:textId="77777777" w:rsidR="007C5778" w:rsidRDefault="007C5778" w:rsidP="00861338">
      <w:pPr>
        <w:rPr>
          <w:rFonts w:ascii="Times New Roman" w:hAnsi="Times New Roman"/>
          <w:b/>
          <w:color w:val="000000"/>
          <w:sz w:val="24"/>
          <w:szCs w:val="24"/>
        </w:rPr>
      </w:pPr>
    </w:p>
    <w:p w14:paraId="54B0FA4A" w14:textId="77777777" w:rsidR="007C5778" w:rsidRDefault="007C5778" w:rsidP="00861338">
      <w:pPr>
        <w:rPr>
          <w:rFonts w:ascii="Times New Roman" w:hAnsi="Times New Roman"/>
          <w:b/>
          <w:color w:val="000000"/>
          <w:sz w:val="24"/>
          <w:szCs w:val="24"/>
        </w:rPr>
      </w:pPr>
    </w:p>
    <w:p w14:paraId="54B0FA4B" w14:textId="77777777" w:rsidR="007C5778" w:rsidRDefault="007C5778" w:rsidP="00861338">
      <w:pPr>
        <w:rPr>
          <w:rFonts w:ascii="Times New Roman" w:hAnsi="Times New Roman"/>
          <w:b/>
          <w:color w:val="000000"/>
          <w:sz w:val="24"/>
          <w:szCs w:val="24"/>
        </w:rPr>
      </w:pPr>
    </w:p>
    <w:p w14:paraId="54B0FA4C" w14:textId="77777777" w:rsidR="007C5778" w:rsidRDefault="007C5778" w:rsidP="00861338">
      <w:pPr>
        <w:rPr>
          <w:rFonts w:ascii="Times New Roman" w:hAnsi="Times New Roman"/>
          <w:b/>
          <w:color w:val="000000"/>
          <w:sz w:val="24"/>
          <w:szCs w:val="24"/>
        </w:rPr>
      </w:pPr>
    </w:p>
    <w:p w14:paraId="54B0FA4D" w14:textId="77777777" w:rsidR="007C5778" w:rsidRDefault="007C5778" w:rsidP="00861338">
      <w:pPr>
        <w:rPr>
          <w:rFonts w:ascii="Times New Roman" w:hAnsi="Times New Roman"/>
          <w:b/>
          <w:color w:val="000000"/>
          <w:sz w:val="24"/>
          <w:szCs w:val="24"/>
        </w:rPr>
      </w:pPr>
    </w:p>
    <w:p w14:paraId="54B0FA4E" w14:textId="77777777" w:rsidR="007C5778" w:rsidRDefault="007C5778" w:rsidP="00861338">
      <w:pPr>
        <w:rPr>
          <w:rFonts w:ascii="Times New Roman" w:hAnsi="Times New Roman"/>
          <w:b/>
          <w:color w:val="000000"/>
          <w:sz w:val="24"/>
          <w:szCs w:val="24"/>
        </w:rPr>
      </w:pPr>
    </w:p>
    <w:p w14:paraId="54B0FA4F" w14:textId="77777777" w:rsidR="007C5778" w:rsidRDefault="007C5778" w:rsidP="00861338">
      <w:pPr>
        <w:rPr>
          <w:rFonts w:ascii="Times New Roman" w:hAnsi="Times New Roman"/>
          <w:b/>
          <w:color w:val="000000"/>
          <w:sz w:val="24"/>
          <w:szCs w:val="24"/>
        </w:rPr>
      </w:pPr>
    </w:p>
    <w:p w14:paraId="54B0FA50" w14:textId="77777777" w:rsidR="007C5778" w:rsidRDefault="007C5778" w:rsidP="00861338">
      <w:pPr>
        <w:rPr>
          <w:rFonts w:ascii="Times New Roman" w:hAnsi="Times New Roman"/>
          <w:b/>
          <w:color w:val="000000"/>
          <w:sz w:val="24"/>
          <w:szCs w:val="24"/>
        </w:rPr>
      </w:pPr>
    </w:p>
    <w:p w14:paraId="54B0FA51" w14:textId="77777777" w:rsidR="007C5778" w:rsidRDefault="007C5778" w:rsidP="00861338">
      <w:pPr>
        <w:rPr>
          <w:rFonts w:ascii="Times New Roman" w:hAnsi="Times New Roman"/>
          <w:b/>
          <w:color w:val="000000"/>
          <w:sz w:val="24"/>
          <w:szCs w:val="24"/>
        </w:rPr>
      </w:pPr>
    </w:p>
    <w:p w14:paraId="54B0FA52" w14:textId="77777777" w:rsidR="007C5778" w:rsidRDefault="007C5778" w:rsidP="00861338">
      <w:pPr>
        <w:rPr>
          <w:rFonts w:ascii="Times New Roman" w:hAnsi="Times New Roman"/>
          <w:b/>
          <w:color w:val="000000"/>
          <w:sz w:val="24"/>
          <w:szCs w:val="24"/>
        </w:rPr>
      </w:pPr>
    </w:p>
    <w:p w14:paraId="54B0FA53" w14:textId="77777777" w:rsidR="007C5778" w:rsidRDefault="007C5778" w:rsidP="00861338">
      <w:pPr>
        <w:rPr>
          <w:rFonts w:ascii="Times New Roman" w:hAnsi="Times New Roman"/>
          <w:b/>
          <w:color w:val="000000"/>
          <w:sz w:val="24"/>
          <w:szCs w:val="24"/>
        </w:rPr>
      </w:pPr>
    </w:p>
    <w:p w14:paraId="54B0FA54" w14:textId="77777777" w:rsidR="007C5778" w:rsidRDefault="007C5778" w:rsidP="00861338">
      <w:pPr>
        <w:rPr>
          <w:rFonts w:ascii="Times New Roman" w:hAnsi="Times New Roman"/>
          <w:b/>
          <w:color w:val="000000"/>
          <w:sz w:val="24"/>
          <w:szCs w:val="24"/>
        </w:rPr>
      </w:pPr>
    </w:p>
    <w:p w14:paraId="54B0FA55" w14:textId="77777777" w:rsidR="007C5778" w:rsidRDefault="007C5778" w:rsidP="00861338">
      <w:pPr>
        <w:rPr>
          <w:rFonts w:ascii="Times New Roman" w:hAnsi="Times New Roman"/>
          <w:b/>
          <w:color w:val="000000"/>
          <w:sz w:val="24"/>
          <w:szCs w:val="24"/>
        </w:rPr>
      </w:pPr>
    </w:p>
    <w:p w14:paraId="54B0FA56" w14:textId="77777777" w:rsidR="007C5778" w:rsidRDefault="007C5778" w:rsidP="00861338">
      <w:pPr>
        <w:rPr>
          <w:rFonts w:ascii="Times New Roman" w:hAnsi="Times New Roman"/>
          <w:b/>
          <w:color w:val="000000"/>
          <w:sz w:val="24"/>
          <w:szCs w:val="24"/>
        </w:rPr>
      </w:pPr>
    </w:p>
    <w:p w14:paraId="54B0FA57" w14:textId="77777777" w:rsidR="007C5778" w:rsidRDefault="007C5778" w:rsidP="00861338">
      <w:pPr>
        <w:rPr>
          <w:rFonts w:ascii="Times New Roman" w:hAnsi="Times New Roman"/>
          <w:b/>
          <w:color w:val="000000"/>
          <w:sz w:val="24"/>
          <w:szCs w:val="24"/>
        </w:rPr>
      </w:pPr>
    </w:p>
    <w:p w14:paraId="54B0FA58" w14:textId="77777777" w:rsidR="007C5778" w:rsidRDefault="007C5778" w:rsidP="00861338">
      <w:pPr>
        <w:rPr>
          <w:rFonts w:ascii="Times New Roman" w:hAnsi="Times New Roman"/>
          <w:b/>
          <w:color w:val="000000"/>
          <w:sz w:val="24"/>
          <w:szCs w:val="24"/>
        </w:rPr>
      </w:pPr>
    </w:p>
    <w:p w14:paraId="54B0FA59" w14:textId="77777777" w:rsidR="007C5778" w:rsidRDefault="007C5778" w:rsidP="00861338">
      <w:pPr>
        <w:rPr>
          <w:rFonts w:ascii="Times New Roman" w:hAnsi="Times New Roman"/>
          <w:b/>
          <w:color w:val="000000"/>
          <w:sz w:val="24"/>
          <w:szCs w:val="24"/>
        </w:rPr>
      </w:pPr>
    </w:p>
    <w:p w14:paraId="54B0FA5A" w14:textId="77777777" w:rsidR="007C5778" w:rsidRDefault="007C5778" w:rsidP="00861338">
      <w:pPr>
        <w:rPr>
          <w:rFonts w:ascii="Times New Roman" w:hAnsi="Times New Roman"/>
          <w:b/>
          <w:color w:val="000000"/>
          <w:sz w:val="24"/>
          <w:szCs w:val="24"/>
        </w:rPr>
      </w:pPr>
    </w:p>
    <w:p w14:paraId="54B0FA5B" w14:textId="77777777" w:rsidR="007C5778" w:rsidRDefault="007C5778" w:rsidP="00861338">
      <w:pPr>
        <w:rPr>
          <w:rFonts w:ascii="Times New Roman" w:hAnsi="Times New Roman"/>
          <w:b/>
          <w:color w:val="000000"/>
          <w:sz w:val="24"/>
          <w:szCs w:val="24"/>
        </w:rPr>
      </w:pPr>
    </w:p>
    <w:p w14:paraId="54B0FA5C" w14:textId="77777777" w:rsidR="007C5778" w:rsidRDefault="007C5778" w:rsidP="00861338">
      <w:pPr>
        <w:rPr>
          <w:rFonts w:ascii="Times New Roman" w:hAnsi="Times New Roman"/>
          <w:b/>
          <w:color w:val="000000"/>
          <w:sz w:val="24"/>
          <w:szCs w:val="24"/>
        </w:rPr>
      </w:pPr>
    </w:p>
    <w:p w14:paraId="54B0FA5D" w14:textId="77777777" w:rsidR="007C5778" w:rsidRDefault="007C5778" w:rsidP="00861338">
      <w:pPr>
        <w:rPr>
          <w:rFonts w:ascii="Times New Roman" w:hAnsi="Times New Roman"/>
          <w:b/>
          <w:color w:val="000000"/>
          <w:sz w:val="24"/>
          <w:szCs w:val="24"/>
        </w:rPr>
      </w:pPr>
    </w:p>
    <w:p w14:paraId="54B0FA5E" w14:textId="77777777" w:rsidR="007C5778" w:rsidRDefault="007C5778" w:rsidP="00861338">
      <w:pPr>
        <w:rPr>
          <w:rFonts w:ascii="Times New Roman" w:hAnsi="Times New Roman"/>
          <w:b/>
          <w:color w:val="000000"/>
          <w:sz w:val="24"/>
          <w:szCs w:val="24"/>
        </w:rPr>
      </w:pPr>
    </w:p>
    <w:p w14:paraId="54B0FA5F" w14:textId="77777777" w:rsidR="007C5778" w:rsidRDefault="007C5778" w:rsidP="00861338">
      <w:pPr>
        <w:rPr>
          <w:rFonts w:ascii="Times New Roman" w:hAnsi="Times New Roman"/>
          <w:b/>
          <w:color w:val="000000"/>
          <w:sz w:val="24"/>
          <w:szCs w:val="24"/>
        </w:rPr>
      </w:pPr>
    </w:p>
    <w:p w14:paraId="54B0FA60" w14:textId="77777777" w:rsidR="007C5778" w:rsidRDefault="007C5778" w:rsidP="00861338">
      <w:pPr>
        <w:rPr>
          <w:rFonts w:ascii="Times New Roman" w:hAnsi="Times New Roman"/>
          <w:b/>
          <w:color w:val="000000"/>
          <w:sz w:val="24"/>
          <w:szCs w:val="24"/>
        </w:rPr>
      </w:pPr>
    </w:p>
    <w:p w14:paraId="54B0FA61" w14:textId="77777777" w:rsidR="007C5778" w:rsidRDefault="007C5778" w:rsidP="00861338">
      <w:pPr>
        <w:rPr>
          <w:rFonts w:ascii="Times New Roman" w:hAnsi="Times New Roman"/>
          <w:b/>
          <w:color w:val="000000"/>
          <w:sz w:val="24"/>
          <w:szCs w:val="24"/>
        </w:rPr>
      </w:pPr>
    </w:p>
    <w:p w14:paraId="54B0FA62" w14:textId="77777777" w:rsidR="007C5778" w:rsidRDefault="007C5778" w:rsidP="00861338">
      <w:pPr>
        <w:rPr>
          <w:rFonts w:ascii="Times New Roman" w:hAnsi="Times New Roman"/>
          <w:b/>
          <w:color w:val="000000"/>
          <w:sz w:val="24"/>
          <w:szCs w:val="24"/>
        </w:rPr>
      </w:pPr>
    </w:p>
    <w:p w14:paraId="54B0FA63" w14:textId="77777777" w:rsidR="007C5778" w:rsidRDefault="007C5778" w:rsidP="00861338">
      <w:pPr>
        <w:rPr>
          <w:rFonts w:ascii="Times New Roman" w:hAnsi="Times New Roman"/>
          <w:b/>
          <w:color w:val="000000"/>
          <w:sz w:val="24"/>
          <w:szCs w:val="24"/>
        </w:rPr>
      </w:pPr>
    </w:p>
    <w:p w14:paraId="54B0FA64" w14:textId="77777777" w:rsidR="007C5778" w:rsidRDefault="007C5778" w:rsidP="00861338">
      <w:pPr>
        <w:rPr>
          <w:rFonts w:ascii="Times New Roman" w:hAnsi="Times New Roman"/>
          <w:b/>
          <w:color w:val="000000"/>
          <w:sz w:val="24"/>
          <w:szCs w:val="24"/>
        </w:rPr>
      </w:pPr>
    </w:p>
    <w:p w14:paraId="54B0FA65" w14:textId="77777777" w:rsidR="007C5778" w:rsidRDefault="007C5778" w:rsidP="00861338">
      <w:pPr>
        <w:rPr>
          <w:rFonts w:ascii="Times New Roman" w:hAnsi="Times New Roman"/>
          <w:b/>
          <w:color w:val="000000"/>
          <w:sz w:val="24"/>
          <w:szCs w:val="24"/>
        </w:rPr>
      </w:pPr>
    </w:p>
    <w:p w14:paraId="54B0FA66" w14:textId="77777777" w:rsidR="007C5778" w:rsidRDefault="007C5778" w:rsidP="00861338">
      <w:pPr>
        <w:rPr>
          <w:rFonts w:ascii="Times New Roman" w:hAnsi="Times New Roman"/>
          <w:b/>
          <w:color w:val="000000"/>
          <w:sz w:val="24"/>
          <w:szCs w:val="24"/>
        </w:rPr>
      </w:pPr>
    </w:p>
    <w:p w14:paraId="54B0FA67" w14:textId="77777777" w:rsidR="007C5778" w:rsidRDefault="007C5778" w:rsidP="00861338">
      <w:pPr>
        <w:rPr>
          <w:rFonts w:ascii="Times New Roman" w:hAnsi="Times New Roman"/>
          <w:b/>
          <w:color w:val="000000"/>
          <w:sz w:val="24"/>
          <w:szCs w:val="24"/>
        </w:rPr>
      </w:pPr>
    </w:p>
    <w:p w14:paraId="54B0FA68" w14:textId="77777777" w:rsidR="007C5778" w:rsidRDefault="007C5778" w:rsidP="00861338">
      <w:pPr>
        <w:rPr>
          <w:rFonts w:ascii="Times New Roman" w:hAnsi="Times New Roman"/>
          <w:b/>
          <w:color w:val="000000"/>
          <w:sz w:val="24"/>
          <w:szCs w:val="24"/>
        </w:rPr>
      </w:pPr>
    </w:p>
    <w:p w14:paraId="54B0FA69" w14:textId="77777777" w:rsidR="007C5778" w:rsidRDefault="007C5778" w:rsidP="00861338">
      <w:pPr>
        <w:rPr>
          <w:rFonts w:ascii="Times New Roman" w:hAnsi="Times New Roman"/>
          <w:b/>
          <w:color w:val="000000"/>
          <w:sz w:val="24"/>
          <w:szCs w:val="24"/>
        </w:rPr>
      </w:pPr>
    </w:p>
    <w:p w14:paraId="3210F4D1" w14:textId="77777777" w:rsidR="00B343F2" w:rsidRDefault="00B343F2" w:rsidP="00861338">
      <w:pPr>
        <w:rPr>
          <w:rFonts w:ascii="Times New Roman" w:hAnsi="Times New Roman"/>
          <w:b/>
          <w:color w:val="000000"/>
          <w:sz w:val="24"/>
          <w:szCs w:val="24"/>
        </w:rPr>
      </w:pPr>
    </w:p>
    <w:p w14:paraId="4D738D66" w14:textId="77777777" w:rsidR="00B343F2" w:rsidRDefault="00B343F2" w:rsidP="00861338">
      <w:pPr>
        <w:rPr>
          <w:rFonts w:ascii="Times New Roman" w:hAnsi="Times New Roman"/>
          <w:b/>
          <w:color w:val="000000"/>
          <w:sz w:val="24"/>
          <w:szCs w:val="24"/>
        </w:rPr>
      </w:pPr>
    </w:p>
    <w:p w14:paraId="41F35E44" w14:textId="77777777" w:rsidR="00B343F2" w:rsidRDefault="00B343F2" w:rsidP="00861338">
      <w:pPr>
        <w:rPr>
          <w:rFonts w:ascii="Times New Roman" w:hAnsi="Times New Roman"/>
          <w:b/>
          <w:color w:val="000000"/>
          <w:sz w:val="24"/>
          <w:szCs w:val="24"/>
        </w:rPr>
      </w:pPr>
    </w:p>
    <w:p w14:paraId="2333C072" w14:textId="77777777" w:rsidR="00710EC1" w:rsidRDefault="00710EC1" w:rsidP="00861338">
      <w:pPr>
        <w:rPr>
          <w:rFonts w:ascii="Times New Roman" w:hAnsi="Times New Roman"/>
          <w:b/>
          <w:color w:val="000000"/>
          <w:sz w:val="24"/>
          <w:szCs w:val="24"/>
        </w:rPr>
      </w:pPr>
    </w:p>
    <w:p w14:paraId="54B0FA72" w14:textId="11614F29" w:rsidR="00E2457E" w:rsidRPr="009F1E40" w:rsidRDefault="00A0482E" w:rsidP="00861338">
      <w:pPr>
        <w:rPr>
          <w:rFonts w:ascii="Times New Roman" w:hAnsi="Times New Roman"/>
          <w:b/>
          <w:color w:val="000000"/>
          <w:sz w:val="24"/>
          <w:szCs w:val="24"/>
        </w:rPr>
      </w:pPr>
      <w:r>
        <w:rPr>
          <w:rFonts w:ascii="Times New Roman" w:hAnsi="Times New Roman"/>
          <w:b/>
          <w:color w:val="000000"/>
          <w:sz w:val="24"/>
          <w:szCs w:val="24"/>
        </w:rPr>
        <w:lastRenderedPageBreak/>
        <w:t>Explanation of provisions</w:t>
      </w:r>
      <w:r w:rsidR="00B343F2">
        <w:rPr>
          <w:rFonts w:ascii="Times New Roman" w:hAnsi="Times New Roman"/>
          <w:b/>
          <w:color w:val="000000"/>
          <w:sz w:val="24"/>
          <w:szCs w:val="24"/>
        </w:rPr>
        <w:br/>
      </w:r>
    </w:p>
    <w:p w14:paraId="54B0FA73" w14:textId="77777777" w:rsidR="00861338" w:rsidRPr="009F1E40" w:rsidRDefault="00E2457E" w:rsidP="00861338">
      <w:pPr>
        <w:rPr>
          <w:rFonts w:ascii="Times New Roman" w:hAnsi="Times New Roman"/>
          <w:b/>
          <w:color w:val="000000"/>
          <w:sz w:val="24"/>
          <w:szCs w:val="24"/>
        </w:rPr>
      </w:pPr>
      <w:r w:rsidRPr="009F1E40">
        <w:rPr>
          <w:rFonts w:ascii="Times New Roman" w:hAnsi="Times New Roman"/>
          <w:b/>
          <w:color w:val="000000"/>
          <w:sz w:val="24"/>
          <w:szCs w:val="24"/>
        </w:rPr>
        <w:t xml:space="preserve">Item 1 – Chapter 1 Paragraphs 1.90 to 1.150.15 - </w:t>
      </w:r>
      <w:r w:rsidR="00861338" w:rsidRPr="009F1E40">
        <w:rPr>
          <w:rFonts w:ascii="Times New Roman" w:hAnsi="Times New Roman"/>
          <w:b/>
          <w:color w:val="000000"/>
          <w:sz w:val="24"/>
          <w:szCs w:val="24"/>
        </w:rPr>
        <w:t xml:space="preserve">Higher Education </w:t>
      </w:r>
      <w:r w:rsidR="00520797" w:rsidRPr="009F1E40">
        <w:rPr>
          <w:rFonts w:ascii="Times New Roman" w:hAnsi="Times New Roman"/>
          <w:b/>
          <w:color w:val="000000"/>
          <w:sz w:val="24"/>
          <w:szCs w:val="24"/>
        </w:rPr>
        <w:t>Disability Support Program (DSP)</w:t>
      </w:r>
    </w:p>
    <w:p w14:paraId="54B0FA74" w14:textId="77777777" w:rsidR="00E2457E" w:rsidRPr="009F1E40" w:rsidRDefault="00E2457E" w:rsidP="00861338">
      <w:pPr>
        <w:rPr>
          <w:rFonts w:ascii="Times New Roman" w:hAnsi="Times New Roman"/>
          <w:b/>
          <w:color w:val="000000"/>
          <w:sz w:val="24"/>
          <w:szCs w:val="24"/>
        </w:rPr>
      </w:pPr>
    </w:p>
    <w:p w14:paraId="54B0FA75" w14:textId="5D269915" w:rsidR="00E2457E" w:rsidRPr="009F1E40" w:rsidRDefault="00E2457E" w:rsidP="00861338">
      <w:pPr>
        <w:rPr>
          <w:rFonts w:ascii="Times New Roman" w:hAnsi="Times New Roman"/>
          <w:i/>
          <w:color w:val="000000"/>
          <w:sz w:val="24"/>
          <w:szCs w:val="24"/>
        </w:rPr>
      </w:pPr>
      <w:r w:rsidRPr="009F1E40">
        <w:rPr>
          <w:rFonts w:ascii="Times New Roman" w:hAnsi="Times New Roman"/>
          <w:color w:val="000000"/>
          <w:sz w:val="24"/>
          <w:szCs w:val="24"/>
        </w:rPr>
        <w:t>This item repeals paragraphs 1.90 to 1.110.10.10 of Chapter 1 relat</w:t>
      </w:r>
      <w:r w:rsidR="009928C3" w:rsidRPr="009F1E40">
        <w:rPr>
          <w:rFonts w:ascii="Times New Roman" w:hAnsi="Times New Roman"/>
          <w:color w:val="000000"/>
          <w:sz w:val="24"/>
          <w:szCs w:val="24"/>
        </w:rPr>
        <w:t xml:space="preserve">ing to the </w:t>
      </w:r>
      <w:r w:rsidR="00A662EC" w:rsidRPr="009F1E40">
        <w:rPr>
          <w:rFonts w:ascii="Times New Roman" w:hAnsi="Times New Roman"/>
          <w:color w:val="000000"/>
          <w:sz w:val="24"/>
          <w:szCs w:val="24"/>
        </w:rPr>
        <w:t>DSP a</w:t>
      </w:r>
      <w:r w:rsidR="009928C3" w:rsidRPr="009F1E40">
        <w:rPr>
          <w:rFonts w:ascii="Times New Roman" w:hAnsi="Times New Roman"/>
          <w:color w:val="000000"/>
          <w:sz w:val="24"/>
          <w:szCs w:val="24"/>
        </w:rPr>
        <w:t xml:space="preserve">nd substitutes new paragraphs 1.90 to 1.150.15. The substituted provisions give effect to the Government’s response to the </w:t>
      </w:r>
      <w:r w:rsidR="00A662EC" w:rsidRPr="009F1E40">
        <w:rPr>
          <w:rFonts w:ascii="Times New Roman" w:hAnsi="Times New Roman"/>
          <w:color w:val="000000"/>
          <w:sz w:val="24"/>
          <w:szCs w:val="24"/>
        </w:rPr>
        <w:t>2</w:t>
      </w:r>
      <w:r w:rsidR="009928C3" w:rsidRPr="009F1E40">
        <w:rPr>
          <w:rFonts w:ascii="Times New Roman" w:hAnsi="Times New Roman"/>
          <w:color w:val="000000"/>
          <w:sz w:val="24"/>
          <w:szCs w:val="24"/>
        </w:rPr>
        <w:t>015</w:t>
      </w:r>
      <w:r w:rsidR="00A662EC" w:rsidRPr="009F1E40">
        <w:rPr>
          <w:rFonts w:ascii="Times New Roman" w:hAnsi="Times New Roman"/>
          <w:color w:val="000000"/>
          <w:sz w:val="24"/>
          <w:szCs w:val="24"/>
        </w:rPr>
        <w:t xml:space="preserve"> DSP</w:t>
      </w:r>
      <w:r w:rsidR="009928C3" w:rsidRPr="009F1E40">
        <w:rPr>
          <w:rFonts w:ascii="Times New Roman" w:hAnsi="Times New Roman"/>
          <w:color w:val="000000"/>
          <w:sz w:val="24"/>
          <w:szCs w:val="24"/>
        </w:rPr>
        <w:t xml:space="preserve"> evaluation.</w:t>
      </w:r>
    </w:p>
    <w:p w14:paraId="54B0FA76" w14:textId="77777777" w:rsidR="00D63DA8" w:rsidRPr="009F1E40" w:rsidRDefault="00D63DA8" w:rsidP="00861338">
      <w:pPr>
        <w:rPr>
          <w:rFonts w:ascii="Times New Roman" w:hAnsi="Times New Roman"/>
          <w:i/>
          <w:color w:val="000000"/>
          <w:sz w:val="24"/>
          <w:szCs w:val="24"/>
        </w:rPr>
      </w:pPr>
    </w:p>
    <w:p w14:paraId="54B0FA77" w14:textId="5D2EF979" w:rsidR="00E33D79" w:rsidRPr="009F1E40" w:rsidRDefault="00D27D8D" w:rsidP="004E6233">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w:t>
      </w:r>
      <w:r w:rsidR="009D14C7" w:rsidRPr="009F1E40">
        <w:rPr>
          <w:rFonts w:ascii="Times New Roman" w:hAnsi="Times New Roman"/>
          <w:bCs/>
          <w:color w:val="000000"/>
          <w:sz w:val="24"/>
          <w:szCs w:val="24"/>
        </w:rPr>
        <w:t>90.1</w:t>
      </w:r>
      <w:r w:rsidR="002E259C">
        <w:rPr>
          <w:rFonts w:ascii="Times New Roman" w:hAnsi="Times New Roman"/>
          <w:bCs/>
          <w:color w:val="000000"/>
          <w:sz w:val="24"/>
          <w:szCs w:val="24"/>
        </w:rPr>
        <w:tab/>
      </w:r>
      <w:r w:rsidR="009F4938" w:rsidRPr="009F1E40">
        <w:rPr>
          <w:rFonts w:ascii="Times New Roman" w:hAnsi="Times New Roman"/>
          <w:bCs/>
          <w:color w:val="000000"/>
          <w:sz w:val="24"/>
          <w:szCs w:val="24"/>
        </w:rPr>
        <w:t xml:space="preserve">Sets out the </w:t>
      </w:r>
      <w:r w:rsidR="005B59BB" w:rsidRPr="009F1E40">
        <w:rPr>
          <w:rFonts w:ascii="Times New Roman" w:hAnsi="Times New Roman"/>
          <w:bCs/>
          <w:color w:val="000000"/>
          <w:sz w:val="24"/>
          <w:szCs w:val="24"/>
        </w:rPr>
        <w:t>ob</w:t>
      </w:r>
      <w:r w:rsidR="00913564" w:rsidRPr="009F1E40">
        <w:rPr>
          <w:rFonts w:ascii="Times New Roman" w:hAnsi="Times New Roman"/>
          <w:bCs/>
          <w:color w:val="000000"/>
          <w:sz w:val="24"/>
          <w:szCs w:val="24"/>
        </w:rPr>
        <w:t xml:space="preserve">jective </w:t>
      </w:r>
      <w:r w:rsidRPr="009F1E40">
        <w:rPr>
          <w:rFonts w:ascii="Times New Roman" w:hAnsi="Times New Roman"/>
          <w:bCs/>
          <w:color w:val="000000"/>
          <w:sz w:val="24"/>
          <w:szCs w:val="24"/>
        </w:rPr>
        <w:t xml:space="preserve">of the </w:t>
      </w:r>
      <w:r w:rsidR="00520797" w:rsidRPr="009F1E40">
        <w:rPr>
          <w:rFonts w:ascii="Times New Roman" w:hAnsi="Times New Roman"/>
          <w:bCs/>
          <w:color w:val="000000"/>
          <w:sz w:val="24"/>
          <w:szCs w:val="24"/>
        </w:rPr>
        <w:t>DSP</w:t>
      </w:r>
      <w:r w:rsidR="00474288" w:rsidRPr="009F1E40">
        <w:rPr>
          <w:rFonts w:ascii="Times New Roman" w:hAnsi="Times New Roman"/>
          <w:bCs/>
          <w:color w:val="000000"/>
          <w:sz w:val="24"/>
          <w:szCs w:val="24"/>
        </w:rPr>
        <w:t>,</w:t>
      </w:r>
      <w:r w:rsidR="00520797" w:rsidRPr="009F1E40">
        <w:rPr>
          <w:rFonts w:ascii="Times New Roman" w:hAnsi="Times New Roman"/>
          <w:bCs/>
          <w:color w:val="000000"/>
          <w:sz w:val="24"/>
          <w:szCs w:val="24"/>
        </w:rPr>
        <w:t xml:space="preserve"> </w:t>
      </w:r>
      <w:r w:rsidRPr="009F1E40">
        <w:rPr>
          <w:rFonts w:ascii="Times New Roman" w:hAnsi="Times New Roman"/>
          <w:bCs/>
          <w:color w:val="000000"/>
          <w:sz w:val="24"/>
          <w:szCs w:val="24"/>
        </w:rPr>
        <w:t>which is to</w:t>
      </w:r>
      <w:r w:rsidR="00EC1026" w:rsidRPr="009F1E40">
        <w:rPr>
          <w:rFonts w:ascii="Times New Roman" w:hAnsi="Times New Roman"/>
          <w:bCs/>
          <w:color w:val="000000"/>
          <w:sz w:val="24"/>
          <w:szCs w:val="24"/>
        </w:rPr>
        <w:t xml:space="preserve"> </w:t>
      </w:r>
      <w:r w:rsidR="00413E47">
        <w:rPr>
          <w:rFonts w:ascii="Times New Roman" w:hAnsi="Times New Roman"/>
          <w:bCs/>
          <w:color w:val="000000"/>
          <w:sz w:val="24"/>
          <w:szCs w:val="24"/>
        </w:rPr>
        <w:t>promote equality of opportunity in higher education</w:t>
      </w:r>
      <w:r w:rsidR="00A92104">
        <w:rPr>
          <w:rFonts w:ascii="Times New Roman" w:hAnsi="Times New Roman"/>
          <w:bCs/>
          <w:color w:val="000000"/>
          <w:sz w:val="24"/>
          <w:szCs w:val="24"/>
        </w:rPr>
        <w:t>, by providing support to students with disability</w:t>
      </w:r>
      <w:r w:rsidR="00413E47">
        <w:rPr>
          <w:rFonts w:ascii="Times New Roman" w:hAnsi="Times New Roman"/>
          <w:bCs/>
          <w:color w:val="000000"/>
          <w:sz w:val="24"/>
          <w:szCs w:val="24"/>
        </w:rPr>
        <w:t xml:space="preserve"> to </w:t>
      </w:r>
      <w:r w:rsidR="00737B46" w:rsidRPr="009F1E40">
        <w:rPr>
          <w:rFonts w:ascii="Times New Roman" w:hAnsi="Times New Roman"/>
          <w:bCs/>
          <w:color w:val="000000"/>
          <w:sz w:val="24"/>
          <w:szCs w:val="24"/>
        </w:rPr>
        <w:t>access, participate and succeed in higher education.</w:t>
      </w:r>
      <w:r w:rsidR="00E33D79" w:rsidRPr="009F1E40">
        <w:rPr>
          <w:rFonts w:ascii="Times New Roman" w:hAnsi="Times New Roman"/>
          <w:bCs/>
          <w:color w:val="000000"/>
          <w:sz w:val="24"/>
          <w:szCs w:val="24"/>
        </w:rPr>
        <w:t xml:space="preserve"> </w:t>
      </w:r>
    </w:p>
    <w:bookmarkEnd w:id="0"/>
    <w:p w14:paraId="54B0FA78" w14:textId="77777777" w:rsidR="004E6233" w:rsidRDefault="004E6233" w:rsidP="00B9501D">
      <w:pPr>
        <w:spacing w:before="120" w:after="120"/>
        <w:ind w:left="1418" w:hanging="1418"/>
        <w:rPr>
          <w:rFonts w:ascii="Times New Roman" w:hAnsi="Times New Roman"/>
          <w:sz w:val="24"/>
          <w:szCs w:val="24"/>
        </w:rPr>
      </w:pPr>
    </w:p>
    <w:p w14:paraId="54B0FA79" w14:textId="77777777" w:rsidR="00AF6AA1" w:rsidRPr="009F1E40" w:rsidRDefault="00D27D8D" w:rsidP="00B9501D">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w:t>
      </w:r>
      <w:r w:rsidR="009D14C7" w:rsidRPr="009F1E40">
        <w:rPr>
          <w:rFonts w:ascii="Times New Roman" w:hAnsi="Times New Roman"/>
          <w:bCs/>
          <w:color w:val="000000"/>
          <w:sz w:val="24"/>
          <w:szCs w:val="24"/>
        </w:rPr>
        <w:t>9</w:t>
      </w:r>
      <w:r w:rsidR="00520797" w:rsidRPr="009F1E40">
        <w:rPr>
          <w:rFonts w:ascii="Times New Roman" w:hAnsi="Times New Roman"/>
          <w:bCs/>
          <w:color w:val="000000"/>
          <w:sz w:val="24"/>
          <w:szCs w:val="24"/>
        </w:rPr>
        <w:t>0.</w:t>
      </w:r>
      <w:r w:rsidR="009D14C7" w:rsidRPr="009F1E40">
        <w:rPr>
          <w:rFonts w:ascii="Times New Roman" w:hAnsi="Times New Roman"/>
          <w:bCs/>
          <w:color w:val="000000"/>
          <w:sz w:val="24"/>
          <w:szCs w:val="24"/>
        </w:rPr>
        <w:t>5</w:t>
      </w:r>
      <w:r w:rsidR="00CB1C48" w:rsidRPr="009F1E40">
        <w:rPr>
          <w:rFonts w:ascii="Times New Roman" w:hAnsi="Times New Roman"/>
          <w:bCs/>
          <w:color w:val="000000"/>
          <w:sz w:val="24"/>
          <w:szCs w:val="24"/>
        </w:rPr>
        <w:tab/>
        <w:t>Sets out the</w:t>
      </w:r>
      <w:r w:rsidRPr="009F1E40">
        <w:rPr>
          <w:rFonts w:ascii="Times New Roman" w:hAnsi="Times New Roman"/>
          <w:bCs/>
          <w:color w:val="000000"/>
          <w:sz w:val="24"/>
          <w:szCs w:val="24"/>
        </w:rPr>
        <w:t xml:space="preserve"> </w:t>
      </w:r>
      <w:r w:rsidR="00AF6AA1" w:rsidRPr="009F1E40">
        <w:rPr>
          <w:rFonts w:ascii="Times New Roman" w:hAnsi="Times New Roman"/>
          <w:bCs/>
          <w:color w:val="000000"/>
          <w:sz w:val="24"/>
          <w:szCs w:val="24"/>
        </w:rPr>
        <w:t>two component</w:t>
      </w:r>
      <w:r w:rsidR="00474288" w:rsidRPr="009F1E40">
        <w:rPr>
          <w:rFonts w:ascii="Times New Roman" w:hAnsi="Times New Roman"/>
          <w:bCs/>
          <w:color w:val="000000"/>
          <w:sz w:val="24"/>
          <w:szCs w:val="24"/>
        </w:rPr>
        <w:t>s</w:t>
      </w:r>
      <w:r w:rsidR="00AF6AA1" w:rsidRPr="009F1E40">
        <w:rPr>
          <w:rFonts w:ascii="Times New Roman" w:hAnsi="Times New Roman"/>
          <w:bCs/>
          <w:color w:val="000000"/>
          <w:sz w:val="24"/>
          <w:szCs w:val="24"/>
        </w:rPr>
        <w:t xml:space="preserve"> of the DSP</w:t>
      </w:r>
      <w:r w:rsidR="00474288" w:rsidRPr="009F1E40">
        <w:rPr>
          <w:rFonts w:ascii="Times New Roman" w:hAnsi="Times New Roman"/>
          <w:bCs/>
          <w:color w:val="000000"/>
          <w:sz w:val="24"/>
          <w:szCs w:val="24"/>
        </w:rPr>
        <w:t xml:space="preserve">. These are </w:t>
      </w:r>
      <w:r w:rsidR="00AF6AA1" w:rsidRPr="009F1E40">
        <w:rPr>
          <w:rFonts w:ascii="Times New Roman" w:hAnsi="Times New Roman"/>
          <w:bCs/>
          <w:color w:val="000000"/>
          <w:sz w:val="24"/>
          <w:szCs w:val="24"/>
        </w:rPr>
        <w:t>the Disability Support Fund (DSF)</w:t>
      </w:r>
      <w:r w:rsidR="00474288" w:rsidRPr="009F1E40">
        <w:rPr>
          <w:rFonts w:ascii="Times New Roman" w:hAnsi="Times New Roman"/>
          <w:bCs/>
          <w:color w:val="000000"/>
          <w:sz w:val="24"/>
          <w:szCs w:val="24"/>
        </w:rPr>
        <w:t xml:space="preserve">, </w:t>
      </w:r>
      <w:r w:rsidR="00AF6AA1" w:rsidRPr="009F1E40">
        <w:rPr>
          <w:rFonts w:ascii="Times New Roman" w:hAnsi="Times New Roman"/>
          <w:bCs/>
          <w:color w:val="000000"/>
          <w:sz w:val="24"/>
          <w:szCs w:val="24"/>
        </w:rPr>
        <w:t>and the Australian Disability Clearinghouse on Education and Training (ADCET).</w:t>
      </w:r>
      <w:bookmarkStart w:id="1" w:name="_GoBack"/>
      <w:bookmarkEnd w:id="1"/>
    </w:p>
    <w:p w14:paraId="54B0FA7A" w14:textId="77777777" w:rsidR="00AF6AA1" w:rsidRPr="009F1E40" w:rsidRDefault="00AF6AA1" w:rsidP="00AF6AA1">
      <w:pPr>
        <w:ind w:left="900" w:hanging="900"/>
        <w:rPr>
          <w:rFonts w:ascii="Times New Roman" w:hAnsi="Times New Roman"/>
          <w:bCs/>
          <w:color w:val="000000"/>
          <w:sz w:val="24"/>
          <w:szCs w:val="24"/>
        </w:rPr>
      </w:pPr>
    </w:p>
    <w:p w14:paraId="54B0FA7B" w14:textId="77777777" w:rsidR="00635149" w:rsidRDefault="00635149" w:rsidP="00635149">
      <w:pPr>
        <w:spacing w:before="120" w:after="120"/>
        <w:ind w:left="1361" w:hanging="1361"/>
        <w:rPr>
          <w:rFonts w:ascii="Times New Roman" w:hAnsi="Times New Roman"/>
          <w:bCs/>
          <w:color w:val="000000"/>
          <w:sz w:val="24"/>
          <w:szCs w:val="24"/>
        </w:rPr>
      </w:pPr>
      <w:r w:rsidRPr="00635149">
        <w:rPr>
          <w:rFonts w:ascii="Times New Roman" w:hAnsi="Times New Roman"/>
          <w:bCs/>
          <w:color w:val="000000"/>
          <w:sz w:val="24"/>
          <w:szCs w:val="24"/>
        </w:rPr>
        <w:t>1.90.15</w:t>
      </w:r>
      <w:r w:rsidRPr="00635149">
        <w:rPr>
          <w:rFonts w:ascii="Times New Roman" w:hAnsi="Times New Roman"/>
          <w:bCs/>
          <w:color w:val="000000"/>
          <w:sz w:val="24"/>
          <w:szCs w:val="24"/>
        </w:rPr>
        <w:tab/>
        <w:t>Specifies that Table A providers only are eligible to receive grant payments under the DSP.</w:t>
      </w:r>
      <w:r>
        <w:rPr>
          <w:rFonts w:ascii="Times New Roman" w:hAnsi="Times New Roman"/>
          <w:bCs/>
          <w:color w:val="000000"/>
          <w:sz w:val="24"/>
          <w:szCs w:val="24"/>
        </w:rPr>
        <w:t xml:space="preserve"> </w:t>
      </w:r>
    </w:p>
    <w:p w14:paraId="54B0FA7C" w14:textId="77777777" w:rsidR="00635149" w:rsidRDefault="00635149" w:rsidP="00B9501D">
      <w:pPr>
        <w:spacing w:before="120" w:after="120"/>
        <w:ind w:left="1418" w:hanging="1418"/>
        <w:rPr>
          <w:rFonts w:ascii="Times New Roman" w:hAnsi="Times New Roman"/>
          <w:bCs/>
          <w:color w:val="000000"/>
          <w:sz w:val="24"/>
          <w:szCs w:val="24"/>
        </w:rPr>
      </w:pPr>
    </w:p>
    <w:p w14:paraId="54B0FA7D" w14:textId="77777777" w:rsidR="00AF6AA1" w:rsidRPr="009F1E40" w:rsidRDefault="00AF6AA1" w:rsidP="00B9501D">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w:t>
      </w:r>
      <w:r w:rsidR="009D14C7" w:rsidRPr="009F1E40">
        <w:rPr>
          <w:rFonts w:ascii="Times New Roman" w:hAnsi="Times New Roman"/>
          <w:bCs/>
          <w:color w:val="000000"/>
          <w:sz w:val="24"/>
          <w:szCs w:val="24"/>
        </w:rPr>
        <w:t>95</w:t>
      </w:r>
      <w:r w:rsidR="00C431C5" w:rsidRPr="009F1E40">
        <w:rPr>
          <w:rFonts w:ascii="Times New Roman" w:hAnsi="Times New Roman"/>
          <w:bCs/>
          <w:color w:val="000000"/>
          <w:sz w:val="24"/>
          <w:szCs w:val="24"/>
        </w:rPr>
        <w:t>.1</w:t>
      </w:r>
      <w:r w:rsidRPr="009F1E40">
        <w:rPr>
          <w:rFonts w:ascii="Times New Roman" w:hAnsi="Times New Roman"/>
          <w:bCs/>
          <w:color w:val="000000"/>
          <w:sz w:val="24"/>
          <w:szCs w:val="24"/>
        </w:rPr>
        <w:tab/>
      </w:r>
      <w:r w:rsidR="007D7DA4" w:rsidRPr="009F1E40">
        <w:rPr>
          <w:rFonts w:ascii="Times New Roman" w:hAnsi="Times New Roman"/>
          <w:bCs/>
          <w:color w:val="000000"/>
          <w:sz w:val="24"/>
          <w:szCs w:val="24"/>
        </w:rPr>
        <w:t>Specifies the total amount of funding a</w:t>
      </w:r>
      <w:r w:rsidR="00AE0BD8">
        <w:rPr>
          <w:rFonts w:ascii="Times New Roman" w:hAnsi="Times New Roman"/>
          <w:bCs/>
          <w:color w:val="000000"/>
          <w:sz w:val="24"/>
          <w:szCs w:val="24"/>
        </w:rPr>
        <w:t>vailable to providers under the</w:t>
      </w:r>
      <w:r w:rsidR="002E259C">
        <w:rPr>
          <w:rFonts w:ascii="Times New Roman" w:hAnsi="Times New Roman"/>
          <w:bCs/>
          <w:color w:val="000000"/>
          <w:sz w:val="24"/>
          <w:szCs w:val="24"/>
        </w:rPr>
        <w:t xml:space="preserve"> </w:t>
      </w:r>
      <w:r w:rsidR="00AE0BD8">
        <w:rPr>
          <w:rFonts w:ascii="Times New Roman" w:hAnsi="Times New Roman"/>
          <w:bCs/>
          <w:color w:val="000000"/>
          <w:sz w:val="24"/>
          <w:szCs w:val="24"/>
        </w:rPr>
        <w:t xml:space="preserve">DSP </w:t>
      </w:r>
      <w:r w:rsidR="007D7DA4" w:rsidRPr="009F1E40">
        <w:rPr>
          <w:rFonts w:ascii="Times New Roman" w:hAnsi="Times New Roman"/>
          <w:bCs/>
          <w:color w:val="000000"/>
          <w:sz w:val="24"/>
          <w:szCs w:val="24"/>
        </w:rPr>
        <w:t xml:space="preserve">in </w:t>
      </w:r>
      <w:r w:rsidR="003E4BDA">
        <w:rPr>
          <w:rFonts w:ascii="Times New Roman" w:hAnsi="Times New Roman"/>
          <w:bCs/>
          <w:color w:val="000000"/>
          <w:sz w:val="24"/>
          <w:szCs w:val="24"/>
        </w:rPr>
        <w:t>2020</w:t>
      </w:r>
      <w:r w:rsidR="00656E0D">
        <w:rPr>
          <w:rFonts w:ascii="Times New Roman" w:hAnsi="Times New Roman"/>
          <w:bCs/>
          <w:color w:val="000000"/>
          <w:sz w:val="24"/>
          <w:szCs w:val="24"/>
        </w:rPr>
        <w:t xml:space="preserve">. This amount </w:t>
      </w:r>
      <w:r w:rsidR="007D7DA4" w:rsidRPr="009F1E40">
        <w:rPr>
          <w:rFonts w:ascii="Times New Roman" w:hAnsi="Times New Roman"/>
          <w:bCs/>
          <w:color w:val="000000"/>
          <w:sz w:val="24"/>
          <w:szCs w:val="24"/>
        </w:rPr>
        <w:t>will be indexed for subsequent years in accordance with</w:t>
      </w:r>
      <w:r w:rsidR="005171F6">
        <w:rPr>
          <w:rFonts w:ascii="Times New Roman" w:hAnsi="Times New Roman"/>
          <w:bCs/>
          <w:color w:val="000000"/>
          <w:sz w:val="24"/>
          <w:szCs w:val="24"/>
        </w:rPr>
        <w:t xml:space="preserve"> the method specified in</w:t>
      </w:r>
      <w:r w:rsidR="007D7DA4" w:rsidRPr="009F1E40">
        <w:rPr>
          <w:rFonts w:ascii="Times New Roman" w:hAnsi="Times New Roman"/>
          <w:bCs/>
          <w:color w:val="000000"/>
          <w:sz w:val="24"/>
          <w:szCs w:val="24"/>
        </w:rPr>
        <w:t xml:space="preserve"> part 5-6 of the Act. </w:t>
      </w:r>
    </w:p>
    <w:p w14:paraId="54B0FA7E" w14:textId="77777777" w:rsidR="007D7DA4" w:rsidRPr="009F1E40" w:rsidRDefault="007D7DA4" w:rsidP="00AF6AA1">
      <w:pPr>
        <w:ind w:left="900" w:hanging="900"/>
        <w:rPr>
          <w:rFonts w:ascii="Times New Roman" w:hAnsi="Times New Roman"/>
          <w:bCs/>
          <w:color w:val="000000"/>
          <w:sz w:val="24"/>
          <w:szCs w:val="24"/>
        </w:rPr>
      </w:pPr>
    </w:p>
    <w:p w14:paraId="54B0FA7F" w14:textId="77777777" w:rsidR="007D7DA4" w:rsidRPr="009F1E40" w:rsidRDefault="007D7DA4" w:rsidP="00B9501D">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w:t>
      </w:r>
      <w:r w:rsidR="009D14C7" w:rsidRPr="009F1E40">
        <w:rPr>
          <w:rFonts w:ascii="Times New Roman" w:hAnsi="Times New Roman"/>
          <w:bCs/>
          <w:color w:val="000000"/>
          <w:sz w:val="24"/>
          <w:szCs w:val="24"/>
        </w:rPr>
        <w:t>95</w:t>
      </w:r>
      <w:r w:rsidR="005171F6">
        <w:rPr>
          <w:rFonts w:ascii="Times New Roman" w:hAnsi="Times New Roman"/>
          <w:bCs/>
          <w:color w:val="000000"/>
          <w:sz w:val="24"/>
          <w:szCs w:val="24"/>
        </w:rPr>
        <w:t>.5</w:t>
      </w:r>
      <w:r w:rsidR="005171F6">
        <w:rPr>
          <w:rFonts w:ascii="Times New Roman" w:hAnsi="Times New Roman"/>
          <w:bCs/>
          <w:color w:val="000000"/>
          <w:sz w:val="24"/>
          <w:szCs w:val="24"/>
        </w:rPr>
        <w:tab/>
        <w:t xml:space="preserve">Specifies that </w:t>
      </w:r>
      <w:r w:rsidRPr="009F1E40">
        <w:rPr>
          <w:rFonts w:ascii="Times New Roman" w:hAnsi="Times New Roman"/>
          <w:bCs/>
          <w:color w:val="000000"/>
          <w:sz w:val="24"/>
          <w:szCs w:val="24"/>
        </w:rPr>
        <w:t>grant</w:t>
      </w:r>
      <w:r w:rsidR="005171F6">
        <w:rPr>
          <w:rFonts w:ascii="Times New Roman" w:hAnsi="Times New Roman"/>
          <w:bCs/>
          <w:color w:val="000000"/>
          <w:sz w:val="24"/>
          <w:szCs w:val="24"/>
        </w:rPr>
        <w:t>s made under the DSP are grants made i</w:t>
      </w:r>
      <w:r w:rsidRPr="009F1E40">
        <w:rPr>
          <w:rFonts w:ascii="Times New Roman" w:hAnsi="Times New Roman"/>
          <w:bCs/>
          <w:color w:val="000000"/>
          <w:sz w:val="24"/>
          <w:szCs w:val="24"/>
        </w:rPr>
        <w:t xml:space="preserve">n respect of a </w:t>
      </w:r>
      <w:r w:rsidR="005171F6">
        <w:rPr>
          <w:rFonts w:ascii="Times New Roman" w:hAnsi="Times New Roman"/>
          <w:bCs/>
          <w:color w:val="000000"/>
          <w:sz w:val="24"/>
          <w:szCs w:val="24"/>
        </w:rPr>
        <w:t xml:space="preserve">calendar year. </w:t>
      </w:r>
      <w:r w:rsidR="002A063D" w:rsidRPr="009F1E40">
        <w:rPr>
          <w:rFonts w:ascii="Times New Roman" w:hAnsi="Times New Roman"/>
          <w:bCs/>
          <w:color w:val="000000"/>
          <w:sz w:val="24"/>
          <w:szCs w:val="24"/>
        </w:rPr>
        <w:t xml:space="preserve"> </w:t>
      </w:r>
    </w:p>
    <w:p w14:paraId="54B0FA80" w14:textId="77777777" w:rsidR="00AF6AA1" w:rsidRPr="009F1E40" w:rsidRDefault="00AF6AA1" w:rsidP="00AF6AA1">
      <w:pPr>
        <w:ind w:left="900" w:hanging="900"/>
        <w:rPr>
          <w:rFonts w:ascii="Times New Roman" w:hAnsi="Times New Roman"/>
          <w:bCs/>
          <w:color w:val="000000"/>
          <w:sz w:val="24"/>
          <w:szCs w:val="24"/>
        </w:rPr>
      </w:pPr>
    </w:p>
    <w:p w14:paraId="54B0FA81" w14:textId="0BA1D2E4" w:rsidR="00B106E9" w:rsidRPr="009F1E40" w:rsidRDefault="00B106E9" w:rsidP="00B9501D">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w:t>
      </w:r>
      <w:r w:rsidR="00A55966" w:rsidRPr="009F1E40">
        <w:rPr>
          <w:rFonts w:ascii="Times New Roman" w:hAnsi="Times New Roman"/>
          <w:bCs/>
          <w:color w:val="000000"/>
          <w:sz w:val="24"/>
          <w:szCs w:val="24"/>
        </w:rPr>
        <w:t>100</w:t>
      </w:r>
      <w:r w:rsidR="00C431C5" w:rsidRPr="009F1E40">
        <w:rPr>
          <w:rFonts w:ascii="Times New Roman" w:hAnsi="Times New Roman"/>
          <w:bCs/>
          <w:color w:val="000000"/>
          <w:sz w:val="24"/>
          <w:szCs w:val="24"/>
        </w:rPr>
        <w:t>.1</w:t>
      </w:r>
      <w:r w:rsidRPr="009F1E40">
        <w:rPr>
          <w:rFonts w:ascii="Times New Roman" w:hAnsi="Times New Roman"/>
          <w:bCs/>
          <w:color w:val="000000"/>
          <w:sz w:val="24"/>
          <w:szCs w:val="24"/>
        </w:rPr>
        <w:tab/>
      </w:r>
      <w:r w:rsidR="007725C1" w:rsidRPr="009F1E40">
        <w:rPr>
          <w:rFonts w:ascii="Times New Roman" w:hAnsi="Times New Roman"/>
          <w:bCs/>
          <w:color w:val="000000"/>
          <w:sz w:val="24"/>
          <w:szCs w:val="24"/>
        </w:rPr>
        <w:t xml:space="preserve">Specifies </w:t>
      </w:r>
      <w:r w:rsidRPr="009F1E40">
        <w:rPr>
          <w:rFonts w:ascii="Times New Roman" w:hAnsi="Times New Roman"/>
          <w:bCs/>
          <w:color w:val="000000"/>
          <w:sz w:val="24"/>
          <w:szCs w:val="24"/>
        </w:rPr>
        <w:t>the objective</w:t>
      </w:r>
      <w:r w:rsidR="00A55966" w:rsidRPr="009F1E40">
        <w:rPr>
          <w:rFonts w:ascii="Times New Roman" w:hAnsi="Times New Roman"/>
          <w:bCs/>
          <w:color w:val="000000"/>
          <w:sz w:val="24"/>
          <w:szCs w:val="24"/>
        </w:rPr>
        <w:t>s</w:t>
      </w:r>
      <w:r w:rsidRPr="009F1E40">
        <w:rPr>
          <w:rFonts w:ascii="Times New Roman" w:hAnsi="Times New Roman"/>
          <w:bCs/>
          <w:color w:val="000000"/>
          <w:sz w:val="24"/>
          <w:szCs w:val="24"/>
        </w:rPr>
        <w:t xml:space="preserve"> of the DSF, which is to</w:t>
      </w:r>
      <w:r w:rsidR="0093231C">
        <w:rPr>
          <w:rFonts w:ascii="Times New Roman" w:hAnsi="Times New Roman"/>
          <w:bCs/>
          <w:color w:val="000000"/>
          <w:sz w:val="24"/>
          <w:szCs w:val="24"/>
        </w:rPr>
        <w:t xml:space="preserve"> promote equality of opportunity in higher education</w:t>
      </w:r>
      <w:r w:rsidR="00F45073">
        <w:rPr>
          <w:rFonts w:ascii="Times New Roman" w:hAnsi="Times New Roman"/>
          <w:bCs/>
          <w:color w:val="000000"/>
          <w:sz w:val="24"/>
          <w:szCs w:val="24"/>
        </w:rPr>
        <w:t>. The DSF achieves this</w:t>
      </w:r>
      <w:r w:rsidR="0093231C">
        <w:rPr>
          <w:rFonts w:ascii="Times New Roman" w:hAnsi="Times New Roman"/>
          <w:bCs/>
          <w:color w:val="000000"/>
          <w:sz w:val="24"/>
          <w:szCs w:val="24"/>
        </w:rPr>
        <w:t xml:space="preserve"> by</w:t>
      </w:r>
      <w:r w:rsidR="00D6594B">
        <w:rPr>
          <w:rFonts w:ascii="Times New Roman" w:hAnsi="Times New Roman"/>
          <w:bCs/>
          <w:color w:val="000000"/>
          <w:sz w:val="24"/>
          <w:szCs w:val="24"/>
        </w:rPr>
        <w:t xml:space="preserve"> granting</w:t>
      </w:r>
      <w:r w:rsidR="00F45073">
        <w:rPr>
          <w:rFonts w:ascii="Times New Roman" w:hAnsi="Times New Roman"/>
          <w:bCs/>
          <w:color w:val="000000"/>
          <w:sz w:val="24"/>
          <w:szCs w:val="24"/>
        </w:rPr>
        <w:t xml:space="preserve"> </w:t>
      </w:r>
      <w:r w:rsidR="005445BF" w:rsidRPr="009F1E40">
        <w:rPr>
          <w:rFonts w:ascii="Times New Roman" w:hAnsi="Times New Roman"/>
          <w:bCs/>
          <w:color w:val="000000"/>
          <w:sz w:val="24"/>
          <w:szCs w:val="24"/>
        </w:rPr>
        <w:t>supp</w:t>
      </w:r>
      <w:r w:rsidRPr="009F1E40">
        <w:rPr>
          <w:rFonts w:ascii="Times New Roman" w:hAnsi="Times New Roman"/>
          <w:bCs/>
          <w:color w:val="000000"/>
          <w:sz w:val="24"/>
          <w:szCs w:val="24"/>
        </w:rPr>
        <w:t xml:space="preserve">lementary funding to </w:t>
      </w:r>
      <w:r w:rsidR="00D6594B">
        <w:rPr>
          <w:rFonts w:ascii="Times New Roman" w:hAnsi="Times New Roman"/>
          <w:bCs/>
          <w:color w:val="000000"/>
          <w:sz w:val="24"/>
          <w:szCs w:val="24"/>
        </w:rPr>
        <w:t>p</w:t>
      </w:r>
      <w:r w:rsidRPr="009F1E40">
        <w:rPr>
          <w:rFonts w:ascii="Times New Roman" w:hAnsi="Times New Roman"/>
          <w:bCs/>
          <w:color w:val="000000"/>
          <w:sz w:val="24"/>
          <w:szCs w:val="24"/>
        </w:rPr>
        <w:t xml:space="preserve">roviders to assist them to attract domestic students with disability to participate in higher </w:t>
      </w:r>
      <w:r w:rsidR="00474288" w:rsidRPr="009F1E40">
        <w:rPr>
          <w:rFonts w:ascii="Times New Roman" w:hAnsi="Times New Roman"/>
          <w:bCs/>
          <w:color w:val="000000"/>
          <w:sz w:val="24"/>
          <w:szCs w:val="24"/>
        </w:rPr>
        <w:t>education</w:t>
      </w:r>
      <w:r w:rsidRPr="009F1E40">
        <w:rPr>
          <w:rFonts w:ascii="Times New Roman" w:hAnsi="Times New Roman"/>
          <w:bCs/>
          <w:color w:val="000000"/>
          <w:sz w:val="24"/>
          <w:szCs w:val="24"/>
        </w:rPr>
        <w:t xml:space="preserve"> and to assist providers to deliver appropriate support for them to succeed.</w:t>
      </w:r>
    </w:p>
    <w:p w14:paraId="54B0FA82" w14:textId="77777777" w:rsidR="00FC5D7E" w:rsidRPr="009F1E40" w:rsidRDefault="00FC5D7E" w:rsidP="005D4B77">
      <w:pPr>
        <w:rPr>
          <w:rFonts w:ascii="Times New Roman" w:hAnsi="Times New Roman"/>
          <w:bCs/>
          <w:color w:val="000000"/>
          <w:sz w:val="24"/>
          <w:szCs w:val="24"/>
        </w:rPr>
      </w:pPr>
    </w:p>
    <w:p w14:paraId="54B0FA83" w14:textId="77777777" w:rsidR="00F221DF" w:rsidRDefault="007725C1"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w:t>
      </w:r>
      <w:r w:rsidR="00A55966" w:rsidRPr="009F1E40">
        <w:rPr>
          <w:rFonts w:ascii="Times New Roman" w:hAnsi="Times New Roman"/>
          <w:bCs/>
          <w:color w:val="000000"/>
          <w:sz w:val="24"/>
          <w:szCs w:val="24"/>
        </w:rPr>
        <w:t>105</w:t>
      </w:r>
      <w:r w:rsidR="00C431C5" w:rsidRPr="009F1E40">
        <w:rPr>
          <w:rFonts w:ascii="Times New Roman" w:hAnsi="Times New Roman"/>
          <w:bCs/>
          <w:color w:val="000000"/>
          <w:sz w:val="24"/>
          <w:szCs w:val="24"/>
        </w:rPr>
        <w:t>.1</w:t>
      </w:r>
      <w:r w:rsidRPr="009F1E40">
        <w:rPr>
          <w:rFonts w:ascii="Times New Roman" w:hAnsi="Times New Roman"/>
          <w:bCs/>
          <w:color w:val="000000"/>
          <w:sz w:val="24"/>
          <w:szCs w:val="24"/>
        </w:rPr>
        <w:tab/>
      </w:r>
      <w:r w:rsidR="00F221DF" w:rsidRPr="009F1E40">
        <w:rPr>
          <w:rFonts w:ascii="Times New Roman" w:hAnsi="Times New Roman"/>
          <w:bCs/>
          <w:color w:val="000000"/>
          <w:sz w:val="24"/>
          <w:szCs w:val="24"/>
        </w:rPr>
        <w:t xml:space="preserve">Specifies that the amount payable to a provider for a year under the DSF is calculated by adding the enrolments-based grant amount and the amount for students with disability with high cost needs. </w:t>
      </w:r>
    </w:p>
    <w:p w14:paraId="54B0FA84" w14:textId="77777777" w:rsidR="00F221DF" w:rsidRDefault="00F221DF" w:rsidP="00B9501D">
      <w:pPr>
        <w:spacing w:before="120" w:after="120"/>
        <w:ind w:left="1361" w:hanging="1361"/>
        <w:rPr>
          <w:rFonts w:ascii="Times New Roman" w:hAnsi="Times New Roman"/>
          <w:bCs/>
          <w:color w:val="000000"/>
          <w:sz w:val="24"/>
          <w:szCs w:val="24"/>
        </w:rPr>
      </w:pPr>
    </w:p>
    <w:p w14:paraId="54B0FA85" w14:textId="77777777" w:rsidR="00E67322" w:rsidRPr="009F1E40" w:rsidRDefault="007F1F1D"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1.105.5</w:t>
      </w:r>
      <w:r w:rsidRPr="009F1E40">
        <w:rPr>
          <w:rFonts w:ascii="Times New Roman" w:hAnsi="Times New Roman"/>
          <w:bCs/>
          <w:color w:val="000000"/>
          <w:sz w:val="24"/>
          <w:szCs w:val="24"/>
        </w:rPr>
        <w:tab/>
      </w:r>
      <w:r w:rsidR="00F221DF">
        <w:rPr>
          <w:rFonts w:ascii="Times New Roman" w:hAnsi="Times New Roman"/>
          <w:bCs/>
          <w:color w:val="000000"/>
          <w:sz w:val="24"/>
          <w:szCs w:val="24"/>
        </w:rPr>
        <w:t>Specifies that the amount payable to a provider under the DSF will be calculated based on disability data available to the Commonwealth in the Higher Education Information Management System during the second half of each calendar year.</w:t>
      </w:r>
    </w:p>
    <w:p w14:paraId="54B0FA86" w14:textId="77777777" w:rsidR="00E67322" w:rsidRPr="009F1E40" w:rsidRDefault="00E67322" w:rsidP="00B9501D">
      <w:pPr>
        <w:spacing w:before="120" w:after="120"/>
        <w:ind w:left="1361" w:hanging="1361"/>
        <w:rPr>
          <w:rFonts w:ascii="Times New Roman" w:hAnsi="Times New Roman"/>
          <w:bCs/>
          <w:color w:val="000000"/>
          <w:sz w:val="24"/>
          <w:szCs w:val="24"/>
        </w:rPr>
      </w:pPr>
    </w:p>
    <w:p w14:paraId="18B16993" w14:textId="5A2423F5" w:rsidR="00A92104" w:rsidRDefault="00E67322" w:rsidP="00A92104">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lastRenderedPageBreak/>
        <w:t>1.110.1</w:t>
      </w:r>
      <w:r w:rsidRPr="009F1E40">
        <w:rPr>
          <w:rFonts w:ascii="Times New Roman" w:hAnsi="Times New Roman"/>
          <w:bCs/>
          <w:color w:val="000000"/>
          <w:sz w:val="24"/>
          <w:szCs w:val="24"/>
        </w:rPr>
        <w:tab/>
      </w:r>
      <w:r w:rsidR="00F221DF">
        <w:rPr>
          <w:rFonts w:ascii="Times New Roman" w:hAnsi="Times New Roman"/>
          <w:bCs/>
          <w:color w:val="000000"/>
          <w:sz w:val="24"/>
          <w:szCs w:val="24"/>
        </w:rPr>
        <w:t xml:space="preserve">Specifies </w:t>
      </w:r>
      <w:r w:rsidR="00F221DF" w:rsidRPr="009F1E40">
        <w:rPr>
          <w:rFonts w:ascii="Times New Roman" w:hAnsi="Times New Roman"/>
          <w:bCs/>
          <w:color w:val="000000"/>
          <w:sz w:val="24"/>
          <w:szCs w:val="24"/>
        </w:rPr>
        <w:t xml:space="preserve">that the total annual grant amount available for the DSF is calculated by subtracting the amount allocated to ADCET at 1.150.10 from the total annual grants amount available for the DSP set out at 1.95.1. </w:t>
      </w:r>
    </w:p>
    <w:p w14:paraId="37E833B0" w14:textId="77777777" w:rsidR="00A92104" w:rsidRPr="009F1E40" w:rsidRDefault="00A92104" w:rsidP="00A92104">
      <w:pPr>
        <w:spacing w:before="120" w:after="120"/>
        <w:ind w:left="1361" w:hanging="1361"/>
        <w:rPr>
          <w:rFonts w:ascii="Times New Roman" w:hAnsi="Times New Roman"/>
          <w:bCs/>
          <w:color w:val="000000"/>
          <w:sz w:val="24"/>
          <w:szCs w:val="24"/>
        </w:rPr>
      </w:pPr>
    </w:p>
    <w:p w14:paraId="54B0FA88" w14:textId="2C8259A6" w:rsidR="00456A26" w:rsidRDefault="00F221DF"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1.110.</w:t>
      </w:r>
      <w:r>
        <w:rPr>
          <w:rFonts w:ascii="Times New Roman" w:hAnsi="Times New Roman"/>
          <w:bCs/>
          <w:color w:val="000000"/>
          <w:sz w:val="24"/>
          <w:szCs w:val="24"/>
        </w:rPr>
        <w:t>5</w:t>
      </w:r>
      <w:r w:rsidRPr="009F1E40">
        <w:rPr>
          <w:rFonts w:ascii="Times New Roman" w:hAnsi="Times New Roman"/>
          <w:bCs/>
          <w:color w:val="000000"/>
          <w:sz w:val="24"/>
          <w:szCs w:val="24"/>
        </w:rPr>
        <w:tab/>
      </w:r>
      <w:r w:rsidR="00E30CDE">
        <w:rPr>
          <w:rFonts w:ascii="Times New Roman" w:hAnsi="Times New Roman"/>
          <w:bCs/>
          <w:color w:val="000000"/>
          <w:sz w:val="24"/>
          <w:szCs w:val="24"/>
        </w:rPr>
        <w:t xml:space="preserve">Stipulates that the Minister may determine what proportion of the total annual </w:t>
      </w:r>
      <w:r w:rsidR="00153524">
        <w:rPr>
          <w:rFonts w:ascii="Times New Roman" w:hAnsi="Times New Roman"/>
          <w:bCs/>
          <w:color w:val="000000"/>
          <w:sz w:val="24"/>
          <w:szCs w:val="24"/>
        </w:rPr>
        <w:t xml:space="preserve">amount available for the </w:t>
      </w:r>
      <w:r w:rsidR="00E30CDE">
        <w:rPr>
          <w:rFonts w:ascii="Times New Roman" w:hAnsi="Times New Roman"/>
          <w:bCs/>
          <w:color w:val="000000"/>
          <w:sz w:val="24"/>
          <w:szCs w:val="24"/>
        </w:rPr>
        <w:t xml:space="preserve">DSF </w:t>
      </w:r>
      <w:r w:rsidR="00153524">
        <w:rPr>
          <w:rFonts w:ascii="Times New Roman" w:hAnsi="Times New Roman"/>
          <w:bCs/>
          <w:color w:val="000000"/>
          <w:sz w:val="24"/>
          <w:szCs w:val="24"/>
        </w:rPr>
        <w:t xml:space="preserve">in a calendar year </w:t>
      </w:r>
      <w:r w:rsidR="00E30CDE">
        <w:rPr>
          <w:rFonts w:ascii="Times New Roman" w:hAnsi="Times New Roman"/>
          <w:bCs/>
          <w:color w:val="000000"/>
          <w:sz w:val="24"/>
          <w:szCs w:val="24"/>
        </w:rPr>
        <w:t>will be available for each of the enrolments-based grant amount and the amount for students with disability with high cost needs.</w:t>
      </w:r>
    </w:p>
    <w:p w14:paraId="54B0FA89" w14:textId="77777777" w:rsidR="00F221DF" w:rsidRDefault="00F221DF" w:rsidP="00B9501D">
      <w:pPr>
        <w:spacing w:before="120" w:after="120"/>
        <w:ind w:left="1361" w:hanging="1361"/>
        <w:rPr>
          <w:rFonts w:ascii="Times New Roman" w:hAnsi="Times New Roman"/>
          <w:bCs/>
          <w:color w:val="000000"/>
          <w:sz w:val="24"/>
          <w:szCs w:val="24"/>
        </w:rPr>
      </w:pPr>
    </w:p>
    <w:p w14:paraId="54B0FA8A" w14:textId="7E42EC25" w:rsidR="00F221DF" w:rsidRDefault="00F221DF"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1.110.1</w:t>
      </w:r>
      <w:r>
        <w:rPr>
          <w:rFonts w:ascii="Times New Roman" w:hAnsi="Times New Roman"/>
          <w:bCs/>
          <w:color w:val="000000"/>
          <w:sz w:val="24"/>
          <w:szCs w:val="24"/>
        </w:rPr>
        <w:t>0</w:t>
      </w:r>
      <w:r w:rsidRPr="009F1E40">
        <w:rPr>
          <w:rFonts w:ascii="Times New Roman" w:hAnsi="Times New Roman"/>
          <w:bCs/>
          <w:color w:val="000000"/>
          <w:sz w:val="24"/>
          <w:szCs w:val="24"/>
        </w:rPr>
        <w:tab/>
        <w:t xml:space="preserve">Specifies </w:t>
      </w:r>
      <w:r w:rsidR="00E30CDE">
        <w:rPr>
          <w:rFonts w:ascii="Times New Roman" w:hAnsi="Times New Roman"/>
          <w:bCs/>
          <w:color w:val="000000"/>
          <w:sz w:val="24"/>
          <w:szCs w:val="24"/>
        </w:rPr>
        <w:t xml:space="preserve">that unless the Minister makes a determination in accordance with 1.110.5, </w:t>
      </w:r>
      <w:r w:rsidRPr="009F1E40">
        <w:rPr>
          <w:rFonts w:ascii="Times New Roman" w:hAnsi="Times New Roman"/>
          <w:bCs/>
          <w:color w:val="000000"/>
          <w:sz w:val="24"/>
          <w:szCs w:val="24"/>
        </w:rPr>
        <w:t xml:space="preserve">the total annual enrolments-based amount is 55 per cent of the total annual grant amount for the DSF </w:t>
      </w:r>
      <w:r>
        <w:rPr>
          <w:rFonts w:ascii="Times New Roman" w:hAnsi="Times New Roman"/>
          <w:bCs/>
          <w:color w:val="000000"/>
          <w:sz w:val="24"/>
          <w:szCs w:val="24"/>
        </w:rPr>
        <w:t>and</w:t>
      </w:r>
      <w:r w:rsidRPr="009F1E40">
        <w:rPr>
          <w:rFonts w:ascii="Times New Roman" w:hAnsi="Times New Roman"/>
          <w:bCs/>
          <w:color w:val="000000"/>
          <w:sz w:val="24"/>
          <w:szCs w:val="24"/>
        </w:rPr>
        <w:t xml:space="preserve"> the total annual amount for students with disability with high cost needs is 45 per cent of the total annual grant</w:t>
      </w:r>
      <w:r w:rsidR="00E30CDE">
        <w:rPr>
          <w:rFonts w:ascii="Times New Roman" w:hAnsi="Times New Roman"/>
          <w:bCs/>
          <w:color w:val="000000"/>
          <w:sz w:val="24"/>
          <w:szCs w:val="24"/>
        </w:rPr>
        <w:t xml:space="preserve"> amount for the DSF.</w:t>
      </w:r>
    </w:p>
    <w:p w14:paraId="54B0FA8B" w14:textId="77777777" w:rsidR="00E30CDE" w:rsidRPr="009F1E40" w:rsidRDefault="00E30CDE" w:rsidP="00B9501D">
      <w:pPr>
        <w:spacing w:before="120" w:after="120"/>
        <w:ind w:left="1361" w:hanging="1361"/>
        <w:rPr>
          <w:rFonts w:ascii="Times New Roman" w:hAnsi="Times New Roman"/>
          <w:bCs/>
          <w:color w:val="000000"/>
          <w:sz w:val="24"/>
          <w:szCs w:val="24"/>
        </w:rPr>
      </w:pPr>
    </w:p>
    <w:p w14:paraId="54B0FA8C" w14:textId="37845182" w:rsidR="00B10994" w:rsidRPr="009F1E40" w:rsidRDefault="00B10994"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1.115.1</w:t>
      </w:r>
      <w:r w:rsidRPr="009F1E40">
        <w:rPr>
          <w:rFonts w:ascii="Times New Roman" w:hAnsi="Times New Roman"/>
          <w:bCs/>
          <w:color w:val="000000"/>
          <w:sz w:val="24"/>
          <w:szCs w:val="24"/>
        </w:rPr>
        <w:tab/>
      </w:r>
      <w:r w:rsidR="00F221DF" w:rsidRPr="009F1E40">
        <w:rPr>
          <w:rFonts w:ascii="Times New Roman" w:hAnsi="Times New Roman"/>
          <w:bCs/>
          <w:color w:val="000000"/>
          <w:sz w:val="24"/>
          <w:szCs w:val="24"/>
        </w:rPr>
        <w:t xml:space="preserve">Sets out the formula used to calculate the enrolments-based grant amount </w:t>
      </w:r>
      <w:r w:rsidR="00153524">
        <w:rPr>
          <w:rFonts w:ascii="Times New Roman" w:hAnsi="Times New Roman"/>
          <w:bCs/>
          <w:color w:val="000000"/>
          <w:sz w:val="24"/>
          <w:szCs w:val="24"/>
        </w:rPr>
        <w:t>for</w:t>
      </w:r>
      <w:r w:rsidR="00F221DF" w:rsidRPr="009F1E40">
        <w:rPr>
          <w:rFonts w:ascii="Times New Roman" w:hAnsi="Times New Roman"/>
          <w:bCs/>
          <w:color w:val="000000"/>
          <w:sz w:val="24"/>
          <w:szCs w:val="24"/>
        </w:rPr>
        <w:t xml:space="preserve"> a provider.</w:t>
      </w:r>
    </w:p>
    <w:p w14:paraId="54B0FA8D" w14:textId="77777777" w:rsidR="00B10994" w:rsidRPr="009F1E40" w:rsidRDefault="00B10994" w:rsidP="00B9501D">
      <w:pPr>
        <w:spacing w:before="120" w:after="120"/>
        <w:ind w:left="1361" w:hanging="1361"/>
        <w:rPr>
          <w:rFonts w:ascii="Times New Roman" w:hAnsi="Times New Roman"/>
          <w:bCs/>
          <w:color w:val="000000"/>
          <w:sz w:val="24"/>
          <w:szCs w:val="24"/>
        </w:rPr>
      </w:pPr>
    </w:p>
    <w:p w14:paraId="54B0FA8E" w14:textId="77777777" w:rsidR="00B10994" w:rsidRPr="009F1E40" w:rsidRDefault="00B10994"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w:t>
      </w:r>
      <w:r w:rsidR="00E30CDE">
        <w:rPr>
          <w:rFonts w:ascii="Times New Roman" w:hAnsi="Times New Roman"/>
          <w:bCs/>
          <w:color w:val="000000"/>
          <w:sz w:val="24"/>
          <w:szCs w:val="24"/>
        </w:rPr>
        <w:t>20</w:t>
      </w:r>
      <w:r w:rsidRPr="009F1E40">
        <w:rPr>
          <w:rFonts w:ascii="Times New Roman" w:hAnsi="Times New Roman"/>
          <w:bCs/>
          <w:color w:val="000000"/>
          <w:sz w:val="24"/>
          <w:szCs w:val="24"/>
        </w:rPr>
        <w:t>.</w:t>
      </w:r>
      <w:r w:rsidR="00E30CDE">
        <w:rPr>
          <w:rFonts w:ascii="Times New Roman" w:hAnsi="Times New Roman"/>
          <w:bCs/>
          <w:color w:val="000000"/>
          <w:sz w:val="24"/>
          <w:szCs w:val="24"/>
        </w:rPr>
        <w:t>1</w:t>
      </w:r>
      <w:r w:rsidRPr="009F1E40">
        <w:rPr>
          <w:rFonts w:ascii="Times New Roman" w:hAnsi="Times New Roman"/>
          <w:bCs/>
          <w:color w:val="000000"/>
          <w:sz w:val="24"/>
          <w:szCs w:val="24"/>
        </w:rPr>
        <w:tab/>
        <w:t xml:space="preserve">Describes that a student with disability with high cost needs means a student enrolled with a provider, who has been assessed by the provider as having disability, and has received </w:t>
      </w:r>
      <w:r w:rsidR="00656E0D">
        <w:rPr>
          <w:rFonts w:ascii="Times New Roman" w:hAnsi="Times New Roman"/>
          <w:bCs/>
          <w:color w:val="000000"/>
          <w:sz w:val="24"/>
          <w:szCs w:val="24"/>
        </w:rPr>
        <w:t xml:space="preserve">from the provider </w:t>
      </w:r>
      <w:r w:rsidRPr="009F1E40">
        <w:rPr>
          <w:rFonts w:ascii="Times New Roman" w:hAnsi="Times New Roman"/>
          <w:bCs/>
          <w:color w:val="000000"/>
          <w:sz w:val="24"/>
          <w:szCs w:val="24"/>
        </w:rPr>
        <w:t xml:space="preserve">educational support and equipment related to that disability in a calendar year for an amount that exceeds the </w:t>
      </w:r>
      <w:r w:rsidR="00656E0D">
        <w:rPr>
          <w:rFonts w:ascii="Times New Roman" w:hAnsi="Times New Roman"/>
          <w:bCs/>
          <w:color w:val="000000"/>
          <w:sz w:val="24"/>
          <w:szCs w:val="24"/>
        </w:rPr>
        <w:t>th</w:t>
      </w:r>
      <w:r w:rsidRPr="009F1E40">
        <w:rPr>
          <w:rFonts w:ascii="Times New Roman" w:hAnsi="Times New Roman"/>
          <w:bCs/>
          <w:color w:val="000000"/>
          <w:sz w:val="24"/>
          <w:szCs w:val="24"/>
        </w:rPr>
        <w:t>reshold specified at 1.1</w:t>
      </w:r>
      <w:r w:rsidR="00E30CDE">
        <w:rPr>
          <w:rFonts w:ascii="Times New Roman" w:hAnsi="Times New Roman"/>
          <w:bCs/>
          <w:color w:val="000000"/>
          <w:sz w:val="24"/>
          <w:szCs w:val="24"/>
        </w:rPr>
        <w:t>20</w:t>
      </w:r>
      <w:r w:rsidRPr="009F1E40">
        <w:rPr>
          <w:rFonts w:ascii="Times New Roman" w:hAnsi="Times New Roman"/>
          <w:bCs/>
          <w:color w:val="000000"/>
          <w:sz w:val="24"/>
          <w:szCs w:val="24"/>
        </w:rPr>
        <w:t>.</w:t>
      </w:r>
      <w:r w:rsidR="00E30CDE">
        <w:rPr>
          <w:rFonts w:ascii="Times New Roman" w:hAnsi="Times New Roman"/>
          <w:bCs/>
          <w:color w:val="000000"/>
          <w:sz w:val="24"/>
          <w:szCs w:val="24"/>
        </w:rPr>
        <w:t>5</w:t>
      </w:r>
      <w:r w:rsidRPr="009F1E40">
        <w:rPr>
          <w:rFonts w:ascii="Times New Roman" w:hAnsi="Times New Roman"/>
          <w:bCs/>
          <w:color w:val="000000"/>
          <w:sz w:val="24"/>
          <w:szCs w:val="24"/>
        </w:rPr>
        <w:t xml:space="preserve">. </w:t>
      </w:r>
    </w:p>
    <w:p w14:paraId="54B0FA8F" w14:textId="77777777" w:rsidR="00767834" w:rsidRPr="009F1E40" w:rsidRDefault="00767834" w:rsidP="00B9501D">
      <w:pPr>
        <w:spacing w:before="120" w:after="120"/>
        <w:ind w:left="1361" w:hanging="1361"/>
        <w:rPr>
          <w:rFonts w:ascii="Times New Roman" w:hAnsi="Times New Roman"/>
          <w:bCs/>
          <w:color w:val="000000"/>
          <w:sz w:val="24"/>
          <w:szCs w:val="24"/>
        </w:rPr>
      </w:pPr>
    </w:p>
    <w:p w14:paraId="54B0FA90" w14:textId="77777777" w:rsidR="00767834" w:rsidRPr="009F1E40" w:rsidRDefault="00767834"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w:t>
      </w:r>
      <w:r w:rsidR="00E30CDE">
        <w:rPr>
          <w:rFonts w:ascii="Times New Roman" w:hAnsi="Times New Roman"/>
          <w:bCs/>
          <w:color w:val="000000"/>
          <w:sz w:val="24"/>
          <w:szCs w:val="24"/>
        </w:rPr>
        <w:t>20</w:t>
      </w:r>
      <w:r w:rsidRPr="009F1E40">
        <w:rPr>
          <w:rFonts w:ascii="Times New Roman" w:hAnsi="Times New Roman"/>
          <w:bCs/>
          <w:color w:val="000000"/>
          <w:sz w:val="24"/>
          <w:szCs w:val="24"/>
        </w:rPr>
        <w:t>.</w:t>
      </w:r>
      <w:r w:rsidR="00E30CDE">
        <w:rPr>
          <w:rFonts w:ascii="Times New Roman" w:hAnsi="Times New Roman"/>
          <w:bCs/>
          <w:color w:val="000000"/>
          <w:sz w:val="24"/>
          <w:szCs w:val="24"/>
        </w:rPr>
        <w:t>5</w:t>
      </w:r>
      <w:r w:rsidRPr="009F1E40">
        <w:rPr>
          <w:rFonts w:ascii="Times New Roman" w:hAnsi="Times New Roman"/>
          <w:bCs/>
          <w:color w:val="000000"/>
          <w:sz w:val="24"/>
          <w:szCs w:val="24"/>
        </w:rPr>
        <w:tab/>
      </w:r>
      <w:r w:rsidR="00656E0D">
        <w:rPr>
          <w:rFonts w:ascii="Times New Roman" w:hAnsi="Times New Roman"/>
          <w:bCs/>
          <w:color w:val="000000"/>
          <w:sz w:val="24"/>
          <w:szCs w:val="24"/>
        </w:rPr>
        <w:t>Specifies t</w:t>
      </w:r>
      <w:r w:rsidR="002F6989" w:rsidRPr="009F1E40">
        <w:rPr>
          <w:rFonts w:ascii="Times New Roman" w:hAnsi="Times New Roman"/>
          <w:bCs/>
          <w:color w:val="000000"/>
          <w:sz w:val="24"/>
          <w:szCs w:val="24"/>
        </w:rPr>
        <w:t xml:space="preserve">he student with disability with high cost needs threshold in </w:t>
      </w:r>
      <w:r w:rsidR="003E4BDA">
        <w:rPr>
          <w:rFonts w:ascii="Times New Roman" w:hAnsi="Times New Roman"/>
          <w:bCs/>
          <w:color w:val="000000"/>
          <w:sz w:val="24"/>
          <w:szCs w:val="24"/>
        </w:rPr>
        <w:t>2020</w:t>
      </w:r>
      <w:r w:rsidR="002F6989" w:rsidRPr="009F1E40">
        <w:rPr>
          <w:rFonts w:ascii="Times New Roman" w:hAnsi="Times New Roman"/>
          <w:bCs/>
          <w:color w:val="000000"/>
          <w:sz w:val="24"/>
          <w:szCs w:val="24"/>
        </w:rPr>
        <w:t xml:space="preserve">. This amount will be indexed </w:t>
      </w:r>
      <w:r w:rsidR="00656E0D">
        <w:rPr>
          <w:rFonts w:ascii="Times New Roman" w:hAnsi="Times New Roman"/>
          <w:bCs/>
          <w:color w:val="000000"/>
          <w:sz w:val="24"/>
          <w:szCs w:val="24"/>
        </w:rPr>
        <w:t xml:space="preserve">for subsequent years in </w:t>
      </w:r>
      <w:r w:rsidR="002F6989" w:rsidRPr="009F1E40">
        <w:rPr>
          <w:rFonts w:ascii="Times New Roman" w:hAnsi="Times New Roman"/>
          <w:bCs/>
          <w:color w:val="000000"/>
          <w:sz w:val="24"/>
          <w:szCs w:val="24"/>
        </w:rPr>
        <w:t xml:space="preserve">accordance with the method </w:t>
      </w:r>
      <w:r w:rsidR="00656E0D">
        <w:rPr>
          <w:rFonts w:ascii="Times New Roman" w:hAnsi="Times New Roman"/>
          <w:bCs/>
          <w:color w:val="000000"/>
          <w:sz w:val="24"/>
          <w:szCs w:val="24"/>
        </w:rPr>
        <w:t xml:space="preserve">specified </w:t>
      </w:r>
      <w:r w:rsidR="002F6989" w:rsidRPr="009F1E40">
        <w:rPr>
          <w:rFonts w:ascii="Times New Roman" w:hAnsi="Times New Roman"/>
          <w:bCs/>
          <w:color w:val="000000"/>
          <w:sz w:val="24"/>
          <w:szCs w:val="24"/>
        </w:rPr>
        <w:t>in Part 5-6 of the Act.</w:t>
      </w:r>
    </w:p>
    <w:p w14:paraId="54B0FA91" w14:textId="77777777" w:rsidR="00A101B6" w:rsidRPr="009F1E40" w:rsidRDefault="00A101B6" w:rsidP="00B9501D">
      <w:pPr>
        <w:spacing w:before="120" w:after="120"/>
        <w:ind w:left="1361" w:hanging="1361"/>
        <w:rPr>
          <w:rFonts w:ascii="Times New Roman" w:hAnsi="Times New Roman"/>
          <w:bCs/>
          <w:color w:val="000000"/>
          <w:sz w:val="24"/>
          <w:szCs w:val="24"/>
        </w:rPr>
      </w:pPr>
    </w:p>
    <w:p w14:paraId="54B0FA92" w14:textId="77777777" w:rsidR="00A101B6" w:rsidRDefault="00A101B6" w:rsidP="00B9501D">
      <w:pPr>
        <w:spacing w:before="120" w:after="120"/>
        <w:ind w:left="1361" w:hanging="1361"/>
        <w:rPr>
          <w:rFonts w:ascii="Times New Roman" w:hAnsi="Times New Roman"/>
          <w:bCs/>
          <w:color w:val="000000"/>
          <w:sz w:val="24"/>
          <w:szCs w:val="24"/>
        </w:rPr>
      </w:pPr>
      <w:r w:rsidRPr="009F1E40">
        <w:rPr>
          <w:rFonts w:ascii="Times New Roman" w:hAnsi="Times New Roman"/>
          <w:bCs/>
          <w:color w:val="000000"/>
          <w:sz w:val="24"/>
          <w:szCs w:val="24"/>
        </w:rPr>
        <w:t>1.1</w:t>
      </w:r>
      <w:r w:rsidR="00E30CDE">
        <w:rPr>
          <w:rFonts w:ascii="Times New Roman" w:hAnsi="Times New Roman"/>
          <w:bCs/>
          <w:color w:val="000000"/>
          <w:sz w:val="24"/>
          <w:szCs w:val="24"/>
        </w:rPr>
        <w:t>20.10</w:t>
      </w:r>
      <w:r w:rsidRPr="009F1E40">
        <w:rPr>
          <w:rFonts w:ascii="Times New Roman" w:hAnsi="Times New Roman"/>
          <w:bCs/>
          <w:color w:val="000000"/>
          <w:sz w:val="24"/>
          <w:szCs w:val="24"/>
        </w:rPr>
        <w:tab/>
      </w:r>
      <w:r w:rsidR="00E22A32" w:rsidRPr="009F1E40">
        <w:rPr>
          <w:rFonts w:ascii="Times New Roman" w:hAnsi="Times New Roman"/>
          <w:bCs/>
          <w:color w:val="000000"/>
          <w:sz w:val="24"/>
          <w:szCs w:val="24"/>
        </w:rPr>
        <w:t xml:space="preserve">Sets out the formula used to calculate the students with disability with high cost needs amount </w:t>
      </w:r>
      <w:r w:rsidR="004F1099" w:rsidRPr="009F1E40">
        <w:rPr>
          <w:rFonts w:ascii="Times New Roman" w:hAnsi="Times New Roman"/>
          <w:bCs/>
          <w:color w:val="000000"/>
          <w:sz w:val="24"/>
          <w:szCs w:val="24"/>
        </w:rPr>
        <w:t xml:space="preserve">payable to a </w:t>
      </w:r>
      <w:r w:rsidR="00E22A32" w:rsidRPr="009F1E40">
        <w:rPr>
          <w:rFonts w:ascii="Times New Roman" w:hAnsi="Times New Roman"/>
          <w:bCs/>
          <w:color w:val="000000"/>
          <w:sz w:val="24"/>
          <w:szCs w:val="24"/>
        </w:rPr>
        <w:t>provider.</w:t>
      </w:r>
    </w:p>
    <w:p w14:paraId="54B0FA93" w14:textId="77777777" w:rsidR="00373F2E" w:rsidRDefault="00373F2E" w:rsidP="00B9501D">
      <w:pPr>
        <w:spacing w:before="120" w:after="120"/>
        <w:ind w:left="1361" w:hanging="1361"/>
        <w:rPr>
          <w:rFonts w:ascii="Times New Roman" w:hAnsi="Times New Roman"/>
          <w:bCs/>
          <w:color w:val="000000"/>
          <w:sz w:val="24"/>
          <w:szCs w:val="24"/>
        </w:rPr>
      </w:pPr>
    </w:p>
    <w:p w14:paraId="54B0FA94" w14:textId="77777777" w:rsidR="00373F2E" w:rsidRPr="009F1E40" w:rsidRDefault="00373F2E" w:rsidP="00B9501D">
      <w:pPr>
        <w:spacing w:before="120" w:after="120"/>
        <w:ind w:left="1361" w:hanging="1361"/>
        <w:rPr>
          <w:rFonts w:ascii="Times New Roman" w:hAnsi="Times New Roman"/>
          <w:bCs/>
          <w:color w:val="000000"/>
          <w:sz w:val="24"/>
          <w:szCs w:val="24"/>
        </w:rPr>
      </w:pPr>
      <w:r>
        <w:rPr>
          <w:rFonts w:ascii="Times New Roman" w:hAnsi="Times New Roman"/>
          <w:bCs/>
          <w:color w:val="000000"/>
          <w:sz w:val="24"/>
          <w:szCs w:val="24"/>
        </w:rPr>
        <w:t>1.120.15</w:t>
      </w:r>
      <w:r>
        <w:rPr>
          <w:rFonts w:ascii="Times New Roman" w:hAnsi="Times New Roman"/>
          <w:bCs/>
          <w:color w:val="000000"/>
          <w:sz w:val="24"/>
          <w:szCs w:val="24"/>
        </w:rPr>
        <w:tab/>
        <w:t>Specifies that if the sum total of claims from all providers for students with disability with high cost needs is less than the annual amount available for students with disability with high cost needs the balance will be distributed according to the formula at 1.115.1.</w:t>
      </w:r>
    </w:p>
    <w:p w14:paraId="54B0FA95" w14:textId="77777777" w:rsidR="002F6989" w:rsidRPr="009F1E40" w:rsidRDefault="002F6989" w:rsidP="00B9501D">
      <w:pPr>
        <w:spacing w:before="120" w:after="120"/>
        <w:ind w:left="1361" w:hanging="1361"/>
        <w:rPr>
          <w:rFonts w:ascii="Times New Roman" w:hAnsi="Times New Roman"/>
          <w:bCs/>
          <w:color w:val="000000"/>
          <w:sz w:val="24"/>
          <w:szCs w:val="24"/>
        </w:rPr>
      </w:pPr>
    </w:p>
    <w:p w14:paraId="54B0FA96" w14:textId="77777777" w:rsidR="00C649B8" w:rsidRDefault="00934AC9" w:rsidP="00C649B8">
      <w:pPr>
        <w:spacing w:before="120" w:after="120"/>
        <w:ind w:left="1361" w:hanging="1361"/>
        <w:rPr>
          <w:rFonts w:ascii="Times New Roman" w:hAnsi="Times New Roman"/>
          <w:bCs/>
          <w:color w:val="000000"/>
          <w:sz w:val="24"/>
          <w:szCs w:val="24"/>
        </w:rPr>
      </w:pPr>
      <w:r>
        <w:rPr>
          <w:rFonts w:ascii="Times New Roman" w:hAnsi="Times New Roman"/>
          <w:bCs/>
          <w:color w:val="000000"/>
          <w:sz w:val="24"/>
          <w:szCs w:val="24"/>
        </w:rPr>
        <w:t>1.12</w:t>
      </w:r>
      <w:r w:rsidR="00E30CDE">
        <w:rPr>
          <w:rFonts w:ascii="Times New Roman" w:hAnsi="Times New Roman"/>
          <w:bCs/>
          <w:color w:val="000000"/>
          <w:sz w:val="24"/>
          <w:szCs w:val="24"/>
        </w:rPr>
        <w:t>5</w:t>
      </w:r>
      <w:r>
        <w:rPr>
          <w:rFonts w:ascii="Times New Roman" w:hAnsi="Times New Roman"/>
          <w:bCs/>
          <w:color w:val="000000"/>
          <w:sz w:val="24"/>
          <w:szCs w:val="24"/>
        </w:rPr>
        <w:t>.</w:t>
      </w:r>
      <w:r w:rsidR="00E30CDE">
        <w:rPr>
          <w:rFonts w:ascii="Times New Roman" w:hAnsi="Times New Roman"/>
          <w:bCs/>
          <w:color w:val="000000"/>
          <w:sz w:val="24"/>
          <w:szCs w:val="24"/>
        </w:rPr>
        <w:t>1</w:t>
      </w:r>
      <w:r>
        <w:rPr>
          <w:rFonts w:ascii="Times New Roman" w:hAnsi="Times New Roman"/>
          <w:bCs/>
          <w:color w:val="000000"/>
          <w:sz w:val="24"/>
          <w:szCs w:val="24"/>
        </w:rPr>
        <w:tab/>
      </w:r>
      <w:r w:rsidR="00C649B8" w:rsidRPr="009F1E40">
        <w:rPr>
          <w:rFonts w:ascii="Times New Roman" w:hAnsi="Times New Roman"/>
          <w:bCs/>
          <w:color w:val="000000"/>
          <w:sz w:val="24"/>
          <w:szCs w:val="24"/>
        </w:rPr>
        <w:t xml:space="preserve">Specifies that providers will receive their allocation </w:t>
      </w:r>
      <w:r w:rsidR="00C649B8">
        <w:rPr>
          <w:rFonts w:ascii="Times New Roman" w:hAnsi="Times New Roman"/>
          <w:bCs/>
          <w:color w:val="000000"/>
          <w:sz w:val="24"/>
          <w:szCs w:val="24"/>
        </w:rPr>
        <w:t>of DSF enrolments-based funds for</w:t>
      </w:r>
      <w:r w:rsidR="00C649B8" w:rsidRPr="009F1E40">
        <w:rPr>
          <w:rFonts w:ascii="Times New Roman" w:hAnsi="Times New Roman"/>
          <w:bCs/>
          <w:color w:val="000000"/>
          <w:sz w:val="24"/>
          <w:szCs w:val="24"/>
        </w:rPr>
        <w:t xml:space="preserve"> each calendar year prior to the end of that calendar year.</w:t>
      </w:r>
    </w:p>
    <w:p w14:paraId="54B0FA97" w14:textId="77777777" w:rsidR="00C649B8" w:rsidRDefault="00C649B8" w:rsidP="00FD5000">
      <w:pPr>
        <w:spacing w:before="120" w:after="120"/>
        <w:ind w:left="1361" w:hanging="1361"/>
        <w:rPr>
          <w:rFonts w:ascii="Times New Roman" w:hAnsi="Times New Roman"/>
          <w:bCs/>
          <w:color w:val="000000"/>
          <w:sz w:val="24"/>
          <w:szCs w:val="24"/>
        </w:rPr>
      </w:pPr>
    </w:p>
    <w:p w14:paraId="54B0FA98" w14:textId="77777777" w:rsidR="00FD5000" w:rsidRDefault="00C649B8" w:rsidP="00FD5000">
      <w:pPr>
        <w:spacing w:before="120" w:after="120"/>
        <w:ind w:left="1361" w:hanging="1361"/>
        <w:rPr>
          <w:rFonts w:ascii="Times New Roman" w:hAnsi="Times New Roman"/>
          <w:bCs/>
          <w:color w:val="000000"/>
          <w:sz w:val="24"/>
          <w:szCs w:val="24"/>
        </w:rPr>
      </w:pPr>
      <w:r>
        <w:rPr>
          <w:rFonts w:ascii="Times New Roman" w:hAnsi="Times New Roman"/>
          <w:bCs/>
          <w:color w:val="000000"/>
          <w:sz w:val="24"/>
          <w:szCs w:val="24"/>
        </w:rPr>
        <w:t>1.12</w:t>
      </w:r>
      <w:r w:rsidR="00E30CDE">
        <w:rPr>
          <w:rFonts w:ascii="Times New Roman" w:hAnsi="Times New Roman"/>
          <w:bCs/>
          <w:color w:val="000000"/>
          <w:sz w:val="24"/>
          <w:szCs w:val="24"/>
        </w:rPr>
        <w:t>5</w:t>
      </w:r>
      <w:r>
        <w:rPr>
          <w:rFonts w:ascii="Times New Roman" w:hAnsi="Times New Roman"/>
          <w:bCs/>
          <w:color w:val="000000"/>
          <w:sz w:val="24"/>
          <w:szCs w:val="24"/>
        </w:rPr>
        <w:t>.</w:t>
      </w:r>
      <w:r w:rsidR="00E30CDE">
        <w:rPr>
          <w:rFonts w:ascii="Times New Roman" w:hAnsi="Times New Roman"/>
          <w:bCs/>
          <w:color w:val="000000"/>
          <w:sz w:val="24"/>
          <w:szCs w:val="24"/>
        </w:rPr>
        <w:t>5</w:t>
      </w:r>
      <w:r>
        <w:rPr>
          <w:rFonts w:ascii="Times New Roman" w:hAnsi="Times New Roman"/>
          <w:bCs/>
          <w:color w:val="000000"/>
          <w:sz w:val="24"/>
          <w:szCs w:val="24"/>
        </w:rPr>
        <w:tab/>
      </w:r>
      <w:r w:rsidR="00FD5000" w:rsidRPr="009F1E40">
        <w:rPr>
          <w:rFonts w:ascii="Times New Roman" w:hAnsi="Times New Roman"/>
          <w:bCs/>
          <w:color w:val="000000"/>
          <w:sz w:val="24"/>
          <w:szCs w:val="24"/>
        </w:rPr>
        <w:t>Specifies that providers may claim for educational support provided to students with disability with high cost needs in the preceding calendar year.</w:t>
      </w:r>
      <w:r w:rsidR="00FD5000">
        <w:rPr>
          <w:rFonts w:ascii="Times New Roman" w:hAnsi="Times New Roman"/>
          <w:bCs/>
          <w:color w:val="000000"/>
          <w:sz w:val="24"/>
          <w:szCs w:val="24"/>
        </w:rPr>
        <w:t xml:space="preserve"> Claims for funding must be in a form </w:t>
      </w:r>
      <w:r w:rsidR="006946A6">
        <w:rPr>
          <w:rFonts w:ascii="Times New Roman" w:hAnsi="Times New Roman"/>
          <w:bCs/>
          <w:color w:val="000000"/>
          <w:sz w:val="24"/>
          <w:szCs w:val="24"/>
        </w:rPr>
        <w:t>specified</w:t>
      </w:r>
      <w:r w:rsidR="00FD5000">
        <w:rPr>
          <w:rFonts w:ascii="Times New Roman" w:hAnsi="Times New Roman"/>
          <w:bCs/>
          <w:color w:val="000000"/>
          <w:sz w:val="24"/>
          <w:szCs w:val="24"/>
        </w:rPr>
        <w:t xml:space="preserve"> by the department. </w:t>
      </w:r>
    </w:p>
    <w:p w14:paraId="54B0FA99" w14:textId="77777777" w:rsidR="004F1099" w:rsidRDefault="004F1099" w:rsidP="00FD5000">
      <w:pPr>
        <w:spacing w:before="120" w:after="120"/>
        <w:rPr>
          <w:rFonts w:ascii="Times New Roman" w:hAnsi="Times New Roman"/>
          <w:bCs/>
          <w:color w:val="000000"/>
          <w:sz w:val="24"/>
          <w:szCs w:val="24"/>
        </w:rPr>
      </w:pPr>
    </w:p>
    <w:p w14:paraId="54B0FA9A" w14:textId="77777777" w:rsidR="00C40F76" w:rsidRPr="009F1E40" w:rsidRDefault="000A76A9" w:rsidP="00FD5000">
      <w:pPr>
        <w:spacing w:before="120" w:after="120"/>
        <w:ind w:left="1361" w:hanging="1361"/>
        <w:rPr>
          <w:rFonts w:ascii="Times New Roman" w:hAnsi="Times New Roman"/>
          <w:bCs/>
          <w:color w:val="000000"/>
          <w:sz w:val="24"/>
          <w:szCs w:val="24"/>
        </w:rPr>
      </w:pPr>
      <w:r>
        <w:rPr>
          <w:rFonts w:ascii="Times New Roman" w:hAnsi="Times New Roman"/>
          <w:bCs/>
          <w:color w:val="000000"/>
          <w:sz w:val="24"/>
          <w:szCs w:val="24"/>
        </w:rPr>
        <w:t>1.1</w:t>
      </w:r>
      <w:r w:rsidR="00E30CDE">
        <w:rPr>
          <w:rFonts w:ascii="Times New Roman" w:hAnsi="Times New Roman"/>
          <w:bCs/>
          <w:color w:val="000000"/>
          <w:sz w:val="24"/>
          <w:szCs w:val="24"/>
        </w:rPr>
        <w:t>30</w:t>
      </w:r>
      <w:r w:rsidR="00A50F3A">
        <w:rPr>
          <w:rFonts w:ascii="Times New Roman" w:hAnsi="Times New Roman"/>
          <w:bCs/>
          <w:color w:val="000000"/>
          <w:sz w:val="24"/>
          <w:szCs w:val="24"/>
        </w:rPr>
        <w:t>.1</w:t>
      </w:r>
      <w:r w:rsidR="00A50F3A">
        <w:rPr>
          <w:rFonts w:ascii="Times New Roman" w:hAnsi="Times New Roman"/>
          <w:bCs/>
          <w:color w:val="000000"/>
          <w:sz w:val="24"/>
          <w:szCs w:val="24"/>
        </w:rPr>
        <w:tab/>
        <w:t xml:space="preserve">Stipulates </w:t>
      </w:r>
      <w:r>
        <w:rPr>
          <w:rFonts w:ascii="Times New Roman" w:hAnsi="Times New Roman"/>
          <w:bCs/>
          <w:color w:val="000000"/>
          <w:sz w:val="24"/>
          <w:szCs w:val="24"/>
        </w:rPr>
        <w:t xml:space="preserve">that if a provider earns interest on DSF funds, that interest must be spent on eligible DSF activities. </w:t>
      </w:r>
    </w:p>
    <w:p w14:paraId="54B0FA9B" w14:textId="77777777" w:rsidR="00E22A32" w:rsidRPr="009F1E40" w:rsidRDefault="00E22A32" w:rsidP="00B9501D">
      <w:pPr>
        <w:ind w:left="1361" w:hanging="1361"/>
        <w:rPr>
          <w:rFonts w:ascii="Times New Roman" w:hAnsi="Times New Roman"/>
          <w:bCs/>
          <w:color w:val="000000"/>
          <w:sz w:val="24"/>
          <w:szCs w:val="24"/>
        </w:rPr>
      </w:pPr>
    </w:p>
    <w:p w14:paraId="54B0FA9C" w14:textId="6A37CA75" w:rsidR="00C40F76" w:rsidRDefault="00536848" w:rsidP="00536848">
      <w:pPr>
        <w:ind w:left="1361" w:hanging="1361"/>
        <w:rPr>
          <w:rFonts w:ascii="Times New Roman" w:hAnsi="Times New Roman"/>
          <w:bCs/>
          <w:color w:val="000000"/>
          <w:sz w:val="24"/>
          <w:szCs w:val="24"/>
        </w:rPr>
      </w:pPr>
      <w:r>
        <w:rPr>
          <w:rFonts w:ascii="Times New Roman" w:hAnsi="Times New Roman"/>
          <w:bCs/>
          <w:color w:val="000000"/>
          <w:sz w:val="24"/>
          <w:szCs w:val="24"/>
        </w:rPr>
        <w:t>1.13</w:t>
      </w:r>
      <w:r w:rsidR="00E30CDE">
        <w:rPr>
          <w:rFonts w:ascii="Times New Roman" w:hAnsi="Times New Roman"/>
          <w:bCs/>
          <w:color w:val="000000"/>
          <w:sz w:val="24"/>
          <w:szCs w:val="24"/>
        </w:rPr>
        <w:t>5</w:t>
      </w:r>
      <w:r>
        <w:rPr>
          <w:rFonts w:ascii="Times New Roman" w:hAnsi="Times New Roman"/>
          <w:bCs/>
          <w:color w:val="000000"/>
          <w:sz w:val="24"/>
          <w:szCs w:val="24"/>
        </w:rPr>
        <w:t>.1</w:t>
      </w:r>
      <w:r w:rsidR="00E22A32" w:rsidRPr="009F1E40">
        <w:rPr>
          <w:rFonts w:ascii="Times New Roman" w:hAnsi="Times New Roman"/>
          <w:bCs/>
          <w:color w:val="000000"/>
          <w:sz w:val="24"/>
          <w:szCs w:val="24"/>
        </w:rPr>
        <w:tab/>
      </w:r>
      <w:r w:rsidRPr="009F1E40">
        <w:rPr>
          <w:rFonts w:ascii="Times New Roman" w:hAnsi="Times New Roman"/>
          <w:bCs/>
          <w:color w:val="000000"/>
          <w:sz w:val="24"/>
          <w:szCs w:val="24"/>
        </w:rPr>
        <w:t>S</w:t>
      </w:r>
      <w:r w:rsidR="00A50F3A">
        <w:rPr>
          <w:rFonts w:ascii="Times New Roman" w:hAnsi="Times New Roman"/>
          <w:bCs/>
          <w:color w:val="000000"/>
          <w:sz w:val="24"/>
          <w:szCs w:val="24"/>
        </w:rPr>
        <w:t>tipulates</w:t>
      </w:r>
      <w:r w:rsidRPr="009F1E40">
        <w:rPr>
          <w:rFonts w:ascii="Times New Roman" w:hAnsi="Times New Roman"/>
          <w:bCs/>
          <w:color w:val="000000"/>
          <w:sz w:val="24"/>
          <w:szCs w:val="24"/>
        </w:rPr>
        <w:t xml:space="preserve"> eligible activities that may be undertaken </w:t>
      </w:r>
      <w:r w:rsidR="00EC2FEC">
        <w:rPr>
          <w:rFonts w:ascii="Times New Roman" w:hAnsi="Times New Roman"/>
          <w:bCs/>
          <w:color w:val="000000"/>
          <w:sz w:val="24"/>
          <w:szCs w:val="24"/>
        </w:rPr>
        <w:t>with</w:t>
      </w:r>
      <w:r w:rsidRPr="009F1E40">
        <w:rPr>
          <w:rFonts w:ascii="Times New Roman" w:hAnsi="Times New Roman"/>
          <w:bCs/>
          <w:color w:val="000000"/>
          <w:sz w:val="24"/>
          <w:szCs w:val="24"/>
        </w:rPr>
        <w:t xml:space="preserve"> D</w:t>
      </w:r>
      <w:r>
        <w:rPr>
          <w:rFonts w:ascii="Times New Roman" w:hAnsi="Times New Roman"/>
          <w:bCs/>
          <w:color w:val="000000"/>
          <w:sz w:val="24"/>
          <w:szCs w:val="24"/>
        </w:rPr>
        <w:t>SF</w:t>
      </w:r>
      <w:r w:rsidRPr="009F1E40">
        <w:rPr>
          <w:rFonts w:ascii="Times New Roman" w:hAnsi="Times New Roman"/>
          <w:bCs/>
          <w:color w:val="000000"/>
          <w:sz w:val="24"/>
          <w:szCs w:val="24"/>
        </w:rPr>
        <w:t xml:space="preserve"> funding</w:t>
      </w:r>
      <w:r w:rsidR="003F371E">
        <w:rPr>
          <w:rFonts w:ascii="Times New Roman" w:hAnsi="Times New Roman"/>
          <w:bCs/>
          <w:color w:val="000000"/>
          <w:sz w:val="24"/>
          <w:szCs w:val="24"/>
        </w:rPr>
        <w:t>, which are:</w:t>
      </w:r>
    </w:p>
    <w:p w14:paraId="2B64BEE8" w14:textId="0A653C5A" w:rsidR="003F371E" w:rsidRDefault="003F371E" w:rsidP="00CB1519">
      <w:pPr>
        <w:rPr>
          <w:rFonts w:ascii="Times New Roman" w:hAnsi="Times New Roman"/>
          <w:bCs/>
          <w:color w:val="000000"/>
          <w:sz w:val="24"/>
          <w:szCs w:val="24"/>
        </w:rPr>
      </w:pPr>
    </w:p>
    <w:p w14:paraId="52FC82C7" w14:textId="77777777" w:rsidR="003F371E" w:rsidRPr="00053C1E" w:rsidRDefault="003F371E" w:rsidP="003F371E">
      <w:pPr>
        <w:pStyle w:val="ListParagraph"/>
        <w:numPr>
          <w:ilvl w:val="0"/>
          <w:numId w:val="42"/>
        </w:numPr>
        <w:rPr>
          <w:rFonts w:ascii="Times New Roman" w:hAnsi="Times New Roman"/>
          <w:bCs/>
          <w:color w:val="000000"/>
          <w:sz w:val="24"/>
          <w:szCs w:val="24"/>
        </w:rPr>
      </w:pPr>
      <w:r w:rsidRPr="00053C1E">
        <w:rPr>
          <w:rFonts w:ascii="Times New Roman" w:hAnsi="Times New Roman"/>
          <w:bCs/>
          <w:color w:val="000000"/>
          <w:sz w:val="24"/>
          <w:szCs w:val="24"/>
        </w:rPr>
        <w:t>activities aimed at attracting and supporting students with disability to participate in higher education;</w:t>
      </w:r>
    </w:p>
    <w:p w14:paraId="3C31E47C" w14:textId="77777777" w:rsidR="003F371E" w:rsidRPr="00053C1E" w:rsidRDefault="003F371E" w:rsidP="003F371E">
      <w:pPr>
        <w:pStyle w:val="ListParagraph"/>
        <w:numPr>
          <w:ilvl w:val="0"/>
          <w:numId w:val="42"/>
        </w:numPr>
        <w:rPr>
          <w:rFonts w:ascii="Times New Roman" w:hAnsi="Times New Roman"/>
          <w:bCs/>
          <w:color w:val="000000"/>
          <w:sz w:val="24"/>
          <w:szCs w:val="24"/>
        </w:rPr>
      </w:pPr>
      <w:r w:rsidRPr="00053C1E">
        <w:rPr>
          <w:rFonts w:ascii="Times New Roman" w:hAnsi="Times New Roman"/>
          <w:bCs/>
          <w:color w:val="000000"/>
          <w:sz w:val="24"/>
          <w:szCs w:val="24"/>
        </w:rPr>
        <w:t>providing educational support and equipment for students with disability;</w:t>
      </w:r>
    </w:p>
    <w:p w14:paraId="61173ADE" w14:textId="77777777" w:rsidR="003F371E" w:rsidRPr="00053C1E" w:rsidRDefault="003F371E" w:rsidP="003F371E">
      <w:pPr>
        <w:pStyle w:val="ListParagraph"/>
        <w:numPr>
          <w:ilvl w:val="0"/>
          <w:numId w:val="42"/>
        </w:numPr>
        <w:rPr>
          <w:rFonts w:ascii="Times New Roman" w:hAnsi="Times New Roman"/>
          <w:bCs/>
          <w:color w:val="000000"/>
          <w:sz w:val="24"/>
          <w:szCs w:val="24"/>
        </w:rPr>
      </w:pPr>
      <w:r w:rsidRPr="00053C1E">
        <w:rPr>
          <w:rFonts w:ascii="Times New Roman" w:hAnsi="Times New Roman"/>
          <w:bCs/>
          <w:color w:val="000000"/>
          <w:sz w:val="24"/>
          <w:szCs w:val="24"/>
        </w:rPr>
        <w:t>modifications to course content, teaching materials and delivery methods to better meet the needs of students with disability; or</w:t>
      </w:r>
    </w:p>
    <w:p w14:paraId="533A3DF9" w14:textId="77777777" w:rsidR="003F371E" w:rsidRPr="00053C1E" w:rsidRDefault="003F371E" w:rsidP="003F371E">
      <w:pPr>
        <w:pStyle w:val="ListParagraph"/>
        <w:numPr>
          <w:ilvl w:val="0"/>
          <w:numId w:val="42"/>
        </w:numPr>
        <w:rPr>
          <w:rFonts w:ascii="Times New Roman" w:hAnsi="Times New Roman"/>
          <w:bCs/>
          <w:color w:val="000000"/>
          <w:sz w:val="24"/>
          <w:szCs w:val="24"/>
        </w:rPr>
      </w:pPr>
      <w:r w:rsidRPr="00053C1E">
        <w:rPr>
          <w:rFonts w:ascii="Times New Roman" w:hAnsi="Times New Roman"/>
          <w:bCs/>
          <w:color w:val="000000"/>
          <w:sz w:val="24"/>
          <w:szCs w:val="24"/>
        </w:rPr>
        <w:t>training of provider staff to support students with disability</w:t>
      </w:r>
      <w:r>
        <w:rPr>
          <w:rFonts w:ascii="Times New Roman" w:hAnsi="Times New Roman"/>
          <w:bCs/>
          <w:color w:val="000000"/>
          <w:sz w:val="24"/>
          <w:szCs w:val="24"/>
        </w:rPr>
        <w:t>.</w:t>
      </w:r>
    </w:p>
    <w:p w14:paraId="54B0FA9D" w14:textId="77777777" w:rsidR="005B5E17" w:rsidRPr="009F1E40" w:rsidRDefault="005B5E17" w:rsidP="00CB1519">
      <w:pPr>
        <w:rPr>
          <w:rFonts w:ascii="Times New Roman" w:hAnsi="Times New Roman"/>
          <w:bCs/>
          <w:color w:val="000000"/>
          <w:sz w:val="24"/>
          <w:szCs w:val="24"/>
        </w:rPr>
      </w:pPr>
    </w:p>
    <w:p w14:paraId="54B0FA9E" w14:textId="77777777" w:rsidR="000C14F5" w:rsidRPr="009F1E40" w:rsidRDefault="000C14F5" w:rsidP="00CB1519">
      <w:pPr>
        <w:rPr>
          <w:rFonts w:ascii="Times New Roman" w:hAnsi="Times New Roman"/>
          <w:bCs/>
          <w:color w:val="000000"/>
          <w:sz w:val="24"/>
          <w:szCs w:val="24"/>
        </w:rPr>
      </w:pPr>
    </w:p>
    <w:p w14:paraId="54B0FA9F" w14:textId="2E070C10" w:rsidR="000C14F5" w:rsidRPr="009F1E40" w:rsidRDefault="000C14F5" w:rsidP="003F371E">
      <w:pPr>
        <w:ind w:left="1361" w:hanging="1361"/>
        <w:rPr>
          <w:rFonts w:ascii="Times New Roman" w:hAnsi="Times New Roman"/>
          <w:bCs/>
          <w:color w:val="000000"/>
          <w:sz w:val="24"/>
          <w:szCs w:val="24"/>
        </w:rPr>
      </w:pPr>
      <w:r w:rsidRPr="009F1E40">
        <w:rPr>
          <w:rFonts w:ascii="Times New Roman" w:hAnsi="Times New Roman"/>
          <w:bCs/>
          <w:color w:val="000000"/>
          <w:sz w:val="24"/>
          <w:szCs w:val="24"/>
        </w:rPr>
        <w:t>1.13</w:t>
      </w:r>
      <w:r w:rsidR="00635149">
        <w:rPr>
          <w:rFonts w:ascii="Times New Roman" w:hAnsi="Times New Roman"/>
          <w:bCs/>
          <w:color w:val="000000"/>
          <w:sz w:val="24"/>
          <w:szCs w:val="24"/>
        </w:rPr>
        <w:t>5</w:t>
      </w:r>
      <w:r w:rsidRPr="009F1E40">
        <w:rPr>
          <w:rFonts w:ascii="Times New Roman" w:hAnsi="Times New Roman"/>
          <w:bCs/>
          <w:color w:val="000000"/>
          <w:sz w:val="24"/>
          <w:szCs w:val="24"/>
        </w:rPr>
        <w:t>.5</w:t>
      </w:r>
      <w:r w:rsidRPr="009F1E40">
        <w:rPr>
          <w:rFonts w:ascii="Times New Roman" w:hAnsi="Times New Roman"/>
          <w:bCs/>
          <w:color w:val="000000"/>
          <w:sz w:val="24"/>
          <w:szCs w:val="24"/>
        </w:rPr>
        <w:tab/>
        <w:t xml:space="preserve">Sets out the obligations that providers must </w:t>
      </w:r>
      <w:r w:rsidR="00325A5C">
        <w:rPr>
          <w:rFonts w:ascii="Times New Roman" w:hAnsi="Times New Roman"/>
          <w:bCs/>
          <w:color w:val="000000"/>
          <w:sz w:val="24"/>
          <w:szCs w:val="24"/>
        </w:rPr>
        <w:t>satisfy</w:t>
      </w:r>
      <w:r w:rsidRPr="009F1E40">
        <w:rPr>
          <w:rFonts w:ascii="Times New Roman" w:hAnsi="Times New Roman"/>
          <w:bCs/>
          <w:color w:val="000000"/>
          <w:sz w:val="24"/>
          <w:szCs w:val="24"/>
        </w:rPr>
        <w:t xml:space="preserve"> when using DSP funding for the purposes of </w:t>
      </w:r>
      <w:r w:rsidR="00325A5C">
        <w:rPr>
          <w:rFonts w:ascii="Times New Roman" w:hAnsi="Times New Roman"/>
          <w:bCs/>
          <w:color w:val="000000"/>
          <w:sz w:val="24"/>
          <w:szCs w:val="24"/>
        </w:rPr>
        <w:t>providing educational support and equipment for</w:t>
      </w:r>
      <w:r w:rsidR="00536848">
        <w:rPr>
          <w:rFonts w:ascii="Times New Roman" w:hAnsi="Times New Roman"/>
          <w:bCs/>
          <w:color w:val="000000"/>
          <w:sz w:val="24"/>
          <w:szCs w:val="24"/>
        </w:rPr>
        <w:t xml:space="preserve"> </w:t>
      </w:r>
      <w:r w:rsidRPr="009F1E40">
        <w:rPr>
          <w:rFonts w:ascii="Times New Roman" w:hAnsi="Times New Roman"/>
          <w:bCs/>
          <w:color w:val="000000"/>
          <w:sz w:val="24"/>
          <w:szCs w:val="24"/>
        </w:rPr>
        <w:t>students with disability.</w:t>
      </w:r>
    </w:p>
    <w:p w14:paraId="54B0FAA0" w14:textId="77777777" w:rsidR="004B78C6" w:rsidRPr="009F1E40" w:rsidRDefault="004B78C6" w:rsidP="00B9501D">
      <w:pPr>
        <w:ind w:left="1361" w:hanging="1361"/>
        <w:rPr>
          <w:rFonts w:ascii="Times New Roman" w:hAnsi="Times New Roman"/>
          <w:bCs/>
          <w:color w:val="000000"/>
          <w:sz w:val="24"/>
          <w:szCs w:val="24"/>
        </w:rPr>
      </w:pPr>
    </w:p>
    <w:p w14:paraId="54B0FAA1" w14:textId="0FEFAEC7" w:rsidR="004B78C6" w:rsidRPr="00320B6B" w:rsidRDefault="004B78C6" w:rsidP="00B9501D">
      <w:pPr>
        <w:ind w:left="1361" w:hanging="1361"/>
        <w:rPr>
          <w:rFonts w:ascii="Times New Roman" w:hAnsi="Times New Roman"/>
          <w:bCs/>
          <w:color w:val="000000"/>
          <w:sz w:val="24"/>
          <w:szCs w:val="24"/>
        </w:rPr>
      </w:pPr>
      <w:r w:rsidRPr="009F1E40">
        <w:rPr>
          <w:rFonts w:ascii="Times New Roman" w:hAnsi="Times New Roman"/>
          <w:bCs/>
          <w:color w:val="000000"/>
          <w:sz w:val="24"/>
          <w:szCs w:val="24"/>
        </w:rPr>
        <w:t>1.13</w:t>
      </w:r>
      <w:r w:rsidR="00635149">
        <w:rPr>
          <w:rFonts w:ascii="Times New Roman" w:hAnsi="Times New Roman"/>
          <w:bCs/>
          <w:color w:val="000000"/>
          <w:sz w:val="24"/>
          <w:szCs w:val="24"/>
        </w:rPr>
        <w:t>5</w:t>
      </w:r>
      <w:r w:rsidRPr="009F1E40">
        <w:rPr>
          <w:rFonts w:ascii="Times New Roman" w:hAnsi="Times New Roman"/>
          <w:bCs/>
          <w:color w:val="000000"/>
          <w:sz w:val="24"/>
          <w:szCs w:val="24"/>
        </w:rPr>
        <w:t>.10</w:t>
      </w:r>
      <w:r w:rsidRPr="009F1E40">
        <w:rPr>
          <w:rFonts w:ascii="Times New Roman" w:hAnsi="Times New Roman"/>
          <w:bCs/>
          <w:color w:val="000000"/>
          <w:sz w:val="24"/>
          <w:szCs w:val="24"/>
        </w:rPr>
        <w:tab/>
        <w:t xml:space="preserve">Stipulates that providers must </w:t>
      </w:r>
      <w:r w:rsidR="00536848">
        <w:rPr>
          <w:rFonts w:ascii="Times New Roman" w:hAnsi="Times New Roman"/>
          <w:bCs/>
          <w:color w:val="000000"/>
          <w:sz w:val="24"/>
          <w:szCs w:val="24"/>
        </w:rPr>
        <w:t xml:space="preserve">maintain records of </w:t>
      </w:r>
      <w:r w:rsidRPr="009F1E40">
        <w:rPr>
          <w:rFonts w:ascii="Times New Roman" w:hAnsi="Times New Roman"/>
          <w:bCs/>
          <w:color w:val="000000"/>
          <w:sz w:val="24"/>
          <w:szCs w:val="24"/>
        </w:rPr>
        <w:t xml:space="preserve">evidence </w:t>
      </w:r>
      <w:r w:rsidR="00536848">
        <w:rPr>
          <w:rFonts w:ascii="Times New Roman" w:hAnsi="Times New Roman"/>
          <w:bCs/>
          <w:color w:val="000000"/>
          <w:sz w:val="24"/>
          <w:szCs w:val="24"/>
        </w:rPr>
        <w:t>and assessment processes in verifying disability and sup</w:t>
      </w:r>
      <w:r w:rsidR="006363FA">
        <w:rPr>
          <w:rFonts w:ascii="Times New Roman" w:hAnsi="Times New Roman"/>
          <w:bCs/>
          <w:color w:val="000000"/>
          <w:sz w:val="24"/>
          <w:szCs w:val="24"/>
        </w:rPr>
        <w:t xml:space="preserve">port needs for </w:t>
      </w:r>
      <w:r w:rsidR="00536848">
        <w:rPr>
          <w:rFonts w:ascii="Times New Roman" w:hAnsi="Times New Roman"/>
          <w:bCs/>
          <w:color w:val="000000"/>
          <w:sz w:val="24"/>
          <w:szCs w:val="24"/>
        </w:rPr>
        <w:t xml:space="preserve">a period of </w:t>
      </w:r>
      <w:r w:rsidR="003F371E">
        <w:rPr>
          <w:rFonts w:ascii="Times New Roman" w:hAnsi="Times New Roman"/>
          <w:bCs/>
          <w:color w:val="000000"/>
          <w:sz w:val="24"/>
          <w:szCs w:val="24"/>
        </w:rPr>
        <w:t>no less than 7</w:t>
      </w:r>
      <w:r w:rsidR="00536848">
        <w:rPr>
          <w:rFonts w:ascii="Times New Roman" w:hAnsi="Times New Roman"/>
          <w:bCs/>
          <w:color w:val="000000"/>
          <w:sz w:val="24"/>
          <w:szCs w:val="24"/>
        </w:rPr>
        <w:t xml:space="preserve"> </w:t>
      </w:r>
      <w:r w:rsidR="00536848" w:rsidRPr="00320B6B">
        <w:rPr>
          <w:rFonts w:ascii="Times New Roman" w:hAnsi="Times New Roman"/>
          <w:bCs/>
          <w:color w:val="000000"/>
          <w:sz w:val="24"/>
          <w:szCs w:val="24"/>
        </w:rPr>
        <w:t xml:space="preserve">years. </w:t>
      </w:r>
    </w:p>
    <w:p w14:paraId="54B0FAA2" w14:textId="77777777" w:rsidR="004B78C6" w:rsidRPr="00320B6B" w:rsidRDefault="004B78C6" w:rsidP="00B9501D">
      <w:pPr>
        <w:ind w:left="1361" w:hanging="1361"/>
        <w:rPr>
          <w:rFonts w:ascii="Times New Roman" w:hAnsi="Times New Roman"/>
          <w:bCs/>
          <w:color w:val="000000"/>
          <w:sz w:val="24"/>
          <w:szCs w:val="24"/>
        </w:rPr>
      </w:pPr>
    </w:p>
    <w:p w14:paraId="54B0FAA3" w14:textId="7910CA27" w:rsidR="004B78C6" w:rsidRPr="00320B6B" w:rsidRDefault="004B78C6" w:rsidP="00B9501D">
      <w:pPr>
        <w:ind w:left="1361" w:hanging="1361"/>
        <w:rPr>
          <w:rFonts w:ascii="Times New Roman" w:hAnsi="Times New Roman"/>
          <w:bCs/>
          <w:color w:val="000000"/>
          <w:sz w:val="24"/>
          <w:szCs w:val="24"/>
        </w:rPr>
      </w:pPr>
      <w:r w:rsidRPr="00320B6B">
        <w:rPr>
          <w:rFonts w:ascii="Times New Roman" w:hAnsi="Times New Roman"/>
          <w:bCs/>
          <w:color w:val="000000"/>
          <w:sz w:val="24"/>
          <w:szCs w:val="24"/>
        </w:rPr>
        <w:t>1.13</w:t>
      </w:r>
      <w:r w:rsidR="00635149" w:rsidRPr="00320B6B">
        <w:rPr>
          <w:rFonts w:ascii="Times New Roman" w:hAnsi="Times New Roman"/>
          <w:bCs/>
          <w:color w:val="000000"/>
          <w:sz w:val="24"/>
          <w:szCs w:val="24"/>
        </w:rPr>
        <w:t>5</w:t>
      </w:r>
      <w:r w:rsidRPr="00320B6B">
        <w:rPr>
          <w:rFonts w:ascii="Times New Roman" w:hAnsi="Times New Roman"/>
          <w:bCs/>
          <w:color w:val="000000"/>
          <w:sz w:val="24"/>
          <w:szCs w:val="24"/>
        </w:rPr>
        <w:t>.15</w:t>
      </w:r>
      <w:r w:rsidRPr="00320B6B">
        <w:rPr>
          <w:rFonts w:ascii="Times New Roman" w:hAnsi="Times New Roman"/>
          <w:bCs/>
          <w:color w:val="000000"/>
          <w:sz w:val="24"/>
          <w:szCs w:val="24"/>
        </w:rPr>
        <w:tab/>
        <w:t xml:space="preserve">Stipulates that providers must publish their needs assessment procedure </w:t>
      </w:r>
      <w:r w:rsidR="004E5AB8" w:rsidRPr="00320B6B">
        <w:rPr>
          <w:rFonts w:ascii="Times New Roman" w:hAnsi="Times New Roman"/>
          <w:bCs/>
          <w:color w:val="000000"/>
          <w:sz w:val="24"/>
          <w:szCs w:val="24"/>
        </w:rPr>
        <w:t xml:space="preserve">on their website </w:t>
      </w:r>
      <w:r w:rsidRPr="00320B6B">
        <w:rPr>
          <w:rFonts w:ascii="Times New Roman" w:hAnsi="Times New Roman"/>
          <w:bCs/>
          <w:color w:val="000000"/>
          <w:sz w:val="24"/>
          <w:szCs w:val="24"/>
        </w:rPr>
        <w:t xml:space="preserve">in a format that is </w:t>
      </w:r>
      <w:r w:rsidR="003F371E">
        <w:rPr>
          <w:rFonts w:ascii="Times New Roman" w:hAnsi="Times New Roman"/>
          <w:bCs/>
          <w:color w:val="000000"/>
          <w:sz w:val="24"/>
          <w:szCs w:val="24"/>
        </w:rPr>
        <w:t xml:space="preserve">readily available and </w:t>
      </w:r>
      <w:r w:rsidRPr="00320B6B">
        <w:rPr>
          <w:rFonts w:ascii="Times New Roman" w:hAnsi="Times New Roman"/>
          <w:bCs/>
          <w:color w:val="000000"/>
          <w:sz w:val="24"/>
          <w:szCs w:val="24"/>
        </w:rPr>
        <w:t>accessible</w:t>
      </w:r>
      <w:r w:rsidR="003F371E">
        <w:rPr>
          <w:rFonts w:ascii="Times New Roman" w:hAnsi="Times New Roman"/>
          <w:bCs/>
          <w:color w:val="000000"/>
          <w:sz w:val="24"/>
          <w:szCs w:val="24"/>
        </w:rPr>
        <w:t xml:space="preserve"> to the public</w:t>
      </w:r>
      <w:r w:rsidRPr="00320B6B">
        <w:rPr>
          <w:rFonts w:ascii="Times New Roman" w:hAnsi="Times New Roman"/>
          <w:bCs/>
          <w:color w:val="000000"/>
          <w:sz w:val="24"/>
          <w:szCs w:val="24"/>
        </w:rPr>
        <w:t>.</w:t>
      </w:r>
    </w:p>
    <w:p w14:paraId="54B0FAA4" w14:textId="77777777" w:rsidR="00E54371" w:rsidRPr="00320B6B" w:rsidRDefault="00E54371" w:rsidP="00B9501D">
      <w:pPr>
        <w:ind w:left="1361" w:hanging="1361"/>
        <w:rPr>
          <w:rFonts w:ascii="Times New Roman" w:hAnsi="Times New Roman"/>
          <w:bCs/>
          <w:color w:val="000000"/>
          <w:sz w:val="24"/>
          <w:szCs w:val="24"/>
        </w:rPr>
      </w:pPr>
    </w:p>
    <w:p w14:paraId="54B0FAA5" w14:textId="77777777" w:rsidR="00E54371" w:rsidRPr="00320B6B" w:rsidRDefault="00A55966" w:rsidP="00B9501D">
      <w:pPr>
        <w:ind w:left="1361" w:hanging="1361"/>
        <w:rPr>
          <w:rFonts w:ascii="Times New Roman" w:hAnsi="Times New Roman"/>
          <w:bCs/>
          <w:color w:val="000000"/>
          <w:sz w:val="24"/>
          <w:szCs w:val="24"/>
        </w:rPr>
      </w:pPr>
      <w:r w:rsidRPr="00320B6B">
        <w:rPr>
          <w:rFonts w:ascii="Times New Roman" w:hAnsi="Times New Roman"/>
          <w:bCs/>
          <w:color w:val="000000"/>
          <w:sz w:val="24"/>
          <w:szCs w:val="24"/>
        </w:rPr>
        <w:t>1.1</w:t>
      </w:r>
      <w:r w:rsidR="00635149" w:rsidRPr="00320B6B">
        <w:rPr>
          <w:rFonts w:ascii="Times New Roman" w:hAnsi="Times New Roman"/>
          <w:bCs/>
          <w:color w:val="000000"/>
          <w:sz w:val="24"/>
          <w:szCs w:val="24"/>
        </w:rPr>
        <w:t>40</w:t>
      </w:r>
      <w:r w:rsidR="00E22A32" w:rsidRPr="00320B6B">
        <w:rPr>
          <w:rFonts w:ascii="Times New Roman" w:hAnsi="Times New Roman"/>
          <w:bCs/>
          <w:color w:val="000000"/>
          <w:sz w:val="24"/>
          <w:szCs w:val="24"/>
        </w:rPr>
        <w:t>.</w:t>
      </w:r>
      <w:r w:rsidR="004B78C6" w:rsidRPr="00320B6B">
        <w:rPr>
          <w:rFonts w:ascii="Times New Roman" w:hAnsi="Times New Roman"/>
          <w:bCs/>
          <w:color w:val="000000"/>
          <w:sz w:val="24"/>
          <w:szCs w:val="24"/>
        </w:rPr>
        <w:t>1</w:t>
      </w:r>
      <w:r w:rsidR="00EC2FEC" w:rsidRPr="00320B6B">
        <w:rPr>
          <w:rFonts w:ascii="Times New Roman" w:hAnsi="Times New Roman"/>
          <w:bCs/>
          <w:color w:val="000000"/>
          <w:sz w:val="24"/>
          <w:szCs w:val="24"/>
        </w:rPr>
        <w:tab/>
      </w:r>
      <w:r w:rsidR="00E54371" w:rsidRPr="00320B6B">
        <w:rPr>
          <w:rFonts w:ascii="Times New Roman" w:hAnsi="Times New Roman"/>
          <w:bCs/>
          <w:color w:val="000000"/>
          <w:sz w:val="24"/>
          <w:szCs w:val="24"/>
        </w:rPr>
        <w:t xml:space="preserve">Sets out ineligible </w:t>
      </w:r>
      <w:r w:rsidR="00EC2FEC" w:rsidRPr="00320B6B">
        <w:rPr>
          <w:rFonts w:ascii="Times New Roman" w:hAnsi="Times New Roman"/>
          <w:bCs/>
          <w:color w:val="000000"/>
          <w:sz w:val="24"/>
          <w:szCs w:val="24"/>
        </w:rPr>
        <w:t>activities that must not be undertaken with DSF</w:t>
      </w:r>
      <w:r w:rsidR="00E54371" w:rsidRPr="00320B6B">
        <w:rPr>
          <w:rFonts w:ascii="Times New Roman" w:hAnsi="Times New Roman"/>
          <w:bCs/>
          <w:color w:val="000000"/>
          <w:sz w:val="24"/>
          <w:szCs w:val="24"/>
        </w:rPr>
        <w:t xml:space="preserve"> f</w:t>
      </w:r>
      <w:r w:rsidR="00EC2FEC" w:rsidRPr="00320B6B">
        <w:rPr>
          <w:rFonts w:ascii="Times New Roman" w:hAnsi="Times New Roman"/>
          <w:bCs/>
          <w:color w:val="000000"/>
          <w:sz w:val="24"/>
          <w:szCs w:val="24"/>
        </w:rPr>
        <w:t>unding</w:t>
      </w:r>
      <w:r w:rsidR="00E54371" w:rsidRPr="00320B6B">
        <w:rPr>
          <w:rFonts w:ascii="Times New Roman" w:hAnsi="Times New Roman"/>
          <w:bCs/>
          <w:color w:val="000000"/>
          <w:sz w:val="24"/>
          <w:szCs w:val="24"/>
        </w:rPr>
        <w:t>.</w:t>
      </w:r>
    </w:p>
    <w:p w14:paraId="54B0FAA6" w14:textId="77777777" w:rsidR="00A50F3A" w:rsidRPr="00320B6B" w:rsidRDefault="00A50F3A" w:rsidP="00B9501D">
      <w:pPr>
        <w:ind w:left="1361" w:hanging="1361"/>
        <w:rPr>
          <w:rFonts w:ascii="Times New Roman" w:hAnsi="Times New Roman"/>
          <w:bCs/>
          <w:color w:val="000000"/>
          <w:sz w:val="24"/>
          <w:szCs w:val="24"/>
        </w:rPr>
      </w:pPr>
    </w:p>
    <w:p w14:paraId="54B0FAA7" w14:textId="77777777" w:rsidR="00A50F3A" w:rsidRDefault="00A50F3A" w:rsidP="00B9501D">
      <w:pPr>
        <w:ind w:left="1361" w:hanging="1361"/>
        <w:rPr>
          <w:rFonts w:ascii="Times New Roman" w:hAnsi="Times New Roman"/>
          <w:bCs/>
          <w:color w:val="000000"/>
          <w:sz w:val="24"/>
          <w:szCs w:val="24"/>
        </w:rPr>
      </w:pPr>
      <w:r w:rsidRPr="00320B6B">
        <w:rPr>
          <w:rFonts w:ascii="Times New Roman" w:hAnsi="Times New Roman"/>
          <w:bCs/>
          <w:color w:val="000000"/>
          <w:sz w:val="24"/>
          <w:szCs w:val="24"/>
        </w:rPr>
        <w:t>1.14</w:t>
      </w:r>
      <w:r w:rsidR="006E0594" w:rsidRPr="00320B6B">
        <w:rPr>
          <w:rFonts w:ascii="Times New Roman" w:hAnsi="Times New Roman"/>
          <w:bCs/>
          <w:color w:val="000000"/>
          <w:sz w:val="24"/>
          <w:szCs w:val="24"/>
        </w:rPr>
        <w:t>5</w:t>
      </w:r>
      <w:r w:rsidRPr="00320B6B">
        <w:rPr>
          <w:rFonts w:ascii="Times New Roman" w:hAnsi="Times New Roman"/>
          <w:bCs/>
          <w:color w:val="000000"/>
          <w:sz w:val="24"/>
          <w:szCs w:val="24"/>
        </w:rPr>
        <w:t>.1</w:t>
      </w:r>
      <w:r w:rsidRPr="00320B6B">
        <w:rPr>
          <w:rFonts w:ascii="Times New Roman" w:hAnsi="Times New Roman"/>
          <w:bCs/>
          <w:color w:val="000000"/>
          <w:sz w:val="24"/>
          <w:szCs w:val="24"/>
        </w:rPr>
        <w:tab/>
      </w:r>
      <w:r w:rsidR="006946A6" w:rsidRPr="00320B6B">
        <w:rPr>
          <w:rFonts w:ascii="Times New Roman" w:hAnsi="Times New Roman"/>
          <w:bCs/>
          <w:color w:val="000000"/>
          <w:sz w:val="24"/>
          <w:szCs w:val="24"/>
        </w:rPr>
        <w:t xml:space="preserve">Stipulates </w:t>
      </w:r>
      <w:r w:rsidRPr="00320B6B">
        <w:rPr>
          <w:rFonts w:ascii="Times New Roman" w:hAnsi="Times New Roman"/>
          <w:bCs/>
          <w:color w:val="000000"/>
          <w:sz w:val="24"/>
          <w:szCs w:val="24"/>
        </w:rPr>
        <w:t xml:space="preserve">that </w:t>
      </w:r>
      <w:r w:rsidR="00505BEC" w:rsidRPr="00320B6B">
        <w:rPr>
          <w:rFonts w:ascii="Times New Roman" w:hAnsi="Times New Roman"/>
          <w:bCs/>
          <w:color w:val="000000"/>
          <w:sz w:val="24"/>
          <w:szCs w:val="24"/>
        </w:rPr>
        <w:t xml:space="preserve">if a provider does not spend any part of DSF funds by the end of the grant period, the provider must return the unspent grant amount to the Commonwealth in accordance with </w:t>
      </w:r>
      <w:r w:rsidR="00061351" w:rsidRPr="00320B6B">
        <w:rPr>
          <w:rFonts w:ascii="Times New Roman" w:hAnsi="Times New Roman"/>
          <w:bCs/>
          <w:color w:val="000000"/>
          <w:sz w:val="24"/>
          <w:szCs w:val="24"/>
        </w:rPr>
        <w:t>instructions</w:t>
      </w:r>
      <w:r w:rsidR="00505BEC" w:rsidRPr="00320B6B">
        <w:rPr>
          <w:rFonts w:ascii="Times New Roman" w:hAnsi="Times New Roman"/>
          <w:bCs/>
          <w:color w:val="000000"/>
          <w:sz w:val="24"/>
          <w:szCs w:val="24"/>
        </w:rPr>
        <w:t xml:space="preserve"> </w:t>
      </w:r>
      <w:r w:rsidR="00EE3E51" w:rsidRPr="00320B6B">
        <w:rPr>
          <w:rFonts w:ascii="Times New Roman" w:hAnsi="Times New Roman"/>
          <w:bCs/>
          <w:color w:val="000000"/>
          <w:sz w:val="24"/>
          <w:szCs w:val="24"/>
        </w:rPr>
        <w:t xml:space="preserve">given by </w:t>
      </w:r>
      <w:r w:rsidR="00061351" w:rsidRPr="00320B6B">
        <w:rPr>
          <w:rFonts w:ascii="Times New Roman" w:hAnsi="Times New Roman"/>
          <w:bCs/>
          <w:color w:val="000000"/>
          <w:sz w:val="24"/>
          <w:szCs w:val="24"/>
        </w:rPr>
        <w:t>the department.</w:t>
      </w:r>
      <w:r w:rsidR="00061351">
        <w:rPr>
          <w:rFonts w:ascii="Times New Roman" w:hAnsi="Times New Roman"/>
          <w:bCs/>
          <w:color w:val="000000"/>
          <w:sz w:val="24"/>
          <w:szCs w:val="24"/>
        </w:rPr>
        <w:t xml:space="preserve"> </w:t>
      </w:r>
    </w:p>
    <w:p w14:paraId="54B0FAA8" w14:textId="77777777" w:rsidR="003F1FDF" w:rsidRDefault="003F1FDF" w:rsidP="00B9501D">
      <w:pPr>
        <w:ind w:left="1361" w:hanging="1361"/>
        <w:rPr>
          <w:rFonts w:ascii="Times New Roman" w:hAnsi="Times New Roman"/>
          <w:bCs/>
          <w:color w:val="000000"/>
          <w:sz w:val="24"/>
          <w:szCs w:val="24"/>
        </w:rPr>
      </w:pPr>
    </w:p>
    <w:p w14:paraId="54B0FAA9" w14:textId="6462D6B4" w:rsidR="003F1FDF" w:rsidRDefault="003F1FDF" w:rsidP="00B9501D">
      <w:pPr>
        <w:ind w:left="1361" w:hanging="1361"/>
        <w:rPr>
          <w:rFonts w:ascii="Times New Roman" w:hAnsi="Times New Roman"/>
          <w:bCs/>
          <w:color w:val="000000"/>
          <w:sz w:val="24"/>
          <w:szCs w:val="24"/>
        </w:rPr>
      </w:pPr>
      <w:r>
        <w:rPr>
          <w:rFonts w:ascii="Times New Roman" w:hAnsi="Times New Roman"/>
          <w:bCs/>
          <w:color w:val="000000"/>
          <w:sz w:val="24"/>
          <w:szCs w:val="24"/>
        </w:rPr>
        <w:t>1.1</w:t>
      </w:r>
      <w:r w:rsidR="006E0594">
        <w:rPr>
          <w:rFonts w:ascii="Times New Roman" w:hAnsi="Times New Roman"/>
          <w:bCs/>
          <w:color w:val="000000"/>
          <w:sz w:val="24"/>
          <w:szCs w:val="24"/>
        </w:rPr>
        <w:t>50</w:t>
      </w:r>
      <w:r>
        <w:rPr>
          <w:rFonts w:ascii="Times New Roman" w:hAnsi="Times New Roman"/>
          <w:bCs/>
          <w:color w:val="000000"/>
          <w:sz w:val="24"/>
          <w:szCs w:val="24"/>
        </w:rPr>
        <w:t>.1</w:t>
      </w:r>
      <w:r>
        <w:rPr>
          <w:rFonts w:ascii="Times New Roman" w:hAnsi="Times New Roman"/>
          <w:bCs/>
          <w:color w:val="000000"/>
          <w:sz w:val="24"/>
          <w:szCs w:val="24"/>
        </w:rPr>
        <w:tab/>
      </w:r>
      <w:r w:rsidR="006946A6">
        <w:rPr>
          <w:rFonts w:ascii="Times New Roman" w:hAnsi="Times New Roman"/>
          <w:bCs/>
          <w:color w:val="000000"/>
          <w:sz w:val="24"/>
          <w:szCs w:val="24"/>
        </w:rPr>
        <w:t>Stipulates that</w:t>
      </w:r>
      <w:r>
        <w:rPr>
          <w:rFonts w:ascii="Times New Roman" w:hAnsi="Times New Roman"/>
          <w:bCs/>
          <w:color w:val="000000"/>
          <w:sz w:val="24"/>
          <w:szCs w:val="24"/>
        </w:rPr>
        <w:t xml:space="preserve"> a provider must report annually to the department on the progress and outcomes of any DSP activities</w:t>
      </w:r>
      <w:r w:rsidR="00723CD9">
        <w:rPr>
          <w:rFonts w:ascii="Times New Roman" w:hAnsi="Times New Roman"/>
          <w:bCs/>
          <w:color w:val="000000"/>
          <w:sz w:val="24"/>
          <w:szCs w:val="24"/>
        </w:rPr>
        <w:t xml:space="preserve"> </w:t>
      </w:r>
      <w:r>
        <w:rPr>
          <w:rFonts w:ascii="Times New Roman" w:hAnsi="Times New Roman"/>
          <w:bCs/>
          <w:color w:val="000000"/>
          <w:sz w:val="24"/>
          <w:szCs w:val="24"/>
        </w:rPr>
        <w:t>in the form</w:t>
      </w:r>
      <w:r w:rsidR="006946A6">
        <w:rPr>
          <w:rFonts w:ascii="Times New Roman" w:hAnsi="Times New Roman"/>
          <w:bCs/>
          <w:color w:val="000000"/>
          <w:sz w:val="24"/>
          <w:szCs w:val="24"/>
        </w:rPr>
        <w:t xml:space="preserve"> specified </w:t>
      </w:r>
      <w:r>
        <w:rPr>
          <w:rFonts w:ascii="Times New Roman" w:hAnsi="Times New Roman"/>
          <w:bCs/>
          <w:color w:val="000000"/>
          <w:sz w:val="24"/>
          <w:szCs w:val="24"/>
        </w:rPr>
        <w:t xml:space="preserve">by the department.  </w:t>
      </w:r>
    </w:p>
    <w:p w14:paraId="54B0FAAA" w14:textId="77777777" w:rsidR="006946A6" w:rsidRDefault="006946A6" w:rsidP="00B9501D">
      <w:pPr>
        <w:ind w:left="1361" w:hanging="1361"/>
        <w:rPr>
          <w:rFonts w:ascii="Times New Roman" w:hAnsi="Times New Roman"/>
          <w:bCs/>
          <w:color w:val="000000"/>
          <w:sz w:val="24"/>
          <w:szCs w:val="24"/>
        </w:rPr>
      </w:pPr>
    </w:p>
    <w:p w14:paraId="54B0FAAB" w14:textId="3ED3B51F" w:rsidR="006946A6" w:rsidRDefault="006946A6" w:rsidP="006946A6">
      <w:pPr>
        <w:ind w:left="1361" w:hanging="1361"/>
        <w:rPr>
          <w:rFonts w:ascii="Times New Roman" w:hAnsi="Times New Roman"/>
          <w:color w:val="000000"/>
          <w:sz w:val="24"/>
          <w:szCs w:val="24"/>
          <w:lang w:eastAsia="en-AU"/>
        </w:rPr>
      </w:pPr>
      <w:r>
        <w:rPr>
          <w:rFonts w:ascii="Times New Roman" w:hAnsi="Times New Roman"/>
          <w:bCs/>
          <w:color w:val="000000"/>
          <w:sz w:val="24"/>
          <w:szCs w:val="24"/>
        </w:rPr>
        <w:t>1.15</w:t>
      </w:r>
      <w:r w:rsidR="006E0594">
        <w:rPr>
          <w:rFonts w:ascii="Times New Roman" w:hAnsi="Times New Roman"/>
          <w:bCs/>
          <w:color w:val="000000"/>
          <w:sz w:val="24"/>
          <w:szCs w:val="24"/>
        </w:rPr>
        <w:t>5</w:t>
      </w:r>
      <w:r>
        <w:rPr>
          <w:rFonts w:ascii="Times New Roman" w:hAnsi="Times New Roman"/>
          <w:bCs/>
          <w:color w:val="000000"/>
          <w:sz w:val="24"/>
          <w:szCs w:val="24"/>
        </w:rPr>
        <w:t>.1</w:t>
      </w:r>
      <w:r>
        <w:rPr>
          <w:rFonts w:ascii="Times New Roman" w:hAnsi="Times New Roman"/>
          <w:bCs/>
          <w:color w:val="000000"/>
          <w:sz w:val="24"/>
          <w:szCs w:val="24"/>
        </w:rPr>
        <w:tab/>
        <w:t xml:space="preserve">Specifies </w:t>
      </w:r>
      <w:r w:rsidR="003F371E">
        <w:rPr>
          <w:rFonts w:ascii="Times New Roman" w:hAnsi="Times New Roman"/>
          <w:bCs/>
          <w:color w:val="000000"/>
          <w:sz w:val="24"/>
          <w:szCs w:val="24"/>
        </w:rPr>
        <w:t xml:space="preserve">that </w:t>
      </w:r>
      <w:r>
        <w:rPr>
          <w:rFonts w:ascii="Times New Roman" w:hAnsi="Times New Roman"/>
          <w:bCs/>
          <w:color w:val="000000"/>
          <w:sz w:val="24"/>
          <w:szCs w:val="24"/>
        </w:rPr>
        <w:t xml:space="preserve">the objective of the ADCET is to provide </w:t>
      </w:r>
      <w:r w:rsidRPr="00C6306B">
        <w:rPr>
          <w:rFonts w:ascii="Times New Roman" w:hAnsi="Times New Roman"/>
          <w:color w:val="000000"/>
          <w:sz w:val="24"/>
          <w:szCs w:val="24"/>
          <w:lang w:eastAsia="en-AU"/>
        </w:rPr>
        <w:t xml:space="preserve">information, advice, and </w:t>
      </w:r>
      <w:r w:rsidR="00DC4009">
        <w:rPr>
          <w:rFonts w:ascii="Times New Roman" w:hAnsi="Times New Roman"/>
          <w:color w:val="000000"/>
          <w:sz w:val="24"/>
          <w:szCs w:val="24"/>
          <w:lang w:eastAsia="en-AU"/>
        </w:rPr>
        <w:t xml:space="preserve">online </w:t>
      </w:r>
      <w:r w:rsidRPr="00C6306B">
        <w:rPr>
          <w:rFonts w:ascii="Times New Roman" w:hAnsi="Times New Roman"/>
          <w:color w:val="000000"/>
          <w:sz w:val="24"/>
          <w:szCs w:val="24"/>
          <w:lang w:eastAsia="en-AU"/>
        </w:rPr>
        <w:t>resources through a website to disability practitioners, teachers and students to promote inclusive teaching and learning practices for students with disability.</w:t>
      </w:r>
    </w:p>
    <w:p w14:paraId="54B0FAAC" w14:textId="77777777" w:rsidR="008412A4" w:rsidRDefault="008412A4" w:rsidP="006946A6">
      <w:pPr>
        <w:ind w:left="1361" w:hanging="1361"/>
        <w:rPr>
          <w:rFonts w:ascii="Times New Roman" w:hAnsi="Times New Roman"/>
          <w:color w:val="000000"/>
          <w:sz w:val="24"/>
          <w:szCs w:val="24"/>
          <w:lang w:eastAsia="en-AU"/>
        </w:rPr>
      </w:pPr>
    </w:p>
    <w:p w14:paraId="54B0FAAD" w14:textId="77777777" w:rsidR="00702ACB" w:rsidRPr="009F1E40" w:rsidRDefault="008412A4" w:rsidP="008412A4">
      <w:pPr>
        <w:ind w:left="1361" w:hanging="1361"/>
        <w:rPr>
          <w:rFonts w:ascii="Times New Roman" w:hAnsi="Times New Roman"/>
          <w:bCs/>
          <w:color w:val="000000"/>
          <w:sz w:val="24"/>
          <w:szCs w:val="24"/>
        </w:rPr>
      </w:pPr>
      <w:r>
        <w:rPr>
          <w:rFonts w:ascii="Times New Roman" w:hAnsi="Times New Roman"/>
          <w:color w:val="000000"/>
          <w:sz w:val="24"/>
          <w:szCs w:val="24"/>
          <w:lang w:eastAsia="en-AU"/>
        </w:rPr>
        <w:t>1.1</w:t>
      </w:r>
      <w:r w:rsidR="006E0594">
        <w:rPr>
          <w:rFonts w:ascii="Times New Roman" w:hAnsi="Times New Roman"/>
          <w:color w:val="000000"/>
          <w:sz w:val="24"/>
          <w:szCs w:val="24"/>
          <w:lang w:eastAsia="en-AU"/>
        </w:rPr>
        <w:t>6</w:t>
      </w:r>
      <w:r>
        <w:rPr>
          <w:rFonts w:ascii="Times New Roman" w:hAnsi="Times New Roman"/>
          <w:color w:val="000000"/>
          <w:sz w:val="24"/>
          <w:szCs w:val="24"/>
          <w:lang w:eastAsia="en-AU"/>
        </w:rPr>
        <w:t>0.5</w:t>
      </w:r>
      <w:r>
        <w:rPr>
          <w:rFonts w:ascii="Times New Roman" w:hAnsi="Times New Roman"/>
          <w:color w:val="000000"/>
          <w:sz w:val="24"/>
          <w:szCs w:val="24"/>
          <w:lang w:eastAsia="en-AU"/>
        </w:rPr>
        <w:tab/>
        <w:t>Specifies t</w:t>
      </w:r>
      <w:r w:rsidRPr="009F1E40">
        <w:rPr>
          <w:rFonts w:ascii="Times New Roman" w:hAnsi="Times New Roman"/>
          <w:bCs/>
          <w:color w:val="000000"/>
          <w:sz w:val="24"/>
          <w:szCs w:val="24"/>
        </w:rPr>
        <w:t xml:space="preserve">he </w:t>
      </w:r>
      <w:r w:rsidR="007C5778">
        <w:rPr>
          <w:rFonts w:ascii="Times New Roman" w:hAnsi="Times New Roman"/>
          <w:bCs/>
          <w:color w:val="000000"/>
          <w:sz w:val="24"/>
          <w:szCs w:val="24"/>
        </w:rPr>
        <w:t>provider to host</w:t>
      </w:r>
      <w:r w:rsidRPr="009F1E40">
        <w:rPr>
          <w:rFonts w:ascii="Times New Roman" w:hAnsi="Times New Roman"/>
          <w:bCs/>
          <w:color w:val="000000"/>
          <w:sz w:val="24"/>
          <w:szCs w:val="24"/>
        </w:rPr>
        <w:t xml:space="preserve"> the ADCET is appointed by the Minister</w:t>
      </w:r>
      <w:r>
        <w:rPr>
          <w:rFonts w:ascii="Times New Roman" w:hAnsi="Times New Roman"/>
          <w:bCs/>
          <w:color w:val="000000"/>
          <w:sz w:val="24"/>
          <w:szCs w:val="24"/>
        </w:rPr>
        <w:t>.</w:t>
      </w:r>
    </w:p>
    <w:p w14:paraId="54B0FAAE" w14:textId="77777777" w:rsidR="00702ACB" w:rsidRPr="009F1E40" w:rsidRDefault="00702ACB" w:rsidP="00B9501D">
      <w:pPr>
        <w:ind w:left="1361" w:hanging="1361"/>
        <w:rPr>
          <w:rFonts w:ascii="Times New Roman" w:hAnsi="Times New Roman"/>
          <w:bCs/>
          <w:color w:val="000000"/>
          <w:sz w:val="24"/>
          <w:szCs w:val="24"/>
        </w:rPr>
      </w:pPr>
    </w:p>
    <w:p w14:paraId="54B0FAAF" w14:textId="77777777" w:rsidR="008412A4" w:rsidRDefault="00702ACB" w:rsidP="00DC4009">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w:t>
      </w:r>
      <w:r w:rsidR="004B78C6" w:rsidRPr="009F1E40">
        <w:rPr>
          <w:rFonts w:ascii="Times New Roman" w:hAnsi="Times New Roman"/>
          <w:bCs/>
          <w:color w:val="000000"/>
          <w:sz w:val="24"/>
          <w:szCs w:val="24"/>
        </w:rPr>
        <w:t>1</w:t>
      </w:r>
      <w:r w:rsidR="006E0594">
        <w:rPr>
          <w:rFonts w:ascii="Times New Roman" w:hAnsi="Times New Roman"/>
          <w:bCs/>
          <w:color w:val="000000"/>
          <w:sz w:val="24"/>
          <w:szCs w:val="24"/>
        </w:rPr>
        <w:t>60</w:t>
      </w:r>
      <w:r w:rsidR="004B78C6" w:rsidRPr="009F1E40">
        <w:rPr>
          <w:rFonts w:ascii="Times New Roman" w:hAnsi="Times New Roman"/>
          <w:bCs/>
          <w:color w:val="000000"/>
          <w:sz w:val="24"/>
          <w:szCs w:val="24"/>
        </w:rPr>
        <w:t>.10</w:t>
      </w:r>
      <w:r w:rsidR="008412A4">
        <w:rPr>
          <w:rFonts w:ascii="Times New Roman" w:hAnsi="Times New Roman"/>
          <w:bCs/>
          <w:color w:val="000000"/>
          <w:sz w:val="24"/>
          <w:szCs w:val="24"/>
        </w:rPr>
        <w:t xml:space="preserve"> </w:t>
      </w:r>
      <w:r w:rsidR="008412A4">
        <w:rPr>
          <w:rFonts w:ascii="Times New Roman" w:hAnsi="Times New Roman"/>
          <w:bCs/>
          <w:color w:val="000000"/>
          <w:sz w:val="24"/>
          <w:szCs w:val="24"/>
        </w:rPr>
        <w:tab/>
      </w:r>
      <w:r w:rsidR="00DC4009" w:rsidRPr="009F1E40">
        <w:rPr>
          <w:rFonts w:ascii="Times New Roman" w:hAnsi="Times New Roman"/>
          <w:bCs/>
          <w:color w:val="000000"/>
          <w:sz w:val="24"/>
          <w:szCs w:val="24"/>
        </w:rPr>
        <w:t>Specifies that conditions of</w:t>
      </w:r>
      <w:r w:rsidR="00DC4009">
        <w:rPr>
          <w:rFonts w:ascii="Times New Roman" w:hAnsi="Times New Roman"/>
          <w:bCs/>
          <w:color w:val="000000"/>
          <w:sz w:val="24"/>
          <w:szCs w:val="24"/>
        </w:rPr>
        <w:t xml:space="preserve"> the</w:t>
      </w:r>
      <w:r w:rsidR="00DC4009" w:rsidRPr="009F1E40">
        <w:rPr>
          <w:rFonts w:ascii="Times New Roman" w:hAnsi="Times New Roman"/>
          <w:bCs/>
          <w:color w:val="000000"/>
          <w:sz w:val="24"/>
          <w:szCs w:val="24"/>
        </w:rPr>
        <w:t xml:space="preserve"> grant to the provider hosting the ADCET will be determined by the Minister under </w:t>
      </w:r>
      <w:r w:rsidR="00DC4009" w:rsidRPr="009F1E40">
        <w:rPr>
          <w:rFonts w:ascii="Times New Roman" w:hAnsi="Times New Roman"/>
          <w:color w:val="000000"/>
          <w:sz w:val="24"/>
          <w:szCs w:val="24"/>
          <w:lang w:eastAsia="en-AU"/>
        </w:rPr>
        <w:t>paragraph 41-25(b) of the Act.</w:t>
      </w:r>
    </w:p>
    <w:p w14:paraId="54B0FAB0" w14:textId="77777777" w:rsidR="00DC4009" w:rsidRPr="009F1E40" w:rsidRDefault="00DC4009" w:rsidP="00DC4009">
      <w:pPr>
        <w:spacing w:before="120" w:after="120"/>
        <w:rPr>
          <w:rFonts w:ascii="Times New Roman" w:hAnsi="Times New Roman"/>
          <w:bCs/>
          <w:color w:val="000000"/>
          <w:sz w:val="24"/>
          <w:szCs w:val="24"/>
        </w:rPr>
      </w:pPr>
    </w:p>
    <w:p w14:paraId="54B0FAB4" w14:textId="6BF86CD0" w:rsidR="009325F4" w:rsidRDefault="004B78C6" w:rsidP="00CB1519">
      <w:pPr>
        <w:spacing w:before="120" w:after="120"/>
        <w:ind w:left="1418" w:hanging="1418"/>
        <w:rPr>
          <w:rFonts w:ascii="Times New Roman" w:hAnsi="Times New Roman"/>
          <w:bCs/>
          <w:color w:val="000000"/>
          <w:sz w:val="24"/>
          <w:szCs w:val="24"/>
        </w:rPr>
      </w:pPr>
      <w:r w:rsidRPr="009F1E40">
        <w:rPr>
          <w:rFonts w:ascii="Times New Roman" w:hAnsi="Times New Roman"/>
          <w:bCs/>
          <w:color w:val="000000"/>
          <w:sz w:val="24"/>
          <w:szCs w:val="24"/>
        </w:rPr>
        <w:t>1.1</w:t>
      </w:r>
      <w:r w:rsidR="006E0594">
        <w:rPr>
          <w:rFonts w:ascii="Times New Roman" w:hAnsi="Times New Roman"/>
          <w:bCs/>
          <w:color w:val="000000"/>
          <w:sz w:val="24"/>
          <w:szCs w:val="24"/>
        </w:rPr>
        <w:t>60</w:t>
      </w:r>
      <w:r w:rsidRPr="009F1E40">
        <w:rPr>
          <w:rFonts w:ascii="Times New Roman" w:hAnsi="Times New Roman"/>
          <w:bCs/>
          <w:color w:val="000000"/>
          <w:sz w:val="24"/>
          <w:szCs w:val="24"/>
        </w:rPr>
        <w:t>.15</w:t>
      </w:r>
      <w:r w:rsidRPr="009F1E40">
        <w:rPr>
          <w:rFonts w:ascii="Times New Roman" w:hAnsi="Times New Roman"/>
          <w:bCs/>
          <w:color w:val="000000"/>
          <w:sz w:val="24"/>
          <w:szCs w:val="24"/>
        </w:rPr>
        <w:tab/>
      </w:r>
      <w:r w:rsidR="00DC4009" w:rsidRPr="009F1E40">
        <w:rPr>
          <w:rFonts w:ascii="Times New Roman" w:hAnsi="Times New Roman"/>
          <w:bCs/>
          <w:color w:val="000000"/>
          <w:sz w:val="24"/>
          <w:szCs w:val="24"/>
        </w:rPr>
        <w:t xml:space="preserve">Specifies that funds </w:t>
      </w:r>
      <w:r w:rsidR="00DC4009">
        <w:rPr>
          <w:rFonts w:ascii="Times New Roman" w:hAnsi="Times New Roman"/>
          <w:bCs/>
          <w:color w:val="000000"/>
          <w:sz w:val="24"/>
          <w:szCs w:val="24"/>
        </w:rPr>
        <w:t xml:space="preserve">to be </w:t>
      </w:r>
      <w:r w:rsidR="00DC4009" w:rsidRPr="009F1E40">
        <w:rPr>
          <w:rFonts w:ascii="Times New Roman" w:hAnsi="Times New Roman"/>
          <w:bCs/>
          <w:color w:val="000000"/>
          <w:sz w:val="24"/>
          <w:szCs w:val="24"/>
        </w:rPr>
        <w:t>provided to the</w:t>
      </w:r>
      <w:r w:rsidR="00DC4009">
        <w:rPr>
          <w:rFonts w:ascii="Times New Roman" w:hAnsi="Times New Roman"/>
          <w:bCs/>
          <w:color w:val="000000"/>
          <w:sz w:val="24"/>
          <w:szCs w:val="24"/>
        </w:rPr>
        <w:t xml:space="preserve"> provider hosting </w:t>
      </w:r>
      <w:r w:rsidR="00DC4009" w:rsidRPr="009F1E40">
        <w:rPr>
          <w:rFonts w:ascii="Times New Roman" w:hAnsi="Times New Roman"/>
          <w:bCs/>
          <w:color w:val="000000"/>
          <w:sz w:val="24"/>
          <w:szCs w:val="24"/>
        </w:rPr>
        <w:t xml:space="preserve">the </w:t>
      </w:r>
      <w:r w:rsidR="00DC4009">
        <w:rPr>
          <w:rFonts w:ascii="Times New Roman" w:hAnsi="Times New Roman"/>
          <w:bCs/>
          <w:color w:val="000000"/>
          <w:sz w:val="24"/>
          <w:szCs w:val="24"/>
        </w:rPr>
        <w:t>ADCET will be d</w:t>
      </w:r>
      <w:r w:rsidR="00DC4009" w:rsidRPr="009F1E40">
        <w:rPr>
          <w:rFonts w:ascii="Times New Roman" w:hAnsi="Times New Roman"/>
          <w:bCs/>
          <w:color w:val="000000"/>
          <w:sz w:val="24"/>
          <w:szCs w:val="24"/>
        </w:rPr>
        <w:t>etermined by the Minister</w:t>
      </w:r>
      <w:r w:rsidR="00DC4009">
        <w:rPr>
          <w:rFonts w:ascii="Times New Roman" w:hAnsi="Times New Roman"/>
          <w:bCs/>
          <w:color w:val="000000"/>
          <w:sz w:val="24"/>
          <w:szCs w:val="24"/>
        </w:rPr>
        <w:t xml:space="preserve"> </w:t>
      </w:r>
      <w:r w:rsidR="00DC4009" w:rsidRPr="00C6306B">
        <w:rPr>
          <w:rFonts w:ascii="Times New Roman" w:hAnsi="Times New Roman"/>
          <w:color w:val="000000"/>
          <w:sz w:val="24"/>
          <w:szCs w:val="24"/>
          <w:lang w:eastAsia="en-AU"/>
        </w:rPr>
        <w:t>under paragraph 41-30(b) of the Act</w:t>
      </w:r>
      <w:r w:rsidR="00DC4009">
        <w:rPr>
          <w:rFonts w:ascii="Times New Roman" w:hAnsi="Times New Roman"/>
          <w:color w:val="000000"/>
          <w:sz w:val="24"/>
          <w:szCs w:val="24"/>
          <w:lang w:eastAsia="en-AU"/>
        </w:rPr>
        <w:t xml:space="preserve">. </w:t>
      </w:r>
    </w:p>
    <w:p w14:paraId="54B0FAB5" w14:textId="77777777" w:rsidR="009325F4" w:rsidRDefault="009325F4" w:rsidP="009C6AA8">
      <w:pPr>
        <w:rPr>
          <w:rFonts w:ascii="Times New Roman" w:hAnsi="Times New Roman"/>
          <w:bCs/>
          <w:color w:val="000000"/>
          <w:sz w:val="24"/>
          <w:szCs w:val="24"/>
        </w:rPr>
      </w:pPr>
    </w:p>
    <w:p w14:paraId="157CBD78" w14:textId="77777777" w:rsidR="00167179" w:rsidRPr="009F1E40" w:rsidRDefault="00167179">
      <w:pPr>
        <w:rPr>
          <w:rFonts w:ascii="Times New Roman" w:hAnsi="Times New Roman"/>
          <w:color w:val="000000"/>
          <w:sz w:val="24"/>
          <w:szCs w:val="24"/>
        </w:rPr>
      </w:pPr>
    </w:p>
    <w:p w14:paraId="54B0FAC6" w14:textId="77777777" w:rsidR="00167179" w:rsidRPr="009F1E40" w:rsidRDefault="00167179" w:rsidP="00167179">
      <w:pPr>
        <w:jc w:val="center"/>
        <w:rPr>
          <w:rFonts w:ascii="Times New Roman" w:hAnsi="Times New Roman"/>
          <w:b/>
          <w:sz w:val="24"/>
          <w:szCs w:val="24"/>
        </w:rPr>
      </w:pPr>
      <w:r w:rsidRPr="009F1E40">
        <w:rPr>
          <w:rFonts w:ascii="Times New Roman" w:hAnsi="Times New Roman"/>
          <w:b/>
          <w:sz w:val="24"/>
          <w:szCs w:val="24"/>
        </w:rPr>
        <w:lastRenderedPageBreak/>
        <w:t>Statement of Compatibility with Human Rights</w:t>
      </w:r>
    </w:p>
    <w:p w14:paraId="54B0FAC7" w14:textId="77777777" w:rsidR="00167179" w:rsidRPr="009F1E40" w:rsidRDefault="00167179" w:rsidP="00167179">
      <w:pPr>
        <w:jc w:val="center"/>
        <w:rPr>
          <w:rFonts w:ascii="Times New Roman" w:hAnsi="Times New Roman"/>
          <w:i/>
          <w:sz w:val="24"/>
          <w:szCs w:val="24"/>
        </w:rPr>
      </w:pPr>
    </w:p>
    <w:p w14:paraId="54B0FAC8" w14:textId="77777777" w:rsidR="00167179" w:rsidRPr="009F1E40" w:rsidRDefault="00167179" w:rsidP="00167179">
      <w:pPr>
        <w:jc w:val="center"/>
        <w:rPr>
          <w:rFonts w:ascii="Times New Roman" w:hAnsi="Times New Roman"/>
          <w:sz w:val="24"/>
          <w:szCs w:val="24"/>
        </w:rPr>
      </w:pPr>
      <w:r w:rsidRPr="009F1E40">
        <w:rPr>
          <w:rFonts w:ascii="Times New Roman" w:hAnsi="Times New Roman"/>
          <w:i/>
          <w:sz w:val="24"/>
          <w:szCs w:val="24"/>
        </w:rPr>
        <w:t>Prepared in accordance with Part 3 of the Human Rights (Parliamentary Scrutiny) Act 2011</w:t>
      </w:r>
    </w:p>
    <w:p w14:paraId="54B0FAC9" w14:textId="77777777" w:rsidR="00167179" w:rsidRPr="009F1E40" w:rsidRDefault="00167179" w:rsidP="00167179">
      <w:pPr>
        <w:jc w:val="center"/>
        <w:rPr>
          <w:rFonts w:ascii="Times New Roman" w:hAnsi="Times New Roman"/>
          <w:sz w:val="24"/>
          <w:szCs w:val="24"/>
        </w:rPr>
      </w:pPr>
    </w:p>
    <w:p w14:paraId="54B0FACB" w14:textId="289ED63D" w:rsidR="00167179" w:rsidRPr="009F1E40" w:rsidRDefault="00A0482E" w:rsidP="00167179">
      <w:pPr>
        <w:jc w:val="center"/>
        <w:rPr>
          <w:rFonts w:ascii="Times New Roman" w:hAnsi="Times New Roman"/>
          <w:sz w:val="24"/>
          <w:szCs w:val="24"/>
        </w:rPr>
      </w:pPr>
      <w:r>
        <w:rPr>
          <w:rFonts w:ascii="Times New Roman" w:hAnsi="Times New Roman"/>
          <w:b/>
          <w:sz w:val="24"/>
          <w:szCs w:val="24"/>
        </w:rPr>
        <w:t>Other Grants Guidelines (Education) Amendment (No. 1) 2019</w:t>
      </w:r>
      <w:r w:rsidR="00572AE4">
        <w:rPr>
          <w:rFonts w:ascii="Times New Roman" w:hAnsi="Times New Roman"/>
          <w:b/>
          <w:sz w:val="24"/>
          <w:szCs w:val="24"/>
        </w:rPr>
        <w:br/>
      </w:r>
    </w:p>
    <w:p w14:paraId="54B0FACC" w14:textId="044A8D87" w:rsidR="00167179" w:rsidRPr="009F1E40" w:rsidRDefault="00A0482E" w:rsidP="00167179">
      <w:pPr>
        <w:jc w:val="center"/>
        <w:rPr>
          <w:rFonts w:ascii="Times New Roman" w:hAnsi="Times New Roman"/>
          <w:sz w:val="24"/>
          <w:szCs w:val="24"/>
        </w:rPr>
      </w:pPr>
      <w:r w:rsidRPr="009F1E40">
        <w:rPr>
          <w:rFonts w:ascii="Times New Roman" w:hAnsi="Times New Roman"/>
          <w:sz w:val="24"/>
          <w:szCs w:val="24"/>
        </w:rPr>
        <w:t>Th</w:t>
      </w:r>
      <w:r>
        <w:rPr>
          <w:rFonts w:ascii="Times New Roman" w:hAnsi="Times New Roman"/>
          <w:sz w:val="24"/>
          <w:szCs w:val="24"/>
        </w:rPr>
        <w:t>e Other Grants Guidelines (Education) Amendment (No. 1) 2019</w:t>
      </w:r>
      <w:r w:rsidR="00E461C5">
        <w:rPr>
          <w:rFonts w:ascii="Times New Roman" w:hAnsi="Times New Roman"/>
          <w:sz w:val="24"/>
          <w:szCs w:val="24"/>
        </w:rPr>
        <w:t xml:space="preserve"> (Amendment Instrument) </w:t>
      </w:r>
      <w:r w:rsidRPr="009F1E40">
        <w:rPr>
          <w:rFonts w:ascii="Times New Roman" w:hAnsi="Times New Roman"/>
          <w:sz w:val="24"/>
          <w:szCs w:val="24"/>
        </w:rPr>
        <w:t xml:space="preserve"> </w:t>
      </w:r>
      <w:r w:rsidR="00167179" w:rsidRPr="009F1E40">
        <w:rPr>
          <w:rFonts w:ascii="Times New Roman" w:hAnsi="Times New Roman"/>
          <w:sz w:val="24"/>
          <w:szCs w:val="24"/>
        </w:rPr>
        <w:t xml:space="preserve">is compatible with the human rights and freedoms recognised or declared in the international instruments listed in section 3 of the </w:t>
      </w:r>
      <w:r w:rsidR="00167179" w:rsidRPr="009F1E40">
        <w:rPr>
          <w:rFonts w:ascii="Times New Roman" w:hAnsi="Times New Roman"/>
          <w:i/>
          <w:sz w:val="24"/>
          <w:szCs w:val="24"/>
        </w:rPr>
        <w:t>Human Rights (Parliamentary Scrutiny) Act 2011</w:t>
      </w:r>
      <w:r w:rsidR="00167179" w:rsidRPr="009F1E40">
        <w:rPr>
          <w:rFonts w:ascii="Times New Roman" w:hAnsi="Times New Roman"/>
          <w:sz w:val="24"/>
          <w:szCs w:val="24"/>
        </w:rPr>
        <w:t>.</w:t>
      </w:r>
    </w:p>
    <w:p w14:paraId="54B0FACD" w14:textId="77777777" w:rsidR="00167179" w:rsidRPr="009F1E40" w:rsidRDefault="00167179" w:rsidP="00167179">
      <w:pPr>
        <w:rPr>
          <w:rFonts w:ascii="Times New Roman" w:hAnsi="Times New Roman"/>
          <w:sz w:val="24"/>
          <w:szCs w:val="24"/>
        </w:rPr>
      </w:pPr>
    </w:p>
    <w:p w14:paraId="54B0FACF" w14:textId="7637842B" w:rsidR="00167179" w:rsidRPr="009F1E40" w:rsidRDefault="00167179" w:rsidP="00167179">
      <w:pPr>
        <w:rPr>
          <w:rFonts w:ascii="Times New Roman" w:hAnsi="Times New Roman"/>
          <w:sz w:val="24"/>
          <w:szCs w:val="24"/>
        </w:rPr>
      </w:pPr>
      <w:r w:rsidRPr="009F1E40">
        <w:rPr>
          <w:rFonts w:ascii="Times New Roman" w:hAnsi="Times New Roman"/>
          <w:b/>
          <w:sz w:val="24"/>
          <w:szCs w:val="24"/>
        </w:rPr>
        <w:t>Overview of the Legislative Instrument</w:t>
      </w:r>
    </w:p>
    <w:p w14:paraId="54B0FAD1" w14:textId="77777777" w:rsidR="00167179" w:rsidRPr="009F1E40" w:rsidRDefault="00167179" w:rsidP="00167179">
      <w:pPr>
        <w:rPr>
          <w:rFonts w:ascii="Times New Roman" w:hAnsi="Times New Roman"/>
          <w:sz w:val="24"/>
          <w:szCs w:val="24"/>
        </w:rPr>
      </w:pPr>
    </w:p>
    <w:p w14:paraId="7ADAA5E5" w14:textId="67714858" w:rsidR="00E461C5" w:rsidRDefault="00167179" w:rsidP="00E461C5">
      <w:pPr>
        <w:rPr>
          <w:rFonts w:ascii="Times New Roman" w:hAnsi="Times New Roman"/>
          <w:sz w:val="24"/>
          <w:szCs w:val="24"/>
        </w:rPr>
      </w:pPr>
      <w:r w:rsidRPr="009F1E40">
        <w:rPr>
          <w:rFonts w:ascii="Times New Roman" w:hAnsi="Times New Roman"/>
          <w:sz w:val="24"/>
          <w:szCs w:val="24"/>
        </w:rPr>
        <w:t xml:space="preserve">The </w:t>
      </w:r>
      <w:r w:rsidRPr="00CB1519">
        <w:rPr>
          <w:rFonts w:ascii="Times New Roman" w:hAnsi="Times New Roman"/>
          <w:i/>
          <w:sz w:val="24"/>
          <w:szCs w:val="24"/>
        </w:rPr>
        <w:t xml:space="preserve">Other Grants Guidelines (Education) </w:t>
      </w:r>
      <w:r w:rsidR="00474288" w:rsidRPr="00CB1519">
        <w:rPr>
          <w:rFonts w:ascii="Times New Roman" w:hAnsi="Times New Roman"/>
          <w:i/>
          <w:sz w:val="24"/>
          <w:szCs w:val="24"/>
        </w:rPr>
        <w:t>20</w:t>
      </w:r>
      <w:r w:rsidR="000B75F3" w:rsidRPr="00CB1519">
        <w:rPr>
          <w:rFonts w:ascii="Times New Roman" w:hAnsi="Times New Roman"/>
          <w:i/>
          <w:sz w:val="24"/>
          <w:szCs w:val="24"/>
        </w:rPr>
        <w:t>12</w:t>
      </w:r>
      <w:r w:rsidR="000B75F3">
        <w:rPr>
          <w:rFonts w:ascii="Times New Roman" w:hAnsi="Times New Roman"/>
          <w:sz w:val="24"/>
          <w:szCs w:val="24"/>
        </w:rPr>
        <w:t xml:space="preserve"> </w:t>
      </w:r>
      <w:r w:rsidRPr="009F1E40">
        <w:rPr>
          <w:rFonts w:ascii="Times New Roman" w:hAnsi="Times New Roman"/>
          <w:sz w:val="24"/>
          <w:szCs w:val="24"/>
        </w:rPr>
        <w:t>(</w:t>
      </w:r>
      <w:r w:rsidR="00E461C5">
        <w:rPr>
          <w:rFonts w:ascii="Times New Roman" w:hAnsi="Times New Roman"/>
          <w:sz w:val="24"/>
          <w:szCs w:val="24"/>
        </w:rPr>
        <w:t>Principal Instrument</w:t>
      </w:r>
      <w:r w:rsidRPr="009F1E40">
        <w:rPr>
          <w:rFonts w:ascii="Times New Roman" w:hAnsi="Times New Roman"/>
          <w:sz w:val="24"/>
          <w:szCs w:val="24"/>
        </w:rPr>
        <w:t xml:space="preserve">) </w:t>
      </w:r>
      <w:r w:rsidR="00E461C5">
        <w:rPr>
          <w:rFonts w:ascii="Times New Roman" w:hAnsi="Times New Roman"/>
          <w:sz w:val="24"/>
          <w:szCs w:val="24"/>
        </w:rPr>
        <w:t xml:space="preserve">sets out a number of programs under which grants may be provided in accordance with Part 2-3 of the </w:t>
      </w:r>
      <w:r w:rsidR="005C5760" w:rsidRPr="00CB1519">
        <w:rPr>
          <w:rFonts w:ascii="Times New Roman" w:hAnsi="Times New Roman"/>
          <w:i/>
          <w:sz w:val="24"/>
          <w:szCs w:val="24"/>
        </w:rPr>
        <w:t xml:space="preserve">Higher Education Support </w:t>
      </w:r>
      <w:r w:rsidR="00E461C5" w:rsidRPr="00CB1519">
        <w:rPr>
          <w:rFonts w:ascii="Times New Roman" w:hAnsi="Times New Roman"/>
          <w:i/>
          <w:sz w:val="24"/>
          <w:szCs w:val="24"/>
        </w:rPr>
        <w:t>Act</w:t>
      </w:r>
      <w:r w:rsidR="005C5760" w:rsidRPr="00CB1519">
        <w:rPr>
          <w:rFonts w:ascii="Times New Roman" w:hAnsi="Times New Roman"/>
          <w:i/>
          <w:sz w:val="24"/>
          <w:szCs w:val="24"/>
        </w:rPr>
        <w:t xml:space="preserve"> 2003</w:t>
      </w:r>
      <w:r w:rsidR="005C5760">
        <w:rPr>
          <w:rFonts w:ascii="Times New Roman" w:hAnsi="Times New Roman"/>
          <w:sz w:val="24"/>
          <w:szCs w:val="24"/>
        </w:rPr>
        <w:t xml:space="preserve"> (Act)</w:t>
      </w:r>
      <w:r w:rsidR="00E461C5">
        <w:rPr>
          <w:rFonts w:ascii="Times New Roman" w:hAnsi="Times New Roman"/>
          <w:sz w:val="24"/>
          <w:szCs w:val="24"/>
        </w:rPr>
        <w:t>. The Principal Instrument also sets out some conditions on grants made under the programs specified in the instrument.</w:t>
      </w:r>
    </w:p>
    <w:p w14:paraId="2A803E1E" w14:textId="77777777" w:rsidR="00E461C5" w:rsidRDefault="00E461C5" w:rsidP="00E461C5">
      <w:pPr>
        <w:rPr>
          <w:rFonts w:ascii="Times New Roman" w:hAnsi="Times New Roman"/>
          <w:sz w:val="24"/>
          <w:szCs w:val="24"/>
        </w:rPr>
      </w:pPr>
    </w:p>
    <w:p w14:paraId="54B0FAD3" w14:textId="49A0A084" w:rsidR="00167179" w:rsidRPr="009F1E40" w:rsidRDefault="00E461C5" w:rsidP="00167179">
      <w:pPr>
        <w:rPr>
          <w:rFonts w:ascii="Times New Roman" w:hAnsi="Times New Roman"/>
          <w:sz w:val="24"/>
          <w:szCs w:val="24"/>
        </w:rPr>
      </w:pPr>
      <w:r>
        <w:rPr>
          <w:rFonts w:ascii="Times New Roman" w:hAnsi="Times New Roman"/>
          <w:sz w:val="24"/>
          <w:szCs w:val="24"/>
        </w:rPr>
        <w:t>The Amendment Instrument amends an existing program in the Principal Instrument, the Disability Support Program (DSP). The DSP will provide grants to Table A providers to assist</w:t>
      </w:r>
      <w:r w:rsidR="004B72D7">
        <w:rPr>
          <w:rFonts w:ascii="Times New Roman" w:hAnsi="Times New Roman"/>
          <w:sz w:val="24"/>
          <w:szCs w:val="24"/>
        </w:rPr>
        <w:t xml:space="preserve"> Table A universities to meet their obligations under the </w:t>
      </w:r>
      <w:r w:rsidR="004B72D7" w:rsidRPr="00CB1519">
        <w:rPr>
          <w:rFonts w:ascii="Times New Roman" w:hAnsi="Times New Roman"/>
          <w:i/>
          <w:sz w:val="24"/>
          <w:szCs w:val="24"/>
        </w:rPr>
        <w:t>Disability Discrimination Act 1992</w:t>
      </w:r>
      <w:r w:rsidR="004B72D7">
        <w:rPr>
          <w:rFonts w:ascii="Times New Roman" w:hAnsi="Times New Roman"/>
          <w:sz w:val="24"/>
          <w:szCs w:val="24"/>
        </w:rPr>
        <w:t xml:space="preserve"> and the Disability Standards for Education (2005) </w:t>
      </w:r>
      <w:r w:rsidR="00945E98" w:rsidRPr="00CB1519">
        <w:rPr>
          <w:rFonts w:ascii="Times New Roman" w:hAnsi="Times New Roman"/>
          <w:sz w:val="24"/>
          <w:szCs w:val="24"/>
        </w:rPr>
        <w:t>to ensure that all students with disability have the same or similar choices and opportunities regarding enrolment, participation, curriculum and support services as students without disability.</w:t>
      </w:r>
      <w:r w:rsidR="005D3613">
        <w:rPr>
          <w:rFonts w:ascii="Times New Roman" w:hAnsi="Times New Roman"/>
          <w:sz w:val="24"/>
          <w:szCs w:val="24"/>
        </w:rPr>
        <w:t xml:space="preserve"> The Amendment Instrument gives effect to the Australian Government’s response to the Department of Education and Training evaluation of the Disability Support Program published in June 2015.</w:t>
      </w:r>
    </w:p>
    <w:p w14:paraId="54B0FAD5" w14:textId="77777777" w:rsidR="00167179" w:rsidRPr="009F1E40" w:rsidRDefault="00167179" w:rsidP="00167179">
      <w:pPr>
        <w:rPr>
          <w:rFonts w:ascii="Times New Roman" w:hAnsi="Times New Roman"/>
          <w:sz w:val="24"/>
          <w:szCs w:val="24"/>
        </w:rPr>
      </w:pPr>
    </w:p>
    <w:p w14:paraId="54B0FAD7" w14:textId="56684857" w:rsidR="00167179" w:rsidRPr="009F1E40" w:rsidRDefault="00167179" w:rsidP="00167179">
      <w:pPr>
        <w:rPr>
          <w:rFonts w:ascii="Times New Roman" w:hAnsi="Times New Roman"/>
          <w:sz w:val="24"/>
          <w:szCs w:val="24"/>
        </w:rPr>
      </w:pPr>
      <w:r w:rsidRPr="009F1E40">
        <w:rPr>
          <w:rFonts w:ascii="Times New Roman" w:hAnsi="Times New Roman"/>
          <w:b/>
          <w:sz w:val="24"/>
          <w:szCs w:val="24"/>
        </w:rPr>
        <w:t>Human rights implications</w:t>
      </w:r>
    </w:p>
    <w:p w14:paraId="54B0FADD" w14:textId="77777777" w:rsidR="00167179" w:rsidRPr="009F1E40" w:rsidRDefault="00167179" w:rsidP="00167179">
      <w:pPr>
        <w:rPr>
          <w:rFonts w:ascii="Times New Roman" w:hAnsi="Times New Roman"/>
          <w:i/>
          <w:sz w:val="24"/>
          <w:szCs w:val="24"/>
        </w:rPr>
      </w:pPr>
    </w:p>
    <w:p w14:paraId="54B0FADF" w14:textId="2CB4D2E9" w:rsidR="00167179" w:rsidRPr="009F1E40" w:rsidRDefault="00167179" w:rsidP="00167179">
      <w:pPr>
        <w:rPr>
          <w:rFonts w:ascii="Times New Roman" w:hAnsi="Times New Roman"/>
          <w:sz w:val="24"/>
          <w:szCs w:val="24"/>
        </w:rPr>
      </w:pPr>
      <w:r w:rsidRPr="009F1E40">
        <w:rPr>
          <w:rFonts w:ascii="Times New Roman" w:hAnsi="Times New Roman"/>
          <w:i/>
          <w:sz w:val="24"/>
          <w:szCs w:val="24"/>
        </w:rPr>
        <w:t>Right to education</w:t>
      </w:r>
    </w:p>
    <w:p w14:paraId="20AE0296" w14:textId="7A603F06" w:rsidR="00AE3050" w:rsidRDefault="00AE3050" w:rsidP="00AE3050">
      <w:pPr>
        <w:shd w:val="clear" w:color="auto" w:fill="FFFFFF"/>
        <w:spacing w:before="100" w:beforeAutospacing="1" w:after="100" w:afterAutospacing="1"/>
        <w:textAlignment w:val="top"/>
        <w:rPr>
          <w:rFonts w:ascii="Times New Roman" w:eastAsiaTheme="minorHAnsi" w:hAnsi="Times New Roman"/>
          <w:sz w:val="24"/>
          <w:szCs w:val="24"/>
        </w:rPr>
      </w:pPr>
      <w:r w:rsidRPr="00AE3050">
        <w:rPr>
          <w:rFonts w:ascii="Times New Roman" w:hAnsi="Times New Roman"/>
          <w:sz w:val="24"/>
          <w:szCs w:val="24"/>
        </w:rPr>
        <w:t xml:space="preserve">People with disabilities are recognised under international law as rights-holders, with a right to education without discrimination and on the basis of equal opportunities. This right is guaranteed by the </w:t>
      </w:r>
      <w:hyperlink r:id="rId11" w:history="1">
        <w:r w:rsidRPr="004B4771">
          <w:rPr>
            <w:rFonts w:ascii="Times New Roman" w:hAnsi="Times New Roman"/>
            <w:i/>
            <w:sz w:val="24"/>
            <w:szCs w:val="24"/>
          </w:rPr>
          <w:t>International Covenant on Economic, Social and Cultural Rights</w:t>
        </w:r>
      </w:hyperlink>
      <w:r w:rsidRPr="00AE3050">
        <w:rPr>
          <w:rFonts w:ascii="Times New Roman" w:hAnsi="Times New Roman"/>
          <w:sz w:val="24"/>
          <w:szCs w:val="24"/>
        </w:rPr>
        <w:t xml:space="preserve"> (1966)</w:t>
      </w:r>
      <w:r w:rsidR="00572AE4">
        <w:rPr>
          <w:rFonts w:ascii="Times New Roman" w:hAnsi="Times New Roman"/>
          <w:sz w:val="24"/>
          <w:szCs w:val="24"/>
        </w:rPr>
        <w:t xml:space="preserve"> (ICESCR).</w:t>
      </w:r>
      <w:r w:rsidRPr="00AE3050">
        <w:rPr>
          <w:rFonts w:ascii="Calibri" w:hAnsi="Calibri" w:cs="Calibri"/>
          <w:sz w:val="27"/>
          <w:szCs w:val="27"/>
          <w:lang w:val="en"/>
        </w:rPr>
        <w:t xml:space="preserve"> </w:t>
      </w:r>
      <w:r w:rsidR="00167179" w:rsidRPr="009F1E40">
        <w:rPr>
          <w:rFonts w:ascii="Times New Roman" w:hAnsi="Times New Roman"/>
          <w:sz w:val="24"/>
          <w:szCs w:val="24"/>
        </w:rPr>
        <w:t xml:space="preserve">The </w:t>
      </w:r>
      <w:r w:rsidR="000A08A6">
        <w:rPr>
          <w:rFonts w:ascii="Times New Roman" w:hAnsi="Times New Roman"/>
          <w:sz w:val="24"/>
          <w:szCs w:val="24"/>
        </w:rPr>
        <w:t>Amendment Instrument</w:t>
      </w:r>
      <w:r w:rsidR="000A08A6" w:rsidRPr="009F1E40">
        <w:rPr>
          <w:rFonts w:ascii="Times New Roman" w:hAnsi="Times New Roman"/>
          <w:sz w:val="24"/>
          <w:szCs w:val="24"/>
        </w:rPr>
        <w:t xml:space="preserve"> </w:t>
      </w:r>
      <w:r w:rsidR="00167179" w:rsidRPr="009F1E40">
        <w:rPr>
          <w:rFonts w:ascii="Times New Roman" w:hAnsi="Times New Roman"/>
          <w:sz w:val="24"/>
          <w:szCs w:val="24"/>
        </w:rPr>
        <w:t>engage</w:t>
      </w:r>
      <w:r w:rsidR="000A08A6">
        <w:rPr>
          <w:rFonts w:ascii="Times New Roman" w:hAnsi="Times New Roman"/>
          <w:sz w:val="24"/>
          <w:szCs w:val="24"/>
        </w:rPr>
        <w:t>s</w:t>
      </w:r>
      <w:r w:rsidR="00167179" w:rsidRPr="009F1E40">
        <w:rPr>
          <w:rFonts w:ascii="Times New Roman" w:hAnsi="Times New Roman"/>
          <w:sz w:val="24"/>
          <w:szCs w:val="24"/>
        </w:rPr>
        <w:t xml:space="preserve"> the right to education, contained in Article 13 of </w:t>
      </w:r>
      <w:r>
        <w:rPr>
          <w:rFonts w:ascii="Times New Roman" w:hAnsi="Times New Roman"/>
          <w:sz w:val="24"/>
          <w:szCs w:val="24"/>
        </w:rPr>
        <w:t xml:space="preserve">ICESCR in that it </w:t>
      </w:r>
      <w:r w:rsidR="000815AA">
        <w:rPr>
          <w:rFonts w:ascii="Times New Roman" w:eastAsiaTheme="minorHAnsi" w:hAnsi="Times New Roman"/>
          <w:sz w:val="24"/>
          <w:szCs w:val="24"/>
        </w:rPr>
        <w:t>supports</w:t>
      </w:r>
      <w:r w:rsidRPr="006C48B4">
        <w:rPr>
          <w:rFonts w:ascii="Times New Roman" w:eastAsiaTheme="minorHAnsi" w:hAnsi="Times New Roman"/>
          <w:sz w:val="24"/>
          <w:szCs w:val="24"/>
        </w:rPr>
        <w:t xml:space="preserve"> access to education of particular classes of persons who may face barriers to it, </w:t>
      </w:r>
      <w:r w:rsidRPr="00AE3050">
        <w:rPr>
          <w:rFonts w:ascii="Times New Roman" w:eastAsiaTheme="minorHAnsi" w:hAnsi="Times New Roman"/>
          <w:sz w:val="24"/>
          <w:szCs w:val="24"/>
        </w:rPr>
        <w:t>namely</w:t>
      </w:r>
      <w:r w:rsidRPr="006C48B4">
        <w:rPr>
          <w:rFonts w:ascii="Times New Roman" w:eastAsiaTheme="minorHAnsi" w:hAnsi="Times New Roman"/>
          <w:sz w:val="24"/>
          <w:szCs w:val="24"/>
        </w:rPr>
        <w:t xml:space="preserve"> </w:t>
      </w:r>
      <w:r w:rsidRPr="00AE3050">
        <w:rPr>
          <w:rFonts w:ascii="Times New Roman" w:eastAsiaTheme="minorHAnsi" w:hAnsi="Times New Roman"/>
          <w:sz w:val="24"/>
          <w:szCs w:val="24"/>
        </w:rPr>
        <w:t>people with disabilities.</w:t>
      </w:r>
      <w:r w:rsidRPr="006C48B4">
        <w:rPr>
          <w:rFonts w:ascii="Times New Roman" w:eastAsiaTheme="minorHAnsi" w:hAnsi="Times New Roman"/>
          <w:sz w:val="24"/>
          <w:szCs w:val="24"/>
        </w:rPr>
        <w:t xml:space="preserve"> </w:t>
      </w:r>
    </w:p>
    <w:p w14:paraId="20E50A0D" w14:textId="595EC961" w:rsidR="004B4771" w:rsidRPr="004B4771" w:rsidRDefault="004B4771" w:rsidP="004B4771">
      <w:pPr>
        <w:rPr>
          <w:rFonts w:ascii="Times New Roman" w:eastAsiaTheme="minorHAnsi" w:hAnsi="Times New Roman"/>
          <w:sz w:val="24"/>
          <w:szCs w:val="24"/>
        </w:rPr>
      </w:pPr>
      <w:r w:rsidRPr="004B4771">
        <w:rPr>
          <w:rFonts w:ascii="Times New Roman" w:eastAsiaTheme="minorHAnsi" w:hAnsi="Times New Roman"/>
          <w:sz w:val="24"/>
          <w:szCs w:val="24"/>
        </w:rPr>
        <w:t xml:space="preserve">The Amendment Instrument forms part of the DSP framework objective of addressing the specific barriers people with disabilities face in enjoyment of their right to education, through </w:t>
      </w:r>
      <w:r w:rsidR="00572AE4">
        <w:rPr>
          <w:rFonts w:ascii="Times New Roman" w:eastAsiaTheme="minorHAnsi" w:hAnsi="Times New Roman"/>
          <w:sz w:val="24"/>
          <w:szCs w:val="24"/>
        </w:rPr>
        <w:t xml:space="preserve">systematic </w:t>
      </w:r>
      <w:r w:rsidRPr="004B4771">
        <w:rPr>
          <w:rFonts w:ascii="Times New Roman" w:eastAsiaTheme="minorHAnsi" w:hAnsi="Times New Roman"/>
          <w:sz w:val="24"/>
          <w:szCs w:val="24"/>
        </w:rPr>
        <w:t>supports and accommodations, and</w:t>
      </w:r>
      <w:r w:rsidR="00572AE4">
        <w:rPr>
          <w:rFonts w:ascii="Times New Roman" w:eastAsiaTheme="minorHAnsi" w:hAnsi="Times New Roman"/>
          <w:sz w:val="24"/>
          <w:szCs w:val="24"/>
        </w:rPr>
        <w:t xml:space="preserve"> by</w:t>
      </w:r>
      <w:r w:rsidRPr="004B4771">
        <w:rPr>
          <w:rFonts w:ascii="Times New Roman" w:eastAsiaTheme="minorHAnsi" w:hAnsi="Times New Roman"/>
          <w:sz w:val="24"/>
          <w:szCs w:val="24"/>
        </w:rPr>
        <w:t xml:space="preserve"> ensur</w:t>
      </w:r>
      <w:r w:rsidR="00572AE4">
        <w:rPr>
          <w:rFonts w:ascii="Times New Roman" w:eastAsiaTheme="minorHAnsi" w:hAnsi="Times New Roman"/>
          <w:sz w:val="24"/>
          <w:szCs w:val="24"/>
        </w:rPr>
        <w:t>ing</w:t>
      </w:r>
      <w:r w:rsidRPr="004B4771">
        <w:rPr>
          <w:rFonts w:ascii="Times New Roman" w:eastAsiaTheme="minorHAnsi" w:hAnsi="Times New Roman"/>
          <w:sz w:val="24"/>
          <w:szCs w:val="24"/>
        </w:rPr>
        <w:t xml:space="preserve"> their effective access to education and fulfilment of their individual potential on equal terms to other students within a participatory learning environment.</w:t>
      </w:r>
    </w:p>
    <w:p w14:paraId="3A3FBE4B" w14:textId="24682468" w:rsidR="004B4771" w:rsidRPr="006C48B4" w:rsidRDefault="004B4771" w:rsidP="004B4771">
      <w:pPr>
        <w:shd w:val="clear" w:color="auto" w:fill="FFFFFF"/>
        <w:spacing w:before="100" w:beforeAutospacing="1" w:after="100" w:afterAutospacing="1"/>
        <w:textAlignment w:val="top"/>
        <w:rPr>
          <w:rFonts w:ascii="Times New Roman" w:eastAsiaTheme="minorHAnsi" w:hAnsi="Times New Roman"/>
          <w:sz w:val="24"/>
          <w:szCs w:val="24"/>
        </w:rPr>
      </w:pPr>
      <w:r w:rsidRPr="004B4771">
        <w:rPr>
          <w:rFonts w:ascii="Times New Roman" w:eastAsiaTheme="minorHAnsi" w:hAnsi="Times New Roman"/>
          <w:sz w:val="24"/>
          <w:szCs w:val="24"/>
        </w:rPr>
        <w:t xml:space="preserve">The measures in the Amendment Instrument collectively promote the right to education by strengthening the capacity of the education system to </w:t>
      </w:r>
      <w:r w:rsidR="000815AA">
        <w:rPr>
          <w:rFonts w:ascii="Times New Roman" w:eastAsiaTheme="minorHAnsi" w:hAnsi="Times New Roman"/>
          <w:sz w:val="24"/>
          <w:szCs w:val="24"/>
        </w:rPr>
        <w:t>accommodate</w:t>
      </w:r>
      <w:r w:rsidRPr="004B4771">
        <w:rPr>
          <w:rFonts w:ascii="Times New Roman" w:eastAsiaTheme="minorHAnsi" w:hAnsi="Times New Roman"/>
          <w:sz w:val="24"/>
          <w:szCs w:val="24"/>
        </w:rPr>
        <w:t xml:space="preserve"> all learners to maximise full and effective participation, accessibility, attendance and achievement of all students and overcome barriers to learning and participation for all by focusing on well-being and success of students with disabilities. The measure</w:t>
      </w:r>
      <w:r w:rsidR="00572AE4">
        <w:rPr>
          <w:rFonts w:ascii="Times New Roman" w:eastAsiaTheme="minorHAnsi" w:hAnsi="Times New Roman"/>
          <w:sz w:val="24"/>
          <w:szCs w:val="24"/>
        </w:rPr>
        <w:t>s</w:t>
      </w:r>
      <w:r w:rsidRPr="004B4771">
        <w:rPr>
          <w:rFonts w:ascii="Times New Roman" w:eastAsiaTheme="minorHAnsi" w:hAnsi="Times New Roman"/>
          <w:sz w:val="24"/>
          <w:szCs w:val="24"/>
        </w:rPr>
        <w:t xml:space="preserve"> underpin and support the broader right to inclusive education to accommodate the differing requirements and identities of individual students, together with a commitment to remove the barriers that impede that possibility.</w:t>
      </w:r>
    </w:p>
    <w:p w14:paraId="54B0FAE0" w14:textId="54F9811F" w:rsidR="00167179" w:rsidRPr="009F1E40" w:rsidRDefault="00167179" w:rsidP="00167179">
      <w:pPr>
        <w:rPr>
          <w:rFonts w:ascii="Times New Roman" w:hAnsi="Times New Roman"/>
          <w:sz w:val="24"/>
          <w:szCs w:val="24"/>
        </w:rPr>
      </w:pPr>
      <w:r w:rsidRPr="009F1E40">
        <w:rPr>
          <w:rFonts w:ascii="Times New Roman" w:hAnsi="Times New Roman"/>
          <w:sz w:val="24"/>
          <w:szCs w:val="24"/>
        </w:rPr>
        <w:lastRenderedPageBreak/>
        <w:t xml:space="preserve">In particular, the </w:t>
      </w:r>
      <w:r w:rsidR="000A08A6">
        <w:rPr>
          <w:rFonts w:ascii="Times New Roman" w:hAnsi="Times New Roman"/>
          <w:sz w:val="24"/>
          <w:szCs w:val="24"/>
        </w:rPr>
        <w:t xml:space="preserve">Amendment Instrument </w:t>
      </w:r>
      <w:r w:rsidR="00AE3050">
        <w:rPr>
          <w:rFonts w:ascii="Times New Roman" w:hAnsi="Times New Roman"/>
          <w:sz w:val="24"/>
          <w:szCs w:val="24"/>
        </w:rPr>
        <w:t>promotes the right to education in that it supports and underpins</w:t>
      </w:r>
      <w:r w:rsidR="000A08A6">
        <w:rPr>
          <w:rFonts w:ascii="Times New Roman" w:hAnsi="Times New Roman"/>
          <w:sz w:val="24"/>
          <w:szCs w:val="24"/>
        </w:rPr>
        <w:t xml:space="preserve"> equality of opportunity in education, by providing</w:t>
      </w:r>
      <w:r w:rsidR="000876D9">
        <w:rPr>
          <w:rFonts w:ascii="Times New Roman" w:hAnsi="Times New Roman"/>
          <w:sz w:val="24"/>
          <w:szCs w:val="24"/>
        </w:rPr>
        <w:t xml:space="preserve"> grants to </w:t>
      </w:r>
      <w:r w:rsidR="00F817E3">
        <w:rPr>
          <w:rFonts w:ascii="Times New Roman" w:hAnsi="Times New Roman"/>
          <w:sz w:val="24"/>
          <w:szCs w:val="24"/>
        </w:rPr>
        <w:t>eligible higher education providers</w:t>
      </w:r>
      <w:r w:rsidR="000A08A6">
        <w:rPr>
          <w:rFonts w:ascii="Times New Roman" w:hAnsi="Times New Roman"/>
          <w:sz w:val="24"/>
          <w:szCs w:val="24"/>
        </w:rPr>
        <w:t xml:space="preserve"> to </w:t>
      </w:r>
      <w:r w:rsidR="000876D9">
        <w:rPr>
          <w:rFonts w:ascii="Times New Roman" w:hAnsi="Times New Roman"/>
          <w:sz w:val="24"/>
          <w:szCs w:val="24"/>
        </w:rPr>
        <w:t xml:space="preserve">provide </w:t>
      </w:r>
      <w:r w:rsidR="00F817E3">
        <w:rPr>
          <w:rFonts w:ascii="Times New Roman" w:hAnsi="Times New Roman"/>
          <w:sz w:val="24"/>
          <w:szCs w:val="24"/>
        </w:rPr>
        <w:t>educational support to people with disability.</w:t>
      </w:r>
      <w:r w:rsidR="000A08A6">
        <w:rPr>
          <w:rFonts w:ascii="Times New Roman" w:hAnsi="Times New Roman"/>
          <w:sz w:val="24"/>
          <w:szCs w:val="24"/>
        </w:rPr>
        <w:t xml:space="preserve"> </w:t>
      </w:r>
      <w:r w:rsidR="00F817E3">
        <w:rPr>
          <w:rFonts w:ascii="Times New Roman" w:hAnsi="Times New Roman"/>
          <w:sz w:val="24"/>
          <w:szCs w:val="24"/>
        </w:rPr>
        <w:t>By removing barriers to education for people with disabilit</w:t>
      </w:r>
      <w:r w:rsidR="00AE3050">
        <w:rPr>
          <w:rFonts w:ascii="Times New Roman" w:hAnsi="Times New Roman"/>
          <w:sz w:val="24"/>
          <w:szCs w:val="24"/>
        </w:rPr>
        <w:t>ie</w:t>
      </w:r>
      <w:r w:rsidR="00AA35D3">
        <w:rPr>
          <w:rFonts w:ascii="Times New Roman" w:hAnsi="Times New Roman"/>
          <w:sz w:val="24"/>
          <w:szCs w:val="24"/>
        </w:rPr>
        <w:t>s</w:t>
      </w:r>
      <w:r w:rsidR="00F817E3">
        <w:rPr>
          <w:rFonts w:ascii="Times New Roman" w:hAnsi="Times New Roman"/>
          <w:sz w:val="24"/>
          <w:szCs w:val="24"/>
        </w:rPr>
        <w:t>, the Amendment Instrument will improve access to</w:t>
      </w:r>
      <w:r w:rsidR="00945E98">
        <w:rPr>
          <w:rFonts w:ascii="Times New Roman" w:hAnsi="Times New Roman"/>
          <w:sz w:val="24"/>
          <w:szCs w:val="24"/>
        </w:rPr>
        <w:t>,</w:t>
      </w:r>
      <w:r w:rsidR="00F817E3">
        <w:rPr>
          <w:rFonts w:ascii="Times New Roman" w:hAnsi="Times New Roman"/>
          <w:sz w:val="24"/>
          <w:szCs w:val="24"/>
        </w:rPr>
        <w:t xml:space="preserve"> and increase participation in</w:t>
      </w:r>
      <w:r w:rsidR="00945E98">
        <w:rPr>
          <w:rFonts w:ascii="Times New Roman" w:hAnsi="Times New Roman"/>
          <w:sz w:val="24"/>
          <w:szCs w:val="24"/>
        </w:rPr>
        <w:t>,</w:t>
      </w:r>
      <w:r w:rsidR="00F817E3">
        <w:rPr>
          <w:rFonts w:ascii="Times New Roman" w:hAnsi="Times New Roman"/>
          <w:sz w:val="24"/>
          <w:szCs w:val="24"/>
        </w:rPr>
        <w:t xml:space="preserve"> higher education, </w:t>
      </w:r>
      <w:r w:rsidR="00AA35D3">
        <w:rPr>
          <w:rFonts w:ascii="Times New Roman" w:hAnsi="Times New Roman"/>
          <w:sz w:val="24"/>
          <w:szCs w:val="24"/>
        </w:rPr>
        <w:t xml:space="preserve">by </w:t>
      </w:r>
      <w:r w:rsidR="00AA35D3" w:rsidRPr="004B4771">
        <w:rPr>
          <w:rFonts w:ascii="Times New Roman" w:hAnsi="Times New Roman"/>
          <w:sz w:val="24"/>
          <w:szCs w:val="24"/>
        </w:rPr>
        <w:t>ensuring comparable access, services and facilities, and improving the ability for students with disabilities to participate in education and training without discrimination</w:t>
      </w:r>
      <w:r w:rsidR="001939D0">
        <w:rPr>
          <w:rFonts w:ascii="Times New Roman" w:hAnsi="Times New Roman"/>
          <w:sz w:val="24"/>
          <w:szCs w:val="24"/>
        </w:rPr>
        <w:t>. This is achieved</w:t>
      </w:r>
      <w:r w:rsidR="00AA35D3" w:rsidRPr="004B4771">
        <w:rPr>
          <w:rFonts w:ascii="Times New Roman" w:hAnsi="Times New Roman"/>
          <w:sz w:val="24"/>
          <w:szCs w:val="24"/>
        </w:rPr>
        <w:t xml:space="preserve"> by </w:t>
      </w:r>
      <w:r w:rsidR="000815AA">
        <w:rPr>
          <w:rFonts w:ascii="Times New Roman" w:hAnsi="Times New Roman"/>
          <w:sz w:val="24"/>
          <w:szCs w:val="24"/>
        </w:rPr>
        <w:t>providing funding</w:t>
      </w:r>
      <w:r w:rsidR="00AA35D3" w:rsidRPr="004B4771">
        <w:rPr>
          <w:rFonts w:ascii="Times New Roman" w:hAnsi="Times New Roman"/>
          <w:sz w:val="24"/>
          <w:szCs w:val="24"/>
        </w:rPr>
        <w:t xml:space="preserve"> to </w:t>
      </w:r>
      <w:r w:rsidR="004B4771" w:rsidRPr="00CB1519">
        <w:rPr>
          <w:rFonts w:ascii="Times New Roman" w:hAnsi="Times New Roman"/>
          <w:sz w:val="24"/>
          <w:szCs w:val="24"/>
        </w:rPr>
        <w:t xml:space="preserve">foster inclusion of students with disabilities </w:t>
      </w:r>
      <w:r w:rsidR="008215B9">
        <w:rPr>
          <w:rFonts w:ascii="Times New Roman" w:hAnsi="Times New Roman"/>
          <w:sz w:val="24"/>
          <w:szCs w:val="24"/>
        </w:rPr>
        <w:t>to support</w:t>
      </w:r>
      <w:r w:rsidR="003C39BC">
        <w:rPr>
          <w:rFonts w:ascii="Times New Roman" w:hAnsi="Times New Roman"/>
          <w:sz w:val="24"/>
          <w:szCs w:val="24"/>
        </w:rPr>
        <w:t xml:space="preserve"> and enhance</w:t>
      </w:r>
      <w:r w:rsidR="004B4771" w:rsidRPr="00CB1519">
        <w:rPr>
          <w:rFonts w:ascii="Times New Roman" w:hAnsi="Times New Roman"/>
          <w:sz w:val="24"/>
          <w:szCs w:val="24"/>
        </w:rPr>
        <w:t xml:space="preserve"> their equality throughout their</w:t>
      </w:r>
      <w:r w:rsidR="004B4771">
        <w:rPr>
          <w:rFonts w:ascii="Calibri" w:hAnsi="Calibri" w:cs="Calibri"/>
          <w:sz w:val="27"/>
          <w:szCs w:val="27"/>
          <w:lang w:val="en"/>
        </w:rPr>
        <w:t xml:space="preserve"> </w:t>
      </w:r>
      <w:r w:rsidR="004B4771" w:rsidRPr="00CB1519">
        <w:rPr>
          <w:rFonts w:ascii="Times New Roman" w:hAnsi="Times New Roman"/>
          <w:sz w:val="24"/>
          <w:szCs w:val="24"/>
        </w:rPr>
        <w:t>education.</w:t>
      </w:r>
    </w:p>
    <w:p w14:paraId="54B0FAE1" w14:textId="77777777" w:rsidR="00167179" w:rsidRPr="009F1E40" w:rsidRDefault="00167179" w:rsidP="00167179">
      <w:pPr>
        <w:rPr>
          <w:rFonts w:ascii="Times New Roman" w:hAnsi="Times New Roman"/>
          <w:i/>
          <w:sz w:val="24"/>
          <w:szCs w:val="24"/>
        </w:rPr>
      </w:pPr>
    </w:p>
    <w:p w14:paraId="54B0FAE2" w14:textId="02DB574F" w:rsidR="00167179" w:rsidRPr="009F1E40" w:rsidRDefault="00167179" w:rsidP="00167179">
      <w:pPr>
        <w:rPr>
          <w:rFonts w:ascii="Times New Roman" w:hAnsi="Times New Roman"/>
          <w:i/>
          <w:sz w:val="24"/>
          <w:szCs w:val="24"/>
        </w:rPr>
      </w:pPr>
      <w:r w:rsidRPr="009F1E40">
        <w:rPr>
          <w:rFonts w:ascii="Times New Roman" w:hAnsi="Times New Roman"/>
          <w:i/>
          <w:sz w:val="24"/>
          <w:szCs w:val="24"/>
        </w:rPr>
        <w:t>Rights of people with disabilit</w:t>
      </w:r>
      <w:r w:rsidR="004B4771">
        <w:rPr>
          <w:rFonts w:ascii="Times New Roman" w:hAnsi="Times New Roman"/>
          <w:i/>
          <w:sz w:val="24"/>
          <w:szCs w:val="24"/>
        </w:rPr>
        <w:t>ies</w:t>
      </w:r>
    </w:p>
    <w:p w14:paraId="54B0FAE3" w14:textId="77777777" w:rsidR="00167179" w:rsidRPr="009F1E40" w:rsidRDefault="00167179" w:rsidP="00167179">
      <w:pPr>
        <w:rPr>
          <w:rFonts w:ascii="Times New Roman" w:hAnsi="Times New Roman"/>
          <w:sz w:val="24"/>
          <w:szCs w:val="24"/>
        </w:rPr>
      </w:pPr>
    </w:p>
    <w:p w14:paraId="63432AD9" w14:textId="33B12B65" w:rsidR="004B4771" w:rsidRPr="004B4771" w:rsidRDefault="00167179" w:rsidP="004B4771">
      <w:pPr>
        <w:pStyle w:val="Default"/>
        <w:rPr>
          <w:lang w:val="en"/>
        </w:rPr>
      </w:pPr>
      <w:r w:rsidRPr="009F1E40">
        <w:t xml:space="preserve">The rights of people with </w:t>
      </w:r>
      <w:r w:rsidR="00AE3050" w:rsidRPr="009F1E40">
        <w:t>disabilit</w:t>
      </w:r>
      <w:r w:rsidR="00AE3050">
        <w:t>ies</w:t>
      </w:r>
      <w:r w:rsidR="00AE3050" w:rsidRPr="009F1E40">
        <w:t xml:space="preserve"> </w:t>
      </w:r>
      <w:r w:rsidRPr="009F1E40">
        <w:t xml:space="preserve">are contained in the </w:t>
      </w:r>
      <w:r w:rsidRPr="00CB1519">
        <w:rPr>
          <w:i/>
        </w:rPr>
        <w:t>Convention on the Rights of Persons with Disabilities</w:t>
      </w:r>
      <w:r w:rsidR="00AE3050">
        <w:t xml:space="preserve"> 2006</w:t>
      </w:r>
      <w:r w:rsidRPr="009F1E40">
        <w:t xml:space="preserve"> (CRPD)</w:t>
      </w:r>
      <w:r w:rsidR="004B4771">
        <w:t xml:space="preserve">. </w:t>
      </w:r>
      <w:r w:rsidR="004B4771" w:rsidRPr="004B4771">
        <w:rPr>
          <w:lang w:val="en"/>
        </w:rPr>
        <w:t>CRPD sets out the right to education as applied to people with disabilities in Article 24.</w:t>
      </w:r>
    </w:p>
    <w:p w14:paraId="22CFBF18" w14:textId="77777777" w:rsidR="004B4771" w:rsidRPr="004B4771" w:rsidRDefault="004B4771" w:rsidP="004B4771">
      <w:pPr>
        <w:autoSpaceDE w:val="0"/>
        <w:autoSpaceDN w:val="0"/>
        <w:adjustRightInd w:val="0"/>
        <w:rPr>
          <w:rFonts w:ascii="Times New Roman" w:eastAsiaTheme="minorHAnsi" w:hAnsi="Times New Roman"/>
          <w:sz w:val="24"/>
          <w:szCs w:val="24"/>
          <w:lang w:val="en"/>
        </w:rPr>
      </w:pPr>
    </w:p>
    <w:p w14:paraId="16E2C3A7" w14:textId="12F5969C" w:rsidR="004B4771" w:rsidRPr="004B4771" w:rsidRDefault="001939D0" w:rsidP="004B4771">
      <w:pPr>
        <w:autoSpaceDE w:val="0"/>
        <w:autoSpaceDN w:val="0"/>
        <w:adjustRightInd w:val="0"/>
        <w:rPr>
          <w:rFonts w:ascii="Times New Roman" w:eastAsiaTheme="minorHAnsi" w:hAnsi="Times New Roman"/>
          <w:sz w:val="24"/>
          <w:szCs w:val="24"/>
          <w:lang w:val="en"/>
        </w:rPr>
      </w:pPr>
      <w:r>
        <w:rPr>
          <w:rFonts w:ascii="Times New Roman" w:eastAsiaTheme="minorHAnsi" w:hAnsi="Times New Roman"/>
          <w:sz w:val="24"/>
          <w:szCs w:val="24"/>
        </w:rPr>
        <w:t>Article 24(1) of CRPD provides</w:t>
      </w:r>
      <w:r w:rsidR="004B4771">
        <w:rPr>
          <w:rFonts w:ascii="Times New Roman" w:eastAsiaTheme="minorHAnsi" w:hAnsi="Times New Roman"/>
          <w:sz w:val="24"/>
          <w:szCs w:val="24"/>
        </w:rPr>
        <w:t xml:space="preserve"> States Parties must ensure the realis</w:t>
      </w:r>
      <w:r w:rsidR="004B4771" w:rsidRPr="004B4771">
        <w:rPr>
          <w:rFonts w:ascii="Times New Roman" w:eastAsiaTheme="minorHAnsi" w:hAnsi="Times New Roman"/>
          <w:sz w:val="24"/>
          <w:szCs w:val="24"/>
        </w:rPr>
        <w:t>ation of the right of persons with disabilities to education through an inclusive education system at all levels, including tertiary education, for all students, including persons with disabilities, without discrimination and on equal terms with others.</w:t>
      </w:r>
      <w:r w:rsidR="004B4771" w:rsidRPr="004B4771">
        <w:rPr>
          <w:rFonts w:ascii="Times New Roman" w:eastAsiaTheme="minorHAnsi" w:hAnsi="Times New Roman"/>
          <w:sz w:val="24"/>
          <w:szCs w:val="24"/>
        </w:rPr>
        <w:br/>
      </w:r>
    </w:p>
    <w:p w14:paraId="54B0FAE4" w14:textId="4F943091" w:rsidR="00167179" w:rsidRPr="009F1E40" w:rsidRDefault="004B4771">
      <w:pPr>
        <w:rPr>
          <w:rFonts w:ascii="Times New Roman" w:hAnsi="Times New Roman"/>
          <w:sz w:val="24"/>
          <w:szCs w:val="24"/>
        </w:rPr>
      </w:pPr>
      <w:r w:rsidRPr="004B4771">
        <w:rPr>
          <w:rFonts w:ascii="Times New Roman" w:eastAsiaTheme="minorHAnsi" w:hAnsi="Times New Roman"/>
          <w:sz w:val="24"/>
          <w:szCs w:val="24"/>
        </w:rPr>
        <w:t xml:space="preserve">Article 24(1) </w:t>
      </w:r>
      <w:r w:rsidR="001939D0">
        <w:rPr>
          <w:rFonts w:ascii="Times New Roman" w:eastAsiaTheme="minorHAnsi" w:hAnsi="Times New Roman"/>
          <w:sz w:val="24"/>
          <w:szCs w:val="24"/>
        </w:rPr>
        <w:t>also</w:t>
      </w:r>
      <w:r w:rsidRPr="004B4771">
        <w:rPr>
          <w:rFonts w:ascii="Times New Roman" w:eastAsiaTheme="minorHAnsi" w:hAnsi="Times New Roman"/>
          <w:sz w:val="24"/>
          <w:szCs w:val="24"/>
        </w:rPr>
        <w:t xml:space="preserve"> sets out the aims of an inclusive education system as being to promote the full development of human potential and sense of dignity and self-worth, by strengthening respect for human rights, fundamental freedoms, and diversity, to foster the personality, talents and creativity of people with disabilities, as well as their mental and physical abilities, to their fullest potential and to enable persons with disabilities to participate effectively in society.</w:t>
      </w:r>
    </w:p>
    <w:p w14:paraId="54B0FAE5" w14:textId="77777777" w:rsidR="00167179" w:rsidRPr="009F1E40" w:rsidRDefault="00167179" w:rsidP="00167179">
      <w:pPr>
        <w:rPr>
          <w:rFonts w:ascii="Times New Roman" w:hAnsi="Times New Roman"/>
          <w:sz w:val="24"/>
          <w:szCs w:val="24"/>
        </w:rPr>
      </w:pPr>
    </w:p>
    <w:p w14:paraId="54B0FAE6" w14:textId="1A259926" w:rsidR="00167179" w:rsidRPr="009F1E40" w:rsidRDefault="00167179" w:rsidP="00167179">
      <w:pPr>
        <w:rPr>
          <w:rFonts w:ascii="Times New Roman" w:hAnsi="Times New Roman"/>
          <w:sz w:val="24"/>
          <w:szCs w:val="24"/>
        </w:rPr>
      </w:pPr>
      <w:r w:rsidRPr="009F1E40">
        <w:rPr>
          <w:rFonts w:ascii="Times New Roman" w:hAnsi="Times New Roman"/>
          <w:sz w:val="24"/>
          <w:szCs w:val="24"/>
        </w:rPr>
        <w:t xml:space="preserve">The </w:t>
      </w:r>
      <w:r w:rsidR="00F817E3">
        <w:rPr>
          <w:rFonts w:ascii="Times New Roman" w:hAnsi="Times New Roman"/>
          <w:sz w:val="24"/>
          <w:szCs w:val="24"/>
        </w:rPr>
        <w:t>Amendment</w:t>
      </w:r>
      <w:r w:rsidR="00F817E3" w:rsidRPr="009F1E40">
        <w:rPr>
          <w:rFonts w:ascii="Times New Roman" w:hAnsi="Times New Roman"/>
          <w:sz w:val="24"/>
          <w:szCs w:val="24"/>
        </w:rPr>
        <w:t xml:space="preserve"> </w:t>
      </w:r>
      <w:r w:rsidR="00F817E3">
        <w:rPr>
          <w:rFonts w:ascii="Times New Roman" w:hAnsi="Times New Roman"/>
          <w:sz w:val="24"/>
          <w:szCs w:val="24"/>
        </w:rPr>
        <w:t>I</w:t>
      </w:r>
      <w:r w:rsidRPr="009F1E40">
        <w:rPr>
          <w:rFonts w:ascii="Times New Roman" w:hAnsi="Times New Roman"/>
          <w:sz w:val="24"/>
          <w:szCs w:val="24"/>
        </w:rPr>
        <w:t xml:space="preserve">nstrument </w:t>
      </w:r>
      <w:r w:rsidR="00F817E3">
        <w:rPr>
          <w:rFonts w:ascii="Times New Roman" w:hAnsi="Times New Roman"/>
          <w:sz w:val="24"/>
          <w:szCs w:val="24"/>
        </w:rPr>
        <w:t>engages</w:t>
      </w:r>
      <w:r w:rsidR="003D49F0">
        <w:rPr>
          <w:rFonts w:ascii="Times New Roman" w:hAnsi="Times New Roman"/>
          <w:sz w:val="24"/>
          <w:szCs w:val="24"/>
        </w:rPr>
        <w:t xml:space="preserve"> and promotes</w:t>
      </w:r>
      <w:r w:rsidR="00F817E3">
        <w:rPr>
          <w:rFonts w:ascii="Times New Roman" w:hAnsi="Times New Roman"/>
          <w:sz w:val="24"/>
          <w:szCs w:val="24"/>
        </w:rPr>
        <w:t xml:space="preserve"> the rights of people with disabilit</w:t>
      </w:r>
      <w:r w:rsidR="004B4771">
        <w:rPr>
          <w:rFonts w:ascii="Times New Roman" w:hAnsi="Times New Roman"/>
          <w:sz w:val="24"/>
          <w:szCs w:val="24"/>
        </w:rPr>
        <w:t>ies</w:t>
      </w:r>
      <w:r w:rsidR="00F817E3">
        <w:rPr>
          <w:rFonts w:ascii="Times New Roman" w:hAnsi="Times New Roman"/>
          <w:sz w:val="24"/>
          <w:szCs w:val="24"/>
        </w:rPr>
        <w:t xml:space="preserve"> by providing</w:t>
      </w:r>
      <w:r w:rsidRPr="009F1E40">
        <w:rPr>
          <w:rFonts w:ascii="Times New Roman" w:hAnsi="Times New Roman"/>
          <w:sz w:val="24"/>
          <w:szCs w:val="24"/>
        </w:rPr>
        <w:t xml:space="preserve"> funding support to eligible higher education providers to assist with high costs incurred in providing educational support and/or equipment to domestic students with a disability with high cost needs, and encourag</w:t>
      </w:r>
      <w:r w:rsidR="00294C5B">
        <w:rPr>
          <w:rFonts w:ascii="Times New Roman" w:hAnsi="Times New Roman"/>
          <w:sz w:val="24"/>
          <w:szCs w:val="24"/>
        </w:rPr>
        <w:t xml:space="preserve">ing </w:t>
      </w:r>
      <w:r w:rsidRPr="009F1E40">
        <w:rPr>
          <w:rFonts w:ascii="Times New Roman" w:hAnsi="Times New Roman"/>
          <w:sz w:val="24"/>
          <w:szCs w:val="24"/>
        </w:rPr>
        <w:t xml:space="preserve">efficient and effective use of equipment and resources to support students with a disability. </w:t>
      </w:r>
      <w:r w:rsidR="00294C5B" w:rsidRPr="009F1E40">
        <w:rPr>
          <w:rFonts w:ascii="Times New Roman" w:hAnsi="Times New Roman"/>
          <w:sz w:val="24"/>
          <w:szCs w:val="24"/>
        </w:rPr>
        <w:t>Th</w:t>
      </w:r>
      <w:r w:rsidR="00294C5B">
        <w:rPr>
          <w:rFonts w:ascii="Times New Roman" w:hAnsi="Times New Roman"/>
          <w:sz w:val="24"/>
          <w:szCs w:val="24"/>
        </w:rPr>
        <w:t>e</w:t>
      </w:r>
      <w:r w:rsidR="00294C5B" w:rsidRPr="009F1E40">
        <w:rPr>
          <w:rFonts w:ascii="Times New Roman" w:hAnsi="Times New Roman"/>
          <w:sz w:val="24"/>
          <w:szCs w:val="24"/>
        </w:rPr>
        <w:t xml:space="preserve"> </w:t>
      </w:r>
      <w:r w:rsidR="00597E64">
        <w:rPr>
          <w:rFonts w:ascii="Times New Roman" w:hAnsi="Times New Roman"/>
          <w:sz w:val="24"/>
          <w:szCs w:val="24"/>
        </w:rPr>
        <w:t>DSP</w:t>
      </w:r>
      <w:r w:rsidR="00294C5B">
        <w:rPr>
          <w:rFonts w:ascii="Times New Roman" w:hAnsi="Times New Roman"/>
          <w:sz w:val="24"/>
          <w:szCs w:val="24"/>
        </w:rPr>
        <w:t>, as bolstered by the measures in the Amendment Instrument,</w:t>
      </w:r>
      <w:r w:rsidRPr="009F1E40">
        <w:rPr>
          <w:rFonts w:ascii="Times New Roman" w:hAnsi="Times New Roman"/>
          <w:sz w:val="24"/>
          <w:szCs w:val="24"/>
        </w:rPr>
        <w:t xml:space="preserve"> promotes the rights of people with disabilit</w:t>
      </w:r>
      <w:r w:rsidR="00294C5B">
        <w:rPr>
          <w:rFonts w:ascii="Times New Roman" w:hAnsi="Times New Roman"/>
          <w:sz w:val="24"/>
          <w:szCs w:val="24"/>
        </w:rPr>
        <w:t>ies</w:t>
      </w:r>
      <w:r w:rsidRPr="009F1E40">
        <w:rPr>
          <w:rFonts w:ascii="Times New Roman" w:hAnsi="Times New Roman"/>
          <w:sz w:val="24"/>
          <w:szCs w:val="24"/>
        </w:rPr>
        <w:t xml:space="preserve"> consistent with the CRPD by providing funding to providers to support students with disability.</w:t>
      </w:r>
    </w:p>
    <w:p w14:paraId="54B0FAE7" w14:textId="77777777" w:rsidR="00167179" w:rsidRPr="009F1E40" w:rsidRDefault="00167179" w:rsidP="00167179">
      <w:pPr>
        <w:rPr>
          <w:rFonts w:ascii="Times New Roman" w:hAnsi="Times New Roman"/>
          <w:sz w:val="24"/>
          <w:szCs w:val="24"/>
        </w:rPr>
      </w:pPr>
    </w:p>
    <w:p w14:paraId="54B0FAE8" w14:textId="77777777" w:rsidR="00167179" w:rsidRPr="009F1E40" w:rsidRDefault="00167179" w:rsidP="00167179">
      <w:pPr>
        <w:rPr>
          <w:rFonts w:ascii="Times New Roman" w:hAnsi="Times New Roman"/>
          <w:b/>
          <w:sz w:val="24"/>
          <w:szCs w:val="24"/>
        </w:rPr>
      </w:pPr>
      <w:r w:rsidRPr="009F1E40">
        <w:rPr>
          <w:rFonts w:ascii="Times New Roman" w:hAnsi="Times New Roman"/>
          <w:b/>
          <w:sz w:val="24"/>
          <w:szCs w:val="24"/>
        </w:rPr>
        <w:t>Conclusion</w:t>
      </w:r>
    </w:p>
    <w:p w14:paraId="54B0FAE9" w14:textId="77777777" w:rsidR="00167179" w:rsidRPr="009F1E40" w:rsidRDefault="00167179" w:rsidP="00167179">
      <w:pPr>
        <w:rPr>
          <w:rFonts w:ascii="Times New Roman" w:hAnsi="Times New Roman"/>
          <w:sz w:val="24"/>
          <w:szCs w:val="24"/>
        </w:rPr>
      </w:pPr>
    </w:p>
    <w:p w14:paraId="54B0FAEA" w14:textId="77777777" w:rsidR="00167179" w:rsidRPr="009F1E40" w:rsidRDefault="00167179" w:rsidP="00167179">
      <w:pPr>
        <w:rPr>
          <w:rFonts w:ascii="Times New Roman" w:hAnsi="Times New Roman"/>
          <w:sz w:val="24"/>
          <w:szCs w:val="24"/>
        </w:rPr>
      </w:pPr>
      <w:r w:rsidRPr="009F1E40">
        <w:rPr>
          <w:rFonts w:ascii="Times New Roman" w:hAnsi="Times New Roman"/>
          <w:sz w:val="24"/>
          <w:szCs w:val="24"/>
        </w:rPr>
        <w:t>This Legislative Instrument is compatible with human rights because it advances the protection of human rights.</w:t>
      </w:r>
    </w:p>
    <w:p w14:paraId="54B0FAEB" w14:textId="77777777" w:rsidR="00167179" w:rsidRPr="009F1E40" w:rsidRDefault="00167179" w:rsidP="00167179">
      <w:pPr>
        <w:rPr>
          <w:rFonts w:ascii="Times New Roman" w:hAnsi="Times New Roman"/>
          <w:sz w:val="24"/>
          <w:szCs w:val="24"/>
        </w:rPr>
      </w:pPr>
    </w:p>
    <w:p w14:paraId="54B0FAEC" w14:textId="77777777" w:rsidR="00167179" w:rsidRPr="009F1E40" w:rsidRDefault="00167179" w:rsidP="00167179">
      <w:pPr>
        <w:rPr>
          <w:rFonts w:ascii="Times New Roman" w:hAnsi="Times New Roman"/>
          <w:sz w:val="24"/>
          <w:szCs w:val="24"/>
        </w:rPr>
      </w:pPr>
    </w:p>
    <w:p w14:paraId="54B0FAED" w14:textId="77777777" w:rsidR="003735A9" w:rsidRPr="009F1E40" w:rsidRDefault="004E6233" w:rsidP="004F5E7B">
      <w:pPr>
        <w:jc w:val="center"/>
        <w:rPr>
          <w:rFonts w:ascii="Times New Roman" w:hAnsi="Times New Roman"/>
          <w:color w:val="000000"/>
          <w:sz w:val="24"/>
          <w:szCs w:val="24"/>
        </w:rPr>
      </w:pPr>
      <w:r>
        <w:rPr>
          <w:rFonts w:ascii="Times New Roman" w:hAnsi="Times New Roman"/>
          <w:b/>
          <w:sz w:val="24"/>
          <w:szCs w:val="24"/>
        </w:rPr>
        <w:t xml:space="preserve">Hon </w:t>
      </w:r>
      <w:r w:rsidR="009325F4">
        <w:rPr>
          <w:rFonts w:ascii="Times New Roman" w:hAnsi="Times New Roman"/>
          <w:b/>
          <w:sz w:val="24"/>
          <w:szCs w:val="24"/>
        </w:rPr>
        <w:t>Dan Tehan</w:t>
      </w:r>
      <w:r>
        <w:rPr>
          <w:rFonts w:ascii="Times New Roman" w:hAnsi="Times New Roman"/>
          <w:b/>
          <w:sz w:val="24"/>
          <w:szCs w:val="24"/>
        </w:rPr>
        <w:t xml:space="preserve"> MP</w:t>
      </w:r>
      <w:r w:rsidR="00167179" w:rsidRPr="009F1E40">
        <w:rPr>
          <w:rFonts w:ascii="Times New Roman" w:hAnsi="Times New Roman"/>
          <w:b/>
          <w:sz w:val="24"/>
          <w:szCs w:val="24"/>
        </w:rPr>
        <w:t xml:space="preserve">, Minister for </w:t>
      </w:r>
      <w:r w:rsidR="00474288" w:rsidRPr="009F1E40">
        <w:rPr>
          <w:rFonts w:ascii="Times New Roman" w:hAnsi="Times New Roman"/>
          <w:b/>
          <w:sz w:val="24"/>
          <w:szCs w:val="24"/>
        </w:rPr>
        <w:t xml:space="preserve">Education </w:t>
      </w:r>
    </w:p>
    <w:sectPr w:rsidR="003735A9" w:rsidRPr="009F1E40" w:rsidSect="00B4410E">
      <w:footerReference w:type="even" r:id="rId12"/>
      <w:footerReference w:type="default" r:id="rId13"/>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0FAF0" w14:textId="77777777" w:rsidR="00D51B09" w:rsidRDefault="00D51B09">
      <w:r>
        <w:separator/>
      </w:r>
    </w:p>
  </w:endnote>
  <w:endnote w:type="continuationSeparator" w:id="0">
    <w:p w14:paraId="54B0FAF1" w14:textId="77777777" w:rsidR="00D51B09" w:rsidRDefault="00D5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FAF2" w14:textId="77777777" w:rsidR="006E0594" w:rsidRDefault="006E0594"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0FAF3" w14:textId="77777777" w:rsidR="006E0594" w:rsidRDefault="006E0594"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FAF4" w14:textId="7487721D" w:rsidR="006E0594" w:rsidRPr="00E12AEC" w:rsidRDefault="006E0594" w:rsidP="00E12AEC">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sidR="00CB1519">
      <w:rPr>
        <w:rStyle w:val="PageNumber"/>
        <w:rFonts w:ascii="Times New Roman" w:hAnsi="Times New Roman"/>
        <w:noProof/>
      </w:rPr>
      <w:t>1</w:t>
    </w:r>
    <w:r w:rsidRPr="00E12AEC">
      <w:rPr>
        <w:rStyle w:val="PageNumber"/>
        <w:rFonts w:ascii="Times New Roman" w:hAnsi="Times New Roman"/>
      </w:rPr>
      <w:fldChar w:fldCharType="end"/>
    </w:r>
  </w:p>
  <w:p w14:paraId="54B0FAF5" w14:textId="77777777" w:rsidR="006E0594" w:rsidRDefault="006E0594"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FAEE" w14:textId="77777777" w:rsidR="00D51B09" w:rsidRDefault="00D51B09">
      <w:r>
        <w:separator/>
      </w:r>
    </w:p>
  </w:footnote>
  <w:footnote w:type="continuationSeparator" w:id="0">
    <w:p w14:paraId="54B0FAEF" w14:textId="77777777" w:rsidR="00D51B09" w:rsidRDefault="00D5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3"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26"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8"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8"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36"/>
  </w:num>
  <w:num w:numId="5">
    <w:abstractNumId w:val="16"/>
  </w:num>
  <w:num w:numId="6">
    <w:abstractNumId w:val="34"/>
  </w:num>
  <w:num w:numId="7">
    <w:abstractNumId w:val="10"/>
  </w:num>
  <w:num w:numId="8">
    <w:abstractNumId w:val="30"/>
  </w:num>
  <w:num w:numId="9">
    <w:abstractNumId w:val="5"/>
  </w:num>
  <w:num w:numId="10">
    <w:abstractNumId w:val="22"/>
  </w:num>
  <w:num w:numId="11">
    <w:abstractNumId w:val="3"/>
  </w:num>
  <w:num w:numId="12">
    <w:abstractNumId w:val="23"/>
  </w:num>
  <w:num w:numId="13">
    <w:abstractNumId w:val="7"/>
  </w:num>
  <w:num w:numId="14">
    <w:abstractNumId w:val="29"/>
  </w:num>
  <w:num w:numId="15">
    <w:abstractNumId w:val="28"/>
  </w:num>
  <w:num w:numId="16">
    <w:abstractNumId w:val="20"/>
  </w:num>
  <w:num w:numId="17">
    <w:abstractNumId w:val="21"/>
  </w:num>
  <w:num w:numId="18">
    <w:abstractNumId w:val="14"/>
  </w:num>
  <w:num w:numId="19">
    <w:abstractNumId w:val="6"/>
  </w:num>
  <w:num w:numId="20">
    <w:abstractNumId w:val="4"/>
  </w:num>
  <w:num w:numId="21">
    <w:abstractNumId w:val="9"/>
  </w:num>
  <w:num w:numId="22">
    <w:abstractNumId w:val="38"/>
  </w:num>
  <w:num w:numId="23">
    <w:abstractNumId w:val="2"/>
  </w:num>
  <w:num w:numId="24">
    <w:abstractNumId w:val="26"/>
  </w:num>
  <w:num w:numId="25">
    <w:abstractNumId w:val="1"/>
  </w:num>
  <w:num w:numId="26">
    <w:abstractNumId w:val="13"/>
  </w:num>
  <w:num w:numId="27">
    <w:abstractNumId w:val="18"/>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2"/>
  </w:num>
  <w:num w:numId="31">
    <w:abstractNumId w:val="31"/>
  </w:num>
  <w:num w:numId="32">
    <w:abstractNumId w:val="8"/>
  </w:num>
  <w:num w:numId="33">
    <w:abstractNumId w:val="17"/>
  </w:num>
  <w:num w:numId="34">
    <w:abstractNumId w:val="19"/>
  </w:num>
  <w:num w:numId="35">
    <w:abstractNumId w:val="0"/>
  </w:num>
  <w:num w:numId="36">
    <w:abstractNumId w:val="35"/>
  </w:num>
  <w:num w:numId="37">
    <w:abstractNumId w:val="15"/>
  </w:num>
  <w:num w:numId="38">
    <w:abstractNumId w:val="11"/>
  </w:num>
  <w:num w:numId="39">
    <w:abstractNumId w:val="24"/>
  </w:num>
  <w:num w:numId="40">
    <w:abstractNumId w:val="40"/>
  </w:num>
  <w:num w:numId="41">
    <w:abstractNumId w:val="2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4BE5"/>
    <w:rsid w:val="00005905"/>
    <w:rsid w:val="000143C0"/>
    <w:rsid w:val="000145E4"/>
    <w:rsid w:val="000157B4"/>
    <w:rsid w:val="00022CD8"/>
    <w:rsid w:val="00026C2A"/>
    <w:rsid w:val="0003008A"/>
    <w:rsid w:val="000317D3"/>
    <w:rsid w:val="00034F72"/>
    <w:rsid w:val="00036058"/>
    <w:rsid w:val="000362AF"/>
    <w:rsid w:val="0003696B"/>
    <w:rsid w:val="000369AE"/>
    <w:rsid w:val="00037D93"/>
    <w:rsid w:val="000406CF"/>
    <w:rsid w:val="00051650"/>
    <w:rsid w:val="00053C56"/>
    <w:rsid w:val="00054DEA"/>
    <w:rsid w:val="000552D1"/>
    <w:rsid w:val="00056D4E"/>
    <w:rsid w:val="000602E1"/>
    <w:rsid w:val="0006072E"/>
    <w:rsid w:val="00061351"/>
    <w:rsid w:val="0006138B"/>
    <w:rsid w:val="000614EA"/>
    <w:rsid w:val="000652B2"/>
    <w:rsid w:val="0006678B"/>
    <w:rsid w:val="00070A19"/>
    <w:rsid w:val="00072E1C"/>
    <w:rsid w:val="00077359"/>
    <w:rsid w:val="000815AA"/>
    <w:rsid w:val="00081F64"/>
    <w:rsid w:val="000834F5"/>
    <w:rsid w:val="00083867"/>
    <w:rsid w:val="00086288"/>
    <w:rsid w:val="0008637E"/>
    <w:rsid w:val="000876D9"/>
    <w:rsid w:val="0009037A"/>
    <w:rsid w:val="000917DA"/>
    <w:rsid w:val="0009310E"/>
    <w:rsid w:val="00096193"/>
    <w:rsid w:val="0009740F"/>
    <w:rsid w:val="00097F4F"/>
    <w:rsid w:val="000A08A6"/>
    <w:rsid w:val="000A19B0"/>
    <w:rsid w:val="000A459B"/>
    <w:rsid w:val="000A46A1"/>
    <w:rsid w:val="000A4948"/>
    <w:rsid w:val="000A6471"/>
    <w:rsid w:val="000A76A9"/>
    <w:rsid w:val="000B0AC3"/>
    <w:rsid w:val="000B3218"/>
    <w:rsid w:val="000B47DD"/>
    <w:rsid w:val="000B62CD"/>
    <w:rsid w:val="000B7179"/>
    <w:rsid w:val="000B75F3"/>
    <w:rsid w:val="000B7F18"/>
    <w:rsid w:val="000C14F5"/>
    <w:rsid w:val="000C1BD1"/>
    <w:rsid w:val="000D0DD9"/>
    <w:rsid w:val="000E3D7F"/>
    <w:rsid w:val="000E6B52"/>
    <w:rsid w:val="000E6D9E"/>
    <w:rsid w:val="000E75D2"/>
    <w:rsid w:val="000F32A2"/>
    <w:rsid w:val="000F5BAA"/>
    <w:rsid w:val="000F5D19"/>
    <w:rsid w:val="0010191B"/>
    <w:rsid w:val="001030DF"/>
    <w:rsid w:val="001065B2"/>
    <w:rsid w:val="001110A2"/>
    <w:rsid w:val="00112E79"/>
    <w:rsid w:val="00113F5E"/>
    <w:rsid w:val="00114603"/>
    <w:rsid w:val="00115679"/>
    <w:rsid w:val="0011717A"/>
    <w:rsid w:val="001200A1"/>
    <w:rsid w:val="001276A6"/>
    <w:rsid w:val="001350FF"/>
    <w:rsid w:val="00140B07"/>
    <w:rsid w:val="00141573"/>
    <w:rsid w:val="00142086"/>
    <w:rsid w:val="001436B2"/>
    <w:rsid w:val="00144E11"/>
    <w:rsid w:val="001458D6"/>
    <w:rsid w:val="00145C5C"/>
    <w:rsid w:val="001526AB"/>
    <w:rsid w:val="00153524"/>
    <w:rsid w:val="001536D6"/>
    <w:rsid w:val="0015446F"/>
    <w:rsid w:val="00157BEF"/>
    <w:rsid w:val="0016655D"/>
    <w:rsid w:val="00167179"/>
    <w:rsid w:val="00170772"/>
    <w:rsid w:val="001710E5"/>
    <w:rsid w:val="001814CD"/>
    <w:rsid w:val="0018284A"/>
    <w:rsid w:val="001843A0"/>
    <w:rsid w:val="001860BE"/>
    <w:rsid w:val="001863ED"/>
    <w:rsid w:val="00192590"/>
    <w:rsid w:val="001939D0"/>
    <w:rsid w:val="001944BB"/>
    <w:rsid w:val="0019508B"/>
    <w:rsid w:val="0019659C"/>
    <w:rsid w:val="001A2A36"/>
    <w:rsid w:val="001A32F2"/>
    <w:rsid w:val="001A355E"/>
    <w:rsid w:val="001A7E57"/>
    <w:rsid w:val="001B4A92"/>
    <w:rsid w:val="001B52DC"/>
    <w:rsid w:val="001C0E3C"/>
    <w:rsid w:val="001D1EDB"/>
    <w:rsid w:val="001D35E7"/>
    <w:rsid w:val="001D3DE0"/>
    <w:rsid w:val="001D5F2C"/>
    <w:rsid w:val="001D65CC"/>
    <w:rsid w:val="001E0F2A"/>
    <w:rsid w:val="001E565A"/>
    <w:rsid w:val="001F0D9E"/>
    <w:rsid w:val="001F467A"/>
    <w:rsid w:val="0020076A"/>
    <w:rsid w:val="00201D53"/>
    <w:rsid w:val="002028EB"/>
    <w:rsid w:val="00206373"/>
    <w:rsid w:val="00207343"/>
    <w:rsid w:val="002100DD"/>
    <w:rsid w:val="00210C57"/>
    <w:rsid w:val="002112F7"/>
    <w:rsid w:val="00212375"/>
    <w:rsid w:val="002135D1"/>
    <w:rsid w:val="00214CC2"/>
    <w:rsid w:val="002150F7"/>
    <w:rsid w:val="00215C98"/>
    <w:rsid w:val="002179C7"/>
    <w:rsid w:val="00226B85"/>
    <w:rsid w:val="00231C76"/>
    <w:rsid w:val="00235974"/>
    <w:rsid w:val="00246CAE"/>
    <w:rsid w:val="002471E8"/>
    <w:rsid w:val="00251236"/>
    <w:rsid w:val="002512DC"/>
    <w:rsid w:val="0025347A"/>
    <w:rsid w:val="002553C8"/>
    <w:rsid w:val="002573B0"/>
    <w:rsid w:val="002574D0"/>
    <w:rsid w:val="002604AA"/>
    <w:rsid w:val="00260DF4"/>
    <w:rsid w:val="00263743"/>
    <w:rsid w:val="00263CF9"/>
    <w:rsid w:val="00265FFC"/>
    <w:rsid w:val="00266959"/>
    <w:rsid w:val="00266DA4"/>
    <w:rsid w:val="00266F3F"/>
    <w:rsid w:val="00274117"/>
    <w:rsid w:val="00281008"/>
    <w:rsid w:val="002859B5"/>
    <w:rsid w:val="002871AA"/>
    <w:rsid w:val="0029221F"/>
    <w:rsid w:val="00292C74"/>
    <w:rsid w:val="0029487E"/>
    <w:rsid w:val="00294C5B"/>
    <w:rsid w:val="00295248"/>
    <w:rsid w:val="00297BBD"/>
    <w:rsid w:val="002A063D"/>
    <w:rsid w:val="002A5748"/>
    <w:rsid w:val="002A74DA"/>
    <w:rsid w:val="002B10C8"/>
    <w:rsid w:val="002B198D"/>
    <w:rsid w:val="002B525B"/>
    <w:rsid w:val="002B7129"/>
    <w:rsid w:val="002C3895"/>
    <w:rsid w:val="002C3935"/>
    <w:rsid w:val="002C4BB9"/>
    <w:rsid w:val="002C5D44"/>
    <w:rsid w:val="002C6C2F"/>
    <w:rsid w:val="002D02E4"/>
    <w:rsid w:val="002D08C6"/>
    <w:rsid w:val="002D2C1B"/>
    <w:rsid w:val="002D3AF1"/>
    <w:rsid w:val="002D3EE2"/>
    <w:rsid w:val="002D67E4"/>
    <w:rsid w:val="002E19E7"/>
    <w:rsid w:val="002E259C"/>
    <w:rsid w:val="002E265A"/>
    <w:rsid w:val="002E3AE5"/>
    <w:rsid w:val="002E5923"/>
    <w:rsid w:val="002F03B3"/>
    <w:rsid w:val="002F3B9B"/>
    <w:rsid w:val="002F602A"/>
    <w:rsid w:val="002F6989"/>
    <w:rsid w:val="002F754C"/>
    <w:rsid w:val="00300618"/>
    <w:rsid w:val="003022DE"/>
    <w:rsid w:val="0030327A"/>
    <w:rsid w:val="00305B83"/>
    <w:rsid w:val="00305D2A"/>
    <w:rsid w:val="00310EF8"/>
    <w:rsid w:val="003113BC"/>
    <w:rsid w:val="0031220E"/>
    <w:rsid w:val="00316007"/>
    <w:rsid w:val="003173AE"/>
    <w:rsid w:val="00317A43"/>
    <w:rsid w:val="00320B6B"/>
    <w:rsid w:val="00320BB4"/>
    <w:rsid w:val="00321191"/>
    <w:rsid w:val="00325A5C"/>
    <w:rsid w:val="00325D8C"/>
    <w:rsid w:val="00330852"/>
    <w:rsid w:val="0033152A"/>
    <w:rsid w:val="00337B27"/>
    <w:rsid w:val="00340662"/>
    <w:rsid w:val="00341585"/>
    <w:rsid w:val="00345DF4"/>
    <w:rsid w:val="00355ABE"/>
    <w:rsid w:val="00355D13"/>
    <w:rsid w:val="00360598"/>
    <w:rsid w:val="00362B73"/>
    <w:rsid w:val="00362F84"/>
    <w:rsid w:val="0036532E"/>
    <w:rsid w:val="003658A8"/>
    <w:rsid w:val="00371D48"/>
    <w:rsid w:val="003720BE"/>
    <w:rsid w:val="003735A9"/>
    <w:rsid w:val="003735C7"/>
    <w:rsid w:val="00373F2E"/>
    <w:rsid w:val="003740DF"/>
    <w:rsid w:val="00374978"/>
    <w:rsid w:val="0037603D"/>
    <w:rsid w:val="0037730B"/>
    <w:rsid w:val="00381F6C"/>
    <w:rsid w:val="003831F6"/>
    <w:rsid w:val="003879DF"/>
    <w:rsid w:val="003917C8"/>
    <w:rsid w:val="003922E6"/>
    <w:rsid w:val="00394178"/>
    <w:rsid w:val="003A08BD"/>
    <w:rsid w:val="003A3F97"/>
    <w:rsid w:val="003A5E8A"/>
    <w:rsid w:val="003A68E9"/>
    <w:rsid w:val="003B350A"/>
    <w:rsid w:val="003B5950"/>
    <w:rsid w:val="003B5D73"/>
    <w:rsid w:val="003C0B31"/>
    <w:rsid w:val="003C17C1"/>
    <w:rsid w:val="003C38AE"/>
    <w:rsid w:val="003C39BC"/>
    <w:rsid w:val="003C4412"/>
    <w:rsid w:val="003C492D"/>
    <w:rsid w:val="003C565C"/>
    <w:rsid w:val="003D243A"/>
    <w:rsid w:val="003D3E20"/>
    <w:rsid w:val="003D49F0"/>
    <w:rsid w:val="003D5F97"/>
    <w:rsid w:val="003D6033"/>
    <w:rsid w:val="003D7FD5"/>
    <w:rsid w:val="003E2A43"/>
    <w:rsid w:val="003E4BDA"/>
    <w:rsid w:val="003E4EAC"/>
    <w:rsid w:val="003E517B"/>
    <w:rsid w:val="003E5522"/>
    <w:rsid w:val="003E75F0"/>
    <w:rsid w:val="003F01F9"/>
    <w:rsid w:val="003F0247"/>
    <w:rsid w:val="003F06E4"/>
    <w:rsid w:val="003F11FD"/>
    <w:rsid w:val="003F162A"/>
    <w:rsid w:val="003F16BE"/>
    <w:rsid w:val="003F1FDF"/>
    <w:rsid w:val="003F21AD"/>
    <w:rsid w:val="003F269A"/>
    <w:rsid w:val="003F2C73"/>
    <w:rsid w:val="003F2E0A"/>
    <w:rsid w:val="003F371E"/>
    <w:rsid w:val="003F618D"/>
    <w:rsid w:val="003F670B"/>
    <w:rsid w:val="004036F8"/>
    <w:rsid w:val="004104D3"/>
    <w:rsid w:val="004112F2"/>
    <w:rsid w:val="00413E47"/>
    <w:rsid w:val="004141DE"/>
    <w:rsid w:val="0041453E"/>
    <w:rsid w:val="00414E18"/>
    <w:rsid w:val="00415F06"/>
    <w:rsid w:val="004161BF"/>
    <w:rsid w:val="0042399B"/>
    <w:rsid w:val="00423B9D"/>
    <w:rsid w:val="0042576E"/>
    <w:rsid w:val="00426186"/>
    <w:rsid w:val="004300BE"/>
    <w:rsid w:val="00430EEF"/>
    <w:rsid w:val="00432BC2"/>
    <w:rsid w:val="00433005"/>
    <w:rsid w:val="0043353B"/>
    <w:rsid w:val="00436819"/>
    <w:rsid w:val="00436F36"/>
    <w:rsid w:val="00440E0F"/>
    <w:rsid w:val="00441187"/>
    <w:rsid w:val="00442C64"/>
    <w:rsid w:val="00445E9C"/>
    <w:rsid w:val="004476CE"/>
    <w:rsid w:val="004508DE"/>
    <w:rsid w:val="004522D4"/>
    <w:rsid w:val="0045367A"/>
    <w:rsid w:val="00456A26"/>
    <w:rsid w:val="00460647"/>
    <w:rsid w:val="00461CD0"/>
    <w:rsid w:val="00462A2B"/>
    <w:rsid w:val="004634AB"/>
    <w:rsid w:val="00466835"/>
    <w:rsid w:val="00474288"/>
    <w:rsid w:val="00477311"/>
    <w:rsid w:val="004776CC"/>
    <w:rsid w:val="004901C4"/>
    <w:rsid w:val="00490D3B"/>
    <w:rsid w:val="004922FC"/>
    <w:rsid w:val="00496CD6"/>
    <w:rsid w:val="004A378D"/>
    <w:rsid w:val="004A4B75"/>
    <w:rsid w:val="004B2633"/>
    <w:rsid w:val="004B4771"/>
    <w:rsid w:val="004B72D7"/>
    <w:rsid w:val="004B78C6"/>
    <w:rsid w:val="004B7C7E"/>
    <w:rsid w:val="004C3D1F"/>
    <w:rsid w:val="004C61F3"/>
    <w:rsid w:val="004D14EC"/>
    <w:rsid w:val="004D52CF"/>
    <w:rsid w:val="004E5AB8"/>
    <w:rsid w:val="004E5CC6"/>
    <w:rsid w:val="004E5E84"/>
    <w:rsid w:val="004E6233"/>
    <w:rsid w:val="004F1099"/>
    <w:rsid w:val="004F14BB"/>
    <w:rsid w:val="004F2C6E"/>
    <w:rsid w:val="004F3365"/>
    <w:rsid w:val="004F5347"/>
    <w:rsid w:val="004F5C59"/>
    <w:rsid w:val="004F5E7B"/>
    <w:rsid w:val="0050017A"/>
    <w:rsid w:val="00501700"/>
    <w:rsid w:val="00502FF9"/>
    <w:rsid w:val="005036C5"/>
    <w:rsid w:val="005042C3"/>
    <w:rsid w:val="00505BEC"/>
    <w:rsid w:val="00505ED8"/>
    <w:rsid w:val="00506FFD"/>
    <w:rsid w:val="00510A8A"/>
    <w:rsid w:val="00516EE2"/>
    <w:rsid w:val="005171F6"/>
    <w:rsid w:val="00520797"/>
    <w:rsid w:val="00521ED7"/>
    <w:rsid w:val="00523ABD"/>
    <w:rsid w:val="005272B8"/>
    <w:rsid w:val="005311B4"/>
    <w:rsid w:val="00533C72"/>
    <w:rsid w:val="00533F25"/>
    <w:rsid w:val="005340A7"/>
    <w:rsid w:val="00534A78"/>
    <w:rsid w:val="00536848"/>
    <w:rsid w:val="00543285"/>
    <w:rsid w:val="00543491"/>
    <w:rsid w:val="005445BF"/>
    <w:rsid w:val="005467AA"/>
    <w:rsid w:val="00552343"/>
    <w:rsid w:val="0055532B"/>
    <w:rsid w:val="00555359"/>
    <w:rsid w:val="005570FD"/>
    <w:rsid w:val="005624FE"/>
    <w:rsid w:val="00562581"/>
    <w:rsid w:val="005646A6"/>
    <w:rsid w:val="0056591E"/>
    <w:rsid w:val="00565E8C"/>
    <w:rsid w:val="00572AE4"/>
    <w:rsid w:val="005734E2"/>
    <w:rsid w:val="00573661"/>
    <w:rsid w:val="00577528"/>
    <w:rsid w:val="00577C85"/>
    <w:rsid w:val="00582D7D"/>
    <w:rsid w:val="00595A93"/>
    <w:rsid w:val="00596728"/>
    <w:rsid w:val="0059720E"/>
    <w:rsid w:val="00597E64"/>
    <w:rsid w:val="005A139F"/>
    <w:rsid w:val="005A2E62"/>
    <w:rsid w:val="005A783C"/>
    <w:rsid w:val="005B449A"/>
    <w:rsid w:val="005B59BB"/>
    <w:rsid w:val="005B5A79"/>
    <w:rsid w:val="005B5B5E"/>
    <w:rsid w:val="005B5D03"/>
    <w:rsid w:val="005B5E17"/>
    <w:rsid w:val="005C0E9A"/>
    <w:rsid w:val="005C1BE1"/>
    <w:rsid w:val="005C1BE7"/>
    <w:rsid w:val="005C3E11"/>
    <w:rsid w:val="005C5760"/>
    <w:rsid w:val="005C7778"/>
    <w:rsid w:val="005D0537"/>
    <w:rsid w:val="005D236C"/>
    <w:rsid w:val="005D3613"/>
    <w:rsid w:val="005D4B77"/>
    <w:rsid w:val="005D575D"/>
    <w:rsid w:val="005D78BB"/>
    <w:rsid w:val="005E02F8"/>
    <w:rsid w:val="005E63C3"/>
    <w:rsid w:val="005E6F49"/>
    <w:rsid w:val="005F6128"/>
    <w:rsid w:val="005F61E2"/>
    <w:rsid w:val="006141F0"/>
    <w:rsid w:val="006155B7"/>
    <w:rsid w:val="00617886"/>
    <w:rsid w:val="0062148A"/>
    <w:rsid w:val="006218CC"/>
    <w:rsid w:val="00624019"/>
    <w:rsid w:val="00630C54"/>
    <w:rsid w:val="006315D6"/>
    <w:rsid w:val="00635149"/>
    <w:rsid w:val="006354FC"/>
    <w:rsid w:val="006363FA"/>
    <w:rsid w:val="00637657"/>
    <w:rsid w:val="006529D4"/>
    <w:rsid w:val="0065442C"/>
    <w:rsid w:val="00654E10"/>
    <w:rsid w:val="006555BD"/>
    <w:rsid w:val="00655E71"/>
    <w:rsid w:val="00656E0D"/>
    <w:rsid w:val="00660A90"/>
    <w:rsid w:val="006649A6"/>
    <w:rsid w:val="00665A48"/>
    <w:rsid w:val="00666841"/>
    <w:rsid w:val="00667C32"/>
    <w:rsid w:val="006757C7"/>
    <w:rsid w:val="00680E7F"/>
    <w:rsid w:val="006828EB"/>
    <w:rsid w:val="00683A4F"/>
    <w:rsid w:val="00685EFD"/>
    <w:rsid w:val="006871C8"/>
    <w:rsid w:val="00693E6E"/>
    <w:rsid w:val="00694455"/>
    <w:rsid w:val="006946A6"/>
    <w:rsid w:val="006A0A52"/>
    <w:rsid w:val="006A197C"/>
    <w:rsid w:val="006A2896"/>
    <w:rsid w:val="006A465D"/>
    <w:rsid w:val="006A52CE"/>
    <w:rsid w:val="006A56CA"/>
    <w:rsid w:val="006A6D71"/>
    <w:rsid w:val="006B1C89"/>
    <w:rsid w:val="006C0CD3"/>
    <w:rsid w:val="006C2378"/>
    <w:rsid w:val="006C2A0F"/>
    <w:rsid w:val="006C620A"/>
    <w:rsid w:val="006D0EE0"/>
    <w:rsid w:val="006D76CB"/>
    <w:rsid w:val="006E0594"/>
    <w:rsid w:val="006E2754"/>
    <w:rsid w:val="006E4C3D"/>
    <w:rsid w:val="006E5CFF"/>
    <w:rsid w:val="006F086B"/>
    <w:rsid w:val="006F2306"/>
    <w:rsid w:val="006F3277"/>
    <w:rsid w:val="00702ACB"/>
    <w:rsid w:val="00710EC1"/>
    <w:rsid w:val="00711EBB"/>
    <w:rsid w:val="00712455"/>
    <w:rsid w:val="00712497"/>
    <w:rsid w:val="0071686E"/>
    <w:rsid w:val="00716921"/>
    <w:rsid w:val="0071750F"/>
    <w:rsid w:val="00721CC2"/>
    <w:rsid w:val="00723CD9"/>
    <w:rsid w:val="007260A0"/>
    <w:rsid w:val="0072785B"/>
    <w:rsid w:val="0073103A"/>
    <w:rsid w:val="007320F1"/>
    <w:rsid w:val="00737AB0"/>
    <w:rsid w:val="00737B46"/>
    <w:rsid w:val="00740B80"/>
    <w:rsid w:val="00742E74"/>
    <w:rsid w:val="00745F8A"/>
    <w:rsid w:val="007513BF"/>
    <w:rsid w:val="0076054D"/>
    <w:rsid w:val="0076416B"/>
    <w:rsid w:val="00764A65"/>
    <w:rsid w:val="0076583B"/>
    <w:rsid w:val="00766386"/>
    <w:rsid w:val="007663FF"/>
    <w:rsid w:val="00767834"/>
    <w:rsid w:val="00771ADC"/>
    <w:rsid w:val="007725C1"/>
    <w:rsid w:val="0077554A"/>
    <w:rsid w:val="00775F4E"/>
    <w:rsid w:val="0077610B"/>
    <w:rsid w:val="0077696E"/>
    <w:rsid w:val="00776A40"/>
    <w:rsid w:val="00780FB6"/>
    <w:rsid w:val="00782788"/>
    <w:rsid w:val="00782F3A"/>
    <w:rsid w:val="00783975"/>
    <w:rsid w:val="00784904"/>
    <w:rsid w:val="007850AA"/>
    <w:rsid w:val="00786222"/>
    <w:rsid w:val="00786297"/>
    <w:rsid w:val="0079140A"/>
    <w:rsid w:val="00792211"/>
    <w:rsid w:val="00793D7D"/>
    <w:rsid w:val="00794952"/>
    <w:rsid w:val="007970C2"/>
    <w:rsid w:val="007A314F"/>
    <w:rsid w:val="007A3971"/>
    <w:rsid w:val="007A5662"/>
    <w:rsid w:val="007A663C"/>
    <w:rsid w:val="007A6B0E"/>
    <w:rsid w:val="007B4203"/>
    <w:rsid w:val="007C1AD8"/>
    <w:rsid w:val="007C5778"/>
    <w:rsid w:val="007C616B"/>
    <w:rsid w:val="007C7C20"/>
    <w:rsid w:val="007D136F"/>
    <w:rsid w:val="007D1EB4"/>
    <w:rsid w:val="007D2C37"/>
    <w:rsid w:val="007D4C77"/>
    <w:rsid w:val="007D59A4"/>
    <w:rsid w:val="007D6509"/>
    <w:rsid w:val="007D7746"/>
    <w:rsid w:val="007D7DA4"/>
    <w:rsid w:val="007E3F11"/>
    <w:rsid w:val="007E4D89"/>
    <w:rsid w:val="007F1630"/>
    <w:rsid w:val="007F1F1D"/>
    <w:rsid w:val="007F2C12"/>
    <w:rsid w:val="007F2EEF"/>
    <w:rsid w:val="007F76BD"/>
    <w:rsid w:val="00804F14"/>
    <w:rsid w:val="008068FA"/>
    <w:rsid w:val="00811BFF"/>
    <w:rsid w:val="00814880"/>
    <w:rsid w:val="008215B9"/>
    <w:rsid w:val="00824D96"/>
    <w:rsid w:val="008250CF"/>
    <w:rsid w:val="00832F5B"/>
    <w:rsid w:val="00835004"/>
    <w:rsid w:val="00836714"/>
    <w:rsid w:val="008412A4"/>
    <w:rsid w:val="008440BC"/>
    <w:rsid w:val="008515D3"/>
    <w:rsid w:val="00851FAF"/>
    <w:rsid w:val="00857460"/>
    <w:rsid w:val="00857DE0"/>
    <w:rsid w:val="00861338"/>
    <w:rsid w:val="008613DD"/>
    <w:rsid w:val="00861776"/>
    <w:rsid w:val="0086329F"/>
    <w:rsid w:val="00863D4A"/>
    <w:rsid w:val="008656F8"/>
    <w:rsid w:val="0087057D"/>
    <w:rsid w:val="0087388C"/>
    <w:rsid w:val="0088176E"/>
    <w:rsid w:val="008834C0"/>
    <w:rsid w:val="008914F2"/>
    <w:rsid w:val="008941C6"/>
    <w:rsid w:val="008A19A3"/>
    <w:rsid w:val="008A732E"/>
    <w:rsid w:val="008B08F1"/>
    <w:rsid w:val="008B0D9B"/>
    <w:rsid w:val="008B114C"/>
    <w:rsid w:val="008B5019"/>
    <w:rsid w:val="008C285F"/>
    <w:rsid w:val="008C73BA"/>
    <w:rsid w:val="008C7B69"/>
    <w:rsid w:val="008D177B"/>
    <w:rsid w:val="008D49E3"/>
    <w:rsid w:val="008E12AB"/>
    <w:rsid w:val="008E49EA"/>
    <w:rsid w:val="008E7CEA"/>
    <w:rsid w:val="008F02E8"/>
    <w:rsid w:val="008F0A8F"/>
    <w:rsid w:val="008F194F"/>
    <w:rsid w:val="008F346A"/>
    <w:rsid w:val="008F71A9"/>
    <w:rsid w:val="008F747E"/>
    <w:rsid w:val="009011E5"/>
    <w:rsid w:val="00907E82"/>
    <w:rsid w:val="00910E42"/>
    <w:rsid w:val="00913564"/>
    <w:rsid w:val="00915A2A"/>
    <w:rsid w:val="00916496"/>
    <w:rsid w:val="00917873"/>
    <w:rsid w:val="00917D89"/>
    <w:rsid w:val="0092140B"/>
    <w:rsid w:val="00923591"/>
    <w:rsid w:val="0092682E"/>
    <w:rsid w:val="009311EF"/>
    <w:rsid w:val="00931EBF"/>
    <w:rsid w:val="0093231C"/>
    <w:rsid w:val="009325F4"/>
    <w:rsid w:val="00932720"/>
    <w:rsid w:val="00934AC9"/>
    <w:rsid w:val="00936268"/>
    <w:rsid w:val="0093713D"/>
    <w:rsid w:val="00941981"/>
    <w:rsid w:val="00943656"/>
    <w:rsid w:val="00945AB2"/>
    <w:rsid w:val="00945E98"/>
    <w:rsid w:val="009504C5"/>
    <w:rsid w:val="009516C5"/>
    <w:rsid w:val="00955EC1"/>
    <w:rsid w:val="009605A7"/>
    <w:rsid w:val="00960753"/>
    <w:rsid w:val="00961331"/>
    <w:rsid w:val="00961426"/>
    <w:rsid w:val="009631E0"/>
    <w:rsid w:val="00967532"/>
    <w:rsid w:val="009705A2"/>
    <w:rsid w:val="00971621"/>
    <w:rsid w:val="00971C65"/>
    <w:rsid w:val="00972752"/>
    <w:rsid w:val="009763E4"/>
    <w:rsid w:val="00976B19"/>
    <w:rsid w:val="00984E4F"/>
    <w:rsid w:val="009858D2"/>
    <w:rsid w:val="00990E79"/>
    <w:rsid w:val="009928C3"/>
    <w:rsid w:val="009A5B9F"/>
    <w:rsid w:val="009A627D"/>
    <w:rsid w:val="009B0EB1"/>
    <w:rsid w:val="009B1E69"/>
    <w:rsid w:val="009B38BA"/>
    <w:rsid w:val="009B640D"/>
    <w:rsid w:val="009B65CF"/>
    <w:rsid w:val="009B7199"/>
    <w:rsid w:val="009B78CD"/>
    <w:rsid w:val="009C0C15"/>
    <w:rsid w:val="009C3C22"/>
    <w:rsid w:val="009C510D"/>
    <w:rsid w:val="009C6AA8"/>
    <w:rsid w:val="009C7157"/>
    <w:rsid w:val="009D0441"/>
    <w:rsid w:val="009D14C7"/>
    <w:rsid w:val="009D2B32"/>
    <w:rsid w:val="009D4013"/>
    <w:rsid w:val="009D52AD"/>
    <w:rsid w:val="009E072C"/>
    <w:rsid w:val="009F0DA8"/>
    <w:rsid w:val="009F1E40"/>
    <w:rsid w:val="009F3368"/>
    <w:rsid w:val="009F3AAF"/>
    <w:rsid w:val="009F4938"/>
    <w:rsid w:val="009F6F5C"/>
    <w:rsid w:val="00A01215"/>
    <w:rsid w:val="00A0310F"/>
    <w:rsid w:val="00A0482E"/>
    <w:rsid w:val="00A04B55"/>
    <w:rsid w:val="00A072F7"/>
    <w:rsid w:val="00A101B6"/>
    <w:rsid w:val="00A168C9"/>
    <w:rsid w:val="00A169A8"/>
    <w:rsid w:val="00A17AAB"/>
    <w:rsid w:val="00A21440"/>
    <w:rsid w:val="00A27D0F"/>
    <w:rsid w:val="00A30D80"/>
    <w:rsid w:val="00A347DF"/>
    <w:rsid w:val="00A35BAC"/>
    <w:rsid w:val="00A37669"/>
    <w:rsid w:val="00A40740"/>
    <w:rsid w:val="00A41BDB"/>
    <w:rsid w:val="00A42FA7"/>
    <w:rsid w:val="00A448DC"/>
    <w:rsid w:val="00A45D09"/>
    <w:rsid w:val="00A50F3A"/>
    <w:rsid w:val="00A52C4E"/>
    <w:rsid w:val="00A53213"/>
    <w:rsid w:val="00A54EC8"/>
    <w:rsid w:val="00A54ED9"/>
    <w:rsid w:val="00A55966"/>
    <w:rsid w:val="00A608C5"/>
    <w:rsid w:val="00A612D2"/>
    <w:rsid w:val="00A64094"/>
    <w:rsid w:val="00A662EC"/>
    <w:rsid w:val="00A67188"/>
    <w:rsid w:val="00A70C71"/>
    <w:rsid w:val="00A72C86"/>
    <w:rsid w:val="00A72CC0"/>
    <w:rsid w:val="00A7392B"/>
    <w:rsid w:val="00A74764"/>
    <w:rsid w:val="00A81378"/>
    <w:rsid w:val="00A842FA"/>
    <w:rsid w:val="00A84946"/>
    <w:rsid w:val="00A85319"/>
    <w:rsid w:val="00A85C5B"/>
    <w:rsid w:val="00A86D75"/>
    <w:rsid w:val="00A90622"/>
    <w:rsid w:val="00A92104"/>
    <w:rsid w:val="00A932ED"/>
    <w:rsid w:val="00A934FB"/>
    <w:rsid w:val="00A94E71"/>
    <w:rsid w:val="00A95448"/>
    <w:rsid w:val="00AA1DDD"/>
    <w:rsid w:val="00AA35D3"/>
    <w:rsid w:val="00AA5901"/>
    <w:rsid w:val="00AA5A87"/>
    <w:rsid w:val="00AA5FE7"/>
    <w:rsid w:val="00AA70C3"/>
    <w:rsid w:val="00AA75D7"/>
    <w:rsid w:val="00AA7683"/>
    <w:rsid w:val="00AB0605"/>
    <w:rsid w:val="00AB15E0"/>
    <w:rsid w:val="00AB1E59"/>
    <w:rsid w:val="00AB312B"/>
    <w:rsid w:val="00AB4F32"/>
    <w:rsid w:val="00AB5DF9"/>
    <w:rsid w:val="00AC121B"/>
    <w:rsid w:val="00AC22D2"/>
    <w:rsid w:val="00AC47F3"/>
    <w:rsid w:val="00AC6FB6"/>
    <w:rsid w:val="00AC7AFB"/>
    <w:rsid w:val="00AC7E30"/>
    <w:rsid w:val="00AD217E"/>
    <w:rsid w:val="00AD346D"/>
    <w:rsid w:val="00AD79C2"/>
    <w:rsid w:val="00AE0BD8"/>
    <w:rsid w:val="00AE2019"/>
    <w:rsid w:val="00AE2546"/>
    <w:rsid w:val="00AE3050"/>
    <w:rsid w:val="00AE499D"/>
    <w:rsid w:val="00AE4A2B"/>
    <w:rsid w:val="00AE5567"/>
    <w:rsid w:val="00AF336C"/>
    <w:rsid w:val="00AF6AA1"/>
    <w:rsid w:val="00B0063B"/>
    <w:rsid w:val="00B05DCA"/>
    <w:rsid w:val="00B06E52"/>
    <w:rsid w:val="00B104A1"/>
    <w:rsid w:val="00B106E9"/>
    <w:rsid w:val="00B10994"/>
    <w:rsid w:val="00B1103D"/>
    <w:rsid w:val="00B121B9"/>
    <w:rsid w:val="00B16C7A"/>
    <w:rsid w:val="00B16E07"/>
    <w:rsid w:val="00B17DEB"/>
    <w:rsid w:val="00B22905"/>
    <w:rsid w:val="00B22E1D"/>
    <w:rsid w:val="00B343F2"/>
    <w:rsid w:val="00B350B3"/>
    <w:rsid w:val="00B415BD"/>
    <w:rsid w:val="00B43919"/>
    <w:rsid w:val="00B4410E"/>
    <w:rsid w:val="00B504B1"/>
    <w:rsid w:val="00B53275"/>
    <w:rsid w:val="00B61B3B"/>
    <w:rsid w:val="00B671FA"/>
    <w:rsid w:val="00B73E36"/>
    <w:rsid w:val="00B811D2"/>
    <w:rsid w:val="00B839F4"/>
    <w:rsid w:val="00B84E7C"/>
    <w:rsid w:val="00B866D8"/>
    <w:rsid w:val="00B9114A"/>
    <w:rsid w:val="00B9501D"/>
    <w:rsid w:val="00B951C3"/>
    <w:rsid w:val="00BA22CF"/>
    <w:rsid w:val="00BA3DDF"/>
    <w:rsid w:val="00BA3F34"/>
    <w:rsid w:val="00BC1F10"/>
    <w:rsid w:val="00BC3C9A"/>
    <w:rsid w:val="00BC4BB1"/>
    <w:rsid w:val="00BD3D85"/>
    <w:rsid w:val="00BD4C26"/>
    <w:rsid w:val="00BE1D96"/>
    <w:rsid w:val="00BE27DF"/>
    <w:rsid w:val="00BE3AAC"/>
    <w:rsid w:val="00BE53DC"/>
    <w:rsid w:val="00BE6873"/>
    <w:rsid w:val="00BF1723"/>
    <w:rsid w:val="00BF36F1"/>
    <w:rsid w:val="00BF41AF"/>
    <w:rsid w:val="00BF5996"/>
    <w:rsid w:val="00BF6C5E"/>
    <w:rsid w:val="00C00745"/>
    <w:rsid w:val="00C01732"/>
    <w:rsid w:val="00C04E04"/>
    <w:rsid w:val="00C1139E"/>
    <w:rsid w:val="00C16978"/>
    <w:rsid w:val="00C212E7"/>
    <w:rsid w:val="00C225B0"/>
    <w:rsid w:val="00C25160"/>
    <w:rsid w:val="00C2724F"/>
    <w:rsid w:val="00C32314"/>
    <w:rsid w:val="00C3733D"/>
    <w:rsid w:val="00C40F76"/>
    <w:rsid w:val="00C431C5"/>
    <w:rsid w:val="00C44F1D"/>
    <w:rsid w:val="00C465B8"/>
    <w:rsid w:val="00C53CB0"/>
    <w:rsid w:val="00C56073"/>
    <w:rsid w:val="00C56F74"/>
    <w:rsid w:val="00C61385"/>
    <w:rsid w:val="00C649B8"/>
    <w:rsid w:val="00C65972"/>
    <w:rsid w:val="00C65E7F"/>
    <w:rsid w:val="00C6625D"/>
    <w:rsid w:val="00C66C5F"/>
    <w:rsid w:val="00C7073A"/>
    <w:rsid w:val="00C7157A"/>
    <w:rsid w:val="00C729FC"/>
    <w:rsid w:val="00C74A96"/>
    <w:rsid w:val="00C75BD6"/>
    <w:rsid w:val="00C76B8A"/>
    <w:rsid w:val="00C7781E"/>
    <w:rsid w:val="00C83FE0"/>
    <w:rsid w:val="00C86CF4"/>
    <w:rsid w:val="00C90F9F"/>
    <w:rsid w:val="00C923EB"/>
    <w:rsid w:val="00C924DF"/>
    <w:rsid w:val="00C96DEF"/>
    <w:rsid w:val="00CA3144"/>
    <w:rsid w:val="00CA3403"/>
    <w:rsid w:val="00CA3D73"/>
    <w:rsid w:val="00CA541F"/>
    <w:rsid w:val="00CA71C1"/>
    <w:rsid w:val="00CB1519"/>
    <w:rsid w:val="00CB1C48"/>
    <w:rsid w:val="00CB5AFD"/>
    <w:rsid w:val="00CB6CEB"/>
    <w:rsid w:val="00CC18B4"/>
    <w:rsid w:val="00CC1CA0"/>
    <w:rsid w:val="00CC1DE4"/>
    <w:rsid w:val="00CC24BB"/>
    <w:rsid w:val="00CD06B0"/>
    <w:rsid w:val="00CD2B58"/>
    <w:rsid w:val="00CD329F"/>
    <w:rsid w:val="00CE083B"/>
    <w:rsid w:val="00CE0926"/>
    <w:rsid w:val="00CE3F78"/>
    <w:rsid w:val="00CE700F"/>
    <w:rsid w:val="00CF3FB6"/>
    <w:rsid w:val="00CF55E5"/>
    <w:rsid w:val="00CF6AF8"/>
    <w:rsid w:val="00D0661B"/>
    <w:rsid w:val="00D0757C"/>
    <w:rsid w:val="00D1071F"/>
    <w:rsid w:val="00D11A65"/>
    <w:rsid w:val="00D1257F"/>
    <w:rsid w:val="00D13955"/>
    <w:rsid w:val="00D1612E"/>
    <w:rsid w:val="00D20A06"/>
    <w:rsid w:val="00D245B0"/>
    <w:rsid w:val="00D27052"/>
    <w:rsid w:val="00D27D8D"/>
    <w:rsid w:val="00D3223A"/>
    <w:rsid w:val="00D3627C"/>
    <w:rsid w:val="00D42805"/>
    <w:rsid w:val="00D42ADF"/>
    <w:rsid w:val="00D42F85"/>
    <w:rsid w:val="00D43DC4"/>
    <w:rsid w:val="00D448C4"/>
    <w:rsid w:val="00D44DAC"/>
    <w:rsid w:val="00D45674"/>
    <w:rsid w:val="00D515BD"/>
    <w:rsid w:val="00D51B09"/>
    <w:rsid w:val="00D53FEF"/>
    <w:rsid w:val="00D55351"/>
    <w:rsid w:val="00D560B9"/>
    <w:rsid w:val="00D63823"/>
    <w:rsid w:val="00D63DA8"/>
    <w:rsid w:val="00D6422A"/>
    <w:rsid w:val="00D64239"/>
    <w:rsid w:val="00D6594B"/>
    <w:rsid w:val="00D73775"/>
    <w:rsid w:val="00D7449C"/>
    <w:rsid w:val="00D82EC6"/>
    <w:rsid w:val="00D835B5"/>
    <w:rsid w:val="00D85DB5"/>
    <w:rsid w:val="00D8715E"/>
    <w:rsid w:val="00D87537"/>
    <w:rsid w:val="00D91344"/>
    <w:rsid w:val="00D91F9A"/>
    <w:rsid w:val="00D92B46"/>
    <w:rsid w:val="00DA288E"/>
    <w:rsid w:val="00DA7F99"/>
    <w:rsid w:val="00DB1ABB"/>
    <w:rsid w:val="00DB3B47"/>
    <w:rsid w:val="00DB557A"/>
    <w:rsid w:val="00DC4009"/>
    <w:rsid w:val="00DC4F80"/>
    <w:rsid w:val="00DC6226"/>
    <w:rsid w:val="00DD4522"/>
    <w:rsid w:val="00DD53AF"/>
    <w:rsid w:val="00DD5DA4"/>
    <w:rsid w:val="00DE5370"/>
    <w:rsid w:val="00DE6ECA"/>
    <w:rsid w:val="00DF1EB7"/>
    <w:rsid w:val="00DF436E"/>
    <w:rsid w:val="00DF5C43"/>
    <w:rsid w:val="00E006BB"/>
    <w:rsid w:val="00E0159D"/>
    <w:rsid w:val="00E10FA9"/>
    <w:rsid w:val="00E1103E"/>
    <w:rsid w:val="00E11D2E"/>
    <w:rsid w:val="00E1232F"/>
    <w:rsid w:val="00E12AEC"/>
    <w:rsid w:val="00E143C4"/>
    <w:rsid w:val="00E16D62"/>
    <w:rsid w:val="00E22A32"/>
    <w:rsid w:val="00E2457E"/>
    <w:rsid w:val="00E256FB"/>
    <w:rsid w:val="00E2641C"/>
    <w:rsid w:val="00E30CDE"/>
    <w:rsid w:val="00E320C2"/>
    <w:rsid w:val="00E33D79"/>
    <w:rsid w:val="00E34280"/>
    <w:rsid w:val="00E345B3"/>
    <w:rsid w:val="00E35571"/>
    <w:rsid w:val="00E37989"/>
    <w:rsid w:val="00E41260"/>
    <w:rsid w:val="00E418A6"/>
    <w:rsid w:val="00E451A3"/>
    <w:rsid w:val="00E459E1"/>
    <w:rsid w:val="00E461C5"/>
    <w:rsid w:val="00E506D1"/>
    <w:rsid w:val="00E54371"/>
    <w:rsid w:val="00E56165"/>
    <w:rsid w:val="00E60282"/>
    <w:rsid w:val="00E60737"/>
    <w:rsid w:val="00E62E4C"/>
    <w:rsid w:val="00E6576A"/>
    <w:rsid w:val="00E65DE5"/>
    <w:rsid w:val="00E67322"/>
    <w:rsid w:val="00E67735"/>
    <w:rsid w:val="00E71422"/>
    <w:rsid w:val="00E762ED"/>
    <w:rsid w:val="00E81C53"/>
    <w:rsid w:val="00E90745"/>
    <w:rsid w:val="00E90DDD"/>
    <w:rsid w:val="00E923C6"/>
    <w:rsid w:val="00E96412"/>
    <w:rsid w:val="00E964C5"/>
    <w:rsid w:val="00E9650A"/>
    <w:rsid w:val="00E96EFD"/>
    <w:rsid w:val="00EA153E"/>
    <w:rsid w:val="00EA6499"/>
    <w:rsid w:val="00EA6B50"/>
    <w:rsid w:val="00EB6A0D"/>
    <w:rsid w:val="00EC0027"/>
    <w:rsid w:val="00EC1026"/>
    <w:rsid w:val="00EC2FEC"/>
    <w:rsid w:val="00EC407B"/>
    <w:rsid w:val="00EC74E7"/>
    <w:rsid w:val="00ED1257"/>
    <w:rsid w:val="00ED52A4"/>
    <w:rsid w:val="00ED6A9C"/>
    <w:rsid w:val="00ED7207"/>
    <w:rsid w:val="00EE0C41"/>
    <w:rsid w:val="00EE3E51"/>
    <w:rsid w:val="00EF3C42"/>
    <w:rsid w:val="00F012D4"/>
    <w:rsid w:val="00F02A94"/>
    <w:rsid w:val="00F04F7C"/>
    <w:rsid w:val="00F05E86"/>
    <w:rsid w:val="00F135ED"/>
    <w:rsid w:val="00F221DF"/>
    <w:rsid w:val="00F23E4A"/>
    <w:rsid w:val="00F24C16"/>
    <w:rsid w:val="00F27066"/>
    <w:rsid w:val="00F324BC"/>
    <w:rsid w:val="00F337F2"/>
    <w:rsid w:val="00F345C9"/>
    <w:rsid w:val="00F3752A"/>
    <w:rsid w:val="00F4494E"/>
    <w:rsid w:val="00F45073"/>
    <w:rsid w:val="00F45395"/>
    <w:rsid w:val="00F54E0B"/>
    <w:rsid w:val="00F65184"/>
    <w:rsid w:val="00F67137"/>
    <w:rsid w:val="00F70B17"/>
    <w:rsid w:val="00F71D7E"/>
    <w:rsid w:val="00F73B92"/>
    <w:rsid w:val="00F73C5C"/>
    <w:rsid w:val="00F74B21"/>
    <w:rsid w:val="00F76A45"/>
    <w:rsid w:val="00F778E1"/>
    <w:rsid w:val="00F817E3"/>
    <w:rsid w:val="00F81EAC"/>
    <w:rsid w:val="00F84A71"/>
    <w:rsid w:val="00F90337"/>
    <w:rsid w:val="00F9148E"/>
    <w:rsid w:val="00F97B0F"/>
    <w:rsid w:val="00FA0615"/>
    <w:rsid w:val="00FA21D3"/>
    <w:rsid w:val="00FA46D0"/>
    <w:rsid w:val="00FA6277"/>
    <w:rsid w:val="00FB1A8C"/>
    <w:rsid w:val="00FB2F67"/>
    <w:rsid w:val="00FB4354"/>
    <w:rsid w:val="00FB75AC"/>
    <w:rsid w:val="00FB75E5"/>
    <w:rsid w:val="00FC282D"/>
    <w:rsid w:val="00FC3053"/>
    <w:rsid w:val="00FC59CD"/>
    <w:rsid w:val="00FC5D7E"/>
    <w:rsid w:val="00FD16BC"/>
    <w:rsid w:val="00FD1D95"/>
    <w:rsid w:val="00FD2350"/>
    <w:rsid w:val="00FD25B3"/>
    <w:rsid w:val="00FD37DA"/>
    <w:rsid w:val="00FD5000"/>
    <w:rsid w:val="00FE061F"/>
    <w:rsid w:val="00FE3334"/>
    <w:rsid w:val="00FE42A3"/>
    <w:rsid w:val="00FE545B"/>
    <w:rsid w:val="00FE6778"/>
    <w:rsid w:val="00FF0033"/>
    <w:rsid w:val="00FF2BD5"/>
    <w:rsid w:val="00FF3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4B0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B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ht-to-education.org/resource/international-covenant-economic-social-and-cultural-righ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FB268E-3981-461D-9BD8-AFA77D691F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A5401BD8FB2849B8244923B04C04C6" ma:contentTypeVersion="" ma:contentTypeDescription="PDMS Document Site Content Type" ma:contentTypeScope="" ma:versionID="a03341ca4503ea523d03f98a07891d77">
  <xsd:schema xmlns:xsd="http://www.w3.org/2001/XMLSchema" xmlns:xs="http://www.w3.org/2001/XMLSchema" xmlns:p="http://schemas.microsoft.com/office/2006/metadata/properties" xmlns:ns2="ACFB268E-3981-461D-9BD8-AFA77D691FEA" targetNamespace="http://schemas.microsoft.com/office/2006/metadata/properties" ma:root="true" ma:fieldsID="452cfb3243d767676d986dcf3749a75d" ns2:_="">
    <xsd:import namespace="ACFB268E-3981-461D-9BD8-AFA77D691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268E-3981-461D-9BD8-AFA77D691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B067-D96A-41E0-9059-463197650F58}">
  <ds:schemaRefs>
    <ds:schemaRef ds:uri="http://schemas.microsoft.com/sharepoint/v3/contenttype/forms"/>
  </ds:schemaRefs>
</ds:datastoreItem>
</file>

<file path=customXml/itemProps2.xml><?xml version="1.0" encoding="utf-8"?>
<ds:datastoreItem xmlns:ds="http://schemas.openxmlformats.org/officeDocument/2006/customXml" ds:itemID="{57BCB878-D225-44CB-8E0A-8A501649E5F5}">
  <ds:schemaRefs>
    <ds:schemaRef ds:uri="ACFB268E-3981-461D-9BD8-AFA77D691F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5A5BB9-DF5B-4435-8E53-328A08B3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268E-3981-461D-9BD8-AFA77D691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27F87-8115-4A09-8C09-9A8A784C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57035897.dotm</Template>
  <TotalTime>0</TotalTime>
  <Pages>7</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creator/>
  <cp:lastModifiedBy/>
  <cp:revision>1</cp:revision>
  <cp:lastPrinted>2008-10-23T05:53:00Z</cp:lastPrinted>
  <dcterms:created xsi:type="dcterms:W3CDTF">2019-10-10T23:03:00Z</dcterms:created>
  <dcterms:modified xsi:type="dcterms:W3CDTF">2019-10-10T23:03:00Z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0x010100266966F133664895A6EE3632470D45F500BAA5401BD8FB2849B8244923B04C04C6</vt:lpwstr>
  </property>
</Properties>
</file>