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FE82F" w14:textId="77777777" w:rsidR="005D12F0" w:rsidRPr="00571E3B" w:rsidRDefault="005D12F0" w:rsidP="005D12F0">
      <w:pPr>
        <w:rPr>
          <w:color w:val="000000" w:themeColor="text1"/>
          <w:sz w:val="28"/>
        </w:rPr>
      </w:pPr>
      <w:r w:rsidRPr="00571E3B">
        <w:rPr>
          <w:noProof/>
          <w:color w:val="000000" w:themeColor="text1"/>
          <w:lang w:eastAsia="en-AU"/>
        </w:rPr>
        <w:drawing>
          <wp:inline distT="0" distB="0" distL="0" distR="0" wp14:anchorId="5EFFE883" wp14:editId="5EFFE88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E830" w14:textId="77777777" w:rsidR="005D12F0" w:rsidRPr="00571E3B" w:rsidRDefault="005D12F0" w:rsidP="005D12F0">
      <w:pPr>
        <w:rPr>
          <w:color w:val="000000" w:themeColor="text1"/>
          <w:sz w:val="19"/>
        </w:rPr>
      </w:pPr>
    </w:p>
    <w:p w14:paraId="5EFFE831" w14:textId="77777777" w:rsidR="005D12F0" w:rsidRPr="00571E3B" w:rsidRDefault="005D12F0" w:rsidP="005D12F0">
      <w:pPr>
        <w:pStyle w:val="ShortT"/>
        <w:rPr>
          <w:color w:val="000000" w:themeColor="text1"/>
        </w:rPr>
      </w:pPr>
      <w:r w:rsidRPr="00571E3B">
        <w:rPr>
          <w:color w:val="000000" w:themeColor="text1"/>
        </w:rPr>
        <w:t>Telecommunications (Indu</w:t>
      </w:r>
      <w:r w:rsidR="008872AC">
        <w:rPr>
          <w:color w:val="000000" w:themeColor="text1"/>
        </w:rPr>
        <w:t xml:space="preserve">stry Standard for Mobile Number </w:t>
      </w:r>
      <w:r w:rsidRPr="00571E3B">
        <w:rPr>
          <w:color w:val="000000" w:themeColor="text1"/>
        </w:rPr>
        <w:t xml:space="preserve">Pre-Porting </w:t>
      </w:r>
      <w:r>
        <w:rPr>
          <w:color w:val="000000" w:themeColor="text1"/>
        </w:rPr>
        <w:t xml:space="preserve">Additional </w:t>
      </w:r>
      <w:r w:rsidRPr="00571E3B">
        <w:rPr>
          <w:color w:val="000000" w:themeColor="text1"/>
        </w:rPr>
        <w:t>Identity Verification) Direction 2019</w:t>
      </w:r>
    </w:p>
    <w:p w14:paraId="5EFFE832" w14:textId="77777777" w:rsidR="005D12F0" w:rsidRPr="00571E3B" w:rsidRDefault="005D12F0" w:rsidP="005D12F0">
      <w:pPr>
        <w:pStyle w:val="SignCoverPageStart"/>
        <w:spacing w:before="240"/>
        <w:ind w:right="91"/>
        <w:rPr>
          <w:color w:val="000000" w:themeColor="text1"/>
          <w:szCs w:val="22"/>
        </w:rPr>
      </w:pPr>
      <w:r w:rsidRPr="00571E3B">
        <w:rPr>
          <w:color w:val="000000" w:themeColor="text1"/>
          <w:szCs w:val="22"/>
        </w:rPr>
        <w:t xml:space="preserve">I, </w:t>
      </w:r>
      <w:r w:rsidRPr="00571E3B">
        <w:rPr>
          <w:caps/>
          <w:color w:val="000000" w:themeColor="text1"/>
          <w:szCs w:val="22"/>
        </w:rPr>
        <w:t>Paul Fletcher</w:t>
      </w:r>
      <w:r w:rsidRPr="00571E3B">
        <w:rPr>
          <w:color w:val="000000" w:themeColor="text1"/>
          <w:szCs w:val="22"/>
        </w:rPr>
        <w:t>,</w:t>
      </w:r>
      <w:r w:rsidRPr="00571E3B">
        <w:rPr>
          <w:color w:val="000000" w:themeColor="text1"/>
        </w:rPr>
        <w:t xml:space="preserve"> </w:t>
      </w:r>
      <w:r w:rsidRPr="00571E3B">
        <w:rPr>
          <w:color w:val="000000" w:themeColor="text1"/>
          <w:szCs w:val="22"/>
        </w:rPr>
        <w:t>Minister for Communications, Cyber Safety and the Arts, give the following direction.</w:t>
      </w:r>
    </w:p>
    <w:p w14:paraId="5EFFE833" w14:textId="2C78430F" w:rsidR="005D12F0" w:rsidRPr="00571E3B" w:rsidRDefault="005D12F0" w:rsidP="005D12F0">
      <w:pPr>
        <w:keepNext/>
        <w:spacing w:before="300" w:line="240" w:lineRule="atLeast"/>
        <w:ind w:right="397"/>
        <w:jc w:val="both"/>
        <w:rPr>
          <w:color w:val="000000" w:themeColor="text1"/>
          <w:szCs w:val="22"/>
        </w:rPr>
      </w:pPr>
      <w:r w:rsidRPr="00571E3B">
        <w:rPr>
          <w:color w:val="000000" w:themeColor="text1"/>
          <w:szCs w:val="22"/>
        </w:rPr>
        <w:t>Dated</w:t>
      </w:r>
      <w:r w:rsidR="00762051">
        <w:rPr>
          <w:color w:val="000000" w:themeColor="text1"/>
          <w:szCs w:val="22"/>
        </w:rPr>
        <w:t xml:space="preserve"> </w:t>
      </w:r>
      <w:bookmarkStart w:id="0" w:name="_GoBack"/>
      <w:bookmarkEnd w:id="0"/>
      <w:r w:rsidR="00762051">
        <w:rPr>
          <w:color w:val="000000" w:themeColor="text1"/>
          <w:szCs w:val="22"/>
        </w:rPr>
        <w:t xml:space="preserve">14 October </w:t>
      </w:r>
      <w:r w:rsidRPr="00571E3B">
        <w:rPr>
          <w:color w:val="000000" w:themeColor="text1"/>
          <w:szCs w:val="22"/>
        </w:rPr>
        <w:t>2019.</w:t>
      </w:r>
    </w:p>
    <w:p w14:paraId="5EFFE834" w14:textId="77777777" w:rsidR="005D12F0" w:rsidRPr="00571E3B" w:rsidRDefault="005D12F0" w:rsidP="005D12F0">
      <w:pPr>
        <w:keepNext/>
        <w:spacing w:before="300" w:line="240" w:lineRule="atLeast"/>
        <w:ind w:right="397"/>
        <w:jc w:val="both"/>
        <w:rPr>
          <w:color w:val="000000" w:themeColor="text1"/>
          <w:szCs w:val="22"/>
        </w:rPr>
      </w:pPr>
    </w:p>
    <w:p w14:paraId="5EFFE835" w14:textId="77777777" w:rsidR="005D12F0" w:rsidRPr="00571E3B" w:rsidRDefault="005D12F0" w:rsidP="005D12F0">
      <w:pPr>
        <w:keepNext/>
        <w:tabs>
          <w:tab w:val="left" w:pos="3402"/>
        </w:tabs>
        <w:spacing w:before="1440" w:line="300" w:lineRule="atLeast"/>
        <w:ind w:right="397"/>
        <w:rPr>
          <w:b/>
          <w:color w:val="000000" w:themeColor="text1"/>
          <w:szCs w:val="22"/>
        </w:rPr>
      </w:pPr>
      <w:r w:rsidRPr="00571E3B">
        <w:rPr>
          <w:color w:val="000000" w:themeColor="text1"/>
          <w:szCs w:val="22"/>
        </w:rPr>
        <w:t xml:space="preserve">PAUL FLETCHER </w:t>
      </w:r>
    </w:p>
    <w:p w14:paraId="5EFFE836" w14:textId="77777777" w:rsidR="005D12F0" w:rsidRPr="00571E3B" w:rsidRDefault="005D12F0" w:rsidP="005D12F0">
      <w:pPr>
        <w:pStyle w:val="SignCoverPageEnd"/>
        <w:ind w:right="91"/>
        <w:rPr>
          <w:color w:val="000000" w:themeColor="text1"/>
          <w:sz w:val="22"/>
        </w:rPr>
      </w:pPr>
      <w:r w:rsidRPr="00571E3B">
        <w:rPr>
          <w:color w:val="000000" w:themeColor="text1"/>
          <w:sz w:val="22"/>
        </w:rPr>
        <w:t>Minister for Communications, Cyber Safety and the Arts</w:t>
      </w:r>
    </w:p>
    <w:p w14:paraId="5EFFE837" w14:textId="77777777" w:rsidR="005D12F0" w:rsidRPr="00571E3B" w:rsidRDefault="005D12F0" w:rsidP="005D12F0">
      <w:pPr>
        <w:rPr>
          <w:color w:val="000000" w:themeColor="text1"/>
        </w:rPr>
      </w:pPr>
    </w:p>
    <w:p w14:paraId="5EFFE838" w14:textId="77777777" w:rsidR="005D12F0" w:rsidRPr="00571E3B" w:rsidRDefault="005D12F0" w:rsidP="005D12F0">
      <w:pPr>
        <w:rPr>
          <w:color w:val="000000" w:themeColor="text1"/>
        </w:rPr>
      </w:pPr>
    </w:p>
    <w:p w14:paraId="5EFFE839" w14:textId="77777777" w:rsidR="005D12F0" w:rsidRPr="00571E3B" w:rsidRDefault="005D12F0" w:rsidP="005D12F0">
      <w:pPr>
        <w:rPr>
          <w:color w:val="000000" w:themeColor="text1"/>
        </w:rPr>
      </w:pPr>
    </w:p>
    <w:p w14:paraId="5EFFE83A" w14:textId="77777777" w:rsidR="005D12F0" w:rsidRPr="00571E3B" w:rsidRDefault="005D12F0" w:rsidP="005D12F0">
      <w:pPr>
        <w:rPr>
          <w:color w:val="000000" w:themeColor="text1"/>
        </w:rPr>
        <w:sectPr w:rsidR="005D12F0" w:rsidRPr="00571E3B" w:rsidSect="005D12F0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EFFE83B" w14:textId="77777777" w:rsidR="005D12F0" w:rsidRPr="00571E3B" w:rsidRDefault="005D12F0" w:rsidP="005D12F0">
      <w:pPr>
        <w:pStyle w:val="ActHead2"/>
        <w:rPr>
          <w:color w:val="000000" w:themeColor="text1"/>
        </w:rPr>
      </w:pPr>
      <w:bookmarkStart w:id="1" w:name="_Toc418165038"/>
      <w:bookmarkStart w:id="2" w:name="_Toc454512513"/>
      <w:r w:rsidRPr="00571E3B">
        <w:rPr>
          <w:rStyle w:val="CharPartNo"/>
          <w:color w:val="000000" w:themeColor="text1"/>
        </w:rPr>
        <w:lastRenderedPageBreak/>
        <w:t>Part 1</w:t>
      </w:r>
      <w:r w:rsidRPr="00571E3B">
        <w:rPr>
          <w:color w:val="000000" w:themeColor="text1"/>
        </w:rPr>
        <w:t>—</w:t>
      </w:r>
      <w:bookmarkEnd w:id="1"/>
      <w:r w:rsidRPr="00571E3B">
        <w:rPr>
          <w:rStyle w:val="CharPartText"/>
          <w:color w:val="000000" w:themeColor="text1"/>
        </w:rPr>
        <w:t>Introduction</w:t>
      </w:r>
    </w:p>
    <w:p w14:paraId="5EFFE83C" w14:textId="77777777" w:rsidR="005D12F0" w:rsidRPr="00571E3B" w:rsidRDefault="005D12F0" w:rsidP="005D12F0">
      <w:pPr>
        <w:pStyle w:val="ActHead5"/>
        <w:rPr>
          <w:color w:val="000000" w:themeColor="text1"/>
        </w:rPr>
      </w:pPr>
      <w:proofErr w:type="gramStart"/>
      <w:r w:rsidRPr="00571E3B">
        <w:rPr>
          <w:color w:val="000000" w:themeColor="text1"/>
        </w:rPr>
        <w:t>1  Name</w:t>
      </w:r>
      <w:bookmarkEnd w:id="2"/>
      <w:proofErr w:type="gramEnd"/>
    </w:p>
    <w:p w14:paraId="5EFFE83D" w14:textId="77777777" w:rsidR="005D12F0" w:rsidRPr="00571E3B" w:rsidRDefault="005D12F0" w:rsidP="005D12F0">
      <w:pPr>
        <w:pStyle w:val="subsection"/>
        <w:rPr>
          <w:rFonts w:ascii="Arial Narrow" w:hAnsi="Arial Narrow"/>
          <w:i/>
          <w:color w:val="000000" w:themeColor="text1"/>
        </w:rPr>
      </w:pPr>
      <w:r w:rsidRPr="00571E3B">
        <w:rPr>
          <w:color w:val="000000" w:themeColor="text1"/>
        </w:rPr>
        <w:tab/>
      </w:r>
      <w:r w:rsidRPr="00571E3B">
        <w:rPr>
          <w:color w:val="000000" w:themeColor="text1"/>
        </w:rPr>
        <w:tab/>
        <w:t xml:space="preserve">This instrument is the </w:t>
      </w:r>
      <w:bookmarkStart w:id="3" w:name="BKCheck15B_3"/>
      <w:bookmarkEnd w:id="3"/>
      <w:r w:rsidRPr="00571E3B">
        <w:rPr>
          <w:i/>
          <w:color w:val="000000" w:themeColor="text1"/>
        </w:rPr>
        <w:t xml:space="preserve">Telecommunications (Industry Standard for Mobile Number Pre-Porting </w:t>
      </w:r>
      <w:r>
        <w:rPr>
          <w:i/>
          <w:color w:val="000000" w:themeColor="text1"/>
        </w:rPr>
        <w:t xml:space="preserve">Additional </w:t>
      </w:r>
      <w:r w:rsidRPr="00571E3B">
        <w:rPr>
          <w:i/>
          <w:color w:val="000000" w:themeColor="text1"/>
        </w:rPr>
        <w:t>Identity Verification) Direction 2019</w:t>
      </w:r>
      <w:r w:rsidRPr="00571E3B">
        <w:rPr>
          <w:color w:val="000000" w:themeColor="text1"/>
        </w:rPr>
        <w:t>.</w:t>
      </w:r>
      <w:r w:rsidRPr="00571E3B">
        <w:rPr>
          <w:rFonts w:ascii="Arial Narrow" w:hAnsi="Arial Narrow"/>
          <w:i/>
          <w:color w:val="000000" w:themeColor="text1"/>
        </w:rPr>
        <w:tab/>
        <w:t xml:space="preserve"> </w:t>
      </w:r>
    </w:p>
    <w:p w14:paraId="5EFFE83E" w14:textId="77777777" w:rsidR="005D12F0" w:rsidRPr="00571E3B" w:rsidRDefault="005D12F0" w:rsidP="005D12F0">
      <w:pPr>
        <w:pStyle w:val="ActHead5"/>
        <w:rPr>
          <w:color w:val="000000" w:themeColor="text1"/>
        </w:rPr>
      </w:pPr>
      <w:bookmarkStart w:id="4" w:name="_Toc454512514"/>
      <w:proofErr w:type="gramStart"/>
      <w:r w:rsidRPr="00571E3B">
        <w:rPr>
          <w:color w:val="000000" w:themeColor="text1"/>
        </w:rPr>
        <w:t>2  Commencement</w:t>
      </w:r>
      <w:bookmarkEnd w:id="4"/>
      <w:proofErr w:type="gramEnd"/>
    </w:p>
    <w:p w14:paraId="5EFFE83F" w14:textId="77777777" w:rsidR="005D12F0" w:rsidRPr="00571E3B" w:rsidRDefault="005D12F0" w:rsidP="005D12F0">
      <w:pPr>
        <w:pStyle w:val="subsection"/>
        <w:rPr>
          <w:color w:val="000000" w:themeColor="text1"/>
        </w:rPr>
      </w:pPr>
      <w:bookmarkStart w:id="5" w:name="_Toc454512515"/>
      <w:r w:rsidRPr="00571E3B">
        <w:rPr>
          <w:color w:val="000000" w:themeColor="text1"/>
        </w:rPr>
        <w:tab/>
      </w:r>
      <w:r w:rsidRPr="00571E3B">
        <w:rPr>
          <w:color w:val="000000" w:themeColor="text1"/>
        </w:rPr>
        <w:tab/>
        <w:t>This instrument commences on the day it is registered.</w:t>
      </w:r>
    </w:p>
    <w:p w14:paraId="5EFFE840" w14:textId="77777777" w:rsidR="005D12F0" w:rsidRPr="00571E3B" w:rsidRDefault="005D12F0" w:rsidP="005D12F0">
      <w:pPr>
        <w:pStyle w:val="ActHead5"/>
        <w:rPr>
          <w:color w:val="000000" w:themeColor="text1"/>
        </w:rPr>
      </w:pPr>
      <w:proofErr w:type="gramStart"/>
      <w:r w:rsidRPr="00571E3B">
        <w:rPr>
          <w:color w:val="000000" w:themeColor="text1"/>
        </w:rPr>
        <w:t>3  Authority</w:t>
      </w:r>
      <w:bookmarkEnd w:id="5"/>
      <w:proofErr w:type="gramEnd"/>
    </w:p>
    <w:p w14:paraId="5EFFE841" w14:textId="77777777" w:rsidR="005D12F0" w:rsidRPr="00571E3B" w:rsidRDefault="005D12F0" w:rsidP="005D12F0">
      <w:pPr>
        <w:pStyle w:val="subsection"/>
        <w:rPr>
          <w:color w:val="000000" w:themeColor="text1"/>
        </w:rPr>
      </w:pPr>
      <w:r w:rsidRPr="00571E3B">
        <w:rPr>
          <w:color w:val="000000" w:themeColor="text1"/>
        </w:rPr>
        <w:tab/>
      </w:r>
      <w:r w:rsidRPr="00571E3B">
        <w:rPr>
          <w:color w:val="000000" w:themeColor="text1"/>
        </w:rPr>
        <w:tab/>
        <w:t xml:space="preserve">This instrument is made under subsection </w:t>
      </w:r>
      <w:proofErr w:type="gramStart"/>
      <w:r w:rsidRPr="00571E3B">
        <w:rPr>
          <w:color w:val="000000" w:themeColor="text1"/>
        </w:rPr>
        <w:t>125AA(</w:t>
      </w:r>
      <w:proofErr w:type="gramEnd"/>
      <w:r w:rsidRPr="00571E3B">
        <w:rPr>
          <w:color w:val="000000" w:themeColor="text1"/>
        </w:rPr>
        <w:t xml:space="preserve">4) of the </w:t>
      </w:r>
      <w:r w:rsidRPr="00571E3B">
        <w:rPr>
          <w:i/>
          <w:color w:val="000000" w:themeColor="text1"/>
        </w:rPr>
        <w:t>Telecommunications Act 1997</w:t>
      </w:r>
      <w:r w:rsidRPr="00571E3B">
        <w:rPr>
          <w:color w:val="000000" w:themeColor="text1"/>
        </w:rPr>
        <w:t>.</w:t>
      </w:r>
    </w:p>
    <w:p w14:paraId="5EFFE842" w14:textId="77777777" w:rsidR="005D12F0" w:rsidRPr="00571E3B" w:rsidRDefault="005D12F0" w:rsidP="005D12F0">
      <w:pPr>
        <w:pStyle w:val="ActHead5"/>
        <w:rPr>
          <w:color w:val="000000" w:themeColor="text1"/>
        </w:rPr>
      </w:pPr>
      <w:bookmarkStart w:id="6" w:name="_Toc454512516"/>
      <w:proofErr w:type="gramStart"/>
      <w:r w:rsidRPr="00571E3B">
        <w:rPr>
          <w:color w:val="000000" w:themeColor="text1"/>
        </w:rPr>
        <w:t>4  Definitions</w:t>
      </w:r>
      <w:bookmarkEnd w:id="6"/>
      <w:proofErr w:type="gramEnd"/>
    </w:p>
    <w:p w14:paraId="5EFFE843" w14:textId="77777777" w:rsidR="005D12F0" w:rsidRPr="00571E3B" w:rsidRDefault="005D12F0" w:rsidP="005D12F0">
      <w:pPr>
        <w:pStyle w:val="notetext"/>
        <w:rPr>
          <w:color w:val="000000" w:themeColor="text1"/>
        </w:rPr>
      </w:pPr>
      <w:r w:rsidRPr="00571E3B">
        <w:rPr>
          <w:color w:val="000000" w:themeColor="text1"/>
        </w:rPr>
        <w:t>Note:</w:t>
      </w:r>
      <w:r w:rsidRPr="00571E3B">
        <w:rPr>
          <w:color w:val="000000" w:themeColor="text1"/>
        </w:rPr>
        <w:tab/>
        <w:t>A number of expressions used in this instrument are defined in section 7 of the Act, including the following:</w:t>
      </w:r>
    </w:p>
    <w:p w14:paraId="5EFFE844" w14:textId="77777777" w:rsidR="005D12F0" w:rsidRPr="00571E3B" w:rsidRDefault="005D12F0" w:rsidP="005D12F0">
      <w:pPr>
        <w:pStyle w:val="notepara"/>
        <w:numPr>
          <w:ilvl w:val="0"/>
          <w:numId w:val="3"/>
        </w:numPr>
        <w:rPr>
          <w:color w:val="000000" w:themeColor="text1"/>
        </w:rPr>
      </w:pPr>
      <w:r w:rsidRPr="00571E3B">
        <w:rPr>
          <w:color w:val="000000" w:themeColor="text1"/>
        </w:rPr>
        <w:t>carriage service provider;</w:t>
      </w:r>
    </w:p>
    <w:p w14:paraId="5EFFE845" w14:textId="77777777" w:rsidR="005D12F0" w:rsidRPr="00571E3B" w:rsidRDefault="005D12F0" w:rsidP="005D12F0">
      <w:pPr>
        <w:pStyle w:val="notepara"/>
        <w:numPr>
          <w:ilvl w:val="0"/>
          <w:numId w:val="3"/>
        </w:numPr>
        <w:rPr>
          <w:color w:val="000000" w:themeColor="text1"/>
        </w:rPr>
      </w:pPr>
      <w:r w:rsidRPr="00571E3B">
        <w:rPr>
          <w:color w:val="000000" w:themeColor="text1"/>
        </w:rPr>
        <w:t>carrier;</w:t>
      </w:r>
    </w:p>
    <w:p w14:paraId="5EFFE846" w14:textId="77777777" w:rsidR="005D12F0" w:rsidRPr="00571E3B" w:rsidRDefault="005D12F0" w:rsidP="005D12F0">
      <w:pPr>
        <w:pStyle w:val="notepara"/>
        <w:numPr>
          <w:ilvl w:val="0"/>
          <w:numId w:val="3"/>
        </w:numPr>
        <w:rPr>
          <w:color w:val="000000" w:themeColor="text1"/>
        </w:rPr>
      </w:pPr>
      <w:r w:rsidRPr="00571E3B">
        <w:rPr>
          <w:color w:val="000000" w:themeColor="text1"/>
        </w:rPr>
        <w:t>person; and</w:t>
      </w:r>
    </w:p>
    <w:p w14:paraId="5EFFE847" w14:textId="77777777" w:rsidR="005D12F0" w:rsidRPr="00571E3B" w:rsidRDefault="005D12F0" w:rsidP="005D12F0">
      <w:pPr>
        <w:pStyle w:val="notepara"/>
        <w:rPr>
          <w:color w:val="000000" w:themeColor="text1"/>
        </w:rPr>
      </w:pPr>
      <w:r w:rsidRPr="00571E3B">
        <w:rPr>
          <w:color w:val="000000" w:themeColor="text1"/>
        </w:rPr>
        <w:t xml:space="preserve">(d)    </w:t>
      </w:r>
      <w:proofErr w:type="gramStart"/>
      <w:r w:rsidRPr="00571E3B">
        <w:rPr>
          <w:color w:val="000000" w:themeColor="text1"/>
        </w:rPr>
        <w:t>public</w:t>
      </w:r>
      <w:proofErr w:type="gramEnd"/>
      <w:r w:rsidRPr="00571E3B">
        <w:rPr>
          <w:color w:val="000000" w:themeColor="text1"/>
        </w:rPr>
        <w:t xml:space="preserve"> mobile telecommunications service.</w:t>
      </w:r>
    </w:p>
    <w:p w14:paraId="5EFFE848" w14:textId="77777777" w:rsidR="005D12F0" w:rsidRPr="00571E3B" w:rsidRDefault="005D12F0" w:rsidP="005D12F0">
      <w:pPr>
        <w:pStyle w:val="notepara"/>
        <w:rPr>
          <w:color w:val="000000" w:themeColor="text1"/>
        </w:rPr>
      </w:pPr>
    </w:p>
    <w:p w14:paraId="5EFFE849" w14:textId="77777777" w:rsidR="005D12F0" w:rsidRPr="00571E3B" w:rsidRDefault="005D12F0" w:rsidP="005D12F0">
      <w:pPr>
        <w:pStyle w:val="subsection"/>
        <w:rPr>
          <w:color w:val="000000" w:themeColor="text1"/>
        </w:rPr>
      </w:pPr>
      <w:r w:rsidRPr="00571E3B">
        <w:rPr>
          <w:color w:val="000000" w:themeColor="text1"/>
        </w:rPr>
        <w:tab/>
      </w:r>
      <w:r w:rsidRPr="00571E3B">
        <w:rPr>
          <w:color w:val="000000" w:themeColor="text1"/>
        </w:rPr>
        <w:tab/>
        <w:t>In this instrument:</w:t>
      </w:r>
    </w:p>
    <w:p w14:paraId="5EFFE84A" w14:textId="77777777" w:rsidR="005D12F0" w:rsidRPr="00571E3B" w:rsidRDefault="005D12F0" w:rsidP="005D12F0">
      <w:pPr>
        <w:pStyle w:val="Definition"/>
        <w:rPr>
          <w:b/>
          <w:i/>
          <w:color w:val="000000" w:themeColor="text1"/>
        </w:rPr>
      </w:pPr>
      <w:r w:rsidRPr="00571E3B">
        <w:rPr>
          <w:b/>
          <w:i/>
          <w:color w:val="000000" w:themeColor="text1"/>
        </w:rPr>
        <w:t xml:space="preserve">ACMA </w:t>
      </w:r>
      <w:r w:rsidRPr="00571E3B">
        <w:rPr>
          <w:color w:val="000000" w:themeColor="text1"/>
        </w:rPr>
        <w:t>means the Australian Communications and Media Authority.</w:t>
      </w:r>
    </w:p>
    <w:p w14:paraId="5EFFE84B" w14:textId="77777777" w:rsidR="005D12F0" w:rsidRPr="00571E3B" w:rsidRDefault="005D12F0" w:rsidP="005D12F0">
      <w:pPr>
        <w:pStyle w:val="Definition"/>
        <w:rPr>
          <w:color w:val="000000" w:themeColor="text1"/>
        </w:rPr>
      </w:pPr>
      <w:r w:rsidRPr="00571E3B">
        <w:rPr>
          <w:b/>
          <w:i/>
          <w:color w:val="000000" w:themeColor="text1"/>
        </w:rPr>
        <w:t>Act</w:t>
      </w:r>
      <w:r w:rsidRPr="00571E3B">
        <w:rPr>
          <w:color w:val="000000" w:themeColor="text1"/>
        </w:rPr>
        <w:t xml:space="preserve"> means the </w:t>
      </w:r>
      <w:r w:rsidRPr="00571E3B">
        <w:rPr>
          <w:i/>
          <w:color w:val="000000" w:themeColor="text1"/>
        </w:rPr>
        <w:t>Telecommunications Act 1997</w:t>
      </w:r>
      <w:r w:rsidRPr="00571E3B">
        <w:rPr>
          <w:color w:val="000000" w:themeColor="text1"/>
        </w:rPr>
        <w:t>.</w:t>
      </w:r>
    </w:p>
    <w:p w14:paraId="5EFFE84C" w14:textId="77777777" w:rsidR="005D12F0" w:rsidRPr="00571E3B" w:rsidRDefault="005D12F0" w:rsidP="005D12F0">
      <w:pPr>
        <w:pStyle w:val="Definition"/>
        <w:rPr>
          <w:color w:val="000000" w:themeColor="text1"/>
        </w:rPr>
      </w:pPr>
      <w:proofErr w:type="gramStart"/>
      <w:r w:rsidRPr="00571E3B">
        <w:rPr>
          <w:b/>
          <w:i/>
          <w:color w:val="000000" w:themeColor="text1"/>
        </w:rPr>
        <w:t>customer</w:t>
      </w:r>
      <w:proofErr w:type="gramEnd"/>
      <w:r w:rsidRPr="00571E3B">
        <w:rPr>
          <w:i/>
          <w:color w:val="000000" w:themeColor="text1"/>
        </w:rPr>
        <w:t xml:space="preserve"> </w:t>
      </w:r>
      <w:r w:rsidRPr="00571E3B">
        <w:rPr>
          <w:color w:val="000000" w:themeColor="text1"/>
        </w:rPr>
        <w:t xml:space="preserve">means </w:t>
      </w:r>
      <w:r>
        <w:rPr>
          <w:color w:val="000000" w:themeColor="text1"/>
        </w:rPr>
        <w:t xml:space="preserve">a </w:t>
      </w:r>
      <w:r w:rsidRPr="00571E3B">
        <w:rPr>
          <w:color w:val="000000" w:themeColor="text1"/>
        </w:rPr>
        <w:t xml:space="preserve">person with a contractual relationship with </w:t>
      </w:r>
      <w:r>
        <w:rPr>
          <w:color w:val="000000" w:themeColor="text1"/>
        </w:rPr>
        <w:t xml:space="preserve">a </w:t>
      </w:r>
      <w:r w:rsidRPr="00571E3B">
        <w:rPr>
          <w:color w:val="000000" w:themeColor="text1"/>
        </w:rPr>
        <w:t xml:space="preserve">carriage service provider and to whom the carriage service provider has issued </w:t>
      </w:r>
      <w:r>
        <w:rPr>
          <w:color w:val="000000" w:themeColor="text1"/>
        </w:rPr>
        <w:t xml:space="preserve">a </w:t>
      </w:r>
      <w:r w:rsidRPr="00571E3B">
        <w:rPr>
          <w:color w:val="000000" w:themeColor="text1"/>
        </w:rPr>
        <w:t xml:space="preserve">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t>number.</w:t>
      </w:r>
    </w:p>
    <w:p w14:paraId="5EFFE84D" w14:textId="77777777" w:rsidR="005D12F0" w:rsidRDefault="005D12F0" w:rsidP="005D12F0">
      <w:pPr>
        <w:pStyle w:val="Definition"/>
        <w:rPr>
          <w:color w:val="000000" w:themeColor="text1"/>
        </w:rPr>
      </w:pPr>
      <w:proofErr w:type="gramStart"/>
      <w:r>
        <w:rPr>
          <w:b/>
          <w:i/>
          <w:color w:val="000000" w:themeColor="text1"/>
        </w:rPr>
        <w:t>digital</w:t>
      </w:r>
      <w:proofErr w:type="gramEnd"/>
      <w:r>
        <w:rPr>
          <w:b/>
          <w:i/>
          <w:color w:val="000000" w:themeColor="text1"/>
        </w:rPr>
        <w:t xml:space="preserve"> </w:t>
      </w:r>
      <w:r w:rsidRPr="00571E3B">
        <w:rPr>
          <w:b/>
          <w:i/>
          <w:color w:val="000000" w:themeColor="text1"/>
        </w:rPr>
        <w:t xml:space="preserve">mobile number </w:t>
      </w:r>
      <w:r w:rsidRPr="00046316">
        <w:rPr>
          <w:color w:val="000000" w:themeColor="text1"/>
        </w:rPr>
        <w:t>has the same meaning as in</w:t>
      </w:r>
      <w:r>
        <w:rPr>
          <w:color w:val="000000" w:themeColor="text1"/>
        </w:rPr>
        <w:t xml:space="preserve"> section 15 of</w:t>
      </w:r>
      <w:r w:rsidRPr="00046316">
        <w:rPr>
          <w:color w:val="000000" w:themeColor="text1"/>
        </w:rPr>
        <w:t xml:space="preserve"> </w:t>
      </w:r>
      <w:r w:rsidRPr="00571E3B">
        <w:rPr>
          <w:color w:val="000000" w:themeColor="text1"/>
        </w:rPr>
        <w:t xml:space="preserve">the </w:t>
      </w:r>
      <w:r w:rsidRPr="00571E3B">
        <w:rPr>
          <w:i/>
          <w:color w:val="000000" w:themeColor="text1"/>
        </w:rPr>
        <w:t>Telecommunications Numbering Plan 2015</w:t>
      </w:r>
      <w:r w:rsidRPr="00571E3B">
        <w:rPr>
          <w:color w:val="000000" w:themeColor="text1"/>
        </w:rPr>
        <w:t xml:space="preserve">. </w:t>
      </w:r>
    </w:p>
    <w:p w14:paraId="5EFFE84E" w14:textId="77777777" w:rsidR="005D12F0" w:rsidRPr="00332DBA" w:rsidRDefault="005D12F0" w:rsidP="005D12F0">
      <w:pPr>
        <w:pStyle w:val="Definition"/>
        <w:rPr>
          <w:color w:val="000000" w:themeColor="text1"/>
        </w:rPr>
      </w:pPr>
      <w:r>
        <w:rPr>
          <w:b/>
          <w:i/>
          <w:color w:val="000000" w:themeColor="text1"/>
        </w:rPr>
        <w:t xml:space="preserve">Gaining CSP </w:t>
      </w:r>
      <w:r>
        <w:rPr>
          <w:color w:val="000000" w:themeColor="text1"/>
        </w:rPr>
        <w:t>means a mobile carriage service provider</w:t>
      </w:r>
      <w:r w:rsidRPr="0008280B">
        <w:t xml:space="preserve"> </w:t>
      </w:r>
      <w:r w:rsidRPr="0008280B">
        <w:rPr>
          <w:color w:val="000000" w:themeColor="text1"/>
        </w:rPr>
        <w:t xml:space="preserve">to which </w:t>
      </w:r>
      <w:r>
        <w:rPr>
          <w:color w:val="000000" w:themeColor="text1"/>
        </w:rPr>
        <w:t xml:space="preserve">a mobile service number </w:t>
      </w:r>
      <w:r w:rsidRPr="0008280B">
        <w:rPr>
          <w:color w:val="000000" w:themeColor="text1"/>
        </w:rPr>
        <w:t xml:space="preserve">is to be </w:t>
      </w:r>
      <w:proofErr w:type="gramStart"/>
      <w:r w:rsidRPr="0008280B">
        <w:rPr>
          <w:color w:val="000000" w:themeColor="text1"/>
        </w:rPr>
        <w:t>Ported</w:t>
      </w:r>
      <w:proofErr w:type="gramEnd"/>
      <w:r>
        <w:rPr>
          <w:color w:val="000000" w:themeColor="text1"/>
        </w:rPr>
        <w:t>.</w:t>
      </w:r>
    </w:p>
    <w:p w14:paraId="5EFFE84F" w14:textId="77777777" w:rsidR="005D12F0" w:rsidRPr="00571E3B" w:rsidRDefault="005D12F0" w:rsidP="005D12F0">
      <w:pPr>
        <w:pStyle w:val="Definition"/>
        <w:rPr>
          <w:color w:val="000000" w:themeColor="text1"/>
        </w:rPr>
      </w:pPr>
      <w:proofErr w:type="gramStart"/>
      <w:r w:rsidRPr="00571E3B">
        <w:rPr>
          <w:b/>
          <w:i/>
          <w:color w:val="000000" w:themeColor="text1"/>
        </w:rPr>
        <w:t>mobile</w:t>
      </w:r>
      <w:proofErr w:type="gramEnd"/>
      <w:r w:rsidRPr="00571E3B">
        <w:rPr>
          <w:b/>
          <w:i/>
          <w:color w:val="000000" w:themeColor="text1"/>
        </w:rPr>
        <w:t xml:space="preserve"> carriage service provider </w:t>
      </w:r>
      <w:r w:rsidRPr="00571E3B">
        <w:rPr>
          <w:color w:val="000000" w:themeColor="text1"/>
        </w:rPr>
        <w:t xml:space="preserve">means a carriage service provider that supplies or arranges for the supply of a public mobile telecommunications service, and includes their </w:t>
      </w:r>
      <w:r>
        <w:rPr>
          <w:color w:val="000000" w:themeColor="text1"/>
        </w:rPr>
        <w:t xml:space="preserve">authorised </w:t>
      </w:r>
      <w:r w:rsidRPr="00571E3B">
        <w:rPr>
          <w:color w:val="000000" w:themeColor="text1"/>
        </w:rPr>
        <w:t xml:space="preserve">agents. </w:t>
      </w:r>
    </w:p>
    <w:p w14:paraId="5EFFE850" w14:textId="77777777" w:rsidR="005D12F0" w:rsidRPr="00571E3B" w:rsidRDefault="005D12F0" w:rsidP="005D12F0">
      <w:pPr>
        <w:pStyle w:val="Definition"/>
        <w:rPr>
          <w:color w:val="000000" w:themeColor="text1"/>
        </w:rPr>
      </w:pPr>
      <w:proofErr w:type="gramStart"/>
      <w:r w:rsidRPr="00571E3B">
        <w:rPr>
          <w:b/>
          <w:i/>
          <w:color w:val="000000" w:themeColor="text1"/>
        </w:rPr>
        <w:t>mobile</w:t>
      </w:r>
      <w:proofErr w:type="gramEnd"/>
      <w:r w:rsidRPr="00571E3B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 xml:space="preserve">service </w:t>
      </w:r>
      <w:r w:rsidRPr="00571E3B">
        <w:rPr>
          <w:b/>
          <w:i/>
          <w:color w:val="000000" w:themeColor="text1"/>
        </w:rPr>
        <w:t>number</w:t>
      </w:r>
      <w:r w:rsidRPr="00571E3B">
        <w:rPr>
          <w:color w:val="000000" w:themeColor="text1"/>
        </w:rPr>
        <w:t xml:space="preserve"> means a </w:t>
      </w:r>
      <w:r>
        <w:rPr>
          <w:color w:val="000000" w:themeColor="text1"/>
        </w:rPr>
        <w:t xml:space="preserve">digital </w:t>
      </w:r>
      <w:r w:rsidRPr="00571E3B">
        <w:rPr>
          <w:color w:val="000000" w:themeColor="text1"/>
        </w:rPr>
        <w:t>mobile number issued by a mobile carriage service provider to a customer in connection with the supply of a public mobile telecommunications service</w:t>
      </w:r>
      <w:r>
        <w:rPr>
          <w:color w:val="000000" w:themeColor="text1"/>
        </w:rPr>
        <w:t xml:space="preserve"> (other than a </w:t>
      </w:r>
      <w:r w:rsidRPr="00FE6838">
        <w:rPr>
          <w:color w:val="000000" w:themeColor="text1"/>
        </w:rPr>
        <w:t>satellite telephone service</w:t>
      </w:r>
      <w:r>
        <w:rPr>
          <w:color w:val="000000" w:themeColor="text1"/>
        </w:rPr>
        <w:t>)</w:t>
      </w:r>
      <w:r w:rsidRPr="00571E3B">
        <w:rPr>
          <w:color w:val="000000" w:themeColor="text1"/>
        </w:rPr>
        <w:t xml:space="preserve">. </w:t>
      </w:r>
    </w:p>
    <w:p w14:paraId="5EFFE851" w14:textId="77777777" w:rsidR="005D12F0" w:rsidRDefault="005D12F0" w:rsidP="005D12F0">
      <w:pPr>
        <w:pStyle w:val="Definition"/>
        <w:ind w:left="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EFFE852" w14:textId="77777777" w:rsidR="005D12F0" w:rsidRDefault="005D12F0" w:rsidP="005D12F0">
      <w:pPr>
        <w:pStyle w:val="Definition"/>
        <w:rPr>
          <w:b/>
          <w:color w:val="000000" w:themeColor="text1"/>
        </w:rPr>
      </w:pPr>
      <w:r>
        <w:rPr>
          <w:b/>
          <w:i/>
          <w:color w:val="000000" w:themeColor="text1"/>
        </w:rPr>
        <w:lastRenderedPageBreak/>
        <w:t>P</w:t>
      </w:r>
      <w:r w:rsidRPr="00571E3B">
        <w:rPr>
          <w:b/>
          <w:i/>
          <w:color w:val="000000" w:themeColor="text1"/>
        </w:rPr>
        <w:t>ort</w:t>
      </w:r>
      <w:r>
        <w:rPr>
          <w:b/>
          <w:i/>
          <w:color w:val="000000" w:themeColor="text1"/>
        </w:rPr>
        <w:t xml:space="preserve"> </w:t>
      </w:r>
      <w:r w:rsidRPr="008C020F">
        <w:rPr>
          <w:color w:val="000000" w:themeColor="text1"/>
        </w:rPr>
        <w:t xml:space="preserve">means the movement </w:t>
      </w:r>
      <w:r>
        <w:rPr>
          <w:color w:val="000000" w:themeColor="text1"/>
        </w:rPr>
        <w:t xml:space="preserve">of </w:t>
      </w:r>
      <w:r w:rsidRPr="008C020F">
        <w:rPr>
          <w:color w:val="000000" w:themeColor="text1"/>
        </w:rPr>
        <w:t xml:space="preserve">mobile service </w:t>
      </w:r>
      <w:r>
        <w:rPr>
          <w:color w:val="000000" w:themeColor="text1"/>
        </w:rPr>
        <w:t xml:space="preserve">numbers between mobile carriage </w:t>
      </w:r>
      <w:r w:rsidRPr="0071025F">
        <w:rPr>
          <w:color w:val="000000" w:themeColor="text1"/>
        </w:rPr>
        <w:t xml:space="preserve">service providers, or mobile carriage networks, using industry mobile number portability processes. The terms ‘Porting’ and ‘Ported’ have </w:t>
      </w:r>
      <w:r w:rsidR="000351EC" w:rsidRPr="0071025F">
        <w:rPr>
          <w:color w:val="000000" w:themeColor="text1"/>
        </w:rPr>
        <w:t xml:space="preserve">their </w:t>
      </w:r>
      <w:r w:rsidRPr="0071025F">
        <w:rPr>
          <w:color w:val="000000" w:themeColor="text1"/>
        </w:rPr>
        <w:t>corresponding meaning.</w:t>
      </w:r>
    </w:p>
    <w:p w14:paraId="5EFFE853" w14:textId="77777777" w:rsidR="005D12F0" w:rsidRPr="00571E3B" w:rsidRDefault="005D12F0" w:rsidP="005D12F0">
      <w:pPr>
        <w:pStyle w:val="Definition"/>
        <w:rPr>
          <w:color w:val="000000" w:themeColor="text1"/>
        </w:rPr>
      </w:pPr>
      <w:proofErr w:type="gramStart"/>
      <w:r w:rsidRPr="00571E3B">
        <w:rPr>
          <w:b/>
          <w:i/>
          <w:color w:val="000000" w:themeColor="text1"/>
        </w:rPr>
        <w:t>satellite</w:t>
      </w:r>
      <w:proofErr w:type="gramEnd"/>
      <w:r w:rsidRPr="00571E3B">
        <w:rPr>
          <w:b/>
          <w:i/>
          <w:color w:val="000000" w:themeColor="text1"/>
        </w:rPr>
        <w:t xml:space="preserve"> telephone service</w:t>
      </w:r>
      <w:r w:rsidRPr="00571E3B">
        <w:rPr>
          <w:color w:val="000000" w:themeColor="text1"/>
        </w:rPr>
        <w:t xml:space="preserve"> means a carriage service with which end</w:t>
      </w:r>
      <w:r w:rsidRPr="00571E3B">
        <w:rPr>
          <w:color w:val="000000" w:themeColor="text1"/>
        </w:rPr>
        <w:noBreakHyphen/>
        <w:t>users make calls via a satellite</w:t>
      </w:r>
      <w:r w:rsidRPr="00571E3B">
        <w:rPr>
          <w:color w:val="000000" w:themeColor="text1"/>
        </w:rPr>
        <w:noBreakHyphen/>
        <w:t>based facility.</w:t>
      </w:r>
    </w:p>
    <w:p w14:paraId="5EFFE854" w14:textId="77777777" w:rsidR="005D12F0" w:rsidRPr="00571E3B" w:rsidDel="00052E0E" w:rsidRDefault="005D12F0" w:rsidP="005D12F0">
      <w:pPr>
        <w:pStyle w:val="Definition"/>
        <w:rPr>
          <w:color w:val="000000" w:themeColor="text1"/>
        </w:rPr>
      </w:pPr>
      <w:r w:rsidRPr="00571E3B" w:rsidDel="00052E0E">
        <w:rPr>
          <w:b/>
          <w:i/>
          <w:color w:val="000000" w:themeColor="text1"/>
        </w:rPr>
        <w:t>SMS message</w:t>
      </w:r>
      <w:r w:rsidRPr="00571E3B" w:rsidDel="00052E0E">
        <w:rPr>
          <w:color w:val="000000" w:themeColor="text1"/>
        </w:rPr>
        <w:t xml:space="preserve"> means a message or series of messages sent using a short message service.</w:t>
      </w:r>
    </w:p>
    <w:p w14:paraId="5EFFE855" w14:textId="77777777" w:rsidR="005D12F0" w:rsidRPr="00571E3B" w:rsidRDefault="005D12F0" w:rsidP="005D12F0">
      <w:pPr>
        <w:pStyle w:val="ActHead2"/>
        <w:rPr>
          <w:rStyle w:val="CharPartText"/>
          <w:color w:val="000000" w:themeColor="text1"/>
        </w:rPr>
      </w:pPr>
      <w:bookmarkStart w:id="7" w:name="_Toc454512517"/>
      <w:r w:rsidRPr="00571E3B">
        <w:rPr>
          <w:rStyle w:val="CharPartNo"/>
          <w:color w:val="000000" w:themeColor="text1"/>
        </w:rPr>
        <w:t>Part 2</w:t>
      </w:r>
      <w:r w:rsidRPr="00571E3B">
        <w:rPr>
          <w:color w:val="000000" w:themeColor="text1"/>
        </w:rPr>
        <w:t>—</w:t>
      </w:r>
      <w:r w:rsidRPr="00571E3B">
        <w:rPr>
          <w:rStyle w:val="CharPartText"/>
          <w:color w:val="000000" w:themeColor="text1"/>
        </w:rPr>
        <w:t>Direction to the ACMA</w:t>
      </w:r>
    </w:p>
    <w:p w14:paraId="5EFFE856" w14:textId="77777777" w:rsidR="005D12F0" w:rsidRPr="00571E3B" w:rsidRDefault="005D12F0" w:rsidP="005D12F0">
      <w:pPr>
        <w:pStyle w:val="ActHead3"/>
        <w:rPr>
          <w:rStyle w:val="CharDivNo"/>
          <w:color w:val="000000" w:themeColor="text1"/>
        </w:rPr>
      </w:pPr>
      <w:r w:rsidRPr="00571E3B">
        <w:rPr>
          <w:rStyle w:val="CharDivNo"/>
          <w:color w:val="000000" w:themeColor="text1"/>
        </w:rPr>
        <w:t>Division 1—Direction</w:t>
      </w:r>
    </w:p>
    <w:p w14:paraId="5EFFE857" w14:textId="77777777" w:rsidR="005D12F0" w:rsidRPr="00571E3B" w:rsidRDefault="005D12F0" w:rsidP="005D12F0">
      <w:pPr>
        <w:pStyle w:val="ActHead5"/>
        <w:rPr>
          <w:color w:val="000000" w:themeColor="text1"/>
        </w:rPr>
      </w:pPr>
      <w:proofErr w:type="gramStart"/>
      <w:r w:rsidRPr="00571E3B">
        <w:rPr>
          <w:color w:val="000000" w:themeColor="text1"/>
        </w:rPr>
        <w:t>5  Direction</w:t>
      </w:r>
      <w:proofErr w:type="gramEnd"/>
      <w:r w:rsidRPr="00571E3B">
        <w:rPr>
          <w:color w:val="000000" w:themeColor="text1"/>
        </w:rPr>
        <w:t xml:space="preserve"> on industry standard </w:t>
      </w:r>
      <w:bookmarkEnd w:id="7"/>
    </w:p>
    <w:p w14:paraId="5EFFE858" w14:textId="77777777" w:rsidR="005D12F0" w:rsidRPr="00571E3B" w:rsidRDefault="005D12F0" w:rsidP="005D12F0">
      <w:pPr>
        <w:pStyle w:val="paragraph"/>
        <w:ind w:left="1140" w:firstLine="0"/>
        <w:rPr>
          <w:color w:val="000000" w:themeColor="text1"/>
        </w:rPr>
      </w:pPr>
    </w:p>
    <w:p w14:paraId="5EFFE859" w14:textId="77777777" w:rsidR="005D12F0" w:rsidRPr="00571E3B" w:rsidRDefault="005D12F0" w:rsidP="005D12F0">
      <w:pPr>
        <w:pStyle w:val="paragraph"/>
        <w:numPr>
          <w:ilvl w:val="0"/>
          <w:numId w:val="1"/>
        </w:numPr>
        <w:rPr>
          <w:color w:val="000000" w:themeColor="text1"/>
        </w:rPr>
      </w:pPr>
      <w:r w:rsidRPr="00571E3B">
        <w:rPr>
          <w:color w:val="000000" w:themeColor="text1"/>
        </w:rPr>
        <w:t xml:space="preserve">I direct the ACMA to determine an industry standard under subsection </w:t>
      </w:r>
      <w:proofErr w:type="gramStart"/>
      <w:r w:rsidRPr="00571E3B">
        <w:rPr>
          <w:color w:val="000000" w:themeColor="text1"/>
        </w:rPr>
        <w:t>125AA(</w:t>
      </w:r>
      <w:proofErr w:type="gramEnd"/>
      <w:r w:rsidRPr="00571E3B">
        <w:rPr>
          <w:color w:val="000000" w:themeColor="text1"/>
        </w:rPr>
        <w:t>1) of the Act that complies with Division 2 of this Part.</w:t>
      </w:r>
    </w:p>
    <w:p w14:paraId="5EFFE85A" w14:textId="77777777" w:rsidR="005D12F0" w:rsidRPr="00571E3B" w:rsidRDefault="005D12F0" w:rsidP="005D12F0">
      <w:pPr>
        <w:pStyle w:val="notetext"/>
        <w:ind w:left="2160" w:hanging="1020"/>
        <w:rPr>
          <w:color w:val="000000" w:themeColor="text1"/>
        </w:rPr>
      </w:pPr>
      <w:r w:rsidRPr="00571E3B">
        <w:rPr>
          <w:color w:val="000000" w:themeColor="text1"/>
        </w:rPr>
        <w:t>Note:</w:t>
      </w:r>
      <w:r w:rsidRPr="00571E3B">
        <w:rPr>
          <w:color w:val="000000" w:themeColor="text1"/>
        </w:rPr>
        <w:tab/>
        <w:t xml:space="preserve">The ACMA may comply with this subsection by determining one or more industry standards: see paragraph 23(b) of the </w:t>
      </w:r>
      <w:r w:rsidRPr="00571E3B">
        <w:rPr>
          <w:i/>
          <w:color w:val="000000" w:themeColor="text1"/>
        </w:rPr>
        <w:t>Acts Interpretation Act 1901</w:t>
      </w:r>
      <w:r w:rsidRPr="00571E3B">
        <w:rPr>
          <w:color w:val="000000" w:themeColor="text1"/>
        </w:rPr>
        <w:t xml:space="preserve">. </w:t>
      </w:r>
    </w:p>
    <w:p w14:paraId="5EFFE85B" w14:textId="77777777" w:rsidR="005D12F0" w:rsidRPr="00571E3B" w:rsidRDefault="005D12F0" w:rsidP="005D12F0">
      <w:pPr>
        <w:pStyle w:val="subsection"/>
        <w:rPr>
          <w:color w:val="000000" w:themeColor="text1"/>
        </w:rPr>
      </w:pPr>
      <w:r w:rsidRPr="00571E3B">
        <w:rPr>
          <w:color w:val="000000" w:themeColor="text1"/>
        </w:rPr>
        <w:tab/>
        <w:t>(2)</w:t>
      </w:r>
      <w:r w:rsidRPr="00571E3B">
        <w:rPr>
          <w:color w:val="000000" w:themeColor="text1"/>
        </w:rPr>
        <w:tab/>
        <w:t>An industry standard referred to in subsection 5(1) is to:</w:t>
      </w:r>
    </w:p>
    <w:p w14:paraId="5EFFE85C" w14:textId="5479D408" w:rsidR="005D12F0" w:rsidRPr="00571E3B" w:rsidRDefault="005D12F0" w:rsidP="005D12F0">
      <w:pPr>
        <w:pStyle w:val="paragraph"/>
        <w:rPr>
          <w:color w:val="000000" w:themeColor="text1"/>
        </w:rPr>
      </w:pPr>
      <w:r w:rsidRPr="00571E3B">
        <w:rPr>
          <w:color w:val="000000" w:themeColor="text1"/>
        </w:rPr>
        <w:tab/>
      </w:r>
      <w:r w:rsidRPr="005D12F0">
        <w:rPr>
          <w:color w:val="000000" w:themeColor="text1"/>
        </w:rPr>
        <w:t>(a)</w:t>
      </w:r>
      <w:r w:rsidRPr="005D12F0">
        <w:rPr>
          <w:color w:val="000000" w:themeColor="text1"/>
        </w:rPr>
        <w:tab/>
      </w:r>
      <w:proofErr w:type="gramStart"/>
      <w:r w:rsidRPr="005D12F0">
        <w:rPr>
          <w:color w:val="000000" w:themeColor="text1"/>
        </w:rPr>
        <w:t>be</w:t>
      </w:r>
      <w:proofErr w:type="gramEnd"/>
      <w:r w:rsidRPr="005D12F0">
        <w:rPr>
          <w:color w:val="000000" w:themeColor="text1"/>
        </w:rPr>
        <w:t xml:space="preserve"> determined by </w:t>
      </w:r>
      <w:r w:rsidR="0062333C">
        <w:rPr>
          <w:color w:val="000000" w:themeColor="text1"/>
        </w:rPr>
        <w:t xml:space="preserve">28 February </w:t>
      </w:r>
      <w:r w:rsidRPr="005D12F0">
        <w:rPr>
          <w:color w:val="000000" w:themeColor="text1"/>
        </w:rPr>
        <w:t>2020; and</w:t>
      </w:r>
    </w:p>
    <w:p w14:paraId="5EFFE85D" w14:textId="3B89126D" w:rsidR="005D12F0" w:rsidRPr="00571E3B" w:rsidRDefault="005D12F0" w:rsidP="005D12F0">
      <w:pPr>
        <w:pStyle w:val="paragraph"/>
        <w:rPr>
          <w:color w:val="000000" w:themeColor="text1"/>
        </w:rPr>
      </w:pPr>
      <w:r w:rsidRPr="00571E3B">
        <w:rPr>
          <w:color w:val="000000" w:themeColor="text1"/>
        </w:rPr>
        <w:tab/>
        <w:t>(b)</w:t>
      </w:r>
      <w:r w:rsidRPr="00571E3B">
        <w:rPr>
          <w:color w:val="000000" w:themeColor="text1"/>
        </w:rPr>
        <w:tab/>
      </w:r>
      <w:proofErr w:type="gramStart"/>
      <w:r w:rsidRPr="00571E3B">
        <w:rPr>
          <w:color w:val="000000" w:themeColor="text1"/>
        </w:rPr>
        <w:t>commence</w:t>
      </w:r>
      <w:proofErr w:type="gramEnd"/>
      <w:r w:rsidRPr="00571E3B">
        <w:rPr>
          <w:color w:val="000000" w:themeColor="text1"/>
        </w:rPr>
        <w:t xml:space="preserve"> in whole by </w:t>
      </w:r>
      <w:r w:rsidR="0062333C">
        <w:rPr>
          <w:color w:val="000000" w:themeColor="text1"/>
        </w:rPr>
        <w:t xml:space="preserve">30 April </w:t>
      </w:r>
      <w:r w:rsidRPr="00571E3B">
        <w:rPr>
          <w:color w:val="000000" w:themeColor="text1"/>
        </w:rPr>
        <w:t>2020.</w:t>
      </w:r>
    </w:p>
    <w:p w14:paraId="5EFFE85E" w14:textId="77777777" w:rsidR="005D12F0" w:rsidRPr="00571E3B" w:rsidRDefault="005D12F0" w:rsidP="005D12F0">
      <w:pPr>
        <w:pStyle w:val="subsection"/>
        <w:rPr>
          <w:color w:val="000000" w:themeColor="text1"/>
        </w:rPr>
      </w:pPr>
      <w:r w:rsidRPr="00571E3B">
        <w:rPr>
          <w:color w:val="000000" w:themeColor="text1"/>
        </w:rPr>
        <w:tab/>
        <w:t>(3)</w:t>
      </w:r>
      <w:r w:rsidRPr="00571E3B">
        <w:rPr>
          <w:color w:val="000000" w:themeColor="text1"/>
        </w:rPr>
        <w:tab/>
        <w:t>In determining an industry standard for the purposes of subsection 5(1), I direct the ACMA to consider conferring functions and powers</w:t>
      </w:r>
      <w:r>
        <w:rPr>
          <w:color w:val="000000" w:themeColor="text1"/>
        </w:rPr>
        <w:t xml:space="preserve"> </w:t>
      </w:r>
      <w:r w:rsidRPr="00571E3B">
        <w:rPr>
          <w:color w:val="000000" w:themeColor="text1"/>
        </w:rPr>
        <w:t xml:space="preserve">on the Telecommunications Industry Ombudsman in respect of customer complaints about unauthorised 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 xml:space="preserve">orting of mobile </w:t>
      </w:r>
      <w:r w:rsidRPr="008D443F">
        <w:rPr>
          <w:color w:val="000000" w:themeColor="text1"/>
        </w:rPr>
        <w:t>service</w:t>
      </w:r>
      <w:r>
        <w:rPr>
          <w:color w:val="000000" w:themeColor="text1"/>
        </w:rPr>
        <w:t xml:space="preserve"> </w:t>
      </w:r>
      <w:r w:rsidRPr="00571E3B">
        <w:rPr>
          <w:color w:val="000000" w:themeColor="text1"/>
        </w:rPr>
        <w:t>numbers.</w:t>
      </w:r>
    </w:p>
    <w:p w14:paraId="5EFFE85F" w14:textId="77777777" w:rsidR="005D12F0" w:rsidRDefault="005D12F0" w:rsidP="005D12F0">
      <w:pPr>
        <w:pStyle w:val="notetext"/>
        <w:ind w:left="2160" w:hanging="1020"/>
        <w:rPr>
          <w:color w:val="000000" w:themeColor="text1"/>
        </w:rPr>
      </w:pPr>
      <w:r w:rsidRPr="00571E3B">
        <w:rPr>
          <w:color w:val="000000" w:themeColor="text1"/>
        </w:rPr>
        <w:t xml:space="preserve">Note: </w:t>
      </w:r>
      <w:r w:rsidRPr="00571E3B">
        <w:rPr>
          <w:color w:val="000000" w:themeColor="text1"/>
        </w:rPr>
        <w:tab/>
        <w:t>If the Telecommunications Industry Ombudsman consents, an industry standard may confer functions and powers on the Telecommunications Industry Ombudsman: see section 114 of the Act.</w:t>
      </w:r>
    </w:p>
    <w:p w14:paraId="5EFFE860" w14:textId="77777777" w:rsidR="005D12F0" w:rsidRPr="00571E3B" w:rsidRDefault="005D12F0" w:rsidP="005D12F0">
      <w:pPr>
        <w:pStyle w:val="ActHead3"/>
        <w:rPr>
          <w:rStyle w:val="CharDivNo"/>
          <w:color w:val="000000" w:themeColor="text1"/>
        </w:rPr>
      </w:pPr>
      <w:r w:rsidRPr="00571E3B">
        <w:rPr>
          <w:rStyle w:val="CharDivNo"/>
          <w:color w:val="000000" w:themeColor="text1"/>
        </w:rPr>
        <w:t xml:space="preserve">Division 2—Industry standard relating to the mobile </w:t>
      </w:r>
      <w:r>
        <w:rPr>
          <w:rStyle w:val="CharDivNo"/>
          <w:color w:val="000000" w:themeColor="text1"/>
        </w:rPr>
        <w:t xml:space="preserve">service </w:t>
      </w:r>
      <w:r w:rsidRPr="00571E3B">
        <w:rPr>
          <w:rStyle w:val="CharDivNo"/>
          <w:color w:val="000000" w:themeColor="text1"/>
        </w:rPr>
        <w:t>number pre-</w:t>
      </w:r>
      <w:r>
        <w:rPr>
          <w:rStyle w:val="CharDivNo"/>
          <w:color w:val="000000" w:themeColor="text1"/>
        </w:rPr>
        <w:t>P</w:t>
      </w:r>
      <w:r w:rsidRPr="00571E3B">
        <w:rPr>
          <w:rStyle w:val="CharDivNo"/>
          <w:color w:val="000000" w:themeColor="text1"/>
        </w:rPr>
        <w:t xml:space="preserve">orting </w:t>
      </w:r>
      <w:r>
        <w:rPr>
          <w:rStyle w:val="CharDivNo"/>
          <w:color w:val="000000" w:themeColor="text1"/>
        </w:rPr>
        <w:t xml:space="preserve">additional </w:t>
      </w:r>
      <w:r w:rsidRPr="00571E3B">
        <w:rPr>
          <w:rStyle w:val="CharDivNo"/>
          <w:color w:val="000000" w:themeColor="text1"/>
        </w:rPr>
        <w:t>identity verification and consumer awareness and safeguard information by mobile carriage service providers</w:t>
      </w:r>
    </w:p>
    <w:p w14:paraId="5EFFE861" w14:textId="77777777" w:rsidR="005D12F0" w:rsidRPr="00571E3B" w:rsidRDefault="005D12F0" w:rsidP="005D12F0">
      <w:pPr>
        <w:pStyle w:val="Header"/>
        <w:rPr>
          <w:rStyle w:val="CharDivText"/>
          <w:color w:val="000000" w:themeColor="text1"/>
        </w:rPr>
      </w:pPr>
      <w:r w:rsidRPr="00571E3B">
        <w:rPr>
          <w:rStyle w:val="CharDivText"/>
          <w:color w:val="000000" w:themeColor="text1"/>
        </w:rPr>
        <w:t xml:space="preserve"> </w:t>
      </w:r>
    </w:p>
    <w:p w14:paraId="5EFFE862" w14:textId="77777777" w:rsidR="005D12F0" w:rsidRPr="00571E3B" w:rsidRDefault="005D12F0" w:rsidP="005D12F0">
      <w:pPr>
        <w:pStyle w:val="ActHead5"/>
        <w:ind w:left="0" w:firstLine="0"/>
        <w:rPr>
          <w:color w:val="000000" w:themeColor="text1"/>
        </w:rPr>
      </w:pPr>
      <w:proofErr w:type="gramStart"/>
      <w:r w:rsidRPr="00571E3B">
        <w:rPr>
          <w:color w:val="000000" w:themeColor="text1"/>
        </w:rPr>
        <w:t>6  Pre</w:t>
      </w:r>
      <w:proofErr w:type="gramEnd"/>
      <w:r w:rsidRPr="00571E3B">
        <w:rPr>
          <w:color w:val="000000" w:themeColor="text1"/>
        </w:rPr>
        <w:t>-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 xml:space="preserve">orting identity verification </w:t>
      </w:r>
    </w:p>
    <w:p w14:paraId="5EFFE863" w14:textId="77777777" w:rsidR="005D12F0" w:rsidRPr="00571E3B" w:rsidRDefault="005D12F0" w:rsidP="005D12F0">
      <w:pPr>
        <w:pStyle w:val="subsection"/>
        <w:rPr>
          <w:color w:val="000000" w:themeColor="text1"/>
        </w:rPr>
      </w:pPr>
      <w:r w:rsidRPr="00571E3B">
        <w:rPr>
          <w:color w:val="000000" w:themeColor="text1"/>
        </w:rPr>
        <w:tab/>
        <w:t>(1)</w:t>
      </w:r>
      <w:r w:rsidRPr="00571E3B">
        <w:rPr>
          <w:color w:val="000000" w:themeColor="text1"/>
        </w:rPr>
        <w:tab/>
        <w:t>The industry standard must:</w:t>
      </w:r>
    </w:p>
    <w:p w14:paraId="5EFFE864" w14:textId="77777777" w:rsidR="005D12F0" w:rsidRPr="00571E3B" w:rsidRDefault="005D12F0" w:rsidP="005D12F0">
      <w:pPr>
        <w:pStyle w:val="paragraph"/>
        <w:rPr>
          <w:color w:val="000000" w:themeColor="text1"/>
        </w:rPr>
      </w:pPr>
      <w:r w:rsidRPr="00571E3B">
        <w:rPr>
          <w:color w:val="000000" w:themeColor="text1"/>
        </w:rPr>
        <w:tab/>
        <w:t>(a)</w:t>
      </w:r>
      <w:r w:rsidRPr="00571E3B">
        <w:rPr>
          <w:color w:val="000000" w:themeColor="text1"/>
        </w:rPr>
        <w:tab/>
      </w:r>
      <w:proofErr w:type="gramStart"/>
      <w:r w:rsidRPr="00571E3B">
        <w:rPr>
          <w:color w:val="000000" w:themeColor="text1"/>
        </w:rPr>
        <w:t>apply</w:t>
      </w:r>
      <w:proofErr w:type="gramEnd"/>
      <w:r w:rsidRPr="00571E3B">
        <w:rPr>
          <w:color w:val="000000" w:themeColor="text1"/>
        </w:rPr>
        <w:t xml:space="preserve"> to mobile carriage service providers who supply public mobile telecommunications services; </w:t>
      </w:r>
    </w:p>
    <w:p w14:paraId="5EFFE865" w14:textId="77777777" w:rsidR="005D12F0" w:rsidRPr="00571E3B" w:rsidRDefault="005D12F0" w:rsidP="005D12F0">
      <w:pPr>
        <w:pStyle w:val="paragraph"/>
        <w:rPr>
          <w:color w:val="000000" w:themeColor="text1"/>
        </w:rPr>
      </w:pPr>
      <w:r w:rsidRPr="00571E3B">
        <w:rPr>
          <w:color w:val="000000" w:themeColor="text1"/>
        </w:rPr>
        <w:tab/>
        <w:t>(b)</w:t>
      </w:r>
      <w:r w:rsidRPr="00571E3B">
        <w:rPr>
          <w:color w:val="000000" w:themeColor="text1"/>
        </w:rPr>
        <w:tab/>
      </w:r>
      <w:proofErr w:type="gramStart"/>
      <w:r w:rsidRPr="00571E3B">
        <w:rPr>
          <w:color w:val="000000" w:themeColor="text1"/>
        </w:rPr>
        <w:t>state</w:t>
      </w:r>
      <w:proofErr w:type="gramEnd"/>
      <w:r w:rsidRPr="00571E3B">
        <w:rPr>
          <w:color w:val="000000" w:themeColor="text1"/>
        </w:rPr>
        <w:t xml:space="preserve"> that its objectives are, without limitation, to:</w:t>
      </w:r>
    </w:p>
    <w:p w14:paraId="5EFFE866" w14:textId="77777777" w:rsidR="005D12F0" w:rsidRPr="00571E3B" w:rsidRDefault="005D12F0" w:rsidP="005D12F0">
      <w:pPr>
        <w:pStyle w:val="paragraph"/>
        <w:numPr>
          <w:ilvl w:val="0"/>
          <w:numId w:val="4"/>
        </w:numPr>
        <w:rPr>
          <w:color w:val="000000" w:themeColor="text1"/>
        </w:rPr>
      </w:pPr>
      <w:r w:rsidRPr="00571E3B">
        <w:rPr>
          <w:color w:val="000000" w:themeColor="text1"/>
        </w:rPr>
        <w:t xml:space="preserve">prevent the unauthorised 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 xml:space="preserve">orting of 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t>numbers;</w:t>
      </w:r>
    </w:p>
    <w:p w14:paraId="5EFFE867" w14:textId="77777777" w:rsidR="005D12F0" w:rsidRPr="00571E3B" w:rsidRDefault="005D12F0" w:rsidP="005D12F0">
      <w:pPr>
        <w:pStyle w:val="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reduce </w:t>
      </w:r>
      <w:r w:rsidRPr="00571E3B">
        <w:rPr>
          <w:color w:val="000000" w:themeColor="text1"/>
        </w:rPr>
        <w:t xml:space="preserve">harm to customers arising from the unauthorised 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 xml:space="preserve">orting of 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t>numbers;</w:t>
      </w:r>
    </w:p>
    <w:p w14:paraId="5EFFE868" w14:textId="77777777" w:rsidR="005D12F0" w:rsidRPr="00571E3B" w:rsidRDefault="005D12F0" w:rsidP="005D12F0">
      <w:pPr>
        <w:pStyle w:val="paragraph"/>
        <w:rPr>
          <w:color w:val="000000" w:themeColor="text1"/>
        </w:rPr>
      </w:pPr>
      <w:r w:rsidRPr="00571E3B">
        <w:rPr>
          <w:color w:val="000000" w:themeColor="text1"/>
        </w:rPr>
        <w:tab/>
        <w:t xml:space="preserve">                        (c) </w:t>
      </w:r>
      <w:proofErr w:type="gramStart"/>
      <w:r w:rsidRPr="00571E3B">
        <w:rPr>
          <w:color w:val="000000" w:themeColor="text1"/>
        </w:rPr>
        <w:t>require</w:t>
      </w:r>
      <w:proofErr w:type="gramEnd"/>
      <w:r w:rsidRPr="00571E3B">
        <w:rPr>
          <w:color w:val="000000" w:themeColor="text1"/>
        </w:rPr>
        <w:t xml:space="preserve"> </w:t>
      </w:r>
      <w:r>
        <w:rPr>
          <w:color w:val="000000" w:themeColor="text1"/>
        </w:rPr>
        <w:t>Gaining CSPs</w:t>
      </w:r>
      <w:r w:rsidRPr="00571E3B">
        <w:rPr>
          <w:color w:val="000000" w:themeColor="text1"/>
        </w:rPr>
        <w:t xml:space="preserve">, prior to </w:t>
      </w:r>
      <w:r w:rsidR="000D58CE">
        <w:rPr>
          <w:color w:val="000000" w:themeColor="text1"/>
        </w:rPr>
        <w:t>accepting</w:t>
      </w:r>
      <w:r w:rsidRPr="00571E3B">
        <w:rPr>
          <w:color w:val="000000" w:themeColor="text1"/>
        </w:rPr>
        <w:t xml:space="preserve"> the 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 xml:space="preserve">ort of a particular 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t xml:space="preserve">number, </w:t>
      </w:r>
      <w:r>
        <w:rPr>
          <w:color w:val="000000" w:themeColor="text1"/>
        </w:rPr>
        <w:t xml:space="preserve">to </w:t>
      </w:r>
      <w:r w:rsidRPr="00571E3B">
        <w:rPr>
          <w:color w:val="000000" w:themeColor="text1"/>
        </w:rPr>
        <w:t>us</w:t>
      </w:r>
      <w:r>
        <w:rPr>
          <w:color w:val="000000" w:themeColor="text1"/>
        </w:rPr>
        <w:t xml:space="preserve">e </w:t>
      </w:r>
      <w:r w:rsidRPr="00571E3B">
        <w:rPr>
          <w:color w:val="000000" w:themeColor="text1"/>
        </w:rPr>
        <w:t xml:space="preserve">one of the </w:t>
      </w:r>
      <w:r>
        <w:rPr>
          <w:color w:val="000000" w:themeColor="text1"/>
        </w:rPr>
        <w:t xml:space="preserve">applicable </w:t>
      </w:r>
      <w:r w:rsidRPr="00571E3B">
        <w:rPr>
          <w:color w:val="000000" w:themeColor="text1"/>
        </w:rPr>
        <w:t xml:space="preserve">identity verification processes specified in the </w:t>
      </w:r>
      <w:r w:rsidR="00AC3AFE">
        <w:rPr>
          <w:color w:val="000000" w:themeColor="text1"/>
        </w:rPr>
        <w:t xml:space="preserve">industry </w:t>
      </w:r>
      <w:r w:rsidRPr="00571E3B">
        <w:rPr>
          <w:color w:val="000000" w:themeColor="text1"/>
        </w:rPr>
        <w:t xml:space="preserve">standard; </w:t>
      </w:r>
      <w:r>
        <w:rPr>
          <w:color w:val="000000" w:themeColor="text1"/>
        </w:rPr>
        <w:t>and</w:t>
      </w:r>
    </w:p>
    <w:p w14:paraId="5EFFE869" w14:textId="77777777" w:rsidR="005D12F0" w:rsidRPr="00571E3B" w:rsidRDefault="005D12F0" w:rsidP="005D12F0">
      <w:pPr>
        <w:pStyle w:val="paragraph"/>
        <w:rPr>
          <w:color w:val="000000" w:themeColor="text1"/>
        </w:rPr>
      </w:pPr>
      <w:r w:rsidRPr="00571E3B">
        <w:rPr>
          <w:rFonts w:ascii="Arial Narrow" w:hAnsi="Arial Narrow"/>
          <w:i/>
          <w:color w:val="000000" w:themeColor="text1"/>
        </w:rPr>
        <w:tab/>
      </w:r>
      <w:r w:rsidRPr="00571E3B">
        <w:rPr>
          <w:color w:val="000000" w:themeColor="text1"/>
        </w:rPr>
        <w:t xml:space="preserve">                        (d) </w:t>
      </w:r>
      <w:proofErr w:type="gramStart"/>
      <w:r w:rsidRPr="00571E3B">
        <w:rPr>
          <w:color w:val="000000" w:themeColor="text1"/>
        </w:rPr>
        <w:t>require</w:t>
      </w:r>
      <w:proofErr w:type="gramEnd"/>
      <w:r w:rsidRPr="00571E3B">
        <w:rPr>
          <w:color w:val="000000" w:themeColor="text1"/>
        </w:rPr>
        <w:t xml:space="preserve"> mobile carriage service providers to not proceed with a 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t xml:space="preserve">number 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 xml:space="preserve">ort unless one of the </w:t>
      </w:r>
      <w:r>
        <w:rPr>
          <w:color w:val="000000" w:themeColor="text1"/>
        </w:rPr>
        <w:t xml:space="preserve">applicable </w:t>
      </w:r>
      <w:r w:rsidRPr="00571E3B">
        <w:rPr>
          <w:color w:val="000000" w:themeColor="text1"/>
        </w:rPr>
        <w:t xml:space="preserve">identity verification processes specified in the </w:t>
      </w:r>
      <w:r w:rsidR="00AC3AFE">
        <w:rPr>
          <w:color w:val="000000" w:themeColor="text1"/>
        </w:rPr>
        <w:t xml:space="preserve">industry </w:t>
      </w:r>
      <w:r w:rsidRPr="00571E3B">
        <w:rPr>
          <w:color w:val="000000" w:themeColor="text1"/>
        </w:rPr>
        <w:t>standard</w:t>
      </w:r>
      <w:r>
        <w:rPr>
          <w:color w:val="000000" w:themeColor="text1"/>
        </w:rPr>
        <w:t xml:space="preserve"> has been used by the Gaining CSP. </w:t>
      </w:r>
    </w:p>
    <w:p w14:paraId="5EFFE86A" w14:textId="77777777" w:rsidR="005D12F0" w:rsidRPr="00571E3B" w:rsidRDefault="005D12F0" w:rsidP="005D12F0">
      <w:pPr>
        <w:pStyle w:val="paragraph"/>
        <w:rPr>
          <w:color w:val="000000" w:themeColor="text1"/>
          <w:sz w:val="4"/>
          <w:szCs w:val="4"/>
        </w:rPr>
      </w:pPr>
      <w:r w:rsidRPr="00571E3B">
        <w:rPr>
          <w:color w:val="000000" w:themeColor="text1"/>
        </w:rPr>
        <w:t xml:space="preserve">                                   </w:t>
      </w:r>
    </w:p>
    <w:p w14:paraId="5EFFE86B" w14:textId="77777777" w:rsidR="005D12F0" w:rsidRDefault="005D12F0" w:rsidP="005D12F0">
      <w:pPr>
        <w:pStyle w:val="subsection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571E3B">
        <w:rPr>
          <w:color w:val="000000" w:themeColor="text1"/>
        </w:rPr>
        <w:t xml:space="preserve">For the purposes of paragraph 6(1)(c), </w:t>
      </w:r>
      <w:r>
        <w:rPr>
          <w:color w:val="000000" w:themeColor="text1"/>
        </w:rPr>
        <w:t xml:space="preserve">in specifying </w:t>
      </w:r>
      <w:r w:rsidRPr="00571E3B">
        <w:rPr>
          <w:color w:val="000000" w:themeColor="text1"/>
        </w:rPr>
        <w:t>identity verification processes in the industry standard</w:t>
      </w:r>
      <w:r>
        <w:rPr>
          <w:color w:val="000000" w:themeColor="text1"/>
        </w:rPr>
        <w:t xml:space="preserve">, ACMA </w:t>
      </w:r>
      <w:r w:rsidRPr="00571E3B">
        <w:rPr>
          <w:color w:val="000000" w:themeColor="text1"/>
        </w:rPr>
        <w:t>m</w:t>
      </w:r>
      <w:r w:rsidRPr="00222A0A">
        <w:rPr>
          <w:color w:val="000000" w:themeColor="text1"/>
        </w:rPr>
        <w:t>ust</w:t>
      </w:r>
      <w:r>
        <w:rPr>
          <w:color w:val="000000" w:themeColor="text1"/>
        </w:rPr>
        <w:t>:</w:t>
      </w:r>
    </w:p>
    <w:p w14:paraId="5EFFE86C" w14:textId="77777777" w:rsidR="005D12F0" w:rsidRPr="00571E3B" w:rsidRDefault="005D12F0" w:rsidP="005D12F0">
      <w:pPr>
        <w:pStyle w:val="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  specify those which </w:t>
      </w:r>
      <w:r w:rsidRPr="00222A0A">
        <w:rPr>
          <w:color w:val="000000" w:themeColor="text1"/>
        </w:rPr>
        <w:t>the ACMA considers to be necessary to achieve the objectives set out in paragraph 6(1)(b)</w:t>
      </w:r>
      <w:r>
        <w:rPr>
          <w:color w:val="000000" w:themeColor="text1"/>
        </w:rPr>
        <w:t xml:space="preserve"> and which:</w:t>
      </w:r>
    </w:p>
    <w:p w14:paraId="5EFFE86D" w14:textId="77777777" w:rsidR="005D12F0" w:rsidRPr="00571E3B" w:rsidRDefault="005D12F0" w:rsidP="005D12F0">
      <w:pPr>
        <w:pStyle w:val="paragraph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are </w:t>
      </w:r>
      <w:r w:rsidRPr="00571E3B">
        <w:rPr>
          <w:color w:val="000000" w:themeColor="text1"/>
        </w:rPr>
        <w:t>practicable</w:t>
      </w:r>
      <w:r>
        <w:rPr>
          <w:color w:val="000000" w:themeColor="text1"/>
        </w:rPr>
        <w:t>;</w:t>
      </w:r>
    </w:p>
    <w:p w14:paraId="5EFFE86E" w14:textId="77777777" w:rsidR="005D12F0" w:rsidRPr="00983881" w:rsidRDefault="005D12F0" w:rsidP="005D12F0">
      <w:pPr>
        <w:pStyle w:val="paragraph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are </w:t>
      </w:r>
      <w:r w:rsidRPr="00983881">
        <w:rPr>
          <w:color w:val="000000" w:themeColor="text1"/>
        </w:rPr>
        <w:t>robust;</w:t>
      </w:r>
    </w:p>
    <w:p w14:paraId="5EFFE86F" w14:textId="77777777" w:rsidR="005D12F0" w:rsidRPr="00571E3B" w:rsidRDefault="005D12F0" w:rsidP="005D12F0">
      <w:pPr>
        <w:pStyle w:val="paragraph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are </w:t>
      </w:r>
      <w:r w:rsidRPr="00571E3B">
        <w:rPr>
          <w:color w:val="000000" w:themeColor="text1"/>
        </w:rPr>
        <w:t xml:space="preserve">technically feasible; and </w:t>
      </w:r>
    </w:p>
    <w:p w14:paraId="5EFFE870" w14:textId="77777777" w:rsidR="005D12F0" w:rsidRDefault="005D12F0" w:rsidP="005D12F0">
      <w:pPr>
        <w:pStyle w:val="paragraph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do </w:t>
      </w:r>
      <w:r w:rsidRPr="00571E3B">
        <w:rPr>
          <w:color w:val="000000" w:themeColor="text1"/>
        </w:rPr>
        <w:t xml:space="preserve">not </w:t>
      </w:r>
      <w:r>
        <w:rPr>
          <w:color w:val="000000" w:themeColor="text1"/>
        </w:rPr>
        <w:t>impose undue financial and administrative burdens;</w:t>
      </w:r>
    </w:p>
    <w:p w14:paraId="5EFFE871" w14:textId="77777777" w:rsidR="005D12F0" w:rsidRPr="00571E3B" w:rsidRDefault="005D12F0" w:rsidP="005D12F0">
      <w:pPr>
        <w:pStyle w:val="paragraph"/>
        <w:numPr>
          <w:ilvl w:val="0"/>
          <w:numId w:val="7"/>
        </w:numPr>
        <w:rPr>
          <w:color w:val="000000" w:themeColor="text1"/>
        </w:rPr>
      </w:pPr>
      <w:proofErr w:type="gramStart"/>
      <w:r w:rsidRPr="00571E3B">
        <w:rPr>
          <w:color w:val="000000" w:themeColor="text1"/>
        </w:rPr>
        <w:t>have</w:t>
      </w:r>
      <w:proofErr w:type="gramEnd"/>
      <w:r w:rsidRPr="00571E3B">
        <w:rPr>
          <w:color w:val="000000" w:themeColor="text1"/>
        </w:rPr>
        <w:t xml:space="preserve"> regard to</w:t>
      </w:r>
      <w:r>
        <w:rPr>
          <w:color w:val="000000" w:themeColor="text1"/>
        </w:rPr>
        <w:t xml:space="preserve"> the existing identity verification processes that mobile carriage service providers may have already implemented or are in the process of implementing.</w:t>
      </w:r>
    </w:p>
    <w:p w14:paraId="5EFFE872" w14:textId="77777777" w:rsidR="005D12F0" w:rsidRPr="00571E3B" w:rsidRDefault="005D12F0" w:rsidP="005D12F0">
      <w:pPr>
        <w:pStyle w:val="subsection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571E3B">
        <w:rPr>
          <w:color w:val="000000" w:themeColor="text1"/>
        </w:rPr>
        <w:t xml:space="preserve">Without limiting subsection 6(2), </w:t>
      </w:r>
      <w:r>
        <w:rPr>
          <w:color w:val="000000" w:themeColor="text1"/>
        </w:rPr>
        <w:t xml:space="preserve">in specifying identity verification processes in the </w:t>
      </w:r>
      <w:r w:rsidR="00AC3AFE">
        <w:rPr>
          <w:color w:val="000000" w:themeColor="text1"/>
        </w:rPr>
        <w:t xml:space="preserve">industry </w:t>
      </w:r>
      <w:r>
        <w:rPr>
          <w:color w:val="000000" w:themeColor="text1"/>
        </w:rPr>
        <w:t xml:space="preserve">standard, </w:t>
      </w:r>
      <w:r w:rsidRPr="00571E3B">
        <w:rPr>
          <w:color w:val="000000" w:themeColor="text1"/>
        </w:rPr>
        <w:t xml:space="preserve">the ACMA </w:t>
      </w:r>
      <w:r>
        <w:rPr>
          <w:color w:val="000000" w:themeColor="text1"/>
        </w:rPr>
        <w:t xml:space="preserve">should identify clearly </w:t>
      </w:r>
      <w:r w:rsidR="0080786D">
        <w:rPr>
          <w:color w:val="000000" w:themeColor="text1"/>
        </w:rPr>
        <w:t xml:space="preserve">those </w:t>
      </w:r>
      <w:r w:rsidRPr="00F4744A">
        <w:rPr>
          <w:color w:val="000000" w:themeColor="text1"/>
        </w:rPr>
        <w:t xml:space="preserve">processes </w:t>
      </w:r>
      <w:r w:rsidR="0080786D">
        <w:rPr>
          <w:color w:val="000000" w:themeColor="text1"/>
        </w:rPr>
        <w:t xml:space="preserve">which </w:t>
      </w:r>
      <w:r>
        <w:rPr>
          <w:color w:val="000000" w:themeColor="text1"/>
        </w:rPr>
        <w:t xml:space="preserve">apply to all customer types and </w:t>
      </w:r>
      <w:r w:rsidR="0080786D">
        <w:rPr>
          <w:color w:val="000000" w:themeColor="text1"/>
        </w:rPr>
        <w:t xml:space="preserve">those </w:t>
      </w:r>
      <w:r>
        <w:rPr>
          <w:color w:val="000000" w:themeColor="text1"/>
        </w:rPr>
        <w:t xml:space="preserve">which apply </w:t>
      </w:r>
      <w:r w:rsidR="0080786D">
        <w:rPr>
          <w:color w:val="000000" w:themeColor="text1"/>
        </w:rPr>
        <w:t xml:space="preserve">only </w:t>
      </w:r>
      <w:r>
        <w:rPr>
          <w:color w:val="000000" w:themeColor="text1"/>
        </w:rPr>
        <w:t xml:space="preserve">to </w:t>
      </w:r>
      <w:r w:rsidRPr="00F4744A">
        <w:rPr>
          <w:color w:val="000000" w:themeColor="text1"/>
        </w:rPr>
        <w:t>specific customer types (</w:t>
      </w:r>
      <w:proofErr w:type="spellStart"/>
      <w:r w:rsidR="0080786D">
        <w:rPr>
          <w:color w:val="000000" w:themeColor="text1"/>
        </w:rPr>
        <w:t>eg</w:t>
      </w:r>
      <w:proofErr w:type="spellEnd"/>
      <w:r w:rsidR="0080786D">
        <w:rPr>
          <w:color w:val="000000" w:themeColor="text1"/>
        </w:rPr>
        <w:t xml:space="preserve"> </w:t>
      </w:r>
      <w:r w:rsidR="00AC3AFE">
        <w:rPr>
          <w:color w:val="000000" w:themeColor="text1"/>
        </w:rPr>
        <w:t>residential</w:t>
      </w:r>
      <w:r w:rsidRPr="00F4744A">
        <w:rPr>
          <w:color w:val="000000" w:themeColor="text1"/>
        </w:rPr>
        <w:t>, small to medium business, corporate)</w:t>
      </w:r>
      <w:r>
        <w:rPr>
          <w:color w:val="000000" w:themeColor="text1"/>
        </w:rPr>
        <w:t xml:space="preserve">, and the ACMA </w:t>
      </w:r>
      <w:r w:rsidRPr="00571E3B">
        <w:rPr>
          <w:color w:val="000000" w:themeColor="text1"/>
        </w:rPr>
        <w:t>may consider specifying</w:t>
      </w:r>
      <w:r>
        <w:rPr>
          <w:color w:val="000000" w:themeColor="text1"/>
        </w:rPr>
        <w:t xml:space="preserve"> </w:t>
      </w:r>
      <w:r w:rsidRPr="00571E3B">
        <w:rPr>
          <w:color w:val="000000" w:themeColor="text1"/>
        </w:rPr>
        <w:t xml:space="preserve">any or all of the following identity verification processes in the </w:t>
      </w:r>
      <w:r w:rsidR="00AC3AFE">
        <w:rPr>
          <w:color w:val="000000" w:themeColor="text1"/>
        </w:rPr>
        <w:t xml:space="preserve">industry </w:t>
      </w:r>
      <w:r w:rsidRPr="00571E3B">
        <w:rPr>
          <w:color w:val="000000" w:themeColor="text1"/>
        </w:rPr>
        <w:t>standard</w:t>
      </w:r>
      <w:r>
        <w:rPr>
          <w:color w:val="000000" w:themeColor="text1"/>
        </w:rPr>
        <w:t>:</w:t>
      </w:r>
      <w:r w:rsidRPr="00571E3B">
        <w:rPr>
          <w:color w:val="000000" w:themeColor="text1"/>
        </w:rPr>
        <w:t xml:space="preserve"> </w:t>
      </w:r>
    </w:p>
    <w:p w14:paraId="5EFFE873" w14:textId="77777777" w:rsidR="005D12F0" w:rsidRDefault="005D12F0" w:rsidP="005D12F0">
      <w:pPr>
        <w:pStyle w:val="subsection"/>
        <w:numPr>
          <w:ilvl w:val="0"/>
          <w:numId w:val="2"/>
        </w:numPr>
        <w:spacing w:before="40"/>
        <w:ind w:hanging="374"/>
        <w:rPr>
          <w:color w:val="000000" w:themeColor="text1"/>
        </w:rPr>
      </w:pPr>
      <w:r w:rsidRPr="00571E3B">
        <w:rPr>
          <w:color w:val="000000" w:themeColor="text1"/>
        </w:rPr>
        <w:t>the generation and sending by the mobile carriage service provider of a unique verification code</w:t>
      </w:r>
      <w:r>
        <w:rPr>
          <w:color w:val="000000" w:themeColor="text1"/>
        </w:rPr>
        <w:t>:</w:t>
      </w:r>
    </w:p>
    <w:p w14:paraId="5EFFE874" w14:textId="77777777" w:rsidR="005D12F0" w:rsidRPr="00FD7438" w:rsidRDefault="005D12F0" w:rsidP="005D12F0">
      <w:pPr>
        <w:pStyle w:val="subsection"/>
        <w:numPr>
          <w:ilvl w:val="1"/>
          <w:numId w:val="2"/>
        </w:numPr>
        <w:spacing w:before="40"/>
        <w:rPr>
          <w:color w:val="000000" w:themeColor="text1"/>
        </w:rPr>
      </w:pPr>
      <w:r w:rsidRPr="00FD7438">
        <w:rPr>
          <w:color w:val="000000" w:themeColor="text1"/>
        </w:rPr>
        <w:t xml:space="preserve">by SMS message to the mobile </w:t>
      </w:r>
      <w:r>
        <w:rPr>
          <w:color w:val="000000" w:themeColor="text1"/>
        </w:rPr>
        <w:t xml:space="preserve">service </w:t>
      </w:r>
      <w:r w:rsidRPr="00FD7438">
        <w:rPr>
          <w:color w:val="000000" w:themeColor="text1"/>
        </w:rPr>
        <w:t xml:space="preserve">number that is to be Ported via a method that ensures it is transmitted to the mobile </w:t>
      </w:r>
      <w:r>
        <w:rPr>
          <w:color w:val="000000" w:themeColor="text1"/>
        </w:rPr>
        <w:t xml:space="preserve">service </w:t>
      </w:r>
      <w:r w:rsidRPr="00FD7438">
        <w:rPr>
          <w:color w:val="000000" w:themeColor="text1"/>
        </w:rPr>
        <w:t>number that is the subject of the Port request;</w:t>
      </w:r>
    </w:p>
    <w:p w14:paraId="5EFFE875" w14:textId="77777777" w:rsidR="005D12F0" w:rsidRPr="00FD7438" w:rsidRDefault="005D12F0" w:rsidP="005D12F0">
      <w:pPr>
        <w:pStyle w:val="subsection"/>
        <w:numPr>
          <w:ilvl w:val="1"/>
          <w:numId w:val="2"/>
        </w:numPr>
        <w:spacing w:before="40"/>
        <w:rPr>
          <w:color w:val="000000" w:themeColor="text1"/>
        </w:rPr>
      </w:pPr>
      <w:r>
        <w:rPr>
          <w:color w:val="000000" w:themeColor="text1"/>
        </w:rPr>
        <w:t>by a message to the email address of the customer;</w:t>
      </w:r>
    </w:p>
    <w:p w14:paraId="5EFFE876" w14:textId="77777777" w:rsidR="005D12F0" w:rsidRPr="00571E3B" w:rsidRDefault="005D12F0" w:rsidP="005D12F0">
      <w:pPr>
        <w:pStyle w:val="paragraph"/>
        <w:numPr>
          <w:ilvl w:val="0"/>
          <w:numId w:val="2"/>
        </w:numPr>
        <w:rPr>
          <w:color w:val="000000" w:themeColor="text1"/>
        </w:rPr>
      </w:pPr>
      <w:r w:rsidRPr="00571E3B">
        <w:rPr>
          <w:color w:val="000000" w:themeColor="text1"/>
        </w:rPr>
        <w:t>in a retail environment, following identification of the customer in person at a retail store</w:t>
      </w:r>
      <w:r>
        <w:rPr>
          <w:color w:val="000000" w:themeColor="text1"/>
        </w:rPr>
        <w:t>,</w:t>
      </w:r>
      <w:r w:rsidRPr="00571E3B">
        <w:rPr>
          <w:color w:val="000000" w:themeColor="text1"/>
        </w:rPr>
        <w:t xml:space="preserve"> personnel representing the </w:t>
      </w:r>
      <w:r>
        <w:rPr>
          <w:color w:val="000000" w:themeColor="text1"/>
        </w:rPr>
        <w:t xml:space="preserve">Gaining CSP </w:t>
      </w:r>
      <w:r w:rsidRPr="00571E3B">
        <w:rPr>
          <w:color w:val="000000" w:themeColor="text1"/>
        </w:rPr>
        <w:t xml:space="preserve">calling, whilst in store, the 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t xml:space="preserve">number of the customer and verifying that the call has been received by the customer’s mobile device used in association with that 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t xml:space="preserve">number;  </w:t>
      </w:r>
    </w:p>
    <w:p w14:paraId="5EFFE877" w14:textId="77777777" w:rsidR="005D12F0" w:rsidRPr="00571E3B" w:rsidRDefault="005D12F0" w:rsidP="005D12F0">
      <w:pPr>
        <w:pStyle w:val="paragraph"/>
        <w:numPr>
          <w:ilvl w:val="0"/>
          <w:numId w:val="2"/>
        </w:numPr>
        <w:rPr>
          <w:color w:val="000000" w:themeColor="text1"/>
        </w:rPr>
      </w:pPr>
      <w:r w:rsidRPr="00571E3B">
        <w:rPr>
          <w:color w:val="000000" w:themeColor="text1"/>
        </w:rPr>
        <w:t xml:space="preserve">  in a call centre environment following identification of the person initiating a 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>ort request by voice call:</w:t>
      </w:r>
    </w:p>
    <w:p w14:paraId="5EFFE878" w14:textId="77777777" w:rsidR="005D12F0" w:rsidRPr="00571E3B" w:rsidRDefault="005D12F0" w:rsidP="005D12F0">
      <w:pPr>
        <w:pStyle w:val="paragraph"/>
        <w:numPr>
          <w:ilvl w:val="1"/>
          <w:numId w:val="2"/>
        </w:numPr>
        <w:rPr>
          <w:color w:val="000000" w:themeColor="text1"/>
        </w:rPr>
      </w:pPr>
      <w:r w:rsidRPr="00571E3B">
        <w:rPr>
          <w:color w:val="000000" w:themeColor="text1"/>
        </w:rPr>
        <w:t xml:space="preserve">as the customer— personnel representing the </w:t>
      </w:r>
      <w:r>
        <w:rPr>
          <w:color w:val="000000" w:themeColor="text1"/>
        </w:rPr>
        <w:t xml:space="preserve">Gaining CSP </w:t>
      </w:r>
      <w:r w:rsidRPr="00571E3B">
        <w:rPr>
          <w:color w:val="000000" w:themeColor="text1"/>
        </w:rPr>
        <w:t xml:space="preserve">calling back the 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t xml:space="preserve">number to be 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 xml:space="preserve">orted to confirm </w:t>
      </w:r>
      <w:r w:rsidR="0080786D">
        <w:rPr>
          <w:color w:val="000000" w:themeColor="text1"/>
        </w:rPr>
        <w:t xml:space="preserve">that </w:t>
      </w:r>
      <w:r w:rsidRPr="00571E3B">
        <w:rPr>
          <w:color w:val="000000" w:themeColor="text1"/>
        </w:rPr>
        <w:t>the person initiating the request is the customer; and</w:t>
      </w:r>
    </w:p>
    <w:p w14:paraId="5EFFE879" w14:textId="77777777" w:rsidR="005D12F0" w:rsidRPr="00571E3B" w:rsidRDefault="005D12F0" w:rsidP="005D12F0">
      <w:pPr>
        <w:pStyle w:val="paragraph"/>
        <w:numPr>
          <w:ilvl w:val="1"/>
          <w:numId w:val="2"/>
        </w:numPr>
        <w:rPr>
          <w:color w:val="000000" w:themeColor="text1"/>
        </w:rPr>
      </w:pPr>
      <w:r w:rsidRPr="00571E3B">
        <w:rPr>
          <w:color w:val="000000" w:themeColor="text1"/>
        </w:rPr>
        <w:t xml:space="preserve">as the authorised representative of the customer—personnel representing the </w:t>
      </w:r>
      <w:r>
        <w:rPr>
          <w:color w:val="000000" w:themeColor="text1"/>
        </w:rPr>
        <w:t xml:space="preserve">Gaining CSP </w:t>
      </w:r>
      <w:r w:rsidRPr="00571E3B">
        <w:rPr>
          <w:color w:val="000000" w:themeColor="text1"/>
        </w:rPr>
        <w:t xml:space="preserve">calling back the 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lastRenderedPageBreak/>
        <w:t xml:space="preserve">number to be 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 xml:space="preserve">orted to confirm </w:t>
      </w:r>
      <w:r w:rsidR="0080786D">
        <w:rPr>
          <w:color w:val="000000" w:themeColor="text1"/>
        </w:rPr>
        <w:t xml:space="preserve">that </w:t>
      </w:r>
      <w:r w:rsidRPr="00571E3B">
        <w:rPr>
          <w:color w:val="000000" w:themeColor="text1"/>
        </w:rPr>
        <w:t xml:space="preserve">the person initiating the request is the authorised representative of the customer; </w:t>
      </w:r>
      <w:r>
        <w:rPr>
          <w:color w:val="000000" w:themeColor="text1"/>
        </w:rPr>
        <w:t xml:space="preserve">and </w:t>
      </w:r>
    </w:p>
    <w:p w14:paraId="5EFFE87A" w14:textId="77777777" w:rsidR="005D12F0" w:rsidRDefault="005D12F0" w:rsidP="005D12F0">
      <w:pPr>
        <w:pStyle w:val="paragraph"/>
        <w:numPr>
          <w:ilvl w:val="0"/>
          <w:numId w:val="2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the</w:t>
      </w:r>
      <w:proofErr w:type="gramEnd"/>
      <w:r>
        <w:rPr>
          <w:color w:val="000000" w:themeColor="text1"/>
        </w:rPr>
        <w:t xml:space="preserve"> </w:t>
      </w:r>
      <w:r w:rsidRPr="00571E3B">
        <w:rPr>
          <w:color w:val="000000" w:themeColor="text1"/>
        </w:rPr>
        <w:t xml:space="preserve">use of one or multiple forms of biometric data to </w:t>
      </w:r>
      <w:r>
        <w:rPr>
          <w:color w:val="000000" w:themeColor="text1"/>
        </w:rPr>
        <w:t xml:space="preserve">verify </w:t>
      </w:r>
      <w:r w:rsidRPr="00571E3B">
        <w:rPr>
          <w:color w:val="000000" w:themeColor="text1"/>
        </w:rPr>
        <w:t xml:space="preserve">that the person requesting the </w:t>
      </w:r>
      <w:r w:rsidR="00AE6152">
        <w:rPr>
          <w:color w:val="000000" w:themeColor="text1"/>
        </w:rPr>
        <w:t>P</w:t>
      </w:r>
      <w:r w:rsidRPr="00571E3B">
        <w:rPr>
          <w:color w:val="000000" w:themeColor="text1"/>
        </w:rPr>
        <w:t>ort is the customer or an authorised representative of the customer</w:t>
      </w:r>
      <w:r>
        <w:rPr>
          <w:color w:val="000000" w:themeColor="text1"/>
        </w:rPr>
        <w:t>.</w:t>
      </w:r>
    </w:p>
    <w:p w14:paraId="5EFFE87B" w14:textId="77777777" w:rsidR="005D12F0" w:rsidRPr="00571E3B" w:rsidRDefault="005D12F0" w:rsidP="005D12F0">
      <w:pPr>
        <w:pStyle w:val="ActHead5"/>
        <w:ind w:left="720" w:hanging="720"/>
        <w:rPr>
          <w:color w:val="000000" w:themeColor="text1"/>
        </w:rPr>
      </w:pPr>
      <w:r w:rsidRPr="00571E3B">
        <w:rPr>
          <w:color w:val="000000" w:themeColor="text1"/>
        </w:rPr>
        <w:t xml:space="preserve">7 </w:t>
      </w:r>
      <w:r w:rsidRPr="00571E3B">
        <w:rPr>
          <w:color w:val="000000" w:themeColor="text1"/>
        </w:rPr>
        <w:tab/>
      </w:r>
      <w:r>
        <w:rPr>
          <w:color w:val="000000" w:themeColor="text1"/>
        </w:rPr>
        <w:t>Provision of c</w:t>
      </w:r>
      <w:r w:rsidRPr="00571E3B">
        <w:rPr>
          <w:color w:val="000000" w:themeColor="text1"/>
        </w:rPr>
        <w:t xml:space="preserve">onsumer awareness and safeguard information by mobile carriage service providers </w:t>
      </w:r>
    </w:p>
    <w:p w14:paraId="5EFFE87C" w14:textId="77777777" w:rsidR="005D12F0" w:rsidRPr="00571E3B" w:rsidRDefault="005D12F0" w:rsidP="005D12F0">
      <w:pPr>
        <w:pStyle w:val="subsection"/>
        <w:rPr>
          <w:color w:val="000000" w:themeColor="text1"/>
        </w:rPr>
      </w:pPr>
      <w:r w:rsidRPr="00571E3B">
        <w:rPr>
          <w:color w:val="000000" w:themeColor="text1"/>
        </w:rPr>
        <w:tab/>
        <w:t>(1)</w:t>
      </w:r>
      <w:r w:rsidRPr="00571E3B">
        <w:rPr>
          <w:color w:val="000000" w:themeColor="text1"/>
        </w:rPr>
        <w:tab/>
        <w:t xml:space="preserve">The industry standard </w:t>
      </w:r>
      <w:r>
        <w:rPr>
          <w:color w:val="000000" w:themeColor="text1"/>
        </w:rPr>
        <w:t>may</w:t>
      </w:r>
      <w:r w:rsidRPr="00571E3B">
        <w:rPr>
          <w:color w:val="000000" w:themeColor="text1"/>
        </w:rPr>
        <w:t>:</w:t>
      </w:r>
    </w:p>
    <w:p w14:paraId="5EFFE87D" w14:textId="77777777" w:rsidR="005D12F0" w:rsidRPr="00571E3B" w:rsidRDefault="005D12F0" w:rsidP="005D12F0">
      <w:pPr>
        <w:pStyle w:val="paragraph"/>
        <w:numPr>
          <w:ilvl w:val="0"/>
          <w:numId w:val="6"/>
        </w:numPr>
        <w:rPr>
          <w:color w:val="000000" w:themeColor="text1"/>
        </w:rPr>
      </w:pPr>
      <w:r w:rsidRPr="00571E3B">
        <w:rPr>
          <w:color w:val="000000" w:themeColor="text1"/>
        </w:rPr>
        <w:t>specify minimum requirements for information and advice that mobile carriage service providers are to provide or make available to customers (or prospective customers) to:</w:t>
      </w:r>
    </w:p>
    <w:p w14:paraId="5EFFE87E" w14:textId="77777777" w:rsidR="005D12F0" w:rsidRPr="00571E3B" w:rsidRDefault="005D12F0" w:rsidP="005D12F0">
      <w:pPr>
        <w:pStyle w:val="paragraphsub"/>
        <w:numPr>
          <w:ilvl w:val="1"/>
          <w:numId w:val="2"/>
        </w:numPr>
        <w:rPr>
          <w:color w:val="000000" w:themeColor="text1"/>
        </w:rPr>
      </w:pPr>
      <w:r w:rsidRPr="00571E3B">
        <w:rPr>
          <w:color w:val="000000" w:themeColor="text1"/>
        </w:rPr>
        <w:t xml:space="preserve">assist them </w:t>
      </w:r>
      <w:r>
        <w:rPr>
          <w:color w:val="000000" w:themeColor="text1"/>
        </w:rPr>
        <w:t xml:space="preserve">to </w:t>
      </w:r>
      <w:r w:rsidRPr="00571E3B">
        <w:rPr>
          <w:color w:val="000000" w:themeColor="text1"/>
        </w:rPr>
        <w:t xml:space="preserve">understand that identification verification processes will apply prior to </w:t>
      </w:r>
      <w:r w:rsidR="006D7D65">
        <w:rPr>
          <w:color w:val="000000" w:themeColor="text1"/>
        </w:rPr>
        <w:t xml:space="preserve">accepting 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 xml:space="preserve">orts of 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t>numbers; and</w:t>
      </w:r>
    </w:p>
    <w:p w14:paraId="5EFFE87F" w14:textId="77777777" w:rsidR="005D12F0" w:rsidRPr="00571E3B" w:rsidRDefault="005D12F0" w:rsidP="005D12F0">
      <w:pPr>
        <w:pStyle w:val="paragraphsub"/>
        <w:numPr>
          <w:ilvl w:val="1"/>
          <w:numId w:val="2"/>
        </w:numPr>
        <w:rPr>
          <w:color w:val="000000" w:themeColor="text1"/>
        </w:rPr>
      </w:pPr>
      <w:r w:rsidRPr="00571E3B">
        <w:rPr>
          <w:color w:val="000000" w:themeColor="text1"/>
        </w:rPr>
        <w:t xml:space="preserve">encourage </w:t>
      </w:r>
      <w:r>
        <w:rPr>
          <w:color w:val="000000" w:themeColor="text1"/>
        </w:rPr>
        <w:t xml:space="preserve">them </w:t>
      </w:r>
      <w:r w:rsidRPr="00571E3B">
        <w:rPr>
          <w:color w:val="000000" w:themeColor="text1"/>
        </w:rPr>
        <w:t xml:space="preserve">to report any suspected fraudulent or unlawful activity or conduct associated with, or otherwise involving, the unauthorised </w:t>
      </w:r>
      <w:r>
        <w:rPr>
          <w:color w:val="000000" w:themeColor="text1"/>
        </w:rPr>
        <w:t>P</w:t>
      </w:r>
      <w:r w:rsidRPr="00571E3B">
        <w:rPr>
          <w:color w:val="000000" w:themeColor="text1"/>
        </w:rPr>
        <w:t xml:space="preserve">orting of a mobile </w:t>
      </w:r>
      <w:r>
        <w:rPr>
          <w:color w:val="000000" w:themeColor="text1"/>
        </w:rPr>
        <w:t xml:space="preserve">service </w:t>
      </w:r>
      <w:r w:rsidRPr="00571E3B">
        <w:rPr>
          <w:color w:val="000000" w:themeColor="text1"/>
        </w:rPr>
        <w:t xml:space="preserve">number to the </w:t>
      </w:r>
      <w:r>
        <w:rPr>
          <w:color w:val="000000" w:themeColor="text1"/>
        </w:rPr>
        <w:t xml:space="preserve">Australian </w:t>
      </w:r>
      <w:r w:rsidRPr="00571E3B">
        <w:rPr>
          <w:color w:val="000000" w:themeColor="text1"/>
        </w:rPr>
        <w:t xml:space="preserve">Federal Police and applicable State/Territory Police, and relevant </w:t>
      </w:r>
      <w:r>
        <w:rPr>
          <w:color w:val="000000" w:themeColor="text1"/>
        </w:rPr>
        <w:t xml:space="preserve">government </w:t>
      </w:r>
      <w:r w:rsidRPr="00571E3B">
        <w:rPr>
          <w:color w:val="000000" w:themeColor="text1"/>
        </w:rPr>
        <w:t>consumer support service</w:t>
      </w:r>
      <w:r>
        <w:rPr>
          <w:color w:val="000000" w:themeColor="text1"/>
        </w:rPr>
        <w:t>s</w:t>
      </w:r>
      <w:r w:rsidRPr="00571E3B">
        <w:rPr>
          <w:color w:val="000000" w:themeColor="text1"/>
        </w:rPr>
        <w:t>; and</w:t>
      </w:r>
    </w:p>
    <w:p w14:paraId="5EFFE880" w14:textId="77777777" w:rsidR="005D12F0" w:rsidRPr="00571E3B" w:rsidRDefault="005D12F0" w:rsidP="005D12F0">
      <w:pPr>
        <w:pStyle w:val="paragraph"/>
        <w:numPr>
          <w:ilvl w:val="0"/>
          <w:numId w:val="6"/>
        </w:numPr>
        <w:rPr>
          <w:color w:val="000000" w:themeColor="text1"/>
        </w:rPr>
      </w:pPr>
      <w:proofErr w:type="gramStart"/>
      <w:r w:rsidRPr="00571E3B">
        <w:rPr>
          <w:color w:val="000000" w:themeColor="text1"/>
        </w:rPr>
        <w:t>specify</w:t>
      </w:r>
      <w:proofErr w:type="gramEnd"/>
      <w:r w:rsidRPr="00571E3B">
        <w:rPr>
          <w:color w:val="000000" w:themeColor="text1"/>
        </w:rPr>
        <w:t xml:space="preserve"> requirements in relation to the manner in which the information or advice mentioned in subparagraphs 7(1)(a)(</w:t>
      </w:r>
      <w:proofErr w:type="spellStart"/>
      <w:r w:rsidRPr="00571E3B">
        <w:rPr>
          <w:color w:val="000000" w:themeColor="text1"/>
        </w:rPr>
        <w:t>i</w:t>
      </w:r>
      <w:proofErr w:type="spellEnd"/>
      <w:r w:rsidRPr="00571E3B">
        <w:rPr>
          <w:color w:val="000000" w:themeColor="text1"/>
        </w:rPr>
        <w:t>) and (ii) is to be provided or made available.</w:t>
      </w:r>
    </w:p>
    <w:p w14:paraId="5EFFE881" w14:textId="77777777" w:rsidR="005D12F0" w:rsidRPr="00571E3B" w:rsidRDefault="005D12F0" w:rsidP="005D12F0">
      <w:pPr>
        <w:pStyle w:val="paragraph"/>
        <w:rPr>
          <w:color w:val="000000" w:themeColor="text1"/>
        </w:rPr>
      </w:pPr>
    </w:p>
    <w:p w14:paraId="5EFFE882" w14:textId="77777777" w:rsidR="00296042" w:rsidRDefault="00296042"/>
    <w:sectPr w:rsidR="00296042" w:rsidSect="005D12F0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E887" w14:textId="77777777" w:rsidR="004C6DBF" w:rsidRDefault="004C6DBF" w:rsidP="005D12F0">
      <w:pPr>
        <w:spacing w:line="240" w:lineRule="auto"/>
      </w:pPr>
      <w:r>
        <w:separator/>
      </w:r>
    </w:p>
  </w:endnote>
  <w:endnote w:type="continuationSeparator" w:id="0">
    <w:p w14:paraId="5EFFE888" w14:textId="77777777" w:rsidR="004C6DBF" w:rsidRDefault="004C6DBF" w:rsidP="005D1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E88B" w14:textId="77777777" w:rsidR="005D12F0" w:rsidRPr="00E33C1C" w:rsidRDefault="005D12F0" w:rsidP="005D12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D12F0" w14:paraId="5EFFE88F" w14:textId="77777777" w:rsidTr="005D12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FFE88C" w14:textId="77777777" w:rsidR="005D12F0" w:rsidRDefault="005D12F0" w:rsidP="005D12F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FFE88D" w14:textId="77777777" w:rsidR="005D12F0" w:rsidRPr="004E1307" w:rsidRDefault="005D12F0" w:rsidP="005D12F0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E6152">
            <w:rPr>
              <w:i/>
              <w:noProof/>
              <w:sz w:val="18"/>
            </w:rPr>
            <w:t>Telecommunications (Industry Standard for Mobile Number Pre-Porting Additional Identity Verification)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EFFE88E" w14:textId="77777777" w:rsidR="005D12F0" w:rsidRDefault="005D12F0" w:rsidP="005D12F0">
          <w:pPr>
            <w:spacing w:line="0" w:lineRule="atLeast"/>
            <w:jc w:val="right"/>
            <w:rPr>
              <w:sz w:val="18"/>
            </w:rPr>
          </w:pPr>
        </w:p>
      </w:tc>
    </w:tr>
    <w:tr w:rsidR="005D12F0" w14:paraId="5EFFE891" w14:textId="77777777" w:rsidTr="005D12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FFE890" w14:textId="77777777" w:rsidR="005D12F0" w:rsidRDefault="005D12F0" w:rsidP="005D12F0">
          <w:pPr>
            <w:jc w:val="right"/>
            <w:rPr>
              <w:sz w:val="18"/>
            </w:rPr>
          </w:pPr>
        </w:p>
      </w:tc>
    </w:tr>
  </w:tbl>
  <w:p w14:paraId="5EFFE892" w14:textId="77777777" w:rsidR="005D12F0" w:rsidRPr="00ED79B6" w:rsidRDefault="005D12F0" w:rsidP="005D12F0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E893" w14:textId="77777777" w:rsidR="005D12F0" w:rsidRPr="00E33C1C" w:rsidRDefault="005D12F0" w:rsidP="005D12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5D12F0" w14:paraId="5EFFE897" w14:textId="77777777" w:rsidTr="005D12F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FFE894" w14:textId="77777777" w:rsidR="005D12F0" w:rsidRDefault="005D12F0" w:rsidP="005D12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FFE895" w14:textId="77777777" w:rsidR="005D12F0" w:rsidRDefault="005D12F0" w:rsidP="005D12F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E6152">
            <w:rPr>
              <w:i/>
              <w:noProof/>
              <w:sz w:val="18"/>
            </w:rPr>
            <w:t>Telecommunications (Industry Standard for Mobile Number Pre-Porting Additional Identity Verification)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FFE896" w14:textId="77777777" w:rsidR="005D12F0" w:rsidRDefault="005D12F0" w:rsidP="005D12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D12F0" w14:paraId="5EFFE899" w14:textId="77777777" w:rsidTr="005D12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FFE898" w14:textId="77777777" w:rsidR="005D12F0" w:rsidRDefault="005D12F0" w:rsidP="005D12F0">
          <w:pPr>
            <w:rPr>
              <w:sz w:val="18"/>
            </w:rPr>
          </w:pPr>
        </w:p>
      </w:tc>
    </w:tr>
  </w:tbl>
  <w:p w14:paraId="5EFFE89A" w14:textId="77777777" w:rsidR="005D12F0" w:rsidRPr="00ED79B6" w:rsidRDefault="005D12F0" w:rsidP="005D12F0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E89B" w14:textId="77777777" w:rsidR="005D12F0" w:rsidRPr="00E33C1C" w:rsidRDefault="005D12F0" w:rsidP="005D12F0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D12F0" w14:paraId="5EFFE89F" w14:textId="77777777" w:rsidTr="005D12F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FFE89C" w14:textId="77777777" w:rsidR="005D12F0" w:rsidRDefault="005D12F0" w:rsidP="005D12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FFE89D" w14:textId="77777777" w:rsidR="005D12F0" w:rsidRDefault="005D12F0" w:rsidP="005D12F0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FFE89E" w14:textId="77777777" w:rsidR="005D12F0" w:rsidRDefault="005D12F0" w:rsidP="005D12F0">
          <w:pPr>
            <w:spacing w:line="0" w:lineRule="atLeast"/>
            <w:jc w:val="right"/>
            <w:rPr>
              <w:sz w:val="18"/>
            </w:rPr>
          </w:pPr>
        </w:p>
      </w:tc>
    </w:tr>
  </w:tbl>
  <w:p w14:paraId="5EFFE8A0" w14:textId="77777777" w:rsidR="005D12F0" w:rsidRPr="00ED79B6" w:rsidRDefault="005D12F0" w:rsidP="005D12F0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E8AB" w14:textId="77777777" w:rsidR="005D12F0" w:rsidRPr="002B0EA5" w:rsidRDefault="005D12F0" w:rsidP="005D12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D12F0" w14:paraId="5EFFE8AF" w14:textId="77777777" w:rsidTr="005D12F0">
      <w:tc>
        <w:tcPr>
          <w:tcW w:w="365" w:type="pct"/>
        </w:tcPr>
        <w:p w14:paraId="5EFFE8AC" w14:textId="77777777" w:rsidR="005D12F0" w:rsidRDefault="005D12F0" w:rsidP="005D12F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EFFE8AD" w14:textId="77777777" w:rsidR="005D12F0" w:rsidRDefault="005D12F0" w:rsidP="005D12F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E6152">
            <w:rPr>
              <w:i/>
              <w:noProof/>
              <w:sz w:val="18"/>
            </w:rPr>
            <w:t>Telecommunications (Industry Standard for Mobile Number Pre-Porting Additional Identity Verification)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EFFE8AE" w14:textId="77777777" w:rsidR="005D12F0" w:rsidRDefault="005D12F0" w:rsidP="005D12F0">
          <w:pPr>
            <w:spacing w:line="0" w:lineRule="atLeast"/>
            <w:jc w:val="right"/>
            <w:rPr>
              <w:sz w:val="18"/>
            </w:rPr>
          </w:pPr>
        </w:p>
      </w:tc>
    </w:tr>
    <w:tr w:rsidR="005D12F0" w14:paraId="5EFFE8B1" w14:textId="77777777" w:rsidTr="005D12F0">
      <w:tc>
        <w:tcPr>
          <w:tcW w:w="5000" w:type="pct"/>
          <w:gridSpan w:val="3"/>
        </w:tcPr>
        <w:p w14:paraId="5EFFE8B0" w14:textId="77777777" w:rsidR="005D12F0" w:rsidRDefault="005D12F0" w:rsidP="005D12F0">
          <w:pPr>
            <w:jc w:val="right"/>
            <w:rPr>
              <w:sz w:val="18"/>
            </w:rPr>
          </w:pPr>
        </w:p>
      </w:tc>
    </w:tr>
  </w:tbl>
  <w:p w14:paraId="5EFFE8B2" w14:textId="77777777" w:rsidR="005D12F0" w:rsidRPr="00ED79B6" w:rsidRDefault="005D12F0" w:rsidP="005D12F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E8B3" w14:textId="77777777" w:rsidR="005D12F0" w:rsidRPr="002B0EA5" w:rsidRDefault="005D12F0" w:rsidP="005D12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D12F0" w14:paraId="5EFFE8B7" w14:textId="77777777" w:rsidTr="005D12F0">
      <w:tc>
        <w:tcPr>
          <w:tcW w:w="947" w:type="pct"/>
        </w:tcPr>
        <w:p w14:paraId="5EFFE8B4" w14:textId="77777777" w:rsidR="005D12F0" w:rsidRDefault="005D12F0" w:rsidP="005D12F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EFFE8B5" w14:textId="7AE99E05" w:rsidR="005D12F0" w:rsidRDefault="005D12F0" w:rsidP="005D12F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62051">
            <w:rPr>
              <w:i/>
              <w:noProof/>
              <w:sz w:val="18"/>
            </w:rPr>
            <w:t>Telecommunications (Industry Standard for Mobile Number Pre-Porting Additional Identity Verification) Direction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EFFE8B6" w14:textId="585A0BA5" w:rsidR="005D12F0" w:rsidRDefault="005D12F0" w:rsidP="005D12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205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D12F0" w14:paraId="5EFFE8B9" w14:textId="77777777" w:rsidTr="005D12F0">
      <w:tc>
        <w:tcPr>
          <w:tcW w:w="5000" w:type="pct"/>
          <w:gridSpan w:val="3"/>
        </w:tcPr>
        <w:p w14:paraId="5EFFE8B8" w14:textId="77777777" w:rsidR="005D12F0" w:rsidRDefault="005D12F0" w:rsidP="005D12F0">
          <w:pPr>
            <w:rPr>
              <w:sz w:val="18"/>
            </w:rPr>
          </w:pPr>
        </w:p>
      </w:tc>
    </w:tr>
  </w:tbl>
  <w:p w14:paraId="5EFFE8BA" w14:textId="77777777" w:rsidR="005D12F0" w:rsidRPr="00ED79B6" w:rsidRDefault="005D12F0" w:rsidP="005D12F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FE885" w14:textId="77777777" w:rsidR="004C6DBF" w:rsidRDefault="004C6DBF" w:rsidP="005D12F0">
      <w:pPr>
        <w:spacing w:line="240" w:lineRule="auto"/>
      </w:pPr>
      <w:r>
        <w:separator/>
      </w:r>
    </w:p>
  </w:footnote>
  <w:footnote w:type="continuationSeparator" w:id="0">
    <w:p w14:paraId="5EFFE886" w14:textId="77777777" w:rsidR="004C6DBF" w:rsidRDefault="004C6DBF" w:rsidP="005D1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E889" w14:textId="77777777" w:rsidR="005D12F0" w:rsidRPr="005F1388" w:rsidRDefault="005D12F0" w:rsidP="005D12F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E88A" w14:textId="77777777" w:rsidR="005D12F0" w:rsidRPr="005F1388" w:rsidRDefault="005D12F0" w:rsidP="005D12F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E8A1" w14:textId="77777777" w:rsidR="005D12F0" w:rsidRDefault="005D12F0" w:rsidP="005D12F0">
    <w:pPr>
      <w:rPr>
        <w:sz w:val="20"/>
      </w:rPr>
    </w:pPr>
  </w:p>
  <w:p w14:paraId="5EFFE8A2" w14:textId="77777777" w:rsidR="005D12F0" w:rsidRDefault="005D12F0" w:rsidP="005D12F0">
    <w:pPr>
      <w:rPr>
        <w:sz w:val="20"/>
      </w:rPr>
    </w:pPr>
  </w:p>
  <w:p w14:paraId="5EFFE8A3" w14:textId="77777777" w:rsidR="005D12F0" w:rsidRPr="007A1328" w:rsidRDefault="005D12F0" w:rsidP="005D12F0">
    <w:pPr>
      <w:rPr>
        <w:sz w:val="20"/>
      </w:rPr>
    </w:pPr>
  </w:p>
  <w:p w14:paraId="5EFFE8A4" w14:textId="77777777" w:rsidR="005D12F0" w:rsidRPr="007A1328" w:rsidRDefault="005D12F0" w:rsidP="005D12F0">
    <w:pPr>
      <w:rPr>
        <w:b/>
        <w:sz w:val="24"/>
      </w:rPr>
    </w:pPr>
  </w:p>
  <w:p w14:paraId="5EFFE8A5" w14:textId="77777777" w:rsidR="005D12F0" w:rsidRPr="007A1328" w:rsidRDefault="005D12F0" w:rsidP="005D12F0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E8A6" w14:textId="77777777" w:rsidR="005D12F0" w:rsidRPr="007A1328" w:rsidRDefault="005D12F0" w:rsidP="005D12F0">
    <w:pPr>
      <w:jc w:val="right"/>
      <w:rPr>
        <w:sz w:val="20"/>
      </w:rPr>
    </w:pPr>
  </w:p>
  <w:p w14:paraId="5EFFE8A7" w14:textId="77777777" w:rsidR="005D12F0" w:rsidRPr="007A1328" w:rsidRDefault="005D12F0" w:rsidP="005D12F0">
    <w:pPr>
      <w:jc w:val="right"/>
      <w:rPr>
        <w:sz w:val="20"/>
      </w:rPr>
    </w:pPr>
  </w:p>
  <w:p w14:paraId="5EFFE8A8" w14:textId="77777777" w:rsidR="005D12F0" w:rsidRPr="007A1328" w:rsidRDefault="005D12F0" w:rsidP="005D12F0">
    <w:pPr>
      <w:jc w:val="right"/>
      <w:rPr>
        <w:sz w:val="20"/>
      </w:rPr>
    </w:pPr>
  </w:p>
  <w:p w14:paraId="5EFFE8A9" w14:textId="77777777" w:rsidR="005D12F0" w:rsidRPr="007A1328" w:rsidRDefault="005D12F0" w:rsidP="005D12F0">
    <w:pPr>
      <w:jc w:val="right"/>
      <w:rPr>
        <w:b/>
        <w:sz w:val="24"/>
      </w:rPr>
    </w:pPr>
  </w:p>
  <w:p w14:paraId="5EFFE8AA" w14:textId="77777777" w:rsidR="005D12F0" w:rsidRPr="007A1328" w:rsidRDefault="005D12F0" w:rsidP="005D12F0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5BD"/>
    <w:multiLevelType w:val="hybridMultilevel"/>
    <w:tmpl w:val="830285C2"/>
    <w:lvl w:ilvl="0" w:tplc="33641020">
      <w:start w:val="35"/>
      <w:numFmt w:val="lowerLetter"/>
      <w:lvlText w:val="(%1)"/>
      <w:lvlJc w:val="left"/>
      <w:pPr>
        <w:ind w:left="2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62C6"/>
    <w:multiLevelType w:val="hybridMultilevel"/>
    <w:tmpl w:val="E048AB44"/>
    <w:lvl w:ilvl="0" w:tplc="07A22BE2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209C828C">
      <w:start w:val="1"/>
      <w:numFmt w:val="lowerRoman"/>
      <w:lvlText w:val="(%2)"/>
      <w:lvlJc w:val="left"/>
      <w:pPr>
        <w:ind w:left="2355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45755A99"/>
    <w:multiLevelType w:val="hybridMultilevel"/>
    <w:tmpl w:val="B9BCF2E4"/>
    <w:lvl w:ilvl="0" w:tplc="879279A8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4AC6434D"/>
    <w:multiLevelType w:val="hybridMultilevel"/>
    <w:tmpl w:val="48BE0872"/>
    <w:lvl w:ilvl="0" w:tplc="05945942">
      <w:start w:val="9"/>
      <w:numFmt w:val="lowerLetter"/>
      <w:lvlText w:val="(%1)"/>
      <w:lvlJc w:val="left"/>
      <w:pPr>
        <w:ind w:left="2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34" w:hanging="360"/>
      </w:pPr>
    </w:lvl>
    <w:lvl w:ilvl="2" w:tplc="0C09001B" w:tentative="1">
      <w:start w:val="1"/>
      <w:numFmt w:val="lowerRoman"/>
      <w:lvlText w:val="%3."/>
      <w:lvlJc w:val="right"/>
      <w:pPr>
        <w:ind w:left="3054" w:hanging="180"/>
      </w:pPr>
    </w:lvl>
    <w:lvl w:ilvl="3" w:tplc="0C09000F" w:tentative="1">
      <w:start w:val="1"/>
      <w:numFmt w:val="decimal"/>
      <w:lvlText w:val="%4."/>
      <w:lvlJc w:val="left"/>
      <w:pPr>
        <w:ind w:left="3774" w:hanging="360"/>
      </w:pPr>
    </w:lvl>
    <w:lvl w:ilvl="4" w:tplc="0C090019" w:tentative="1">
      <w:start w:val="1"/>
      <w:numFmt w:val="lowerLetter"/>
      <w:lvlText w:val="%5."/>
      <w:lvlJc w:val="left"/>
      <w:pPr>
        <w:ind w:left="4494" w:hanging="360"/>
      </w:pPr>
    </w:lvl>
    <w:lvl w:ilvl="5" w:tplc="0C09001B" w:tentative="1">
      <w:start w:val="1"/>
      <w:numFmt w:val="lowerRoman"/>
      <w:lvlText w:val="%6."/>
      <w:lvlJc w:val="right"/>
      <w:pPr>
        <w:ind w:left="5214" w:hanging="180"/>
      </w:pPr>
    </w:lvl>
    <w:lvl w:ilvl="6" w:tplc="0C09000F" w:tentative="1">
      <w:start w:val="1"/>
      <w:numFmt w:val="decimal"/>
      <w:lvlText w:val="%7."/>
      <w:lvlJc w:val="left"/>
      <w:pPr>
        <w:ind w:left="5934" w:hanging="360"/>
      </w:pPr>
    </w:lvl>
    <w:lvl w:ilvl="7" w:tplc="0C090019" w:tentative="1">
      <w:start w:val="1"/>
      <w:numFmt w:val="lowerLetter"/>
      <w:lvlText w:val="%8."/>
      <w:lvlJc w:val="left"/>
      <w:pPr>
        <w:ind w:left="6654" w:hanging="360"/>
      </w:pPr>
    </w:lvl>
    <w:lvl w:ilvl="8" w:tplc="0C09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4" w15:restartNumberingAfterBreak="0">
    <w:nsid w:val="582F415C"/>
    <w:multiLevelType w:val="hybridMultilevel"/>
    <w:tmpl w:val="03CCF0BE"/>
    <w:lvl w:ilvl="0" w:tplc="FC04F38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606190D"/>
    <w:multiLevelType w:val="hybridMultilevel"/>
    <w:tmpl w:val="E048AB44"/>
    <w:lvl w:ilvl="0" w:tplc="07A22BE2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209C828C">
      <w:start w:val="1"/>
      <w:numFmt w:val="lowerRoman"/>
      <w:lvlText w:val="(%2)"/>
      <w:lvlJc w:val="left"/>
      <w:pPr>
        <w:ind w:left="2355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76CD5524"/>
    <w:multiLevelType w:val="hybridMultilevel"/>
    <w:tmpl w:val="472E2EB0"/>
    <w:lvl w:ilvl="0" w:tplc="759C83C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F0"/>
    <w:rsid w:val="000351EC"/>
    <w:rsid w:val="000D58CE"/>
    <w:rsid w:val="00177AA7"/>
    <w:rsid w:val="00264CA1"/>
    <w:rsid w:val="00296042"/>
    <w:rsid w:val="003A7888"/>
    <w:rsid w:val="003D2D4B"/>
    <w:rsid w:val="004C6DBF"/>
    <w:rsid w:val="005D12F0"/>
    <w:rsid w:val="0062333C"/>
    <w:rsid w:val="006D7D65"/>
    <w:rsid w:val="006F3E4E"/>
    <w:rsid w:val="0071025F"/>
    <w:rsid w:val="00762051"/>
    <w:rsid w:val="0080786D"/>
    <w:rsid w:val="0088556F"/>
    <w:rsid w:val="008872AC"/>
    <w:rsid w:val="00973C41"/>
    <w:rsid w:val="00980888"/>
    <w:rsid w:val="00AC3AFE"/>
    <w:rsid w:val="00AE6152"/>
    <w:rsid w:val="00E6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FFE8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D12F0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5D12F0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2">
    <w:name w:val="ActHead 2"/>
    <w:aliases w:val="p"/>
    <w:basedOn w:val="Normal"/>
    <w:next w:val="ActHead3"/>
    <w:qFormat/>
    <w:rsid w:val="005D12F0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customStyle="1" w:styleId="ActHead3">
    <w:name w:val="ActHead 3"/>
    <w:aliases w:val="d"/>
    <w:basedOn w:val="Normal"/>
    <w:next w:val="Normal"/>
    <w:qFormat/>
    <w:rsid w:val="005D12F0"/>
    <w:pPr>
      <w:keepNext/>
      <w:keepLines/>
      <w:spacing w:before="240" w:line="240" w:lineRule="auto"/>
      <w:ind w:left="1134" w:hanging="1134"/>
      <w:outlineLvl w:val="2"/>
    </w:pPr>
    <w:rPr>
      <w:rFonts w:eastAsia="Times New Roman" w:cs="Times New Roman"/>
      <w:b/>
      <w:kern w:val="28"/>
      <w:sz w:val="28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5D12F0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DivNo">
    <w:name w:val="CharDivNo"/>
    <w:basedOn w:val="DefaultParagraphFont"/>
    <w:qFormat/>
    <w:rsid w:val="005D12F0"/>
  </w:style>
  <w:style w:type="character" w:customStyle="1" w:styleId="CharDivText">
    <w:name w:val="CharDivText"/>
    <w:basedOn w:val="DefaultParagraphFont"/>
    <w:qFormat/>
    <w:rsid w:val="005D12F0"/>
  </w:style>
  <w:style w:type="character" w:customStyle="1" w:styleId="CharPartNo">
    <w:name w:val="CharPartNo"/>
    <w:basedOn w:val="DefaultParagraphFont"/>
    <w:qFormat/>
    <w:rsid w:val="005D12F0"/>
  </w:style>
  <w:style w:type="character" w:customStyle="1" w:styleId="CharPartText">
    <w:name w:val="CharPartText"/>
    <w:basedOn w:val="DefaultParagraphFont"/>
    <w:qFormat/>
    <w:rsid w:val="005D12F0"/>
  </w:style>
  <w:style w:type="paragraph" w:customStyle="1" w:styleId="subsection">
    <w:name w:val="subsection"/>
    <w:aliases w:val="ss,Subsection"/>
    <w:basedOn w:val="Normal"/>
    <w:link w:val="subsectionChar"/>
    <w:rsid w:val="005D12F0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5D12F0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5D12F0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5D12F0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5D12F0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sub">
    <w:name w:val="paragraph(sub)"/>
    <w:aliases w:val="aa"/>
    <w:basedOn w:val="Normal"/>
    <w:rsid w:val="005D12F0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5D12F0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notepara">
    <w:name w:val="note(para)"/>
    <w:aliases w:val="na"/>
    <w:basedOn w:val="Normal"/>
    <w:rsid w:val="005D12F0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table" w:styleId="TableGrid">
    <w:name w:val="Table Grid"/>
    <w:basedOn w:val="TableNormal"/>
    <w:uiPriority w:val="59"/>
    <w:rsid w:val="005D12F0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5D12F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5D12F0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12F0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12F0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5D12F0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A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DF9F0485B8D1443A35CCB2766B6C955" ma:contentTypeVersion="" ma:contentTypeDescription="PDMS Document Site Content Type" ma:contentTypeScope="" ma:versionID="8601d3826ee7661c91114e59cc53a52e">
  <xsd:schema xmlns:xsd="http://www.w3.org/2001/XMLSchema" xmlns:xs="http://www.w3.org/2001/XMLSchema" xmlns:p="http://schemas.microsoft.com/office/2006/metadata/properties" xmlns:ns2="2546950A-2713-452B-9452-7724CAA6899E" targetNamespace="http://schemas.microsoft.com/office/2006/metadata/properties" ma:root="true" ma:fieldsID="e4d17fd5bd95c6d72849009bf76b6949" ns2:_="">
    <xsd:import namespace="2546950A-2713-452B-9452-7724CAA6899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6950A-2713-452B-9452-7724CAA6899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546950A-2713-452B-9452-7724CAA689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C47C8-F47C-4E5D-811A-0B05FD91F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B3F9A-2487-45D1-B37C-DEA3E844C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6950A-2713-452B-9452-7724CAA68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6D425-1E43-4269-ADF3-6A6DE0DE5506}">
  <ds:schemaRefs>
    <ds:schemaRef ds:uri="http://purl.org/dc/elements/1.1/"/>
    <ds:schemaRef ds:uri="http://schemas.microsoft.com/office/2006/metadata/properties"/>
    <ds:schemaRef ds:uri="2546950A-2713-452B-9452-7724CAA689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6CC2CF-C7F1-4342-B716-446FB728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2019-10-15T02:41:00Z</dcterms:created>
  <dcterms:modified xsi:type="dcterms:W3CDTF">2019-10-15T04:04:00Z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0x010100266966F133664895A6EE3632470D45F500BDF9F0485B8D1443A35CCB2766B6C955</vt:lpwstr>
  </property>
</Properties>
</file>