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0F8B0" w14:textId="77777777" w:rsidR="00725EBC" w:rsidRPr="00A85F74" w:rsidRDefault="00725EBC" w:rsidP="00725EBC">
      <w:pPr>
        <w:pStyle w:val="NormalBold"/>
        <w:jc w:val="center"/>
        <w:rPr>
          <w:rFonts w:ascii="Times New Roman" w:hAnsi="Times New Roman" w:cs="Times New Roman"/>
          <w:szCs w:val="24"/>
        </w:rPr>
      </w:pPr>
      <w:bookmarkStart w:id="0" w:name="_GoBack"/>
      <w:bookmarkEnd w:id="0"/>
      <w:r w:rsidRPr="00A85F74">
        <w:rPr>
          <w:rFonts w:ascii="Times New Roman" w:hAnsi="Times New Roman" w:cs="Times New Roman"/>
          <w:szCs w:val="24"/>
        </w:rPr>
        <w:t>Explanatory Statement</w:t>
      </w:r>
    </w:p>
    <w:p w14:paraId="13E0F8B1" w14:textId="77777777" w:rsidR="00725EBC" w:rsidRPr="00CD4FCC" w:rsidRDefault="00725EBC" w:rsidP="00725EBC">
      <w:pPr>
        <w:jc w:val="center"/>
        <w:rPr>
          <w:rFonts w:ascii="Times New Roman" w:hAnsi="Times New Roman"/>
          <w:b/>
          <w:i/>
        </w:rPr>
      </w:pPr>
      <w:r w:rsidRPr="00CD4FCC">
        <w:rPr>
          <w:rFonts w:ascii="Times New Roman" w:hAnsi="Times New Roman"/>
          <w:b/>
          <w:i/>
        </w:rPr>
        <w:t>Telecommunications Act 1997</w:t>
      </w:r>
    </w:p>
    <w:p w14:paraId="13E0F8B2" w14:textId="534394AC" w:rsidR="00725EBC" w:rsidRDefault="00725EBC" w:rsidP="00725EBC">
      <w:pPr>
        <w:jc w:val="center"/>
        <w:rPr>
          <w:rFonts w:ascii="Times New Roman" w:hAnsi="Times New Roman"/>
          <w:b/>
        </w:rPr>
      </w:pPr>
      <w:r w:rsidRPr="00725EBC">
        <w:rPr>
          <w:rFonts w:ascii="Times New Roman" w:hAnsi="Times New Roman"/>
          <w:b/>
        </w:rPr>
        <w:t xml:space="preserve">Telecommunications (Industry Standard for Mobile Number Pre-Porting </w:t>
      </w:r>
      <w:r w:rsidR="00156DC3">
        <w:rPr>
          <w:rFonts w:ascii="Times New Roman" w:hAnsi="Times New Roman"/>
          <w:b/>
        </w:rPr>
        <w:t xml:space="preserve">Additional </w:t>
      </w:r>
      <w:r w:rsidRPr="00725EBC">
        <w:rPr>
          <w:rFonts w:ascii="Times New Roman" w:hAnsi="Times New Roman"/>
          <w:b/>
        </w:rPr>
        <w:t>Identity Verification) Direction 2019</w:t>
      </w:r>
    </w:p>
    <w:p w14:paraId="13E0F8B3" w14:textId="77777777" w:rsidR="00725EBC" w:rsidRPr="00A85F74" w:rsidRDefault="00725EBC" w:rsidP="00725EBC">
      <w:pPr>
        <w:jc w:val="center"/>
        <w:rPr>
          <w:rFonts w:ascii="Times New Roman" w:hAnsi="Times New Roman"/>
        </w:rPr>
      </w:pPr>
      <w:r w:rsidRPr="00A85F74">
        <w:rPr>
          <w:rFonts w:ascii="Times New Roman" w:hAnsi="Times New Roman"/>
        </w:rPr>
        <w:t xml:space="preserve">Issued by the Authority of the </w:t>
      </w:r>
      <w:r w:rsidRPr="00725EBC">
        <w:rPr>
          <w:rFonts w:ascii="Times New Roman" w:hAnsi="Times New Roman"/>
        </w:rPr>
        <w:t xml:space="preserve">Minister for Communications, Cyber Safety and the Arts </w:t>
      </w:r>
    </w:p>
    <w:p w14:paraId="13E0F8B4" w14:textId="77777777" w:rsidR="00725EBC" w:rsidRPr="00017F83" w:rsidRDefault="00725EBC" w:rsidP="00725EBC">
      <w:pPr>
        <w:rPr>
          <w:rFonts w:ascii="Times New Roman" w:hAnsi="Times New Roman"/>
          <w:b/>
          <w:u w:val="single"/>
        </w:rPr>
      </w:pPr>
      <w:r w:rsidRPr="00017F83">
        <w:rPr>
          <w:rFonts w:ascii="Times New Roman" w:hAnsi="Times New Roman"/>
          <w:b/>
          <w:u w:val="single"/>
        </w:rPr>
        <w:t>Purpose</w:t>
      </w:r>
    </w:p>
    <w:p w14:paraId="13E0F8B5" w14:textId="708C9303" w:rsidR="00725EBC" w:rsidRPr="00CD4FCC" w:rsidRDefault="00725EBC" w:rsidP="00725EBC">
      <w:pPr>
        <w:rPr>
          <w:rFonts w:ascii="Times New Roman" w:hAnsi="Times New Roman"/>
        </w:rPr>
      </w:pPr>
      <w:r w:rsidRPr="00CD4FCC">
        <w:rPr>
          <w:rFonts w:ascii="Times New Roman" w:hAnsi="Times New Roman"/>
        </w:rPr>
        <w:t xml:space="preserve">The </w:t>
      </w:r>
      <w:r w:rsidR="008D617B" w:rsidRPr="008D617B">
        <w:rPr>
          <w:rFonts w:ascii="Times New Roman" w:hAnsi="Times New Roman"/>
          <w:i/>
        </w:rPr>
        <w:t xml:space="preserve">Telecommunications (Industry Standard for Mobile Number Pre-Porting </w:t>
      </w:r>
      <w:r w:rsidR="00156DC3">
        <w:rPr>
          <w:rFonts w:ascii="Times New Roman" w:hAnsi="Times New Roman"/>
          <w:i/>
        </w:rPr>
        <w:t xml:space="preserve">Additional </w:t>
      </w:r>
      <w:r w:rsidR="008D617B" w:rsidRPr="008D617B">
        <w:rPr>
          <w:rFonts w:ascii="Times New Roman" w:hAnsi="Times New Roman"/>
          <w:i/>
        </w:rPr>
        <w:t>Identity Verification) Direction 2019</w:t>
      </w:r>
      <w:r w:rsidR="008D617B">
        <w:rPr>
          <w:rFonts w:ascii="Times New Roman" w:hAnsi="Times New Roman"/>
        </w:rPr>
        <w:t xml:space="preserve"> </w:t>
      </w:r>
      <w:r w:rsidR="00061884">
        <w:rPr>
          <w:rFonts w:ascii="Times New Roman" w:hAnsi="Times New Roman"/>
        </w:rPr>
        <w:t xml:space="preserve">(the Direction) </w:t>
      </w:r>
      <w:r w:rsidRPr="00CD4FCC">
        <w:rPr>
          <w:rFonts w:ascii="Times New Roman" w:hAnsi="Times New Roman"/>
        </w:rPr>
        <w:t xml:space="preserve">is made by the </w:t>
      </w:r>
      <w:r w:rsidRPr="00725EBC">
        <w:rPr>
          <w:rFonts w:ascii="Times New Roman" w:hAnsi="Times New Roman"/>
        </w:rPr>
        <w:t xml:space="preserve">Minister for Communications, Cyber Safety and the Arts </w:t>
      </w:r>
      <w:r>
        <w:rPr>
          <w:rFonts w:ascii="Times New Roman" w:hAnsi="Times New Roman"/>
        </w:rPr>
        <w:t xml:space="preserve">(the Minister) </w:t>
      </w:r>
      <w:r w:rsidRPr="00CD4FCC">
        <w:rPr>
          <w:rFonts w:ascii="Times New Roman" w:hAnsi="Times New Roman"/>
        </w:rPr>
        <w:t xml:space="preserve">under subsection 125AA(4) of the </w:t>
      </w:r>
      <w:r w:rsidRPr="00CD4FCC">
        <w:rPr>
          <w:rFonts w:ascii="Times New Roman" w:hAnsi="Times New Roman"/>
          <w:i/>
        </w:rPr>
        <w:t>Telecommunications Act 1997</w:t>
      </w:r>
      <w:r w:rsidR="007A12C1">
        <w:rPr>
          <w:rFonts w:ascii="Times New Roman" w:hAnsi="Times New Roman"/>
          <w:i/>
        </w:rPr>
        <w:t xml:space="preserve"> </w:t>
      </w:r>
      <w:r w:rsidR="007A12C1" w:rsidRPr="007738E2">
        <w:rPr>
          <w:rFonts w:ascii="Times New Roman" w:hAnsi="Times New Roman"/>
        </w:rPr>
        <w:t>(the Act)</w:t>
      </w:r>
      <w:r w:rsidRPr="00CD4FCC">
        <w:rPr>
          <w:rFonts w:ascii="Times New Roman" w:hAnsi="Times New Roman"/>
        </w:rPr>
        <w:t xml:space="preserve">. </w:t>
      </w:r>
    </w:p>
    <w:p w14:paraId="53613211" w14:textId="61CC35AB" w:rsidR="0039342A" w:rsidRDefault="0039342A" w:rsidP="008D617B">
      <w:pPr>
        <w:rPr>
          <w:rFonts w:ascii="Times New Roman" w:hAnsi="Times New Roman"/>
        </w:rPr>
      </w:pPr>
      <w:r>
        <w:rPr>
          <w:rFonts w:ascii="Times New Roman" w:hAnsi="Times New Roman"/>
        </w:rPr>
        <w:t xml:space="preserve">The instrument </w:t>
      </w:r>
      <w:r w:rsidR="00725EBC">
        <w:rPr>
          <w:rFonts w:ascii="Times New Roman" w:hAnsi="Times New Roman"/>
        </w:rPr>
        <w:t>direct</w:t>
      </w:r>
      <w:r>
        <w:rPr>
          <w:rFonts w:ascii="Times New Roman" w:hAnsi="Times New Roman"/>
        </w:rPr>
        <w:t>s</w:t>
      </w:r>
      <w:r w:rsidR="00725EBC">
        <w:rPr>
          <w:rFonts w:ascii="Times New Roman" w:hAnsi="Times New Roman"/>
        </w:rPr>
        <w:t xml:space="preserve"> the Australian Communications and Media Authority (ACMA</w:t>
      </w:r>
      <w:r>
        <w:rPr>
          <w:rFonts w:ascii="Times New Roman" w:hAnsi="Times New Roman"/>
        </w:rPr>
        <w:t>) to make an industry standard that requires</w:t>
      </w:r>
      <w:r w:rsidR="001A580E">
        <w:rPr>
          <w:rFonts w:ascii="Times New Roman" w:hAnsi="Times New Roman"/>
        </w:rPr>
        <w:t xml:space="preserve"> gaining</w:t>
      </w:r>
      <w:r w:rsidR="00725EBC">
        <w:rPr>
          <w:rFonts w:ascii="Times New Roman" w:hAnsi="Times New Roman"/>
        </w:rPr>
        <w:t xml:space="preserve"> mobile carriage service providers </w:t>
      </w:r>
      <w:r>
        <w:rPr>
          <w:rFonts w:ascii="Times New Roman" w:hAnsi="Times New Roman"/>
        </w:rPr>
        <w:t xml:space="preserve">to implement customer identity </w:t>
      </w:r>
      <w:r w:rsidR="008D617B">
        <w:rPr>
          <w:rFonts w:ascii="Times New Roman" w:hAnsi="Times New Roman"/>
        </w:rPr>
        <w:t xml:space="preserve">verification processes </w:t>
      </w:r>
      <w:r w:rsidR="007738E2">
        <w:rPr>
          <w:rFonts w:ascii="Times New Roman" w:hAnsi="Times New Roman"/>
        </w:rPr>
        <w:t>before accepting a port</w:t>
      </w:r>
      <w:r w:rsidR="00737C27">
        <w:rPr>
          <w:rFonts w:ascii="Times New Roman" w:hAnsi="Times New Roman"/>
        </w:rPr>
        <w:t xml:space="preserve"> of a mobile service number</w:t>
      </w:r>
      <w:r>
        <w:rPr>
          <w:rFonts w:ascii="Times New Roman" w:hAnsi="Times New Roman"/>
        </w:rPr>
        <w:t xml:space="preserve">. </w:t>
      </w:r>
    </w:p>
    <w:p w14:paraId="61B8F130" w14:textId="50E2AC49" w:rsidR="0039342A" w:rsidRDefault="0039342A" w:rsidP="008D617B">
      <w:pPr>
        <w:rPr>
          <w:rFonts w:ascii="Times New Roman" w:hAnsi="Times New Roman"/>
        </w:rPr>
      </w:pPr>
      <w:r>
        <w:rPr>
          <w:rFonts w:ascii="Times New Roman" w:hAnsi="Times New Roman"/>
        </w:rPr>
        <w:t>Pre-port identity verification can help prevent the harm and loss to customers occasioned by unauthorised porting</w:t>
      </w:r>
      <w:r w:rsidR="00737C27">
        <w:rPr>
          <w:rFonts w:ascii="Times New Roman" w:hAnsi="Times New Roman"/>
        </w:rPr>
        <w:t xml:space="preserve"> of mobile service numbers</w:t>
      </w:r>
      <w:r>
        <w:rPr>
          <w:rFonts w:ascii="Times New Roman" w:hAnsi="Times New Roman"/>
        </w:rPr>
        <w:t>, including from fraud and identity theft.</w:t>
      </w:r>
    </w:p>
    <w:p w14:paraId="13E0F8B6" w14:textId="23E2CDA4" w:rsidR="008D617B" w:rsidRDefault="0039342A" w:rsidP="008D617B">
      <w:pPr>
        <w:rPr>
          <w:rFonts w:ascii="Times New Roman" w:hAnsi="Times New Roman"/>
        </w:rPr>
      </w:pPr>
      <w:r>
        <w:rPr>
          <w:rFonts w:ascii="Times New Roman" w:hAnsi="Times New Roman"/>
        </w:rPr>
        <w:t xml:space="preserve">The new standard may also require </w:t>
      </w:r>
      <w:r w:rsidR="008D617B">
        <w:rPr>
          <w:rFonts w:ascii="Times New Roman" w:hAnsi="Times New Roman"/>
        </w:rPr>
        <w:t xml:space="preserve">mobile carriage service providers to provide </w:t>
      </w:r>
      <w:r w:rsidR="008D617B" w:rsidRPr="008D617B">
        <w:rPr>
          <w:rFonts w:ascii="Times New Roman" w:hAnsi="Times New Roman"/>
        </w:rPr>
        <w:t>information and advice to custo</w:t>
      </w:r>
      <w:r>
        <w:rPr>
          <w:rFonts w:ascii="Times New Roman" w:hAnsi="Times New Roman"/>
        </w:rPr>
        <w:t xml:space="preserve">mers </w:t>
      </w:r>
      <w:r w:rsidR="008D617B">
        <w:rPr>
          <w:rFonts w:ascii="Times New Roman" w:hAnsi="Times New Roman"/>
        </w:rPr>
        <w:t xml:space="preserve">about </w:t>
      </w:r>
      <w:r>
        <w:rPr>
          <w:rFonts w:ascii="Times New Roman" w:hAnsi="Times New Roman"/>
        </w:rPr>
        <w:t xml:space="preserve">their </w:t>
      </w:r>
      <w:r w:rsidR="008D617B">
        <w:rPr>
          <w:rFonts w:ascii="Times New Roman" w:hAnsi="Times New Roman"/>
        </w:rPr>
        <w:t>pre-port identification verificat</w:t>
      </w:r>
      <w:r>
        <w:rPr>
          <w:rFonts w:ascii="Times New Roman" w:hAnsi="Times New Roman"/>
        </w:rPr>
        <w:t xml:space="preserve">ion processes and encourage customers </w:t>
      </w:r>
      <w:r w:rsidR="008D617B">
        <w:rPr>
          <w:rFonts w:ascii="Times New Roman" w:hAnsi="Times New Roman"/>
        </w:rPr>
        <w:t xml:space="preserve">to report </w:t>
      </w:r>
      <w:r w:rsidR="008D617B" w:rsidRPr="008D617B">
        <w:rPr>
          <w:rFonts w:ascii="Times New Roman" w:hAnsi="Times New Roman"/>
        </w:rPr>
        <w:t xml:space="preserve">any suspected </w:t>
      </w:r>
      <w:r>
        <w:rPr>
          <w:rFonts w:ascii="Times New Roman" w:hAnsi="Times New Roman"/>
        </w:rPr>
        <w:t xml:space="preserve">unauthorised ports to enforcement agencies and support services. </w:t>
      </w:r>
    </w:p>
    <w:p w14:paraId="13E0F8B7" w14:textId="5BF0C8AF" w:rsidR="00725EBC" w:rsidRPr="00A85F74" w:rsidRDefault="00725EBC" w:rsidP="00725EBC">
      <w:pPr>
        <w:rPr>
          <w:rFonts w:ascii="Times New Roman" w:hAnsi="Times New Roman"/>
        </w:rPr>
      </w:pPr>
      <w:r w:rsidRPr="00A85F74">
        <w:rPr>
          <w:rFonts w:ascii="Times New Roman" w:hAnsi="Times New Roman"/>
        </w:rPr>
        <w:t xml:space="preserve">This instrument is a legislative instrument for the purposes of the </w:t>
      </w:r>
      <w:r>
        <w:rPr>
          <w:rFonts w:ascii="Times New Roman" w:hAnsi="Times New Roman"/>
          <w:i/>
        </w:rPr>
        <w:t>Legislation Act 2003</w:t>
      </w:r>
      <w:r w:rsidR="00A2325C">
        <w:rPr>
          <w:rFonts w:ascii="Times New Roman" w:hAnsi="Times New Roman"/>
          <w:i/>
        </w:rPr>
        <w:t xml:space="preserve">. </w:t>
      </w:r>
      <w:r w:rsidR="00A2325C" w:rsidRPr="007738E2">
        <w:rPr>
          <w:rFonts w:ascii="Times New Roman" w:hAnsi="Times New Roman"/>
        </w:rPr>
        <w:t xml:space="preserve">However, this instrument is not subject to disallowance, as it is a direction by a Minister to a person or body (see item 2 of the table in section 9 of the </w:t>
      </w:r>
      <w:r w:rsidR="00A2325C" w:rsidRPr="00A2325C">
        <w:rPr>
          <w:rFonts w:ascii="Times New Roman" w:hAnsi="Times New Roman"/>
          <w:i/>
        </w:rPr>
        <w:t>Legislation (Exemptions and Other Matters) Regulation 2015</w:t>
      </w:r>
      <w:r w:rsidR="00A2325C" w:rsidRPr="007738E2">
        <w:rPr>
          <w:rFonts w:ascii="Times New Roman" w:hAnsi="Times New Roman"/>
        </w:rPr>
        <w:t>).</w:t>
      </w:r>
      <w:r w:rsidR="00A2325C" w:rsidRPr="00A2325C">
        <w:rPr>
          <w:rFonts w:ascii="Times New Roman" w:hAnsi="Times New Roman"/>
          <w:i/>
        </w:rPr>
        <w:t xml:space="preserve"> </w:t>
      </w:r>
    </w:p>
    <w:p w14:paraId="13E0F8B8" w14:textId="77777777" w:rsidR="00725EBC" w:rsidRDefault="00725EBC" w:rsidP="00725EBC">
      <w:pPr>
        <w:rPr>
          <w:rFonts w:ascii="Times New Roman" w:hAnsi="Times New Roman"/>
          <w:b/>
          <w:u w:val="single"/>
        </w:rPr>
      </w:pPr>
      <w:r w:rsidRPr="00017F83">
        <w:rPr>
          <w:rFonts w:ascii="Times New Roman" w:hAnsi="Times New Roman"/>
          <w:b/>
          <w:u w:val="single"/>
        </w:rPr>
        <w:t>Background</w:t>
      </w:r>
    </w:p>
    <w:p w14:paraId="20C96037" w14:textId="354AFC04" w:rsidR="004D13F5" w:rsidRDefault="004D13F5" w:rsidP="003F525E">
      <w:pPr>
        <w:pStyle w:val="BodyText"/>
        <w:spacing w:before="1"/>
      </w:pPr>
      <w:r>
        <w:rPr>
          <w:lang w:val="en-GB"/>
        </w:rPr>
        <w:t xml:space="preserve">Scams over telecommunications networks are a significant problem, causing </w:t>
      </w:r>
      <w:r>
        <w:t>financial and emotional harm to victims.</w:t>
      </w:r>
      <w:r w:rsidR="001A580E">
        <w:t xml:space="preserve"> </w:t>
      </w:r>
      <w:r w:rsidR="007C2689">
        <w:t>There have been cases of scammers using</w:t>
      </w:r>
      <w:r w:rsidR="001A580E" w:rsidRPr="001A580E">
        <w:t xml:space="preserve"> limited personal information to </w:t>
      </w:r>
      <w:r w:rsidR="001A580E">
        <w:t xml:space="preserve">fraudulently </w:t>
      </w:r>
      <w:r w:rsidR="001A580E" w:rsidRPr="001A580E">
        <w:t>port a person’s mobile number from their current service provider</w:t>
      </w:r>
      <w:r w:rsidR="007C2689">
        <w:t xml:space="preserve"> to another. Scammers have</w:t>
      </w:r>
      <w:r w:rsidR="001A580E" w:rsidRPr="001A580E">
        <w:t xml:space="preserve"> then use</w:t>
      </w:r>
      <w:r w:rsidR="007C2689">
        <w:t>d</w:t>
      </w:r>
      <w:r w:rsidR="001A580E" w:rsidRPr="001A580E">
        <w:t xml:space="preserve"> the ported number, and other information, to access the consumer’s bank accounts and authorise transactions by sending bank verification codes to the number.</w:t>
      </w:r>
      <w:r w:rsidR="001A580E">
        <w:t xml:space="preserve"> The Government wants all mobile service providers to implement stronger pre-port identify checks, to minimise instances of fraudulent mobile number porting and reduce associated financial loss and hardship to customers.</w:t>
      </w:r>
    </w:p>
    <w:p w14:paraId="6836F271" w14:textId="77777777" w:rsidR="004D13F5" w:rsidRDefault="004D13F5" w:rsidP="003F525E">
      <w:pPr>
        <w:pStyle w:val="BodyText"/>
        <w:spacing w:before="1"/>
      </w:pPr>
    </w:p>
    <w:p w14:paraId="13E0F8B9" w14:textId="58F72C2B" w:rsidR="00725EBC" w:rsidRDefault="00725EBC" w:rsidP="003F525E">
      <w:pPr>
        <w:pStyle w:val="BodyText"/>
        <w:spacing w:before="1"/>
      </w:pPr>
      <w:r w:rsidRPr="00CD4FCC">
        <w:t>Th</w:t>
      </w:r>
      <w:r w:rsidR="007C2689">
        <w:t>is</w:t>
      </w:r>
      <w:r w:rsidRPr="00CD4FCC">
        <w:t xml:space="preserve"> </w:t>
      </w:r>
      <w:r w:rsidR="00061884" w:rsidRPr="007738E2">
        <w:t>Direction</w:t>
      </w:r>
      <w:r w:rsidR="00061884">
        <w:rPr>
          <w:i/>
        </w:rPr>
        <w:t xml:space="preserve"> </w:t>
      </w:r>
      <w:r w:rsidR="00815CD0">
        <w:t xml:space="preserve">requires </w:t>
      </w:r>
      <w:r w:rsidR="003F525E">
        <w:t>ACMA to determine an industry standard that is</w:t>
      </w:r>
      <w:r>
        <w:t xml:space="preserve"> to apply to </w:t>
      </w:r>
      <w:r w:rsidR="008D617B">
        <w:t xml:space="preserve">mobile </w:t>
      </w:r>
      <w:r>
        <w:t xml:space="preserve">carriage service </w:t>
      </w:r>
      <w:r w:rsidR="003F525E">
        <w:t xml:space="preserve">providers. The Direction </w:t>
      </w:r>
      <w:r w:rsidR="00815CD0">
        <w:t xml:space="preserve">will require </w:t>
      </w:r>
      <w:r w:rsidR="003F525E">
        <w:t xml:space="preserve">ACMA to mandate identity verification measures before mobile </w:t>
      </w:r>
      <w:r w:rsidR="00737C27">
        <w:t xml:space="preserve">service </w:t>
      </w:r>
      <w:r w:rsidR="003F525E">
        <w:t xml:space="preserve">numbers can be transferred from one provider to another. The new industry standard will help prevent criminals from fraudulently porting mobile </w:t>
      </w:r>
      <w:r w:rsidR="00737C27">
        <w:t xml:space="preserve">service </w:t>
      </w:r>
      <w:r w:rsidR="003F525E">
        <w:t xml:space="preserve">numbers from one provider to another to access their victims’ bank accounts and other applications containing sensitive information. </w:t>
      </w:r>
    </w:p>
    <w:p w14:paraId="5B5B5031" w14:textId="77777777" w:rsidR="003F525E" w:rsidRDefault="003F525E" w:rsidP="003F525E">
      <w:pPr>
        <w:pStyle w:val="BodyText"/>
        <w:spacing w:before="1"/>
      </w:pPr>
    </w:p>
    <w:p w14:paraId="587886C2" w14:textId="0A26B87B" w:rsidR="007738E2" w:rsidRDefault="003F525E" w:rsidP="003F525E">
      <w:pPr>
        <w:pStyle w:val="BodyText"/>
        <w:spacing w:before="1"/>
        <w:rPr>
          <w:lang w:val="en-GB"/>
        </w:rPr>
      </w:pPr>
      <w:r>
        <w:rPr>
          <w:lang w:val="en-GB"/>
        </w:rPr>
        <w:lastRenderedPageBreak/>
        <w:t xml:space="preserve">The </w:t>
      </w:r>
      <w:r w:rsidR="00815CD0">
        <w:rPr>
          <w:lang w:val="en-GB"/>
        </w:rPr>
        <w:t xml:space="preserve">new industry </w:t>
      </w:r>
      <w:r>
        <w:rPr>
          <w:lang w:val="en-GB"/>
        </w:rPr>
        <w:t xml:space="preserve">standard </w:t>
      </w:r>
      <w:r w:rsidR="004D13F5">
        <w:rPr>
          <w:lang w:val="en-GB"/>
        </w:rPr>
        <w:t xml:space="preserve">to be made by ACMA </w:t>
      </w:r>
      <w:r w:rsidR="00815CD0">
        <w:rPr>
          <w:lang w:val="en-GB"/>
        </w:rPr>
        <w:t xml:space="preserve">will need to include pre-port identity verification processes that are practicable, robust, technically feasible and </w:t>
      </w:r>
      <w:r w:rsidR="007C2689">
        <w:rPr>
          <w:lang w:val="en-GB"/>
        </w:rPr>
        <w:t xml:space="preserve">do not impose undue financial or administrative burdens on </w:t>
      </w:r>
      <w:r w:rsidR="00815CD0">
        <w:rPr>
          <w:lang w:val="en-GB"/>
        </w:rPr>
        <w:t xml:space="preserve">customers or carriage service providers. </w:t>
      </w:r>
      <w:r w:rsidR="007738E2">
        <w:rPr>
          <w:lang w:val="en-GB"/>
        </w:rPr>
        <w:t xml:space="preserve">ACMA should have regard to the costs of verification on customers, and it is preferable that those costs be nil if practicable. </w:t>
      </w:r>
    </w:p>
    <w:p w14:paraId="46DBF904" w14:textId="77777777" w:rsidR="007738E2" w:rsidRDefault="007738E2" w:rsidP="003F525E">
      <w:pPr>
        <w:pStyle w:val="BodyText"/>
        <w:spacing w:before="1"/>
        <w:rPr>
          <w:lang w:val="en-GB"/>
        </w:rPr>
      </w:pPr>
    </w:p>
    <w:p w14:paraId="5B3BDB28" w14:textId="034BDFB3" w:rsidR="003F525E" w:rsidRDefault="00815CD0" w:rsidP="003F525E">
      <w:pPr>
        <w:pStyle w:val="BodyText"/>
        <w:spacing w:before="1"/>
        <w:rPr>
          <w:lang w:val="en-GB"/>
        </w:rPr>
      </w:pPr>
      <w:r>
        <w:rPr>
          <w:lang w:val="en-GB"/>
        </w:rPr>
        <w:t xml:space="preserve">The Direction </w:t>
      </w:r>
      <w:r w:rsidR="003F525E">
        <w:rPr>
          <w:lang w:val="en-GB"/>
        </w:rPr>
        <w:t>includes options for pre-port identity verification that could be included in the new standard. These include</w:t>
      </w:r>
      <w:r>
        <w:rPr>
          <w:lang w:val="en-GB"/>
        </w:rPr>
        <w:t xml:space="preserve"> various forms of</w:t>
      </w:r>
      <w:r>
        <w:t xml:space="preserve"> identity </w:t>
      </w:r>
      <w:r w:rsidR="003F525E">
        <w:t xml:space="preserve">authentication before a number is ported, such as: </w:t>
      </w:r>
      <w:r w:rsidR="00737C27">
        <w:t>sending a message</w:t>
      </w:r>
      <w:r>
        <w:t xml:space="preserve"> to the</w:t>
      </w:r>
      <w:r w:rsidR="00737C27">
        <w:t xml:space="preserve"> mobile service</w:t>
      </w:r>
      <w:r>
        <w:t xml:space="preserve"> number</w:t>
      </w:r>
      <w:r w:rsidR="003F525E">
        <w:t xml:space="preserve"> that includes a </w:t>
      </w:r>
      <w:r w:rsidR="007C2689">
        <w:t xml:space="preserve">unique </w:t>
      </w:r>
      <w:r w:rsidR="00737C27">
        <w:t>verification</w:t>
      </w:r>
      <w:r w:rsidR="003F525E">
        <w:t xml:space="preserve"> code; </w:t>
      </w:r>
      <w:r w:rsidR="00737C27">
        <w:t xml:space="preserve">sending </w:t>
      </w:r>
      <w:r w:rsidR="007C2689">
        <w:t>a message to the email address of the customer</w:t>
      </w:r>
      <w:r w:rsidR="00737C27">
        <w:t xml:space="preserve"> that includes a unique verification code</w:t>
      </w:r>
      <w:r w:rsidR="007C2689">
        <w:t xml:space="preserve">; </w:t>
      </w:r>
      <w:r w:rsidR="003F525E">
        <w:t>calling the relevant</w:t>
      </w:r>
      <w:r w:rsidR="00943EA6">
        <w:t xml:space="preserve"> mobile service</w:t>
      </w:r>
      <w:r w:rsidR="003F525E">
        <w:t xml:space="preserve"> number in-store; </w:t>
      </w:r>
      <w:r>
        <w:t xml:space="preserve">calling the </w:t>
      </w:r>
      <w:r w:rsidR="00943EA6">
        <w:t xml:space="preserve">relevant mobile service </w:t>
      </w:r>
      <w:r>
        <w:t>number to be ported from a call centre; or using a form of biometric data.</w:t>
      </w:r>
    </w:p>
    <w:p w14:paraId="432B5FF5" w14:textId="77777777" w:rsidR="00815CD0" w:rsidRDefault="00815CD0" w:rsidP="00815CD0">
      <w:pPr>
        <w:pStyle w:val="BodyText"/>
        <w:spacing w:before="1"/>
      </w:pPr>
    </w:p>
    <w:p w14:paraId="6B7B5CFF" w14:textId="50C6A100" w:rsidR="004D13F5" w:rsidRDefault="00815CD0" w:rsidP="00815CD0">
      <w:pPr>
        <w:pStyle w:val="BodyText"/>
        <w:spacing w:before="1"/>
      </w:pPr>
      <w:r>
        <w:t>At the t</w:t>
      </w:r>
      <w:r w:rsidR="007738E2">
        <w:t>ime the Direction was made, some</w:t>
      </w:r>
      <w:r>
        <w:t xml:space="preserve"> carriage service providers had</w:t>
      </w:r>
      <w:r w:rsidR="003F525E">
        <w:t xml:space="preserve"> </w:t>
      </w:r>
      <w:r w:rsidR="003F525E">
        <w:rPr>
          <w:lang w:val="en-GB"/>
        </w:rPr>
        <w:t xml:space="preserve">introduced stronger pre-port verification </w:t>
      </w:r>
      <w:r>
        <w:rPr>
          <w:lang w:val="en-GB"/>
        </w:rPr>
        <w:t xml:space="preserve">arrangements, or were in the process of doing so, under </w:t>
      </w:r>
      <w:r w:rsidR="007C2689">
        <w:rPr>
          <w:lang w:val="en-GB"/>
        </w:rPr>
        <w:t xml:space="preserve">guidance material </w:t>
      </w:r>
      <w:r>
        <w:rPr>
          <w:lang w:val="en-GB"/>
        </w:rPr>
        <w:t>developed by the telecom</w:t>
      </w:r>
      <w:r w:rsidR="007738E2">
        <w:rPr>
          <w:lang w:val="en-GB"/>
        </w:rPr>
        <w:t>munications industry. T</w:t>
      </w:r>
      <w:r>
        <w:rPr>
          <w:lang w:val="en-GB"/>
        </w:rPr>
        <w:t xml:space="preserve">he Direction will help achieve industry-wide coverage so that </w:t>
      </w:r>
      <w:r w:rsidR="003F525E">
        <w:rPr>
          <w:lang w:val="en-GB"/>
        </w:rPr>
        <w:t>A</w:t>
      </w:r>
      <w:r>
        <w:rPr>
          <w:lang w:val="en-GB"/>
        </w:rPr>
        <w:t xml:space="preserve">ustralians can </w:t>
      </w:r>
      <w:r w:rsidR="00E017DB">
        <w:t>safely</w:t>
      </w:r>
      <w:r w:rsidR="003F525E">
        <w:t xml:space="preserve"> </w:t>
      </w:r>
      <w:r w:rsidR="003F525E" w:rsidRPr="003605D9">
        <w:t xml:space="preserve">conduct online banking and </w:t>
      </w:r>
      <w:r w:rsidR="003F525E">
        <w:t xml:space="preserve">on </w:t>
      </w:r>
      <w:r>
        <w:t xml:space="preserve">activities on their mobile phone. </w:t>
      </w:r>
    </w:p>
    <w:p w14:paraId="79491CFC" w14:textId="77777777" w:rsidR="004D13F5" w:rsidRDefault="004D13F5" w:rsidP="00815CD0">
      <w:pPr>
        <w:pStyle w:val="BodyText"/>
        <w:spacing w:before="1"/>
      </w:pPr>
    </w:p>
    <w:p w14:paraId="7A62056D" w14:textId="26D390E9" w:rsidR="00815CD0" w:rsidRDefault="00815CD0" w:rsidP="00815CD0">
      <w:pPr>
        <w:pStyle w:val="BodyText"/>
        <w:spacing w:before="1"/>
      </w:pPr>
      <w:r>
        <w:t xml:space="preserve">Industry </w:t>
      </w:r>
      <w:r w:rsidR="004D13F5">
        <w:t xml:space="preserve">standards come with </w:t>
      </w:r>
      <w:r>
        <w:t xml:space="preserve">enforcement options under the </w:t>
      </w:r>
      <w:r w:rsidRPr="004D13F5">
        <w:rPr>
          <w:i/>
        </w:rPr>
        <w:t>Telecommunication</w:t>
      </w:r>
      <w:r w:rsidR="0046720F">
        <w:rPr>
          <w:i/>
        </w:rPr>
        <w:t> </w:t>
      </w:r>
      <w:r w:rsidRPr="004D13F5">
        <w:rPr>
          <w:i/>
        </w:rPr>
        <w:t>Act</w:t>
      </w:r>
      <w:r w:rsidR="0046720F">
        <w:rPr>
          <w:i/>
        </w:rPr>
        <w:t> </w:t>
      </w:r>
      <w:r w:rsidRPr="004D13F5">
        <w:rPr>
          <w:i/>
        </w:rPr>
        <w:t>1997</w:t>
      </w:r>
      <w:r>
        <w:t>, including</w:t>
      </w:r>
      <w:r w:rsidR="004D13F5">
        <w:t xml:space="preserve"> formal warnings and civil penalties of up to $250,000. In making the new industry standard, ACMA must consider conferring powers and functions on the Telecommunications Industry Ombudsman in respect of consumer complaints about the unauthorised porting of mobile numbers. </w:t>
      </w:r>
    </w:p>
    <w:p w14:paraId="3E782B7A" w14:textId="77777777" w:rsidR="00815CD0" w:rsidRPr="00815CD0" w:rsidRDefault="00815CD0" w:rsidP="00815CD0">
      <w:pPr>
        <w:pStyle w:val="BodyText"/>
        <w:spacing w:before="1"/>
        <w:rPr>
          <w:lang w:val="en-GB"/>
        </w:rPr>
      </w:pPr>
    </w:p>
    <w:p w14:paraId="13E0F8BC" w14:textId="7E180418" w:rsidR="00725EBC" w:rsidRPr="00017F83" w:rsidRDefault="00725EBC" w:rsidP="00725EBC">
      <w:pPr>
        <w:rPr>
          <w:rFonts w:ascii="Times New Roman" w:hAnsi="Times New Roman"/>
          <w:b/>
          <w:u w:val="single"/>
        </w:rPr>
      </w:pPr>
      <w:r w:rsidRPr="00017F83">
        <w:rPr>
          <w:rFonts w:ascii="Times New Roman" w:hAnsi="Times New Roman"/>
          <w:b/>
          <w:u w:val="single"/>
        </w:rPr>
        <w:t>Regulation Impact Statement</w:t>
      </w:r>
    </w:p>
    <w:p w14:paraId="13E0F8BD" w14:textId="50CAC92A" w:rsidR="00725EBC" w:rsidRPr="00227895" w:rsidRDefault="00F03EB7" w:rsidP="008D617B">
      <w:pPr>
        <w:rPr>
          <w:rFonts w:cs="Arial"/>
        </w:rPr>
      </w:pPr>
      <w:r>
        <w:rPr>
          <w:rFonts w:ascii="Times New Roman" w:hAnsi="Times New Roman"/>
        </w:rPr>
        <w:t>OBPR has advised that a regulation impact statement is not required for the Direction, but will be needed to inform development of the new industry standard (OBPR ID: 25714)</w:t>
      </w:r>
    </w:p>
    <w:p w14:paraId="13E0F8BE" w14:textId="77777777" w:rsidR="00725EBC" w:rsidRPr="000D768E" w:rsidRDefault="00725EBC" w:rsidP="00725EBC">
      <w:pPr>
        <w:rPr>
          <w:rFonts w:ascii="Times New Roman" w:hAnsi="Times New Roman"/>
          <w:b/>
          <w:u w:val="single"/>
        </w:rPr>
      </w:pPr>
      <w:r w:rsidRPr="000D768E">
        <w:rPr>
          <w:rFonts w:ascii="Times New Roman" w:hAnsi="Times New Roman"/>
          <w:b/>
          <w:u w:val="single"/>
        </w:rPr>
        <w:t>Consultation</w:t>
      </w:r>
    </w:p>
    <w:p w14:paraId="13E0F8BF" w14:textId="094AE4D1" w:rsidR="00725EBC" w:rsidRPr="00A9646C" w:rsidRDefault="00737C27" w:rsidP="00725EBC">
      <w:pPr>
        <w:ind w:right="91"/>
        <w:rPr>
          <w:rFonts w:ascii="Times New Roman" w:hAnsi="Times New Roman"/>
        </w:rPr>
      </w:pPr>
      <w:r>
        <w:rPr>
          <w:rFonts w:ascii="Times New Roman" w:hAnsi="Times New Roman"/>
        </w:rPr>
        <w:t>ACMA</w:t>
      </w:r>
      <w:r w:rsidR="007C2689">
        <w:rPr>
          <w:rFonts w:ascii="Times New Roman" w:hAnsi="Times New Roman"/>
        </w:rPr>
        <w:t>, Communications Alliance</w:t>
      </w:r>
      <w:r w:rsidR="004D13F5">
        <w:rPr>
          <w:rFonts w:ascii="Times New Roman" w:hAnsi="Times New Roman"/>
        </w:rPr>
        <w:t xml:space="preserve"> and members of the telecommunications industry were</w:t>
      </w:r>
      <w:r w:rsidR="008D617B">
        <w:rPr>
          <w:rFonts w:ascii="Times New Roman" w:hAnsi="Times New Roman"/>
        </w:rPr>
        <w:t xml:space="preserve"> </w:t>
      </w:r>
      <w:r w:rsidR="00725EBC" w:rsidRPr="00A9646C">
        <w:rPr>
          <w:rFonts w:ascii="Times New Roman" w:hAnsi="Times New Roman"/>
        </w:rPr>
        <w:t>consulted on the proposed Direction.</w:t>
      </w:r>
    </w:p>
    <w:p w14:paraId="13E0F8C0" w14:textId="77777777" w:rsidR="00725EBC" w:rsidRPr="00017F83" w:rsidRDefault="008D617B" w:rsidP="00725EBC">
      <w:pPr>
        <w:ind w:right="91"/>
        <w:rPr>
          <w:rFonts w:ascii="Times New Roman" w:hAnsi="Times New Roman"/>
          <w:b/>
          <w:u w:val="single"/>
        </w:rPr>
      </w:pPr>
      <w:r>
        <w:rPr>
          <w:rFonts w:ascii="Times New Roman" w:hAnsi="Times New Roman"/>
          <w:b/>
          <w:u w:val="single"/>
        </w:rPr>
        <w:br w:type="column"/>
      </w:r>
      <w:r w:rsidR="00725EBC" w:rsidRPr="00017F83">
        <w:rPr>
          <w:rFonts w:ascii="Times New Roman" w:hAnsi="Times New Roman"/>
          <w:b/>
          <w:u w:val="single"/>
        </w:rPr>
        <w:lastRenderedPageBreak/>
        <w:t>Notes on Sections</w:t>
      </w:r>
    </w:p>
    <w:p w14:paraId="13E0F8C1" w14:textId="77777777" w:rsidR="00725EBC" w:rsidRPr="00FF2A48" w:rsidRDefault="00725EBC" w:rsidP="00725EBC">
      <w:pPr>
        <w:ind w:right="91"/>
        <w:rPr>
          <w:rFonts w:ascii="Times New Roman" w:hAnsi="Times New Roman"/>
          <w:b/>
        </w:rPr>
      </w:pPr>
      <w:r>
        <w:rPr>
          <w:rFonts w:ascii="Times New Roman" w:hAnsi="Times New Roman"/>
          <w:b/>
        </w:rPr>
        <w:t>Part 1—</w:t>
      </w:r>
      <w:r w:rsidRPr="00FF2A48">
        <w:rPr>
          <w:rFonts w:ascii="Times New Roman" w:hAnsi="Times New Roman"/>
          <w:b/>
        </w:rPr>
        <w:t>Introduction</w:t>
      </w:r>
    </w:p>
    <w:p w14:paraId="13E0F8C2" w14:textId="77777777" w:rsidR="00725EBC" w:rsidRDefault="00725EBC" w:rsidP="00725EBC">
      <w:pPr>
        <w:ind w:right="91"/>
        <w:rPr>
          <w:rFonts w:ascii="Times New Roman" w:hAnsi="Times New Roman"/>
          <w:u w:val="single"/>
        </w:rPr>
      </w:pPr>
      <w:r w:rsidRPr="00CD4FCC">
        <w:rPr>
          <w:rFonts w:ascii="Times New Roman" w:hAnsi="Times New Roman"/>
          <w:u w:val="single"/>
        </w:rPr>
        <w:t>Section 1</w:t>
      </w:r>
      <w:r>
        <w:rPr>
          <w:rFonts w:ascii="Times New Roman" w:hAnsi="Times New Roman"/>
          <w:u w:val="single"/>
        </w:rPr>
        <w:t xml:space="preserve"> – </w:t>
      </w:r>
      <w:r w:rsidRPr="00CD4FCC">
        <w:rPr>
          <w:rFonts w:ascii="Times New Roman" w:hAnsi="Times New Roman"/>
          <w:u w:val="single"/>
        </w:rPr>
        <w:t>Name</w:t>
      </w:r>
    </w:p>
    <w:p w14:paraId="13E0F8C3" w14:textId="55BE966A" w:rsidR="00725EBC" w:rsidRPr="00CD4FCC" w:rsidRDefault="00725EBC" w:rsidP="00725EBC">
      <w:pPr>
        <w:ind w:right="91"/>
        <w:rPr>
          <w:rFonts w:ascii="Times New Roman" w:hAnsi="Times New Roman"/>
        </w:rPr>
      </w:pPr>
      <w:r>
        <w:rPr>
          <w:rFonts w:ascii="Times New Roman" w:hAnsi="Times New Roman"/>
        </w:rPr>
        <w:t>This section p</w:t>
      </w:r>
      <w:r w:rsidRPr="00CD4FCC">
        <w:rPr>
          <w:rFonts w:ascii="Times New Roman" w:hAnsi="Times New Roman"/>
        </w:rPr>
        <w:t xml:space="preserve">rovides that the name of the instrument is the </w:t>
      </w:r>
      <w:r w:rsidR="008D617B" w:rsidRPr="008D617B">
        <w:rPr>
          <w:rFonts w:ascii="Times New Roman" w:hAnsi="Times New Roman"/>
          <w:i/>
        </w:rPr>
        <w:t xml:space="preserve">Telecommunications (Industry Standard for Mobile Number Pre-Porting </w:t>
      </w:r>
      <w:r w:rsidR="00591C16">
        <w:rPr>
          <w:rFonts w:ascii="Times New Roman" w:hAnsi="Times New Roman"/>
          <w:i/>
        </w:rPr>
        <w:t xml:space="preserve">Additional </w:t>
      </w:r>
      <w:r w:rsidR="008D617B" w:rsidRPr="008D617B">
        <w:rPr>
          <w:rFonts w:ascii="Times New Roman" w:hAnsi="Times New Roman"/>
          <w:i/>
        </w:rPr>
        <w:t>Identity Verification) Direction 2019</w:t>
      </w:r>
      <w:r w:rsidRPr="00CD4FCC">
        <w:rPr>
          <w:rFonts w:ascii="Times New Roman" w:hAnsi="Times New Roman"/>
          <w:iCs/>
        </w:rPr>
        <w:t>.</w:t>
      </w:r>
    </w:p>
    <w:p w14:paraId="13E0F8C4" w14:textId="77777777" w:rsidR="00725EBC" w:rsidRPr="00CD4FCC" w:rsidRDefault="00725EBC" w:rsidP="00725EBC">
      <w:pPr>
        <w:rPr>
          <w:rFonts w:ascii="Times New Roman" w:hAnsi="Times New Roman"/>
          <w:u w:val="single"/>
        </w:rPr>
      </w:pPr>
      <w:r w:rsidRPr="00CD4FCC">
        <w:rPr>
          <w:rFonts w:ascii="Times New Roman" w:hAnsi="Times New Roman"/>
          <w:u w:val="single"/>
        </w:rPr>
        <w:t xml:space="preserve">Section 2 </w:t>
      </w:r>
      <w:r>
        <w:rPr>
          <w:rFonts w:ascii="Times New Roman" w:hAnsi="Times New Roman"/>
          <w:u w:val="single"/>
        </w:rPr>
        <w:t>–</w:t>
      </w:r>
      <w:r w:rsidRPr="00CD4FCC">
        <w:rPr>
          <w:rFonts w:ascii="Times New Roman" w:hAnsi="Times New Roman"/>
          <w:u w:val="single"/>
        </w:rPr>
        <w:t xml:space="preserve"> Commencement</w:t>
      </w:r>
    </w:p>
    <w:p w14:paraId="13E0F8C5" w14:textId="1D6AFAB6" w:rsidR="00725EBC" w:rsidRDefault="00725EBC" w:rsidP="00725EBC">
      <w:pPr>
        <w:rPr>
          <w:rFonts w:ascii="Times New Roman" w:hAnsi="Times New Roman"/>
        </w:rPr>
      </w:pPr>
      <w:r>
        <w:rPr>
          <w:rFonts w:ascii="Times New Roman" w:hAnsi="Times New Roman"/>
        </w:rPr>
        <w:t xml:space="preserve">This section </w:t>
      </w:r>
      <w:r w:rsidRPr="00CD4FCC">
        <w:rPr>
          <w:rFonts w:ascii="Times New Roman" w:hAnsi="Times New Roman"/>
        </w:rPr>
        <w:t xml:space="preserve">provides that the instrument will commence on </w:t>
      </w:r>
      <w:r>
        <w:rPr>
          <w:rFonts w:ascii="Times New Roman" w:hAnsi="Times New Roman"/>
        </w:rPr>
        <w:t>the day it is registered on the Federal Register of Legislati</w:t>
      </w:r>
      <w:r w:rsidR="00E017DB">
        <w:rPr>
          <w:rFonts w:ascii="Times New Roman" w:hAnsi="Times New Roman"/>
        </w:rPr>
        <w:t>on</w:t>
      </w:r>
      <w:r w:rsidRPr="00CD4FCC">
        <w:rPr>
          <w:rFonts w:ascii="Times New Roman" w:hAnsi="Times New Roman"/>
        </w:rPr>
        <w:t>.</w:t>
      </w:r>
    </w:p>
    <w:p w14:paraId="13E0F8C6" w14:textId="77777777" w:rsidR="00725EBC" w:rsidRDefault="00725EBC" w:rsidP="00725EBC">
      <w:pPr>
        <w:rPr>
          <w:rFonts w:ascii="Times New Roman" w:hAnsi="Times New Roman"/>
          <w:u w:val="single"/>
        </w:rPr>
      </w:pPr>
      <w:r>
        <w:rPr>
          <w:rFonts w:ascii="Times New Roman" w:hAnsi="Times New Roman"/>
          <w:u w:val="single"/>
        </w:rPr>
        <w:t>Section 3 – Authority</w:t>
      </w:r>
    </w:p>
    <w:p w14:paraId="13E0F8C7" w14:textId="3BC181E5" w:rsidR="00725EBC" w:rsidRDefault="00725EBC" w:rsidP="00725EBC">
      <w:pPr>
        <w:rPr>
          <w:rFonts w:ascii="Times New Roman" w:hAnsi="Times New Roman"/>
        </w:rPr>
      </w:pPr>
      <w:r>
        <w:rPr>
          <w:rFonts w:ascii="Times New Roman" w:hAnsi="Times New Roman"/>
        </w:rPr>
        <w:t xml:space="preserve">This section provides that the instrument is made under subsection 125AA(4) of the </w:t>
      </w:r>
      <w:r>
        <w:rPr>
          <w:rFonts w:ascii="Times New Roman" w:hAnsi="Times New Roman"/>
          <w:i/>
        </w:rPr>
        <w:t>Telecommunications Act 1997</w:t>
      </w:r>
      <w:r w:rsidR="00E017DB">
        <w:rPr>
          <w:rFonts w:ascii="Times New Roman" w:hAnsi="Times New Roman"/>
          <w:i/>
        </w:rPr>
        <w:t xml:space="preserve"> </w:t>
      </w:r>
      <w:r w:rsidR="00E017DB" w:rsidRPr="00E017DB">
        <w:rPr>
          <w:rFonts w:ascii="Times New Roman" w:hAnsi="Times New Roman"/>
        </w:rPr>
        <w:t>(</w:t>
      </w:r>
      <w:r w:rsidR="004F2FDC">
        <w:rPr>
          <w:rFonts w:ascii="Times New Roman" w:hAnsi="Times New Roman"/>
        </w:rPr>
        <w:t xml:space="preserve">the </w:t>
      </w:r>
      <w:r w:rsidR="00E017DB">
        <w:rPr>
          <w:rFonts w:ascii="Times New Roman" w:hAnsi="Times New Roman"/>
        </w:rPr>
        <w:t>A</w:t>
      </w:r>
      <w:r w:rsidR="00E017DB" w:rsidRPr="00E017DB">
        <w:rPr>
          <w:rFonts w:ascii="Times New Roman" w:hAnsi="Times New Roman"/>
        </w:rPr>
        <w:t>ct)</w:t>
      </w:r>
      <w:r>
        <w:rPr>
          <w:rFonts w:ascii="Times New Roman" w:hAnsi="Times New Roman"/>
        </w:rPr>
        <w:t>.</w:t>
      </w:r>
    </w:p>
    <w:p w14:paraId="13E0F8C8" w14:textId="77777777" w:rsidR="00725EBC" w:rsidRDefault="00725EBC" w:rsidP="00725EBC">
      <w:pPr>
        <w:rPr>
          <w:rFonts w:ascii="Times New Roman" w:hAnsi="Times New Roman"/>
          <w:u w:val="single"/>
        </w:rPr>
      </w:pPr>
      <w:r>
        <w:rPr>
          <w:rFonts w:ascii="Times New Roman" w:hAnsi="Times New Roman"/>
          <w:u w:val="single"/>
        </w:rPr>
        <w:t>Section 4 – Definitions</w:t>
      </w:r>
    </w:p>
    <w:p w14:paraId="13E0F8C9" w14:textId="1E205395" w:rsidR="00725EBC" w:rsidRDefault="00725EBC" w:rsidP="00725EBC">
      <w:pPr>
        <w:rPr>
          <w:rFonts w:ascii="Times New Roman" w:hAnsi="Times New Roman"/>
        </w:rPr>
      </w:pPr>
      <w:r>
        <w:rPr>
          <w:rFonts w:ascii="Times New Roman" w:hAnsi="Times New Roman"/>
        </w:rPr>
        <w:t>This section sets out a number of definitions for the purposes of the instrument.</w:t>
      </w:r>
    </w:p>
    <w:p w14:paraId="5933447C" w14:textId="2C20D735" w:rsidR="009135C0" w:rsidRDefault="009135C0" w:rsidP="00725EBC">
      <w:pPr>
        <w:rPr>
          <w:rFonts w:ascii="Times New Roman" w:hAnsi="Times New Roman"/>
        </w:rPr>
      </w:pPr>
      <w:r>
        <w:rPr>
          <w:rFonts w:ascii="Times New Roman" w:hAnsi="Times New Roman"/>
        </w:rPr>
        <w:t>The note to this section informs the reader that a number of expressions used in the instrument are defined in the</w:t>
      </w:r>
      <w:r w:rsidRPr="009135C0">
        <w:rPr>
          <w:rFonts w:ascii="Times New Roman" w:hAnsi="Times New Roman"/>
          <w:i/>
        </w:rPr>
        <w:t xml:space="preserve"> </w:t>
      </w:r>
      <w:r w:rsidR="00E017DB">
        <w:rPr>
          <w:rFonts w:ascii="Times New Roman" w:hAnsi="Times New Roman"/>
        </w:rPr>
        <w:t>Act</w:t>
      </w:r>
      <w:r>
        <w:rPr>
          <w:rFonts w:ascii="Times New Roman" w:hAnsi="Times New Roman"/>
        </w:rPr>
        <w:t>.</w:t>
      </w:r>
    </w:p>
    <w:p w14:paraId="13E0F8CA" w14:textId="77777777" w:rsidR="00725EBC" w:rsidRDefault="00725EBC" w:rsidP="00725EBC">
      <w:pPr>
        <w:rPr>
          <w:rFonts w:ascii="Times New Roman" w:hAnsi="Times New Roman"/>
        </w:rPr>
      </w:pPr>
      <w:r>
        <w:rPr>
          <w:rFonts w:ascii="Times New Roman" w:hAnsi="Times New Roman"/>
          <w:i/>
        </w:rPr>
        <w:t xml:space="preserve">ACMA </w:t>
      </w:r>
      <w:r>
        <w:rPr>
          <w:rFonts w:ascii="Times New Roman" w:hAnsi="Times New Roman"/>
        </w:rPr>
        <w:t>means the Australian Communications and Media Authority.</w:t>
      </w:r>
    </w:p>
    <w:p w14:paraId="13E0F8CB" w14:textId="77777777" w:rsidR="00725EBC" w:rsidRDefault="00725EBC" w:rsidP="00725EBC">
      <w:pPr>
        <w:rPr>
          <w:rFonts w:ascii="Times New Roman" w:hAnsi="Times New Roman"/>
        </w:rPr>
      </w:pPr>
      <w:r>
        <w:rPr>
          <w:rFonts w:ascii="Times New Roman" w:hAnsi="Times New Roman"/>
          <w:i/>
        </w:rPr>
        <w:t xml:space="preserve">Act </w:t>
      </w:r>
      <w:r>
        <w:rPr>
          <w:rFonts w:ascii="Times New Roman" w:hAnsi="Times New Roman"/>
        </w:rPr>
        <w:t xml:space="preserve">means the </w:t>
      </w:r>
      <w:r>
        <w:rPr>
          <w:rFonts w:ascii="Times New Roman" w:hAnsi="Times New Roman"/>
          <w:i/>
        </w:rPr>
        <w:t>Telecommunications Act 1997</w:t>
      </w:r>
      <w:r>
        <w:rPr>
          <w:rFonts w:ascii="Times New Roman" w:hAnsi="Times New Roman"/>
        </w:rPr>
        <w:t>.</w:t>
      </w:r>
    </w:p>
    <w:p w14:paraId="13E0F8CC" w14:textId="3F5C8500" w:rsidR="008D617B" w:rsidRPr="008D617B" w:rsidRDefault="008D617B" w:rsidP="008D617B">
      <w:pPr>
        <w:rPr>
          <w:rFonts w:ascii="Times New Roman" w:hAnsi="Times New Roman"/>
        </w:rPr>
      </w:pPr>
      <w:r w:rsidRPr="008D617B">
        <w:rPr>
          <w:rFonts w:ascii="Times New Roman" w:hAnsi="Times New Roman"/>
          <w:i/>
        </w:rPr>
        <w:t xml:space="preserve">customer </w:t>
      </w:r>
      <w:r w:rsidRPr="008D617B">
        <w:rPr>
          <w:rFonts w:ascii="Times New Roman" w:hAnsi="Times New Roman"/>
        </w:rPr>
        <w:t xml:space="preserve">means </w:t>
      </w:r>
      <w:r w:rsidR="00E017DB">
        <w:rPr>
          <w:rFonts w:ascii="Times New Roman" w:hAnsi="Times New Roman"/>
        </w:rPr>
        <w:t xml:space="preserve">a </w:t>
      </w:r>
      <w:r w:rsidRPr="008D617B">
        <w:rPr>
          <w:rFonts w:ascii="Times New Roman" w:hAnsi="Times New Roman"/>
        </w:rPr>
        <w:t xml:space="preserve">person with a contractual relationship with </w:t>
      </w:r>
      <w:r w:rsidR="00E017DB">
        <w:rPr>
          <w:rFonts w:ascii="Times New Roman" w:hAnsi="Times New Roman"/>
        </w:rPr>
        <w:t xml:space="preserve">a </w:t>
      </w:r>
      <w:r w:rsidRPr="008D617B">
        <w:rPr>
          <w:rFonts w:ascii="Times New Roman" w:hAnsi="Times New Roman"/>
        </w:rPr>
        <w:t xml:space="preserve">carriage service provider and to whom the carriage service provider has issued </w:t>
      </w:r>
      <w:r w:rsidR="00E017DB">
        <w:rPr>
          <w:rFonts w:ascii="Times New Roman" w:hAnsi="Times New Roman"/>
        </w:rPr>
        <w:t xml:space="preserve">a </w:t>
      </w:r>
      <w:r w:rsidRPr="008D617B">
        <w:rPr>
          <w:rFonts w:ascii="Times New Roman" w:hAnsi="Times New Roman"/>
        </w:rPr>
        <w:t xml:space="preserve">mobile </w:t>
      </w:r>
      <w:r w:rsidR="0087709C">
        <w:rPr>
          <w:rFonts w:ascii="Times New Roman" w:hAnsi="Times New Roman"/>
        </w:rPr>
        <w:t xml:space="preserve">service </w:t>
      </w:r>
      <w:r w:rsidRPr="008D617B">
        <w:rPr>
          <w:rFonts w:ascii="Times New Roman" w:hAnsi="Times New Roman"/>
        </w:rPr>
        <w:t>number.</w:t>
      </w:r>
    </w:p>
    <w:p w14:paraId="418BF1C4" w14:textId="01043D97" w:rsidR="00E017DB" w:rsidRPr="00E017DB" w:rsidRDefault="00E017DB" w:rsidP="00E017DB">
      <w:pPr>
        <w:rPr>
          <w:rFonts w:ascii="Times New Roman" w:hAnsi="Times New Roman"/>
        </w:rPr>
      </w:pPr>
      <w:r>
        <w:rPr>
          <w:rFonts w:ascii="Times New Roman" w:hAnsi="Times New Roman"/>
          <w:i/>
        </w:rPr>
        <w:t xml:space="preserve">digital mobile number </w:t>
      </w:r>
      <w:r w:rsidRPr="00E017DB">
        <w:rPr>
          <w:rFonts w:ascii="Times New Roman" w:hAnsi="Times New Roman"/>
        </w:rPr>
        <w:t xml:space="preserve">has the same meaning as in section 15 under the </w:t>
      </w:r>
      <w:r w:rsidRPr="007738E2">
        <w:rPr>
          <w:rFonts w:ascii="Times New Roman" w:hAnsi="Times New Roman"/>
          <w:i/>
        </w:rPr>
        <w:t>Telecommunications Numbering Plan 2015</w:t>
      </w:r>
      <w:r w:rsidR="006414B4">
        <w:rPr>
          <w:rFonts w:ascii="Times New Roman" w:hAnsi="Times New Roman"/>
          <w:i/>
        </w:rPr>
        <w:t xml:space="preserve"> </w:t>
      </w:r>
      <w:r w:rsidR="006414B4" w:rsidRPr="007738E2">
        <w:rPr>
          <w:rFonts w:ascii="Times New Roman" w:hAnsi="Times New Roman"/>
        </w:rPr>
        <w:t>(Numbering Plan)</w:t>
      </w:r>
      <w:r w:rsidRPr="00E017DB">
        <w:rPr>
          <w:rFonts w:ascii="Times New Roman" w:hAnsi="Times New Roman"/>
        </w:rPr>
        <w:t xml:space="preserve">. </w:t>
      </w:r>
      <w:r w:rsidR="00FD4AA9">
        <w:rPr>
          <w:rFonts w:ascii="Times New Roman" w:hAnsi="Times New Roman"/>
        </w:rPr>
        <w:t xml:space="preserve">Under the </w:t>
      </w:r>
      <w:r w:rsidR="006414B4">
        <w:rPr>
          <w:rFonts w:ascii="Times New Roman" w:hAnsi="Times New Roman"/>
        </w:rPr>
        <w:t xml:space="preserve">Numbering </w:t>
      </w:r>
      <w:r w:rsidR="00FD4AA9">
        <w:rPr>
          <w:rFonts w:ascii="Times New Roman" w:hAnsi="Times New Roman"/>
        </w:rPr>
        <w:t xml:space="preserve">Plan, it means </w:t>
      </w:r>
      <w:r w:rsidR="00FD4AA9" w:rsidRPr="00FD4AA9">
        <w:rPr>
          <w:rFonts w:ascii="Times New Roman" w:hAnsi="Times New Roman"/>
        </w:rPr>
        <w:t xml:space="preserve">a special services number specified in Schedule 5 </w:t>
      </w:r>
      <w:r w:rsidR="00FD4AA9">
        <w:rPr>
          <w:rFonts w:ascii="Times New Roman" w:hAnsi="Times New Roman"/>
        </w:rPr>
        <w:t xml:space="preserve">of the </w:t>
      </w:r>
      <w:r w:rsidR="006414B4">
        <w:rPr>
          <w:rFonts w:ascii="Times New Roman" w:hAnsi="Times New Roman"/>
        </w:rPr>
        <w:t xml:space="preserve">Numbering Plan </w:t>
      </w:r>
      <w:r w:rsidR="00FD4AA9" w:rsidRPr="00FD4AA9">
        <w:rPr>
          <w:rFonts w:ascii="Times New Roman" w:hAnsi="Times New Roman"/>
        </w:rPr>
        <w:t>for use with a digital mobile service.</w:t>
      </w:r>
      <w:r w:rsidR="00FD4AA9">
        <w:rPr>
          <w:rFonts w:ascii="Times New Roman" w:hAnsi="Times New Roman"/>
        </w:rPr>
        <w:t xml:space="preserve"> </w:t>
      </w:r>
      <w:r w:rsidR="007738E2">
        <w:rPr>
          <w:rFonts w:ascii="Times New Roman" w:hAnsi="Times New Roman"/>
        </w:rPr>
        <w:t>T</w:t>
      </w:r>
      <w:r w:rsidR="00FD4AA9">
        <w:rPr>
          <w:rFonts w:ascii="Times New Roman" w:hAnsi="Times New Roman"/>
        </w:rPr>
        <w:t xml:space="preserve">his term is intended to </w:t>
      </w:r>
      <w:r w:rsidR="00591C16">
        <w:rPr>
          <w:rFonts w:ascii="Times New Roman" w:hAnsi="Times New Roman"/>
        </w:rPr>
        <w:t>refer</w:t>
      </w:r>
      <w:r w:rsidRPr="00E017DB">
        <w:rPr>
          <w:rFonts w:ascii="Times New Roman" w:hAnsi="Times New Roman"/>
        </w:rPr>
        <w:t xml:space="preserve"> to a number allocated to a carriage service provider </w:t>
      </w:r>
      <w:r w:rsidR="00185686">
        <w:rPr>
          <w:rFonts w:ascii="Times New Roman" w:hAnsi="Times New Roman"/>
        </w:rPr>
        <w:t xml:space="preserve">by ACMA </w:t>
      </w:r>
      <w:r w:rsidRPr="00E017DB">
        <w:rPr>
          <w:rFonts w:ascii="Times New Roman" w:hAnsi="Times New Roman"/>
        </w:rPr>
        <w:t>for the provision of a public mobile telecommunications service</w:t>
      </w:r>
      <w:r w:rsidR="00185686">
        <w:rPr>
          <w:rFonts w:ascii="Times New Roman" w:hAnsi="Times New Roman"/>
        </w:rPr>
        <w:t xml:space="preserve"> </w:t>
      </w:r>
      <w:r w:rsidR="00FD4AA9">
        <w:rPr>
          <w:rFonts w:ascii="Times New Roman" w:hAnsi="Times New Roman"/>
        </w:rPr>
        <w:t>supplied by a network using digital modulation</w:t>
      </w:r>
      <w:r w:rsidR="002D267D">
        <w:rPr>
          <w:rFonts w:ascii="Times New Roman" w:hAnsi="Times New Roman"/>
        </w:rPr>
        <w:t>.</w:t>
      </w:r>
      <w:r w:rsidR="00FD4AA9">
        <w:rPr>
          <w:rFonts w:ascii="Times New Roman" w:hAnsi="Times New Roman"/>
        </w:rPr>
        <w:t xml:space="preserve"> </w:t>
      </w:r>
    </w:p>
    <w:p w14:paraId="6F89DD41" w14:textId="5327314F" w:rsidR="00E017DB" w:rsidRPr="00E017DB" w:rsidRDefault="00E017DB" w:rsidP="008D617B">
      <w:pPr>
        <w:rPr>
          <w:rFonts w:ascii="Times New Roman" w:hAnsi="Times New Roman"/>
        </w:rPr>
      </w:pPr>
      <w:r w:rsidRPr="00E017DB">
        <w:rPr>
          <w:rFonts w:ascii="Times New Roman" w:hAnsi="Times New Roman"/>
          <w:i/>
        </w:rPr>
        <w:t xml:space="preserve">Gaining CSP </w:t>
      </w:r>
      <w:r w:rsidRPr="00E017DB">
        <w:rPr>
          <w:rFonts w:ascii="Times New Roman" w:hAnsi="Times New Roman"/>
        </w:rPr>
        <w:t xml:space="preserve">means a mobile carriage service provider to which a mobile service number </w:t>
      </w:r>
      <w:r w:rsidR="00A2325C">
        <w:rPr>
          <w:rFonts w:ascii="Times New Roman" w:hAnsi="Times New Roman"/>
        </w:rPr>
        <w:t xml:space="preserve">has or </w:t>
      </w:r>
      <w:r w:rsidRPr="00E017DB">
        <w:rPr>
          <w:rFonts w:ascii="Times New Roman" w:hAnsi="Times New Roman"/>
        </w:rPr>
        <w:t>is to be Ported.</w:t>
      </w:r>
      <w:r>
        <w:rPr>
          <w:rFonts w:ascii="Times New Roman" w:hAnsi="Times New Roman"/>
        </w:rPr>
        <w:t xml:space="preserve"> The concept of ‘Port’ </w:t>
      </w:r>
      <w:r w:rsidR="006D245F">
        <w:rPr>
          <w:rFonts w:ascii="Times New Roman" w:hAnsi="Times New Roman"/>
        </w:rPr>
        <w:t>and its variants ‘Porting’ and ‘Ported’</w:t>
      </w:r>
      <w:r w:rsidR="00A2325C">
        <w:rPr>
          <w:rFonts w:ascii="Times New Roman" w:hAnsi="Times New Roman"/>
        </w:rPr>
        <w:t xml:space="preserve"> </w:t>
      </w:r>
      <w:r>
        <w:rPr>
          <w:rFonts w:ascii="Times New Roman" w:hAnsi="Times New Roman"/>
        </w:rPr>
        <w:t>is central to the Direction</w:t>
      </w:r>
      <w:r w:rsidR="00185686">
        <w:rPr>
          <w:rFonts w:ascii="Times New Roman" w:hAnsi="Times New Roman"/>
        </w:rPr>
        <w:t xml:space="preserve"> – refer below</w:t>
      </w:r>
      <w:r w:rsidR="00591C16">
        <w:rPr>
          <w:rFonts w:ascii="Times New Roman" w:hAnsi="Times New Roman"/>
        </w:rPr>
        <w:t>.</w:t>
      </w:r>
    </w:p>
    <w:p w14:paraId="13E0F8CD" w14:textId="13143AA5" w:rsidR="008D617B" w:rsidRPr="008D617B" w:rsidRDefault="008D617B" w:rsidP="008D617B">
      <w:pPr>
        <w:rPr>
          <w:rFonts w:ascii="Times New Roman" w:hAnsi="Times New Roman"/>
        </w:rPr>
      </w:pPr>
      <w:r w:rsidRPr="008D617B">
        <w:rPr>
          <w:rFonts w:ascii="Times New Roman" w:hAnsi="Times New Roman"/>
          <w:i/>
        </w:rPr>
        <w:t xml:space="preserve">mobile carriage service provider </w:t>
      </w:r>
      <w:r w:rsidRPr="008D617B">
        <w:rPr>
          <w:rFonts w:ascii="Times New Roman" w:hAnsi="Times New Roman"/>
        </w:rPr>
        <w:t xml:space="preserve">means a carriage service provider that supplies or arranges for the supply of a public mobile telecommunications service, and includes their </w:t>
      </w:r>
      <w:r w:rsidR="00185686">
        <w:rPr>
          <w:rFonts w:ascii="Times New Roman" w:hAnsi="Times New Roman"/>
        </w:rPr>
        <w:t xml:space="preserve">authorised </w:t>
      </w:r>
      <w:r w:rsidRPr="008D617B">
        <w:rPr>
          <w:rFonts w:ascii="Times New Roman" w:hAnsi="Times New Roman"/>
        </w:rPr>
        <w:t xml:space="preserve">agents. </w:t>
      </w:r>
      <w:r w:rsidR="004D13F5">
        <w:rPr>
          <w:rFonts w:ascii="Times New Roman" w:hAnsi="Times New Roman"/>
        </w:rPr>
        <w:t>In this context ‘</w:t>
      </w:r>
      <w:r w:rsidR="00185686">
        <w:rPr>
          <w:rFonts w:ascii="Times New Roman" w:hAnsi="Times New Roman"/>
        </w:rPr>
        <w:t xml:space="preserve">authorised </w:t>
      </w:r>
      <w:r w:rsidR="004D13F5">
        <w:rPr>
          <w:rFonts w:ascii="Times New Roman" w:hAnsi="Times New Roman"/>
        </w:rPr>
        <w:t xml:space="preserve">agents’ is intended to have the same </w:t>
      </w:r>
      <w:r w:rsidR="00185686">
        <w:rPr>
          <w:rFonts w:ascii="Times New Roman" w:hAnsi="Times New Roman"/>
        </w:rPr>
        <w:t xml:space="preserve">industry </w:t>
      </w:r>
      <w:r w:rsidR="004D13F5">
        <w:rPr>
          <w:rFonts w:ascii="Times New Roman" w:hAnsi="Times New Roman"/>
        </w:rPr>
        <w:t xml:space="preserve">meaning </w:t>
      </w:r>
      <w:r w:rsidR="00185686">
        <w:rPr>
          <w:rFonts w:ascii="Times New Roman" w:hAnsi="Times New Roman"/>
        </w:rPr>
        <w:t xml:space="preserve">as applied in the </w:t>
      </w:r>
      <w:r w:rsidR="00ED5399">
        <w:rPr>
          <w:rFonts w:ascii="Times New Roman" w:hAnsi="Times New Roman"/>
        </w:rPr>
        <w:t xml:space="preserve">industry code, </w:t>
      </w:r>
      <w:hyperlink r:id="rId11" w:history="1">
        <w:r w:rsidR="00ED5399" w:rsidRPr="00ED5399">
          <w:rPr>
            <w:rFonts w:ascii="Times New Roman" w:hAnsi="Times New Roman"/>
            <w:i/>
          </w:rPr>
          <w:t>C570:2009 Mobile Number Portability - Incorporating Amendment No.1/2015</w:t>
        </w:r>
      </w:hyperlink>
      <w:r w:rsidR="004D13F5">
        <w:rPr>
          <w:rFonts w:ascii="Times New Roman" w:hAnsi="Times New Roman"/>
        </w:rPr>
        <w:t xml:space="preserve">. </w:t>
      </w:r>
    </w:p>
    <w:p w14:paraId="13E0F8CE" w14:textId="44F41BD5" w:rsidR="008D617B" w:rsidRPr="008D617B" w:rsidRDefault="008D617B" w:rsidP="008D617B">
      <w:pPr>
        <w:rPr>
          <w:rFonts w:ascii="Times New Roman" w:hAnsi="Times New Roman"/>
        </w:rPr>
      </w:pPr>
      <w:r w:rsidRPr="008D617B">
        <w:rPr>
          <w:rFonts w:ascii="Times New Roman" w:hAnsi="Times New Roman"/>
          <w:i/>
        </w:rPr>
        <w:t xml:space="preserve">mobile </w:t>
      </w:r>
      <w:r w:rsidR="00400485">
        <w:rPr>
          <w:rFonts w:ascii="Times New Roman" w:hAnsi="Times New Roman"/>
          <w:i/>
        </w:rPr>
        <w:t xml:space="preserve">service </w:t>
      </w:r>
      <w:r w:rsidRPr="008D617B">
        <w:rPr>
          <w:rFonts w:ascii="Times New Roman" w:hAnsi="Times New Roman"/>
          <w:i/>
        </w:rPr>
        <w:t xml:space="preserve">number </w:t>
      </w:r>
      <w:r w:rsidRPr="008D617B">
        <w:rPr>
          <w:rFonts w:ascii="Times New Roman" w:hAnsi="Times New Roman"/>
        </w:rPr>
        <w:t xml:space="preserve">means a </w:t>
      </w:r>
      <w:r w:rsidR="00E017DB">
        <w:rPr>
          <w:rFonts w:ascii="Times New Roman" w:hAnsi="Times New Roman"/>
        </w:rPr>
        <w:t xml:space="preserve">digital </w:t>
      </w:r>
      <w:r w:rsidRPr="008D617B">
        <w:rPr>
          <w:rFonts w:ascii="Times New Roman" w:hAnsi="Times New Roman"/>
        </w:rPr>
        <w:t>mobile numb</w:t>
      </w:r>
      <w:r w:rsidR="009135C0">
        <w:rPr>
          <w:rFonts w:ascii="Times New Roman" w:hAnsi="Times New Roman"/>
        </w:rPr>
        <w:t xml:space="preserve">er issued by a mobile carriage </w:t>
      </w:r>
      <w:r w:rsidRPr="008D617B">
        <w:rPr>
          <w:rFonts w:ascii="Times New Roman" w:hAnsi="Times New Roman"/>
        </w:rPr>
        <w:t xml:space="preserve">service provider to a customer in connection with the supply of a public mobile telecommunications </w:t>
      </w:r>
      <w:r w:rsidRPr="008D617B">
        <w:rPr>
          <w:rFonts w:ascii="Times New Roman" w:hAnsi="Times New Roman"/>
        </w:rPr>
        <w:lastRenderedPageBreak/>
        <w:t>service</w:t>
      </w:r>
      <w:r w:rsidR="002D267D">
        <w:rPr>
          <w:rFonts w:ascii="Times New Roman" w:hAnsi="Times New Roman"/>
        </w:rPr>
        <w:t xml:space="preserve"> but excludes satellite </w:t>
      </w:r>
      <w:r w:rsidR="0046720F">
        <w:rPr>
          <w:rFonts w:ascii="Times New Roman" w:hAnsi="Times New Roman"/>
        </w:rPr>
        <w:t>telephone</w:t>
      </w:r>
      <w:r w:rsidR="00EA4E13">
        <w:rPr>
          <w:rFonts w:ascii="Times New Roman" w:hAnsi="Times New Roman"/>
        </w:rPr>
        <w:t xml:space="preserve"> </w:t>
      </w:r>
      <w:r w:rsidR="002D267D">
        <w:rPr>
          <w:rFonts w:ascii="Times New Roman" w:hAnsi="Times New Roman"/>
        </w:rPr>
        <w:t xml:space="preserve">services as those kinds of services are not portable </w:t>
      </w:r>
      <w:r w:rsidR="00EA4E13">
        <w:rPr>
          <w:rFonts w:ascii="Times New Roman" w:hAnsi="Times New Roman"/>
        </w:rPr>
        <w:t xml:space="preserve">services </w:t>
      </w:r>
      <w:r w:rsidR="002D267D">
        <w:rPr>
          <w:rFonts w:ascii="Times New Roman" w:hAnsi="Times New Roman"/>
        </w:rPr>
        <w:t xml:space="preserve">for </w:t>
      </w:r>
      <w:r w:rsidR="00EA4E13">
        <w:rPr>
          <w:rFonts w:ascii="Times New Roman" w:hAnsi="Times New Roman"/>
        </w:rPr>
        <w:t xml:space="preserve">purposes of </w:t>
      </w:r>
      <w:r w:rsidR="002D267D">
        <w:rPr>
          <w:rFonts w:ascii="Times New Roman" w:hAnsi="Times New Roman"/>
        </w:rPr>
        <w:t xml:space="preserve">the </w:t>
      </w:r>
      <w:r w:rsidR="006E76AE">
        <w:rPr>
          <w:rFonts w:ascii="Times New Roman" w:hAnsi="Times New Roman"/>
        </w:rPr>
        <w:t xml:space="preserve">Numbering Plan </w:t>
      </w:r>
      <w:r w:rsidR="002D267D">
        <w:rPr>
          <w:rFonts w:ascii="Times New Roman" w:hAnsi="Times New Roman"/>
        </w:rPr>
        <w:t>and</w:t>
      </w:r>
      <w:r w:rsidR="00ED5399">
        <w:rPr>
          <w:rFonts w:ascii="Times New Roman" w:hAnsi="Times New Roman"/>
        </w:rPr>
        <w:t xml:space="preserve"> industry code, </w:t>
      </w:r>
      <w:hyperlink r:id="rId12" w:history="1">
        <w:r w:rsidR="00ED5399" w:rsidRPr="00ED5399">
          <w:rPr>
            <w:rFonts w:ascii="Times New Roman" w:hAnsi="Times New Roman"/>
            <w:i/>
          </w:rPr>
          <w:t>C570:2009 Mobile Number Portability - Incorporating Amendment No.1/2015</w:t>
        </w:r>
      </w:hyperlink>
      <w:r w:rsidR="00ED5399" w:rsidRPr="00ED5399">
        <w:rPr>
          <w:rFonts w:ascii="Times New Roman" w:hAnsi="Times New Roman"/>
        </w:rPr>
        <w:t>.</w:t>
      </w:r>
    </w:p>
    <w:p w14:paraId="771838CD" w14:textId="70274C51" w:rsidR="009135C0" w:rsidRDefault="00185686" w:rsidP="008D617B">
      <w:pPr>
        <w:rPr>
          <w:rFonts w:ascii="Times New Roman" w:hAnsi="Times New Roman"/>
        </w:rPr>
      </w:pPr>
      <w:r>
        <w:rPr>
          <w:rFonts w:ascii="Times New Roman" w:hAnsi="Times New Roman"/>
          <w:i/>
        </w:rPr>
        <w:t>P</w:t>
      </w:r>
      <w:r w:rsidR="007738E2">
        <w:rPr>
          <w:rFonts w:ascii="Times New Roman" w:hAnsi="Times New Roman"/>
          <w:i/>
        </w:rPr>
        <w:t>ort</w:t>
      </w:r>
      <w:r w:rsidR="008D617B" w:rsidRPr="008D617B">
        <w:rPr>
          <w:rFonts w:ascii="Times New Roman" w:hAnsi="Times New Roman"/>
          <w:i/>
        </w:rPr>
        <w:t xml:space="preserve"> </w:t>
      </w:r>
      <w:r w:rsidR="00626792">
        <w:rPr>
          <w:rFonts w:ascii="Times New Roman" w:hAnsi="Times New Roman"/>
        </w:rPr>
        <w:t xml:space="preserve">has been defined as </w:t>
      </w:r>
      <w:r w:rsidR="00626792" w:rsidRPr="00626792">
        <w:rPr>
          <w:rFonts w:ascii="Times New Roman" w:hAnsi="Times New Roman"/>
        </w:rPr>
        <w:t>the movement of mobile service numbers between mobile carriage service providers, or mobile carriage networks, using mobile number portability processes. The terms, ‘Porting’ and ‘Ported’ have corresponding meaning.</w:t>
      </w:r>
      <w:r>
        <w:rPr>
          <w:rFonts w:ascii="Times New Roman" w:hAnsi="Times New Roman"/>
          <w:i/>
        </w:rPr>
        <w:t xml:space="preserve"> </w:t>
      </w:r>
      <w:r w:rsidR="00626792">
        <w:rPr>
          <w:rFonts w:ascii="Times New Roman" w:hAnsi="Times New Roman"/>
        </w:rPr>
        <w:t xml:space="preserve">This definition is based on the </w:t>
      </w:r>
      <w:r w:rsidR="0046720F">
        <w:rPr>
          <w:rFonts w:ascii="Times New Roman" w:hAnsi="Times New Roman"/>
        </w:rPr>
        <w:t>i</w:t>
      </w:r>
      <w:r w:rsidR="00626792">
        <w:rPr>
          <w:rFonts w:ascii="Times New Roman" w:hAnsi="Times New Roman"/>
        </w:rPr>
        <w:t xml:space="preserve">ndustry </w:t>
      </w:r>
      <w:r w:rsidR="0046720F">
        <w:rPr>
          <w:rFonts w:ascii="Times New Roman" w:hAnsi="Times New Roman"/>
        </w:rPr>
        <w:t>c</w:t>
      </w:r>
      <w:r w:rsidR="00626792">
        <w:rPr>
          <w:rFonts w:ascii="Times New Roman" w:hAnsi="Times New Roman"/>
        </w:rPr>
        <w:t>ode</w:t>
      </w:r>
      <w:r w:rsidR="0046720F">
        <w:rPr>
          <w:rFonts w:ascii="Times New Roman" w:hAnsi="Times New Roman"/>
        </w:rPr>
        <w:t xml:space="preserve">, </w:t>
      </w:r>
      <w:hyperlink r:id="rId13" w:history="1">
        <w:r w:rsidR="0046720F" w:rsidRPr="00ED5399">
          <w:rPr>
            <w:rFonts w:ascii="Times New Roman" w:hAnsi="Times New Roman"/>
            <w:i/>
          </w:rPr>
          <w:t>C570:2009 Mobile Number Portability - Incorporating Amendment No.1/2015</w:t>
        </w:r>
      </w:hyperlink>
      <w:r w:rsidR="0046720F">
        <w:rPr>
          <w:rFonts w:ascii="Times New Roman" w:hAnsi="Times New Roman"/>
        </w:rPr>
        <w:t>, registered under Part 6 of the Act.</w:t>
      </w:r>
      <w:r w:rsidR="00626792">
        <w:rPr>
          <w:rFonts w:ascii="Times New Roman" w:hAnsi="Times New Roman"/>
        </w:rPr>
        <w:t xml:space="preserve"> </w:t>
      </w:r>
      <w:r w:rsidR="0046720F">
        <w:rPr>
          <w:rFonts w:ascii="Times New Roman" w:hAnsi="Times New Roman"/>
        </w:rPr>
        <w:t>T</w:t>
      </w:r>
      <w:r w:rsidR="00983138">
        <w:rPr>
          <w:rFonts w:ascii="Times New Roman" w:hAnsi="Times New Roman"/>
        </w:rPr>
        <w:t xml:space="preserve">his term covers </w:t>
      </w:r>
      <w:r w:rsidR="008D617B" w:rsidRPr="008D617B">
        <w:rPr>
          <w:rFonts w:ascii="Times New Roman" w:hAnsi="Times New Roman"/>
        </w:rPr>
        <w:t xml:space="preserve">the service that allows a customer to change the mobile carriage service provider involved in providing the public mobile telecommunications, the </w:t>
      </w:r>
      <w:r w:rsidR="00EA4E13">
        <w:rPr>
          <w:rFonts w:ascii="Times New Roman" w:hAnsi="Times New Roman"/>
        </w:rPr>
        <w:t xml:space="preserve">mobile </w:t>
      </w:r>
      <w:r w:rsidR="008D617B" w:rsidRPr="008D617B">
        <w:rPr>
          <w:rFonts w:ascii="Times New Roman" w:hAnsi="Times New Roman"/>
        </w:rPr>
        <w:t xml:space="preserve">carrier network involved in providing the service, or both, and retain the same mobile </w:t>
      </w:r>
      <w:r w:rsidR="00400485">
        <w:rPr>
          <w:rFonts w:ascii="Times New Roman" w:hAnsi="Times New Roman"/>
        </w:rPr>
        <w:t xml:space="preserve">service </w:t>
      </w:r>
      <w:r w:rsidR="008D617B" w:rsidRPr="008D617B">
        <w:rPr>
          <w:rFonts w:ascii="Times New Roman" w:hAnsi="Times New Roman"/>
        </w:rPr>
        <w:t>number.</w:t>
      </w:r>
      <w:r w:rsidR="008D617B">
        <w:rPr>
          <w:rFonts w:ascii="Times New Roman" w:hAnsi="Times New Roman"/>
        </w:rPr>
        <w:t xml:space="preserve"> </w:t>
      </w:r>
    </w:p>
    <w:p w14:paraId="3043580A" w14:textId="1EBE963F" w:rsidR="006414B4" w:rsidRPr="008D617B" w:rsidRDefault="006414B4" w:rsidP="006414B4">
      <w:pPr>
        <w:rPr>
          <w:rFonts w:ascii="Times New Roman" w:hAnsi="Times New Roman"/>
        </w:rPr>
      </w:pPr>
      <w:r>
        <w:rPr>
          <w:rFonts w:ascii="Times New Roman" w:hAnsi="Times New Roman"/>
        </w:rPr>
        <w:t xml:space="preserve">A </w:t>
      </w:r>
      <w:r w:rsidRPr="008D617B">
        <w:rPr>
          <w:rFonts w:ascii="Times New Roman" w:hAnsi="Times New Roman"/>
          <w:i/>
        </w:rPr>
        <w:t xml:space="preserve">satellite telephone service </w:t>
      </w:r>
      <w:r w:rsidRPr="008D617B">
        <w:rPr>
          <w:rFonts w:ascii="Times New Roman" w:hAnsi="Times New Roman"/>
        </w:rPr>
        <w:t>is</w:t>
      </w:r>
      <w:r>
        <w:rPr>
          <w:rFonts w:ascii="Times New Roman" w:hAnsi="Times New Roman"/>
          <w:i/>
        </w:rPr>
        <w:t xml:space="preserve"> </w:t>
      </w:r>
      <w:r>
        <w:rPr>
          <w:rFonts w:ascii="Times New Roman" w:hAnsi="Times New Roman"/>
        </w:rPr>
        <w:t xml:space="preserve">a </w:t>
      </w:r>
      <w:r w:rsidRPr="008D617B">
        <w:rPr>
          <w:rFonts w:ascii="Times New Roman" w:hAnsi="Times New Roman"/>
        </w:rPr>
        <w:t>carriage service with which end-users make and calls via a satellite-based facility</w:t>
      </w:r>
      <w:r>
        <w:rPr>
          <w:rFonts w:ascii="Times New Roman" w:hAnsi="Times New Roman"/>
        </w:rPr>
        <w:t xml:space="preserve"> and </w:t>
      </w:r>
      <w:r w:rsidR="00EA4E13">
        <w:rPr>
          <w:rFonts w:ascii="Times New Roman" w:hAnsi="Times New Roman"/>
        </w:rPr>
        <w:t>this definition is included as it is excluded from the</w:t>
      </w:r>
      <w:r w:rsidR="0046720F">
        <w:rPr>
          <w:rFonts w:ascii="Times New Roman" w:hAnsi="Times New Roman"/>
        </w:rPr>
        <w:t xml:space="preserve"> </w:t>
      </w:r>
      <w:r w:rsidR="00EA4E13">
        <w:rPr>
          <w:rFonts w:ascii="Times New Roman" w:hAnsi="Times New Roman"/>
        </w:rPr>
        <w:t>definition of “mobile service number’</w:t>
      </w:r>
      <w:r w:rsidRPr="008D617B">
        <w:rPr>
          <w:rFonts w:ascii="Times New Roman" w:hAnsi="Times New Roman"/>
        </w:rPr>
        <w:t>.</w:t>
      </w:r>
    </w:p>
    <w:p w14:paraId="5148D70B" w14:textId="229540EA" w:rsidR="009135C0" w:rsidRDefault="006414B4" w:rsidP="006414B4">
      <w:pPr>
        <w:rPr>
          <w:rFonts w:ascii="Times New Roman" w:hAnsi="Times New Roman"/>
        </w:rPr>
      </w:pPr>
      <w:r w:rsidRPr="008D617B">
        <w:rPr>
          <w:rFonts w:ascii="Times New Roman" w:hAnsi="Times New Roman"/>
          <w:i/>
        </w:rPr>
        <w:t xml:space="preserve"> </w:t>
      </w:r>
      <w:r w:rsidR="009135C0" w:rsidRPr="008D617B">
        <w:rPr>
          <w:rFonts w:ascii="Times New Roman" w:hAnsi="Times New Roman"/>
          <w:i/>
        </w:rPr>
        <w:t xml:space="preserve">SMS message </w:t>
      </w:r>
      <w:r w:rsidR="009135C0" w:rsidRPr="008D617B">
        <w:rPr>
          <w:rFonts w:ascii="Times New Roman" w:hAnsi="Times New Roman"/>
        </w:rPr>
        <w:t>means a message or series of messages sent using a short message service.</w:t>
      </w:r>
    </w:p>
    <w:p w14:paraId="13E0F8D3" w14:textId="150FC01F" w:rsidR="00725EBC" w:rsidRDefault="00725EBC" w:rsidP="00725EBC">
      <w:pPr>
        <w:rPr>
          <w:rFonts w:ascii="Times New Roman" w:hAnsi="Times New Roman"/>
          <w:b/>
        </w:rPr>
      </w:pPr>
      <w:r>
        <w:rPr>
          <w:rFonts w:ascii="Times New Roman" w:hAnsi="Times New Roman"/>
          <w:b/>
        </w:rPr>
        <w:t>Part 2—Direction to ACMA</w:t>
      </w:r>
    </w:p>
    <w:p w14:paraId="13E0F8D4" w14:textId="77777777" w:rsidR="00725EBC" w:rsidRDefault="00725EBC" w:rsidP="00725EBC">
      <w:pPr>
        <w:rPr>
          <w:rFonts w:ascii="Times New Roman" w:hAnsi="Times New Roman"/>
          <w:b/>
        </w:rPr>
      </w:pPr>
      <w:r>
        <w:rPr>
          <w:rFonts w:ascii="Times New Roman" w:hAnsi="Times New Roman"/>
          <w:b/>
        </w:rPr>
        <w:t>Division 1—Direction</w:t>
      </w:r>
    </w:p>
    <w:p w14:paraId="13E0F8D5" w14:textId="77777777" w:rsidR="00725EBC" w:rsidRDefault="00725EBC" w:rsidP="00725EBC">
      <w:pPr>
        <w:rPr>
          <w:rFonts w:ascii="Times New Roman" w:hAnsi="Times New Roman"/>
          <w:u w:val="single"/>
        </w:rPr>
      </w:pPr>
      <w:r>
        <w:rPr>
          <w:rFonts w:ascii="Times New Roman" w:hAnsi="Times New Roman"/>
          <w:u w:val="single"/>
        </w:rPr>
        <w:t xml:space="preserve">Section </w:t>
      </w:r>
      <w:r w:rsidR="008D617B">
        <w:rPr>
          <w:rFonts w:ascii="Times New Roman" w:hAnsi="Times New Roman"/>
          <w:u w:val="single"/>
        </w:rPr>
        <w:t>5</w:t>
      </w:r>
      <w:r>
        <w:rPr>
          <w:rFonts w:ascii="Times New Roman" w:hAnsi="Times New Roman"/>
          <w:u w:val="single"/>
        </w:rPr>
        <w:t>– Direction on industry standard</w:t>
      </w:r>
    </w:p>
    <w:p w14:paraId="13E0F8D6" w14:textId="184A23C1" w:rsidR="00725EBC" w:rsidRDefault="009135C0" w:rsidP="00725EBC">
      <w:pPr>
        <w:rPr>
          <w:rFonts w:ascii="Times New Roman" w:hAnsi="Times New Roman"/>
        </w:rPr>
      </w:pPr>
      <w:r>
        <w:rPr>
          <w:rFonts w:ascii="Times New Roman" w:hAnsi="Times New Roman"/>
        </w:rPr>
        <w:t>Section 125AA of the Act empowers</w:t>
      </w:r>
      <w:r w:rsidR="00725EBC">
        <w:rPr>
          <w:rFonts w:ascii="Times New Roman" w:hAnsi="Times New Roman"/>
        </w:rPr>
        <w:t xml:space="preserve"> the Minister to</w:t>
      </w:r>
      <w:r w:rsidR="00D33E7D">
        <w:rPr>
          <w:rFonts w:ascii="Times New Roman" w:hAnsi="Times New Roman"/>
        </w:rPr>
        <w:t xml:space="preserve"> direct</w:t>
      </w:r>
      <w:r>
        <w:rPr>
          <w:rFonts w:ascii="Times New Roman" w:hAnsi="Times New Roman"/>
        </w:rPr>
        <w:t xml:space="preserve"> ACMA to determine an industry </w:t>
      </w:r>
      <w:r w:rsidR="00725EBC">
        <w:rPr>
          <w:rFonts w:ascii="Times New Roman" w:hAnsi="Times New Roman"/>
        </w:rPr>
        <w:t>standard by legislative instrument that applies to participants in a particular section of the telecommunications industry, and deals with one or more matters relating to the telecommunications activities of those participants (paragraph 125AA</w:t>
      </w:r>
      <w:r>
        <w:rPr>
          <w:rFonts w:ascii="Times New Roman" w:hAnsi="Times New Roman"/>
        </w:rPr>
        <w:t xml:space="preserve">(4)(a)). The section </w:t>
      </w:r>
      <w:r w:rsidR="00725EBC">
        <w:rPr>
          <w:rFonts w:ascii="Times New Roman" w:hAnsi="Times New Roman"/>
        </w:rPr>
        <w:t xml:space="preserve">empowers ACMA to make such a standard </w:t>
      </w:r>
      <w:r>
        <w:rPr>
          <w:rFonts w:ascii="Times New Roman" w:hAnsi="Times New Roman"/>
        </w:rPr>
        <w:t xml:space="preserve">only </w:t>
      </w:r>
      <w:r w:rsidR="00725EBC">
        <w:rPr>
          <w:rFonts w:ascii="Times New Roman" w:hAnsi="Times New Roman"/>
        </w:rPr>
        <w:t>if directed to do so by the Minister (subsections 125AA(1) and (5)).</w:t>
      </w:r>
    </w:p>
    <w:p w14:paraId="13E0F8D7" w14:textId="677F748D" w:rsidR="008D617B" w:rsidRDefault="00725EBC" w:rsidP="00725EBC">
      <w:pPr>
        <w:rPr>
          <w:rFonts w:ascii="Times New Roman" w:hAnsi="Times New Roman"/>
        </w:rPr>
      </w:pPr>
      <w:r>
        <w:rPr>
          <w:rFonts w:ascii="Times New Roman" w:hAnsi="Times New Roman"/>
        </w:rPr>
        <w:t xml:space="preserve">Subsection 5(1) of the instrument provides that the Minister directs ACMA to determine an industry standard under subsection 125AA(1) of the Act </w:t>
      </w:r>
      <w:r w:rsidR="008D617B">
        <w:rPr>
          <w:rFonts w:ascii="Times New Roman" w:hAnsi="Times New Roman"/>
        </w:rPr>
        <w:t>that complies with Division</w:t>
      </w:r>
      <w:r>
        <w:rPr>
          <w:rFonts w:ascii="Times New Roman" w:hAnsi="Times New Roman"/>
        </w:rPr>
        <w:t xml:space="preserve"> 2</w:t>
      </w:r>
      <w:r w:rsidR="008D617B">
        <w:rPr>
          <w:rFonts w:ascii="Times New Roman" w:hAnsi="Times New Roman"/>
        </w:rPr>
        <w:t xml:space="preserve"> </w:t>
      </w:r>
      <w:r>
        <w:rPr>
          <w:rFonts w:ascii="Times New Roman" w:hAnsi="Times New Roman"/>
        </w:rPr>
        <w:t xml:space="preserve">of </w:t>
      </w:r>
      <w:r w:rsidR="006D245F">
        <w:rPr>
          <w:rFonts w:ascii="Times New Roman" w:hAnsi="Times New Roman"/>
        </w:rPr>
        <w:t>Part </w:t>
      </w:r>
      <w:r w:rsidR="00D33E7D">
        <w:rPr>
          <w:rFonts w:ascii="Times New Roman" w:hAnsi="Times New Roman"/>
        </w:rPr>
        <w:t xml:space="preserve">2 of </w:t>
      </w:r>
      <w:r>
        <w:rPr>
          <w:rFonts w:ascii="Times New Roman" w:hAnsi="Times New Roman"/>
        </w:rPr>
        <w:t xml:space="preserve">the instrument. </w:t>
      </w:r>
    </w:p>
    <w:p w14:paraId="7F61F96D" w14:textId="69BB0CC9" w:rsidR="00CB2F2C" w:rsidRDefault="008D617B" w:rsidP="00725EBC">
      <w:pPr>
        <w:rPr>
          <w:rFonts w:ascii="Times New Roman" w:hAnsi="Times New Roman"/>
        </w:rPr>
      </w:pPr>
      <w:r>
        <w:rPr>
          <w:rFonts w:ascii="Times New Roman" w:hAnsi="Times New Roman"/>
        </w:rPr>
        <w:t>Division</w:t>
      </w:r>
      <w:r w:rsidR="00725EBC">
        <w:rPr>
          <w:rFonts w:ascii="Times New Roman" w:hAnsi="Times New Roman"/>
        </w:rPr>
        <w:t xml:space="preserve"> 2</w:t>
      </w:r>
      <w:r>
        <w:rPr>
          <w:rFonts w:ascii="Times New Roman" w:hAnsi="Times New Roman"/>
        </w:rPr>
        <w:t xml:space="preserve"> </w:t>
      </w:r>
      <w:r w:rsidR="00725EBC">
        <w:rPr>
          <w:rFonts w:ascii="Times New Roman" w:hAnsi="Times New Roman"/>
        </w:rPr>
        <w:t>of the instrument set</w:t>
      </w:r>
      <w:r w:rsidR="00CB2F2C">
        <w:rPr>
          <w:rFonts w:ascii="Times New Roman" w:hAnsi="Times New Roman"/>
        </w:rPr>
        <w:t>s</w:t>
      </w:r>
      <w:r w:rsidR="00725EBC">
        <w:rPr>
          <w:rFonts w:ascii="Times New Roman" w:hAnsi="Times New Roman"/>
        </w:rPr>
        <w:t xml:space="preserve"> out the participants in sections of the telecommunications industry that an industry standard is to apply to, and the matters relating to the telecommunications activities of those participants with which the standard must deal. </w:t>
      </w:r>
    </w:p>
    <w:p w14:paraId="13E0F8D8" w14:textId="14B75033" w:rsidR="00725EBC" w:rsidRDefault="00725EBC" w:rsidP="00725EBC">
      <w:pPr>
        <w:rPr>
          <w:rFonts w:ascii="Times New Roman" w:hAnsi="Times New Roman"/>
        </w:rPr>
      </w:pPr>
      <w:r>
        <w:rPr>
          <w:rFonts w:ascii="Times New Roman" w:hAnsi="Times New Roman"/>
        </w:rPr>
        <w:t>The note to subsection 5(1) clarifies that ACMA may comply with the subsection (and the direction) by determining one or more industry standards.</w:t>
      </w:r>
    </w:p>
    <w:p w14:paraId="1E2F189C" w14:textId="493F2BD1" w:rsidR="00816C41" w:rsidRDefault="00725EBC" w:rsidP="00725EBC">
      <w:pPr>
        <w:rPr>
          <w:rFonts w:ascii="Times New Roman" w:hAnsi="Times New Roman"/>
        </w:rPr>
      </w:pPr>
      <w:r>
        <w:rPr>
          <w:rFonts w:ascii="Times New Roman" w:hAnsi="Times New Roman"/>
        </w:rPr>
        <w:t xml:space="preserve">Under </w:t>
      </w:r>
      <w:r w:rsidR="00CB2F2C">
        <w:rPr>
          <w:rFonts w:ascii="Times New Roman" w:hAnsi="Times New Roman"/>
        </w:rPr>
        <w:t xml:space="preserve">paragraph 125AA(4)(b) </w:t>
      </w:r>
      <w:r>
        <w:rPr>
          <w:rFonts w:ascii="Times New Roman" w:hAnsi="Times New Roman"/>
        </w:rPr>
        <w:t>the Act, if the Minister directs ACMA to make such a</w:t>
      </w:r>
      <w:r w:rsidR="00CB2F2C">
        <w:rPr>
          <w:rFonts w:ascii="Times New Roman" w:hAnsi="Times New Roman"/>
        </w:rPr>
        <w:t>n industry</w:t>
      </w:r>
      <w:r>
        <w:rPr>
          <w:rFonts w:ascii="Times New Roman" w:hAnsi="Times New Roman"/>
        </w:rPr>
        <w:t xml:space="preserve"> standard, the Minister may also direct that ACMA is to do so within a specified period (paragraph 125AA(4)(b)).</w:t>
      </w:r>
      <w:r w:rsidR="00CB2F2C">
        <w:rPr>
          <w:rFonts w:ascii="Times New Roman" w:hAnsi="Times New Roman"/>
        </w:rPr>
        <w:t xml:space="preserve"> Under paragraph 5(2)(a) of the Direction, a</w:t>
      </w:r>
      <w:r>
        <w:rPr>
          <w:rFonts w:ascii="Times New Roman" w:hAnsi="Times New Roman"/>
        </w:rPr>
        <w:t xml:space="preserve">n industry standard referred to in subsection 5(1) is to be determined no </w:t>
      </w:r>
      <w:r w:rsidRPr="00F03EB7">
        <w:rPr>
          <w:rFonts w:ascii="Times New Roman" w:hAnsi="Times New Roman"/>
        </w:rPr>
        <w:t xml:space="preserve">later than </w:t>
      </w:r>
      <w:r w:rsidR="00F03EB7" w:rsidRPr="00F03EB7">
        <w:rPr>
          <w:rFonts w:ascii="Times New Roman" w:hAnsi="Times New Roman"/>
        </w:rPr>
        <w:t>28 February</w:t>
      </w:r>
      <w:r w:rsidR="00CB2F2C" w:rsidRPr="00F03EB7">
        <w:rPr>
          <w:rFonts w:ascii="Times New Roman" w:hAnsi="Times New Roman"/>
        </w:rPr>
        <w:t xml:space="preserve"> 2020</w:t>
      </w:r>
      <w:r w:rsidR="008D617B" w:rsidRPr="00F03EB7">
        <w:rPr>
          <w:rFonts w:ascii="Times New Roman" w:hAnsi="Times New Roman"/>
        </w:rPr>
        <w:t xml:space="preserve"> </w:t>
      </w:r>
      <w:r w:rsidRPr="00F03EB7">
        <w:rPr>
          <w:rFonts w:ascii="Times New Roman" w:hAnsi="Times New Roman"/>
        </w:rPr>
        <w:t>to</w:t>
      </w:r>
      <w:r>
        <w:rPr>
          <w:rFonts w:ascii="Times New Roman" w:hAnsi="Times New Roman"/>
        </w:rPr>
        <w:t xml:space="preserve"> </w:t>
      </w:r>
      <w:r w:rsidRPr="00827D03">
        <w:rPr>
          <w:rFonts w:ascii="Times New Roman" w:hAnsi="Times New Roman"/>
        </w:rPr>
        <w:t>allow sufficient time for ACMA to undertake consultati</w:t>
      </w:r>
      <w:r w:rsidR="00CB2F2C">
        <w:rPr>
          <w:rFonts w:ascii="Times New Roman" w:hAnsi="Times New Roman"/>
        </w:rPr>
        <w:t>ons and drafting</w:t>
      </w:r>
      <w:r>
        <w:rPr>
          <w:rFonts w:ascii="Times New Roman" w:hAnsi="Times New Roman"/>
        </w:rPr>
        <w:t xml:space="preserve">. </w:t>
      </w:r>
      <w:r w:rsidR="00CB2F2C">
        <w:rPr>
          <w:rFonts w:ascii="Times New Roman" w:hAnsi="Times New Roman"/>
        </w:rPr>
        <w:t>Under paragraph</w:t>
      </w:r>
      <w:r w:rsidR="008A151C">
        <w:rPr>
          <w:rFonts w:ascii="Times New Roman" w:hAnsi="Times New Roman"/>
        </w:rPr>
        <w:t> </w:t>
      </w:r>
      <w:r w:rsidR="00CB2F2C">
        <w:rPr>
          <w:rFonts w:ascii="Times New Roman" w:hAnsi="Times New Roman"/>
        </w:rPr>
        <w:t>5(2)(b) of the Direction,</w:t>
      </w:r>
      <w:r>
        <w:rPr>
          <w:rFonts w:ascii="Times New Roman" w:hAnsi="Times New Roman"/>
        </w:rPr>
        <w:t xml:space="preserve"> the </w:t>
      </w:r>
      <w:r w:rsidR="00CB2F2C">
        <w:rPr>
          <w:rFonts w:ascii="Times New Roman" w:hAnsi="Times New Roman"/>
        </w:rPr>
        <w:t xml:space="preserve">industry </w:t>
      </w:r>
      <w:r>
        <w:rPr>
          <w:rFonts w:ascii="Times New Roman" w:hAnsi="Times New Roman"/>
        </w:rPr>
        <w:t>standard m</w:t>
      </w:r>
      <w:r w:rsidR="00CB2F2C">
        <w:rPr>
          <w:rFonts w:ascii="Times New Roman" w:hAnsi="Times New Roman"/>
        </w:rPr>
        <w:t xml:space="preserve">ust commence in whole no later than </w:t>
      </w:r>
      <w:r w:rsidR="00F03EB7">
        <w:rPr>
          <w:rFonts w:ascii="Times New Roman" w:hAnsi="Times New Roman"/>
        </w:rPr>
        <w:t>30 April</w:t>
      </w:r>
      <w:r w:rsidR="00CB2F2C">
        <w:rPr>
          <w:rFonts w:ascii="Times New Roman" w:hAnsi="Times New Roman"/>
        </w:rPr>
        <w:t xml:space="preserve"> 2020 to allow sufficient time for carriage service providers to adjust to the industry standard (including making information technology changes and training staff). </w:t>
      </w:r>
    </w:p>
    <w:p w14:paraId="44E5D460" w14:textId="0FAB4BDB" w:rsidR="007B2E1E" w:rsidRPr="007B2E1E" w:rsidRDefault="008A151C" w:rsidP="00725EBC">
      <w:pPr>
        <w:rPr>
          <w:rFonts w:ascii="Times New Roman" w:hAnsi="Times New Roman"/>
        </w:rPr>
      </w:pPr>
      <w:r>
        <w:rPr>
          <w:rFonts w:ascii="Times New Roman" w:hAnsi="Times New Roman"/>
        </w:rPr>
        <w:lastRenderedPageBreak/>
        <w:t xml:space="preserve">Although the new industry standard will commence on </w:t>
      </w:r>
      <w:r w:rsidR="00F03EB7">
        <w:rPr>
          <w:rFonts w:ascii="Times New Roman" w:hAnsi="Times New Roman"/>
        </w:rPr>
        <w:t>30 April</w:t>
      </w:r>
      <w:r>
        <w:rPr>
          <w:rFonts w:ascii="Times New Roman" w:hAnsi="Times New Roman"/>
        </w:rPr>
        <w:t xml:space="preserve"> 2020, </w:t>
      </w:r>
      <w:r w:rsidR="007B2E1E">
        <w:rPr>
          <w:rFonts w:ascii="Times New Roman" w:hAnsi="Times New Roman"/>
        </w:rPr>
        <w:t xml:space="preserve">ACMA can demonstrate forbearance </w:t>
      </w:r>
      <w:r w:rsidR="007738E2">
        <w:rPr>
          <w:rFonts w:ascii="Times New Roman" w:hAnsi="Times New Roman"/>
        </w:rPr>
        <w:t>towards the industry</w:t>
      </w:r>
      <w:r>
        <w:rPr>
          <w:rFonts w:ascii="Times New Roman" w:hAnsi="Times New Roman"/>
        </w:rPr>
        <w:t xml:space="preserve"> members that are </w:t>
      </w:r>
      <w:r w:rsidR="00737C27">
        <w:rPr>
          <w:rFonts w:ascii="Times New Roman" w:hAnsi="Times New Roman"/>
        </w:rPr>
        <w:t>making genuine and reasonable attempts</w:t>
      </w:r>
      <w:r>
        <w:rPr>
          <w:rFonts w:ascii="Times New Roman" w:hAnsi="Times New Roman"/>
        </w:rPr>
        <w:t xml:space="preserve"> to implement the new arrangements</w:t>
      </w:r>
      <w:r w:rsidR="007B2E1E">
        <w:rPr>
          <w:rFonts w:ascii="Times New Roman" w:hAnsi="Times New Roman"/>
        </w:rPr>
        <w:t xml:space="preserve">. Under the </w:t>
      </w:r>
      <w:r w:rsidR="007B2E1E">
        <w:rPr>
          <w:rFonts w:ascii="Times New Roman" w:hAnsi="Times New Roman"/>
          <w:i/>
        </w:rPr>
        <w:t>Regulator Performance Framework 2014</w:t>
      </w:r>
      <w:r w:rsidR="007B2E1E">
        <w:rPr>
          <w:rFonts w:ascii="Times New Roman" w:hAnsi="Times New Roman"/>
        </w:rPr>
        <w:t>’s Key Performance Indicator 1 (</w:t>
      </w:r>
      <w:r w:rsidR="007B2E1E" w:rsidRPr="007738E2">
        <w:rPr>
          <w:rFonts w:ascii="Times New Roman" w:hAnsi="Times New Roman"/>
          <w:i/>
        </w:rPr>
        <w:t>Regulators do not unnecessarily impede the efficient operation of regulated entities</w:t>
      </w:r>
      <w:r w:rsidR="007B2E1E">
        <w:rPr>
          <w:rFonts w:ascii="Times New Roman" w:hAnsi="Times New Roman"/>
        </w:rPr>
        <w:t xml:space="preserve">), ACMA must recognise that industry will need an appropriate amount of time to create the internal capabilities to ensure that pre-port verification processes are in place. This will ensure that the industry has optimal time to prioritise this process alongside </w:t>
      </w:r>
      <w:r w:rsidR="003B268E">
        <w:rPr>
          <w:rFonts w:ascii="Times New Roman" w:hAnsi="Times New Roman"/>
        </w:rPr>
        <w:t>regular business without jeopardizing the effectiveness of pre-port verification capabilities.</w:t>
      </w:r>
    </w:p>
    <w:p w14:paraId="01B82BF8" w14:textId="0A33A5FA" w:rsidR="005E2D0A" w:rsidRDefault="00725EBC" w:rsidP="00725EBC">
      <w:pPr>
        <w:rPr>
          <w:rFonts w:ascii="Times New Roman" w:hAnsi="Times New Roman"/>
        </w:rPr>
      </w:pPr>
      <w:r>
        <w:rPr>
          <w:rFonts w:ascii="Times New Roman" w:hAnsi="Times New Roman"/>
        </w:rPr>
        <w:t xml:space="preserve">Subsection 5(3) directs ACMA to consider conferring functions and powers on the Telecommunications Industry Ombudsman (TIO) </w:t>
      </w:r>
      <w:r w:rsidR="005E2D0A">
        <w:rPr>
          <w:rFonts w:ascii="Times New Roman" w:hAnsi="Times New Roman"/>
        </w:rPr>
        <w:t xml:space="preserve">in respect of customer complaints about the unauthorised porting of mobile </w:t>
      </w:r>
      <w:r w:rsidR="00400485">
        <w:rPr>
          <w:rFonts w:ascii="Times New Roman" w:hAnsi="Times New Roman"/>
        </w:rPr>
        <w:t xml:space="preserve">service </w:t>
      </w:r>
      <w:r w:rsidR="005E2D0A">
        <w:rPr>
          <w:rFonts w:ascii="Times New Roman" w:hAnsi="Times New Roman"/>
        </w:rPr>
        <w:t xml:space="preserve">numbers </w:t>
      </w:r>
      <w:r>
        <w:rPr>
          <w:rFonts w:ascii="Times New Roman" w:hAnsi="Times New Roman"/>
        </w:rPr>
        <w:t xml:space="preserve">in determining a standard for the purposes of subsection 5(1). </w:t>
      </w:r>
    </w:p>
    <w:p w14:paraId="13E0F8DB" w14:textId="790CABAE" w:rsidR="00725EBC" w:rsidRDefault="00725EBC" w:rsidP="00725EBC">
      <w:pPr>
        <w:rPr>
          <w:rFonts w:ascii="Times New Roman" w:hAnsi="Times New Roman"/>
        </w:rPr>
      </w:pPr>
      <w:r>
        <w:rPr>
          <w:rFonts w:ascii="Times New Roman" w:hAnsi="Times New Roman"/>
        </w:rPr>
        <w:t>The note to this subsection informs the reader that, if the TIO consents, an industry standard may confer functions and powers on the TIO, in accordance with section 114 of the Act.</w:t>
      </w:r>
    </w:p>
    <w:p w14:paraId="76231869" w14:textId="2DA2EC93" w:rsidR="00983138" w:rsidRDefault="00F115E3" w:rsidP="00BE40F2">
      <w:pPr>
        <w:rPr>
          <w:rFonts w:ascii="Times New Roman" w:hAnsi="Times New Roman"/>
        </w:rPr>
      </w:pPr>
      <w:r>
        <w:rPr>
          <w:rFonts w:ascii="Times New Roman" w:hAnsi="Times New Roman"/>
        </w:rPr>
        <w:t>Section</w:t>
      </w:r>
      <w:r w:rsidR="00195FB8">
        <w:rPr>
          <w:rFonts w:ascii="Times New Roman" w:hAnsi="Times New Roman"/>
        </w:rPr>
        <w:t xml:space="preserve"> </w:t>
      </w:r>
      <w:r>
        <w:rPr>
          <w:rFonts w:ascii="Times New Roman" w:hAnsi="Times New Roman"/>
        </w:rPr>
        <w:t xml:space="preserve">130 of the Act empowers the </w:t>
      </w:r>
      <w:r w:rsidR="00983138" w:rsidRPr="00983138">
        <w:rPr>
          <w:rFonts w:ascii="Times New Roman" w:hAnsi="Times New Roman"/>
        </w:rPr>
        <w:t>ACMA to vary an industry standard, or stand</w:t>
      </w:r>
      <w:r>
        <w:rPr>
          <w:rFonts w:ascii="Times New Roman" w:hAnsi="Times New Roman"/>
        </w:rPr>
        <w:t xml:space="preserve">ards, as it considers necessary. In the event that the new standard made by ACMA in compliance with the Direction was to be varied, ACMA would have regard to the </w:t>
      </w:r>
      <w:r w:rsidR="00983138" w:rsidRPr="00983138">
        <w:rPr>
          <w:rFonts w:ascii="Times New Roman" w:hAnsi="Times New Roman"/>
        </w:rPr>
        <w:t xml:space="preserve">conditions specified in subsection </w:t>
      </w:r>
      <w:r w:rsidR="00EA4E13">
        <w:rPr>
          <w:rFonts w:ascii="Times New Roman" w:hAnsi="Times New Roman"/>
        </w:rPr>
        <w:t>5</w:t>
      </w:r>
      <w:r w:rsidR="00983138" w:rsidRPr="00983138">
        <w:rPr>
          <w:rFonts w:ascii="Times New Roman" w:hAnsi="Times New Roman"/>
        </w:rPr>
        <w:t>(1)</w:t>
      </w:r>
      <w:r>
        <w:rPr>
          <w:rFonts w:ascii="Times New Roman" w:hAnsi="Times New Roman"/>
        </w:rPr>
        <w:t xml:space="preserve"> to ensure that the varied</w:t>
      </w:r>
      <w:r w:rsidR="008A151C">
        <w:rPr>
          <w:rFonts w:ascii="Times New Roman" w:hAnsi="Times New Roman"/>
        </w:rPr>
        <w:t xml:space="preserve"> standard</w:t>
      </w:r>
      <w:r>
        <w:rPr>
          <w:rFonts w:ascii="Times New Roman" w:hAnsi="Times New Roman"/>
        </w:rPr>
        <w:t xml:space="preserve"> remained consistent with the direction (in particular, its objects)</w:t>
      </w:r>
      <w:r w:rsidR="00983138" w:rsidRPr="00983138">
        <w:rPr>
          <w:rFonts w:ascii="Times New Roman" w:hAnsi="Times New Roman"/>
        </w:rPr>
        <w:t xml:space="preserve">. </w:t>
      </w:r>
    </w:p>
    <w:p w14:paraId="13E0F8DC" w14:textId="7D1ED4E2" w:rsidR="008D617B" w:rsidRDefault="00725EBC" w:rsidP="00725EBC">
      <w:pPr>
        <w:rPr>
          <w:rFonts w:ascii="Times New Roman" w:hAnsi="Times New Roman"/>
          <w:b/>
        </w:rPr>
      </w:pPr>
      <w:r>
        <w:rPr>
          <w:rFonts w:ascii="Times New Roman" w:hAnsi="Times New Roman"/>
          <w:b/>
        </w:rPr>
        <w:t>Division 2—</w:t>
      </w:r>
      <w:r w:rsidR="008D617B" w:rsidRPr="008D617B">
        <w:t xml:space="preserve"> </w:t>
      </w:r>
      <w:r w:rsidR="008D617B" w:rsidRPr="008D617B">
        <w:rPr>
          <w:rFonts w:ascii="Times New Roman" w:hAnsi="Times New Roman"/>
          <w:b/>
        </w:rPr>
        <w:t xml:space="preserve">Industry standard relating to the mobile </w:t>
      </w:r>
      <w:r w:rsidR="00400485">
        <w:rPr>
          <w:rFonts w:ascii="Times New Roman" w:hAnsi="Times New Roman"/>
          <w:b/>
        </w:rPr>
        <w:t xml:space="preserve">service </w:t>
      </w:r>
      <w:r w:rsidR="008D617B" w:rsidRPr="008D617B">
        <w:rPr>
          <w:rFonts w:ascii="Times New Roman" w:hAnsi="Times New Roman"/>
          <w:b/>
        </w:rPr>
        <w:t xml:space="preserve">number pre-porting </w:t>
      </w:r>
      <w:r w:rsidR="008C289C">
        <w:rPr>
          <w:rFonts w:ascii="Times New Roman" w:hAnsi="Times New Roman"/>
          <w:b/>
        </w:rPr>
        <w:t xml:space="preserve">additional </w:t>
      </w:r>
      <w:r w:rsidR="008D617B" w:rsidRPr="008D617B">
        <w:rPr>
          <w:rFonts w:ascii="Times New Roman" w:hAnsi="Times New Roman"/>
          <w:b/>
        </w:rPr>
        <w:t>identity verification and consumer awareness and safeguard information by mobile carriage service providers</w:t>
      </w:r>
    </w:p>
    <w:p w14:paraId="13E0F8DD" w14:textId="77777777" w:rsidR="008D617B" w:rsidRDefault="00725EBC" w:rsidP="00725EBC">
      <w:pPr>
        <w:rPr>
          <w:rFonts w:ascii="Times New Roman" w:hAnsi="Times New Roman"/>
          <w:u w:val="single"/>
        </w:rPr>
      </w:pPr>
      <w:r>
        <w:rPr>
          <w:rFonts w:ascii="Times New Roman" w:hAnsi="Times New Roman"/>
          <w:u w:val="single"/>
        </w:rPr>
        <w:t xml:space="preserve">Section 6 – </w:t>
      </w:r>
      <w:r w:rsidR="008D617B" w:rsidRPr="008D617B">
        <w:rPr>
          <w:rFonts w:ascii="Times New Roman" w:hAnsi="Times New Roman"/>
          <w:u w:val="single"/>
        </w:rPr>
        <w:t xml:space="preserve">Pre-porting identity verification </w:t>
      </w:r>
    </w:p>
    <w:p w14:paraId="13E0F8DF" w14:textId="5E5A8E7B" w:rsidR="008D617B" w:rsidRDefault="00983138" w:rsidP="005E2D0A">
      <w:pPr>
        <w:rPr>
          <w:rFonts w:ascii="Times New Roman" w:hAnsi="Times New Roman"/>
        </w:rPr>
      </w:pPr>
      <w:r>
        <w:rPr>
          <w:rFonts w:ascii="Times New Roman" w:hAnsi="Times New Roman"/>
        </w:rPr>
        <w:t xml:space="preserve">Paragraph </w:t>
      </w:r>
      <w:r w:rsidR="008D617B">
        <w:rPr>
          <w:rFonts w:ascii="Times New Roman" w:hAnsi="Times New Roman"/>
        </w:rPr>
        <w:t>6(1)</w:t>
      </w:r>
      <w:r w:rsidR="005E2D0A">
        <w:rPr>
          <w:rFonts w:ascii="Times New Roman" w:hAnsi="Times New Roman"/>
        </w:rPr>
        <w:t>(a)</w:t>
      </w:r>
      <w:r w:rsidR="008D617B">
        <w:rPr>
          <w:rFonts w:ascii="Times New Roman" w:hAnsi="Times New Roman"/>
        </w:rPr>
        <w:t xml:space="preserve"> provides that the indus</w:t>
      </w:r>
      <w:r w:rsidR="005E2D0A">
        <w:rPr>
          <w:rFonts w:ascii="Times New Roman" w:hAnsi="Times New Roman"/>
        </w:rPr>
        <w:t xml:space="preserve">try standard must </w:t>
      </w:r>
      <w:r w:rsidR="008D617B" w:rsidRPr="005E2D0A">
        <w:rPr>
          <w:rFonts w:ascii="Times New Roman" w:hAnsi="Times New Roman"/>
        </w:rPr>
        <w:t>apply to mobile carriage service providers who supply public mobile t</w:t>
      </w:r>
      <w:r w:rsidR="005E2D0A">
        <w:rPr>
          <w:rFonts w:ascii="Times New Roman" w:hAnsi="Times New Roman"/>
        </w:rPr>
        <w:t>elecommunications services.</w:t>
      </w:r>
    </w:p>
    <w:p w14:paraId="2F3EA40A" w14:textId="2A2E72C8" w:rsidR="005E2D0A" w:rsidRDefault="00983138" w:rsidP="005E2D0A">
      <w:pPr>
        <w:rPr>
          <w:rFonts w:ascii="Times New Roman" w:hAnsi="Times New Roman"/>
        </w:rPr>
      </w:pPr>
      <w:r>
        <w:rPr>
          <w:rFonts w:ascii="Times New Roman" w:hAnsi="Times New Roman"/>
        </w:rPr>
        <w:t>Paragraph</w:t>
      </w:r>
      <w:r w:rsidR="005E2D0A">
        <w:rPr>
          <w:rFonts w:ascii="Times New Roman" w:hAnsi="Times New Roman"/>
        </w:rPr>
        <w:t xml:space="preserve"> 6(1)(b) provides that the industry standard must have the following objectives: to prevent the unauthorised porting of mobile </w:t>
      </w:r>
      <w:r w:rsidR="00400485">
        <w:rPr>
          <w:rFonts w:ascii="Times New Roman" w:hAnsi="Times New Roman"/>
        </w:rPr>
        <w:t xml:space="preserve">service </w:t>
      </w:r>
      <w:r w:rsidR="005E2D0A">
        <w:rPr>
          <w:rFonts w:ascii="Times New Roman" w:hAnsi="Times New Roman"/>
        </w:rPr>
        <w:t xml:space="preserve">numbers; and </w:t>
      </w:r>
      <w:r>
        <w:rPr>
          <w:rFonts w:ascii="Times New Roman" w:hAnsi="Times New Roman"/>
        </w:rPr>
        <w:t xml:space="preserve">to </w:t>
      </w:r>
      <w:r w:rsidR="008A151C">
        <w:rPr>
          <w:rFonts w:ascii="Times New Roman" w:hAnsi="Times New Roman"/>
        </w:rPr>
        <w:t xml:space="preserve">reduce </w:t>
      </w:r>
      <w:r w:rsidR="005E2D0A">
        <w:rPr>
          <w:rFonts w:ascii="Times New Roman" w:hAnsi="Times New Roman"/>
        </w:rPr>
        <w:t>harm to customers arising from the unauthorised porting of</w:t>
      </w:r>
      <w:r w:rsidR="008A151C">
        <w:rPr>
          <w:rFonts w:ascii="Times New Roman" w:hAnsi="Times New Roman"/>
        </w:rPr>
        <w:t xml:space="preserve"> mobile service</w:t>
      </w:r>
      <w:r w:rsidR="005E2D0A">
        <w:rPr>
          <w:rFonts w:ascii="Times New Roman" w:hAnsi="Times New Roman"/>
        </w:rPr>
        <w:t xml:space="preserve"> numbers. Those harms could include financial losses, identity theft, inconvenience associated with rectifying an unauthorised port and emotional distress. ACMA’s new industry standard could include additional objectives. </w:t>
      </w:r>
    </w:p>
    <w:p w14:paraId="48ED29FD" w14:textId="7DAA8976" w:rsidR="005E2D0A" w:rsidRDefault="00983138" w:rsidP="005E2D0A">
      <w:pPr>
        <w:rPr>
          <w:rFonts w:ascii="Times New Roman" w:hAnsi="Times New Roman"/>
        </w:rPr>
      </w:pPr>
      <w:r>
        <w:rPr>
          <w:rFonts w:ascii="Times New Roman" w:hAnsi="Times New Roman"/>
        </w:rPr>
        <w:t xml:space="preserve">Paragraph </w:t>
      </w:r>
      <w:r w:rsidR="005E2D0A">
        <w:rPr>
          <w:rFonts w:ascii="Times New Roman" w:hAnsi="Times New Roman"/>
        </w:rPr>
        <w:t xml:space="preserve">6(1)(c) provides that that the standard must </w:t>
      </w:r>
      <w:r w:rsidR="008D617B" w:rsidRPr="005E2D0A">
        <w:rPr>
          <w:rFonts w:ascii="Times New Roman" w:hAnsi="Times New Roman"/>
        </w:rPr>
        <w:t xml:space="preserve">require </w:t>
      </w:r>
      <w:r w:rsidR="00061884">
        <w:rPr>
          <w:rFonts w:ascii="Times New Roman" w:hAnsi="Times New Roman"/>
        </w:rPr>
        <w:t xml:space="preserve">Gaining CSPs </w:t>
      </w:r>
      <w:r w:rsidR="007738E2">
        <w:rPr>
          <w:rFonts w:ascii="Times New Roman" w:hAnsi="Times New Roman"/>
        </w:rPr>
        <w:t>to, prior to accepting</w:t>
      </w:r>
      <w:r w:rsidR="008D617B" w:rsidRPr="005E2D0A">
        <w:rPr>
          <w:rFonts w:ascii="Times New Roman" w:hAnsi="Times New Roman"/>
        </w:rPr>
        <w:t xml:space="preserve"> the port of a particular mobile </w:t>
      </w:r>
      <w:r w:rsidR="00400485">
        <w:rPr>
          <w:rFonts w:ascii="Times New Roman" w:hAnsi="Times New Roman"/>
        </w:rPr>
        <w:t xml:space="preserve">service </w:t>
      </w:r>
      <w:r w:rsidR="008D617B" w:rsidRPr="005E2D0A">
        <w:rPr>
          <w:rFonts w:ascii="Times New Roman" w:hAnsi="Times New Roman"/>
        </w:rPr>
        <w:t xml:space="preserve">number, </w:t>
      </w:r>
      <w:r w:rsidR="00EA4E13">
        <w:rPr>
          <w:rFonts w:ascii="Times New Roman" w:hAnsi="Times New Roman"/>
        </w:rPr>
        <w:t>use one of the applicable identity verification processes detailed in the new industry standard</w:t>
      </w:r>
      <w:r w:rsidR="005E2D0A">
        <w:rPr>
          <w:rFonts w:ascii="Times New Roman" w:hAnsi="Times New Roman"/>
        </w:rPr>
        <w:t xml:space="preserve">. </w:t>
      </w:r>
    </w:p>
    <w:p w14:paraId="13E0F8E2" w14:textId="35610BFC" w:rsidR="008D617B" w:rsidRPr="005E2D0A" w:rsidRDefault="00983138" w:rsidP="005E2D0A">
      <w:pPr>
        <w:rPr>
          <w:rFonts w:ascii="Times New Roman" w:hAnsi="Times New Roman"/>
        </w:rPr>
      </w:pPr>
      <w:r>
        <w:rPr>
          <w:rFonts w:ascii="Times New Roman" w:hAnsi="Times New Roman"/>
        </w:rPr>
        <w:t>Paragraph</w:t>
      </w:r>
      <w:r w:rsidR="005E2D0A">
        <w:rPr>
          <w:rFonts w:ascii="Times New Roman" w:hAnsi="Times New Roman"/>
        </w:rPr>
        <w:t xml:space="preserve"> 6(1)(d) </w:t>
      </w:r>
      <w:r w:rsidR="008D617B" w:rsidRPr="005E2D0A">
        <w:rPr>
          <w:rFonts w:ascii="Times New Roman" w:hAnsi="Times New Roman"/>
        </w:rPr>
        <w:t>require</w:t>
      </w:r>
      <w:r w:rsidR="005E2D0A">
        <w:rPr>
          <w:rFonts w:ascii="Times New Roman" w:hAnsi="Times New Roman"/>
        </w:rPr>
        <w:t>s</w:t>
      </w:r>
      <w:r w:rsidR="008D617B" w:rsidRPr="005E2D0A">
        <w:rPr>
          <w:rFonts w:ascii="Times New Roman" w:hAnsi="Times New Roman"/>
        </w:rPr>
        <w:t xml:space="preserve"> mobile carriage service providers to not proceed with a mobile </w:t>
      </w:r>
      <w:r w:rsidR="00400485">
        <w:rPr>
          <w:rFonts w:ascii="Times New Roman" w:hAnsi="Times New Roman"/>
        </w:rPr>
        <w:t xml:space="preserve">service </w:t>
      </w:r>
      <w:r w:rsidR="008D617B" w:rsidRPr="005E2D0A">
        <w:rPr>
          <w:rFonts w:ascii="Times New Roman" w:hAnsi="Times New Roman"/>
        </w:rPr>
        <w:t xml:space="preserve">number port unless the </w:t>
      </w:r>
      <w:r w:rsidR="00061884">
        <w:rPr>
          <w:rFonts w:ascii="Times New Roman" w:hAnsi="Times New Roman"/>
        </w:rPr>
        <w:t xml:space="preserve">Gaining CSP </w:t>
      </w:r>
      <w:r w:rsidR="008D617B" w:rsidRPr="005E2D0A">
        <w:rPr>
          <w:rFonts w:ascii="Times New Roman" w:hAnsi="Times New Roman"/>
        </w:rPr>
        <w:t xml:space="preserve">has </w:t>
      </w:r>
      <w:r w:rsidR="008C289C">
        <w:rPr>
          <w:rFonts w:ascii="Times New Roman" w:hAnsi="Times New Roman"/>
        </w:rPr>
        <w:t xml:space="preserve">used one of the identity verification processes </w:t>
      </w:r>
      <w:r w:rsidR="00EA4E13">
        <w:rPr>
          <w:rFonts w:ascii="Times New Roman" w:hAnsi="Times New Roman"/>
        </w:rPr>
        <w:t xml:space="preserve">detailed </w:t>
      </w:r>
      <w:r w:rsidR="008C289C">
        <w:rPr>
          <w:rFonts w:ascii="Times New Roman" w:hAnsi="Times New Roman"/>
        </w:rPr>
        <w:t xml:space="preserve">in the </w:t>
      </w:r>
      <w:r w:rsidR="00EA4E13">
        <w:rPr>
          <w:rFonts w:ascii="Times New Roman" w:hAnsi="Times New Roman"/>
        </w:rPr>
        <w:t xml:space="preserve">new industry </w:t>
      </w:r>
      <w:r w:rsidR="008C289C">
        <w:rPr>
          <w:rFonts w:ascii="Times New Roman" w:hAnsi="Times New Roman"/>
        </w:rPr>
        <w:t>standard</w:t>
      </w:r>
      <w:r w:rsidR="008D617B" w:rsidRPr="005E2D0A">
        <w:rPr>
          <w:rFonts w:ascii="Times New Roman" w:hAnsi="Times New Roman"/>
        </w:rPr>
        <w:t>.</w:t>
      </w:r>
    </w:p>
    <w:p w14:paraId="762AA12D" w14:textId="0AD3E441" w:rsidR="00EA4E13" w:rsidRDefault="008D617B" w:rsidP="008C289C">
      <w:pPr>
        <w:rPr>
          <w:rFonts w:ascii="Times New Roman" w:hAnsi="Times New Roman"/>
        </w:rPr>
      </w:pPr>
      <w:r>
        <w:rPr>
          <w:rFonts w:ascii="Times New Roman" w:hAnsi="Times New Roman"/>
        </w:rPr>
        <w:t xml:space="preserve">Subsection 6(2) </w:t>
      </w:r>
      <w:r w:rsidR="008C289C">
        <w:rPr>
          <w:rFonts w:ascii="Times New Roman" w:hAnsi="Times New Roman"/>
        </w:rPr>
        <w:t xml:space="preserve">directs ACMA, in </w:t>
      </w:r>
      <w:r w:rsidR="008A151C">
        <w:rPr>
          <w:rFonts w:ascii="Times New Roman" w:hAnsi="Times New Roman"/>
        </w:rPr>
        <w:t>specifying</w:t>
      </w:r>
      <w:r w:rsidR="008C289C" w:rsidRPr="008D617B">
        <w:rPr>
          <w:rFonts w:ascii="Times New Roman" w:hAnsi="Times New Roman"/>
        </w:rPr>
        <w:t xml:space="preserve"> the </w:t>
      </w:r>
      <w:r w:rsidR="008C289C">
        <w:rPr>
          <w:rFonts w:ascii="Times New Roman" w:hAnsi="Times New Roman"/>
        </w:rPr>
        <w:t xml:space="preserve">processes </w:t>
      </w:r>
      <w:r w:rsidR="008C289C" w:rsidRPr="008D617B">
        <w:rPr>
          <w:rFonts w:ascii="Times New Roman" w:hAnsi="Times New Roman"/>
        </w:rPr>
        <w:t xml:space="preserve">of identity verification to be included in </w:t>
      </w:r>
      <w:r w:rsidR="00EA4E13">
        <w:rPr>
          <w:rFonts w:ascii="Times New Roman" w:hAnsi="Times New Roman"/>
        </w:rPr>
        <w:t xml:space="preserve">the new </w:t>
      </w:r>
      <w:r w:rsidR="008C289C" w:rsidRPr="008D617B">
        <w:rPr>
          <w:rFonts w:ascii="Times New Roman" w:hAnsi="Times New Roman"/>
        </w:rPr>
        <w:t xml:space="preserve">industry standard, to </w:t>
      </w:r>
      <w:r w:rsidR="008C289C">
        <w:rPr>
          <w:rFonts w:ascii="Times New Roman" w:hAnsi="Times New Roman"/>
        </w:rPr>
        <w:t xml:space="preserve">ensure the processes meet </w:t>
      </w:r>
      <w:r w:rsidR="00216992">
        <w:rPr>
          <w:rFonts w:ascii="Times New Roman" w:hAnsi="Times New Roman"/>
        </w:rPr>
        <w:t xml:space="preserve">certain objectives </w:t>
      </w:r>
      <w:r w:rsidR="005E2D0A">
        <w:rPr>
          <w:rFonts w:ascii="Times New Roman" w:hAnsi="Times New Roman"/>
        </w:rPr>
        <w:t xml:space="preserve">set out in </w:t>
      </w:r>
      <w:r w:rsidR="00216992">
        <w:rPr>
          <w:rFonts w:ascii="Times New Roman" w:hAnsi="Times New Roman"/>
        </w:rPr>
        <w:t xml:space="preserve">in </w:t>
      </w:r>
      <w:r w:rsidR="00216992" w:rsidRPr="00216992">
        <w:rPr>
          <w:rFonts w:ascii="Times New Roman" w:hAnsi="Times New Roman"/>
        </w:rPr>
        <w:t>paragraph 6(1)(b)</w:t>
      </w:r>
      <w:r w:rsidR="008C289C">
        <w:rPr>
          <w:rFonts w:ascii="Times New Roman" w:hAnsi="Times New Roman"/>
        </w:rPr>
        <w:t xml:space="preserve"> and in addition, are </w:t>
      </w:r>
      <w:r w:rsidR="008C289C" w:rsidRPr="008C289C">
        <w:rPr>
          <w:rFonts w:ascii="Times New Roman" w:hAnsi="Times New Roman"/>
        </w:rPr>
        <w:t>practicable, robust, technically feasible, and do not result in undue fina</w:t>
      </w:r>
      <w:r w:rsidR="008C289C">
        <w:rPr>
          <w:rFonts w:ascii="Times New Roman" w:hAnsi="Times New Roman"/>
        </w:rPr>
        <w:t xml:space="preserve">ncial and administrative burdens </w:t>
      </w:r>
      <w:r w:rsidR="008C289C" w:rsidRPr="008C289C">
        <w:rPr>
          <w:rFonts w:ascii="Times New Roman" w:hAnsi="Times New Roman"/>
        </w:rPr>
        <w:t>(to either customers or mobile carriage service providers)</w:t>
      </w:r>
      <w:r w:rsidR="008C289C">
        <w:rPr>
          <w:rFonts w:ascii="Times New Roman" w:hAnsi="Times New Roman"/>
        </w:rPr>
        <w:t xml:space="preserve">. </w:t>
      </w:r>
    </w:p>
    <w:p w14:paraId="07A1DD6E" w14:textId="6B98F9BC" w:rsidR="00216992" w:rsidRDefault="008C289C" w:rsidP="008C289C">
      <w:pPr>
        <w:rPr>
          <w:rFonts w:ascii="Times New Roman" w:hAnsi="Times New Roman"/>
        </w:rPr>
      </w:pPr>
      <w:r>
        <w:rPr>
          <w:rFonts w:ascii="Times New Roman" w:hAnsi="Times New Roman"/>
        </w:rPr>
        <w:lastRenderedPageBreak/>
        <w:t xml:space="preserve">ACMA is also required under subsection 6(2) to have regard to </w:t>
      </w:r>
      <w:r w:rsidRPr="008C289C">
        <w:rPr>
          <w:rFonts w:ascii="Times New Roman" w:hAnsi="Times New Roman"/>
        </w:rPr>
        <w:t xml:space="preserve">the existing processes </w:t>
      </w:r>
      <w:r>
        <w:rPr>
          <w:rFonts w:ascii="Times New Roman" w:hAnsi="Times New Roman"/>
        </w:rPr>
        <w:t xml:space="preserve">that </w:t>
      </w:r>
      <w:r w:rsidRPr="008C289C">
        <w:rPr>
          <w:rFonts w:ascii="Times New Roman" w:hAnsi="Times New Roman"/>
        </w:rPr>
        <w:t>mobile carriage service providers may have already implemented or are in the process of implementing</w:t>
      </w:r>
      <w:r w:rsidR="00216992">
        <w:rPr>
          <w:rFonts w:ascii="Times New Roman" w:hAnsi="Times New Roman"/>
        </w:rPr>
        <w:t>.</w:t>
      </w:r>
      <w:r>
        <w:rPr>
          <w:rFonts w:ascii="Times New Roman" w:hAnsi="Times New Roman"/>
        </w:rPr>
        <w:t xml:space="preserve"> </w:t>
      </w:r>
      <w:r w:rsidR="001E6147">
        <w:rPr>
          <w:rFonts w:ascii="Times New Roman" w:hAnsi="Times New Roman"/>
        </w:rPr>
        <w:t>I</w:t>
      </w:r>
      <w:r>
        <w:rPr>
          <w:rFonts w:ascii="Times New Roman" w:hAnsi="Times New Roman"/>
        </w:rPr>
        <w:t xml:space="preserve">t would be undesirable for mobile carriage service providers to have to invest time and resources in creating and implementing new identity verification processes where they are already </w:t>
      </w:r>
      <w:r w:rsidR="00906BF9">
        <w:rPr>
          <w:rFonts w:ascii="Times New Roman" w:hAnsi="Times New Roman"/>
        </w:rPr>
        <w:t>suitable</w:t>
      </w:r>
      <w:r w:rsidR="001E6147">
        <w:rPr>
          <w:rFonts w:ascii="Times New Roman" w:hAnsi="Times New Roman"/>
        </w:rPr>
        <w:t xml:space="preserve"> solutions</w:t>
      </w:r>
      <w:r>
        <w:rPr>
          <w:rFonts w:ascii="Times New Roman" w:hAnsi="Times New Roman"/>
        </w:rPr>
        <w:t>.</w:t>
      </w:r>
      <w:r w:rsidDel="008C289C">
        <w:rPr>
          <w:rFonts w:ascii="Times New Roman" w:hAnsi="Times New Roman"/>
        </w:rPr>
        <w:t xml:space="preserve"> </w:t>
      </w:r>
      <w:r w:rsidR="007E7FFE">
        <w:rPr>
          <w:rFonts w:ascii="Times New Roman" w:hAnsi="Times New Roman"/>
        </w:rPr>
        <w:t xml:space="preserve">It is intended that ACMA not create prescriptive rules both because of the impact on the industry and because revealing </w:t>
      </w:r>
      <w:r w:rsidR="001E6147">
        <w:rPr>
          <w:rFonts w:ascii="Times New Roman" w:hAnsi="Times New Roman"/>
        </w:rPr>
        <w:t xml:space="preserve">too much </w:t>
      </w:r>
      <w:r w:rsidR="007E7FFE">
        <w:rPr>
          <w:rFonts w:ascii="Times New Roman" w:hAnsi="Times New Roman"/>
        </w:rPr>
        <w:t xml:space="preserve">procedural detail </w:t>
      </w:r>
      <w:r w:rsidR="001E6147">
        <w:rPr>
          <w:rFonts w:ascii="Times New Roman" w:hAnsi="Times New Roman"/>
        </w:rPr>
        <w:t xml:space="preserve">in the standard </w:t>
      </w:r>
      <w:r w:rsidR="007E7FFE">
        <w:rPr>
          <w:rFonts w:ascii="Times New Roman" w:hAnsi="Times New Roman"/>
        </w:rPr>
        <w:t>could open gaps that scammers could exploit.</w:t>
      </w:r>
    </w:p>
    <w:p w14:paraId="13E0F8E3" w14:textId="166937A4" w:rsidR="008D617B" w:rsidRPr="008D617B" w:rsidRDefault="00216992" w:rsidP="008D617B">
      <w:pPr>
        <w:rPr>
          <w:rFonts w:ascii="Times New Roman" w:hAnsi="Times New Roman"/>
        </w:rPr>
      </w:pPr>
      <w:r>
        <w:rPr>
          <w:rFonts w:ascii="Times New Roman" w:hAnsi="Times New Roman"/>
        </w:rPr>
        <w:t>Subsection 6(3) provides</w:t>
      </w:r>
      <w:r w:rsidR="005E2D0A">
        <w:rPr>
          <w:rFonts w:ascii="Times New Roman" w:hAnsi="Times New Roman"/>
        </w:rPr>
        <w:t xml:space="preserve"> </w:t>
      </w:r>
      <w:r w:rsidR="001E6147">
        <w:rPr>
          <w:rFonts w:ascii="Times New Roman" w:hAnsi="Times New Roman"/>
        </w:rPr>
        <w:t xml:space="preserve">the following </w:t>
      </w:r>
      <w:r w:rsidR="005E2D0A">
        <w:rPr>
          <w:rFonts w:ascii="Times New Roman" w:hAnsi="Times New Roman"/>
        </w:rPr>
        <w:t>examples of pre-port identity verification processes that ACMA may</w:t>
      </w:r>
      <w:r>
        <w:rPr>
          <w:rFonts w:ascii="Times New Roman" w:hAnsi="Times New Roman"/>
        </w:rPr>
        <w:t xml:space="preserve"> consider specifying in the </w:t>
      </w:r>
      <w:r w:rsidR="005E2D0A">
        <w:rPr>
          <w:rFonts w:ascii="Times New Roman" w:hAnsi="Times New Roman"/>
        </w:rPr>
        <w:t>new industry s</w:t>
      </w:r>
      <w:r>
        <w:rPr>
          <w:rFonts w:ascii="Times New Roman" w:hAnsi="Times New Roman"/>
        </w:rPr>
        <w:t>tandard</w:t>
      </w:r>
      <w:r w:rsidR="005E2D0A">
        <w:rPr>
          <w:rFonts w:ascii="Times New Roman" w:hAnsi="Times New Roman"/>
        </w:rPr>
        <w:t xml:space="preserve"> (although </w:t>
      </w:r>
      <w:r w:rsidR="00F17655">
        <w:rPr>
          <w:rFonts w:ascii="Times New Roman" w:hAnsi="Times New Roman"/>
        </w:rPr>
        <w:t xml:space="preserve">it would be open for the ACMA’s new </w:t>
      </w:r>
      <w:r w:rsidR="005E2D0A">
        <w:rPr>
          <w:rFonts w:ascii="Times New Roman" w:hAnsi="Times New Roman"/>
        </w:rPr>
        <w:t xml:space="preserve">industry standard </w:t>
      </w:r>
      <w:r w:rsidR="00F17655">
        <w:rPr>
          <w:rFonts w:ascii="Times New Roman" w:hAnsi="Times New Roman"/>
        </w:rPr>
        <w:t xml:space="preserve">to </w:t>
      </w:r>
      <w:r w:rsidR="005E2D0A">
        <w:rPr>
          <w:rFonts w:ascii="Times New Roman" w:hAnsi="Times New Roman"/>
        </w:rPr>
        <w:t>include alternative processes that achieve the objectives):</w:t>
      </w:r>
      <w:r w:rsidR="008D617B" w:rsidRPr="008D617B">
        <w:rPr>
          <w:rFonts w:ascii="Times New Roman" w:hAnsi="Times New Roman"/>
        </w:rPr>
        <w:t xml:space="preserve">  </w:t>
      </w:r>
    </w:p>
    <w:p w14:paraId="13E0F8E4" w14:textId="015AF519" w:rsidR="008D617B" w:rsidRDefault="005E2D0A" w:rsidP="008D617B">
      <w:pPr>
        <w:pStyle w:val="ListParagraph"/>
        <w:numPr>
          <w:ilvl w:val="0"/>
          <w:numId w:val="4"/>
        </w:numPr>
        <w:rPr>
          <w:rFonts w:ascii="Times New Roman" w:hAnsi="Times New Roman"/>
        </w:rPr>
      </w:pPr>
      <w:r>
        <w:rPr>
          <w:rFonts w:ascii="Times New Roman" w:hAnsi="Times New Roman"/>
        </w:rPr>
        <w:t>sending</w:t>
      </w:r>
      <w:r w:rsidR="008D617B" w:rsidRPr="008D617B">
        <w:rPr>
          <w:rFonts w:ascii="Times New Roman" w:hAnsi="Times New Roman"/>
        </w:rPr>
        <w:t xml:space="preserve"> a unique verification code by SMS message</w:t>
      </w:r>
      <w:r w:rsidR="00493561">
        <w:rPr>
          <w:rFonts w:ascii="Times New Roman" w:hAnsi="Times New Roman"/>
        </w:rPr>
        <w:t xml:space="preserve"> </w:t>
      </w:r>
      <w:r w:rsidR="008D617B" w:rsidRPr="008D617B">
        <w:rPr>
          <w:rFonts w:ascii="Times New Roman" w:hAnsi="Times New Roman"/>
        </w:rPr>
        <w:t>to the mob</w:t>
      </w:r>
      <w:r w:rsidR="006C2106">
        <w:rPr>
          <w:rFonts w:ascii="Times New Roman" w:hAnsi="Times New Roman"/>
        </w:rPr>
        <w:t xml:space="preserve">ile </w:t>
      </w:r>
      <w:r w:rsidR="00400485">
        <w:rPr>
          <w:rFonts w:ascii="Times New Roman" w:hAnsi="Times New Roman"/>
        </w:rPr>
        <w:t xml:space="preserve">service </w:t>
      </w:r>
      <w:r w:rsidR="006C2106">
        <w:rPr>
          <w:rFonts w:ascii="Times New Roman" w:hAnsi="Times New Roman"/>
        </w:rPr>
        <w:t>number that is to be ported</w:t>
      </w:r>
      <w:r w:rsidR="00493561">
        <w:rPr>
          <w:rFonts w:ascii="Times New Roman" w:hAnsi="Times New Roman"/>
        </w:rPr>
        <w:t xml:space="preserve"> or sending an email to the customer’s email address</w:t>
      </w:r>
    </w:p>
    <w:p w14:paraId="13E0F8E5" w14:textId="252257AB" w:rsidR="008D617B" w:rsidRDefault="006C2106" w:rsidP="008D617B">
      <w:pPr>
        <w:pStyle w:val="ListParagraph"/>
        <w:numPr>
          <w:ilvl w:val="0"/>
          <w:numId w:val="4"/>
        </w:numPr>
        <w:rPr>
          <w:rFonts w:ascii="Times New Roman" w:hAnsi="Times New Roman"/>
        </w:rPr>
      </w:pPr>
      <w:r>
        <w:rPr>
          <w:rFonts w:ascii="Times New Roman" w:hAnsi="Times New Roman"/>
        </w:rPr>
        <w:t>if the customer is present in</w:t>
      </w:r>
      <w:r w:rsidR="008D617B">
        <w:rPr>
          <w:rFonts w:ascii="Times New Roman" w:hAnsi="Times New Roman"/>
        </w:rPr>
        <w:t xml:space="preserve"> a </w:t>
      </w:r>
      <w:r w:rsidR="008D617B" w:rsidRPr="008D617B">
        <w:rPr>
          <w:rFonts w:ascii="Times New Roman" w:hAnsi="Times New Roman"/>
        </w:rPr>
        <w:t xml:space="preserve">retail </w:t>
      </w:r>
      <w:r>
        <w:rPr>
          <w:rFonts w:ascii="Times New Roman" w:hAnsi="Times New Roman"/>
        </w:rPr>
        <w:t xml:space="preserve">store, having the staff member of the </w:t>
      </w:r>
      <w:r w:rsidR="00493561">
        <w:rPr>
          <w:rFonts w:ascii="Times New Roman" w:hAnsi="Times New Roman"/>
        </w:rPr>
        <w:t xml:space="preserve">Gaining CSP </w:t>
      </w:r>
      <w:r>
        <w:rPr>
          <w:rFonts w:ascii="Times New Roman" w:hAnsi="Times New Roman"/>
        </w:rPr>
        <w:t xml:space="preserve">call </w:t>
      </w:r>
      <w:r w:rsidR="008D617B" w:rsidRPr="008D617B">
        <w:rPr>
          <w:rFonts w:ascii="Times New Roman" w:hAnsi="Times New Roman"/>
        </w:rPr>
        <w:t xml:space="preserve">the mobile </w:t>
      </w:r>
      <w:r w:rsidR="00400485">
        <w:rPr>
          <w:rFonts w:ascii="Times New Roman" w:hAnsi="Times New Roman"/>
        </w:rPr>
        <w:t xml:space="preserve">service </w:t>
      </w:r>
      <w:r w:rsidR="008D617B" w:rsidRPr="008D617B">
        <w:rPr>
          <w:rFonts w:ascii="Times New Roman" w:hAnsi="Times New Roman"/>
        </w:rPr>
        <w:t>numb</w:t>
      </w:r>
      <w:r>
        <w:rPr>
          <w:rFonts w:ascii="Times New Roman" w:hAnsi="Times New Roman"/>
        </w:rPr>
        <w:t>er to be ported and verify the customer receives it in-store</w:t>
      </w:r>
    </w:p>
    <w:p w14:paraId="13E0F8E6" w14:textId="4C1039D6" w:rsidR="008D617B" w:rsidRDefault="006C2106" w:rsidP="008D617B">
      <w:pPr>
        <w:pStyle w:val="ListParagraph"/>
        <w:numPr>
          <w:ilvl w:val="0"/>
          <w:numId w:val="4"/>
        </w:numPr>
        <w:rPr>
          <w:rFonts w:ascii="Times New Roman" w:hAnsi="Times New Roman"/>
        </w:rPr>
      </w:pPr>
      <w:r>
        <w:rPr>
          <w:rFonts w:ascii="Times New Roman" w:hAnsi="Times New Roman"/>
        </w:rPr>
        <w:t xml:space="preserve">having call centre staff </w:t>
      </w:r>
      <w:r w:rsidR="00493561">
        <w:rPr>
          <w:rFonts w:ascii="Times New Roman" w:hAnsi="Times New Roman"/>
        </w:rPr>
        <w:t xml:space="preserve">representing the Gaining CSP </w:t>
      </w:r>
      <w:r>
        <w:rPr>
          <w:rFonts w:ascii="Times New Roman" w:hAnsi="Times New Roman"/>
        </w:rPr>
        <w:t>call back the</w:t>
      </w:r>
      <w:r w:rsidR="008D617B" w:rsidRPr="008D617B">
        <w:rPr>
          <w:rFonts w:ascii="Times New Roman" w:hAnsi="Times New Roman"/>
        </w:rPr>
        <w:t xml:space="preserve"> mobile </w:t>
      </w:r>
      <w:r w:rsidR="00400485">
        <w:rPr>
          <w:rFonts w:ascii="Times New Roman" w:hAnsi="Times New Roman"/>
        </w:rPr>
        <w:t xml:space="preserve">service </w:t>
      </w:r>
      <w:r w:rsidR="008D617B" w:rsidRPr="008D617B">
        <w:rPr>
          <w:rFonts w:ascii="Times New Roman" w:hAnsi="Times New Roman"/>
        </w:rPr>
        <w:t>number to be ported to confirm the person initiating the request is the customer</w:t>
      </w:r>
      <w:r w:rsidR="008D617B">
        <w:rPr>
          <w:rFonts w:ascii="Times New Roman" w:hAnsi="Times New Roman"/>
        </w:rPr>
        <w:t xml:space="preserve"> or </w:t>
      </w:r>
      <w:r w:rsidR="001E6147">
        <w:rPr>
          <w:rFonts w:ascii="Times New Roman" w:hAnsi="Times New Roman"/>
        </w:rPr>
        <w:t xml:space="preserve">their </w:t>
      </w:r>
      <w:r w:rsidR="008D617B">
        <w:rPr>
          <w:rFonts w:ascii="Times New Roman" w:hAnsi="Times New Roman"/>
        </w:rPr>
        <w:t>authorised repre</w:t>
      </w:r>
      <w:r>
        <w:rPr>
          <w:rFonts w:ascii="Times New Roman" w:hAnsi="Times New Roman"/>
        </w:rPr>
        <w:t>sentative (as the case may be); or</w:t>
      </w:r>
    </w:p>
    <w:p w14:paraId="13E0F8E7" w14:textId="529C31C9" w:rsidR="008D617B" w:rsidRPr="008D617B" w:rsidRDefault="008D617B" w:rsidP="008D617B">
      <w:pPr>
        <w:pStyle w:val="ListParagraph"/>
        <w:numPr>
          <w:ilvl w:val="0"/>
          <w:numId w:val="4"/>
        </w:numPr>
        <w:rPr>
          <w:rFonts w:ascii="Times New Roman" w:hAnsi="Times New Roman"/>
        </w:rPr>
      </w:pPr>
      <w:r>
        <w:rPr>
          <w:rFonts w:ascii="Times New Roman" w:hAnsi="Times New Roman"/>
        </w:rPr>
        <w:t xml:space="preserve">a </w:t>
      </w:r>
      <w:r w:rsidR="008C289C">
        <w:rPr>
          <w:rFonts w:ascii="Times New Roman" w:hAnsi="Times New Roman"/>
        </w:rPr>
        <w:t xml:space="preserve">verification </w:t>
      </w:r>
      <w:r>
        <w:rPr>
          <w:rFonts w:ascii="Times New Roman" w:hAnsi="Times New Roman"/>
        </w:rPr>
        <w:t xml:space="preserve">method that uses </w:t>
      </w:r>
      <w:r w:rsidRPr="008D617B">
        <w:rPr>
          <w:rFonts w:ascii="Times New Roman" w:hAnsi="Times New Roman"/>
        </w:rPr>
        <w:t>one or multiple forms of biometric data.</w:t>
      </w:r>
    </w:p>
    <w:p w14:paraId="61FC3D8E" w14:textId="7BBED024" w:rsidR="00EA4E13" w:rsidRDefault="00737C27" w:rsidP="008D617B">
      <w:pPr>
        <w:rPr>
          <w:rFonts w:ascii="Times New Roman" w:hAnsi="Times New Roman"/>
        </w:rPr>
      </w:pPr>
      <w:r>
        <w:rPr>
          <w:rFonts w:ascii="Times New Roman" w:hAnsi="Times New Roman"/>
        </w:rPr>
        <w:t>Subsection</w:t>
      </w:r>
      <w:r w:rsidR="001E6147">
        <w:rPr>
          <w:rFonts w:ascii="Times New Roman" w:hAnsi="Times New Roman"/>
        </w:rPr>
        <w:t xml:space="preserve"> 6(3) of the</w:t>
      </w:r>
      <w:r w:rsidR="006C2106">
        <w:rPr>
          <w:rFonts w:ascii="Times New Roman" w:hAnsi="Times New Roman"/>
        </w:rPr>
        <w:t xml:space="preserve"> Direction does not prescribe these particular methods be used for pre-port </w:t>
      </w:r>
      <w:r w:rsidR="008C289C">
        <w:rPr>
          <w:rFonts w:ascii="Times New Roman" w:hAnsi="Times New Roman"/>
        </w:rPr>
        <w:t xml:space="preserve">identity </w:t>
      </w:r>
      <w:r w:rsidR="006C2106">
        <w:rPr>
          <w:rFonts w:ascii="Times New Roman" w:hAnsi="Times New Roman"/>
        </w:rPr>
        <w:t>verification</w:t>
      </w:r>
      <w:r w:rsidR="001E6147">
        <w:rPr>
          <w:rFonts w:ascii="Times New Roman" w:hAnsi="Times New Roman"/>
        </w:rPr>
        <w:t xml:space="preserve"> in the new industry standard</w:t>
      </w:r>
      <w:r w:rsidR="006C2106">
        <w:rPr>
          <w:rFonts w:ascii="Times New Roman" w:hAnsi="Times New Roman"/>
        </w:rPr>
        <w:t xml:space="preserve">, but provides an indication to industry of the types of measures that may be required. </w:t>
      </w:r>
    </w:p>
    <w:p w14:paraId="43589C6A" w14:textId="420B60A0" w:rsidR="006C2106" w:rsidRDefault="00EA4E13" w:rsidP="008D617B">
      <w:pPr>
        <w:rPr>
          <w:rFonts w:ascii="Times New Roman" w:hAnsi="Times New Roman"/>
        </w:rPr>
      </w:pPr>
      <w:r>
        <w:rPr>
          <w:rFonts w:ascii="Times New Roman" w:hAnsi="Times New Roman"/>
        </w:rPr>
        <w:t xml:space="preserve">Subsection 6(3) also requires the </w:t>
      </w:r>
      <w:r w:rsidR="00626792">
        <w:rPr>
          <w:rFonts w:ascii="Times New Roman" w:hAnsi="Times New Roman"/>
        </w:rPr>
        <w:t xml:space="preserve">ACMA to </w:t>
      </w:r>
      <w:r w:rsidR="00626792" w:rsidRPr="00626792">
        <w:rPr>
          <w:rFonts w:ascii="Times New Roman" w:hAnsi="Times New Roman"/>
        </w:rPr>
        <w:t xml:space="preserve">identify clearly which of the specified processes </w:t>
      </w:r>
      <w:r w:rsidR="00626792">
        <w:rPr>
          <w:rFonts w:ascii="Times New Roman" w:hAnsi="Times New Roman"/>
        </w:rPr>
        <w:t xml:space="preserve">for identity verification it includes in a new standard </w:t>
      </w:r>
      <w:r w:rsidR="00626792" w:rsidRPr="00626792">
        <w:rPr>
          <w:rFonts w:ascii="Times New Roman" w:hAnsi="Times New Roman"/>
        </w:rPr>
        <w:t xml:space="preserve">apply to all customer types and which </w:t>
      </w:r>
      <w:r>
        <w:rPr>
          <w:rFonts w:ascii="Times New Roman" w:hAnsi="Times New Roman"/>
        </w:rPr>
        <w:t xml:space="preserve">ones are to </w:t>
      </w:r>
      <w:r w:rsidR="00626792" w:rsidRPr="00626792">
        <w:rPr>
          <w:rFonts w:ascii="Times New Roman" w:hAnsi="Times New Roman"/>
        </w:rPr>
        <w:t>apply to specific customer types (</w:t>
      </w:r>
      <w:r w:rsidR="00E97DC9">
        <w:rPr>
          <w:rFonts w:ascii="Times New Roman" w:hAnsi="Times New Roman"/>
        </w:rPr>
        <w:t>e.g.</w:t>
      </w:r>
      <w:r>
        <w:rPr>
          <w:rFonts w:ascii="Times New Roman" w:hAnsi="Times New Roman"/>
        </w:rPr>
        <w:t xml:space="preserve"> </w:t>
      </w:r>
      <w:r w:rsidR="00626792" w:rsidRPr="00626792">
        <w:rPr>
          <w:rFonts w:ascii="Times New Roman" w:hAnsi="Times New Roman"/>
        </w:rPr>
        <w:t>individual</w:t>
      </w:r>
      <w:r>
        <w:rPr>
          <w:rFonts w:ascii="Times New Roman" w:hAnsi="Times New Roman"/>
        </w:rPr>
        <w:t xml:space="preserve">/residential customers, </w:t>
      </w:r>
      <w:r w:rsidR="00626792" w:rsidRPr="00626792">
        <w:rPr>
          <w:rFonts w:ascii="Times New Roman" w:hAnsi="Times New Roman"/>
        </w:rPr>
        <w:t>small to medium business</w:t>
      </w:r>
      <w:r>
        <w:rPr>
          <w:rFonts w:ascii="Times New Roman" w:hAnsi="Times New Roman"/>
        </w:rPr>
        <w:t xml:space="preserve"> customer</w:t>
      </w:r>
      <w:r w:rsidR="00E97DC9">
        <w:rPr>
          <w:rFonts w:ascii="Times New Roman" w:hAnsi="Times New Roman"/>
        </w:rPr>
        <w:t>s</w:t>
      </w:r>
      <w:r>
        <w:rPr>
          <w:rFonts w:ascii="Times New Roman" w:hAnsi="Times New Roman"/>
        </w:rPr>
        <w:t xml:space="preserve"> or the enterprise</w:t>
      </w:r>
      <w:r w:rsidR="00A81015">
        <w:rPr>
          <w:rFonts w:ascii="Times New Roman" w:hAnsi="Times New Roman"/>
        </w:rPr>
        <w:t>-</w:t>
      </w:r>
      <w:r>
        <w:rPr>
          <w:rFonts w:ascii="Times New Roman" w:hAnsi="Times New Roman"/>
        </w:rPr>
        <w:t>level</w:t>
      </w:r>
      <w:r w:rsidR="00626792" w:rsidRPr="00626792">
        <w:rPr>
          <w:rFonts w:ascii="Times New Roman" w:hAnsi="Times New Roman"/>
        </w:rPr>
        <w:t xml:space="preserve"> corporate</w:t>
      </w:r>
      <w:r>
        <w:rPr>
          <w:rFonts w:ascii="Times New Roman" w:hAnsi="Times New Roman"/>
        </w:rPr>
        <w:t xml:space="preserve"> customer</w:t>
      </w:r>
      <w:r w:rsidR="00E97DC9">
        <w:rPr>
          <w:rFonts w:ascii="Times New Roman" w:hAnsi="Times New Roman"/>
        </w:rPr>
        <w:t>s</w:t>
      </w:r>
      <w:r w:rsidR="00626792" w:rsidRPr="00626792">
        <w:rPr>
          <w:rFonts w:ascii="Times New Roman" w:hAnsi="Times New Roman"/>
        </w:rPr>
        <w:t>)</w:t>
      </w:r>
      <w:r w:rsidR="00626792">
        <w:rPr>
          <w:rFonts w:ascii="Times New Roman" w:hAnsi="Times New Roman"/>
        </w:rPr>
        <w:t xml:space="preserve">. </w:t>
      </w:r>
      <w:r w:rsidR="00E97DC9">
        <w:rPr>
          <w:rFonts w:ascii="Times New Roman" w:hAnsi="Times New Roman"/>
        </w:rPr>
        <w:t>D</w:t>
      </w:r>
      <w:r w:rsidR="00626792">
        <w:rPr>
          <w:rFonts w:ascii="Times New Roman" w:hAnsi="Times New Roman"/>
        </w:rPr>
        <w:t xml:space="preserve">ifferent processes may be more </w:t>
      </w:r>
      <w:r>
        <w:rPr>
          <w:rFonts w:ascii="Times New Roman" w:hAnsi="Times New Roman"/>
        </w:rPr>
        <w:t>suitable</w:t>
      </w:r>
      <w:r w:rsidR="00626792">
        <w:rPr>
          <w:rFonts w:ascii="Times New Roman" w:hAnsi="Times New Roman"/>
        </w:rPr>
        <w:t xml:space="preserve"> for </w:t>
      </w:r>
      <w:r>
        <w:rPr>
          <w:rFonts w:ascii="Times New Roman" w:hAnsi="Times New Roman"/>
        </w:rPr>
        <w:t>particular</w:t>
      </w:r>
      <w:r w:rsidR="00626792">
        <w:rPr>
          <w:rFonts w:ascii="Times New Roman" w:hAnsi="Times New Roman"/>
        </w:rPr>
        <w:t xml:space="preserve"> customer </w:t>
      </w:r>
      <w:r w:rsidR="00A81015">
        <w:rPr>
          <w:rFonts w:ascii="Times New Roman" w:hAnsi="Times New Roman"/>
        </w:rPr>
        <w:t>categories</w:t>
      </w:r>
      <w:r w:rsidR="00626792">
        <w:rPr>
          <w:rFonts w:ascii="Times New Roman" w:hAnsi="Times New Roman"/>
        </w:rPr>
        <w:t xml:space="preserve">. </w:t>
      </w:r>
    </w:p>
    <w:p w14:paraId="13E0F8EE" w14:textId="15E3C9D9" w:rsidR="008D617B" w:rsidRPr="008D617B" w:rsidRDefault="00725EBC" w:rsidP="008D617B">
      <w:pPr>
        <w:rPr>
          <w:rFonts w:ascii="Times New Roman" w:hAnsi="Times New Roman"/>
          <w:u w:val="single"/>
        </w:rPr>
      </w:pPr>
      <w:r>
        <w:rPr>
          <w:rFonts w:ascii="Times New Roman" w:hAnsi="Times New Roman"/>
          <w:u w:val="single"/>
        </w:rPr>
        <w:t xml:space="preserve">Section 7 – </w:t>
      </w:r>
      <w:r w:rsidR="00BE40F2">
        <w:rPr>
          <w:rFonts w:ascii="Times New Roman" w:hAnsi="Times New Roman"/>
          <w:u w:val="single"/>
        </w:rPr>
        <w:t>Provision of c</w:t>
      </w:r>
      <w:r w:rsidR="008D617B" w:rsidRPr="008D617B">
        <w:rPr>
          <w:rFonts w:ascii="Times New Roman" w:hAnsi="Times New Roman"/>
          <w:u w:val="single"/>
        </w:rPr>
        <w:t xml:space="preserve">onsumer awareness and safeguard information by mobile carriage service providers </w:t>
      </w:r>
    </w:p>
    <w:p w14:paraId="13E0F8EF" w14:textId="15CDC7E1" w:rsidR="008D617B" w:rsidRPr="008D617B" w:rsidRDefault="008D617B" w:rsidP="008D617B">
      <w:pPr>
        <w:rPr>
          <w:rFonts w:ascii="Times New Roman" w:hAnsi="Times New Roman"/>
        </w:rPr>
      </w:pPr>
      <w:r w:rsidRPr="008D617B">
        <w:rPr>
          <w:rFonts w:ascii="Times New Roman" w:hAnsi="Times New Roman"/>
        </w:rPr>
        <w:t>Subsection 7(1) speci</w:t>
      </w:r>
      <w:r w:rsidR="00973B8A">
        <w:rPr>
          <w:rFonts w:ascii="Times New Roman" w:hAnsi="Times New Roman"/>
        </w:rPr>
        <w:t>fi</w:t>
      </w:r>
      <w:r w:rsidRPr="008D617B">
        <w:rPr>
          <w:rFonts w:ascii="Times New Roman" w:hAnsi="Times New Roman"/>
        </w:rPr>
        <w:t>es that the industry standard m</w:t>
      </w:r>
      <w:r w:rsidR="00216992">
        <w:rPr>
          <w:rFonts w:ascii="Times New Roman" w:hAnsi="Times New Roman"/>
        </w:rPr>
        <w:t>ay</w:t>
      </w:r>
      <w:r w:rsidRPr="008D617B">
        <w:rPr>
          <w:rFonts w:ascii="Times New Roman" w:hAnsi="Times New Roman"/>
        </w:rPr>
        <w:t xml:space="preserve"> specify minimum requirements for information and advice that mobile carriage service providers are to provide or make available to customers (or prospective customers) for both of the following purposes:</w:t>
      </w:r>
    </w:p>
    <w:p w14:paraId="09A8353B" w14:textId="25CC6EC0" w:rsidR="00973B8A" w:rsidRPr="007738E2" w:rsidRDefault="008D617B" w:rsidP="007738E2">
      <w:pPr>
        <w:pStyle w:val="ListParagraph"/>
        <w:numPr>
          <w:ilvl w:val="0"/>
          <w:numId w:val="8"/>
        </w:numPr>
        <w:rPr>
          <w:rFonts w:ascii="Times New Roman" w:hAnsi="Times New Roman"/>
        </w:rPr>
      </w:pPr>
      <w:r w:rsidRPr="008D617B">
        <w:rPr>
          <w:rFonts w:ascii="Times New Roman" w:hAnsi="Times New Roman"/>
        </w:rPr>
        <w:t>help them to comprehend that an identification verification process will apply prior to the carr</w:t>
      </w:r>
      <w:r w:rsidR="007738E2">
        <w:rPr>
          <w:rFonts w:ascii="Times New Roman" w:hAnsi="Times New Roman"/>
        </w:rPr>
        <w:t>iage service provider accepting</w:t>
      </w:r>
      <w:r w:rsidRPr="008D617B">
        <w:rPr>
          <w:rFonts w:ascii="Times New Roman" w:hAnsi="Times New Roman"/>
        </w:rPr>
        <w:t xml:space="preserve"> ports of mobile </w:t>
      </w:r>
      <w:r w:rsidR="00400485">
        <w:rPr>
          <w:rFonts w:ascii="Times New Roman" w:hAnsi="Times New Roman"/>
        </w:rPr>
        <w:t xml:space="preserve">service </w:t>
      </w:r>
      <w:r w:rsidRPr="008D617B">
        <w:rPr>
          <w:rFonts w:ascii="Times New Roman" w:hAnsi="Times New Roman"/>
        </w:rPr>
        <w:t>numbers; an</w:t>
      </w:r>
      <w:r w:rsidR="00973B8A">
        <w:rPr>
          <w:rFonts w:ascii="Times New Roman" w:hAnsi="Times New Roman"/>
        </w:rPr>
        <w:t>d</w:t>
      </w:r>
    </w:p>
    <w:p w14:paraId="13E0F8F1" w14:textId="21AC6D2A" w:rsidR="008D617B" w:rsidRPr="008D617B" w:rsidRDefault="008D617B" w:rsidP="008D617B">
      <w:pPr>
        <w:pStyle w:val="ListParagraph"/>
        <w:numPr>
          <w:ilvl w:val="0"/>
          <w:numId w:val="8"/>
        </w:numPr>
        <w:rPr>
          <w:rFonts w:ascii="Times New Roman" w:hAnsi="Times New Roman"/>
        </w:rPr>
      </w:pPr>
      <w:r w:rsidRPr="008D617B">
        <w:rPr>
          <w:rFonts w:ascii="Times New Roman" w:hAnsi="Times New Roman"/>
        </w:rPr>
        <w:t xml:space="preserve">encourage them to report any suspected fraudulent or unlawful activity or conduct associated with, or otherwise involving, the unauthorised porting of a mobile </w:t>
      </w:r>
      <w:r w:rsidR="00400485">
        <w:rPr>
          <w:rFonts w:ascii="Times New Roman" w:hAnsi="Times New Roman"/>
        </w:rPr>
        <w:t xml:space="preserve">service </w:t>
      </w:r>
      <w:r w:rsidRPr="008D617B">
        <w:rPr>
          <w:rFonts w:ascii="Times New Roman" w:hAnsi="Times New Roman"/>
        </w:rPr>
        <w:t xml:space="preserve">number to the </w:t>
      </w:r>
      <w:r w:rsidR="00400485">
        <w:rPr>
          <w:rFonts w:ascii="Times New Roman" w:hAnsi="Times New Roman"/>
        </w:rPr>
        <w:t xml:space="preserve">Australian </w:t>
      </w:r>
      <w:r w:rsidRPr="008D617B">
        <w:rPr>
          <w:rFonts w:ascii="Times New Roman" w:hAnsi="Times New Roman"/>
        </w:rPr>
        <w:t>Fede</w:t>
      </w:r>
      <w:r w:rsidR="00973B8A">
        <w:rPr>
          <w:rFonts w:ascii="Times New Roman" w:hAnsi="Times New Roman"/>
        </w:rPr>
        <w:t xml:space="preserve">ral Police and applicable State or </w:t>
      </w:r>
      <w:r w:rsidRPr="008D617B">
        <w:rPr>
          <w:rFonts w:ascii="Times New Roman" w:hAnsi="Times New Roman"/>
        </w:rPr>
        <w:t xml:space="preserve">Territory Police, and a relevant </w:t>
      </w:r>
      <w:r w:rsidR="00061884">
        <w:rPr>
          <w:rFonts w:ascii="Times New Roman" w:hAnsi="Times New Roman"/>
        </w:rPr>
        <w:t xml:space="preserve">government </w:t>
      </w:r>
      <w:r w:rsidRPr="008D617B">
        <w:rPr>
          <w:rFonts w:ascii="Times New Roman" w:hAnsi="Times New Roman"/>
        </w:rPr>
        <w:t>consumer support service</w:t>
      </w:r>
      <w:r w:rsidR="00061884">
        <w:rPr>
          <w:rFonts w:ascii="Times New Roman" w:hAnsi="Times New Roman"/>
        </w:rPr>
        <w:t xml:space="preserve">s. Currently, these kinds of services include </w:t>
      </w:r>
      <w:r w:rsidRPr="008D617B">
        <w:rPr>
          <w:rFonts w:ascii="Times New Roman" w:hAnsi="Times New Roman"/>
        </w:rPr>
        <w:t xml:space="preserve">Scamwatch </w:t>
      </w:r>
      <w:r w:rsidR="00061884">
        <w:rPr>
          <w:rFonts w:ascii="Times New Roman" w:hAnsi="Times New Roman"/>
        </w:rPr>
        <w:t xml:space="preserve">and </w:t>
      </w:r>
      <w:r w:rsidRPr="008D617B">
        <w:rPr>
          <w:rFonts w:ascii="Times New Roman" w:hAnsi="Times New Roman"/>
        </w:rPr>
        <w:t>IDCARE</w:t>
      </w:r>
      <w:r w:rsidR="00061884">
        <w:rPr>
          <w:rFonts w:ascii="Times New Roman" w:hAnsi="Times New Roman"/>
        </w:rPr>
        <w:t>.</w:t>
      </w:r>
    </w:p>
    <w:p w14:paraId="13E0F8F2" w14:textId="6EE4AF7C" w:rsidR="008D617B" w:rsidRPr="008D617B" w:rsidRDefault="008D617B" w:rsidP="00725EBC">
      <w:pPr>
        <w:rPr>
          <w:rFonts w:ascii="Times New Roman" w:hAnsi="Times New Roman"/>
        </w:rPr>
      </w:pPr>
      <w:r w:rsidRPr="008D617B">
        <w:rPr>
          <w:rFonts w:ascii="Times New Roman" w:hAnsi="Times New Roman"/>
        </w:rPr>
        <w:t xml:space="preserve">The </w:t>
      </w:r>
      <w:r w:rsidR="00973B8A">
        <w:rPr>
          <w:rFonts w:ascii="Times New Roman" w:hAnsi="Times New Roman"/>
        </w:rPr>
        <w:t>new industry standard may also</w:t>
      </w:r>
      <w:r w:rsidRPr="008D617B">
        <w:rPr>
          <w:rFonts w:ascii="Times New Roman" w:hAnsi="Times New Roman"/>
        </w:rPr>
        <w:t xml:space="preserve"> specify requirements in relation to the manner in which the information or advice is to be provided or made available to customers</w:t>
      </w:r>
      <w:r w:rsidR="00973B8A">
        <w:rPr>
          <w:rFonts w:ascii="Times New Roman" w:hAnsi="Times New Roman"/>
        </w:rPr>
        <w:t>.</w:t>
      </w:r>
    </w:p>
    <w:sectPr w:rsidR="008D617B" w:rsidRPr="008D617B" w:rsidSect="008C289C">
      <w:headerReference w:type="default" r:id="rId14"/>
      <w:footerReference w:type="first" r:id="rId15"/>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23AE1" w14:textId="77777777" w:rsidR="005362CD" w:rsidRDefault="005362CD" w:rsidP="008D617B">
      <w:pPr>
        <w:spacing w:after="0"/>
      </w:pPr>
      <w:r>
        <w:separator/>
      </w:r>
    </w:p>
  </w:endnote>
  <w:endnote w:type="continuationSeparator" w:id="0">
    <w:p w14:paraId="4650C079" w14:textId="77777777" w:rsidR="005362CD" w:rsidRDefault="005362CD" w:rsidP="008D617B">
      <w:pPr>
        <w:spacing w:after="0"/>
      </w:pPr>
      <w:r>
        <w:continuationSeparator/>
      </w:r>
    </w:p>
  </w:endnote>
  <w:endnote w:type="continuationNotice" w:id="1">
    <w:p w14:paraId="21BE53D1" w14:textId="77777777" w:rsidR="005362CD" w:rsidRDefault="00536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F8FC" w14:textId="77777777" w:rsidR="005362CD" w:rsidRDefault="005362CD">
    <w:pPr>
      <w:pStyle w:val="Footer"/>
    </w:pPr>
  </w:p>
  <w:p w14:paraId="13E0F8FD" w14:textId="77777777" w:rsidR="005362CD" w:rsidRDefault="0053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4942" w14:textId="77777777" w:rsidR="005362CD" w:rsidRDefault="005362CD" w:rsidP="008D617B">
      <w:pPr>
        <w:spacing w:after="0"/>
      </w:pPr>
      <w:r>
        <w:separator/>
      </w:r>
    </w:p>
  </w:footnote>
  <w:footnote w:type="continuationSeparator" w:id="0">
    <w:p w14:paraId="22831142" w14:textId="77777777" w:rsidR="005362CD" w:rsidRDefault="005362CD" w:rsidP="008D617B">
      <w:pPr>
        <w:spacing w:after="0"/>
      </w:pPr>
      <w:r>
        <w:continuationSeparator/>
      </w:r>
    </w:p>
  </w:footnote>
  <w:footnote w:type="continuationNotice" w:id="1">
    <w:p w14:paraId="5D204F09" w14:textId="77777777" w:rsidR="005362CD" w:rsidRDefault="005362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F8F8" w14:textId="3B61151E" w:rsidR="005362CD" w:rsidRDefault="005362CD">
    <w:pPr>
      <w:pStyle w:val="Header"/>
    </w:pPr>
    <w:r>
      <w:tab/>
    </w:r>
    <w:r>
      <w:rPr>
        <w:rStyle w:val="PageNumber"/>
      </w:rPr>
      <w:fldChar w:fldCharType="begin"/>
    </w:r>
    <w:r>
      <w:rPr>
        <w:rStyle w:val="PageNumber"/>
      </w:rPr>
      <w:instrText xml:space="preserve"> PAGE </w:instrText>
    </w:r>
    <w:r>
      <w:rPr>
        <w:rStyle w:val="PageNumber"/>
      </w:rPr>
      <w:fldChar w:fldCharType="separate"/>
    </w:r>
    <w:r w:rsidR="00034B1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1C4"/>
    <w:multiLevelType w:val="hybridMultilevel"/>
    <w:tmpl w:val="3C805268"/>
    <w:lvl w:ilvl="0" w:tplc="DA3E0A66">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D51BBC"/>
    <w:multiLevelType w:val="hybridMultilevel"/>
    <w:tmpl w:val="FE0E08DA"/>
    <w:lvl w:ilvl="0" w:tplc="58F40F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FD5B8B"/>
    <w:multiLevelType w:val="hybridMultilevel"/>
    <w:tmpl w:val="3410B3A8"/>
    <w:lvl w:ilvl="0" w:tplc="D8A033D8">
      <w:start w:val="1"/>
      <w:numFmt w:val="lowerRoman"/>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5613D1"/>
    <w:multiLevelType w:val="hybridMultilevel"/>
    <w:tmpl w:val="59102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0002D"/>
    <w:multiLevelType w:val="hybridMultilevel"/>
    <w:tmpl w:val="B9DA8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44367D"/>
    <w:multiLevelType w:val="hybridMultilevel"/>
    <w:tmpl w:val="1E12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0D15B6"/>
    <w:multiLevelType w:val="hybridMultilevel"/>
    <w:tmpl w:val="30ACAE7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15:restartNumberingAfterBreak="0">
    <w:nsid w:val="62175BE0"/>
    <w:multiLevelType w:val="hybridMultilevel"/>
    <w:tmpl w:val="F998C0D4"/>
    <w:lvl w:ilvl="0" w:tplc="0C090001">
      <w:start w:val="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6932B6"/>
    <w:multiLevelType w:val="hybridMultilevel"/>
    <w:tmpl w:val="B42A2D54"/>
    <w:lvl w:ilvl="0" w:tplc="54603EE4">
      <w:start w:val="7"/>
      <w:numFmt w:val="bullet"/>
      <w:lvlText w:val=""/>
      <w:lvlJc w:val="left"/>
      <w:pPr>
        <w:ind w:left="720" w:hanging="360"/>
      </w:pPr>
      <w:rPr>
        <w:rFonts w:ascii="Symbol" w:eastAsia="Times New Roman"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E53C69"/>
    <w:multiLevelType w:val="hybridMultilevel"/>
    <w:tmpl w:val="6E0E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1"/>
  </w:num>
  <w:num w:numId="6">
    <w:abstractNumId w:val="5"/>
  </w:num>
  <w:num w:numId="7">
    <w:abstractNumId w:val="0"/>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BC"/>
    <w:rsid w:val="00034B1F"/>
    <w:rsid w:val="00061884"/>
    <w:rsid w:val="001335FA"/>
    <w:rsid w:val="00150F28"/>
    <w:rsid w:val="00156DC3"/>
    <w:rsid w:val="00185686"/>
    <w:rsid w:val="00195FB8"/>
    <w:rsid w:val="001A580E"/>
    <w:rsid w:val="001E11A9"/>
    <w:rsid w:val="001E2AA5"/>
    <w:rsid w:val="001E31A3"/>
    <w:rsid w:val="001E6147"/>
    <w:rsid w:val="00216992"/>
    <w:rsid w:val="0028122D"/>
    <w:rsid w:val="002C1762"/>
    <w:rsid w:val="002D267D"/>
    <w:rsid w:val="0039342A"/>
    <w:rsid w:val="003B268E"/>
    <w:rsid w:val="003F525E"/>
    <w:rsid w:val="00400485"/>
    <w:rsid w:val="0046720F"/>
    <w:rsid w:val="00493561"/>
    <w:rsid w:val="004D13F5"/>
    <w:rsid w:val="004F2FDC"/>
    <w:rsid w:val="00525561"/>
    <w:rsid w:val="005362CD"/>
    <w:rsid w:val="0057343E"/>
    <w:rsid w:val="00591C16"/>
    <w:rsid w:val="005E2D0A"/>
    <w:rsid w:val="00626792"/>
    <w:rsid w:val="006414B4"/>
    <w:rsid w:val="00664E7C"/>
    <w:rsid w:val="006C2106"/>
    <w:rsid w:val="006C6C29"/>
    <w:rsid w:val="006D245F"/>
    <w:rsid w:val="006E76AE"/>
    <w:rsid w:val="00725EBC"/>
    <w:rsid w:val="00737C27"/>
    <w:rsid w:val="00741265"/>
    <w:rsid w:val="007738E2"/>
    <w:rsid w:val="007A12C1"/>
    <w:rsid w:val="007A718D"/>
    <w:rsid w:val="007B2E1E"/>
    <w:rsid w:val="007C2689"/>
    <w:rsid w:val="007E7FFE"/>
    <w:rsid w:val="00815CD0"/>
    <w:rsid w:val="00816C41"/>
    <w:rsid w:val="008554E2"/>
    <w:rsid w:val="0087709C"/>
    <w:rsid w:val="008A151C"/>
    <w:rsid w:val="008B5DD1"/>
    <w:rsid w:val="008C289C"/>
    <w:rsid w:val="008D617B"/>
    <w:rsid w:val="00901AC4"/>
    <w:rsid w:val="00906BF9"/>
    <w:rsid w:val="009135C0"/>
    <w:rsid w:val="00943EA6"/>
    <w:rsid w:val="00945248"/>
    <w:rsid w:val="00973B8A"/>
    <w:rsid w:val="0098198D"/>
    <w:rsid w:val="00983138"/>
    <w:rsid w:val="00995E23"/>
    <w:rsid w:val="00A2325C"/>
    <w:rsid w:val="00A81015"/>
    <w:rsid w:val="00BE40F2"/>
    <w:rsid w:val="00BF5878"/>
    <w:rsid w:val="00CB2F2C"/>
    <w:rsid w:val="00CD4BBB"/>
    <w:rsid w:val="00D33E7D"/>
    <w:rsid w:val="00DD04E9"/>
    <w:rsid w:val="00E017DB"/>
    <w:rsid w:val="00E03DBC"/>
    <w:rsid w:val="00E10B5A"/>
    <w:rsid w:val="00E77393"/>
    <w:rsid w:val="00E97DC9"/>
    <w:rsid w:val="00EA4E13"/>
    <w:rsid w:val="00ED5399"/>
    <w:rsid w:val="00F03EB7"/>
    <w:rsid w:val="00F115E3"/>
    <w:rsid w:val="00F17655"/>
    <w:rsid w:val="00F963D8"/>
    <w:rsid w:val="00FD4A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0F8B0"/>
  <w15:chartTrackingRefBased/>
  <w15:docId w15:val="{83BEE770-126A-4B60-B1B2-DAE8FBBB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EBC"/>
    <w:pPr>
      <w:spacing w:after="240" w:line="240" w:lineRule="auto"/>
    </w:pPr>
    <w:rPr>
      <w:rFonts w:eastAsia="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EBC"/>
    <w:pPr>
      <w:tabs>
        <w:tab w:val="center" w:pos="4513"/>
        <w:tab w:val="right" w:pos="9026"/>
      </w:tabs>
      <w:spacing w:after="0"/>
    </w:pPr>
    <w:rPr>
      <w:szCs w:val="28"/>
    </w:rPr>
  </w:style>
  <w:style w:type="character" w:customStyle="1" w:styleId="HeaderChar">
    <w:name w:val="Header Char"/>
    <w:basedOn w:val="DefaultParagraphFont"/>
    <w:link w:val="Header"/>
    <w:uiPriority w:val="99"/>
    <w:rsid w:val="00725EBC"/>
    <w:rPr>
      <w:rFonts w:eastAsia="Times New Roman" w:cs="Times New Roman"/>
      <w:sz w:val="24"/>
      <w:szCs w:val="28"/>
      <w:lang w:eastAsia="en-AU"/>
    </w:rPr>
  </w:style>
  <w:style w:type="character" w:styleId="PageNumber">
    <w:name w:val="page number"/>
    <w:basedOn w:val="DefaultParagraphFont"/>
    <w:rsid w:val="00725EBC"/>
  </w:style>
  <w:style w:type="paragraph" w:styleId="Footer">
    <w:name w:val="footer"/>
    <w:basedOn w:val="Normal"/>
    <w:link w:val="FooterChar"/>
    <w:uiPriority w:val="99"/>
    <w:rsid w:val="00725EBC"/>
    <w:pPr>
      <w:spacing w:after="0"/>
      <w:jc w:val="center"/>
    </w:pPr>
    <w:rPr>
      <w:sz w:val="20"/>
    </w:rPr>
  </w:style>
  <w:style w:type="character" w:customStyle="1" w:styleId="FooterChar">
    <w:name w:val="Footer Char"/>
    <w:basedOn w:val="DefaultParagraphFont"/>
    <w:link w:val="Footer"/>
    <w:uiPriority w:val="99"/>
    <w:rsid w:val="00725EBC"/>
    <w:rPr>
      <w:rFonts w:eastAsia="Times New Roman" w:cs="Times New Roman"/>
      <w:sz w:val="20"/>
      <w:szCs w:val="24"/>
      <w:lang w:eastAsia="en-AU"/>
    </w:rPr>
  </w:style>
  <w:style w:type="paragraph" w:styleId="ListParagraph">
    <w:name w:val="List Paragraph"/>
    <w:basedOn w:val="Normal"/>
    <w:uiPriority w:val="34"/>
    <w:qFormat/>
    <w:rsid w:val="00725EBC"/>
    <w:pPr>
      <w:ind w:left="720"/>
      <w:contextualSpacing/>
    </w:pPr>
  </w:style>
  <w:style w:type="paragraph" w:customStyle="1" w:styleId="NormalBold">
    <w:name w:val="Normal Bold"/>
    <w:basedOn w:val="Normal"/>
    <w:link w:val="NormalBoldChar"/>
    <w:qFormat/>
    <w:rsid w:val="00725EBC"/>
    <w:rPr>
      <w:rFonts w:cs="Arial"/>
      <w:b/>
      <w:szCs w:val="22"/>
    </w:rPr>
  </w:style>
  <w:style w:type="character" w:customStyle="1" w:styleId="NormalBoldChar">
    <w:name w:val="Normal Bold Char"/>
    <w:basedOn w:val="DefaultParagraphFont"/>
    <w:link w:val="NormalBold"/>
    <w:rsid w:val="00725EBC"/>
    <w:rPr>
      <w:rFonts w:eastAsia="Times New Roman" w:cs="Arial"/>
      <w:b/>
      <w:sz w:val="24"/>
      <w:lang w:eastAsia="en-AU"/>
    </w:rPr>
  </w:style>
  <w:style w:type="paragraph" w:styleId="BodyText">
    <w:name w:val="Body Text"/>
    <w:basedOn w:val="Normal"/>
    <w:link w:val="BodyTextChar"/>
    <w:uiPriority w:val="1"/>
    <w:qFormat/>
    <w:rsid w:val="003F525E"/>
    <w:pPr>
      <w:widowControl w:val="0"/>
      <w:autoSpaceDE w:val="0"/>
      <w:autoSpaceDN w:val="0"/>
      <w:spacing w:after="0"/>
    </w:pPr>
    <w:rPr>
      <w:rFonts w:ascii="Times New Roman" w:hAnsi="Times New Roman"/>
      <w:lang w:bidi="en-AU"/>
    </w:rPr>
  </w:style>
  <w:style w:type="character" w:customStyle="1" w:styleId="BodyTextChar">
    <w:name w:val="Body Text Char"/>
    <w:basedOn w:val="DefaultParagraphFont"/>
    <w:link w:val="BodyText"/>
    <w:uiPriority w:val="1"/>
    <w:rsid w:val="003F525E"/>
    <w:rPr>
      <w:rFonts w:ascii="Times New Roman" w:eastAsia="Times New Roman" w:hAnsi="Times New Roman" w:cs="Times New Roman"/>
      <w:sz w:val="24"/>
      <w:szCs w:val="24"/>
      <w:lang w:eastAsia="en-AU" w:bidi="en-AU"/>
    </w:rPr>
  </w:style>
  <w:style w:type="character" w:styleId="CommentReference">
    <w:name w:val="annotation reference"/>
    <w:basedOn w:val="DefaultParagraphFont"/>
    <w:uiPriority w:val="99"/>
    <w:semiHidden/>
    <w:unhideWhenUsed/>
    <w:rsid w:val="004D13F5"/>
    <w:rPr>
      <w:sz w:val="16"/>
      <w:szCs w:val="16"/>
    </w:rPr>
  </w:style>
  <w:style w:type="paragraph" w:styleId="CommentText">
    <w:name w:val="annotation text"/>
    <w:basedOn w:val="Normal"/>
    <w:link w:val="CommentTextChar"/>
    <w:uiPriority w:val="99"/>
    <w:semiHidden/>
    <w:unhideWhenUsed/>
    <w:rsid w:val="004D13F5"/>
    <w:rPr>
      <w:sz w:val="20"/>
      <w:szCs w:val="20"/>
    </w:rPr>
  </w:style>
  <w:style w:type="character" w:customStyle="1" w:styleId="CommentTextChar">
    <w:name w:val="Comment Text Char"/>
    <w:basedOn w:val="DefaultParagraphFont"/>
    <w:link w:val="CommentText"/>
    <w:uiPriority w:val="99"/>
    <w:semiHidden/>
    <w:rsid w:val="004D13F5"/>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D13F5"/>
    <w:rPr>
      <w:b/>
      <w:bCs/>
    </w:rPr>
  </w:style>
  <w:style w:type="character" w:customStyle="1" w:styleId="CommentSubjectChar">
    <w:name w:val="Comment Subject Char"/>
    <w:basedOn w:val="CommentTextChar"/>
    <w:link w:val="CommentSubject"/>
    <w:uiPriority w:val="99"/>
    <w:semiHidden/>
    <w:rsid w:val="004D13F5"/>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4D13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3F5"/>
    <w:rPr>
      <w:rFonts w:ascii="Segoe UI" w:eastAsia="Times New Roman" w:hAnsi="Segoe UI" w:cs="Segoe UI"/>
      <w:sz w:val="18"/>
      <w:szCs w:val="18"/>
      <w:lang w:eastAsia="en-AU"/>
    </w:rPr>
  </w:style>
  <w:style w:type="character" w:styleId="Hyperlink">
    <w:name w:val="Hyperlink"/>
    <w:basedOn w:val="DefaultParagraphFont"/>
    <w:uiPriority w:val="99"/>
    <w:semiHidden/>
    <w:unhideWhenUsed/>
    <w:rsid w:val="006C6C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1802">
      <w:bodyDiv w:val="1"/>
      <w:marLeft w:val="0"/>
      <w:marRight w:val="0"/>
      <w:marTop w:val="0"/>
      <w:marBottom w:val="0"/>
      <w:divBdr>
        <w:top w:val="none" w:sz="0" w:space="0" w:color="auto"/>
        <w:left w:val="none" w:sz="0" w:space="0" w:color="auto"/>
        <w:bottom w:val="none" w:sz="0" w:space="0" w:color="auto"/>
        <w:right w:val="none" w:sz="0" w:space="0" w:color="auto"/>
      </w:divBdr>
      <w:divsChild>
        <w:div w:id="2080782994">
          <w:marLeft w:val="0"/>
          <w:marRight w:val="0"/>
          <w:marTop w:val="0"/>
          <w:marBottom w:val="0"/>
          <w:divBdr>
            <w:top w:val="none" w:sz="0" w:space="0" w:color="auto"/>
            <w:left w:val="none" w:sz="0" w:space="0" w:color="auto"/>
            <w:bottom w:val="none" w:sz="0" w:space="0" w:color="auto"/>
            <w:right w:val="none" w:sz="0" w:space="0" w:color="auto"/>
          </w:divBdr>
          <w:divsChild>
            <w:div w:id="1307006758">
              <w:marLeft w:val="0"/>
              <w:marRight w:val="0"/>
              <w:marTop w:val="0"/>
              <w:marBottom w:val="0"/>
              <w:divBdr>
                <w:top w:val="none" w:sz="0" w:space="0" w:color="auto"/>
                <w:left w:val="none" w:sz="0" w:space="0" w:color="auto"/>
                <w:bottom w:val="none" w:sz="0" w:space="0" w:color="auto"/>
                <w:right w:val="none" w:sz="0" w:space="0" w:color="auto"/>
              </w:divBdr>
              <w:divsChild>
                <w:div w:id="1412041457">
                  <w:marLeft w:val="0"/>
                  <w:marRight w:val="0"/>
                  <w:marTop w:val="0"/>
                  <w:marBottom w:val="0"/>
                  <w:divBdr>
                    <w:top w:val="none" w:sz="0" w:space="0" w:color="auto"/>
                    <w:left w:val="none" w:sz="0" w:space="0" w:color="auto"/>
                    <w:bottom w:val="none" w:sz="0" w:space="0" w:color="auto"/>
                    <w:right w:val="none" w:sz="0" w:space="0" w:color="auto"/>
                  </w:divBdr>
                  <w:divsChild>
                    <w:div w:id="76563680">
                      <w:marLeft w:val="0"/>
                      <w:marRight w:val="0"/>
                      <w:marTop w:val="0"/>
                      <w:marBottom w:val="0"/>
                      <w:divBdr>
                        <w:top w:val="none" w:sz="0" w:space="0" w:color="auto"/>
                        <w:left w:val="none" w:sz="0" w:space="0" w:color="auto"/>
                        <w:bottom w:val="none" w:sz="0" w:space="0" w:color="auto"/>
                        <w:right w:val="none" w:sz="0" w:space="0" w:color="auto"/>
                      </w:divBdr>
                      <w:divsChild>
                        <w:div w:id="1267037372">
                          <w:marLeft w:val="0"/>
                          <w:marRight w:val="0"/>
                          <w:marTop w:val="0"/>
                          <w:marBottom w:val="0"/>
                          <w:divBdr>
                            <w:top w:val="none" w:sz="0" w:space="0" w:color="auto"/>
                            <w:left w:val="none" w:sz="0" w:space="0" w:color="auto"/>
                            <w:bottom w:val="none" w:sz="0" w:space="0" w:color="auto"/>
                            <w:right w:val="none" w:sz="0" w:space="0" w:color="auto"/>
                          </w:divBdr>
                          <w:divsChild>
                            <w:div w:id="1359158719">
                              <w:marLeft w:val="0"/>
                              <w:marRight w:val="0"/>
                              <w:marTop w:val="0"/>
                              <w:marBottom w:val="0"/>
                              <w:divBdr>
                                <w:top w:val="none" w:sz="0" w:space="0" w:color="auto"/>
                                <w:left w:val="none" w:sz="0" w:space="0" w:color="auto"/>
                                <w:bottom w:val="none" w:sz="0" w:space="0" w:color="auto"/>
                                <w:right w:val="none" w:sz="0" w:space="0" w:color="auto"/>
                              </w:divBdr>
                              <w:divsChild>
                                <w:div w:id="1416394359">
                                  <w:marLeft w:val="0"/>
                                  <w:marRight w:val="0"/>
                                  <w:marTop w:val="0"/>
                                  <w:marBottom w:val="0"/>
                                  <w:divBdr>
                                    <w:top w:val="none" w:sz="0" w:space="0" w:color="auto"/>
                                    <w:left w:val="none" w:sz="0" w:space="0" w:color="auto"/>
                                    <w:bottom w:val="none" w:sz="0" w:space="0" w:color="auto"/>
                                    <w:right w:val="none" w:sz="0" w:space="0" w:color="auto"/>
                                  </w:divBdr>
                                  <w:divsChild>
                                    <w:div w:id="2008509446">
                                      <w:marLeft w:val="0"/>
                                      <w:marRight w:val="0"/>
                                      <w:marTop w:val="0"/>
                                      <w:marBottom w:val="0"/>
                                      <w:divBdr>
                                        <w:top w:val="none" w:sz="0" w:space="0" w:color="auto"/>
                                        <w:left w:val="none" w:sz="0" w:space="0" w:color="auto"/>
                                        <w:bottom w:val="none" w:sz="0" w:space="0" w:color="auto"/>
                                        <w:right w:val="none" w:sz="0" w:space="0" w:color="auto"/>
                                      </w:divBdr>
                                      <w:divsChild>
                                        <w:div w:id="1624384434">
                                          <w:marLeft w:val="0"/>
                                          <w:marRight w:val="0"/>
                                          <w:marTop w:val="0"/>
                                          <w:marBottom w:val="0"/>
                                          <w:divBdr>
                                            <w:top w:val="none" w:sz="0" w:space="0" w:color="auto"/>
                                            <w:left w:val="none" w:sz="0" w:space="0" w:color="auto"/>
                                            <w:bottom w:val="none" w:sz="0" w:space="0" w:color="auto"/>
                                            <w:right w:val="none" w:sz="0" w:space="0" w:color="auto"/>
                                          </w:divBdr>
                                          <w:divsChild>
                                            <w:div w:id="1047071924">
                                              <w:marLeft w:val="0"/>
                                              <w:marRight w:val="0"/>
                                              <w:marTop w:val="0"/>
                                              <w:marBottom w:val="0"/>
                                              <w:divBdr>
                                                <w:top w:val="none" w:sz="0" w:space="0" w:color="auto"/>
                                                <w:left w:val="none" w:sz="0" w:space="0" w:color="auto"/>
                                                <w:bottom w:val="none" w:sz="0" w:space="0" w:color="auto"/>
                                                <w:right w:val="none" w:sz="0" w:space="0" w:color="auto"/>
                                              </w:divBdr>
                                              <w:divsChild>
                                                <w:div w:id="1505391505">
                                                  <w:marLeft w:val="0"/>
                                                  <w:marRight w:val="0"/>
                                                  <w:marTop w:val="0"/>
                                                  <w:marBottom w:val="0"/>
                                                  <w:divBdr>
                                                    <w:top w:val="none" w:sz="0" w:space="0" w:color="auto"/>
                                                    <w:left w:val="none" w:sz="0" w:space="0" w:color="auto"/>
                                                    <w:bottom w:val="none" w:sz="0" w:space="0" w:color="auto"/>
                                                    <w:right w:val="none" w:sz="0" w:space="0" w:color="auto"/>
                                                  </w:divBdr>
                                                  <w:divsChild>
                                                    <w:div w:id="820540863">
                                                      <w:marLeft w:val="0"/>
                                                      <w:marRight w:val="0"/>
                                                      <w:marTop w:val="0"/>
                                                      <w:marBottom w:val="0"/>
                                                      <w:divBdr>
                                                        <w:top w:val="none" w:sz="0" w:space="0" w:color="auto"/>
                                                        <w:left w:val="none" w:sz="0" w:space="0" w:color="auto"/>
                                                        <w:bottom w:val="none" w:sz="0" w:space="0" w:color="auto"/>
                                                        <w:right w:val="none" w:sz="0" w:space="0" w:color="auto"/>
                                                      </w:divBdr>
                                                      <w:divsChild>
                                                        <w:div w:id="10036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540038">
      <w:bodyDiv w:val="1"/>
      <w:marLeft w:val="0"/>
      <w:marRight w:val="0"/>
      <w:marTop w:val="0"/>
      <w:marBottom w:val="0"/>
      <w:divBdr>
        <w:top w:val="none" w:sz="0" w:space="0" w:color="auto"/>
        <w:left w:val="none" w:sz="0" w:space="0" w:color="auto"/>
        <w:bottom w:val="none" w:sz="0" w:space="0" w:color="auto"/>
        <w:right w:val="none" w:sz="0" w:space="0" w:color="auto"/>
      </w:divBdr>
      <w:divsChild>
        <w:div w:id="1475099851">
          <w:marLeft w:val="0"/>
          <w:marRight w:val="0"/>
          <w:marTop w:val="0"/>
          <w:marBottom w:val="0"/>
          <w:divBdr>
            <w:top w:val="none" w:sz="0" w:space="0" w:color="auto"/>
            <w:left w:val="none" w:sz="0" w:space="0" w:color="auto"/>
            <w:bottom w:val="none" w:sz="0" w:space="0" w:color="auto"/>
            <w:right w:val="none" w:sz="0" w:space="0" w:color="auto"/>
          </w:divBdr>
          <w:divsChild>
            <w:div w:id="956134544">
              <w:marLeft w:val="0"/>
              <w:marRight w:val="0"/>
              <w:marTop w:val="0"/>
              <w:marBottom w:val="0"/>
              <w:divBdr>
                <w:top w:val="none" w:sz="0" w:space="0" w:color="auto"/>
                <w:left w:val="none" w:sz="0" w:space="0" w:color="auto"/>
                <w:bottom w:val="none" w:sz="0" w:space="0" w:color="auto"/>
                <w:right w:val="none" w:sz="0" w:space="0" w:color="auto"/>
              </w:divBdr>
              <w:divsChild>
                <w:div w:id="1945847140">
                  <w:marLeft w:val="0"/>
                  <w:marRight w:val="0"/>
                  <w:marTop w:val="100"/>
                  <w:marBottom w:val="100"/>
                  <w:divBdr>
                    <w:top w:val="none" w:sz="0" w:space="0" w:color="auto"/>
                    <w:left w:val="none" w:sz="0" w:space="0" w:color="auto"/>
                    <w:bottom w:val="none" w:sz="0" w:space="0" w:color="auto"/>
                    <w:right w:val="none" w:sz="0" w:space="0" w:color="auto"/>
                  </w:divBdr>
                  <w:divsChild>
                    <w:div w:id="2037190426">
                      <w:marLeft w:val="0"/>
                      <w:marRight w:val="0"/>
                      <w:marTop w:val="0"/>
                      <w:marBottom w:val="0"/>
                      <w:divBdr>
                        <w:top w:val="none" w:sz="0" w:space="0" w:color="auto"/>
                        <w:left w:val="none" w:sz="0" w:space="0" w:color="auto"/>
                        <w:bottom w:val="none" w:sz="0" w:space="0" w:color="auto"/>
                        <w:right w:val="none" w:sz="0" w:space="0" w:color="auto"/>
                      </w:divBdr>
                      <w:divsChild>
                        <w:div w:id="1596401690">
                          <w:marLeft w:val="0"/>
                          <w:marRight w:val="0"/>
                          <w:marTop w:val="0"/>
                          <w:marBottom w:val="0"/>
                          <w:divBdr>
                            <w:top w:val="none" w:sz="0" w:space="0" w:color="auto"/>
                            <w:left w:val="none" w:sz="0" w:space="0" w:color="auto"/>
                            <w:bottom w:val="none" w:sz="0" w:space="0" w:color="auto"/>
                            <w:right w:val="none" w:sz="0" w:space="0" w:color="auto"/>
                          </w:divBdr>
                          <w:divsChild>
                            <w:div w:id="1655134657">
                              <w:marLeft w:val="0"/>
                              <w:marRight w:val="0"/>
                              <w:marTop w:val="0"/>
                              <w:marBottom w:val="0"/>
                              <w:divBdr>
                                <w:top w:val="none" w:sz="0" w:space="0" w:color="auto"/>
                                <w:left w:val="none" w:sz="0" w:space="0" w:color="auto"/>
                                <w:bottom w:val="none" w:sz="0" w:space="0" w:color="auto"/>
                                <w:right w:val="none" w:sz="0" w:space="0" w:color="auto"/>
                              </w:divBdr>
                              <w:divsChild>
                                <w:div w:id="1962765606">
                                  <w:marLeft w:val="0"/>
                                  <w:marRight w:val="0"/>
                                  <w:marTop w:val="0"/>
                                  <w:marBottom w:val="0"/>
                                  <w:divBdr>
                                    <w:top w:val="none" w:sz="0" w:space="0" w:color="auto"/>
                                    <w:left w:val="none" w:sz="0" w:space="0" w:color="auto"/>
                                    <w:bottom w:val="none" w:sz="0" w:space="0" w:color="auto"/>
                                    <w:right w:val="none" w:sz="0" w:space="0" w:color="auto"/>
                                  </w:divBdr>
                                  <w:divsChild>
                                    <w:div w:id="917783470">
                                      <w:marLeft w:val="0"/>
                                      <w:marRight w:val="0"/>
                                      <w:marTop w:val="0"/>
                                      <w:marBottom w:val="0"/>
                                      <w:divBdr>
                                        <w:top w:val="none" w:sz="0" w:space="0" w:color="auto"/>
                                        <w:left w:val="none" w:sz="0" w:space="0" w:color="auto"/>
                                        <w:bottom w:val="none" w:sz="0" w:space="0" w:color="auto"/>
                                        <w:right w:val="none" w:sz="0" w:space="0" w:color="auto"/>
                                      </w:divBdr>
                                      <w:divsChild>
                                        <w:div w:id="816729088">
                                          <w:marLeft w:val="0"/>
                                          <w:marRight w:val="0"/>
                                          <w:marTop w:val="0"/>
                                          <w:marBottom w:val="360"/>
                                          <w:divBdr>
                                            <w:top w:val="none" w:sz="0" w:space="0" w:color="auto"/>
                                            <w:left w:val="none" w:sz="0" w:space="0" w:color="auto"/>
                                            <w:bottom w:val="none" w:sz="0" w:space="0" w:color="auto"/>
                                            <w:right w:val="none" w:sz="0" w:space="0" w:color="auto"/>
                                          </w:divBdr>
                                          <w:divsChild>
                                            <w:div w:id="940529771">
                                              <w:marLeft w:val="0"/>
                                              <w:marRight w:val="0"/>
                                              <w:marTop w:val="0"/>
                                              <w:marBottom w:val="0"/>
                                              <w:divBdr>
                                                <w:top w:val="none" w:sz="0" w:space="0" w:color="auto"/>
                                                <w:left w:val="none" w:sz="0" w:space="0" w:color="auto"/>
                                                <w:bottom w:val="none" w:sz="0" w:space="0" w:color="auto"/>
                                                <w:right w:val="none" w:sz="0" w:space="0" w:color="auto"/>
                                              </w:divBdr>
                                              <w:divsChild>
                                                <w:div w:id="773983918">
                                                  <w:marLeft w:val="0"/>
                                                  <w:marRight w:val="0"/>
                                                  <w:marTop w:val="0"/>
                                                  <w:marBottom w:val="0"/>
                                                  <w:divBdr>
                                                    <w:top w:val="none" w:sz="0" w:space="0" w:color="auto"/>
                                                    <w:left w:val="none" w:sz="0" w:space="0" w:color="auto"/>
                                                    <w:bottom w:val="none" w:sz="0" w:space="0" w:color="auto"/>
                                                    <w:right w:val="none" w:sz="0" w:space="0" w:color="auto"/>
                                                  </w:divBdr>
                                                  <w:divsChild>
                                                    <w:div w:id="1518038188">
                                                      <w:marLeft w:val="5370"/>
                                                      <w:marRight w:val="0"/>
                                                      <w:marTop w:val="120"/>
                                                      <w:marBottom w:val="0"/>
                                                      <w:divBdr>
                                                        <w:top w:val="none" w:sz="0" w:space="0" w:color="auto"/>
                                                        <w:left w:val="none" w:sz="0" w:space="0" w:color="auto"/>
                                                        <w:bottom w:val="none" w:sz="0" w:space="0" w:color="auto"/>
                                                        <w:right w:val="none" w:sz="0" w:space="0" w:color="auto"/>
                                                      </w:divBdr>
                                                      <w:divsChild>
                                                        <w:div w:id="8663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salliance.com.au/Documents/all/codes/c57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salliance.com.au/Documents/all/codes/c5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salliance.com.au/Documents/all/codes/c57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546950A-2713-452B-9452-7724CAA689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DF9F0485B8D1443A35CCB2766B6C955" ma:contentTypeVersion="" ma:contentTypeDescription="PDMS Document Site Content Type" ma:contentTypeScope="" ma:versionID="8601d3826ee7661c91114e59cc53a52e">
  <xsd:schema xmlns:xsd="http://www.w3.org/2001/XMLSchema" xmlns:xs="http://www.w3.org/2001/XMLSchema" xmlns:p="http://schemas.microsoft.com/office/2006/metadata/properties" xmlns:ns2="2546950A-2713-452B-9452-7724CAA6899E" targetNamespace="http://schemas.microsoft.com/office/2006/metadata/properties" ma:root="true" ma:fieldsID="e4d17fd5bd95c6d72849009bf76b6949" ns2:_="">
    <xsd:import namespace="2546950A-2713-452B-9452-7724CAA68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6950A-2713-452B-9452-7724CAA68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6E50-50C7-46E5-A278-25C775C37CEB}">
  <ds:schemaRefs>
    <ds:schemaRef ds:uri="http://purl.org/dc/elements/1.1/"/>
    <ds:schemaRef ds:uri="http://schemas.microsoft.com/office/2006/metadata/properties"/>
    <ds:schemaRef ds:uri="2546950A-2713-452B-9452-7724CAA689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F7BC8BA-DB6C-4FEE-8C5C-4AF5EAFE6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6950A-2713-452B-9452-7724CAA68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D60E2-3B4D-481C-8A4D-E225B3A56A03}">
  <ds:schemaRefs>
    <ds:schemaRef ds:uri="http://schemas.microsoft.com/sharepoint/v3/contenttype/forms"/>
  </ds:schemaRefs>
</ds:datastoreItem>
</file>

<file path=customXml/itemProps4.xml><?xml version="1.0" encoding="utf-8"?>
<ds:datastoreItem xmlns:ds="http://schemas.openxmlformats.org/officeDocument/2006/customXml" ds:itemID="{6B85B9BA-10FA-4B6D-9972-A1FD1A1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Legal</dc:creator>
  <cp:keywords/>
  <dc:description/>
  <cp:lastModifiedBy>Evans, Tyrone</cp:lastModifiedBy>
  <cp:revision>2</cp:revision>
  <dcterms:created xsi:type="dcterms:W3CDTF">2019-10-15T02:41:00Z</dcterms:created>
  <dcterms:modified xsi:type="dcterms:W3CDTF">2019-10-15T02:41:00Z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0x010100266966F133664895A6EE3632470D45F500BDF9F0485B8D1443A35CCB2766B6C955</vt:lpwstr>
  </property>
  <property fmtid="{D5CDD505-2E9C-101B-9397-08002B2CF9AE}" pid="3" name="TrimRevisionNumber">
    <vt:i4>38</vt:i4>
  </property>
</Properties>
</file>