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B33" w:rsidRDefault="00F27B33" w:rsidP="00F27B33">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pt" o:ole="" fillcolor="window">
            <v:imagedata r:id="rId8" o:title=""/>
          </v:shape>
          <o:OLEObject Type="Embed" ProgID="Word.Picture.8" ShapeID="_x0000_i1025" DrawAspect="Content" ObjectID="_1687261308" r:id="rId9"/>
        </w:object>
      </w:r>
    </w:p>
    <w:p w:rsidR="00F27B33" w:rsidRPr="00D46F01" w:rsidRDefault="00F27B33" w:rsidP="00F27B33">
      <w:pPr>
        <w:pStyle w:val="ShortT"/>
        <w:spacing w:before="240"/>
      </w:pPr>
      <w:r>
        <w:t>Consumer Goods (Quad Bikes) Safety Standard 2019</w:t>
      </w:r>
    </w:p>
    <w:p w:rsidR="00F27B33" w:rsidRDefault="00F27B33" w:rsidP="00F27B33">
      <w:pPr>
        <w:pStyle w:val="MadeunderText"/>
      </w:pPr>
      <w:r>
        <w:t>made under subsection 104(1) of Schedule 2 to the</w:t>
      </w:r>
    </w:p>
    <w:p w:rsidR="00F27B33" w:rsidRPr="00F27B33" w:rsidRDefault="00F27B33" w:rsidP="00F27B33">
      <w:pPr>
        <w:pStyle w:val="CompiledMadeUnder"/>
        <w:spacing w:before="240"/>
      </w:pPr>
      <w:r>
        <w:t>Competition and Consumer Act 2010</w:t>
      </w:r>
    </w:p>
    <w:p w:rsidR="00F27B33" w:rsidRPr="00376CEF" w:rsidRDefault="00F27B33" w:rsidP="00F27B33">
      <w:pPr>
        <w:spacing w:before="1000"/>
        <w:rPr>
          <w:rFonts w:cs="Arial"/>
          <w:b/>
          <w:sz w:val="32"/>
          <w:szCs w:val="32"/>
        </w:rPr>
      </w:pPr>
      <w:r w:rsidRPr="00D46F01">
        <w:rPr>
          <w:rFonts w:cs="Arial"/>
          <w:b/>
          <w:sz w:val="32"/>
          <w:szCs w:val="32"/>
        </w:rPr>
        <w:t xml:space="preserve">Compilation No. </w:t>
      </w:r>
      <w:r w:rsidRPr="00505FA3">
        <w:rPr>
          <w:rFonts w:cs="Arial"/>
          <w:b/>
          <w:sz w:val="32"/>
          <w:szCs w:val="32"/>
        </w:rPr>
        <w:fldChar w:fldCharType="begin"/>
      </w:r>
      <w:r w:rsidRPr="00D46F01">
        <w:rPr>
          <w:rFonts w:cs="Arial"/>
          <w:b/>
          <w:sz w:val="32"/>
          <w:szCs w:val="32"/>
        </w:rPr>
        <w:instrText xml:space="preserve"> DOCPROPERTY  CompilationNumber </w:instrText>
      </w:r>
      <w:r w:rsidRPr="00505FA3">
        <w:rPr>
          <w:rFonts w:cs="Arial"/>
          <w:b/>
          <w:sz w:val="32"/>
          <w:szCs w:val="32"/>
        </w:rPr>
        <w:fldChar w:fldCharType="separate"/>
      </w:r>
      <w:r w:rsidR="004D77A0">
        <w:rPr>
          <w:rFonts w:cs="Arial"/>
          <w:b/>
          <w:sz w:val="32"/>
          <w:szCs w:val="32"/>
        </w:rPr>
        <w:t>1</w:t>
      </w:r>
      <w:r w:rsidRPr="00505FA3">
        <w:rPr>
          <w:rFonts w:cs="Arial"/>
          <w:b/>
          <w:sz w:val="32"/>
          <w:szCs w:val="32"/>
        </w:rPr>
        <w:fldChar w:fldCharType="end"/>
      </w:r>
      <w:bookmarkStart w:id="0" w:name="_GoBack"/>
      <w:bookmarkEnd w:id="0"/>
    </w:p>
    <w:p w:rsidR="00F27B33" w:rsidRDefault="00F27B33" w:rsidP="00F27B33">
      <w:pPr>
        <w:tabs>
          <w:tab w:val="left" w:pos="3600"/>
        </w:tabs>
        <w:spacing w:before="480"/>
        <w:rPr>
          <w:rFonts w:cs="Arial"/>
          <w:sz w:val="24"/>
        </w:rPr>
      </w:pPr>
      <w:r w:rsidRPr="00FD265D">
        <w:rPr>
          <w:rFonts w:cs="Arial"/>
          <w:b/>
          <w:sz w:val="24"/>
        </w:rPr>
        <w:t>Compilation date:</w:t>
      </w:r>
      <w:r>
        <w:rPr>
          <w:rFonts w:cs="Arial"/>
          <w:b/>
          <w:sz w:val="24"/>
        </w:rPr>
        <w:tab/>
      </w:r>
      <w:r w:rsidRPr="004D77A0">
        <w:rPr>
          <w:rFonts w:cs="Arial"/>
          <w:sz w:val="24"/>
        </w:rPr>
        <w:fldChar w:fldCharType="begin"/>
      </w:r>
      <w:r w:rsidRPr="004D77A0">
        <w:rPr>
          <w:rFonts w:cs="Arial"/>
          <w:sz w:val="24"/>
        </w:rPr>
        <w:instrText>DOCPROPERTY StartDate \@ "d MMMM yyyy" \* MERGEFORMAT</w:instrText>
      </w:r>
      <w:r w:rsidRPr="004D77A0">
        <w:rPr>
          <w:rFonts w:cs="Arial"/>
          <w:sz w:val="24"/>
        </w:rPr>
        <w:fldChar w:fldCharType="separate"/>
      </w:r>
      <w:r w:rsidR="004D77A0" w:rsidRPr="004D77A0">
        <w:rPr>
          <w:rFonts w:cs="Arial"/>
          <w:bCs/>
          <w:sz w:val="24"/>
          <w:lang w:val="en-US"/>
        </w:rPr>
        <w:t>29 June 2021</w:t>
      </w:r>
      <w:r w:rsidRPr="004D77A0">
        <w:rPr>
          <w:rFonts w:cs="Arial"/>
          <w:sz w:val="24"/>
        </w:rPr>
        <w:fldChar w:fldCharType="end"/>
      </w:r>
    </w:p>
    <w:p w:rsidR="00F27B33" w:rsidRDefault="00F27B33" w:rsidP="00F27B33">
      <w:pPr>
        <w:spacing w:before="240"/>
        <w:rPr>
          <w:rFonts w:cs="Arial"/>
          <w:sz w:val="24"/>
        </w:rPr>
      </w:pPr>
      <w:r w:rsidRPr="00FD265D">
        <w:rPr>
          <w:rFonts w:cs="Arial"/>
          <w:b/>
          <w:sz w:val="24"/>
        </w:rPr>
        <w:t>Includes amendments up to:</w:t>
      </w:r>
      <w:r w:rsidRPr="00FD265D">
        <w:rPr>
          <w:rFonts w:cs="Arial"/>
          <w:b/>
          <w:sz w:val="24"/>
        </w:rPr>
        <w:tab/>
      </w:r>
      <w:r w:rsidRPr="004D77A0">
        <w:rPr>
          <w:rFonts w:cs="Arial"/>
          <w:sz w:val="24"/>
        </w:rPr>
        <w:fldChar w:fldCharType="begin"/>
      </w:r>
      <w:r w:rsidRPr="004D77A0">
        <w:rPr>
          <w:rFonts w:cs="Arial"/>
          <w:sz w:val="24"/>
        </w:rPr>
        <w:instrText xml:space="preserve"> DOCPROPERTY IncludesUpTo </w:instrText>
      </w:r>
      <w:r w:rsidRPr="004D77A0">
        <w:rPr>
          <w:rFonts w:cs="Arial"/>
          <w:sz w:val="24"/>
        </w:rPr>
        <w:fldChar w:fldCharType="separate"/>
      </w:r>
      <w:r w:rsidR="004D77A0" w:rsidRPr="004D77A0">
        <w:rPr>
          <w:rFonts w:cs="Arial"/>
          <w:sz w:val="24"/>
        </w:rPr>
        <w:t>F2021L00873</w:t>
      </w:r>
      <w:r w:rsidRPr="004D77A0">
        <w:rPr>
          <w:rFonts w:cs="Arial"/>
          <w:sz w:val="24"/>
        </w:rPr>
        <w:fldChar w:fldCharType="end"/>
      </w:r>
    </w:p>
    <w:p w:rsidR="00F27B33" w:rsidRPr="008D251B" w:rsidRDefault="00F27B33" w:rsidP="00F27B33">
      <w:pPr>
        <w:tabs>
          <w:tab w:val="left" w:pos="3600"/>
        </w:tabs>
        <w:spacing w:before="240" w:after="240"/>
        <w:rPr>
          <w:rFonts w:cs="Arial"/>
          <w:sz w:val="28"/>
          <w:szCs w:val="28"/>
        </w:rPr>
      </w:pPr>
      <w:r w:rsidRPr="00376CEF">
        <w:rPr>
          <w:rFonts w:cs="Arial"/>
          <w:b/>
          <w:sz w:val="24"/>
        </w:rPr>
        <w:t>Registered:</w:t>
      </w:r>
      <w:r>
        <w:rPr>
          <w:rFonts w:cs="Arial"/>
          <w:b/>
          <w:sz w:val="24"/>
        </w:rPr>
        <w:tab/>
      </w:r>
      <w:r w:rsidRPr="004D77A0">
        <w:rPr>
          <w:rFonts w:cs="Arial"/>
          <w:sz w:val="24"/>
        </w:rPr>
        <w:fldChar w:fldCharType="begin"/>
      </w:r>
      <w:r w:rsidRPr="004D77A0">
        <w:rPr>
          <w:rFonts w:cs="Arial"/>
          <w:sz w:val="24"/>
        </w:rPr>
        <w:instrText xml:space="preserve"> IF </w:instrText>
      </w:r>
      <w:r w:rsidRPr="004D77A0">
        <w:rPr>
          <w:rFonts w:cs="Arial"/>
          <w:sz w:val="24"/>
        </w:rPr>
        <w:fldChar w:fldCharType="begin"/>
      </w:r>
      <w:r w:rsidRPr="004D77A0">
        <w:rPr>
          <w:rFonts w:cs="Arial"/>
          <w:sz w:val="24"/>
        </w:rPr>
        <w:instrText xml:space="preserve"> DOCPROPERTY RegisteredDate </w:instrText>
      </w:r>
      <w:r w:rsidRPr="004D77A0">
        <w:rPr>
          <w:rFonts w:cs="Arial"/>
          <w:sz w:val="24"/>
        </w:rPr>
        <w:fldChar w:fldCharType="separate"/>
      </w:r>
      <w:r w:rsidR="004D77A0" w:rsidRPr="004D77A0">
        <w:rPr>
          <w:rFonts w:cs="Arial"/>
          <w:sz w:val="24"/>
        </w:rPr>
        <w:instrText>8 July 2021</w:instrText>
      </w:r>
      <w:r w:rsidRPr="004D77A0">
        <w:rPr>
          <w:rFonts w:cs="Arial"/>
          <w:sz w:val="24"/>
        </w:rPr>
        <w:fldChar w:fldCharType="end"/>
      </w:r>
      <w:r w:rsidRPr="004D77A0">
        <w:rPr>
          <w:rFonts w:cs="Arial"/>
          <w:sz w:val="24"/>
        </w:rPr>
        <w:instrText xml:space="preserve"> = #1/1/1901# "Unknown" </w:instrText>
      </w:r>
      <w:r w:rsidRPr="004D77A0">
        <w:rPr>
          <w:rFonts w:cs="Arial"/>
          <w:sz w:val="24"/>
        </w:rPr>
        <w:fldChar w:fldCharType="begin"/>
      </w:r>
      <w:r w:rsidRPr="004D77A0">
        <w:rPr>
          <w:rFonts w:cs="Arial"/>
          <w:sz w:val="24"/>
        </w:rPr>
        <w:instrText xml:space="preserve"> DOCPROPERTY RegisteredDate \@ "d MMMM yyyy" </w:instrText>
      </w:r>
      <w:r w:rsidRPr="004D77A0">
        <w:rPr>
          <w:rFonts w:cs="Arial"/>
          <w:sz w:val="24"/>
        </w:rPr>
        <w:fldChar w:fldCharType="separate"/>
      </w:r>
      <w:r w:rsidR="004D77A0" w:rsidRPr="004D77A0">
        <w:rPr>
          <w:rFonts w:cs="Arial"/>
          <w:sz w:val="24"/>
        </w:rPr>
        <w:instrText>8 July 2021</w:instrText>
      </w:r>
      <w:r w:rsidRPr="004D77A0">
        <w:rPr>
          <w:rFonts w:cs="Arial"/>
          <w:sz w:val="24"/>
        </w:rPr>
        <w:fldChar w:fldCharType="end"/>
      </w:r>
      <w:r w:rsidRPr="004D77A0">
        <w:rPr>
          <w:rFonts w:cs="Arial"/>
          <w:sz w:val="24"/>
        </w:rPr>
        <w:instrText xml:space="preserve"> \*MERGEFORMAT </w:instrText>
      </w:r>
      <w:r w:rsidRPr="004D77A0">
        <w:rPr>
          <w:rFonts w:cs="Arial"/>
          <w:sz w:val="24"/>
        </w:rPr>
        <w:fldChar w:fldCharType="separate"/>
      </w:r>
      <w:r w:rsidR="004D77A0" w:rsidRPr="004D77A0">
        <w:rPr>
          <w:rFonts w:cs="Arial"/>
          <w:noProof/>
          <w:sz w:val="24"/>
        </w:rPr>
        <w:t>8 July 2021</w:t>
      </w:r>
      <w:r w:rsidRPr="004D77A0">
        <w:rPr>
          <w:rFonts w:cs="Arial"/>
          <w:sz w:val="24"/>
        </w:rPr>
        <w:fldChar w:fldCharType="end"/>
      </w:r>
    </w:p>
    <w:p w:rsidR="00F27B33" w:rsidRPr="00DA25EC" w:rsidRDefault="00F27B33" w:rsidP="00F27B33">
      <w:pPr>
        <w:pageBreakBefore/>
        <w:rPr>
          <w:rFonts w:cs="Arial"/>
          <w:b/>
          <w:sz w:val="32"/>
          <w:szCs w:val="32"/>
        </w:rPr>
      </w:pPr>
      <w:r w:rsidRPr="00DA25EC">
        <w:rPr>
          <w:rFonts w:cs="Arial"/>
          <w:b/>
          <w:sz w:val="32"/>
          <w:szCs w:val="32"/>
        </w:rPr>
        <w:lastRenderedPageBreak/>
        <w:t>About this compilation</w:t>
      </w:r>
    </w:p>
    <w:p w:rsidR="00F27B33" w:rsidRPr="00DA25EC" w:rsidRDefault="00F27B33" w:rsidP="00F27B33">
      <w:pPr>
        <w:spacing w:before="240"/>
        <w:rPr>
          <w:rFonts w:cs="Arial"/>
        </w:rPr>
      </w:pPr>
      <w:r w:rsidRPr="00DA25EC">
        <w:rPr>
          <w:rFonts w:cs="Arial"/>
          <w:b/>
          <w:szCs w:val="22"/>
        </w:rPr>
        <w:t>This compilation</w:t>
      </w:r>
    </w:p>
    <w:p w:rsidR="00F27B33" w:rsidRPr="00DA25EC" w:rsidRDefault="00F27B33" w:rsidP="00F27B33">
      <w:pPr>
        <w:spacing w:before="120" w:after="120"/>
        <w:rPr>
          <w:rFonts w:cs="Arial"/>
          <w:szCs w:val="22"/>
        </w:rPr>
      </w:pPr>
      <w:r w:rsidRPr="00DA25EC">
        <w:rPr>
          <w:rFonts w:cs="Arial"/>
          <w:szCs w:val="22"/>
        </w:rPr>
        <w:t xml:space="preserve">This is a compilation of the </w:t>
      </w:r>
      <w:r w:rsidRPr="00DA25EC">
        <w:rPr>
          <w:rFonts w:cs="Arial"/>
          <w:i/>
          <w:szCs w:val="22"/>
        </w:rPr>
        <w:fldChar w:fldCharType="begin"/>
      </w:r>
      <w:r w:rsidRPr="00DA25EC">
        <w:rPr>
          <w:rFonts w:cs="Arial"/>
          <w:i/>
          <w:szCs w:val="22"/>
        </w:rPr>
        <w:instrText xml:space="preserve"> STYLEREF  ShortT </w:instrText>
      </w:r>
      <w:r w:rsidRPr="00DA25EC">
        <w:rPr>
          <w:rFonts w:cs="Arial"/>
          <w:i/>
          <w:szCs w:val="22"/>
        </w:rPr>
        <w:fldChar w:fldCharType="separate"/>
      </w:r>
      <w:r w:rsidR="004D77A0">
        <w:rPr>
          <w:rFonts w:cs="Arial"/>
          <w:i/>
          <w:noProof/>
          <w:szCs w:val="22"/>
        </w:rPr>
        <w:t>Consumer Goods (Quad Bikes) Safety Standard 2019</w:t>
      </w:r>
      <w:r w:rsidRPr="00DA25EC">
        <w:rPr>
          <w:rFonts w:cs="Arial"/>
          <w:i/>
          <w:szCs w:val="22"/>
        </w:rPr>
        <w:fldChar w:fldCharType="end"/>
      </w:r>
      <w:r w:rsidRPr="00DA25EC">
        <w:rPr>
          <w:rFonts w:cs="Arial"/>
          <w:szCs w:val="22"/>
        </w:rPr>
        <w:t xml:space="preserve"> that shows the text of the law as amended and in force on </w:t>
      </w:r>
      <w:r w:rsidRPr="004D77A0">
        <w:rPr>
          <w:rFonts w:cs="Arial"/>
          <w:szCs w:val="22"/>
        </w:rPr>
        <w:fldChar w:fldCharType="begin"/>
      </w:r>
      <w:r w:rsidRPr="004D77A0">
        <w:rPr>
          <w:rFonts w:cs="Arial"/>
          <w:szCs w:val="22"/>
        </w:rPr>
        <w:instrText>DOCPROPERTY StartDate \@ "d MMMM yyyy" \* MERGEFORMAT</w:instrText>
      </w:r>
      <w:r w:rsidRPr="004D77A0">
        <w:rPr>
          <w:rFonts w:cs="Arial"/>
          <w:szCs w:val="3276"/>
        </w:rPr>
        <w:fldChar w:fldCharType="separate"/>
      </w:r>
      <w:r w:rsidR="004D77A0" w:rsidRPr="004D77A0">
        <w:rPr>
          <w:rFonts w:cs="Arial"/>
          <w:szCs w:val="22"/>
        </w:rPr>
        <w:t>29 June 2021</w:t>
      </w:r>
      <w:r w:rsidRPr="004D77A0">
        <w:rPr>
          <w:rFonts w:cs="Arial"/>
          <w:szCs w:val="22"/>
        </w:rPr>
        <w:fldChar w:fldCharType="end"/>
      </w:r>
      <w:r w:rsidRPr="00DA25EC">
        <w:rPr>
          <w:rFonts w:cs="Arial"/>
          <w:szCs w:val="22"/>
        </w:rPr>
        <w:t xml:space="preserve"> (the </w:t>
      </w:r>
      <w:r w:rsidRPr="00DA25EC">
        <w:rPr>
          <w:rFonts w:cs="Arial"/>
          <w:b/>
          <w:i/>
          <w:szCs w:val="22"/>
        </w:rPr>
        <w:t>compilation date</w:t>
      </w:r>
      <w:r w:rsidRPr="00DA25EC">
        <w:rPr>
          <w:rFonts w:cs="Arial"/>
          <w:szCs w:val="22"/>
        </w:rPr>
        <w:t>).</w:t>
      </w:r>
    </w:p>
    <w:p w:rsidR="00F27B33" w:rsidRPr="00DA25EC" w:rsidRDefault="00F27B33" w:rsidP="00F27B33">
      <w:pPr>
        <w:spacing w:after="120"/>
        <w:rPr>
          <w:rFonts w:cs="Arial"/>
          <w:szCs w:val="22"/>
        </w:rPr>
      </w:pPr>
      <w:r w:rsidRPr="00DA25EC">
        <w:rPr>
          <w:rFonts w:cs="Arial"/>
          <w:szCs w:val="22"/>
        </w:rPr>
        <w:t xml:space="preserve">The notes at the end of this compilation (the </w:t>
      </w:r>
      <w:r w:rsidRPr="00DA25EC">
        <w:rPr>
          <w:rFonts w:cs="Arial"/>
          <w:b/>
          <w:i/>
          <w:szCs w:val="22"/>
        </w:rPr>
        <w:t>endnotes</w:t>
      </w:r>
      <w:r w:rsidRPr="00DA25EC">
        <w:rPr>
          <w:rFonts w:cs="Arial"/>
          <w:szCs w:val="22"/>
        </w:rPr>
        <w:t>) include information about amending laws and the amendment history of provisions of the compiled law.</w:t>
      </w:r>
    </w:p>
    <w:p w:rsidR="00F27B33" w:rsidRPr="00DA25EC" w:rsidRDefault="00F27B33" w:rsidP="00F27B33">
      <w:pPr>
        <w:tabs>
          <w:tab w:val="left" w:pos="5640"/>
        </w:tabs>
        <w:spacing w:before="120" w:after="120"/>
        <w:rPr>
          <w:rFonts w:cs="Arial"/>
          <w:b/>
          <w:szCs w:val="22"/>
        </w:rPr>
      </w:pPr>
      <w:r w:rsidRPr="00DA25EC">
        <w:rPr>
          <w:rFonts w:cs="Arial"/>
          <w:b/>
          <w:szCs w:val="22"/>
        </w:rPr>
        <w:t>Uncommenced amendments</w:t>
      </w:r>
    </w:p>
    <w:p w:rsidR="00F27B33" w:rsidRPr="00DA25EC" w:rsidRDefault="00F27B33" w:rsidP="00F27B33">
      <w:pPr>
        <w:spacing w:after="120"/>
        <w:rPr>
          <w:rFonts w:cs="Arial"/>
          <w:szCs w:val="22"/>
        </w:rPr>
      </w:pPr>
      <w:r w:rsidRPr="00DA25EC">
        <w:rPr>
          <w:rFonts w:cs="Arial"/>
          <w:szCs w:val="22"/>
        </w:rPr>
        <w:t xml:space="preserve">The effect of uncommenced amendments is not shown in the text of the compiled law. Any uncommenced amendments affecting the law are accessible on </w:t>
      </w:r>
      <w:r>
        <w:rPr>
          <w:rFonts w:cs="Arial"/>
          <w:szCs w:val="22"/>
        </w:rPr>
        <w:t>the Legislation Register</w:t>
      </w:r>
      <w:r w:rsidRPr="00DA25EC">
        <w:rPr>
          <w:rFonts w:cs="Arial"/>
          <w:szCs w:val="22"/>
        </w:rPr>
        <w:t xml:space="preserve"> (www.</w:t>
      </w:r>
      <w:r>
        <w:rPr>
          <w:rFonts w:cs="Arial"/>
          <w:szCs w:val="22"/>
        </w:rPr>
        <w:t>legislation</w:t>
      </w:r>
      <w:r w:rsidRPr="00DA25EC">
        <w:rPr>
          <w:rFonts w:cs="Arial"/>
          <w:szCs w:val="22"/>
        </w:rPr>
        <w:t xml:space="preserve">.gov.au). The details of amendments made up to, but not commenced at, the compilation date are underlined in the endnotes. For more information on any uncommenced amendments, see the series page on </w:t>
      </w:r>
      <w:r>
        <w:rPr>
          <w:rFonts w:cs="Arial"/>
          <w:szCs w:val="22"/>
        </w:rPr>
        <w:t>the Legislation Register</w:t>
      </w:r>
      <w:r w:rsidRPr="00DA25EC">
        <w:rPr>
          <w:rFonts w:cs="Arial"/>
          <w:szCs w:val="22"/>
        </w:rPr>
        <w:t xml:space="preserve"> for the compiled law.</w:t>
      </w:r>
    </w:p>
    <w:p w:rsidR="00F27B33" w:rsidRPr="00DA25EC" w:rsidRDefault="00F27B33" w:rsidP="00F27B33">
      <w:pPr>
        <w:spacing w:before="120" w:after="120"/>
        <w:rPr>
          <w:rFonts w:cs="Arial"/>
          <w:b/>
          <w:szCs w:val="22"/>
        </w:rPr>
      </w:pPr>
      <w:r w:rsidRPr="00DA25EC">
        <w:rPr>
          <w:rFonts w:cs="Arial"/>
          <w:b/>
          <w:szCs w:val="22"/>
        </w:rPr>
        <w:t>Application, saving and transitional provisions for provisions and amendments</w:t>
      </w:r>
    </w:p>
    <w:p w:rsidR="00F27B33" w:rsidRDefault="00F27B33" w:rsidP="00F27B33">
      <w:pPr>
        <w:spacing w:after="120"/>
        <w:rPr>
          <w:rFonts w:cs="Arial"/>
          <w:szCs w:val="22"/>
        </w:rPr>
      </w:pPr>
      <w:r w:rsidRPr="00DA25EC">
        <w:rPr>
          <w:rFonts w:cs="Arial"/>
          <w:szCs w:val="22"/>
        </w:rPr>
        <w:t>If the operation of a provision or amendment of the compiled law is affected by an application, saving or transitional provision that is not included in this compilation, details are included in the endnotes.</w:t>
      </w:r>
    </w:p>
    <w:p w:rsidR="00F27B33" w:rsidRDefault="00F27B33" w:rsidP="00F27B33">
      <w:pPr>
        <w:spacing w:after="120"/>
        <w:rPr>
          <w:rFonts w:cs="Arial"/>
          <w:b/>
          <w:szCs w:val="22"/>
        </w:rPr>
      </w:pPr>
      <w:r w:rsidRPr="003F3B80">
        <w:rPr>
          <w:rFonts w:cs="Arial"/>
          <w:b/>
          <w:szCs w:val="22"/>
        </w:rPr>
        <w:t>Editorial changes</w:t>
      </w:r>
    </w:p>
    <w:p w:rsidR="00F27B33" w:rsidRPr="003F3B80" w:rsidRDefault="00F27B33" w:rsidP="00F27B33">
      <w:pPr>
        <w:spacing w:after="120"/>
        <w:rPr>
          <w:rFonts w:cs="Arial"/>
          <w:szCs w:val="22"/>
        </w:rPr>
      </w:pPr>
      <w:r>
        <w:rPr>
          <w:rFonts w:cs="Arial"/>
          <w:szCs w:val="22"/>
        </w:rPr>
        <w:t>For more information about any editorial changes made in this compilation, see the endnotes.</w:t>
      </w:r>
    </w:p>
    <w:p w:rsidR="00F27B33" w:rsidRPr="00DA25EC" w:rsidRDefault="00F27B33" w:rsidP="00F27B33">
      <w:pPr>
        <w:spacing w:before="120" w:after="120"/>
        <w:rPr>
          <w:rFonts w:cs="Arial"/>
          <w:b/>
          <w:szCs w:val="22"/>
        </w:rPr>
      </w:pPr>
      <w:r w:rsidRPr="00DA25EC">
        <w:rPr>
          <w:rFonts w:cs="Arial"/>
          <w:b/>
          <w:szCs w:val="22"/>
        </w:rPr>
        <w:t>Modifications</w:t>
      </w:r>
    </w:p>
    <w:p w:rsidR="00F27B33" w:rsidRPr="00DA25EC" w:rsidRDefault="00F27B33" w:rsidP="00F27B33">
      <w:pPr>
        <w:spacing w:after="120"/>
        <w:rPr>
          <w:rFonts w:cs="Arial"/>
          <w:szCs w:val="22"/>
        </w:rPr>
      </w:pPr>
      <w:r w:rsidRPr="00DA25EC">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DA25EC">
        <w:rPr>
          <w:rFonts w:cs="Arial"/>
          <w:szCs w:val="22"/>
        </w:rPr>
        <w:t xml:space="preserve"> for the compiled law.</w:t>
      </w:r>
    </w:p>
    <w:p w:rsidR="00F27B33" w:rsidRPr="00DA25EC" w:rsidRDefault="00F27B33" w:rsidP="00F27B33">
      <w:pPr>
        <w:spacing w:before="80" w:after="120"/>
        <w:rPr>
          <w:rFonts w:cs="Arial"/>
          <w:b/>
          <w:szCs w:val="22"/>
        </w:rPr>
      </w:pPr>
      <w:r w:rsidRPr="00DA25EC">
        <w:rPr>
          <w:rFonts w:cs="Arial"/>
          <w:b/>
          <w:szCs w:val="22"/>
        </w:rPr>
        <w:t>Self-repealing provisions</w:t>
      </w:r>
    </w:p>
    <w:p w:rsidR="00F27B33" w:rsidRPr="00B75B4D" w:rsidRDefault="00F27B33" w:rsidP="00F27B33">
      <w:pPr>
        <w:spacing w:after="120"/>
        <w:rPr>
          <w:rFonts w:cs="Arial"/>
          <w:szCs w:val="22"/>
        </w:rPr>
      </w:pPr>
      <w:r w:rsidRPr="00DA25EC">
        <w:rPr>
          <w:rFonts w:cs="Arial"/>
          <w:szCs w:val="22"/>
        </w:rPr>
        <w:t>If a provision of the compiled law has been repealed in accordance with a provision of the law, details are included in the endnotes.</w:t>
      </w:r>
    </w:p>
    <w:p w:rsidR="00F27B33" w:rsidRPr="00ED79B6" w:rsidRDefault="00F27B33" w:rsidP="00F27B33">
      <w:pPr>
        <w:pStyle w:val="Header"/>
        <w:tabs>
          <w:tab w:val="clear" w:pos="4150"/>
          <w:tab w:val="clear" w:pos="8307"/>
        </w:tabs>
      </w:pPr>
      <w:r w:rsidRPr="00ED79B6">
        <w:rPr>
          <w:rStyle w:val="CharChapNo"/>
        </w:rPr>
        <w:t xml:space="preserve"> </w:t>
      </w:r>
      <w:r w:rsidRPr="00ED79B6">
        <w:rPr>
          <w:rStyle w:val="CharChapText"/>
        </w:rPr>
        <w:t xml:space="preserve"> </w:t>
      </w:r>
    </w:p>
    <w:p w:rsidR="00F27B33" w:rsidRPr="00ED79B6" w:rsidRDefault="00F27B33" w:rsidP="00F27B33">
      <w:pPr>
        <w:pStyle w:val="Header"/>
        <w:tabs>
          <w:tab w:val="clear" w:pos="4150"/>
          <w:tab w:val="clear" w:pos="8307"/>
        </w:tabs>
      </w:pPr>
      <w:r w:rsidRPr="00ED79B6">
        <w:rPr>
          <w:rStyle w:val="CharPartNo"/>
        </w:rPr>
        <w:t xml:space="preserve"> </w:t>
      </w:r>
      <w:r w:rsidRPr="00ED79B6">
        <w:rPr>
          <w:rStyle w:val="CharPartText"/>
        </w:rPr>
        <w:t xml:space="preserve"> </w:t>
      </w:r>
    </w:p>
    <w:p w:rsidR="00F27B33" w:rsidRPr="00ED79B6" w:rsidRDefault="00F27B33" w:rsidP="00F27B33">
      <w:pPr>
        <w:pStyle w:val="Header"/>
        <w:tabs>
          <w:tab w:val="clear" w:pos="4150"/>
          <w:tab w:val="clear" w:pos="8307"/>
        </w:tabs>
      </w:pPr>
      <w:r w:rsidRPr="00ED79B6">
        <w:rPr>
          <w:rStyle w:val="CharDivNo"/>
        </w:rPr>
        <w:t xml:space="preserve"> </w:t>
      </w:r>
      <w:r w:rsidRPr="00ED79B6">
        <w:rPr>
          <w:rStyle w:val="CharDivText"/>
        </w:rPr>
        <w:t xml:space="preserve"> </w:t>
      </w:r>
    </w:p>
    <w:p w:rsidR="00F27B33" w:rsidRDefault="00F27B33" w:rsidP="00F27B33">
      <w:pPr>
        <w:sectPr w:rsidR="00F27B33" w:rsidSect="00B63CE6">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A00582" w:rsidRPr="00997E2A" w:rsidRDefault="00A00582" w:rsidP="00A00582">
      <w:pPr>
        <w:rPr>
          <w:sz w:val="36"/>
        </w:rPr>
      </w:pPr>
      <w:r w:rsidRPr="00997E2A">
        <w:rPr>
          <w:sz w:val="36"/>
        </w:rPr>
        <w:lastRenderedPageBreak/>
        <w:t>Contents</w:t>
      </w:r>
    </w:p>
    <w:p w:rsidR="00104D80" w:rsidRDefault="006967A5">
      <w:pPr>
        <w:pStyle w:val="TOC2"/>
        <w:rPr>
          <w:rFonts w:asciiTheme="minorHAnsi" w:eastAsiaTheme="minorEastAsia" w:hAnsiTheme="minorHAnsi" w:cstheme="minorBidi"/>
          <w:b w:val="0"/>
          <w:noProof/>
          <w:kern w:val="0"/>
          <w:sz w:val="22"/>
          <w:szCs w:val="22"/>
        </w:rPr>
      </w:pPr>
      <w:r w:rsidRPr="00A42C4E">
        <w:fldChar w:fldCharType="begin"/>
      </w:r>
      <w:r w:rsidRPr="00997E2A">
        <w:instrText xml:space="preserve"> TOC \o "1-9" </w:instrText>
      </w:r>
      <w:r w:rsidRPr="00A42C4E">
        <w:fldChar w:fldCharType="separate"/>
      </w:r>
      <w:r w:rsidR="00104D80">
        <w:rPr>
          <w:noProof/>
        </w:rPr>
        <w:t>Part 1—Preliminary</w:t>
      </w:r>
      <w:r w:rsidR="00104D80" w:rsidRPr="00104D80">
        <w:rPr>
          <w:b w:val="0"/>
          <w:noProof/>
          <w:sz w:val="18"/>
        </w:rPr>
        <w:tab/>
      </w:r>
      <w:r w:rsidR="00104D80" w:rsidRPr="00104D80">
        <w:rPr>
          <w:b w:val="0"/>
          <w:noProof/>
          <w:sz w:val="18"/>
        </w:rPr>
        <w:fldChar w:fldCharType="begin"/>
      </w:r>
      <w:r w:rsidR="00104D80" w:rsidRPr="00104D80">
        <w:rPr>
          <w:b w:val="0"/>
          <w:noProof/>
          <w:sz w:val="18"/>
        </w:rPr>
        <w:instrText xml:space="preserve"> PAGEREF _Toc76648292 \h </w:instrText>
      </w:r>
      <w:r w:rsidR="00104D80" w:rsidRPr="00104D80">
        <w:rPr>
          <w:b w:val="0"/>
          <w:noProof/>
          <w:sz w:val="18"/>
        </w:rPr>
      </w:r>
      <w:r w:rsidR="00104D80" w:rsidRPr="00104D80">
        <w:rPr>
          <w:b w:val="0"/>
          <w:noProof/>
          <w:sz w:val="18"/>
        </w:rPr>
        <w:fldChar w:fldCharType="separate"/>
      </w:r>
      <w:r w:rsidR="00104D80" w:rsidRPr="00104D80">
        <w:rPr>
          <w:b w:val="0"/>
          <w:noProof/>
          <w:sz w:val="18"/>
        </w:rPr>
        <w:t>1</w:t>
      </w:r>
      <w:r w:rsidR="00104D80" w:rsidRPr="00104D80">
        <w:rPr>
          <w:b w:val="0"/>
          <w:noProof/>
          <w:sz w:val="18"/>
        </w:rPr>
        <w:fldChar w:fldCharType="end"/>
      </w:r>
    </w:p>
    <w:p w:rsidR="00104D80" w:rsidRDefault="00104D80">
      <w:pPr>
        <w:pStyle w:val="TOC5"/>
        <w:rPr>
          <w:rFonts w:asciiTheme="minorHAnsi" w:eastAsiaTheme="minorEastAsia" w:hAnsiTheme="minorHAnsi" w:cstheme="minorBidi"/>
          <w:noProof/>
          <w:kern w:val="0"/>
          <w:sz w:val="22"/>
          <w:szCs w:val="22"/>
        </w:rPr>
      </w:pPr>
      <w:r>
        <w:rPr>
          <w:noProof/>
        </w:rPr>
        <w:t>1</w:t>
      </w:r>
      <w:r>
        <w:rPr>
          <w:noProof/>
        </w:rPr>
        <w:tab/>
        <w:t>Name</w:t>
      </w:r>
      <w:r w:rsidRPr="00104D80">
        <w:rPr>
          <w:noProof/>
        </w:rPr>
        <w:tab/>
      </w:r>
      <w:r w:rsidRPr="00104D80">
        <w:rPr>
          <w:noProof/>
        </w:rPr>
        <w:fldChar w:fldCharType="begin"/>
      </w:r>
      <w:r w:rsidRPr="00104D80">
        <w:rPr>
          <w:noProof/>
        </w:rPr>
        <w:instrText xml:space="preserve"> PAGEREF _Toc76648293 \h </w:instrText>
      </w:r>
      <w:r w:rsidRPr="00104D80">
        <w:rPr>
          <w:noProof/>
        </w:rPr>
      </w:r>
      <w:r w:rsidRPr="00104D80">
        <w:rPr>
          <w:noProof/>
        </w:rPr>
        <w:fldChar w:fldCharType="separate"/>
      </w:r>
      <w:r w:rsidRPr="00104D80">
        <w:rPr>
          <w:noProof/>
        </w:rPr>
        <w:t>1</w:t>
      </w:r>
      <w:r w:rsidRPr="00104D80">
        <w:rPr>
          <w:noProof/>
        </w:rPr>
        <w:fldChar w:fldCharType="end"/>
      </w:r>
    </w:p>
    <w:p w:rsidR="00104D80" w:rsidRDefault="00104D80">
      <w:pPr>
        <w:pStyle w:val="TOC5"/>
        <w:rPr>
          <w:rFonts w:asciiTheme="minorHAnsi" w:eastAsiaTheme="minorEastAsia" w:hAnsiTheme="minorHAnsi" w:cstheme="minorBidi"/>
          <w:noProof/>
          <w:kern w:val="0"/>
          <w:sz w:val="22"/>
          <w:szCs w:val="22"/>
        </w:rPr>
      </w:pPr>
      <w:r>
        <w:rPr>
          <w:noProof/>
        </w:rPr>
        <w:t>3</w:t>
      </w:r>
      <w:r>
        <w:rPr>
          <w:noProof/>
        </w:rPr>
        <w:tab/>
        <w:t>Authority</w:t>
      </w:r>
      <w:r w:rsidRPr="00104D80">
        <w:rPr>
          <w:noProof/>
        </w:rPr>
        <w:tab/>
      </w:r>
      <w:r w:rsidRPr="00104D80">
        <w:rPr>
          <w:noProof/>
        </w:rPr>
        <w:fldChar w:fldCharType="begin"/>
      </w:r>
      <w:r w:rsidRPr="00104D80">
        <w:rPr>
          <w:noProof/>
        </w:rPr>
        <w:instrText xml:space="preserve"> PAGEREF _Toc76648294 \h </w:instrText>
      </w:r>
      <w:r w:rsidRPr="00104D80">
        <w:rPr>
          <w:noProof/>
        </w:rPr>
      </w:r>
      <w:r w:rsidRPr="00104D80">
        <w:rPr>
          <w:noProof/>
        </w:rPr>
        <w:fldChar w:fldCharType="separate"/>
      </w:r>
      <w:r w:rsidRPr="00104D80">
        <w:rPr>
          <w:noProof/>
        </w:rPr>
        <w:t>1</w:t>
      </w:r>
      <w:r w:rsidRPr="00104D80">
        <w:rPr>
          <w:noProof/>
        </w:rPr>
        <w:fldChar w:fldCharType="end"/>
      </w:r>
    </w:p>
    <w:p w:rsidR="00104D80" w:rsidRDefault="00104D80">
      <w:pPr>
        <w:pStyle w:val="TOC5"/>
        <w:rPr>
          <w:rFonts w:asciiTheme="minorHAnsi" w:eastAsiaTheme="minorEastAsia" w:hAnsiTheme="minorHAnsi" w:cstheme="minorBidi"/>
          <w:noProof/>
          <w:kern w:val="0"/>
          <w:sz w:val="22"/>
          <w:szCs w:val="22"/>
        </w:rPr>
      </w:pPr>
      <w:r>
        <w:rPr>
          <w:noProof/>
        </w:rPr>
        <w:t>4</w:t>
      </w:r>
      <w:r>
        <w:rPr>
          <w:noProof/>
        </w:rPr>
        <w:tab/>
        <w:t>Definitions</w:t>
      </w:r>
      <w:r w:rsidRPr="00104D80">
        <w:rPr>
          <w:noProof/>
        </w:rPr>
        <w:tab/>
      </w:r>
      <w:r w:rsidRPr="00104D80">
        <w:rPr>
          <w:noProof/>
        </w:rPr>
        <w:fldChar w:fldCharType="begin"/>
      </w:r>
      <w:r w:rsidRPr="00104D80">
        <w:rPr>
          <w:noProof/>
        </w:rPr>
        <w:instrText xml:space="preserve"> PAGEREF _Toc76648295 \h </w:instrText>
      </w:r>
      <w:r w:rsidRPr="00104D80">
        <w:rPr>
          <w:noProof/>
        </w:rPr>
      </w:r>
      <w:r w:rsidRPr="00104D80">
        <w:rPr>
          <w:noProof/>
        </w:rPr>
        <w:fldChar w:fldCharType="separate"/>
      </w:r>
      <w:r w:rsidRPr="00104D80">
        <w:rPr>
          <w:noProof/>
        </w:rPr>
        <w:t>1</w:t>
      </w:r>
      <w:r w:rsidRPr="00104D80">
        <w:rPr>
          <w:noProof/>
        </w:rPr>
        <w:fldChar w:fldCharType="end"/>
      </w:r>
    </w:p>
    <w:p w:rsidR="00104D80" w:rsidRDefault="00104D80">
      <w:pPr>
        <w:pStyle w:val="TOC5"/>
        <w:rPr>
          <w:rFonts w:asciiTheme="minorHAnsi" w:eastAsiaTheme="minorEastAsia" w:hAnsiTheme="minorHAnsi" w:cstheme="minorBidi"/>
          <w:noProof/>
          <w:kern w:val="0"/>
          <w:sz w:val="22"/>
          <w:szCs w:val="22"/>
        </w:rPr>
      </w:pPr>
      <w:r>
        <w:rPr>
          <w:noProof/>
        </w:rPr>
        <w:t>5</w:t>
      </w:r>
      <w:r>
        <w:rPr>
          <w:noProof/>
        </w:rPr>
        <w:tab/>
        <w:t xml:space="preserve">Meaning of </w:t>
      </w:r>
      <w:r w:rsidRPr="0043440F">
        <w:rPr>
          <w:i/>
          <w:noProof/>
        </w:rPr>
        <w:t>quad bike</w:t>
      </w:r>
      <w:r>
        <w:rPr>
          <w:noProof/>
        </w:rPr>
        <w:t xml:space="preserve"> etc.</w:t>
      </w:r>
      <w:r w:rsidRPr="00104D80">
        <w:rPr>
          <w:noProof/>
        </w:rPr>
        <w:tab/>
      </w:r>
      <w:r w:rsidRPr="00104D80">
        <w:rPr>
          <w:noProof/>
        </w:rPr>
        <w:fldChar w:fldCharType="begin"/>
      </w:r>
      <w:r w:rsidRPr="00104D80">
        <w:rPr>
          <w:noProof/>
        </w:rPr>
        <w:instrText xml:space="preserve"> PAGEREF _Toc76648296 \h </w:instrText>
      </w:r>
      <w:r w:rsidRPr="00104D80">
        <w:rPr>
          <w:noProof/>
        </w:rPr>
      </w:r>
      <w:r w:rsidRPr="00104D80">
        <w:rPr>
          <w:noProof/>
        </w:rPr>
        <w:fldChar w:fldCharType="separate"/>
      </w:r>
      <w:r w:rsidRPr="00104D80">
        <w:rPr>
          <w:noProof/>
        </w:rPr>
        <w:t>2</w:t>
      </w:r>
      <w:r w:rsidRPr="00104D80">
        <w:rPr>
          <w:noProof/>
        </w:rPr>
        <w:fldChar w:fldCharType="end"/>
      </w:r>
    </w:p>
    <w:p w:rsidR="00104D80" w:rsidRDefault="00104D80">
      <w:pPr>
        <w:pStyle w:val="TOC5"/>
        <w:rPr>
          <w:rFonts w:asciiTheme="minorHAnsi" w:eastAsiaTheme="minorEastAsia" w:hAnsiTheme="minorHAnsi" w:cstheme="minorBidi"/>
          <w:noProof/>
          <w:kern w:val="0"/>
          <w:sz w:val="22"/>
          <w:szCs w:val="22"/>
        </w:rPr>
      </w:pPr>
      <w:r>
        <w:rPr>
          <w:noProof/>
        </w:rPr>
        <w:t>6</w:t>
      </w:r>
      <w:r>
        <w:rPr>
          <w:noProof/>
        </w:rPr>
        <w:tab/>
        <w:t>Second</w:t>
      </w:r>
      <w:r>
        <w:rPr>
          <w:noProof/>
        </w:rPr>
        <w:noBreakHyphen/>
        <w:t>hand quad bikes</w:t>
      </w:r>
      <w:r w:rsidRPr="00104D80">
        <w:rPr>
          <w:noProof/>
        </w:rPr>
        <w:tab/>
      </w:r>
      <w:r w:rsidRPr="00104D80">
        <w:rPr>
          <w:noProof/>
        </w:rPr>
        <w:fldChar w:fldCharType="begin"/>
      </w:r>
      <w:r w:rsidRPr="00104D80">
        <w:rPr>
          <w:noProof/>
        </w:rPr>
        <w:instrText xml:space="preserve"> PAGEREF _Toc76648297 \h </w:instrText>
      </w:r>
      <w:r w:rsidRPr="00104D80">
        <w:rPr>
          <w:noProof/>
        </w:rPr>
      </w:r>
      <w:r w:rsidRPr="00104D80">
        <w:rPr>
          <w:noProof/>
        </w:rPr>
        <w:fldChar w:fldCharType="separate"/>
      </w:r>
      <w:r w:rsidRPr="00104D80">
        <w:rPr>
          <w:noProof/>
        </w:rPr>
        <w:t>3</w:t>
      </w:r>
      <w:r w:rsidRPr="00104D80">
        <w:rPr>
          <w:noProof/>
        </w:rPr>
        <w:fldChar w:fldCharType="end"/>
      </w:r>
    </w:p>
    <w:p w:rsidR="00104D80" w:rsidRDefault="00104D80">
      <w:pPr>
        <w:pStyle w:val="TOC5"/>
        <w:rPr>
          <w:rFonts w:asciiTheme="minorHAnsi" w:eastAsiaTheme="minorEastAsia" w:hAnsiTheme="minorHAnsi" w:cstheme="minorBidi"/>
          <w:noProof/>
          <w:kern w:val="0"/>
          <w:sz w:val="22"/>
          <w:szCs w:val="22"/>
        </w:rPr>
      </w:pPr>
      <w:r>
        <w:rPr>
          <w:noProof/>
        </w:rPr>
        <w:t>7</w:t>
      </w:r>
      <w:r>
        <w:rPr>
          <w:noProof/>
        </w:rPr>
        <w:tab/>
        <w:t>Incorporated material</w:t>
      </w:r>
      <w:r w:rsidRPr="00104D80">
        <w:rPr>
          <w:noProof/>
        </w:rPr>
        <w:tab/>
      </w:r>
      <w:r w:rsidRPr="00104D80">
        <w:rPr>
          <w:noProof/>
        </w:rPr>
        <w:fldChar w:fldCharType="begin"/>
      </w:r>
      <w:r w:rsidRPr="00104D80">
        <w:rPr>
          <w:noProof/>
        </w:rPr>
        <w:instrText xml:space="preserve"> PAGEREF _Toc76648298 \h </w:instrText>
      </w:r>
      <w:r w:rsidRPr="00104D80">
        <w:rPr>
          <w:noProof/>
        </w:rPr>
      </w:r>
      <w:r w:rsidRPr="00104D80">
        <w:rPr>
          <w:noProof/>
        </w:rPr>
        <w:fldChar w:fldCharType="separate"/>
      </w:r>
      <w:r w:rsidRPr="00104D80">
        <w:rPr>
          <w:noProof/>
        </w:rPr>
        <w:t>4</w:t>
      </w:r>
      <w:r w:rsidRPr="00104D80">
        <w:rPr>
          <w:noProof/>
        </w:rPr>
        <w:fldChar w:fldCharType="end"/>
      </w:r>
    </w:p>
    <w:p w:rsidR="00104D80" w:rsidRDefault="00104D80">
      <w:pPr>
        <w:pStyle w:val="TOC2"/>
        <w:rPr>
          <w:rFonts w:asciiTheme="minorHAnsi" w:eastAsiaTheme="minorEastAsia" w:hAnsiTheme="minorHAnsi" w:cstheme="minorBidi"/>
          <w:b w:val="0"/>
          <w:noProof/>
          <w:kern w:val="0"/>
          <w:sz w:val="22"/>
          <w:szCs w:val="22"/>
        </w:rPr>
      </w:pPr>
      <w:r>
        <w:rPr>
          <w:noProof/>
        </w:rPr>
        <w:t>Part 2—Requirements for all quad bikes</w:t>
      </w:r>
      <w:r w:rsidRPr="00104D80">
        <w:rPr>
          <w:b w:val="0"/>
          <w:noProof/>
          <w:sz w:val="18"/>
        </w:rPr>
        <w:tab/>
      </w:r>
      <w:r w:rsidRPr="00104D80">
        <w:rPr>
          <w:b w:val="0"/>
          <w:noProof/>
          <w:sz w:val="18"/>
        </w:rPr>
        <w:fldChar w:fldCharType="begin"/>
      </w:r>
      <w:r w:rsidRPr="00104D80">
        <w:rPr>
          <w:b w:val="0"/>
          <w:noProof/>
          <w:sz w:val="18"/>
        </w:rPr>
        <w:instrText xml:space="preserve"> PAGEREF _Toc76648299 \h </w:instrText>
      </w:r>
      <w:r w:rsidRPr="00104D80">
        <w:rPr>
          <w:b w:val="0"/>
          <w:noProof/>
          <w:sz w:val="18"/>
        </w:rPr>
      </w:r>
      <w:r w:rsidRPr="00104D80">
        <w:rPr>
          <w:b w:val="0"/>
          <w:noProof/>
          <w:sz w:val="18"/>
        </w:rPr>
        <w:fldChar w:fldCharType="separate"/>
      </w:r>
      <w:r w:rsidRPr="00104D80">
        <w:rPr>
          <w:b w:val="0"/>
          <w:noProof/>
          <w:sz w:val="18"/>
        </w:rPr>
        <w:t>5</w:t>
      </w:r>
      <w:r w:rsidRPr="00104D80">
        <w:rPr>
          <w:b w:val="0"/>
          <w:noProof/>
          <w:sz w:val="18"/>
        </w:rPr>
        <w:fldChar w:fldCharType="end"/>
      </w:r>
    </w:p>
    <w:p w:rsidR="00104D80" w:rsidRDefault="00104D80">
      <w:pPr>
        <w:pStyle w:val="TOC5"/>
        <w:rPr>
          <w:rFonts w:asciiTheme="minorHAnsi" w:eastAsiaTheme="minorEastAsia" w:hAnsiTheme="minorHAnsi" w:cstheme="minorBidi"/>
          <w:noProof/>
          <w:kern w:val="0"/>
          <w:sz w:val="22"/>
          <w:szCs w:val="22"/>
        </w:rPr>
      </w:pPr>
      <w:r>
        <w:rPr>
          <w:noProof/>
        </w:rPr>
        <w:t>8</w:t>
      </w:r>
      <w:r>
        <w:rPr>
          <w:noProof/>
        </w:rPr>
        <w:tab/>
        <w:t>Scope of this Part</w:t>
      </w:r>
      <w:r w:rsidRPr="00104D80">
        <w:rPr>
          <w:noProof/>
        </w:rPr>
        <w:tab/>
      </w:r>
      <w:r w:rsidRPr="00104D80">
        <w:rPr>
          <w:noProof/>
        </w:rPr>
        <w:fldChar w:fldCharType="begin"/>
      </w:r>
      <w:r w:rsidRPr="00104D80">
        <w:rPr>
          <w:noProof/>
        </w:rPr>
        <w:instrText xml:space="preserve"> PAGEREF _Toc76648300 \h </w:instrText>
      </w:r>
      <w:r w:rsidRPr="00104D80">
        <w:rPr>
          <w:noProof/>
        </w:rPr>
      </w:r>
      <w:r w:rsidRPr="00104D80">
        <w:rPr>
          <w:noProof/>
        </w:rPr>
        <w:fldChar w:fldCharType="separate"/>
      </w:r>
      <w:r w:rsidRPr="00104D80">
        <w:rPr>
          <w:noProof/>
        </w:rPr>
        <w:t>5</w:t>
      </w:r>
      <w:r w:rsidRPr="00104D80">
        <w:rPr>
          <w:noProof/>
        </w:rPr>
        <w:fldChar w:fldCharType="end"/>
      </w:r>
    </w:p>
    <w:p w:rsidR="00104D80" w:rsidRDefault="00104D80">
      <w:pPr>
        <w:pStyle w:val="TOC5"/>
        <w:rPr>
          <w:rFonts w:asciiTheme="minorHAnsi" w:eastAsiaTheme="minorEastAsia" w:hAnsiTheme="minorHAnsi" w:cstheme="minorBidi"/>
          <w:noProof/>
          <w:kern w:val="0"/>
          <w:sz w:val="22"/>
          <w:szCs w:val="22"/>
        </w:rPr>
      </w:pPr>
      <w:r>
        <w:rPr>
          <w:noProof/>
        </w:rPr>
        <w:t>9</w:t>
      </w:r>
      <w:r>
        <w:rPr>
          <w:noProof/>
        </w:rPr>
        <w:tab/>
        <w:t>Compliance with the US Standard</w:t>
      </w:r>
      <w:r w:rsidRPr="00104D80">
        <w:rPr>
          <w:noProof/>
        </w:rPr>
        <w:tab/>
      </w:r>
      <w:r w:rsidRPr="00104D80">
        <w:rPr>
          <w:noProof/>
        </w:rPr>
        <w:fldChar w:fldCharType="begin"/>
      </w:r>
      <w:r w:rsidRPr="00104D80">
        <w:rPr>
          <w:noProof/>
        </w:rPr>
        <w:instrText xml:space="preserve"> PAGEREF _Toc76648301 \h </w:instrText>
      </w:r>
      <w:r w:rsidRPr="00104D80">
        <w:rPr>
          <w:noProof/>
        </w:rPr>
      </w:r>
      <w:r w:rsidRPr="00104D80">
        <w:rPr>
          <w:noProof/>
        </w:rPr>
        <w:fldChar w:fldCharType="separate"/>
      </w:r>
      <w:r w:rsidRPr="00104D80">
        <w:rPr>
          <w:noProof/>
        </w:rPr>
        <w:t>5</w:t>
      </w:r>
      <w:r w:rsidRPr="00104D80">
        <w:rPr>
          <w:noProof/>
        </w:rPr>
        <w:fldChar w:fldCharType="end"/>
      </w:r>
    </w:p>
    <w:p w:rsidR="00104D80" w:rsidRDefault="00104D80">
      <w:pPr>
        <w:pStyle w:val="TOC5"/>
        <w:rPr>
          <w:rFonts w:asciiTheme="minorHAnsi" w:eastAsiaTheme="minorEastAsia" w:hAnsiTheme="minorHAnsi" w:cstheme="minorBidi"/>
          <w:noProof/>
          <w:kern w:val="0"/>
          <w:sz w:val="22"/>
          <w:szCs w:val="22"/>
        </w:rPr>
      </w:pPr>
      <w:r>
        <w:rPr>
          <w:noProof/>
        </w:rPr>
        <w:t>10</w:t>
      </w:r>
      <w:r>
        <w:rPr>
          <w:noProof/>
        </w:rPr>
        <w:tab/>
        <w:t>Compliance with the European Standard</w:t>
      </w:r>
      <w:r w:rsidRPr="00104D80">
        <w:rPr>
          <w:noProof/>
        </w:rPr>
        <w:tab/>
      </w:r>
      <w:r w:rsidRPr="00104D80">
        <w:rPr>
          <w:noProof/>
        </w:rPr>
        <w:fldChar w:fldCharType="begin"/>
      </w:r>
      <w:r w:rsidRPr="00104D80">
        <w:rPr>
          <w:noProof/>
        </w:rPr>
        <w:instrText xml:space="preserve"> PAGEREF _Toc76648302 \h </w:instrText>
      </w:r>
      <w:r w:rsidRPr="00104D80">
        <w:rPr>
          <w:noProof/>
        </w:rPr>
      </w:r>
      <w:r w:rsidRPr="00104D80">
        <w:rPr>
          <w:noProof/>
        </w:rPr>
        <w:fldChar w:fldCharType="separate"/>
      </w:r>
      <w:r w:rsidRPr="00104D80">
        <w:rPr>
          <w:noProof/>
        </w:rPr>
        <w:t>6</w:t>
      </w:r>
      <w:r w:rsidRPr="00104D80">
        <w:rPr>
          <w:noProof/>
        </w:rPr>
        <w:fldChar w:fldCharType="end"/>
      </w:r>
    </w:p>
    <w:p w:rsidR="00104D80" w:rsidRDefault="00104D80">
      <w:pPr>
        <w:pStyle w:val="TOC5"/>
        <w:rPr>
          <w:rFonts w:asciiTheme="minorHAnsi" w:eastAsiaTheme="minorEastAsia" w:hAnsiTheme="minorHAnsi" w:cstheme="minorBidi"/>
          <w:noProof/>
          <w:kern w:val="0"/>
          <w:sz w:val="22"/>
          <w:szCs w:val="22"/>
        </w:rPr>
      </w:pPr>
      <w:r>
        <w:rPr>
          <w:noProof/>
        </w:rPr>
        <w:t>11</w:t>
      </w:r>
      <w:r>
        <w:rPr>
          <w:noProof/>
        </w:rPr>
        <w:tab/>
        <w:t>Rollover warning label</w:t>
      </w:r>
      <w:r w:rsidRPr="00104D80">
        <w:rPr>
          <w:noProof/>
        </w:rPr>
        <w:tab/>
      </w:r>
      <w:r w:rsidRPr="00104D80">
        <w:rPr>
          <w:noProof/>
        </w:rPr>
        <w:fldChar w:fldCharType="begin"/>
      </w:r>
      <w:r w:rsidRPr="00104D80">
        <w:rPr>
          <w:noProof/>
        </w:rPr>
        <w:instrText xml:space="preserve"> PAGEREF _Toc76648303 \h </w:instrText>
      </w:r>
      <w:r w:rsidRPr="00104D80">
        <w:rPr>
          <w:noProof/>
        </w:rPr>
      </w:r>
      <w:r w:rsidRPr="00104D80">
        <w:rPr>
          <w:noProof/>
        </w:rPr>
        <w:fldChar w:fldCharType="separate"/>
      </w:r>
      <w:r w:rsidRPr="00104D80">
        <w:rPr>
          <w:noProof/>
        </w:rPr>
        <w:t>6</w:t>
      </w:r>
      <w:r w:rsidRPr="00104D80">
        <w:rPr>
          <w:noProof/>
        </w:rPr>
        <w:fldChar w:fldCharType="end"/>
      </w:r>
    </w:p>
    <w:p w:rsidR="00104D80" w:rsidRDefault="00104D80">
      <w:pPr>
        <w:pStyle w:val="TOC5"/>
        <w:rPr>
          <w:rFonts w:asciiTheme="minorHAnsi" w:eastAsiaTheme="minorEastAsia" w:hAnsiTheme="minorHAnsi" w:cstheme="minorBidi"/>
          <w:noProof/>
          <w:kern w:val="0"/>
          <w:sz w:val="22"/>
          <w:szCs w:val="22"/>
        </w:rPr>
      </w:pPr>
      <w:r>
        <w:rPr>
          <w:noProof/>
        </w:rPr>
        <w:t>12</w:t>
      </w:r>
      <w:r>
        <w:rPr>
          <w:noProof/>
        </w:rPr>
        <w:tab/>
        <w:t>Lateral roll stability testing</w:t>
      </w:r>
      <w:r w:rsidRPr="00104D80">
        <w:rPr>
          <w:noProof/>
        </w:rPr>
        <w:tab/>
      </w:r>
      <w:r w:rsidRPr="00104D80">
        <w:rPr>
          <w:noProof/>
        </w:rPr>
        <w:fldChar w:fldCharType="begin"/>
      </w:r>
      <w:r w:rsidRPr="00104D80">
        <w:rPr>
          <w:noProof/>
        </w:rPr>
        <w:instrText xml:space="preserve"> PAGEREF _Toc76648304 \h </w:instrText>
      </w:r>
      <w:r w:rsidRPr="00104D80">
        <w:rPr>
          <w:noProof/>
        </w:rPr>
      </w:r>
      <w:r w:rsidRPr="00104D80">
        <w:rPr>
          <w:noProof/>
        </w:rPr>
        <w:fldChar w:fldCharType="separate"/>
      </w:r>
      <w:r w:rsidRPr="00104D80">
        <w:rPr>
          <w:noProof/>
        </w:rPr>
        <w:t>7</w:t>
      </w:r>
      <w:r w:rsidRPr="00104D80">
        <w:rPr>
          <w:noProof/>
        </w:rPr>
        <w:fldChar w:fldCharType="end"/>
      </w:r>
    </w:p>
    <w:p w:rsidR="00104D80" w:rsidRDefault="00104D80">
      <w:pPr>
        <w:pStyle w:val="TOC5"/>
        <w:rPr>
          <w:rFonts w:asciiTheme="minorHAnsi" w:eastAsiaTheme="minorEastAsia" w:hAnsiTheme="minorHAnsi" w:cstheme="minorBidi"/>
          <w:noProof/>
          <w:kern w:val="0"/>
          <w:sz w:val="22"/>
          <w:szCs w:val="22"/>
        </w:rPr>
      </w:pPr>
      <w:r>
        <w:rPr>
          <w:noProof/>
        </w:rPr>
        <w:t>13</w:t>
      </w:r>
      <w:r>
        <w:rPr>
          <w:noProof/>
        </w:rPr>
        <w:tab/>
        <w:t>Lateral roll stability tag</w:t>
      </w:r>
      <w:r w:rsidRPr="00104D80">
        <w:rPr>
          <w:noProof/>
        </w:rPr>
        <w:tab/>
      </w:r>
      <w:r w:rsidRPr="00104D80">
        <w:rPr>
          <w:noProof/>
        </w:rPr>
        <w:fldChar w:fldCharType="begin"/>
      </w:r>
      <w:r w:rsidRPr="00104D80">
        <w:rPr>
          <w:noProof/>
        </w:rPr>
        <w:instrText xml:space="preserve"> PAGEREF _Toc76648305 \h </w:instrText>
      </w:r>
      <w:r w:rsidRPr="00104D80">
        <w:rPr>
          <w:noProof/>
        </w:rPr>
      </w:r>
      <w:r w:rsidRPr="00104D80">
        <w:rPr>
          <w:noProof/>
        </w:rPr>
        <w:fldChar w:fldCharType="separate"/>
      </w:r>
      <w:r w:rsidRPr="00104D80">
        <w:rPr>
          <w:noProof/>
        </w:rPr>
        <w:t>7</w:t>
      </w:r>
      <w:r w:rsidRPr="00104D80">
        <w:rPr>
          <w:noProof/>
        </w:rPr>
        <w:fldChar w:fldCharType="end"/>
      </w:r>
    </w:p>
    <w:p w:rsidR="00104D80" w:rsidRDefault="00104D80">
      <w:pPr>
        <w:pStyle w:val="TOC2"/>
        <w:rPr>
          <w:rFonts w:asciiTheme="minorHAnsi" w:eastAsiaTheme="minorEastAsia" w:hAnsiTheme="minorHAnsi" w:cstheme="minorBidi"/>
          <w:b w:val="0"/>
          <w:noProof/>
          <w:kern w:val="0"/>
          <w:sz w:val="22"/>
          <w:szCs w:val="22"/>
        </w:rPr>
      </w:pPr>
      <w:r>
        <w:rPr>
          <w:noProof/>
        </w:rPr>
        <w:t>Part 3—Requirements for general use quad bikes</w:t>
      </w:r>
      <w:r w:rsidRPr="00104D80">
        <w:rPr>
          <w:b w:val="0"/>
          <w:noProof/>
          <w:sz w:val="18"/>
        </w:rPr>
        <w:tab/>
      </w:r>
      <w:r w:rsidRPr="00104D80">
        <w:rPr>
          <w:b w:val="0"/>
          <w:noProof/>
          <w:sz w:val="18"/>
        </w:rPr>
        <w:fldChar w:fldCharType="begin"/>
      </w:r>
      <w:r w:rsidRPr="00104D80">
        <w:rPr>
          <w:b w:val="0"/>
          <w:noProof/>
          <w:sz w:val="18"/>
        </w:rPr>
        <w:instrText xml:space="preserve"> PAGEREF _Toc76648306 \h </w:instrText>
      </w:r>
      <w:r w:rsidRPr="00104D80">
        <w:rPr>
          <w:b w:val="0"/>
          <w:noProof/>
          <w:sz w:val="18"/>
        </w:rPr>
      </w:r>
      <w:r w:rsidRPr="00104D80">
        <w:rPr>
          <w:b w:val="0"/>
          <w:noProof/>
          <w:sz w:val="18"/>
        </w:rPr>
        <w:fldChar w:fldCharType="separate"/>
      </w:r>
      <w:r w:rsidRPr="00104D80">
        <w:rPr>
          <w:b w:val="0"/>
          <w:noProof/>
          <w:sz w:val="18"/>
        </w:rPr>
        <w:t>9</w:t>
      </w:r>
      <w:r w:rsidRPr="00104D80">
        <w:rPr>
          <w:b w:val="0"/>
          <w:noProof/>
          <w:sz w:val="18"/>
        </w:rPr>
        <w:fldChar w:fldCharType="end"/>
      </w:r>
    </w:p>
    <w:p w:rsidR="00104D80" w:rsidRDefault="00104D80">
      <w:pPr>
        <w:pStyle w:val="TOC5"/>
        <w:rPr>
          <w:rFonts w:asciiTheme="minorHAnsi" w:eastAsiaTheme="minorEastAsia" w:hAnsiTheme="minorHAnsi" w:cstheme="minorBidi"/>
          <w:noProof/>
          <w:kern w:val="0"/>
          <w:sz w:val="22"/>
          <w:szCs w:val="22"/>
        </w:rPr>
      </w:pPr>
      <w:r>
        <w:rPr>
          <w:noProof/>
        </w:rPr>
        <w:t>14</w:t>
      </w:r>
      <w:r>
        <w:rPr>
          <w:noProof/>
        </w:rPr>
        <w:tab/>
        <w:t>Scope of this Part</w:t>
      </w:r>
      <w:r w:rsidRPr="00104D80">
        <w:rPr>
          <w:noProof/>
        </w:rPr>
        <w:tab/>
      </w:r>
      <w:r w:rsidRPr="00104D80">
        <w:rPr>
          <w:noProof/>
        </w:rPr>
        <w:fldChar w:fldCharType="begin"/>
      </w:r>
      <w:r w:rsidRPr="00104D80">
        <w:rPr>
          <w:noProof/>
        </w:rPr>
        <w:instrText xml:space="preserve"> PAGEREF _Toc76648307 \h </w:instrText>
      </w:r>
      <w:r w:rsidRPr="00104D80">
        <w:rPr>
          <w:noProof/>
        </w:rPr>
      </w:r>
      <w:r w:rsidRPr="00104D80">
        <w:rPr>
          <w:noProof/>
        </w:rPr>
        <w:fldChar w:fldCharType="separate"/>
      </w:r>
      <w:r w:rsidRPr="00104D80">
        <w:rPr>
          <w:noProof/>
        </w:rPr>
        <w:t>9</w:t>
      </w:r>
      <w:r w:rsidRPr="00104D80">
        <w:rPr>
          <w:noProof/>
        </w:rPr>
        <w:fldChar w:fldCharType="end"/>
      </w:r>
    </w:p>
    <w:p w:rsidR="00104D80" w:rsidRDefault="00104D80">
      <w:pPr>
        <w:pStyle w:val="TOC5"/>
        <w:rPr>
          <w:rFonts w:asciiTheme="minorHAnsi" w:eastAsiaTheme="minorEastAsia" w:hAnsiTheme="minorHAnsi" w:cstheme="minorBidi"/>
          <w:noProof/>
          <w:kern w:val="0"/>
          <w:sz w:val="22"/>
          <w:szCs w:val="22"/>
        </w:rPr>
      </w:pPr>
      <w:r>
        <w:rPr>
          <w:noProof/>
        </w:rPr>
        <w:t>15</w:t>
      </w:r>
      <w:r>
        <w:rPr>
          <w:noProof/>
        </w:rPr>
        <w:tab/>
        <w:t>General use quad bikes—operator protection devices</w:t>
      </w:r>
      <w:r w:rsidRPr="00104D80">
        <w:rPr>
          <w:noProof/>
        </w:rPr>
        <w:tab/>
      </w:r>
      <w:r w:rsidRPr="00104D80">
        <w:rPr>
          <w:noProof/>
        </w:rPr>
        <w:fldChar w:fldCharType="begin"/>
      </w:r>
      <w:r w:rsidRPr="00104D80">
        <w:rPr>
          <w:noProof/>
        </w:rPr>
        <w:instrText xml:space="preserve"> PAGEREF _Toc76648308 \h </w:instrText>
      </w:r>
      <w:r w:rsidRPr="00104D80">
        <w:rPr>
          <w:noProof/>
        </w:rPr>
      </w:r>
      <w:r w:rsidRPr="00104D80">
        <w:rPr>
          <w:noProof/>
        </w:rPr>
        <w:fldChar w:fldCharType="separate"/>
      </w:r>
      <w:r w:rsidRPr="00104D80">
        <w:rPr>
          <w:noProof/>
        </w:rPr>
        <w:t>9</w:t>
      </w:r>
      <w:r w:rsidRPr="00104D80">
        <w:rPr>
          <w:noProof/>
        </w:rPr>
        <w:fldChar w:fldCharType="end"/>
      </w:r>
    </w:p>
    <w:p w:rsidR="00104D80" w:rsidRDefault="00104D80">
      <w:pPr>
        <w:pStyle w:val="TOC5"/>
        <w:rPr>
          <w:rFonts w:asciiTheme="minorHAnsi" w:eastAsiaTheme="minorEastAsia" w:hAnsiTheme="minorHAnsi" w:cstheme="minorBidi"/>
          <w:noProof/>
          <w:kern w:val="0"/>
          <w:sz w:val="22"/>
          <w:szCs w:val="22"/>
        </w:rPr>
      </w:pPr>
      <w:r>
        <w:rPr>
          <w:noProof/>
        </w:rPr>
        <w:t>16</w:t>
      </w:r>
      <w:r>
        <w:rPr>
          <w:noProof/>
        </w:rPr>
        <w:tab/>
        <w:t>General use quad bikes—minimum lateral roll, forward pitch and rearward pitch requirements</w:t>
      </w:r>
      <w:r w:rsidRPr="00104D80">
        <w:rPr>
          <w:noProof/>
        </w:rPr>
        <w:tab/>
      </w:r>
      <w:r w:rsidRPr="00104D80">
        <w:rPr>
          <w:noProof/>
        </w:rPr>
        <w:fldChar w:fldCharType="begin"/>
      </w:r>
      <w:r w:rsidRPr="00104D80">
        <w:rPr>
          <w:noProof/>
        </w:rPr>
        <w:instrText xml:space="preserve"> PAGEREF _Toc76648309 \h </w:instrText>
      </w:r>
      <w:r w:rsidRPr="00104D80">
        <w:rPr>
          <w:noProof/>
        </w:rPr>
      </w:r>
      <w:r w:rsidRPr="00104D80">
        <w:rPr>
          <w:noProof/>
        </w:rPr>
        <w:fldChar w:fldCharType="separate"/>
      </w:r>
      <w:r w:rsidRPr="00104D80">
        <w:rPr>
          <w:noProof/>
        </w:rPr>
        <w:t>10</w:t>
      </w:r>
      <w:r w:rsidRPr="00104D80">
        <w:rPr>
          <w:noProof/>
        </w:rPr>
        <w:fldChar w:fldCharType="end"/>
      </w:r>
    </w:p>
    <w:p w:rsidR="00104D80" w:rsidRDefault="00104D80">
      <w:pPr>
        <w:pStyle w:val="TOC2"/>
        <w:rPr>
          <w:rFonts w:asciiTheme="minorHAnsi" w:eastAsiaTheme="minorEastAsia" w:hAnsiTheme="minorHAnsi" w:cstheme="minorBidi"/>
          <w:b w:val="0"/>
          <w:noProof/>
          <w:kern w:val="0"/>
          <w:sz w:val="22"/>
          <w:szCs w:val="22"/>
        </w:rPr>
      </w:pPr>
      <w:r>
        <w:rPr>
          <w:noProof/>
        </w:rPr>
        <w:t>Part 4—Application, saving and transitional provisions</w:t>
      </w:r>
      <w:r w:rsidRPr="00104D80">
        <w:rPr>
          <w:b w:val="0"/>
          <w:noProof/>
          <w:sz w:val="18"/>
        </w:rPr>
        <w:tab/>
      </w:r>
      <w:r w:rsidRPr="00104D80">
        <w:rPr>
          <w:b w:val="0"/>
          <w:noProof/>
          <w:sz w:val="18"/>
        </w:rPr>
        <w:fldChar w:fldCharType="begin"/>
      </w:r>
      <w:r w:rsidRPr="00104D80">
        <w:rPr>
          <w:b w:val="0"/>
          <w:noProof/>
          <w:sz w:val="18"/>
        </w:rPr>
        <w:instrText xml:space="preserve"> PAGEREF _Toc76648310 \h </w:instrText>
      </w:r>
      <w:r w:rsidRPr="00104D80">
        <w:rPr>
          <w:b w:val="0"/>
          <w:noProof/>
          <w:sz w:val="18"/>
        </w:rPr>
      </w:r>
      <w:r w:rsidRPr="00104D80">
        <w:rPr>
          <w:b w:val="0"/>
          <w:noProof/>
          <w:sz w:val="18"/>
        </w:rPr>
        <w:fldChar w:fldCharType="separate"/>
      </w:r>
      <w:r w:rsidRPr="00104D80">
        <w:rPr>
          <w:b w:val="0"/>
          <w:noProof/>
          <w:sz w:val="18"/>
        </w:rPr>
        <w:t>11</w:t>
      </w:r>
      <w:r w:rsidRPr="00104D80">
        <w:rPr>
          <w:b w:val="0"/>
          <w:noProof/>
          <w:sz w:val="18"/>
        </w:rPr>
        <w:fldChar w:fldCharType="end"/>
      </w:r>
    </w:p>
    <w:p w:rsidR="00104D80" w:rsidRDefault="00104D80">
      <w:pPr>
        <w:pStyle w:val="TOC5"/>
        <w:rPr>
          <w:rFonts w:asciiTheme="minorHAnsi" w:eastAsiaTheme="minorEastAsia" w:hAnsiTheme="minorHAnsi" w:cstheme="minorBidi"/>
          <w:noProof/>
          <w:kern w:val="0"/>
          <w:sz w:val="22"/>
          <w:szCs w:val="22"/>
        </w:rPr>
      </w:pPr>
      <w:r>
        <w:rPr>
          <w:noProof/>
        </w:rPr>
        <w:t>17</w:t>
      </w:r>
      <w:r>
        <w:rPr>
          <w:noProof/>
        </w:rPr>
        <w:tab/>
        <w:t>Application of this instrument as made</w:t>
      </w:r>
      <w:r w:rsidRPr="00104D80">
        <w:rPr>
          <w:noProof/>
        </w:rPr>
        <w:tab/>
      </w:r>
      <w:r w:rsidRPr="00104D80">
        <w:rPr>
          <w:noProof/>
        </w:rPr>
        <w:fldChar w:fldCharType="begin"/>
      </w:r>
      <w:r w:rsidRPr="00104D80">
        <w:rPr>
          <w:noProof/>
        </w:rPr>
        <w:instrText xml:space="preserve"> PAGEREF _Toc76648311 \h </w:instrText>
      </w:r>
      <w:r w:rsidRPr="00104D80">
        <w:rPr>
          <w:noProof/>
        </w:rPr>
      </w:r>
      <w:r w:rsidRPr="00104D80">
        <w:rPr>
          <w:noProof/>
        </w:rPr>
        <w:fldChar w:fldCharType="separate"/>
      </w:r>
      <w:r w:rsidRPr="00104D80">
        <w:rPr>
          <w:noProof/>
        </w:rPr>
        <w:t>11</w:t>
      </w:r>
      <w:r w:rsidRPr="00104D80">
        <w:rPr>
          <w:noProof/>
        </w:rPr>
        <w:fldChar w:fldCharType="end"/>
      </w:r>
    </w:p>
    <w:p w:rsidR="00104D80" w:rsidRDefault="00104D80">
      <w:pPr>
        <w:pStyle w:val="TOC1"/>
        <w:rPr>
          <w:rFonts w:asciiTheme="minorHAnsi" w:eastAsiaTheme="minorEastAsia" w:hAnsiTheme="minorHAnsi" w:cstheme="minorBidi"/>
          <w:b w:val="0"/>
          <w:noProof/>
          <w:kern w:val="0"/>
          <w:sz w:val="22"/>
          <w:szCs w:val="22"/>
        </w:rPr>
      </w:pPr>
      <w:r>
        <w:rPr>
          <w:noProof/>
        </w:rPr>
        <w:t>Schedule 1—Test procedures</w:t>
      </w:r>
      <w:r w:rsidRPr="00104D80">
        <w:rPr>
          <w:b w:val="0"/>
          <w:noProof/>
          <w:sz w:val="18"/>
        </w:rPr>
        <w:tab/>
      </w:r>
      <w:r w:rsidRPr="00104D80">
        <w:rPr>
          <w:b w:val="0"/>
          <w:noProof/>
          <w:sz w:val="18"/>
        </w:rPr>
        <w:fldChar w:fldCharType="begin"/>
      </w:r>
      <w:r w:rsidRPr="00104D80">
        <w:rPr>
          <w:b w:val="0"/>
          <w:noProof/>
          <w:sz w:val="18"/>
        </w:rPr>
        <w:instrText xml:space="preserve"> PAGEREF _Toc76648312 \h </w:instrText>
      </w:r>
      <w:r w:rsidRPr="00104D80">
        <w:rPr>
          <w:b w:val="0"/>
          <w:noProof/>
          <w:sz w:val="18"/>
        </w:rPr>
      </w:r>
      <w:r w:rsidRPr="00104D80">
        <w:rPr>
          <w:b w:val="0"/>
          <w:noProof/>
          <w:sz w:val="18"/>
        </w:rPr>
        <w:fldChar w:fldCharType="separate"/>
      </w:r>
      <w:r w:rsidRPr="00104D80">
        <w:rPr>
          <w:b w:val="0"/>
          <w:noProof/>
          <w:sz w:val="18"/>
        </w:rPr>
        <w:t>12</w:t>
      </w:r>
      <w:r w:rsidRPr="00104D80">
        <w:rPr>
          <w:b w:val="0"/>
          <w:noProof/>
          <w:sz w:val="18"/>
        </w:rPr>
        <w:fldChar w:fldCharType="end"/>
      </w:r>
    </w:p>
    <w:p w:rsidR="00104D80" w:rsidRDefault="00104D80">
      <w:pPr>
        <w:pStyle w:val="TOC2"/>
        <w:rPr>
          <w:rFonts w:asciiTheme="minorHAnsi" w:eastAsiaTheme="minorEastAsia" w:hAnsiTheme="minorHAnsi" w:cstheme="minorBidi"/>
          <w:b w:val="0"/>
          <w:noProof/>
          <w:kern w:val="0"/>
          <w:sz w:val="22"/>
          <w:szCs w:val="22"/>
        </w:rPr>
      </w:pPr>
      <w:r>
        <w:rPr>
          <w:noProof/>
        </w:rPr>
        <w:t>Part 1—General</w:t>
      </w:r>
      <w:r w:rsidRPr="00104D80">
        <w:rPr>
          <w:b w:val="0"/>
          <w:noProof/>
          <w:sz w:val="18"/>
        </w:rPr>
        <w:tab/>
      </w:r>
      <w:r w:rsidRPr="00104D80">
        <w:rPr>
          <w:b w:val="0"/>
          <w:noProof/>
          <w:sz w:val="18"/>
        </w:rPr>
        <w:fldChar w:fldCharType="begin"/>
      </w:r>
      <w:r w:rsidRPr="00104D80">
        <w:rPr>
          <w:b w:val="0"/>
          <w:noProof/>
          <w:sz w:val="18"/>
        </w:rPr>
        <w:instrText xml:space="preserve"> PAGEREF _Toc76648313 \h </w:instrText>
      </w:r>
      <w:r w:rsidRPr="00104D80">
        <w:rPr>
          <w:b w:val="0"/>
          <w:noProof/>
          <w:sz w:val="18"/>
        </w:rPr>
      </w:r>
      <w:r w:rsidRPr="00104D80">
        <w:rPr>
          <w:b w:val="0"/>
          <w:noProof/>
          <w:sz w:val="18"/>
        </w:rPr>
        <w:fldChar w:fldCharType="separate"/>
      </w:r>
      <w:r w:rsidRPr="00104D80">
        <w:rPr>
          <w:b w:val="0"/>
          <w:noProof/>
          <w:sz w:val="18"/>
        </w:rPr>
        <w:t>12</w:t>
      </w:r>
      <w:r w:rsidRPr="00104D80">
        <w:rPr>
          <w:b w:val="0"/>
          <w:noProof/>
          <w:sz w:val="18"/>
        </w:rPr>
        <w:fldChar w:fldCharType="end"/>
      </w:r>
    </w:p>
    <w:p w:rsidR="00104D80" w:rsidRDefault="00104D80">
      <w:pPr>
        <w:pStyle w:val="TOC2"/>
        <w:rPr>
          <w:rFonts w:asciiTheme="minorHAnsi" w:eastAsiaTheme="minorEastAsia" w:hAnsiTheme="minorHAnsi" w:cstheme="minorBidi"/>
          <w:b w:val="0"/>
          <w:noProof/>
          <w:kern w:val="0"/>
          <w:sz w:val="22"/>
          <w:szCs w:val="22"/>
        </w:rPr>
      </w:pPr>
      <w:r>
        <w:rPr>
          <w:noProof/>
        </w:rPr>
        <w:t>Part 2—Tilt table</w:t>
      </w:r>
      <w:r w:rsidRPr="00104D80">
        <w:rPr>
          <w:b w:val="0"/>
          <w:noProof/>
          <w:sz w:val="18"/>
        </w:rPr>
        <w:tab/>
      </w:r>
      <w:r w:rsidRPr="00104D80">
        <w:rPr>
          <w:b w:val="0"/>
          <w:noProof/>
          <w:sz w:val="18"/>
        </w:rPr>
        <w:fldChar w:fldCharType="begin"/>
      </w:r>
      <w:r w:rsidRPr="00104D80">
        <w:rPr>
          <w:b w:val="0"/>
          <w:noProof/>
          <w:sz w:val="18"/>
        </w:rPr>
        <w:instrText xml:space="preserve"> PAGEREF _Toc76648314 \h </w:instrText>
      </w:r>
      <w:r w:rsidRPr="00104D80">
        <w:rPr>
          <w:b w:val="0"/>
          <w:noProof/>
          <w:sz w:val="18"/>
        </w:rPr>
      </w:r>
      <w:r w:rsidRPr="00104D80">
        <w:rPr>
          <w:b w:val="0"/>
          <w:noProof/>
          <w:sz w:val="18"/>
        </w:rPr>
        <w:fldChar w:fldCharType="separate"/>
      </w:r>
      <w:r w:rsidRPr="00104D80">
        <w:rPr>
          <w:b w:val="0"/>
          <w:noProof/>
          <w:sz w:val="18"/>
        </w:rPr>
        <w:t>13</w:t>
      </w:r>
      <w:r w:rsidRPr="00104D80">
        <w:rPr>
          <w:b w:val="0"/>
          <w:noProof/>
          <w:sz w:val="18"/>
        </w:rPr>
        <w:fldChar w:fldCharType="end"/>
      </w:r>
    </w:p>
    <w:p w:rsidR="00104D80" w:rsidRDefault="00104D80">
      <w:pPr>
        <w:pStyle w:val="TOC2"/>
        <w:rPr>
          <w:rFonts w:asciiTheme="minorHAnsi" w:eastAsiaTheme="minorEastAsia" w:hAnsiTheme="minorHAnsi" w:cstheme="minorBidi"/>
          <w:b w:val="0"/>
          <w:noProof/>
          <w:kern w:val="0"/>
          <w:sz w:val="22"/>
          <w:szCs w:val="22"/>
        </w:rPr>
      </w:pPr>
      <w:r>
        <w:rPr>
          <w:noProof/>
        </w:rPr>
        <w:t>Part 3—Test quad bike set</w:t>
      </w:r>
      <w:r>
        <w:rPr>
          <w:noProof/>
        </w:rPr>
        <w:noBreakHyphen/>
        <w:t>up</w:t>
      </w:r>
      <w:r w:rsidRPr="00104D80">
        <w:rPr>
          <w:b w:val="0"/>
          <w:noProof/>
          <w:sz w:val="18"/>
        </w:rPr>
        <w:tab/>
      </w:r>
      <w:r w:rsidRPr="00104D80">
        <w:rPr>
          <w:b w:val="0"/>
          <w:noProof/>
          <w:sz w:val="18"/>
        </w:rPr>
        <w:fldChar w:fldCharType="begin"/>
      </w:r>
      <w:r w:rsidRPr="00104D80">
        <w:rPr>
          <w:b w:val="0"/>
          <w:noProof/>
          <w:sz w:val="18"/>
        </w:rPr>
        <w:instrText xml:space="preserve"> PAGEREF _Toc76648315 \h </w:instrText>
      </w:r>
      <w:r w:rsidRPr="00104D80">
        <w:rPr>
          <w:b w:val="0"/>
          <w:noProof/>
          <w:sz w:val="18"/>
        </w:rPr>
      </w:r>
      <w:r w:rsidRPr="00104D80">
        <w:rPr>
          <w:b w:val="0"/>
          <w:noProof/>
          <w:sz w:val="18"/>
        </w:rPr>
        <w:fldChar w:fldCharType="separate"/>
      </w:r>
      <w:r w:rsidRPr="00104D80">
        <w:rPr>
          <w:b w:val="0"/>
          <w:noProof/>
          <w:sz w:val="18"/>
        </w:rPr>
        <w:t>14</w:t>
      </w:r>
      <w:r w:rsidRPr="00104D80">
        <w:rPr>
          <w:b w:val="0"/>
          <w:noProof/>
          <w:sz w:val="18"/>
        </w:rPr>
        <w:fldChar w:fldCharType="end"/>
      </w:r>
    </w:p>
    <w:p w:rsidR="00104D80" w:rsidRDefault="00104D80">
      <w:pPr>
        <w:pStyle w:val="TOC2"/>
        <w:rPr>
          <w:rFonts w:asciiTheme="minorHAnsi" w:eastAsiaTheme="minorEastAsia" w:hAnsiTheme="minorHAnsi" w:cstheme="minorBidi"/>
          <w:b w:val="0"/>
          <w:noProof/>
          <w:kern w:val="0"/>
          <w:sz w:val="22"/>
          <w:szCs w:val="22"/>
        </w:rPr>
      </w:pPr>
      <w:r>
        <w:rPr>
          <w:noProof/>
        </w:rPr>
        <w:t>Part 4—Anthropomorphic test device</w:t>
      </w:r>
      <w:r w:rsidRPr="00104D80">
        <w:rPr>
          <w:b w:val="0"/>
          <w:noProof/>
          <w:sz w:val="18"/>
        </w:rPr>
        <w:tab/>
      </w:r>
      <w:r w:rsidRPr="00104D80">
        <w:rPr>
          <w:b w:val="0"/>
          <w:noProof/>
          <w:sz w:val="18"/>
        </w:rPr>
        <w:fldChar w:fldCharType="begin"/>
      </w:r>
      <w:r w:rsidRPr="00104D80">
        <w:rPr>
          <w:b w:val="0"/>
          <w:noProof/>
          <w:sz w:val="18"/>
        </w:rPr>
        <w:instrText xml:space="preserve"> PAGEREF _Toc76648316 \h </w:instrText>
      </w:r>
      <w:r w:rsidRPr="00104D80">
        <w:rPr>
          <w:b w:val="0"/>
          <w:noProof/>
          <w:sz w:val="18"/>
        </w:rPr>
      </w:r>
      <w:r w:rsidRPr="00104D80">
        <w:rPr>
          <w:b w:val="0"/>
          <w:noProof/>
          <w:sz w:val="18"/>
        </w:rPr>
        <w:fldChar w:fldCharType="separate"/>
      </w:r>
      <w:r w:rsidRPr="00104D80">
        <w:rPr>
          <w:b w:val="0"/>
          <w:noProof/>
          <w:sz w:val="18"/>
        </w:rPr>
        <w:t>15</w:t>
      </w:r>
      <w:r w:rsidRPr="00104D80">
        <w:rPr>
          <w:b w:val="0"/>
          <w:noProof/>
          <w:sz w:val="18"/>
        </w:rPr>
        <w:fldChar w:fldCharType="end"/>
      </w:r>
    </w:p>
    <w:p w:rsidR="00104D80" w:rsidRDefault="00104D80">
      <w:pPr>
        <w:pStyle w:val="TOC2"/>
        <w:rPr>
          <w:rFonts w:asciiTheme="minorHAnsi" w:eastAsiaTheme="minorEastAsia" w:hAnsiTheme="minorHAnsi" w:cstheme="minorBidi"/>
          <w:b w:val="0"/>
          <w:noProof/>
          <w:kern w:val="0"/>
          <w:sz w:val="22"/>
          <w:szCs w:val="22"/>
        </w:rPr>
      </w:pPr>
      <w:r>
        <w:rPr>
          <w:noProof/>
        </w:rPr>
        <w:t>Part 5—Determination of centre of gravity position</w:t>
      </w:r>
      <w:r w:rsidRPr="00104D80">
        <w:rPr>
          <w:b w:val="0"/>
          <w:noProof/>
          <w:sz w:val="18"/>
        </w:rPr>
        <w:tab/>
      </w:r>
      <w:r w:rsidRPr="00104D80">
        <w:rPr>
          <w:b w:val="0"/>
          <w:noProof/>
          <w:sz w:val="18"/>
        </w:rPr>
        <w:fldChar w:fldCharType="begin"/>
      </w:r>
      <w:r w:rsidRPr="00104D80">
        <w:rPr>
          <w:b w:val="0"/>
          <w:noProof/>
          <w:sz w:val="18"/>
        </w:rPr>
        <w:instrText xml:space="preserve"> PAGEREF _Toc76648317 \h </w:instrText>
      </w:r>
      <w:r w:rsidRPr="00104D80">
        <w:rPr>
          <w:b w:val="0"/>
          <w:noProof/>
          <w:sz w:val="18"/>
        </w:rPr>
      </w:r>
      <w:r w:rsidRPr="00104D80">
        <w:rPr>
          <w:b w:val="0"/>
          <w:noProof/>
          <w:sz w:val="18"/>
        </w:rPr>
        <w:fldChar w:fldCharType="separate"/>
      </w:r>
      <w:r w:rsidRPr="00104D80">
        <w:rPr>
          <w:b w:val="0"/>
          <w:noProof/>
          <w:sz w:val="18"/>
        </w:rPr>
        <w:t>16</w:t>
      </w:r>
      <w:r w:rsidRPr="00104D80">
        <w:rPr>
          <w:b w:val="0"/>
          <w:noProof/>
          <w:sz w:val="18"/>
        </w:rPr>
        <w:fldChar w:fldCharType="end"/>
      </w:r>
    </w:p>
    <w:p w:rsidR="00104D80" w:rsidRDefault="00104D80">
      <w:pPr>
        <w:pStyle w:val="TOC2"/>
        <w:rPr>
          <w:rFonts w:asciiTheme="minorHAnsi" w:eastAsiaTheme="minorEastAsia" w:hAnsiTheme="minorHAnsi" w:cstheme="minorBidi"/>
          <w:b w:val="0"/>
          <w:noProof/>
          <w:kern w:val="0"/>
          <w:sz w:val="22"/>
          <w:szCs w:val="22"/>
        </w:rPr>
      </w:pPr>
      <w:r>
        <w:rPr>
          <w:noProof/>
        </w:rPr>
        <w:t>Part 6—Tilt test procedure</w:t>
      </w:r>
      <w:r w:rsidRPr="00104D80">
        <w:rPr>
          <w:b w:val="0"/>
          <w:noProof/>
          <w:sz w:val="18"/>
        </w:rPr>
        <w:tab/>
      </w:r>
      <w:r w:rsidRPr="00104D80">
        <w:rPr>
          <w:b w:val="0"/>
          <w:noProof/>
          <w:sz w:val="18"/>
        </w:rPr>
        <w:fldChar w:fldCharType="begin"/>
      </w:r>
      <w:r w:rsidRPr="00104D80">
        <w:rPr>
          <w:b w:val="0"/>
          <w:noProof/>
          <w:sz w:val="18"/>
        </w:rPr>
        <w:instrText xml:space="preserve"> PAGEREF _Toc76648318 \h </w:instrText>
      </w:r>
      <w:r w:rsidRPr="00104D80">
        <w:rPr>
          <w:b w:val="0"/>
          <w:noProof/>
          <w:sz w:val="18"/>
        </w:rPr>
      </w:r>
      <w:r w:rsidRPr="00104D80">
        <w:rPr>
          <w:b w:val="0"/>
          <w:noProof/>
          <w:sz w:val="18"/>
        </w:rPr>
        <w:fldChar w:fldCharType="separate"/>
      </w:r>
      <w:r w:rsidRPr="00104D80">
        <w:rPr>
          <w:b w:val="0"/>
          <w:noProof/>
          <w:sz w:val="18"/>
        </w:rPr>
        <w:t>17</w:t>
      </w:r>
      <w:r w:rsidRPr="00104D80">
        <w:rPr>
          <w:b w:val="0"/>
          <w:noProof/>
          <w:sz w:val="18"/>
        </w:rPr>
        <w:fldChar w:fldCharType="end"/>
      </w:r>
    </w:p>
    <w:p w:rsidR="00104D80" w:rsidRDefault="00104D80">
      <w:pPr>
        <w:pStyle w:val="TOC3"/>
        <w:rPr>
          <w:rFonts w:asciiTheme="minorHAnsi" w:eastAsiaTheme="minorEastAsia" w:hAnsiTheme="minorHAnsi" w:cstheme="minorBidi"/>
          <w:b w:val="0"/>
          <w:noProof/>
          <w:kern w:val="0"/>
          <w:szCs w:val="22"/>
        </w:rPr>
      </w:pPr>
      <w:r>
        <w:rPr>
          <w:noProof/>
        </w:rPr>
        <w:t>Division 6.1—Lateral roll</w:t>
      </w:r>
      <w:r w:rsidRPr="00104D80">
        <w:rPr>
          <w:b w:val="0"/>
          <w:noProof/>
          <w:sz w:val="18"/>
        </w:rPr>
        <w:tab/>
      </w:r>
      <w:r w:rsidRPr="00104D80">
        <w:rPr>
          <w:b w:val="0"/>
          <w:noProof/>
          <w:sz w:val="18"/>
        </w:rPr>
        <w:fldChar w:fldCharType="begin"/>
      </w:r>
      <w:r w:rsidRPr="00104D80">
        <w:rPr>
          <w:b w:val="0"/>
          <w:noProof/>
          <w:sz w:val="18"/>
        </w:rPr>
        <w:instrText xml:space="preserve"> PAGEREF _Toc76648319 \h </w:instrText>
      </w:r>
      <w:r w:rsidRPr="00104D80">
        <w:rPr>
          <w:b w:val="0"/>
          <w:noProof/>
          <w:sz w:val="18"/>
        </w:rPr>
      </w:r>
      <w:r w:rsidRPr="00104D80">
        <w:rPr>
          <w:b w:val="0"/>
          <w:noProof/>
          <w:sz w:val="18"/>
        </w:rPr>
        <w:fldChar w:fldCharType="separate"/>
      </w:r>
      <w:r w:rsidRPr="00104D80">
        <w:rPr>
          <w:b w:val="0"/>
          <w:noProof/>
          <w:sz w:val="18"/>
        </w:rPr>
        <w:t>17</w:t>
      </w:r>
      <w:r w:rsidRPr="00104D80">
        <w:rPr>
          <w:b w:val="0"/>
          <w:noProof/>
          <w:sz w:val="18"/>
        </w:rPr>
        <w:fldChar w:fldCharType="end"/>
      </w:r>
    </w:p>
    <w:p w:rsidR="00104D80" w:rsidRDefault="00104D80">
      <w:pPr>
        <w:pStyle w:val="TOC3"/>
        <w:rPr>
          <w:rFonts w:asciiTheme="minorHAnsi" w:eastAsiaTheme="minorEastAsia" w:hAnsiTheme="minorHAnsi" w:cstheme="minorBidi"/>
          <w:b w:val="0"/>
          <w:noProof/>
          <w:kern w:val="0"/>
          <w:szCs w:val="22"/>
        </w:rPr>
      </w:pPr>
      <w:r>
        <w:rPr>
          <w:noProof/>
        </w:rPr>
        <w:t>Division 6.2—Pitch</w:t>
      </w:r>
      <w:r w:rsidRPr="00104D80">
        <w:rPr>
          <w:b w:val="0"/>
          <w:noProof/>
          <w:sz w:val="18"/>
        </w:rPr>
        <w:tab/>
      </w:r>
      <w:r w:rsidRPr="00104D80">
        <w:rPr>
          <w:b w:val="0"/>
          <w:noProof/>
          <w:sz w:val="18"/>
        </w:rPr>
        <w:fldChar w:fldCharType="begin"/>
      </w:r>
      <w:r w:rsidRPr="00104D80">
        <w:rPr>
          <w:b w:val="0"/>
          <w:noProof/>
          <w:sz w:val="18"/>
        </w:rPr>
        <w:instrText xml:space="preserve"> PAGEREF _Toc76648320 \h </w:instrText>
      </w:r>
      <w:r w:rsidRPr="00104D80">
        <w:rPr>
          <w:b w:val="0"/>
          <w:noProof/>
          <w:sz w:val="18"/>
        </w:rPr>
      </w:r>
      <w:r w:rsidRPr="00104D80">
        <w:rPr>
          <w:b w:val="0"/>
          <w:noProof/>
          <w:sz w:val="18"/>
        </w:rPr>
        <w:fldChar w:fldCharType="separate"/>
      </w:r>
      <w:r w:rsidRPr="00104D80">
        <w:rPr>
          <w:b w:val="0"/>
          <w:noProof/>
          <w:sz w:val="18"/>
        </w:rPr>
        <w:t>18</w:t>
      </w:r>
      <w:r w:rsidRPr="00104D80">
        <w:rPr>
          <w:b w:val="0"/>
          <w:noProof/>
          <w:sz w:val="18"/>
        </w:rPr>
        <w:fldChar w:fldCharType="end"/>
      </w:r>
    </w:p>
    <w:p w:rsidR="00104D80" w:rsidRDefault="00104D80">
      <w:pPr>
        <w:pStyle w:val="TOC2"/>
        <w:rPr>
          <w:rFonts w:asciiTheme="minorHAnsi" w:eastAsiaTheme="minorEastAsia" w:hAnsiTheme="minorHAnsi" w:cstheme="minorBidi"/>
          <w:b w:val="0"/>
          <w:noProof/>
          <w:kern w:val="0"/>
          <w:sz w:val="22"/>
          <w:szCs w:val="22"/>
        </w:rPr>
      </w:pPr>
      <w:r>
        <w:rPr>
          <w:noProof/>
        </w:rPr>
        <w:t>Part 7—Instrumentation</w:t>
      </w:r>
      <w:r w:rsidRPr="00104D80">
        <w:rPr>
          <w:b w:val="0"/>
          <w:noProof/>
          <w:sz w:val="18"/>
        </w:rPr>
        <w:tab/>
      </w:r>
      <w:r w:rsidRPr="00104D80">
        <w:rPr>
          <w:b w:val="0"/>
          <w:noProof/>
          <w:sz w:val="18"/>
        </w:rPr>
        <w:fldChar w:fldCharType="begin"/>
      </w:r>
      <w:r w:rsidRPr="00104D80">
        <w:rPr>
          <w:b w:val="0"/>
          <w:noProof/>
          <w:sz w:val="18"/>
        </w:rPr>
        <w:instrText xml:space="preserve"> PAGEREF _Toc76648321 \h </w:instrText>
      </w:r>
      <w:r w:rsidRPr="00104D80">
        <w:rPr>
          <w:b w:val="0"/>
          <w:noProof/>
          <w:sz w:val="18"/>
        </w:rPr>
      </w:r>
      <w:r w:rsidRPr="00104D80">
        <w:rPr>
          <w:b w:val="0"/>
          <w:noProof/>
          <w:sz w:val="18"/>
        </w:rPr>
        <w:fldChar w:fldCharType="separate"/>
      </w:r>
      <w:r w:rsidRPr="00104D80">
        <w:rPr>
          <w:b w:val="0"/>
          <w:noProof/>
          <w:sz w:val="18"/>
        </w:rPr>
        <w:t>19</w:t>
      </w:r>
      <w:r w:rsidRPr="00104D80">
        <w:rPr>
          <w:b w:val="0"/>
          <w:noProof/>
          <w:sz w:val="18"/>
        </w:rPr>
        <w:fldChar w:fldCharType="end"/>
      </w:r>
    </w:p>
    <w:p w:rsidR="00104D80" w:rsidRDefault="00104D80" w:rsidP="00104D80">
      <w:pPr>
        <w:pStyle w:val="TOC2"/>
        <w:rPr>
          <w:rFonts w:asciiTheme="minorHAnsi" w:eastAsiaTheme="minorEastAsia" w:hAnsiTheme="minorHAnsi" w:cstheme="minorBidi"/>
          <w:b w:val="0"/>
          <w:noProof/>
          <w:kern w:val="0"/>
          <w:sz w:val="22"/>
          <w:szCs w:val="22"/>
        </w:rPr>
      </w:pPr>
      <w:r>
        <w:rPr>
          <w:noProof/>
        </w:rPr>
        <w:t>Endnotes</w:t>
      </w:r>
      <w:r w:rsidRPr="00104D80">
        <w:rPr>
          <w:b w:val="0"/>
          <w:noProof/>
          <w:sz w:val="18"/>
        </w:rPr>
        <w:tab/>
      </w:r>
      <w:r w:rsidRPr="00104D80">
        <w:rPr>
          <w:b w:val="0"/>
          <w:noProof/>
          <w:sz w:val="18"/>
        </w:rPr>
        <w:fldChar w:fldCharType="begin"/>
      </w:r>
      <w:r w:rsidRPr="00104D80">
        <w:rPr>
          <w:b w:val="0"/>
          <w:noProof/>
          <w:sz w:val="18"/>
        </w:rPr>
        <w:instrText xml:space="preserve"> PAGEREF _Toc76648322 \h </w:instrText>
      </w:r>
      <w:r w:rsidRPr="00104D80">
        <w:rPr>
          <w:b w:val="0"/>
          <w:noProof/>
          <w:sz w:val="18"/>
        </w:rPr>
      </w:r>
      <w:r w:rsidRPr="00104D80">
        <w:rPr>
          <w:b w:val="0"/>
          <w:noProof/>
          <w:sz w:val="18"/>
        </w:rPr>
        <w:fldChar w:fldCharType="separate"/>
      </w:r>
      <w:r w:rsidRPr="00104D80">
        <w:rPr>
          <w:b w:val="0"/>
          <w:noProof/>
          <w:sz w:val="18"/>
        </w:rPr>
        <w:t>20</w:t>
      </w:r>
      <w:r w:rsidRPr="00104D80">
        <w:rPr>
          <w:b w:val="0"/>
          <w:noProof/>
          <w:sz w:val="18"/>
        </w:rPr>
        <w:fldChar w:fldCharType="end"/>
      </w:r>
    </w:p>
    <w:p w:rsidR="00104D80" w:rsidRDefault="00104D80">
      <w:pPr>
        <w:pStyle w:val="TOC3"/>
        <w:rPr>
          <w:rFonts w:asciiTheme="minorHAnsi" w:eastAsiaTheme="minorEastAsia" w:hAnsiTheme="minorHAnsi" w:cstheme="minorBidi"/>
          <w:b w:val="0"/>
          <w:noProof/>
          <w:kern w:val="0"/>
          <w:szCs w:val="22"/>
        </w:rPr>
      </w:pPr>
      <w:r>
        <w:rPr>
          <w:noProof/>
        </w:rPr>
        <w:t>Endnote 1—About the endnotes</w:t>
      </w:r>
      <w:r w:rsidRPr="00104D80">
        <w:rPr>
          <w:b w:val="0"/>
          <w:noProof/>
          <w:sz w:val="18"/>
        </w:rPr>
        <w:tab/>
      </w:r>
      <w:r w:rsidRPr="00104D80">
        <w:rPr>
          <w:b w:val="0"/>
          <w:noProof/>
          <w:sz w:val="18"/>
        </w:rPr>
        <w:fldChar w:fldCharType="begin"/>
      </w:r>
      <w:r w:rsidRPr="00104D80">
        <w:rPr>
          <w:b w:val="0"/>
          <w:noProof/>
          <w:sz w:val="18"/>
        </w:rPr>
        <w:instrText xml:space="preserve"> PAGEREF _Toc76648323 \h </w:instrText>
      </w:r>
      <w:r w:rsidRPr="00104D80">
        <w:rPr>
          <w:b w:val="0"/>
          <w:noProof/>
          <w:sz w:val="18"/>
        </w:rPr>
      </w:r>
      <w:r w:rsidRPr="00104D80">
        <w:rPr>
          <w:b w:val="0"/>
          <w:noProof/>
          <w:sz w:val="18"/>
        </w:rPr>
        <w:fldChar w:fldCharType="separate"/>
      </w:r>
      <w:r w:rsidRPr="00104D80">
        <w:rPr>
          <w:b w:val="0"/>
          <w:noProof/>
          <w:sz w:val="18"/>
        </w:rPr>
        <w:t>20</w:t>
      </w:r>
      <w:r w:rsidRPr="00104D80">
        <w:rPr>
          <w:b w:val="0"/>
          <w:noProof/>
          <w:sz w:val="18"/>
        </w:rPr>
        <w:fldChar w:fldCharType="end"/>
      </w:r>
    </w:p>
    <w:p w:rsidR="00104D80" w:rsidRDefault="00104D80">
      <w:pPr>
        <w:pStyle w:val="TOC3"/>
        <w:rPr>
          <w:rFonts w:asciiTheme="minorHAnsi" w:eastAsiaTheme="minorEastAsia" w:hAnsiTheme="minorHAnsi" w:cstheme="minorBidi"/>
          <w:b w:val="0"/>
          <w:noProof/>
          <w:kern w:val="0"/>
          <w:szCs w:val="22"/>
        </w:rPr>
      </w:pPr>
      <w:r>
        <w:rPr>
          <w:noProof/>
        </w:rPr>
        <w:t>Endnote 2—Abbreviation key</w:t>
      </w:r>
      <w:r w:rsidRPr="00104D80">
        <w:rPr>
          <w:b w:val="0"/>
          <w:noProof/>
          <w:sz w:val="18"/>
        </w:rPr>
        <w:tab/>
      </w:r>
      <w:r w:rsidRPr="00104D80">
        <w:rPr>
          <w:b w:val="0"/>
          <w:noProof/>
          <w:sz w:val="18"/>
        </w:rPr>
        <w:fldChar w:fldCharType="begin"/>
      </w:r>
      <w:r w:rsidRPr="00104D80">
        <w:rPr>
          <w:b w:val="0"/>
          <w:noProof/>
          <w:sz w:val="18"/>
        </w:rPr>
        <w:instrText xml:space="preserve"> PAGEREF _Toc76648324 \h </w:instrText>
      </w:r>
      <w:r w:rsidRPr="00104D80">
        <w:rPr>
          <w:b w:val="0"/>
          <w:noProof/>
          <w:sz w:val="18"/>
        </w:rPr>
      </w:r>
      <w:r w:rsidRPr="00104D80">
        <w:rPr>
          <w:b w:val="0"/>
          <w:noProof/>
          <w:sz w:val="18"/>
        </w:rPr>
        <w:fldChar w:fldCharType="separate"/>
      </w:r>
      <w:r w:rsidRPr="00104D80">
        <w:rPr>
          <w:b w:val="0"/>
          <w:noProof/>
          <w:sz w:val="18"/>
        </w:rPr>
        <w:t>21</w:t>
      </w:r>
      <w:r w:rsidRPr="00104D80">
        <w:rPr>
          <w:b w:val="0"/>
          <w:noProof/>
          <w:sz w:val="18"/>
        </w:rPr>
        <w:fldChar w:fldCharType="end"/>
      </w:r>
    </w:p>
    <w:p w:rsidR="00104D80" w:rsidRDefault="00104D80">
      <w:pPr>
        <w:pStyle w:val="TOC3"/>
        <w:rPr>
          <w:rFonts w:asciiTheme="minorHAnsi" w:eastAsiaTheme="minorEastAsia" w:hAnsiTheme="minorHAnsi" w:cstheme="minorBidi"/>
          <w:b w:val="0"/>
          <w:noProof/>
          <w:kern w:val="0"/>
          <w:szCs w:val="22"/>
        </w:rPr>
      </w:pPr>
      <w:r>
        <w:rPr>
          <w:noProof/>
        </w:rPr>
        <w:t>Endnote 3—Legislation history</w:t>
      </w:r>
      <w:r w:rsidRPr="00104D80">
        <w:rPr>
          <w:b w:val="0"/>
          <w:noProof/>
          <w:sz w:val="18"/>
        </w:rPr>
        <w:tab/>
      </w:r>
      <w:r w:rsidRPr="00104D80">
        <w:rPr>
          <w:b w:val="0"/>
          <w:noProof/>
          <w:sz w:val="18"/>
        </w:rPr>
        <w:fldChar w:fldCharType="begin"/>
      </w:r>
      <w:r w:rsidRPr="00104D80">
        <w:rPr>
          <w:b w:val="0"/>
          <w:noProof/>
          <w:sz w:val="18"/>
        </w:rPr>
        <w:instrText xml:space="preserve"> PAGEREF _Toc76648325 \h </w:instrText>
      </w:r>
      <w:r w:rsidRPr="00104D80">
        <w:rPr>
          <w:b w:val="0"/>
          <w:noProof/>
          <w:sz w:val="18"/>
        </w:rPr>
      </w:r>
      <w:r w:rsidRPr="00104D80">
        <w:rPr>
          <w:b w:val="0"/>
          <w:noProof/>
          <w:sz w:val="18"/>
        </w:rPr>
        <w:fldChar w:fldCharType="separate"/>
      </w:r>
      <w:r w:rsidRPr="00104D80">
        <w:rPr>
          <w:b w:val="0"/>
          <w:noProof/>
          <w:sz w:val="18"/>
        </w:rPr>
        <w:t>22</w:t>
      </w:r>
      <w:r w:rsidRPr="00104D80">
        <w:rPr>
          <w:b w:val="0"/>
          <w:noProof/>
          <w:sz w:val="18"/>
        </w:rPr>
        <w:fldChar w:fldCharType="end"/>
      </w:r>
    </w:p>
    <w:p w:rsidR="00104D80" w:rsidRDefault="00104D80">
      <w:pPr>
        <w:pStyle w:val="TOC3"/>
        <w:rPr>
          <w:rFonts w:asciiTheme="minorHAnsi" w:eastAsiaTheme="minorEastAsia" w:hAnsiTheme="minorHAnsi" w:cstheme="minorBidi"/>
          <w:b w:val="0"/>
          <w:noProof/>
          <w:kern w:val="0"/>
          <w:szCs w:val="22"/>
        </w:rPr>
      </w:pPr>
      <w:r>
        <w:rPr>
          <w:noProof/>
        </w:rPr>
        <w:t>Endnote 4—Amendment history</w:t>
      </w:r>
      <w:r w:rsidRPr="00104D80">
        <w:rPr>
          <w:b w:val="0"/>
          <w:noProof/>
          <w:sz w:val="18"/>
        </w:rPr>
        <w:tab/>
      </w:r>
      <w:r w:rsidRPr="00104D80">
        <w:rPr>
          <w:b w:val="0"/>
          <w:noProof/>
          <w:sz w:val="18"/>
        </w:rPr>
        <w:fldChar w:fldCharType="begin"/>
      </w:r>
      <w:r w:rsidRPr="00104D80">
        <w:rPr>
          <w:b w:val="0"/>
          <w:noProof/>
          <w:sz w:val="18"/>
        </w:rPr>
        <w:instrText xml:space="preserve"> PAGEREF _Toc76648326 \h </w:instrText>
      </w:r>
      <w:r w:rsidRPr="00104D80">
        <w:rPr>
          <w:b w:val="0"/>
          <w:noProof/>
          <w:sz w:val="18"/>
        </w:rPr>
      </w:r>
      <w:r w:rsidRPr="00104D80">
        <w:rPr>
          <w:b w:val="0"/>
          <w:noProof/>
          <w:sz w:val="18"/>
        </w:rPr>
        <w:fldChar w:fldCharType="separate"/>
      </w:r>
      <w:r w:rsidRPr="00104D80">
        <w:rPr>
          <w:b w:val="0"/>
          <w:noProof/>
          <w:sz w:val="18"/>
        </w:rPr>
        <w:t>23</w:t>
      </w:r>
      <w:r w:rsidRPr="00104D80">
        <w:rPr>
          <w:b w:val="0"/>
          <w:noProof/>
          <w:sz w:val="18"/>
        </w:rPr>
        <w:fldChar w:fldCharType="end"/>
      </w:r>
    </w:p>
    <w:p w:rsidR="00CA00C9" w:rsidRPr="00997E2A" w:rsidRDefault="006967A5" w:rsidP="00CA00C9">
      <w:pPr>
        <w:sectPr w:rsidR="00CA00C9" w:rsidRPr="00997E2A" w:rsidSect="00B63CE6">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A42C4E">
        <w:rPr>
          <w:rFonts w:cs="Times New Roman"/>
          <w:sz w:val="18"/>
        </w:rPr>
        <w:fldChar w:fldCharType="end"/>
      </w:r>
    </w:p>
    <w:p w:rsidR="00A00582" w:rsidRPr="00997E2A" w:rsidRDefault="00A00582" w:rsidP="00A00582">
      <w:pPr>
        <w:pStyle w:val="ActHead2"/>
      </w:pPr>
      <w:bookmarkStart w:id="1" w:name="_Toc76648292"/>
      <w:r w:rsidRPr="00997E2A">
        <w:rPr>
          <w:rStyle w:val="CharPartNo"/>
        </w:rPr>
        <w:lastRenderedPageBreak/>
        <w:t>Part</w:t>
      </w:r>
      <w:r w:rsidR="00997E2A" w:rsidRPr="00997E2A">
        <w:rPr>
          <w:rStyle w:val="CharPartNo"/>
        </w:rPr>
        <w:t> </w:t>
      </w:r>
      <w:r w:rsidRPr="00997E2A">
        <w:rPr>
          <w:rStyle w:val="CharPartNo"/>
        </w:rPr>
        <w:t>1</w:t>
      </w:r>
      <w:r w:rsidRPr="00997E2A">
        <w:t>—</w:t>
      </w:r>
      <w:r w:rsidRPr="00997E2A">
        <w:rPr>
          <w:rStyle w:val="CharPartText"/>
        </w:rPr>
        <w:t>Preliminary</w:t>
      </w:r>
      <w:bookmarkEnd w:id="1"/>
    </w:p>
    <w:p w:rsidR="00A00582" w:rsidRPr="00997E2A" w:rsidRDefault="00A00582" w:rsidP="00A00582">
      <w:pPr>
        <w:pStyle w:val="Header"/>
      </w:pPr>
      <w:r w:rsidRPr="00997E2A">
        <w:rPr>
          <w:rStyle w:val="CharDivNo"/>
        </w:rPr>
        <w:t xml:space="preserve"> </w:t>
      </w:r>
      <w:r w:rsidRPr="00997E2A">
        <w:rPr>
          <w:rStyle w:val="CharDivText"/>
        </w:rPr>
        <w:t xml:space="preserve"> </w:t>
      </w:r>
    </w:p>
    <w:p w:rsidR="00A00582" w:rsidRPr="00997E2A" w:rsidRDefault="00A00582" w:rsidP="00A00582">
      <w:pPr>
        <w:pStyle w:val="ActHead5"/>
      </w:pPr>
      <w:bookmarkStart w:id="2" w:name="_Toc76648293"/>
      <w:r w:rsidRPr="00997E2A">
        <w:rPr>
          <w:rStyle w:val="CharSectno"/>
        </w:rPr>
        <w:t>1</w:t>
      </w:r>
      <w:r w:rsidRPr="00997E2A">
        <w:t xml:space="preserve">  Name</w:t>
      </w:r>
      <w:bookmarkEnd w:id="2"/>
    </w:p>
    <w:p w:rsidR="00A00582" w:rsidRPr="00997E2A" w:rsidRDefault="00A00582" w:rsidP="00A00582">
      <w:pPr>
        <w:pStyle w:val="subsection"/>
      </w:pPr>
      <w:r w:rsidRPr="00997E2A">
        <w:tab/>
      </w:r>
      <w:r w:rsidRPr="00997E2A">
        <w:tab/>
        <w:t>This instrument is the</w:t>
      </w:r>
      <w:r w:rsidRPr="00997E2A">
        <w:rPr>
          <w:i/>
        </w:rPr>
        <w:t xml:space="preserve"> Consumer Goods (Quad Bikes) Safety Standard 2019</w:t>
      </w:r>
      <w:r w:rsidRPr="00997E2A">
        <w:t>.</w:t>
      </w:r>
    </w:p>
    <w:p w:rsidR="00A00582" w:rsidRPr="00997E2A" w:rsidRDefault="00A00582" w:rsidP="00A00582">
      <w:pPr>
        <w:pStyle w:val="ActHead5"/>
      </w:pPr>
      <w:bookmarkStart w:id="3" w:name="_Toc76648294"/>
      <w:r w:rsidRPr="00997E2A">
        <w:rPr>
          <w:rStyle w:val="CharSectno"/>
        </w:rPr>
        <w:t>3</w:t>
      </w:r>
      <w:r w:rsidRPr="00997E2A">
        <w:t xml:space="preserve">  Authority</w:t>
      </w:r>
      <w:bookmarkEnd w:id="3"/>
    </w:p>
    <w:p w:rsidR="00A00582" w:rsidRPr="00997E2A" w:rsidRDefault="00A00582" w:rsidP="00A00582">
      <w:pPr>
        <w:pStyle w:val="subsection"/>
      </w:pPr>
      <w:r w:rsidRPr="00997E2A">
        <w:tab/>
      </w:r>
      <w:r w:rsidRPr="00997E2A">
        <w:tab/>
        <w:t>This instrument is made under subsection</w:t>
      </w:r>
      <w:r w:rsidR="00997E2A" w:rsidRPr="00997E2A">
        <w:t> </w:t>
      </w:r>
      <w:r w:rsidRPr="00997E2A">
        <w:t>104(1) of the Australian Consumer Law.</w:t>
      </w:r>
    </w:p>
    <w:p w:rsidR="00A00582" w:rsidRPr="00997E2A" w:rsidRDefault="00A00582" w:rsidP="00A00582">
      <w:pPr>
        <w:pStyle w:val="notetext"/>
      </w:pPr>
      <w:r w:rsidRPr="00997E2A">
        <w:t>Note:</w:t>
      </w:r>
      <w:r w:rsidRPr="00997E2A">
        <w:tab/>
        <w:t>The reference to the Australian Consumer Law is a reference to Schedule</w:t>
      </w:r>
      <w:r w:rsidR="00997E2A" w:rsidRPr="00997E2A">
        <w:t> </w:t>
      </w:r>
      <w:r w:rsidRPr="00997E2A">
        <w:t xml:space="preserve">2 to the </w:t>
      </w:r>
      <w:r w:rsidRPr="00997E2A">
        <w:rPr>
          <w:i/>
        </w:rPr>
        <w:t>Competition and Consumer Act 2010</w:t>
      </w:r>
      <w:r w:rsidRPr="00997E2A">
        <w:t xml:space="preserve"> as it applies as a law of the Commonwealth, States and Territories: see section</w:t>
      </w:r>
      <w:r w:rsidR="00997E2A" w:rsidRPr="00997E2A">
        <w:t> </w:t>
      </w:r>
      <w:r w:rsidRPr="00997E2A">
        <w:t>140K of that Act and corresponding provisions of Acts of States and Territories applying that Schedule.</w:t>
      </w:r>
    </w:p>
    <w:p w:rsidR="00A00582" w:rsidRPr="00997E2A" w:rsidRDefault="00A00582" w:rsidP="00A00582">
      <w:pPr>
        <w:pStyle w:val="ActHead5"/>
      </w:pPr>
      <w:bookmarkStart w:id="4" w:name="_Toc76648295"/>
      <w:r w:rsidRPr="00997E2A">
        <w:rPr>
          <w:rStyle w:val="CharSectno"/>
        </w:rPr>
        <w:t>4</w:t>
      </w:r>
      <w:r w:rsidRPr="00997E2A">
        <w:t xml:space="preserve">  Definitions</w:t>
      </w:r>
      <w:bookmarkEnd w:id="4"/>
    </w:p>
    <w:p w:rsidR="00A00582" w:rsidRPr="00997E2A" w:rsidRDefault="00A00582" w:rsidP="00A00582">
      <w:pPr>
        <w:pStyle w:val="notetext"/>
      </w:pPr>
      <w:r w:rsidRPr="00997E2A">
        <w:t>Note:</w:t>
      </w:r>
      <w:r w:rsidRPr="00997E2A">
        <w:tab/>
        <w:t xml:space="preserve">A number of expressions used in this instrument are defined in the </w:t>
      </w:r>
      <w:r w:rsidRPr="00997E2A">
        <w:rPr>
          <w:i/>
        </w:rPr>
        <w:t>Competition and Consumer Act 2010</w:t>
      </w:r>
      <w:r w:rsidRPr="00997E2A">
        <w:t>, for the Australian Consumer Law in Schedule</w:t>
      </w:r>
      <w:r w:rsidR="00997E2A" w:rsidRPr="00997E2A">
        <w:t> </w:t>
      </w:r>
      <w:r w:rsidRPr="00997E2A">
        <w:t>2 to that Act, including the following:</w:t>
      </w:r>
    </w:p>
    <w:p w:rsidR="00A00582" w:rsidRPr="00997E2A" w:rsidRDefault="00A00582" w:rsidP="00A00582">
      <w:pPr>
        <w:pStyle w:val="notepara"/>
      </w:pPr>
      <w:r w:rsidRPr="00997E2A">
        <w:t>(a)</w:t>
      </w:r>
      <w:r w:rsidRPr="00997E2A">
        <w:tab/>
        <w:t>Australian Consumer Law;</w:t>
      </w:r>
    </w:p>
    <w:p w:rsidR="00A00582" w:rsidRPr="00997E2A" w:rsidRDefault="00A00582" w:rsidP="00A00582">
      <w:pPr>
        <w:pStyle w:val="notepara"/>
      </w:pPr>
      <w:r w:rsidRPr="00997E2A">
        <w:t>(b)</w:t>
      </w:r>
      <w:r w:rsidRPr="00997E2A">
        <w:tab/>
        <w:t>consumer;</w:t>
      </w:r>
    </w:p>
    <w:p w:rsidR="00A00582" w:rsidRPr="00997E2A" w:rsidRDefault="00A00582" w:rsidP="00A00582">
      <w:pPr>
        <w:pStyle w:val="notepara"/>
      </w:pPr>
      <w:r w:rsidRPr="00997E2A">
        <w:t>(c)</w:t>
      </w:r>
      <w:r w:rsidRPr="00997E2A">
        <w:tab/>
        <w:t>label;</w:t>
      </w:r>
    </w:p>
    <w:p w:rsidR="00A00582" w:rsidRPr="00997E2A" w:rsidRDefault="00A00582" w:rsidP="00A00582">
      <w:pPr>
        <w:pStyle w:val="notepara"/>
      </w:pPr>
      <w:r w:rsidRPr="00997E2A">
        <w:t>(d)</w:t>
      </w:r>
      <w:r w:rsidRPr="00997E2A">
        <w:tab/>
        <w:t>regulator;</w:t>
      </w:r>
    </w:p>
    <w:p w:rsidR="00A00582" w:rsidRPr="00997E2A" w:rsidRDefault="00A00582" w:rsidP="00A00582">
      <w:pPr>
        <w:pStyle w:val="notepara"/>
      </w:pPr>
      <w:r w:rsidRPr="00997E2A">
        <w:t>(e)</w:t>
      </w:r>
      <w:r w:rsidRPr="00997E2A">
        <w:tab/>
        <w:t>safety standard;</w:t>
      </w:r>
    </w:p>
    <w:p w:rsidR="00A00582" w:rsidRPr="00997E2A" w:rsidRDefault="00A00582" w:rsidP="00A00582">
      <w:pPr>
        <w:pStyle w:val="notepara"/>
      </w:pPr>
      <w:r w:rsidRPr="00997E2A">
        <w:t>(f)</w:t>
      </w:r>
      <w:r w:rsidRPr="00997E2A">
        <w:tab/>
        <w:t>supply.</w:t>
      </w:r>
    </w:p>
    <w:p w:rsidR="00A00582" w:rsidRPr="00997E2A" w:rsidRDefault="00A00582" w:rsidP="00A00582">
      <w:pPr>
        <w:pStyle w:val="subsection"/>
      </w:pPr>
      <w:r w:rsidRPr="00997E2A">
        <w:tab/>
      </w:r>
      <w:r w:rsidRPr="00997E2A">
        <w:tab/>
        <w:t>In this instrument:</w:t>
      </w:r>
    </w:p>
    <w:p w:rsidR="00A00582" w:rsidRPr="00997E2A" w:rsidRDefault="00A00582" w:rsidP="00A00582">
      <w:pPr>
        <w:pStyle w:val="Definition"/>
      </w:pPr>
      <w:r w:rsidRPr="00997E2A">
        <w:rPr>
          <w:b/>
          <w:i/>
        </w:rPr>
        <w:t>50 PAM H3 ATD</w:t>
      </w:r>
      <w:r w:rsidRPr="00997E2A">
        <w:rPr>
          <w:b/>
        </w:rPr>
        <w:t xml:space="preserve"> </w:t>
      </w:r>
      <w:r w:rsidR="00B72363" w:rsidRPr="00997E2A">
        <w:t>(short for 50th Percentile Average M</w:t>
      </w:r>
      <w:r w:rsidRPr="00997E2A">
        <w:t xml:space="preserve">ale </w:t>
      </w:r>
      <w:r w:rsidR="00B72363" w:rsidRPr="00997E2A">
        <w:t xml:space="preserve">Hybrid III </w:t>
      </w:r>
      <w:r w:rsidRPr="00997E2A">
        <w:t>Anthropomorphic Test Device): see clause</w:t>
      </w:r>
      <w:r w:rsidR="00997E2A" w:rsidRPr="00997E2A">
        <w:t> </w:t>
      </w:r>
      <w:r w:rsidRPr="00997E2A">
        <w:t>1.1 of Schedule</w:t>
      </w:r>
      <w:r w:rsidR="00997E2A" w:rsidRPr="00997E2A">
        <w:t> </w:t>
      </w:r>
      <w:r w:rsidRPr="00997E2A">
        <w:t>1 (test procedures).</w:t>
      </w:r>
    </w:p>
    <w:p w:rsidR="00A00582" w:rsidRPr="00997E2A" w:rsidRDefault="00A00582" w:rsidP="00A00582">
      <w:pPr>
        <w:pStyle w:val="Definition"/>
      </w:pPr>
      <w:r w:rsidRPr="00997E2A">
        <w:rPr>
          <w:b/>
          <w:i/>
        </w:rPr>
        <w:t xml:space="preserve">ATD </w:t>
      </w:r>
      <w:r w:rsidRPr="00997E2A">
        <w:t>(short for Anthropomorphic Test Device): see clause</w:t>
      </w:r>
      <w:r w:rsidR="00997E2A" w:rsidRPr="00997E2A">
        <w:t> </w:t>
      </w:r>
      <w:r w:rsidRPr="00997E2A">
        <w:t>1.1 of Schedule</w:t>
      </w:r>
      <w:r w:rsidR="00997E2A" w:rsidRPr="00997E2A">
        <w:t> </w:t>
      </w:r>
      <w:r w:rsidRPr="00997E2A">
        <w:t>1 (test procedures).</w:t>
      </w:r>
    </w:p>
    <w:p w:rsidR="00A00582" w:rsidRPr="00997E2A" w:rsidRDefault="00A00582" w:rsidP="00A00582">
      <w:pPr>
        <w:pStyle w:val="Definition"/>
      </w:pPr>
      <w:r w:rsidRPr="00997E2A">
        <w:rPr>
          <w:b/>
          <w:i/>
        </w:rPr>
        <w:t>category</w:t>
      </w:r>
      <w:r w:rsidRPr="00997E2A">
        <w:t>, of quad bike: see section</w:t>
      </w:r>
      <w:r w:rsidR="00997E2A" w:rsidRPr="00997E2A">
        <w:t> </w:t>
      </w:r>
      <w:r w:rsidRPr="00997E2A">
        <w:t>5.</w:t>
      </w:r>
    </w:p>
    <w:p w:rsidR="00A00582" w:rsidRPr="00997E2A" w:rsidRDefault="00A00582" w:rsidP="00A00582">
      <w:pPr>
        <w:pStyle w:val="Definition"/>
      </w:pPr>
      <w:r w:rsidRPr="00997E2A">
        <w:rPr>
          <w:b/>
          <w:i/>
        </w:rPr>
        <w:t>European Standard</w:t>
      </w:r>
      <w:r w:rsidRPr="00997E2A">
        <w:t xml:space="preserve"> means the European Standard </w:t>
      </w:r>
      <w:r w:rsidRPr="00997E2A">
        <w:rPr>
          <w:i/>
        </w:rPr>
        <w:t>EN15997:2011</w:t>
      </w:r>
      <w:r w:rsidR="00D34AB1" w:rsidRPr="00997E2A">
        <w:rPr>
          <w:i/>
        </w:rPr>
        <w:t xml:space="preserve"> COR 2012</w:t>
      </w:r>
      <w:r w:rsidRPr="00997E2A">
        <w:rPr>
          <w:i/>
        </w:rPr>
        <w:t>: All terrain vehicles (ATVs—Quads)—Safety requirements and test methods</w:t>
      </w:r>
      <w:r w:rsidRPr="00997E2A">
        <w:t xml:space="preserve">, published by the </w:t>
      </w:r>
      <w:r w:rsidR="00D34AB1" w:rsidRPr="00997E2A">
        <w:t>Comité Européen de Normalisation</w:t>
      </w:r>
      <w:r w:rsidRPr="00997E2A">
        <w:t>.</w:t>
      </w:r>
    </w:p>
    <w:p w:rsidR="00A00582" w:rsidRPr="00997E2A" w:rsidRDefault="00A00582" w:rsidP="00A00582">
      <w:pPr>
        <w:pStyle w:val="notetext"/>
      </w:pPr>
      <w:r w:rsidRPr="00997E2A">
        <w:t>Note:</w:t>
      </w:r>
      <w:r w:rsidRPr="00997E2A">
        <w:tab/>
        <w:t>See also section</w:t>
      </w:r>
      <w:r w:rsidR="00997E2A" w:rsidRPr="00997E2A">
        <w:t> </w:t>
      </w:r>
      <w:r w:rsidRPr="00997E2A">
        <w:t>7.</w:t>
      </w:r>
    </w:p>
    <w:p w:rsidR="00A00582" w:rsidRPr="00997E2A" w:rsidRDefault="00A00582" w:rsidP="00A00582">
      <w:pPr>
        <w:pStyle w:val="Definition"/>
      </w:pPr>
      <w:r w:rsidRPr="00997E2A">
        <w:rPr>
          <w:b/>
          <w:i/>
        </w:rPr>
        <w:t>general use quad bike</w:t>
      </w:r>
      <w:r w:rsidRPr="00997E2A">
        <w:t xml:space="preserve"> means a Type I, Category G or a Type II, Category G quad bike (see section</w:t>
      </w:r>
      <w:r w:rsidR="00997E2A" w:rsidRPr="00997E2A">
        <w:t> </w:t>
      </w:r>
      <w:r w:rsidRPr="00997E2A">
        <w:t>5).</w:t>
      </w:r>
    </w:p>
    <w:p w:rsidR="0012476F" w:rsidRPr="00997E2A" w:rsidRDefault="0012476F" w:rsidP="00A00582">
      <w:pPr>
        <w:pStyle w:val="Definition"/>
        <w:rPr>
          <w:rFonts w:eastAsiaTheme="majorEastAsia"/>
        </w:rPr>
      </w:pPr>
      <w:r w:rsidRPr="00997E2A">
        <w:rPr>
          <w:rFonts w:eastAsiaTheme="majorEastAsia"/>
          <w:b/>
          <w:i/>
        </w:rPr>
        <w:t>incorporated</w:t>
      </w:r>
      <w:r w:rsidRPr="00997E2A">
        <w:rPr>
          <w:rFonts w:eastAsiaTheme="majorEastAsia"/>
        </w:rPr>
        <w:t>: see section</w:t>
      </w:r>
      <w:r w:rsidR="00997E2A" w:rsidRPr="00997E2A">
        <w:rPr>
          <w:rFonts w:eastAsiaTheme="majorEastAsia"/>
        </w:rPr>
        <w:t> </w:t>
      </w:r>
      <w:r w:rsidRPr="00997E2A">
        <w:rPr>
          <w:rFonts w:eastAsiaTheme="majorEastAsia"/>
        </w:rPr>
        <w:t>7.</w:t>
      </w:r>
    </w:p>
    <w:p w:rsidR="00A00582" w:rsidRPr="00997E2A" w:rsidRDefault="00A00582" w:rsidP="00A00582">
      <w:pPr>
        <w:pStyle w:val="Definition"/>
        <w:rPr>
          <w:rFonts w:eastAsiaTheme="majorEastAsia"/>
        </w:rPr>
      </w:pPr>
      <w:r w:rsidRPr="00997E2A">
        <w:rPr>
          <w:rFonts w:eastAsiaTheme="majorEastAsia"/>
          <w:b/>
          <w:i/>
        </w:rPr>
        <w:t>lateral roll stability</w:t>
      </w:r>
      <w:r w:rsidRPr="00997E2A">
        <w:rPr>
          <w:rFonts w:eastAsiaTheme="majorEastAsia"/>
        </w:rPr>
        <w:t xml:space="preserve"> means the ability for a quad bike to resist tipping over laterally (sideways).</w:t>
      </w:r>
    </w:p>
    <w:p w:rsidR="00A00582" w:rsidRPr="00997E2A" w:rsidRDefault="00A00582" w:rsidP="00A00582">
      <w:pPr>
        <w:pStyle w:val="Definition"/>
      </w:pPr>
      <w:r w:rsidRPr="00997E2A">
        <w:rPr>
          <w:b/>
          <w:i/>
        </w:rPr>
        <w:lastRenderedPageBreak/>
        <w:t>lateral roll stability tag</w:t>
      </w:r>
      <w:r w:rsidRPr="00997E2A">
        <w:t>: see section</w:t>
      </w:r>
      <w:r w:rsidR="00997E2A" w:rsidRPr="00997E2A">
        <w:t> </w:t>
      </w:r>
      <w:r w:rsidRPr="00997E2A">
        <w:t>13.</w:t>
      </w:r>
    </w:p>
    <w:p w:rsidR="00A00582" w:rsidRPr="00997E2A" w:rsidRDefault="00A00582" w:rsidP="00A00582">
      <w:pPr>
        <w:pStyle w:val="Definition"/>
      </w:pPr>
      <w:r w:rsidRPr="00997E2A">
        <w:rPr>
          <w:b/>
          <w:i/>
        </w:rPr>
        <w:t>pitch</w:t>
      </w:r>
      <w:r w:rsidRPr="00997E2A">
        <w:t xml:space="preserve"> means a vehicle rolling over longitudinally (longways), either rearwards or forwards.</w:t>
      </w:r>
    </w:p>
    <w:p w:rsidR="00A00582" w:rsidRPr="00997E2A" w:rsidRDefault="00A00582" w:rsidP="00A00582">
      <w:pPr>
        <w:pStyle w:val="notetext"/>
      </w:pPr>
      <w:r w:rsidRPr="00997E2A">
        <w:t>Note:</w:t>
      </w:r>
      <w:r w:rsidRPr="00997E2A">
        <w:tab/>
        <w:t xml:space="preserve">See also the definition of </w:t>
      </w:r>
      <w:r w:rsidRPr="00997E2A">
        <w:rPr>
          <w:b/>
          <w:i/>
        </w:rPr>
        <w:t>rollover</w:t>
      </w:r>
      <w:r w:rsidRPr="00997E2A">
        <w:t>.</w:t>
      </w:r>
    </w:p>
    <w:p w:rsidR="00A00582" w:rsidRPr="00997E2A" w:rsidRDefault="00A00582" w:rsidP="00A00582">
      <w:pPr>
        <w:pStyle w:val="Definition"/>
      </w:pPr>
      <w:r w:rsidRPr="00997E2A">
        <w:rPr>
          <w:b/>
          <w:i/>
        </w:rPr>
        <w:t>quad bike</w:t>
      </w:r>
      <w:r w:rsidRPr="00997E2A">
        <w:t>: see section</w:t>
      </w:r>
      <w:r w:rsidR="00997E2A" w:rsidRPr="00997E2A">
        <w:t> </w:t>
      </w:r>
      <w:r w:rsidRPr="00997E2A">
        <w:t>5.</w:t>
      </w:r>
    </w:p>
    <w:p w:rsidR="00BB0BDB" w:rsidRPr="001256DA" w:rsidRDefault="00BB0BDB" w:rsidP="00BB0BDB">
      <w:pPr>
        <w:pStyle w:val="Definition"/>
      </w:pPr>
      <w:r w:rsidRPr="001256DA">
        <w:rPr>
          <w:b/>
          <w:i/>
        </w:rPr>
        <w:t>quad bike dealer</w:t>
      </w:r>
      <w:r w:rsidRPr="001256DA">
        <w:t xml:space="preserve"> means a person who buys and sells quad bikes in the course of a business carried on by the person.</w:t>
      </w:r>
    </w:p>
    <w:p w:rsidR="00A00582" w:rsidRPr="00997E2A" w:rsidRDefault="00A00582" w:rsidP="00A00582">
      <w:pPr>
        <w:pStyle w:val="Definition"/>
      </w:pPr>
      <w:r w:rsidRPr="00997E2A">
        <w:rPr>
          <w:b/>
          <w:i/>
        </w:rPr>
        <w:t>rollover</w:t>
      </w:r>
      <w:r w:rsidRPr="00997E2A">
        <w:t xml:space="preserve"> means a quad bike rolling over laterally (sideways) or longitudinally (longways).</w:t>
      </w:r>
    </w:p>
    <w:p w:rsidR="00A00582" w:rsidRPr="00997E2A" w:rsidRDefault="00A00582" w:rsidP="00A00582">
      <w:pPr>
        <w:pStyle w:val="Definition"/>
      </w:pPr>
      <w:r w:rsidRPr="00997E2A">
        <w:rPr>
          <w:b/>
          <w:i/>
        </w:rPr>
        <w:t>rollover warning</w:t>
      </w:r>
      <w:r w:rsidRPr="00997E2A">
        <w:t>: see section</w:t>
      </w:r>
      <w:r w:rsidR="00997E2A" w:rsidRPr="00997E2A">
        <w:t> </w:t>
      </w:r>
      <w:r w:rsidRPr="00997E2A">
        <w:t>11.</w:t>
      </w:r>
    </w:p>
    <w:p w:rsidR="00A00582" w:rsidRPr="00997E2A" w:rsidRDefault="00A00582" w:rsidP="00A00582">
      <w:pPr>
        <w:pStyle w:val="Definition"/>
      </w:pPr>
      <w:r w:rsidRPr="00997E2A">
        <w:rPr>
          <w:b/>
          <w:i/>
        </w:rPr>
        <w:t>static stability</w:t>
      </w:r>
      <w:r w:rsidRPr="00997E2A">
        <w:t>: see clause</w:t>
      </w:r>
      <w:r w:rsidR="00997E2A" w:rsidRPr="00997E2A">
        <w:t> </w:t>
      </w:r>
      <w:r w:rsidRPr="00997E2A">
        <w:t>1.1 of Schedule</w:t>
      </w:r>
      <w:r w:rsidR="00997E2A" w:rsidRPr="00997E2A">
        <w:t> </w:t>
      </w:r>
      <w:r w:rsidRPr="00997E2A">
        <w:t>1 (test procedures).</w:t>
      </w:r>
    </w:p>
    <w:p w:rsidR="00A00582" w:rsidRPr="00997E2A" w:rsidRDefault="00A00582" w:rsidP="00A00582">
      <w:pPr>
        <w:pStyle w:val="Definition"/>
      </w:pPr>
      <w:r w:rsidRPr="00997E2A">
        <w:rPr>
          <w:b/>
          <w:i/>
        </w:rPr>
        <w:t>tilt table ratio</w:t>
      </w:r>
      <w:r w:rsidRPr="00997E2A">
        <w:t xml:space="preserve"> or </w:t>
      </w:r>
      <w:r w:rsidRPr="00997E2A">
        <w:rPr>
          <w:b/>
          <w:i/>
        </w:rPr>
        <w:t>TTR</w:t>
      </w:r>
      <w:r w:rsidRPr="00997E2A">
        <w:t>: see clause</w:t>
      </w:r>
      <w:r w:rsidR="00997E2A" w:rsidRPr="00997E2A">
        <w:t> </w:t>
      </w:r>
      <w:r w:rsidRPr="00997E2A">
        <w:t>1.1 of Schedule</w:t>
      </w:r>
      <w:r w:rsidR="00997E2A" w:rsidRPr="00997E2A">
        <w:t> </w:t>
      </w:r>
      <w:r w:rsidRPr="00997E2A">
        <w:t>1 (test procedures).</w:t>
      </w:r>
    </w:p>
    <w:p w:rsidR="00A00582" w:rsidRPr="00997E2A" w:rsidRDefault="00A00582" w:rsidP="00A00582">
      <w:pPr>
        <w:pStyle w:val="Definition"/>
      </w:pPr>
      <w:r w:rsidRPr="00997E2A">
        <w:rPr>
          <w:b/>
          <w:i/>
        </w:rPr>
        <w:t>TTR</w:t>
      </w:r>
      <w:r w:rsidRPr="00997E2A">
        <w:t xml:space="preserve">: see the definition of </w:t>
      </w:r>
      <w:r w:rsidRPr="00997E2A">
        <w:rPr>
          <w:b/>
          <w:i/>
        </w:rPr>
        <w:t>tilt table ratio</w:t>
      </w:r>
      <w:r w:rsidRPr="00997E2A">
        <w:t>.</w:t>
      </w:r>
    </w:p>
    <w:p w:rsidR="00A00582" w:rsidRPr="00997E2A" w:rsidRDefault="00A00582" w:rsidP="00A00582">
      <w:pPr>
        <w:pStyle w:val="Definition"/>
      </w:pPr>
      <w:r w:rsidRPr="00997E2A">
        <w:rPr>
          <w:b/>
          <w:i/>
        </w:rPr>
        <w:t>type</w:t>
      </w:r>
      <w:r w:rsidRPr="00997E2A">
        <w:t>, of quad bike: see section</w:t>
      </w:r>
      <w:r w:rsidR="00997E2A" w:rsidRPr="00997E2A">
        <w:t> </w:t>
      </w:r>
      <w:r w:rsidRPr="00997E2A">
        <w:t>5.</w:t>
      </w:r>
    </w:p>
    <w:p w:rsidR="00A00582" w:rsidRPr="00997E2A" w:rsidRDefault="00A00582" w:rsidP="00A00582">
      <w:pPr>
        <w:pStyle w:val="Definition"/>
      </w:pPr>
      <w:r w:rsidRPr="00997E2A">
        <w:rPr>
          <w:b/>
          <w:i/>
        </w:rPr>
        <w:t>US Standard</w:t>
      </w:r>
      <w:r w:rsidRPr="00997E2A">
        <w:t xml:space="preserve"> means the American National Standard </w:t>
      </w:r>
      <w:r w:rsidRPr="00997E2A">
        <w:rPr>
          <w:i/>
        </w:rPr>
        <w:t>ANSI/SVIA 1–2017: American National Standard for Four Wheel All</w:t>
      </w:r>
      <w:r w:rsidR="00997E2A">
        <w:rPr>
          <w:i/>
        </w:rPr>
        <w:noBreakHyphen/>
      </w:r>
      <w:r w:rsidRPr="00997E2A">
        <w:rPr>
          <w:i/>
        </w:rPr>
        <w:t>Terrain Vehicles</w:t>
      </w:r>
      <w:r w:rsidRPr="00997E2A">
        <w:t>, published by the American National Standard</w:t>
      </w:r>
      <w:r w:rsidR="00BC021B" w:rsidRPr="00997E2A">
        <w:t>s</w:t>
      </w:r>
      <w:r w:rsidRPr="00997E2A">
        <w:t xml:space="preserve"> Institute</w:t>
      </w:r>
      <w:r w:rsidR="003029CE" w:rsidRPr="00997E2A">
        <w:t>,</w:t>
      </w:r>
      <w:r w:rsidRPr="00997E2A">
        <w:t xml:space="preserve"> Inc.</w:t>
      </w:r>
      <w:r w:rsidR="003029CE" w:rsidRPr="00997E2A">
        <w:t>.</w:t>
      </w:r>
    </w:p>
    <w:p w:rsidR="00A00582" w:rsidRPr="00997E2A" w:rsidRDefault="00A00582" w:rsidP="00A00582">
      <w:pPr>
        <w:pStyle w:val="notetext"/>
      </w:pPr>
      <w:r w:rsidRPr="00997E2A">
        <w:t>Note:</w:t>
      </w:r>
      <w:r w:rsidRPr="00997E2A">
        <w:tab/>
        <w:t>See also section</w:t>
      </w:r>
      <w:r w:rsidR="00997E2A" w:rsidRPr="00997E2A">
        <w:t> </w:t>
      </w:r>
      <w:r w:rsidRPr="00997E2A">
        <w:t>7.</w:t>
      </w:r>
    </w:p>
    <w:p w:rsidR="00A00582" w:rsidRPr="00997E2A" w:rsidRDefault="00A00582" w:rsidP="00A00582">
      <w:pPr>
        <w:pStyle w:val="ActHead5"/>
      </w:pPr>
      <w:bookmarkStart w:id="5" w:name="_Toc76648296"/>
      <w:r w:rsidRPr="00997E2A">
        <w:rPr>
          <w:rStyle w:val="CharSectno"/>
        </w:rPr>
        <w:t>5</w:t>
      </w:r>
      <w:r w:rsidRPr="00997E2A">
        <w:t xml:space="preserve">  Meaning of </w:t>
      </w:r>
      <w:r w:rsidRPr="00997E2A">
        <w:rPr>
          <w:i/>
        </w:rPr>
        <w:t>quad bike</w:t>
      </w:r>
      <w:r w:rsidRPr="00997E2A">
        <w:t xml:space="preserve"> etc.</w:t>
      </w:r>
      <w:bookmarkEnd w:id="5"/>
    </w:p>
    <w:p w:rsidR="00A00582" w:rsidRPr="00997E2A" w:rsidRDefault="00A00582" w:rsidP="00A00582">
      <w:pPr>
        <w:pStyle w:val="subsection"/>
      </w:pPr>
      <w:r w:rsidRPr="00997E2A">
        <w:tab/>
        <w:t>(1)</w:t>
      </w:r>
      <w:r w:rsidRPr="00997E2A">
        <w:tab/>
        <w:t xml:space="preserve">A </w:t>
      </w:r>
      <w:r w:rsidRPr="00997E2A">
        <w:rPr>
          <w:b/>
          <w:i/>
        </w:rPr>
        <w:t>quad bike</w:t>
      </w:r>
      <w:r w:rsidRPr="00997E2A">
        <w:t xml:space="preserve"> is an off</w:t>
      </w:r>
      <w:r w:rsidR="00997E2A">
        <w:noBreakHyphen/>
      </w:r>
      <w:r w:rsidRPr="00997E2A">
        <w:t>road vehicle propelled by mechanical energy designed to travel on 4 wheels, with a seat designed to be straddled by the operator and handlebars for steering control.</w:t>
      </w:r>
    </w:p>
    <w:p w:rsidR="00A00582" w:rsidRPr="00997E2A" w:rsidRDefault="00A00582" w:rsidP="00A00582">
      <w:pPr>
        <w:pStyle w:val="subsection"/>
      </w:pPr>
      <w:r w:rsidRPr="00997E2A">
        <w:tab/>
        <w:t>(2)</w:t>
      </w:r>
      <w:r w:rsidRPr="00997E2A">
        <w:tab/>
        <w:t>A reference in this instrument, and in any other instrument, or other writing, incorporated by or under this instrument, to a type and category of quad bike mentioned in the following table is taken to be a reference to a quad bike that meets the description for that type and category in the table.</w:t>
      </w:r>
    </w:p>
    <w:p w:rsidR="00A00582" w:rsidRPr="00997E2A" w:rsidRDefault="00A00582" w:rsidP="00A0058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16"/>
        <w:gridCol w:w="887"/>
        <w:gridCol w:w="1559"/>
        <w:gridCol w:w="5467"/>
      </w:tblGrid>
      <w:tr w:rsidR="00A00582" w:rsidRPr="00997E2A" w:rsidTr="00F27B33">
        <w:trPr>
          <w:tblHeader/>
        </w:trPr>
        <w:tc>
          <w:tcPr>
            <w:tcW w:w="5000" w:type="pct"/>
            <w:gridSpan w:val="4"/>
            <w:tcBorders>
              <w:top w:val="single" w:sz="12" w:space="0" w:color="auto"/>
              <w:bottom w:val="single" w:sz="6" w:space="0" w:color="auto"/>
            </w:tcBorders>
            <w:shd w:val="clear" w:color="auto" w:fill="auto"/>
          </w:tcPr>
          <w:p w:rsidR="00A00582" w:rsidRPr="00997E2A" w:rsidRDefault="00A00582" w:rsidP="00FB0762">
            <w:pPr>
              <w:pStyle w:val="TableHeading"/>
            </w:pPr>
            <w:r w:rsidRPr="00997E2A">
              <w:t>Types and categories of quad bikes</w:t>
            </w:r>
          </w:p>
        </w:tc>
      </w:tr>
      <w:tr w:rsidR="00A00582" w:rsidRPr="00997E2A" w:rsidTr="00F27B33">
        <w:trPr>
          <w:tblHeader/>
        </w:trPr>
        <w:tc>
          <w:tcPr>
            <w:tcW w:w="361" w:type="pct"/>
            <w:tcBorders>
              <w:top w:val="single" w:sz="6" w:space="0" w:color="auto"/>
              <w:bottom w:val="single" w:sz="12" w:space="0" w:color="auto"/>
            </w:tcBorders>
            <w:shd w:val="clear" w:color="auto" w:fill="auto"/>
          </w:tcPr>
          <w:p w:rsidR="00A00582" w:rsidRPr="00997E2A" w:rsidRDefault="00A00582" w:rsidP="00FB0762">
            <w:pPr>
              <w:pStyle w:val="TableHeading"/>
            </w:pPr>
            <w:r w:rsidRPr="00997E2A">
              <w:t>Item</w:t>
            </w:r>
          </w:p>
        </w:tc>
        <w:tc>
          <w:tcPr>
            <w:tcW w:w="520" w:type="pct"/>
            <w:tcBorders>
              <w:top w:val="single" w:sz="6" w:space="0" w:color="auto"/>
              <w:bottom w:val="single" w:sz="12" w:space="0" w:color="auto"/>
            </w:tcBorders>
            <w:shd w:val="clear" w:color="auto" w:fill="auto"/>
          </w:tcPr>
          <w:p w:rsidR="00A00582" w:rsidRPr="00997E2A" w:rsidRDefault="00A00582" w:rsidP="00FB0762">
            <w:pPr>
              <w:pStyle w:val="TableHeading"/>
            </w:pPr>
            <w:r w:rsidRPr="00997E2A">
              <w:t>Type</w:t>
            </w:r>
          </w:p>
        </w:tc>
        <w:tc>
          <w:tcPr>
            <w:tcW w:w="914" w:type="pct"/>
            <w:tcBorders>
              <w:top w:val="single" w:sz="6" w:space="0" w:color="auto"/>
              <w:bottom w:val="single" w:sz="12" w:space="0" w:color="auto"/>
            </w:tcBorders>
            <w:shd w:val="clear" w:color="auto" w:fill="auto"/>
          </w:tcPr>
          <w:p w:rsidR="00A00582" w:rsidRPr="00997E2A" w:rsidRDefault="00A00582" w:rsidP="00FB0762">
            <w:pPr>
              <w:pStyle w:val="TableHeading"/>
            </w:pPr>
            <w:r w:rsidRPr="00997E2A">
              <w:t>Category</w:t>
            </w:r>
          </w:p>
        </w:tc>
        <w:tc>
          <w:tcPr>
            <w:tcW w:w="3205" w:type="pct"/>
            <w:tcBorders>
              <w:top w:val="single" w:sz="6" w:space="0" w:color="auto"/>
              <w:bottom w:val="single" w:sz="12" w:space="0" w:color="auto"/>
            </w:tcBorders>
            <w:shd w:val="clear" w:color="auto" w:fill="auto"/>
          </w:tcPr>
          <w:p w:rsidR="00A00582" w:rsidRPr="00997E2A" w:rsidRDefault="00A00582" w:rsidP="00FB0762">
            <w:pPr>
              <w:pStyle w:val="TableHeading"/>
            </w:pPr>
            <w:r w:rsidRPr="00997E2A">
              <w:t>Description</w:t>
            </w:r>
          </w:p>
        </w:tc>
      </w:tr>
      <w:tr w:rsidR="00A00582" w:rsidRPr="00997E2A" w:rsidTr="00F27B33">
        <w:tc>
          <w:tcPr>
            <w:tcW w:w="361" w:type="pct"/>
            <w:tcBorders>
              <w:top w:val="single" w:sz="12" w:space="0" w:color="auto"/>
            </w:tcBorders>
            <w:shd w:val="clear" w:color="auto" w:fill="auto"/>
          </w:tcPr>
          <w:p w:rsidR="00A00582" w:rsidRPr="00997E2A" w:rsidRDefault="00A00582" w:rsidP="00FB0762">
            <w:pPr>
              <w:pStyle w:val="Tabletext"/>
            </w:pPr>
            <w:r w:rsidRPr="00997E2A">
              <w:t>1</w:t>
            </w:r>
          </w:p>
        </w:tc>
        <w:tc>
          <w:tcPr>
            <w:tcW w:w="520" w:type="pct"/>
            <w:tcBorders>
              <w:top w:val="single" w:sz="12" w:space="0" w:color="auto"/>
            </w:tcBorders>
            <w:shd w:val="clear" w:color="auto" w:fill="auto"/>
          </w:tcPr>
          <w:p w:rsidR="00A00582" w:rsidRPr="00997E2A" w:rsidRDefault="00A00582" w:rsidP="00FB0762">
            <w:pPr>
              <w:pStyle w:val="Tabletext"/>
            </w:pPr>
            <w:r w:rsidRPr="00997E2A">
              <w:t>Type I</w:t>
            </w:r>
          </w:p>
        </w:tc>
        <w:tc>
          <w:tcPr>
            <w:tcW w:w="914" w:type="pct"/>
            <w:tcBorders>
              <w:top w:val="single" w:sz="12" w:space="0" w:color="auto"/>
            </w:tcBorders>
            <w:shd w:val="clear" w:color="auto" w:fill="auto"/>
          </w:tcPr>
          <w:p w:rsidR="00A00582" w:rsidRPr="00997E2A" w:rsidRDefault="00A00582" w:rsidP="00FB0762">
            <w:pPr>
              <w:pStyle w:val="Tabletext"/>
            </w:pPr>
            <w:r w:rsidRPr="00997E2A">
              <w:t>Categories G, S, Y and T</w:t>
            </w:r>
          </w:p>
        </w:tc>
        <w:tc>
          <w:tcPr>
            <w:tcW w:w="3205" w:type="pct"/>
            <w:tcBorders>
              <w:top w:val="single" w:sz="12" w:space="0" w:color="auto"/>
            </w:tcBorders>
            <w:shd w:val="clear" w:color="auto" w:fill="auto"/>
          </w:tcPr>
          <w:p w:rsidR="00A00582" w:rsidRPr="00997E2A" w:rsidRDefault="00A00582" w:rsidP="00FB0762">
            <w:pPr>
              <w:pStyle w:val="Tabletext"/>
              <w:rPr>
                <w:i/>
              </w:rPr>
            </w:pPr>
            <w:r w:rsidRPr="00997E2A">
              <w:rPr>
                <w:i/>
              </w:rPr>
              <w:t>Type I (single operator)</w:t>
            </w:r>
          </w:p>
          <w:p w:rsidR="00A00582" w:rsidRPr="00997E2A" w:rsidRDefault="00A00582" w:rsidP="00FB0762">
            <w:pPr>
              <w:pStyle w:val="Tabletext"/>
            </w:pPr>
            <w:r w:rsidRPr="00997E2A">
              <w:t>A quad bike intended for use by a single operator and no passenger.</w:t>
            </w:r>
          </w:p>
          <w:p w:rsidR="00A00582" w:rsidRPr="00997E2A" w:rsidRDefault="00A00582" w:rsidP="00FB0762">
            <w:pPr>
              <w:pStyle w:val="Tabletext"/>
            </w:pPr>
            <w:r w:rsidRPr="00997E2A">
              <w:t>This applies in addition to the descriptions of the relevant categories of Type I quad bike given elsewhere in this table.</w:t>
            </w:r>
          </w:p>
        </w:tc>
      </w:tr>
      <w:tr w:rsidR="00A00582" w:rsidRPr="00997E2A" w:rsidTr="00F27B33">
        <w:tc>
          <w:tcPr>
            <w:tcW w:w="361" w:type="pct"/>
            <w:shd w:val="clear" w:color="auto" w:fill="auto"/>
          </w:tcPr>
          <w:p w:rsidR="00A00582" w:rsidRPr="00997E2A" w:rsidRDefault="00A00582" w:rsidP="00FB0762">
            <w:pPr>
              <w:pStyle w:val="Tabletext"/>
            </w:pPr>
            <w:r w:rsidRPr="00997E2A">
              <w:t>2</w:t>
            </w:r>
          </w:p>
        </w:tc>
        <w:tc>
          <w:tcPr>
            <w:tcW w:w="520" w:type="pct"/>
            <w:shd w:val="clear" w:color="auto" w:fill="auto"/>
          </w:tcPr>
          <w:p w:rsidR="00A00582" w:rsidRPr="00997E2A" w:rsidRDefault="00A00582" w:rsidP="00FB0762">
            <w:pPr>
              <w:pStyle w:val="Tabletext"/>
            </w:pPr>
            <w:r w:rsidRPr="00997E2A">
              <w:t>Type I</w:t>
            </w:r>
          </w:p>
        </w:tc>
        <w:tc>
          <w:tcPr>
            <w:tcW w:w="914" w:type="pct"/>
            <w:shd w:val="clear" w:color="auto" w:fill="auto"/>
          </w:tcPr>
          <w:p w:rsidR="00A00582" w:rsidRPr="00997E2A" w:rsidRDefault="00A00582" w:rsidP="00FB0762">
            <w:pPr>
              <w:pStyle w:val="Tabletext"/>
            </w:pPr>
            <w:r w:rsidRPr="00997E2A">
              <w:t>Category G</w:t>
            </w:r>
          </w:p>
        </w:tc>
        <w:tc>
          <w:tcPr>
            <w:tcW w:w="3205" w:type="pct"/>
            <w:shd w:val="clear" w:color="auto" w:fill="auto"/>
          </w:tcPr>
          <w:p w:rsidR="00A00582" w:rsidRPr="00997E2A" w:rsidRDefault="00A00582" w:rsidP="00FB0762">
            <w:pPr>
              <w:pStyle w:val="Tabletext"/>
              <w:rPr>
                <w:i/>
              </w:rPr>
            </w:pPr>
            <w:r w:rsidRPr="00997E2A">
              <w:rPr>
                <w:i/>
              </w:rPr>
              <w:t>Type I, general use model</w:t>
            </w:r>
          </w:p>
          <w:p w:rsidR="00A00582" w:rsidRPr="00997E2A" w:rsidRDefault="00A00582" w:rsidP="00FB0762">
            <w:pPr>
              <w:pStyle w:val="Tabletext"/>
            </w:pPr>
            <w:r w:rsidRPr="00997E2A">
              <w:t xml:space="preserve">A quad bike intended for recreational or utility use, or both, by </w:t>
            </w:r>
            <w:r w:rsidRPr="00997E2A">
              <w:lastRenderedPageBreak/>
              <w:t>an operator not less than 16 years of age.</w:t>
            </w:r>
          </w:p>
        </w:tc>
      </w:tr>
      <w:tr w:rsidR="00A00582" w:rsidRPr="00997E2A" w:rsidTr="00F27B33">
        <w:tc>
          <w:tcPr>
            <w:tcW w:w="361" w:type="pct"/>
            <w:shd w:val="clear" w:color="auto" w:fill="auto"/>
          </w:tcPr>
          <w:p w:rsidR="00A00582" w:rsidRPr="00997E2A" w:rsidRDefault="00A00582" w:rsidP="00FB0762">
            <w:pPr>
              <w:pStyle w:val="Tabletext"/>
            </w:pPr>
            <w:r w:rsidRPr="00997E2A">
              <w:lastRenderedPageBreak/>
              <w:t>3</w:t>
            </w:r>
          </w:p>
        </w:tc>
        <w:tc>
          <w:tcPr>
            <w:tcW w:w="520" w:type="pct"/>
            <w:shd w:val="clear" w:color="auto" w:fill="auto"/>
          </w:tcPr>
          <w:p w:rsidR="00A00582" w:rsidRPr="00997E2A" w:rsidRDefault="00A00582" w:rsidP="00FB0762">
            <w:pPr>
              <w:pStyle w:val="Tabletext"/>
            </w:pPr>
            <w:r w:rsidRPr="00997E2A">
              <w:t>Type I</w:t>
            </w:r>
          </w:p>
        </w:tc>
        <w:tc>
          <w:tcPr>
            <w:tcW w:w="914" w:type="pct"/>
            <w:shd w:val="clear" w:color="auto" w:fill="auto"/>
          </w:tcPr>
          <w:p w:rsidR="00A00582" w:rsidRPr="00997E2A" w:rsidRDefault="00A00582" w:rsidP="00FB0762">
            <w:pPr>
              <w:pStyle w:val="Tabletext"/>
            </w:pPr>
            <w:r w:rsidRPr="00997E2A">
              <w:t>Category S</w:t>
            </w:r>
          </w:p>
        </w:tc>
        <w:tc>
          <w:tcPr>
            <w:tcW w:w="3205" w:type="pct"/>
            <w:shd w:val="clear" w:color="auto" w:fill="auto"/>
          </w:tcPr>
          <w:p w:rsidR="00A00582" w:rsidRPr="00997E2A" w:rsidRDefault="00A00582" w:rsidP="00FB0762">
            <w:pPr>
              <w:pStyle w:val="Tabletext"/>
              <w:rPr>
                <w:i/>
              </w:rPr>
            </w:pPr>
            <w:r w:rsidRPr="00997E2A">
              <w:rPr>
                <w:i/>
              </w:rPr>
              <w:t>Sports model</w:t>
            </w:r>
          </w:p>
          <w:p w:rsidR="00A00582" w:rsidRPr="00997E2A" w:rsidRDefault="00A00582" w:rsidP="00FB0762">
            <w:pPr>
              <w:pStyle w:val="Tabletext"/>
            </w:pPr>
            <w:r w:rsidRPr="00997E2A">
              <w:t>A quad bike intended for recreational use by an experienced operator not less than the 16 years of age.</w:t>
            </w:r>
          </w:p>
        </w:tc>
      </w:tr>
      <w:tr w:rsidR="00A00582" w:rsidRPr="00997E2A" w:rsidTr="00F27B33">
        <w:tc>
          <w:tcPr>
            <w:tcW w:w="361" w:type="pct"/>
            <w:shd w:val="clear" w:color="auto" w:fill="auto"/>
          </w:tcPr>
          <w:p w:rsidR="00A00582" w:rsidRPr="00997E2A" w:rsidRDefault="00A00582" w:rsidP="00FB0762">
            <w:pPr>
              <w:pStyle w:val="Tabletext"/>
            </w:pPr>
            <w:r w:rsidRPr="00997E2A">
              <w:t>4</w:t>
            </w:r>
          </w:p>
        </w:tc>
        <w:tc>
          <w:tcPr>
            <w:tcW w:w="520" w:type="pct"/>
            <w:shd w:val="clear" w:color="auto" w:fill="auto"/>
          </w:tcPr>
          <w:p w:rsidR="00A00582" w:rsidRPr="00997E2A" w:rsidRDefault="00A00582" w:rsidP="00FB0762">
            <w:pPr>
              <w:pStyle w:val="Tabletext"/>
            </w:pPr>
            <w:r w:rsidRPr="00997E2A">
              <w:t>Type I</w:t>
            </w:r>
          </w:p>
        </w:tc>
        <w:tc>
          <w:tcPr>
            <w:tcW w:w="914" w:type="pct"/>
            <w:shd w:val="clear" w:color="auto" w:fill="auto"/>
          </w:tcPr>
          <w:p w:rsidR="00A00582" w:rsidRPr="00997E2A" w:rsidRDefault="00A00582" w:rsidP="00FB0762">
            <w:pPr>
              <w:pStyle w:val="Tabletext"/>
            </w:pPr>
            <w:r w:rsidRPr="00997E2A">
              <w:t>Category Y</w:t>
            </w:r>
          </w:p>
        </w:tc>
        <w:tc>
          <w:tcPr>
            <w:tcW w:w="3205" w:type="pct"/>
            <w:shd w:val="clear" w:color="auto" w:fill="auto"/>
          </w:tcPr>
          <w:p w:rsidR="00A00582" w:rsidRPr="00997E2A" w:rsidRDefault="00A00582" w:rsidP="00FB0762">
            <w:pPr>
              <w:pStyle w:val="Tabletext"/>
              <w:rPr>
                <w:i/>
              </w:rPr>
            </w:pPr>
            <w:r w:rsidRPr="00997E2A">
              <w:rPr>
                <w:i/>
              </w:rPr>
              <w:t>Youth model (ages 6 to 15)</w:t>
            </w:r>
          </w:p>
          <w:p w:rsidR="00A00582" w:rsidRPr="00997E2A" w:rsidRDefault="00A00582" w:rsidP="00FB0762">
            <w:pPr>
              <w:pStyle w:val="Tabletext"/>
            </w:pPr>
            <w:r w:rsidRPr="00997E2A">
              <w:t>A quad bike of appropriate size intended for recreational use under adult supervision by an operator under 16 years of age.</w:t>
            </w:r>
          </w:p>
        </w:tc>
      </w:tr>
      <w:tr w:rsidR="00A00582" w:rsidRPr="00997E2A" w:rsidTr="00F27B33">
        <w:tc>
          <w:tcPr>
            <w:tcW w:w="361" w:type="pct"/>
            <w:shd w:val="clear" w:color="auto" w:fill="auto"/>
          </w:tcPr>
          <w:p w:rsidR="00A00582" w:rsidRPr="00997E2A" w:rsidRDefault="00A00582" w:rsidP="00FB0762">
            <w:pPr>
              <w:pStyle w:val="Tabletext"/>
            </w:pPr>
            <w:r w:rsidRPr="00997E2A">
              <w:t>5</w:t>
            </w:r>
          </w:p>
        </w:tc>
        <w:tc>
          <w:tcPr>
            <w:tcW w:w="520" w:type="pct"/>
            <w:shd w:val="clear" w:color="auto" w:fill="auto"/>
          </w:tcPr>
          <w:p w:rsidR="00A00582" w:rsidRPr="00997E2A" w:rsidRDefault="00A00582" w:rsidP="00FB0762">
            <w:pPr>
              <w:pStyle w:val="Tabletext"/>
            </w:pPr>
            <w:r w:rsidRPr="00997E2A">
              <w:t>Type I</w:t>
            </w:r>
          </w:p>
        </w:tc>
        <w:tc>
          <w:tcPr>
            <w:tcW w:w="914" w:type="pct"/>
            <w:shd w:val="clear" w:color="auto" w:fill="auto"/>
          </w:tcPr>
          <w:p w:rsidR="00A00582" w:rsidRPr="00997E2A" w:rsidRDefault="00A00582" w:rsidP="00FB0762">
            <w:pPr>
              <w:pStyle w:val="Tabletext"/>
            </w:pPr>
            <w:r w:rsidRPr="00997E2A">
              <w:t>Category Y</w:t>
            </w:r>
            <w:r w:rsidR="00997E2A">
              <w:noBreakHyphen/>
            </w:r>
            <w:r w:rsidRPr="00997E2A">
              <w:t>6+</w:t>
            </w:r>
          </w:p>
        </w:tc>
        <w:tc>
          <w:tcPr>
            <w:tcW w:w="3205" w:type="pct"/>
            <w:shd w:val="clear" w:color="auto" w:fill="auto"/>
          </w:tcPr>
          <w:p w:rsidR="00A00582" w:rsidRPr="00997E2A" w:rsidRDefault="00A00582" w:rsidP="00FB0762">
            <w:pPr>
              <w:pStyle w:val="Tabletext"/>
              <w:rPr>
                <w:i/>
              </w:rPr>
            </w:pPr>
            <w:r w:rsidRPr="00997E2A">
              <w:rPr>
                <w:i/>
              </w:rPr>
              <w:t>Youth model (ages 6 to 9)</w:t>
            </w:r>
          </w:p>
          <w:p w:rsidR="00A00582" w:rsidRPr="00997E2A" w:rsidRDefault="00A00582" w:rsidP="00FB0762">
            <w:pPr>
              <w:pStyle w:val="Tabletext"/>
              <w:rPr>
                <w:b/>
              </w:rPr>
            </w:pPr>
            <w:r w:rsidRPr="00997E2A">
              <w:t>A Type I, Category Y quad bike intended for recreational use under adult supervision by an operator of 6, 7, 8 or 9 years of age.</w:t>
            </w:r>
          </w:p>
        </w:tc>
      </w:tr>
      <w:tr w:rsidR="00A00582" w:rsidRPr="00997E2A" w:rsidTr="00F27B33">
        <w:tc>
          <w:tcPr>
            <w:tcW w:w="361" w:type="pct"/>
            <w:shd w:val="clear" w:color="auto" w:fill="auto"/>
          </w:tcPr>
          <w:p w:rsidR="00A00582" w:rsidRPr="00997E2A" w:rsidRDefault="00A00582" w:rsidP="00FB0762">
            <w:pPr>
              <w:pStyle w:val="Tabletext"/>
            </w:pPr>
            <w:r w:rsidRPr="00997E2A">
              <w:t>6</w:t>
            </w:r>
          </w:p>
        </w:tc>
        <w:tc>
          <w:tcPr>
            <w:tcW w:w="520" w:type="pct"/>
            <w:shd w:val="clear" w:color="auto" w:fill="auto"/>
          </w:tcPr>
          <w:p w:rsidR="00A00582" w:rsidRPr="00997E2A" w:rsidRDefault="00A00582" w:rsidP="00FB0762">
            <w:pPr>
              <w:pStyle w:val="Tabletext"/>
            </w:pPr>
            <w:r w:rsidRPr="00997E2A">
              <w:t>Type I</w:t>
            </w:r>
          </w:p>
        </w:tc>
        <w:tc>
          <w:tcPr>
            <w:tcW w:w="914" w:type="pct"/>
            <w:shd w:val="clear" w:color="auto" w:fill="auto"/>
          </w:tcPr>
          <w:p w:rsidR="00A00582" w:rsidRPr="00997E2A" w:rsidRDefault="00A00582" w:rsidP="00FB0762">
            <w:pPr>
              <w:pStyle w:val="Tabletext"/>
            </w:pPr>
            <w:r w:rsidRPr="00997E2A">
              <w:t>Category Y</w:t>
            </w:r>
            <w:r w:rsidR="00997E2A">
              <w:noBreakHyphen/>
            </w:r>
            <w:r w:rsidRPr="00997E2A">
              <w:t>10+</w:t>
            </w:r>
          </w:p>
        </w:tc>
        <w:tc>
          <w:tcPr>
            <w:tcW w:w="3205" w:type="pct"/>
            <w:shd w:val="clear" w:color="auto" w:fill="auto"/>
          </w:tcPr>
          <w:p w:rsidR="00A00582" w:rsidRPr="00997E2A" w:rsidRDefault="00A00582" w:rsidP="00FB0762">
            <w:pPr>
              <w:pStyle w:val="Tabletext"/>
              <w:rPr>
                <w:i/>
              </w:rPr>
            </w:pPr>
            <w:r w:rsidRPr="00997E2A">
              <w:rPr>
                <w:i/>
              </w:rPr>
              <w:t>Youth model (ages 10 to 13)</w:t>
            </w:r>
          </w:p>
          <w:p w:rsidR="00A00582" w:rsidRPr="00997E2A" w:rsidRDefault="00A00582" w:rsidP="00FB0762">
            <w:pPr>
              <w:pStyle w:val="Tabletext"/>
              <w:rPr>
                <w:b/>
              </w:rPr>
            </w:pPr>
            <w:r w:rsidRPr="00997E2A">
              <w:t>A Type I, Category Y quad bike intended for recreational use under adult supervision by an operator of 10, 11, 12 or 13 years of age.</w:t>
            </w:r>
          </w:p>
        </w:tc>
      </w:tr>
      <w:tr w:rsidR="00A00582" w:rsidRPr="00997E2A" w:rsidTr="00F27B33">
        <w:tc>
          <w:tcPr>
            <w:tcW w:w="361" w:type="pct"/>
            <w:shd w:val="clear" w:color="auto" w:fill="auto"/>
          </w:tcPr>
          <w:p w:rsidR="00A00582" w:rsidRPr="00997E2A" w:rsidRDefault="00A00582" w:rsidP="00FB0762">
            <w:pPr>
              <w:pStyle w:val="Tabletext"/>
            </w:pPr>
            <w:r w:rsidRPr="00997E2A">
              <w:t>7</w:t>
            </w:r>
          </w:p>
        </w:tc>
        <w:tc>
          <w:tcPr>
            <w:tcW w:w="520" w:type="pct"/>
            <w:shd w:val="clear" w:color="auto" w:fill="auto"/>
          </w:tcPr>
          <w:p w:rsidR="00A00582" w:rsidRPr="00997E2A" w:rsidRDefault="00A00582" w:rsidP="00FB0762">
            <w:pPr>
              <w:pStyle w:val="Tabletext"/>
            </w:pPr>
            <w:r w:rsidRPr="00997E2A">
              <w:t>Type I</w:t>
            </w:r>
          </w:p>
        </w:tc>
        <w:tc>
          <w:tcPr>
            <w:tcW w:w="914" w:type="pct"/>
            <w:shd w:val="clear" w:color="auto" w:fill="auto"/>
          </w:tcPr>
          <w:p w:rsidR="00A00582" w:rsidRPr="00997E2A" w:rsidRDefault="00A00582" w:rsidP="00FB0762">
            <w:pPr>
              <w:pStyle w:val="Tabletext"/>
            </w:pPr>
            <w:r w:rsidRPr="00997E2A">
              <w:t>Category Y</w:t>
            </w:r>
            <w:r w:rsidR="00997E2A">
              <w:noBreakHyphen/>
            </w:r>
            <w:r w:rsidRPr="00997E2A">
              <w:t>12+</w:t>
            </w:r>
          </w:p>
        </w:tc>
        <w:tc>
          <w:tcPr>
            <w:tcW w:w="3205" w:type="pct"/>
            <w:shd w:val="clear" w:color="auto" w:fill="auto"/>
          </w:tcPr>
          <w:p w:rsidR="00A00582" w:rsidRPr="00997E2A" w:rsidRDefault="00A00582" w:rsidP="00FB0762">
            <w:pPr>
              <w:pStyle w:val="Tabletext"/>
              <w:rPr>
                <w:i/>
              </w:rPr>
            </w:pPr>
            <w:r w:rsidRPr="00997E2A">
              <w:rPr>
                <w:i/>
              </w:rPr>
              <w:t>Youth model (ages 12 to 15)</w:t>
            </w:r>
          </w:p>
          <w:p w:rsidR="00A00582" w:rsidRPr="00997E2A" w:rsidRDefault="00A00582" w:rsidP="00FB0762">
            <w:pPr>
              <w:pStyle w:val="Tabletext"/>
              <w:rPr>
                <w:b/>
              </w:rPr>
            </w:pPr>
            <w:r w:rsidRPr="00997E2A">
              <w:t>A Type I, Category Y quad bike intended for recreational use under adult supervision by an operator of 12, 13, 14 or 15 years of age.</w:t>
            </w:r>
          </w:p>
        </w:tc>
      </w:tr>
      <w:tr w:rsidR="00A00582" w:rsidRPr="00997E2A" w:rsidTr="00F27B33">
        <w:tc>
          <w:tcPr>
            <w:tcW w:w="361" w:type="pct"/>
            <w:tcBorders>
              <w:bottom w:val="single" w:sz="2" w:space="0" w:color="auto"/>
            </w:tcBorders>
            <w:shd w:val="clear" w:color="auto" w:fill="auto"/>
          </w:tcPr>
          <w:p w:rsidR="00A00582" w:rsidRPr="00997E2A" w:rsidRDefault="00A00582" w:rsidP="00FB0762">
            <w:pPr>
              <w:pStyle w:val="Tabletext"/>
            </w:pPr>
            <w:r w:rsidRPr="00997E2A">
              <w:t>8</w:t>
            </w:r>
          </w:p>
        </w:tc>
        <w:tc>
          <w:tcPr>
            <w:tcW w:w="520" w:type="pct"/>
            <w:tcBorders>
              <w:bottom w:val="single" w:sz="2" w:space="0" w:color="auto"/>
            </w:tcBorders>
            <w:shd w:val="clear" w:color="auto" w:fill="auto"/>
          </w:tcPr>
          <w:p w:rsidR="00A00582" w:rsidRPr="00997E2A" w:rsidRDefault="00A00582" w:rsidP="00FB0762">
            <w:pPr>
              <w:pStyle w:val="Tabletext"/>
            </w:pPr>
            <w:r w:rsidRPr="00997E2A">
              <w:t>Type I</w:t>
            </w:r>
          </w:p>
        </w:tc>
        <w:tc>
          <w:tcPr>
            <w:tcW w:w="914" w:type="pct"/>
            <w:tcBorders>
              <w:bottom w:val="single" w:sz="2" w:space="0" w:color="auto"/>
            </w:tcBorders>
            <w:shd w:val="clear" w:color="auto" w:fill="auto"/>
          </w:tcPr>
          <w:p w:rsidR="00A00582" w:rsidRPr="00997E2A" w:rsidRDefault="00A00582" w:rsidP="00FB0762">
            <w:pPr>
              <w:pStyle w:val="Tabletext"/>
            </w:pPr>
            <w:r w:rsidRPr="00997E2A">
              <w:t>Category T</w:t>
            </w:r>
          </w:p>
        </w:tc>
        <w:tc>
          <w:tcPr>
            <w:tcW w:w="3205" w:type="pct"/>
            <w:tcBorders>
              <w:bottom w:val="single" w:sz="2" w:space="0" w:color="auto"/>
            </w:tcBorders>
            <w:shd w:val="clear" w:color="auto" w:fill="auto"/>
          </w:tcPr>
          <w:p w:rsidR="00A00582" w:rsidRPr="00997E2A" w:rsidRDefault="00A00582" w:rsidP="00FB0762">
            <w:pPr>
              <w:pStyle w:val="Tabletext"/>
              <w:rPr>
                <w:i/>
              </w:rPr>
            </w:pPr>
            <w:r w:rsidRPr="00997E2A">
              <w:rPr>
                <w:i/>
              </w:rPr>
              <w:t>Transition model</w:t>
            </w:r>
          </w:p>
          <w:p w:rsidR="00A00582" w:rsidRPr="00997E2A" w:rsidRDefault="00A00582" w:rsidP="00FB0762">
            <w:pPr>
              <w:pStyle w:val="Tabletext"/>
            </w:pPr>
            <w:r w:rsidRPr="00997E2A">
              <w:t>A quad bike of appropriate size intended for recreational use by:</w:t>
            </w:r>
          </w:p>
          <w:p w:rsidR="00A00582" w:rsidRPr="00997E2A" w:rsidRDefault="00A00582" w:rsidP="00FB0762">
            <w:pPr>
              <w:pStyle w:val="Tablea"/>
            </w:pPr>
            <w:r w:rsidRPr="00997E2A">
              <w:t>(a) an operator of 14 or 15 years of age under adult supervision; or</w:t>
            </w:r>
          </w:p>
          <w:p w:rsidR="00A00582" w:rsidRPr="00997E2A" w:rsidRDefault="00A00582" w:rsidP="00FB0762">
            <w:pPr>
              <w:pStyle w:val="Tablea"/>
            </w:pPr>
            <w:r w:rsidRPr="00997E2A">
              <w:t>(b) an operator of not less than 16 years of age (not requiring adult supervision).</w:t>
            </w:r>
          </w:p>
        </w:tc>
      </w:tr>
      <w:tr w:rsidR="00A00582" w:rsidRPr="00997E2A" w:rsidTr="00F27B33">
        <w:tc>
          <w:tcPr>
            <w:tcW w:w="361" w:type="pct"/>
            <w:tcBorders>
              <w:top w:val="single" w:sz="2" w:space="0" w:color="auto"/>
              <w:bottom w:val="single" w:sz="12" w:space="0" w:color="auto"/>
            </w:tcBorders>
            <w:shd w:val="clear" w:color="auto" w:fill="auto"/>
          </w:tcPr>
          <w:p w:rsidR="00A00582" w:rsidRPr="00997E2A" w:rsidRDefault="00A00582" w:rsidP="00FB0762">
            <w:pPr>
              <w:pStyle w:val="Tabletext"/>
            </w:pPr>
            <w:r w:rsidRPr="00997E2A">
              <w:t>9</w:t>
            </w:r>
          </w:p>
        </w:tc>
        <w:tc>
          <w:tcPr>
            <w:tcW w:w="520" w:type="pct"/>
            <w:tcBorders>
              <w:top w:val="single" w:sz="2" w:space="0" w:color="auto"/>
              <w:bottom w:val="single" w:sz="12" w:space="0" w:color="auto"/>
            </w:tcBorders>
            <w:shd w:val="clear" w:color="auto" w:fill="auto"/>
          </w:tcPr>
          <w:p w:rsidR="00A00582" w:rsidRPr="00997E2A" w:rsidRDefault="00A00582" w:rsidP="00FB0762">
            <w:pPr>
              <w:pStyle w:val="Tabletext"/>
            </w:pPr>
            <w:r w:rsidRPr="00997E2A">
              <w:t>Type II</w:t>
            </w:r>
          </w:p>
        </w:tc>
        <w:tc>
          <w:tcPr>
            <w:tcW w:w="914" w:type="pct"/>
            <w:tcBorders>
              <w:top w:val="single" w:sz="2" w:space="0" w:color="auto"/>
              <w:bottom w:val="single" w:sz="12" w:space="0" w:color="auto"/>
            </w:tcBorders>
            <w:shd w:val="clear" w:color="auto" w:fill="auto"/>
          </w:tcPr>
          <w:p w:rsidR="00A00582" w:rsidRPr="00997E2A" w:rsidRDefault="00A00582" w:rsidP="00FB0762">
            <w:pPr>
              <w:pStyle w:val="Tabletext"/>
            </w:pPr>
            <w:r w:rsidRPr="00997E2A">
              <w:t>Category G</w:t>
            </w:r>
          </w:p>
        </w:tc>
        <w:tc>
          <w:tcPr>
            <w:tcW w:w="3205" w:type="pct"/>
            <w:tcBorders>
              <w:top w:val="single" w:sz="2" w:space="0" w:color="auto"/>
              <w:bottom w:val="single" w:sz="12" w:space="0" w:color="auto"/>
            </w:tcBorders>
            <w:shd w:val="clear" w:color="auto" w:fill="auto"/>
          </w:tcPr>
          <w:p w:rsidR="00A00582" w:rsidRPr="00997E2A" w:rsidRDefault="00A00582" w:rsidP="00FB0762">
            <w:pPr>
              <w:pStyle w:val="Tabletext"/>
              <w:rPr>
                <w:i/>
              </w:rPr>
            </w:pPr>
            <w:r w:rsidRPr="00997E2A">
              <w:rPr>
                <w:i/>
              </w:rPr>
              <w:t>Type II (maximum 1 passenger), general use model</w:t>
            </w:r>
          </w:p>
          <w:p w:rsidR="00A00582" w:rsidRPr="00997E2A" w:rsidRDefault="00A00582" w:rsidP="00FB0762">
            <w:pPr>
              <w:pStyle w:val="Tabletext"/>
            </w:pPr>
            <w:r w:rsidRPr="00997E2A">
              <w:t>A quad bike intended for recreational or utility use, or both, by an operator not less than 16 years of age, that:</w:t>
            </w:r>
          </w:p>
          <w:p w:rsidR="00A00582" w:rsidRPr="00997E2A" w:rsidRDefault="00A00582" w:rsidP="00FB0762">
            <w:pPr>
              <w:pStyle w:val="Tablea"/>
            </w:pPr>
            <w:r w:rsidRPr="00997E2A">
              <w:t>(a) is intended for use with or without a passenger; and</w:t>
            </w:r>
          </w:p>
          <w:p w:rsidR="00A00582" w:rsidRPr="00997E2A" w:rsidRDefault="00A00582" w:rsidP="00FB0762">
            <w:pPr>
              <w:pStyle w:val="Tablea"/>
            </w:pPr>
            <w:r w:rsidRPr="00997E2A">
              <w:t>(b) has a seating position behind the operator designed to be straddled by no more than one passenger.</w:t>
            </w:r>
          </w:p>
        </w:tc>
      </w:tr>
    </w:tbl>
    <w:p w:rsidR="00A00582" w:rsidRPr="00997E2A" w:rsidRDefault="00A00582" w:rsidP="00A00582">
      <w:pPr>
        <w:pStyle w:val="ActHead5"/>
      </w:pPr>
      <w:bookmarkStart w:id="6" w:name="_Toc76648297"/>
      <w:r w:rsidRPr="00997E2A">
        <w:rPr>
          <w:rStyle w:val="CharSectno"/>
        </w:rPr>
        <w:t>6</w:t>
      </w:r>
      <w:r w:rsidRPr="00997E2A">
        <w:t xml:space="preserve">  Second</w:t>
      </w:r>
      <w:r w:rsidR="00997E2A">
        <w:noBreakHyphen/>
      </w:r>
      <w:r w:rsidRPr="00997E2A">
        <w:t>hand quad bikes</w:t>
      </w:r>
      <w:bookmarkEnd w:id="6"/>
    </w:p>
    <w:p w:rsidR="00A00582" w:rsidRPr="00997E2A" w:rsidRDefault="00A00582" w:rsidP="00A00582">
      <w:pPr>
        <w:pStyle w:val="subsection"/>
      </w:pPr>
      <w:r w:rsidRPr="00997E2A">
        <w:tab/>
        <w:t>(1)</w:t>
      </w:r>
      <w:r w:rsidRPr="00997E2A">
        <w:tab/>
        <w:t>This instrument does not apply in relation to a second</w:t>
      </w:r>
      <w:r w:rsidR="00997E2A">
        <w:noBreakHyphen/>
      </w:r>
      <w:r w:rsidRPr="00997E2A">
        <w:t xml:space="preserve">hand quad bike, subject to </w:t>
      </w:r>
      <w:r w:rsidR="00997E2A" w:rsidRPr="00997E2A">
        <w:t>subsection (</w:t>
      </w:r>
      <w:r w:rsidRPr="00997E2A">
        <w:t>2).</w:t>
      </w:r>
    </w:p>
    <w:p w:rsidR="00A00582" w:rsidRPr="00997E2A" w:rsidRDefault="00A00582" w:rsidP="00A00582">
      <w:pPr>
        <w:pStyle w:val="subsection"/>
      </w:pPr>
      <w:r w:rsidRPr="00997E2A">
        <w:tab/>
        <w:t>(2)</w:t>
      </w:r>
      <w:r w:rsidRPr="00997E2A">
        <w:tab/>
        <w:t>This instrument applies in relation to a quad bike if:</w:t>
      </w:r>
    </w:p>
    <w:p w:rsidR="00A00582" w:rsidRPr="00997E2A" w:rsidRDefault="00A00582" w:rsidP="00A00582">
      <w:pPr>
        <w:pStyle w:val="paragraph"/>
      </w:pPr>
      <w:r w:rsidRPr="00997E2A">
        <w:tab/>
        <w:t>(a)</w:t>
      </w:r>
      <w:r w:rsidRPr="00997E2A">
        <w:tab/>
        <w:t>it has been imported into Australia; and</w:t>
      </w:r>
    </w:p>
    <w:p w:rsidR="00A00582" w:rsidRPr="00997E2A" w:rsidRDefault="00A00582" w:rsidP="00A00582">
      <w:pPr>
        <w:pStyle w:val="paragraph"/>
      </w:pPr>
      <w:r w:rsidRPr="00997E2A">
        <w:tab/>
        <w:t>(b)</w:t>
      </w:r>
      <w:r w:rsidRPr="00997E2A">
        <w:tab/>
        <w:t>when it was imported, it was second</w:t>
      </w:r>
      <w:r w:rsidR="00997E2A">
        <w:noBreakHyphen/>
      </w:r>
      <w:r w:rsidRPr="00997E2A">
        <w:t>hand.</w:t>
      </w:r>
    </w:p>
    <w:p w:rsidR="00A00582" w:rsidRPr="00997E2A" w:rsidRDefault="00A00582" w:rsidP="00A00582">
      <w:pPr>
        <w:pStyle w:val="ActHead5"/>
      </w:pPr>
      <w:bookmarkStart w:id="7" w:name="_Toc76648298"/>
      <w:r w:rsidRPr="00997E2A">
        <w:rPr>
          <w:rStyle w:val="CharSectno"/>
        </w:rPr>
        <w:t>7</w:t>
      </w:r>
      <w:r w:rsidRPr="00997E2A">
        <w:t xml:space="preserve">  Incorporated material</w:t>
      </w:r>
      <w:bookmarkEnd w:id="7"/>
    </w:p>
    <w:p w:rsidR="00A00582" w:rsidRPr="00997E2A" w:rsidRDefault="00A00582" w:rsidP="0012476F">
      <w:pPr>
        <w:pStyle w:val="subsection"/>
      </w:pPr>
      <w:r w:rsidRPr="00997E2A">
        <w:tab/>
      </w:r>
      <w:r w:rsidR="005D4AC9" w:rsidRPr="00997E2A">
        <w:t>(1)</w:t>
      </w:r>
      <w:r w:rsidRPr="00997E2A">
        <w:tab/>
      </w:r>
      <w:r w:rsidR="0012476F" w:rsidRPr="00997E2A">
        <w:t>If this instrument, or any instrument or other writing incorporated by or under this instrument, incorporates, with or without modification, any other instrument or writing, the instrument or writing is incorporated as in force or existing at the time this instrument commences.</w:t>
      </w:r>
    </w:p>
    <w:p w:rsidR="005D4AC9" w:rsidRPr="00997E2A" w:rsidRDefault="005D4AC9" w:rsidP="0012476F">
      <w:pPr>
        <w:pStyle w:val="subsection"/>
      </w:pPr>
      <w:r w:rsidRPr="00997E2A">
        <w:tab/>
        <w:t>(2)</w:t>
      </w:r>
      <w:r w:rsidRPr="00997E2A">
        <w:tab/>
      </w:r>
      <w:r w:rsidR="0012476F" w:rsidRPr="00997E2A">
        <w:t xml:space="preserve">An instrument or other writing is </w:t>
      </w:r>
      <w:r w:rsidR="0012476F" w:rsidRPr="00997E2A">
        <w:rPr>
          <w:b/>
          <w:i/>
        </w:rPr>
        <w:t>incorporated</w:t>
      </w:r>
      <w:r w:rsidR="0012476F" w:rsidRPr="00997E2A">
        <w:t xml:space="preserve"> by or under another instrument or writing if any matter contained in the instrument or writing is applied, adopted or incorporated by or under the other instrument or writing</w:t>
      </w:r>
      <w:r w:rsidRPr="00997E2A">
        <w:t>.</w:t>
      </w:r>
    </w:p>
    <w:p w:rsidR="00A00582" w:rsidRPr="00997E2A" w:rsidRDefault="006D02ED" w:rsidP="00A00582">
      <w:pPr>
        <w:pStyle w:val="notetext"/>
      </w:pPr>
      <w:r w:rsidRPr="00997E2A">
        <w:t>Note 1</w:t>
      </w:r>
      <w:r w:rsidR="00A00582" w:rsidRPr="00997E2A">
        <w:t>:</w:t>
      </w:r>
      <w:r w:rsidR="00A00582" w:rsidRPr="00997E2A">
        <w:tab/>
      </w:r>
      <w:r w:rsidRPr="00997E2A">
        <w:t>See</w:t>
      </w:r>
      <w:r w:rsidR="00A00582" w:rsidRPr="00997E2A">
        <w:t xml:space="preserve"> section</w:t>
      </w:r>
      <w:r w:rsidR="00997E2A" w:rsidRPr="00997E2A">
        <w:t> </w:t>
      </w:r>
      <w:r w:rsidR="00A00582" w:rsidRPr="00997E2A">
        <w:t xml:space="preserve">14 of the </w:t>
      </w:r>
      <w:r w:rsidR="00A00582" w:rsidRPr="00997E2A">
        <w:rPr>
          <w:i/>
        </w:rPr>
        <w:t>Legislation Act 2003</w:t>
      </w:r>
      <w:r w:rsidR="00A00582" w:rsidRPr="00997E2A">
        <w:t>.</w:t>
      </w:r>
    </w:p>
    <w:p w:rsidR="00A00582" w:rsidRPr="00997E2A" w:rsidRDefault="00A00582" w:rsidP="00A00582">
      <w:pPr>
        <w:pStyle w:val="notetext"/>
      </w:pPr>
      <w:r w:rsidRPr="00997E2A">
        <w:t>Note 2:</w:t>
      </w:r>
      <w:r w:rsidRPr="00997E2A">
        <w:tab/>
      </w:r>
      <w:r w:rsidR="005D4AC9" w:rsidRPr="00997E2A">
        <w:t>Incorporated instruments and writings</w:t>
      </w:r>
      <w:r w:rsidRPr="00997E2A">
        <w:t xml:space="preserve"> </w:t>
      </w:r>
      <w:r w:rsidR="00DD2855" w:rsidRPr="00997E2A">
        <w:t>could in 2019</w:t>
      </w:r>
      <w:r w:rsidR="00BC2970" w:rsidRPr="00997E2A">
        <w:t xml:space="preserve"> be accessed </w:t>
      </w:r>
      <w:r w:rsidRPr="00997E2A">
        <w:t>as follows:</w:t>
      </w:r>
    </w:p>
    <w:p w:rsidR="00A00582" w:rsidRPr="00997E2A" w:rsidRDefault="00A00582" w:rsidP="00A00582">
      <w:pPr>
        <w:pStyle w:val="notepara"/>
      </w:pPr>
      <w:r w:rsidRPr="00997E2A">
        <w:t>(a)</w:t>
      </w:r>
      <w:r w:rsidRPr="00997E2A">
        <w:tab/>
        <w:t xml:space="preserve">the US Standard could be purchased </w:t>
      </w:r>
      <w:r w:rsidR="003029CE" w:rsidRPr="00997E2A">
        <w:t>from the website of the Special</w:t>
      </w:r>
      <w:r w:rsidRPr="00997E2A">
        <w:t>ty Vehicle Institute of America (</w:t>
      </w:r>
      <w:r w:rsidR="003029CE" w:rsidRPr="00997E2A">
        <w:t>https://svia.org</w:t>
      </w:r>
      <w:r w:rsidRPr="00997E2A">
        <w:t>);</w:t>
      </w:r>
    </w:p>
    <w:p w:rsidR="006D02ED" w:rsidRPr="00997E2A" w:rsidRDefault="00D267A2" w:rsidP="00EA719D">
      <w:pPr>
        <w:pStyle w:val="notepara"/>
      </w:pPr>
      <w:r w:rsidRPr="00997E2A">
        <w:t>(b)</w:t>
      </w:r>
      <w:r w:rsidRPr="00997E2A">
        <w:tab/>
        <w:t>t</w:t>
      </w:r>
      <w:r w:rsidR="006D02ED" w:rsidRPr="00997E2A">
        <w:t>he Australian Stan</w:t>
      </w:r>
      <w:r w:rsidRPr="00997E2A">
        <w:t>dard mentioned in paragraphs 9(a</w:t>
      </w:r>
      <w:r w:rsidR="006D02ED" w:rsidRPr="00997E2A">
        <w:t xml:space="preserve">) and 10(b) </w:t>
      </w:r>
      <w:r w:rsidR="00DD2855" w:rsidRPr="00997E2A">
        <w:t>could</w:t>
      </w:r>
      <w:r w:rsidR="006D02ED" w:rsidRPr="00997E2A">
        <w:t xml:space="preserve"> be purchased from SAI Global’s website (https://www.saiglobal.com);</w:t>
      </w:r>
    </w:p>
    <w:p w:rsidR="00EA719D" w:rsidRPr="00997E2A" w:rsidRDefault="00EA719D" w:rsidP="00EA719D">
      <w:pPr>
        <w:pStyle w:val="notepara"/>
      </w:pPr>
      <w:r w:rsidRPr="00997E2A">
        <w:t>(</w:t>
      </w:r>
      <w:r w:rsidR="006D02ED" w:rsidRPr="00997E2A">
        <w:t>c</w:t>
      </w:r>
      <w:r w:rsidRPr="00997E2A">
        <w:t>)</w:t>
      </w:r>
      <w:r w:rsidRPr="00997E2A">
        <w:tab/>
      </w:r>
      <w:r w:rsidR="00D267A2" w:rsidRPr="00997E2A">
        <w:t>t</w:t>
      </w:r>
      <w:r w:rsidR="006D02ED" w:rsidRPr="00997E2A">
        <w:t xml:space="preserve">he United States Department of Agriculture Forest Service </w:t>
      </w:r>
      <w:r w:rsidR="003029CE" w:rsidRPr="00997E2A">
        <w:t>S</w:t>
      </w:r>
      <w:r w:rsidR="006D02ED" w:rsidRPr="00997E2A">
        <w:t>tandard</w:t>
      </w:r>
      <w:r w:rsidR="00A22E6C" w:rsidRPr="00997E2A">
        <w:t xml:space="preserve"> mentioned in paragraphs 9(a</w:t>
      </w:r>
      <w:r w:rsidR="006D02ED" w:rsidRPr="00997E2A">
        <w:t xml:space="preserve">) and 10(b) </w:t>
      </w:r>
      <w:r w:rsidRPr="00997E2A">
        <w:t>could be accessed free of charge at the Forest Service’s website (https://www.fs.fed.us/t</w:t>
      </w:r>
      <w:r w:rsidR="00997E2A">
        <w:noBreakHyphen/>
      </w:r>
      <w:r w:rsidRPr="00997E2A">
        <w:t>d/programs/fire);</w:t>
      </w:r>
    </w:p>
    <w:p w:rsidR="00A00582" w:rsidRPr="00997E2A" w:rsidRDefault="00EA719D" w:rsidP="00A00582">
      <w:pPr>
        <w:pStyle w:val="notepara"/>
      </w:pPr>
      <w:r w:rsidRPr="00997E2A">
        <w:t>(</w:t>
      </w:r>
      <w:r w:rsidR="006D02ED" w:rsidRPr="00997E2A">
        <w:t>d)</w:t>
      </w:r>
      <w:r w:rsidR="006D02ED" w:rsidRPr="00997E2A">
        <w:tab/>
        <w:t xml:space="preserve">the European Standard </w:t>
      </w:r>
      <w:r w:rsidR="00A00582" w:rsidRPr="00997E2A">
        <w:t>could be purchased from SAI Global’s website (https://www.saiglobal.com);</w:t>
      </w:r>
    </w:p>
    <w:p w:rsidR="006D02ED" w:rsidRPr="00997E2A" w:rsidRDefault="006D02ED" w:rsidP="006D02ED">
      <w:pPr>
        <w:pStyle w:val="notepara"/>
      </w:pPr>
      <w:r w:rsidRPr="00997E2A">
        <w:t>(e)</w:t>
      </w:r>
      <w:r w:rsidRPr="00997E2A">
        <w:tab/>
        <w:t>the US Military Standard mentioned in clause</w:t>
      </w:r>
      <w:r w:rsidR="00997E2A" w:rsidRPr="00997E2A">
        <w:t> </w:t>
      </w:r>
      <w:r w:rsidRPr="00997E2A">
        <w:t>4.1 of Schedule</w:t>
      </w:r>
      <w:r w:rsidR="00997E2A" w:rsidRPr="00997E2A">
        <w:t> </w:t>
      </w:r>
      <w:r w:rsidRPr="00997E2A">
        <w:t>1</w:t>
      </w:r>
      <w:r w:rsidR="00DD2855" w:rsidRPr="00997E2A">
        <w:t xml:space="preserve"> could</w:t>
      </w:r>
      <w:r w:rsidRPr="00997E2A">
        <w:t xml:space="preserve"> be purchased from SAI Global’s website (https://www.saiglobal.com);</w:t>
      </w:r>
    </w:p>
    <w:p w:rsidR="00A00582" w:rsidRPr="00997E2A" w:rsidRDefault="00EA719D" w:rsidP="00A00582">
      <w:pPr>
        <w:pStyle w:val="notepara"/>
      </w:pPr>
      <w:r w:rsidRPr="00997E2A">
        <w:t>(</w:t>
      </w:r>
      <w:r w:rsidR="006D02ED" w:rsidRPr="00997E2A">
        <w:t>f</w:t>
      </w:r>
      <w:r w:rsidR="00A00582" w:rsidRPr="00997E2A">
        <w:t>)</w:t>
      </w:r>
      <w:r w:rsidR="00A00582" w:rsidRPr="00997E2A">
        <w:tab/>
        <w:t>the Australian Competition and</w:t>
      </w:r>
      <w:r w:rsidR="00BC2970" w:rsidRPr="00997E2A">
        <w:t xml:space="preserve"> Consumer Commission could</w:t>
      </w:r>
      <w:r w:rsidR="00A00582" w:rsidRPr="00997E2A">
        <w:t xml:space="preserve"> make a copy of </w:t>
      </w:r>
      <w:r w:rsidR="005D4AC9" w:rsidRPr="00997E2A">
        <w:t>incorporated instruments and writings</w:t>
      </w:r>
      <w:r w:rsidR="00A00582" w:rsidRPr="00997E2A">
        <w:t xml:space="preserve"> available for viewing at </w:t>
      </w:r>
      <w:r w:rsidR="00BC2970" w:rsidRPr="00997E2A">
        <w:t>any</w:t>
      </w:r>
      <w:r w:rsidR="00A00582" w:rsidRPr="00997E2A">
        <w:t xml:space="preserve"> of its offices, subject to licensing conditions.</w:t>
      </w:r>
    </w:p>
    <w:p w:rsidR="00A00582" w:rsidRPr="00997E2A" w:rsidRDefault="00A00582" w:rsidP="00A00582">
      <w:pPr>
        <w:pStyle w:val="ActHead2"/>
        <w:pageBreakBefore/>
      </w:pPr>
      <w:bookmarkStart w:id="8" w:name="_Toc76648299"/>
      <w:r w:rsidRPr="00997E2A">
        <w:rPr>
          <w:rStyle w:val="CharPartNo"/>
        </w:rPr>
        <w:t>Part</w:t>
      </w:r>
      <w:r w:rsidR="00997E2A" w:rsidRPr="00997E2A">
        <w:rPr>
          <w:rStyle w:val="CharPartNo"/>
        </w:rPr>
        <w:t> </w:t>
      </w:r>
      <w:r w:rsidRPr="00997E2A">
        <w:rPr>
          <w:rStyle w:val="CharPartNo"/>
        </w:rPr>
        <w:t>2</w:t>
      </w:r>
      <w:r w:rsidRPr="00997E2A">
        <w:t>—</w:t>
      </w:r>
      <w:r w:rsidRPr="00997E2A">
        <w:rPr>
          <w:rStyle w:val="CharPartText"/>
        </w:rPr>
        <w:t>Requirements for all quad bikes</w:t>
      </w:r>
      <w:bookmarkEnd w:id="8"/>
    </w:p>
    <w:p w:rsidR="00A00582" w:rsidRPr="00997E2A" w:rsidRDefault="00A00582" w:rsidP="00A00582">
      <w:pPr>
        <w:pStyle w:val="Header"/>
      </w:pPr>
      <w:r w:rsidRPr="00997E2A">
        <w:rPr>
          <w:rStyle w:val="CharDivNo"/>
        </w:rPr>
        <w:t xml:space="preserve"> </w:t>
      </w:r>
      <w:r w:rsidRPr="00997E2A">
        <w:rPr>
          <w:rStyle w:val="CharDivText"/>
        </w:rPr>
        <w:t xml:space="preserve"> </w:t>
      </w:r>
    </w:p>
    <w:p w:rsidR="00A00582" w:rsidRPr="00997E2A" w:rsidRDefault="00A00582" w:rsidP="00A00582">
      <w:pPr>
        <w:pStyle w:val="ActHead5"/>
      </w:pPr>
      <w:bookmarkStart w:id="9" w:name="_Toc76648300"/>
      <w:r w:rsidRPr="00997E2A">
        <w:rPr>
          <w:rStyle w:val="CharSectno"/>
        </w:rPr>
        <w:t>8</w:t>
      </w:r>
      <w:r w:rsidRPr="00997E2A">
        <w:t xml:space="preserve">  Scope of this Part</w:t>
      </w:r>
      <w:bookmarkEnd w:id="9"/>
    </w:p>
    <w:p w:rsidR="00A00582" w:rsidRPr="00997E2A" w:rsidRDefault="00A00582" w:rsidP="00A00582">
      <w:pPr>
        <w:pStyle w:val="subsection"/>
      </w:pPr>
      <w:r w:rsidRPr="00997E2A">
        <w:tab/>
      </w:r>
      <w:r w:rsidRPr="00997E2A">
        <w:tab/>
        <w:t>Quad bikes of all types and categories mentioned in section</w:t>
      </w:r>
      <w:r w:rsidR="00997E2A" w:rsidRPr="00997E2A">
        <w:t> </w:t>
      </w:r>
      <w:r w:rsidRPr="00997E2A">
        <w:t>5 must comply with the following requirements:</w:t>
      </w:r>
    </w:p>
    <w:p w:rsidR="00A00582" w:rsidRPr="00997E2A" w:rsidRDefault="00A00582" w:rsidP="00A00582">
      <w:pPr>
        <w:pStyle w:val="paragraph"/>
      </w:pPr>
      <w:r w:rsidRPr="00997E2A">
        <w:tab/>
        <w:t>(a)</w:t>
      </w:r>
      <w:r w:rsidRPr="00997E2A">
        <w:tab/>
        <w:t>the requirements covered by section</w:t>
      </w:r>
      <w:r w:rsidR="00997E2A" w:rsidRPr="00997E2A">
        <w:t> </w:t>
      </w:r>
      <w:r w:rsidRPr="00997E2A">
        <w:t>9 or 10;</w:t>
      </w:r>
    </w:p>
    <w:p w:rsidR="00A00582" w:rsidRPr="00997E2A" w:rsidRDefault="00A00582" w:rsidP="00A00582">
      <w:pPr>
        <w:pStyle w:val="paragraph"/>
      </w:pPr>
      <w:r w:rsidRPr="00997E2A">
        <w:tab/>
        <w:t>(b)</w:t>
      </w:r>
      <w:r w:rsidRPr="00997E2A">
        <w:tab/>
        <w:t>the requirements covered by sections</w:t>
      </w:r>
      <w:r w:rsidR="00997E2A" w:rsidRPr="00997E2A">
        <w:t> </w:t>
      </w:r>
      <w:r w:rsidRPr="00997E2A">
        <w:t>11, 12 and 13.</w:t>
      </w:r>
    </w:p>
    <w:p w:rsidR="00A00582" w:rsidRPr="00997E2A" w:rsidRDefault="00A00582" w:rsidP="00A00582">
      <w:pPr>
        <w:pStyle w:val="notetext"/>
      </w:pPr>
      <w:r w:rsidRPr="00997E2A">
        <w:t>Note 1:</w:t>
      </w:r>
      <w:r w:rsidRPr="00997E2A">
        <w:tab/>
        <w:t xml:space="preserve">On request by the regulator, a supplier of quad bikes may be required to nominate the applicable safety standard under </w:t>
      </w:r>
      <w:r w:rsidR="00997E2A" w:rsidRPr="00997E2A">
        <w:t>paragraph (</w:t>
      </w:r>
      <w:r w:rsidRPr="00997E2A">
        <w:t>a): see section</w:t>
      </w:r>
      <w:r w:rsidR="00997E2A" w:rsidRPr="00997E2A">
        <w:t> </w:t>
      </w:r>
      <w:r w:rsidRPr="00997E2A">
        <w:t>108 of the Australian Consumer Law.</w:t>
      </w:r>
    </w:p>
    <w:p w:rsidR="00A00582" w:rsidRPr="00997E2A" w:rsidRDefault="00A00582" w:rsidP="00A00582">
      <w:pPr>
        <w:pStyle w:val="notetext"/>
      </w:pPr>
      <w:r w:rsidRPr="00997E2A">
        <w:t>Note 2:</w:t>
      </w:r>
      <w:r w:rsidRPr="00997E2A">
        <w:tab/>
        <w:t>This Part starts to apply 12 months after this instrument commences (see section</w:t>
      </w:r>
      <w:r w:rsidR="00997E2A" w:rsidRPr="00997E2A">
        <w:t> </w:t>
      </w:r>
      <w:r w:rsidRPr="00997E2A">
        <w:t>17). The requirements in this Part become mandatory when this Part starts to apply.</w:t>
      </w:r>
    </w:p>
    <w:p w:rsidR="00A00582" w:rsidRPr="00997E2A" w:rsidRDefault="00A00582" w:rsidP="00A00582">
      <w:pPr>
        <w:pStyle w:val="ActHead5"/>
      </w:pPr>
      <w:bookmarkStart w:id="10" w:name="_Toc76648301"/>
      <w:r w:rsidRPr="00997E2A">
        <w:rPr>
          <w:rStyle w:val="CharSectno"/>
        </w:rPr>
        <w:t>9</w:t>
      </w:r>
      <w:r w:rsidRPr="00997E2A">
        <w:t xml:space="preserve">  Compliance with the US Standard</w:t>
      </w:r>
      <w:bookmarkEnd w:id="10"/>
    </w:p>
    <w:p w:rsidR="00A00582" w:rsidRPr="00997E2A" w:rsidRDefault="00A00582" w:rsidP="00A00582">
      <w:pPr>
        <w:pStyle w:val="subsection"/>
      </w:pPr>
      <w:r w:rsidRPr="00997E2A">
        <w:tab/>
      </w:r>
      <w:r w:rsidRPr="00997E2A">
        <w:tab/>
        <w:t>The requirements covered by this section are those set out in sections</w:t>
      </w:r>
      <w:r w:rsidR="00997E2A" w:rsidRPr="00997E2A">
        <w:t> </w:t>
      </w:r>
      <w:r w:rsidRPr="00997E2A">
        <w:t xml:space="preserve">4 to </w:t>
      </w:r>
      <w:r w:rsidR="00922CA6" w:rsidRPr="00997E2A">
        <w:t>8</w:t>
      </w:r>
      <w:r w:rsidRPr="00997E2A">
        <w:t xml:space="preserve"> of the US Standard (including the related Figures set out in the standard), subject to the following modifications:</w:t>
      </w:r>
    </w:p>
    <w:p w:rsidR="00A00582" w:rsidRPr="00997E2A" w:rsidRDefault="00A00582" w:rsidP="00A00582">
      <w:pPr>
        <w:pStyle w:val="paragraph"/>
      </w:pPr>
      <w:r w:rsidRPr="00997E2A">
        <w:tab/>
        <w:t>(a)</w:t>
      </w:r>
      <w:r w:rsidRPr="00997E2A">
        <w:tab/>
        <w:t>omit section</w:t>
      </w:r>
      <w:r w:rsidR="00997E2A" w:rsidRPr="00997E2A">
        <w:t> </w:t>
      </w:r>
      <w:r w:rsidRPr="00997E2A">
        <w:t>4.18, substitute the following section:</w:t>
      </w:r>
    </w:p>
    <w:p w:rsidR="00FB0762" w:rsidRPr="00997E2A" w:rsidRDefault="00A00582" w:rsidP="00A00582">
      <w:pPr>
        <w:pStyle w:val="paragraph"/>
      </w:pPr>
      <w:r w:rsidRPr="00997E2A">
        <w:tab/>
      </w:r>
      <w:r w:rsidRPr="00997E2A">
        <w:tab/>
      </w:r>
      <w:r w:rsidRPr="00997E2A">
        <w:rPr>
          <w:b/>
        </w:rPr>
        <w:t xml:space="preserve">4.18 Spark Arrester. </w:t>
      </w:r>
      <w:r w:rsidRPr="00997E2A">
        <w:t xml:space="preserve">All ATVs (quad bikes) equipped with an internal combustion engine shall have </w:t>
      </w:r>
      <w:r w:rsidR="00FB0762" w:rsidRPr="00997E2A">
        <w:t>a spark arrester of a type that:</w:t>
      </w:r>
    </w:p>
    <w:p w:rsidR="00A00582" w:rsidRPr="00997E2A" w:rsidRDefault="00FB0762" w:rsidP="00FB0762">
      <w:pPr>
        <w:pStyle w:val="paragraphsub"/>
      </w:pPr>
      <w:r w:rsidRPr="00997E2A">
        <w:tab/>
        <w:t>(</w:t>
      </w:r>
      <w:r w:rsidR="006D02ED" w:rsidRPr="00997E2A">
        <w:t>i</w:t>
      </w:r>
      <w:r w:rsidRPr="00997E2A">
        <w:t>)</w:t>
      </w:r>
      <w:r w:rsidRPr="00997E2A">
        <w:tab/>
      </w:r>
      <w:r w:rsidR="00A00582" w:rsidRPr="00997E2A">
        <w:t xml:space="preserve">meets the requirements of Australian Standard </w:t>
      </w:r>
      <w:r w:rsidR="00A00582" w:rsidRPr="00997E2A">
        <w:rPr>
          <w:i/>
        </w:rPr>
        <w:t>AS 1019</w:t>
      </w:r>
      <w:r w:rsidR="00997E2A">
        <w:rPr>
          <w:i/>
        </w:rPr>
        <w:noBreakHyphen/>
      </w:r>
      <w:r w:rsidR="00A00582" w:rsidRPr="00997E2A">
        <w:rPr>
          <w:i/>
        </w:rPr>
        <w:t xml:space="preserve">2000: Internal combustion engines—Spark emission control devices, </w:t>
      </w:r>
      <w:r w:rsidR="00A00582" w:rsidRPr="00997E2A">
        <w:t>published by Standards Australia;</w:t>
      </w:r>
      <w:r w:rsidRPr="00997E2A">
        <w:t xml:space="preserve"> or</w:t>
      </w:r>
    </w:p>
    <w:p w:rsidR="004618AC" w:rsidRPr="00997E2A" w:rsidRDefault="00FB0762" w:rsidP="004618AC">
      <w:pPr>
        <w:pStyle w:val="paragraphsub"/>
      </w:pPr>
      <w:r w:rsidRPr="00997E2A">
        <w:tab/>
        <w:t>(</w:t>
      </w:r>
      <w:r w:rsidR="006D02ED" w:rsidRPr="00997E2A">
        <w:t>ii</w:t>
      </w:r>
      <w:r w:rsidRPr="00997E2A">
        <w:t>)</w:t>
      </w:r>
      <w:r w:rsidRPr="00997E2A">
        <w:tab/>
      </w:r>
      <w:r w:rsidR="004618AC" w:rsidRPr="00997E2A">
        <w:t xml:space="preserve">is qualified according to </w:t>
      </w:r>
      <w:r w:rsidR="004618AC" w:rsidRPr="00997E2A">
        <w:rPr>
          <w:i/>
        </w:rPr>
        <w:t>Standard 5100</w:t>
      </w:r>
      <w:r w:rsidR="00997E2A">
        <w:rPr>
          <w:i/>
        </w:rPr>
        <w:noBreakHyphen/>
      </w:r>
      <w:r w:rsidR="00A22E6C" w:rsidRPr="00997E2A">
        <w:rPr>
          <w:i/>
        </w:rPr>
        <w:t xml:space="preserve">1d: Standard </w:t>
      </w:r>
      <w:r w:rsidR="004618AC" w:rsidRPr="00997E2A">
        <w:rPr>
          <w:i/>
        </w:rPr>
        <w:t>for Spark Arresters for Internal Combustion Engines</w:t>
      </w:r>
      <w:r w:rsidR="00A22E6C" w:rsidRPr="00997E2A">
        <w:t xml:space="preserve"> </w:t>
      </w:r>
      <w:r w:rsidR="004618AC" w:rsidRPr="00997E2A">
        <w:t>published by the United States Department of Agriculture Forest Service in February 2013;</w:t>
      </w:r>
    </w:p>
    <w:p w:rsidR="00A00582" w:rsidRPr="00997E2A" w:rsidRDefault="00A00582" w:rsidP="00A00582">
      <w:pPr>
        <w:pStyle w:val="paragraph"/>
      </w:pPr>
      <w:r w:rsidRPr="00997E2A">
        <w:tab/>
        <w:t>(b)</w:t>
      </w:r>
      <w:r w:rsidRPr="00997E2A">
        <w:tab/>
        <w:t>add at the end of section</w:t>
      </w:r>
      <w:r w:rsidR="00997E2A" w:rsidRPr="00997E2A">
        <w:t> </w:t>
      </w:r>
      <w:r w:rsidRPr="00997E2A">
        <w:t>4.21.1 (which provides for the general requirements for owners’ manuals) the following subsection:</w:t>
      </w:r>
    </w:p>
    <w:p w:rsidR="00A00582" w:rsidRPr="00997E2A" w:rsidRDefault="00A00582" w:rsidP="00A00582">
      <w:pPr>
        <w:pStyle w:val="paragraph"/>
      </w:pPr>
      <w:r w:rsidRPr="00997E2A">
        <w:tab/>
      </w:r>
      <w:r w:rsidRPr="00997E2A">
        <w:tab/>
        <w:t>(3)  The owner’s manual shall</w:t>
      </w:r>
      <w:r w:rsidRPr="00997E2A">
        <w:rPr>
          <w:i/>
        </w:rPr>
        <w:t xml:space="preserve"> </w:t>
      </w:r>
      <w:r w:rsidRPr="00997E2A">
        <w:rPr>
          <w:rFonts w:eastAsia="Arial"/>
        </w:rPr>
        <w:t>provide information alerting consumers to the risk of</w:t>
      </w:r>
      <w:r w:rsidRPr="00997E2A">
        <w:t xml:space="preserve"> </w:t>
      </w:r>
      <w:r w:rsidRPr="00997E2A">
        <w:rPr>
          <w:rFonts w:eastAsia="Arial"/>
        </w:rPr>
        <w:t>rollovers</w:t>
      </w:r>
      <w:r w:rsidRPr="00997E2A">
        <w:t>, when the risk of rollover is increased (for example on inclined terrain, while carrying a load, when there are hidden objects on the ground, wet or slippery surfaces) and how to best operate the ATV safely in higher risk conditions;</w:t>
      </w:r>
    </w:p>
    <w:p w:rsidR="00A00582" w:rsidRPr="00997E2A" w:rsidRDefault="00A00582" w:rsidP="00A00582">
      <w:pPr>
        <w:pStyle w:val="paragraph"/>
      </w:pPr>
      <w:r w:rsidRPr="00997E2A">
        <w:tab/>
        <w:t>(c)</w:t>
      </w:r>
      <w:r w:rsidRPr="00997E2A">
        <w:tab/>
        <w:t>a reference to each of the following terms is taken to be a reference to a quad bike within the meaning of section</w:t>
      </w:r>
      <w:r w:rsidR="00997E2A" w:rsidRPr="00997E2A">
        <w:t> </w:t>
      </w:r>
      <w:r w:rsidRPr="00997E2A">
        <w:t>5 of this instrument:</w:t>
      </w:r>
    </w:p>
    <w:p w:rsidR="00A00582" w:rsidRPr="00997E2A" w:rsidRDefault="00A00582" w:rsidP="00A00582">
      <w:pPr>
        <w:pStyle w:val="paragraphsub"/>
      </w:pPr>
      <w:r w:rsidRPr="00997E2A">
        <w:tab/>
        <w:t>(i)</w:t>
      </w:r>
      <w:r w:rsidRPr="00997E2A">
        <w:tab/>
        <w:t>all</w:t>
      </w:r>
      <w:r w:rsidR="00997E2A">
        <w:noBreakHyphen/>
      </w:r>
      <w:r w:rsidRPr="00997E2A">
        <w:t>terrain vehicle;</w:t>
      </w:r>
    </w:p>
    <w:p w:rsidR="00A00582" w:rsidRPr="00997E2A" w:rsidRDefault="00A00582" w:rsidP="00A00582">
      <w:pPr>
        <w:pStyle w:val="paragraphsub"/>
      </w:pPr>
      <w:r w:rsidRPr="00997E2A">
        <w:tab/>
        <w:t>(ii)</w:t>
      </w:r>
      <w:r w:rsidRPr="00997E2A">
        <w:tab/>
        <w:t>ATV.</w:t>
      </w:r>
    </w:p>
    <w:p w:rsidR="00A00582" w:rsidRPr="00997E2A" w:rsidRDefault="00A00582" w:rsidP="00A00582">
      <w:pPr>
        <w:pStyle w:val="notetext"/>
      </w:pPr>
      <w:r w:rsidRPr="00997E2A">
        <w:t>Note:</w:t>
      </w:r>
      <w:r w:rsidRPr="00997E2A">
        <w:tab/>
        <w:t>If a quad bike complies with section</w:t>
      </w:r>
      <w:r w:rsidR="00997E2A" w:rsidRPr="00997E2A">
        <w:t> </w:t>
      </w:r>
      <w:r w:rsidRPr="00997E2A">
        <w:t>9 (compliance with the US Standard), it is not required to comply with section</w:t>
      </w:r>
      <w:r w:rsidR="00997E2A" w:rsidRPr="00997E2A">
        <w:t> </w:t>
      </w:r>
      <w:r w:rsidRPr="00997E2A">
        <w:t>10 (compliance with the European Standard): see section</w:t>
      </w:r>
      <w:r w:rsidR="00997E2A" w:rsidRPr="00997E2A">
        <w:t> </w:t>
      </w:r>
      <w:r w:rsidRPr="00997E2A">
        <w:t>8.</w:t>
      </w:r>
    </w:p>
    <w:p w:rsidR="00A00582" w:rsidRPr="00997E2A" w:rsidRDefault="00A00582" w:rsidP="00A00582">
      <w:pPr>
        <w:pStyle w:val="ActHead5"/>
      </w:pPr>
      <w:bookmarkStart w:id="11" w:name="_Toc76648302"/>
      <w:r w:rsidRPr="00997E2A">
        <w:rPr>
          <w:rStyle w:val="CharSectno"/>
        </w:rPr>
        <w:t>10</w:t>
      </w:r>
      <w:r w:rsidRPr="00997E2A">
        <w:t xml:space="preserve">  Compliance with the European Standard</w:t>
      </w:r>
      <w:bookmarkEnd w:id="11"/>
    </w:p>
    <w:p w:rsidR="00A00582" w:rsidRPr="00997E2A" w:rsidRDefault="00A00582" w:rsidP="00A00582">
      <w:pPr>
        <w:pStyle w:val="subsection"/>
      </w:pPr>
      <w:r w:rsidRPr="00997E2A">
        <w:tab/>
      </w:r>
      <w:r w:rsidRPr="00997E2A">
        <w:tab/>
        <w:t>The requirements covered by this section are those set out in clauses</w:t>
      </w:r>
      <w:r w:rsidR="00997E2A" w:rsidRPr="00997E2A">
        <w:t> </w:t>
      </w:r>
      <w:r w:rsidR="00922CA6" w:rsidRPr="00997E2A">
        <w:t>5</w:t>
      </w:r>
      <w:r w:rsidRPr="00997E2A">
        <w:t xml:space="preserve"> to 7 of the European Standard (including the related annexes set out in the Standard), subject to the following modifications:</w:t>
      </w:r>
    </w:p>
    <w:p w:rsidR="00A00582" w:rsidRPr="00997E2A" w:rsidRDefault="00A00582" w:rsidP="00A00582">
      <w:pPr>
        <w:pStyle w:val="paragraph"/>
      </w:pPr>
      <w:r w:rsidRPr="00997E2A">
        <w:tab/>
        <w:t>(a)</w:t>
      </w:r>
      <w:r w:rsidRPr="00997E2A">
        <w:tab/>
        <w:t xml:space="preserve">omit </w:t>
      </w:r>
      <w:r w:rsidR="00141E5E" w:rsidRPr="00997E2A">
        <w:t>sub</w:t>
      </w:r>
      <w:r w:rsidRPr="00997E2A">
        <w:t>clause</w:t>
      </w:r>
      <w:r w:rsidR="00997E2A" w:rsidRPr="00997E2A">
        <w:t> </w:t>
      </w:r>
      <w:r w:rsidRPr="00997E2A">
        <w:t>5.2.18</w:t>
      </w:r>
      <w:r w:rsidR="00922CA6" w:rsidRPr="00997E2A">
        <w:t>.1</w:t>
      </w:r>
      <w:r w:rsidRPr="00997E2A">
        <w:t xml:space="preserve"> (</w:t>
      </w:r>
      <w:r w:rsidR="002F2361" w:rsidRPr="00997E2A">
        <w:t xml:space="preserve">Longitudinal </w:t>
      </w:r>
      <w:r w:rsidRPr="00997E2A">
        <w:t>stability) and annex</w:t>
      </w:r>
      <w:r w:rsidR="00997E2A" w:rsidRPr="00997E2A">
        <w:t> </w:t>
      </w:r>
      <w:r w:rsidRPr="00997E2A">
        <w:t>F;</w:t>
      </w:r>
    </w:p>
    <w:p w:rsidR="00A00582" w:rsidRPr="00997E2A" w:rsidRDefault="00A00582" w:rsidP="00A00582">
      <w:pPr>
        <w:pStyle w:val="paragraph"/>
      </w:pPr>
      <w:r w:rsidRPr="00997E2A">
        <w:tab/>
        <w:t>(b)</w:t>
      </w:r>
      <w:r w:rsidRPr="00997E2A">
        <w:tab/>
      </w:r>
      <w:r w:rsidR="004618AC" w:rsidRPr="00997E2A">
        <w:t>after</w:t>
      </w:r>
      <w:r w:rsidRPr="00997E2A">
        <w:t xml:space="preserve"> </w:t>
      </w:r>
      <w:r w:rsidR="00141E5E" w:rsidRPr="00997E2A">
        <w:t>sub</w:t>
      </w:r>
      <w:r w:rsidRPr="00997E2A">
        <w:t>clause</w:t>
      </w:r>
      <w:r w:rsidR="00997E2A" w:rsidRPr="00997E2A">
        <w:t> </w:t>
      </w:r>
      <w:r w:rsidRPr="00997E2A">
        <w:t>5.</w:t>
      </w:r>
      <w:r w:rsidR="004618AC" w:rsidRPr="00997E2A">
        <w:t>2.23</w:t>
      </w:r>
      <w:r w:rsidRPr="00997E2A">
        <w:t xml:space="preserve">, insert the following </w:t>
      </w:r>
      <w:r w:rsidR="00141E5E" w:rsidRPr="00997E2A">
        <w:t>sub</w:t>
      </w:r>
      <w:r w:rsidRPr="00997E2A">
        <w:t>clause:</w:t>
      </w:r>
    </w:p>
    <w:p w:rsidR="004618AC" w:rsidRPr="00997E2A" w:rsidRDefault="004618AC" w:rsidP="004618AC">
      <w:pPr>
        <w:pStyle w:val="paragraph"/>
      </w:pPr>
      <w:r w:rsidRPr="00997E2A">
        <w:tab/>
      </w:r>
      <w:r w:rsidRPr="00997E2A">
        <w:tab/>
      </w:r>
      <w:r w:rsidRPr="00997E2A">
        <w:rPr>
          <w:b/>
        </w:rPr>
        <w:t xml:space="preserve">5.2.24 Spark Arrester. </w:t>
      </w:r>
      <w:r w:rsidRPr="00997E2A">
        <w:t>All ATVs (quad bikes) equipped with an internal combustion engine shall have a spark arrester of a type that:</w:t>
      </w:r>
    </w:p>
    <w:p w:rsidR="004618AC" w:rsidRPr="00997E2A" w:rsidRDefault="004618AC" w:rsidP="004618AC">
      <w:pPr>
        <w:pStyle w:val="paragraphsub"/>
      </w:pPr>
      <w:r w:rsidRPr="00997E2A">
        <w:tab/>
        <w:t>(</w:t>
      </w:r>
      <w:r w:rsidR="006D02ED" w:rsidRPr="00997E2A">
        <w:t>i</w:t>
      </w:r>
      <w:r w:rsidRPr="00997E2A">
        <w:t>)</w:t>
      </w:r>
      <w:r w:rsidRPr="00997E2A">
        <w:tab/>
        <w:t xml:space="preserve">meets the requirements of Australian Standard </w:t>
      </w:r>
      <w:r w:rsidRPr="00997E2A">
        <w:rPr>
          <w:i/>
        </w:rPr>
        <w:t>AS 1019</w:t>
      </w:r>
      <w:r w:rsidR="00997E2A">
        <w:rPr>
          <w:i/>
        </w:rPr>
        <w:noBreakHyphen/>
      </w:r>
      <w:r w:rsidRPr="00997E2A">
        <w:rPr>
          <w:i/>
        </w:rPr>
        <w:t xml:space="preserve">2000: Internal combustion engines—Spark emission control devices, </w:t>
      </w:r>
      <w:r w:rsidRPr="00997E2A">
        <w:t>published by Standards Australia; or</w:t>
      </w:r>
    </w:p>
    <w:p w:rsidR="004618AC" w:rsidRPr="00997E2A" w:rsidRDefault="004618AC" w:rsidP="004618AC">
      <w:pPr>
        <w:pStyle w:val="paragraphsub"/>
      </w:pPr>
      <w:r w:rsidRPr="00997E2A">
        <w:tab/>
        <w:t>(</w:t>
      </w:r>
      <w:r w:rsidR="006D02ED" w:rsidRPr="00997E2A">
        <w:t>ii</w:t>
      </w:r>
      <w:r w:rsidRPr="00997E2A">
        <w:t>)</w:t>
      </w:r>
      <w:r w:rsidRPr="00997E2A">
        <w:tab/>
        <w:t xml:space="preserve">is qualified according to </w:t>
      </w:r>
      <w:r w:rsidR="00A22E6C" w:rsidRPr="00997E2A">
        <w:rPr>
          <w:i/>
        </w:rPr>
        <w:t>Standard 5100</w:t>
      </w:r>
      <w:r w:rsidR="00997E2A">
        <w:rPr>
          <w:i/>
        </w:rPr>
        <w:noBreakHyphen/>
      </w:r>
      <w:r w:rsidR="00A22E6C" w:rsidRPr="00997E2A">
        <w:rPr>
          <w:i/>
        </w:rPr>
        <w:t>1d: Standard for Spark Arresters for Internal Combustion Engines</w:t>
      </w:r>
      <w:r w:rsidRPr="00997E2A">
        <w:t xml:space="preserve"> published by the United States Department of Agriculture Forest Service in February 2013;</w:t>
      </w:r>
    </w:p>
    <w:p w:rsidR="00A00582" w:rsidRPr="00997E2A" w:rsidRDefault="00A00582" w:rsidP="00A00582">
      <w:pPr>
        <w:pStyle w:val="paragraph"/>
      </w:pPr>
      <w:r w:rsidRPr="00997E2A">
        <w:tab/>
        <w:t>(c)</w:t>
      </w:r>
      <w:r w:rsidRPr="00997E2A">
        <w:tab/>
      </w:r>
      <w:r w:rsidR="0065674E" w:rsidRPr="00997E2A">
        <w:t xml:space="preserve">after the second sentence of </w:t>
      </w:r>
      <w:r w:rsidR="00141E5E" w:rsidRPr="00997E2A">
        <w:t>subclause</w:t>
      </w:r>
      <w:r w:rsidR="00997E2A" w:rsidRPr="00997E2A">
        <w:t> </w:t>
      </w:r>
      <w:r w:rsidR="00141E5E" w:rsidRPr="00997E2A">
        <w:t>7.3</w:t>
      </w:r>
      <w:r w:rsidRPr="00997E2A">
        <w:t xml:space="preserve"> (which provides requirements for </w:t>
      </w:r>
      <w:r w:rsidR="00141E5E" w:rsidRPr="00997E2A">
        <w:t>instruction handbooks</w:t>
      </w:r>
      <w:r w:rsidRPr="00997E2A">
        <w:t>)</w:t>
      </w:r>
      <w:r w:rsidR="00141E5E" w:rsidRPr="00997E2A">
        <w:t xml:space="preserve">, </w:t>
      </w:r>
      <w:r w:rsidR="0065674E" w:rsidRPr="00997E2A">
        <w:t>insert</w:t>
      </w:r>
      <w:r w:rsidRPr="00997E2A">
        <w:t>:</w:t>
      </w:r>
    </w:p>
    <w:p w:rsidR="00A00582" w:rsidRPr="00997E2A" w:rsidRDefault="00A00582" w:rsidP="00A00582">
      <w:pPr>
        <w:pStyle w:val="paragraph"/>
      </w:pPr>
      <w:r w:rsidRPr="00997E2A">
        <w:tab/>
      </w:r>
      <w:r w:rsidRPr="00997E2A">
        <w:tab/>
      </w:r>
      <w:r w:rsidR="00141E5E" w:rsidRPr="00997E2A">
        <w:t>“In particular, t</w:t>
      </w:r>
      <w:r w:rsidRPr="00997E2A">
        <w:t xml:space="preserve">he </w:t>
      </w:r>
      <w:r w:rsidR="00286A70" w:rsidRPr="00997E2A">
        <w:t>instruction</w:t>
      </w:r>
      <w:r w:rsidR="00141E5E" w:rsidRPr="00997E2A">
        <w:t xml:space="preserve"> handbook </w:t>
      </w:r>
      <w:r w:rsidRPr="00997E2A">
        <w:t xml:space="preserve">shall </w:t>
      </w:r>
      <w:r w:rsidRPr="00997E2A">
        <w:rPr>
          <w:rFonts w:eastAsia="Arial"/>
        </w:rPr>
        <w:t>provide information alerting consumers to the risk of</w:t>
      </w:r>
      <w:r w:rsidRPr="00997E2A">
        <w:t xml:space="preserve"> </w:t>
      </w:r>
      <w:r w:rsidRPr="00997E2A">
        <w:rPr>
          <w:rFonts w:eastAsia="Arial"/>
        </w:rPr>
        <w:t>rollovers</w:t>
      </w:r>
      <w:r w:rsidRPr="00997E2A">
        <w:t>, when the risk of rollover is increased (for example on inclined terrain, while carrying a load, when there are hidden objects on the ground, wet or slippery surfaces) and how to best operate the vehicle s</w:t>
      </w:r>
      <w:r w:rsidR="00141E5E" w:rsidRPr="00997E2A">
        <w:t>afely in higher risk conditions.”;</w:t>
      </w:r>
    </w:p>
    <w:p w:rsidR="00A00582" w:rsidRPr="00997E2A" w:rsidRDefault="00A00582" w:rsidP="00A00582">
      <w:pPr>
        <w:pStyle w:val="paragraph"/>
      </w:pPr>
      <w:r w:rsidRPr="00997E2A">
        <w:tab/>
        <w:t>(d)</w:t>
      </w:r>
      <w:r w:rsidRPr="00997E2A">
        <w:tab/>
        <w:t>a reference to each of the following terms is taken to be a reference to a quad bike within the meaning of section</w:t>
      </w:r>
      <w:r w:rsidR="00997E2A" w:rsidRPr="00997E2A">
        <w:t> </w:t>
      </w:r>
      <w:r w:rsidRPr="00997E2A">
        <w:t>5 of this instrument:</w:t>
      </w:r>
    </w:p>
    <w:p w:rsidR="00A00582" w:rsidRPr="00997E2A" w:rsidRDefault="00A00582" w:rsidP="00A00582">
      <w:pPr>
        <w:pStyle w:val="paragraphsub"/>
      </w:pPr>
      <w:r w:rsidRPr="00997E2A">
        <w:tab/>
        <w:t>(i)</w:t>
      </w:r>
      <w:r w:rsidRPr="00997E2A">
        <w:tab/>
        <w:t>all</w:t>
      </w:r>
      <w:r w:rsidR="00997E2A">
        <w:noBreakHyphen/>
      </w:r>
      <w:r w:rsidRPr="00997E2A">
        <w:t>terrain vehicle;</w:t>
      </w:r>
    </w:p>
    <w:p w:rsidR="00A00582" w:rsidRPr="00997E2A" w:rsidRDefault="00A00582" w:rsidP="00A00582">
      <w:pPr>
        <w:pStyle w:val="paragraphsub"/>
      </w:pPr>
      <w:r w:rsidRPr="00997E2A">
        <w:tab/>
        <w:t>(ii)</w:t>
      </w:r>
      <w:r w:rsidRPr="00997E2A">
        <w:tab/>
        <w:t>ATV.</w:t>
      </w:r>
    </w:p>
    <w:p w:rsidR="00A00582" w:rsidRPr="00997E2A" w:rsidRDefault="00A00582" w:rsidP="00A00582">
      <w:pPr>
        <w:pStyle w:val="notetext"/>
      </w:pPr>
      <w:r w:rsidRPr="00997E2A">
        <w:t>Note:</w:t>
      </w:r>
      <w:r w:rsidRPr="00997E2A">
        <w:tab/>
        <w:t>If a quad bike complies with section</w:t>
      </w:r>
      <w:r w:rsidR="00997E2A" w:rsidRPr="00997E2A">
        <w:t> </w:t>
      </w:r>
      <w:r w:rsidRPr="00997E2A">
        <w:t>10 (compliance with the European Standard), it is not required to comply with section</w:t>
      </w:r>
      <w:r w:rsidR="00997E2A" w:rsidRPr="00997E2A">
        <w:t> </w:t>
      </w:r>
      <w:r w:rsidRPr="00997E2A">
        <w:t>9 (compliance with the US Standard): see section</w:t>
      </w:r>
      <w:r w:rsidR="00997E2A" w:rsidRPr="00997E2A">
        <w:t> </w:t>
      </w:r>
      <w:r w:rsidRPr="00997E2A">
        <w:t>8.</w:t>
      </w:r>
    </w:p>
    <w:p w:rsidR="00A00582" w:rsidRPr="00997E2A" w:rsidRDefault="00A00582" w:rsidP="00A00582">
      <w:pPr>
        <w:pStyle w:val="ActHead5"/>
      </w:pPr>
      <w:bookmarkStart w:id="12" w:name="_Toc76648303"/>
      <w:r w:rsidRPr="00997E2A">
        <w:rPr>
          <w:rStyle w:val="CharSectno"/>
        </w:rPr>
        <w:t>11</w:t>
      </w:r>
      <w:r w:rsidRPr="00997E2A">
        <w:t xml:space="preserve">  Rollover warning label</w:t>
      </w:r>
      <w:bookmarkEnd w:id="12"/>
    </w:p>
    <w:p w:rsidR="00A00582" w:rsidRPr="00997E2A" w:rsidRDefault="00A00582" w:rsidP="00A00582">
      <w:pPr>
        <w:pStyle w:val="subsection"/>
      </w:pPr>
      <w:r w:rsidRPr="00997E2A">
        <w:tab/>
        <w:t>(1)</w:t>
      </w:r>
      <w:r w:rsidRPr="00997E2A">
        <w:tab/>
        <w:t xml:space="preserve">A warning (the </w:t>
      </w:r>
      <w:r w:rsidRPr="00997E2A">
        <w:rPr>
          <w:b/>
          <w:i/>
        </w:rPr>
        <w:t>rollover warning</w:t>
      </w:r>
      <w:r w:rsidRPr="00997E2A">
        <w:t>) in the form, and with the content, required by this section must be fixed to a quad bike so that, when the quad bike is used, it will be clearly visible and legible.</w:t>
      </w:r>
    </w:p>
    <w:p w:rsidR="00A00582" w:rsidRPr="00997E2A" w:rsidRDefault="00A00582" w:rsidP="00A00582">
      <w:pPr>
        <w:pStyle w:val="subsection"/>
      </w:pPr>
      <w:r w:rsidRPr="00997E2A">
        <w:tab/>
        <w:t>(2)</w:t>
      </w:r>
      <w:r w:rsidRPr="00997E2A">
        <w:tab/>
        <w:t>The rollover warning must be 73 mm high and 75 mm wide, or have larger dimensions in the same proportion.</w:t>
      </w:r>
    </w:p>
    <w:p w:rsidR="00A00582" w:rsidRPr="00997E2A" w:rsidRDefault="00A00582" w:rsidP="00A00582">
      <w:pPr>
        <w:pStyle w:val="subsection"/>
      </w:pPr>
      <w:r w:rsidRPr="00997E2A">
        <w:tab/>
        <w:t>(3)</w:t>
      </w:r>
      <w:r w:rsidRPr="00997E2A">
        <w:tab/>
        <w:t xml:space="preserve">The rollover warning must have the following form and content (scaled to dimensions complying with </w:t>
      </w:r>
      <w:r w:rsidR="00997E2A" w:rsidRPr="00997E2A">
        <w:t>subsection (</w:t>
      </w:r>
      <w:r w:rsidRPr="00997E2A">
        <w:t>2)):</w:t>
      </w:r>
    </w:p>
    <w:p w:rsidR="00A00582" w:rsidRPr="00997E2A" w:rsidRDefault="00A00582" w:rsidP="00A00582">
      <w:pPr>
        <w:pStyle w:val="subsection"/>
        <w:keepNext/>
        <w:ind w:left="2155"/>
      </w:pPr>
      <w:r w:rsidRPr="00997E2A">
        <w:rPr>
          <w:rFonts w:asciiTheme="minorHAnsi" w:eastAsia="Arial" w:hAnsiTheme="minorHAnsi" w:cstheme="minorHAnsi"/>
          <w:noProof/>
          <w:color w:val="FF0000"/>
          <w:szCs w:val="22"/>
        </w:rPr>
        <w:drawing>
          <wp:inline distT="0" distB="0" distL="0" distR="0" wp14:anchorId="5E82C440" wp14:editId="59AFC3A9">
            <wp:extent cx="2702560" cy="2627630"/>
            <wp:effectExtent l="0" t="0" r="2540" b="1270"/>
            <wp:docPr id="3" name="Picture 3" descr="C:\Users\hornn\AppData\Local\Microsoft\Windows\Temporary Internet Files\Content.Outlook\0URCG81X\1434_Quad Bike Safety Labe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rnn\AppData\Local\Microsoft\Windows\Temporary Internet Files\Content.Outlook\0URCG81X\1434_Quad Bike Safety Label (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02560" cy="2627630"/>
                    </a:xfrm>
                    <a:prstGeom prst="rect">
                      <a:avLst/>
                    </a:prstGeom>
                    <a:noFill/>
                    <a:ln>
                      <a:noFill/>
                    </a:ln>
                  </pic:spPr>
                </pic:pic>
              </a:graphicData>
            </a:graphic>
          </wp:inline>
        </w:drawing>
      </w:r>
    </w:p>
    <w:p w:rsidR="00A00582" w:rsidRPr="00997E2A" w:rsidRDefault="00A00582" w:rsidP="00A00582">
      <w:pPr>
        <w:pStyle w:val="ActHead5"/>
      </w:pPr>
      <w:bookmarkStart w:id="13" w:name="_Toc76648304"/>
      <w:r w:rsidRPr="00997E2A">
        <w:rPr>
          <w:rStyle w:val="CharSectno"/>
        </w:rPr>
        <w:t>12</w:t>
      </w:r>
      <w:r w:rsidRPr="00997E2A">
        <w:t xml:space="preserve">  Lateral roll stability testing</w:t>
      </w:r>
      <w:bookmarkEnd w:id="13"/>
    </w:p>
    <w:p w:rsidR="00A00582" w:rsidRPr="00997E2A" w:rsidRDefault="00A00582" w:rsidP="00A00582">
      <w:pPr>
        <w:pStyle w:val="subsection"/>
      </w:pPr>
      <w:r w:rsidRPr="00997E2A">
        <w:tab/>
      </w:r>
      <w:r w:rsidRPr="00997E2A">
        <w:tab/>
        <w:t>The lateral roll stability of each type and category of quad bike must be tested in accordance with Schedule</w:t>
      </w:r>
      <w:r w:rsidR="00997E2A" w:rsidRPr="00997E2A">
        <w:t> </w:t>
      </w:r>
      <w:r w:rsidRPr="00997E2A">
        <w:t>1.</w:t>
      </w:r>
    </w:p>
    <w:p w:rsidR="00A00582" w:rsidRPr="00997E2A" w:rsidRDefault="00A00582" w:rsidP="00A00582">
      <w:pPr>
        <w:pStyle w:val="notetext"/>
      </w:pPr>
      <w:r w:rsidRPr="00997E2A">
        <w:t>Note:</w:t>
      </w:r>
      <w:r w:rsidRPr="00997E2A">
        <w:tab/>
        <w:t>General use quad bikes must meet minimum lateral stability and forward and rearward pitch standards: see section</w:t>
      </w:r>
      <w:r w:rsidR="00997E2A" w:rsidRPr="00997E2A">
        <w:t> </w:t>
      </w:r>
      <w:r w:rsidRPr="00997E2A">
        <w:t>16.</w:t>
      </w:r>
    </w:p>
    <w:p w:rsidR="00A00582" w:rsidRPr="00997E2A" w:rsidRDefault="00A00582" w:rsidP="00A00582">
      <w:pPr>
        <w:pStyle w:val="ActHead5"/>
      </w:pPr>
      <w:bookmarkStart w:id="14" w:name="_Toc76648305"/>
      <w:r w:rsidRPr="00997E2A">
        <w:rPr>
          <w:rStyle w:val="CharSectno"/>
        </w:rPr>
        <w:t>13</w:t>
      </w:r>
      <w:r w:rsidRPr="00997E2A">
        <w:t xml:space="preserve">  Lateral roll stability tag</w:t>
      </w:r>
      <w:bookmarkEnd w:id="14"/>
    </w:p>
    <w:p w:rsidR="00A00582" w:rsidRPr="00997E2A" w:rsidRDefault="00A00582" w:rsidP="00A00582">
      <w:pPr>
        <w:pStyle w:val="subsection"/>
      </w:pPr>
      <w:r w:rsidRPr="00997E2A">
        <w:tab/>
        <w:t>(1)</w:t>
      </w:r>
      <w:r w:rsidRPr="00997E2A">
        <w:tab/>
        <w:t xml:space="preserve">A tag (the </w:t>
      </w:r>
      <w:r w:rsidRPr="00997E2A">
        <w:rPr>
          <w:b/>
          <w:i/>
        </w:rPr>
        <w:t>lateral roll stability tag</w:t>
      </w:r>
      <w:r w:rsidRPr="00997E2A">
        <w:t>) in the form, and with the content, required by this section must be attached to a quad bike so that it is clearly visible and legible.</w:t>
      </w:r>
    </w:p>
    <w:p w:rsidR="00A00582" w:rsidRPr="00997E2A" w:rsidRDefault="00A00582" w:rsidP="00A00582">
      <w:pPr>
        <w:pStyle w:val="subsection"/>
      </w:pPr>
      <w:r w:rsidRPr="00997E2A">
        <w:tab/>
        <w:t>(2)</w:t>
      </w:r>
      <w:r w:rsidRPr="00997E2A">
        <w:tab/>
        <w:t xml:space="preserve">The lateral roll stability tag for a quad bike must record, in the form indicated under </w:t>
      </w:r>
      <w:r w:rsidR="00997E2A" w:rsidRPr="00997E2A">
        <w:t>subsection (</w:t>
      </w:r>
      <w:r w:rsidRPr="00997E2A">
        <w:t>4), the minimum angle the quad bike tipped sideways onto 2 wheels (its tilt table angle) when that type and category of quad bike was tested under section</w:t>
      </w:r>
      <w:r w:rsidR="00997E2A" w:rsidRPr="00997E2A">
        <w:t> </w:t>
      </w:r>
      <w:r w:rsidRPr="00997E2A">
        <w:t>12 (see also Division</w:t>
      </w:r>
      <w:r w:rsidR="00997E2A" w:rsidRPr="00997E2A">
        <w:t> </w:t>
      </w:r>
      <w:r w:rsidRPr="00997E2A">
        <w:t>6.1 of Schedule</w:t>
      </w:r>
      <w:r w:rsidR="00997E2A" w:rsidRPr="00997E2A">
        <w:t> </w:t>
      </w:r>
      <w:r w:rsidRPr="00997E2A">
        <w:t>1).</w:t>
      </w:r>
    </w:p>
    <w:p w:rsidR="00A00582" w:rsidRPr="00997E2A" w:rsidRDefault="00A00582" w:rsidP="00A00582">
      <w:pPr>
        <w:pStyle w:val="subsection"/>
      </w:pPr>
      <w:r w:rsidRPr="00997E2A">
        <w:tab/>
        <w:t>(3)</w:t>
      </w:r>
      <w:r w:rsidRPr="00997E2A">
        <w:tab/>
        <w:t>The lateral roll stability tag must be 178 mm high and 113 mm wide, or have larger dimensions in the same proportion.</w:t>
      </w:r>
    </w:p>
    <w:p w:rsidR="00A00582" w:rsidRPr="00997E2A" w:rsidRDefault="00A00582" w:rsidP="00A00582">
      <w:pPr>
        <w:pStyle w:val="subsection"/>
      </w:pPr>
      <w:r w:rsidRPr="00997E2A">
        <w:tab/>
        <w:t>(4)</w:t>
      </w:r>
      <w:r w:rsidRPr="00997E2A">
        <w:tab/>
        <w:t xml:space="preserve">The lateral roll stability tag must have the following form and content (scaled to dimensions complying with </w:t>
      </w:r>
      <w:r w:rsidR="00997E2A" w:rsidRPr="00997E2A">
        <w:t>subsection (</w:t>
      </w:r>
      <w:r w:rsidRPr="00997E2A">
        <w:t>3)):</w:t>
      </w:r>
    </w:p>
    <w:p w:rsidR="00A00582" w:rsidRPr="00997E2A" w:rsidRDefault="00A00582" w:rsidP="00A00582">
      <w:pPr>
        <w:pStyle w:val="subsection"/>
        <w:ind w:left="2155"/>
      </w:pPr>
      <w:r w:rsidRPr="00997E2A">
        <w:rPr>
          <w:noProof/>
        </w:rPr>
        <w:drawing>
          <wp:inline distT="0" distB="0" distL="0" distR="0" wp14:anchorId="46F20043" wp14:editId="4D00EA53">
            <wp:extent cx="4068445" cy="6406515"/>
            <wp:effectExtent l="0" t="0" r="8255" b="0"/>
            <wp:docPr id="2" name="Picture 2" descr="C:\Users\hornn\AppData\Local\Microsoft\Windows\Temporary Internet Files\Content.Outlook\0URCG81X\1434_Quad Bike Safety Tag_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nn\AppData\Local\Microsoft\Windows\Temporary Internet Files\Content.Outlook\0URCG81X\1434_Quad Bike Safety Tag_1 (2).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68445" cy="6406515"/>
                    </a:xfrm>
                    <a:prstGeom prst="rect">
                      <a:avLst/>
                    </a:prstGeom>
                    <a:noFill/>
                    <a:ln>
                      <a:noFill/>
                    </a:ln>
                  </pic:spPr>
                </pic:pic>
              </a:graphicData>
            </a:graphic>
          </wp:inline>
        </w:drawing>
      </w:r>
    </w:p>
    <w:p w:rsidR="00A00582" w:rsidRPr="00997E2A" w:rsidRDefault="00A00582" w:rsidP="00A00582">
      <w:pPr>
        <w:pStyle w:val="ActHead2"/>
        <w:pageBreakBefore/>
      </w:pPr>
      <w:bookmarkStart w:id="15" w:name="_Toc76648306"/>
      <w:r w:rsidRPr="00997E2A">
        <w:rPr>
          <w:rStyle w:val="CharPartNo"/>
        </w:rPr>
        <w:t>Part</w:t>
      </w:r>
      <w:r w:rsidR="00997E2A" w:rsidRPr="00997E2A">
        <w:rPr>
          <w:rStyle w:val="CharPartNo"/>
        </w:rPr>
        <w:t> </w:t>
      </w:r>
      <w:r w:rsidRPr="00997E2A">
        <w:rPr>
          <w:rStyle w:val="CharPartNo"/>
        </w:rPr>
        <w:t>3</w:t>
      </w:r>
      <w:r w:rsidRPr="00997E2A">
        <w:t>—</w:t>
      </w:r>
      <w:r w:rsidRPr="00997E2A">
        <w:rPr>
          <w:rStyle w:val="CharPartText"/>
        </w:rPr>
        <w:t>Requirements for general use quad bikes</w:t>
      </w:r>
      <w:bookmarkEnd w:id="15"/>
    </w:p>
    <w:p w:rsidR="00A00582" w:rsidRPr="00997E2A" w:rsidRDefault="00A00582" w:rsidP="00A00582">
      <w:pPr>
        <w:pStyle w:val="Header"/>
      </w:pPr>
      <w:r w:rsidRPr="00997E2A">
        <w:rPr>
          <w:rStyle w:val="CharDivNo"/>
        </w:rPr>
        <w:t xml:space="preserve"> </w:t>
      </w:r>
      <w:r w:rsidRPr="00997E2A">
        <w:rPr>
          <w:rStyle w:val="CharDivText"/>
        </w:rPr>
        <w:t xml:space="preserve"> </w:t>
      </w:r>
    </w:p>
    <w:p w:rsidR="00A00582" w:rsidRPr="00997E2A" w:rsidRDefault="00A00582" w:rsidP="00A00582">
      <w:pPr>
        <w:pStyle w:val="ActHead5"/>
      </w:pPr>
      <w:bookmarkStart w:id="16" w:name="_Toc76648307"/>
      <w:r w:rsidRPr="00997E2A">
        <w:rPr>
          <w:rStyle w:val="CharSectno"/>
        </w:rPr>
        <w:t>14</w:t>
      </w:r>
      <w:r w:rsidRPr="00997E2A">
        <w:t xml:space="preserve">  Scope of this Part</w:t>
      </w:r>
      <w:bookmarkEnd w:id="16"/>
    </w:p>
    <w:p w:rsidR="00A00582" w:rsidRPr="00997E2A" w:rsidRDefault="00A00582" w:rsidP="00A00582">
      <w:pPr>
        <w:pStyle w:val="subsection"/>
      </w:pPr>
      <w:r w:rsidRPr="00997E2A">
        <w:tab/>
      </w:r>
      <w:r w:rsidR="00BB0BDB" w:rsidRPr="001256DA">
        <w:t>(1)</w:t>
      </w:r>
      <w:r w:rsidRPr="00997E2A">
        <w:tab/>
        <w:t xml:space="preserve">General use quad bikes </w:t>
      </w:r>
      <w:r w:rsidR="002618A1" w:rsidRPr="001256DA">
        <w:t>(other than a general use quad bike covered by the exception in subsection (2))</w:t>
      </w:r>
      <w:r w:rsidR="002618A1">
        <w:t xml:space="preserve"> </w:t>
      </w:r>
      <w:r w:rsidRPr="00997E2A">
        <w:t>must comply with the requirements in sections</w:t>
      </w:r>
      <w:r w:rsidR="00997E2A" w:rsidRPr="00997E2A">
        <w:t> </w:t>
      </w:r>
      <w:r w:rsidRPr="00997E2A">
        <w:t>15 and 16.</w:t>
      </w:r>
    </w:p>
    <w:p w:rsidR="00A00582" w:rsidRPr="00997E2A" w:rsidRDefault="00A00582" w:rsidP="00A00582">
      <w:pPr>
        <w:pStyle w:val="notetext"/>
      </w:pPr>
      <w:r w:rsidRPr="00997E2A">
        <w:t>Note 1:</w:t>
      </w:r>
      <w:r w:rsidRPr="00997E2A">
        <w:tab/>
        <w:t xml:space="preserve">General use quad bikes are Type I, Category G quad bikes and Type II, Category G quad bikes: see the definition of </w:t>
      </w:r>
      <w:r w:rsidR="00BA395D" w:rsidRPr="00997E2A">
        <w:rPr>
          <w:b/>
          <w:i/>
        </w:rPr>
        <w:t>general use quad bike</w:t>
      </w:r>
      <w:r w:rsidR="002E203D" w:rsidRPr="00997E2A">
        <w:rPr>
          <w:b/>
        </w:rPr>
        <w:t xml:space="preserve"> </w:t>
      </w:r>
      <w:r w:rsidRPr="00997E2A">
        <w:t>in section</w:t>
      </w:r>
      <w:r w:rsidR="00997E2A" w:rsidRPr="00997E2A">
        <w:t> </w:t>
      </w:r>
      <w:r w:rsidRPr="00997E2A">
        <w:t>4. For descriptions of each type and category, see section</w:t>
      </w:r>
      <w:r w:rsidR="00997E2A" w:rsidRPr="00997E2A">
        <w:t> </w:t>
      </w:r>
      <w:r w:rsidRPr="00997E2A">
        <w:t>5.</w:t>
      </w:r>
    </w:p>
    <w:p w:rsidR="00A00582" w:rsidRPr="00997E2A" w:rsidRDefault="00A00582" w:rsidP="00A00582">
      <w:pPr>
        <w:pStyle w:val="notetext"/>
      </w:pPr>
      <w:r w:rsidRPr="00997E2A">
        <w:t>Note 2:</w:t>
      </w:r>
      <w:r w:rsidRPr="00997E2A">
        <w:tab/>
        <w:t>This Part starts to apply 24 months after this instrument commences (see section</w:t>
      </w:r>
      <w:r w:rsidR="00997E2A" w:rsidRPr="00997E2A">
        <w:t> </w:t>
      </w:r>
      <w:r w:rsidRPr="00997E2A">
        <w:t>17). The requirements in this Part become mandatory when this Part starts to apply.</w:t>
      </w:r>
    </w:p>
    <w:p w:rsidR="002618A1" w:rsidRPr="001256DA" w:rsidRDefault="002618A1" w:rsidP="002618A1">
      <w:pPr>
        <w:pStyle w:val="subsection"/>
      </w:pPr>
      <w:r w:rsidRPr="001256DA">
        <w:tab/>
        <w:t>(2)</w:t>
      </w:r>
      <w:r w:rsidRPr="001256DA">
        <w:tab/>
        <w:t>The exception in this subsection covers a general use quad bike if:</w:t>
      </w:r>
    </w:p>
    <w:p w:rsidR="002618A1" w:rsidRPr="001256DA" w:rsidRDefault="002618A1" w:rsidP="002618A1">
      <w:pPr>
        <w:pStyle w:val="paragraph"/>
      </w:pPr>
      <w:r w:rsidRPr="001256DA">
        <w:tab/>
        <w:t>(a)</w:t>
      </w:r>
      <w:r w:rsidRPr="001256DA">
        <w:tab/>
        <w:t>a quad bike dealer placed an order for it before 1 July 2021; and</w:t>
      </w:r>
    </w:p>
    <w:p w:rsidR="002618A1" w:rsidRPr="001256DA" w:rsidRDefault="002618A1" w:rsidP="002618A1">
      <w:pPr>
        <w:pStyle w:val="paragraph"/>
      </w:pPr>
      <w:r w:rsidRPr="001256DA">
        <w:tab/>
        <w:t>(b)</w:t>
      </w:r>
      <w:r w:rsidRPr="001256DA">
        <w:tab/>
        <w:t>the order was not subject to a condition that the general use quad bike be supplied to the dealer after 31 December 2021.</w:t>
      </w:r>
    </w:p>
    <w:p w:rsidR="00A00582" w:rsidRPr="00997E2A" w:rsidRDefault="00A00582" w:rsidP="00A00582">
      <w:pPr>
        <w:pStyle w:val="ActHead5"/>
      </w:pPr>
      <w:bookmarkStart w:id="17" w:name="_Toc76648308"/>
      <w:r w:rsidRPr="00997E2A">
        <w:rPr>
          <w:rStyle w:val="CharSectno"/>
        </w:rPr>
        <w:t>15</w:t>
      </w:r>
      <w:r w:rsidRPr="00997E2A">
        <w:t xml:space="preserve">  General use quad bikes—operator protection devices</w:t>
      </w:r>
      <w:bookmarkEnd w:id="17"/>
    </w:p>
    <w:p w:rsidR="00A00582" w:rsidRPr="00997E2A" w:rsidRDefault="00A00582" w:rsidP="00A00582">
      <w:pPr>
        <w:pStyle w:val="subsection"/>
      </w:pPr>
      <w:r w:rsidRPr="00997E2A">
        <w:tab/>
      </w:r>
      <w:r w:rsidRPr="00997E2A">
        <w:tab/>
        <w:t>A general use quad bike must have one of the following devices fitted, or integrated into its design:</w:t>
      </w:r>
    </w:p>
    <w:p w:rsidR="00A00582" w:rsidRPr="00997E2A" w:rsidRDefault="00A00582" w:rsidP="00A00582">
      <w:pPr>
        <w:pStyle w:val="paragraph"/>
      </w:pPr>
      <w:r w:rsidRPr="00997E2A">
        <w:tab/>
        <w:t>(a)</w:t>
      </w:r>
      <w:r w:rsidRPr="00997E2A">
        <w:tab/>
        <w:t>an ATV Lifeguard, in the model manufactured by Ag</w:t>
      </w:r>
      <w:r w:rsidR="00997E2A">
        <w:noBreakHyphen/>
      </w:r>
      <w:r w:rsidRPr="00997E2A">
        <w:t xml:space="preserve">Tech Industries Ltd. (New Zealand) and available for supply </w:t>
      </w:r>
      <w:r w:rsidR="00BB2CE0" w:rsidRPr="00997E2A">
        <w:t>on 6</w:t>
      </w:r>
      <w:r w:rsidR="00997E2A" w:rsidRPr="00997E2A">
        <w:t> </w:t>
      </w:r>
      <w:r w:rsidR="00BB2CE0" w:rsidRPr="00997E2A">
        <w:t>April 2019</w:t>
      </w:r>
      <w:r w:rsidRPr="00997E2A">
        <w:t>;</w:t>
      </w:r>
    </w:p>
    <w:p w:rsidR="00A00582" w:rsidRPr="00997E2A" w:rsidRDefault="00A00582" w:rsidP="00A00582">
      <w:pPr>
        <w:pStyle w:val="paragraph"/>
      </w:pPr>
      <w:r w:rsidRPr="00997E2A">
        <w:tab/>
        <w:t>(b)</w:t>
      </w:r>
      <w:r w:rsidRPr="00997E2A">
        <w:tab/>
        <w:t xml:space="preserve">a Quadbar, in the model manufactured by QB Industries Pty Ltd. and available for supply </w:t>
      </w:r>
      <w:r w:rsidR="00F77739" w:rsidRPr="00997E2A">
        <w:t>on 6</w:t>
      </w:r>
      <w:r w:rsidR="00997E2A" w:rsidRPr="00997E2A">
        <w:t> </w:t>
      </w:r>
      <w:r w:rsidR="00F77739" w:rsidRPr="00997E2A">
        <w:t>April 2019</w:t>
      </w:r>
      <w:r w:rsidRPr="00997E2A">
        <w:t>;</w:t>
      </w:r>
    </w:p>
    <w:p w:rsidR="00A00582" w:rsidRPr="00997E2A" w:rsidRDefault="00A00582" w:rsidP="00A00582">
      <w:pPr>
        <w:pStyle w:val="paragraph"/>
      </w:pPr>
      <w:r w:rsidRPr="00997E2A">
        <w:tab/>
        <w:t>(c)</w:t>
      </w:r>
      <w:r w:rsidRPr="00997E2A">
        <w:tab/>
        <w:t xml:space="preserve">a device of a type that offers the same, or better, level of protection for operators from the risk of serious injury, or death, as a result of being crushed or pinned in the event of a rollover, as is offered by a device of a type mentioned in </w:t>
      </w:r>
      <w:r w:rsidR="00997E2A" w:rsidRPr="00997E2A">
        <w:t>paragraph (</w:t>
      </w:r>
      <w:r w:rsidRPr="00997E2A">
        <w:t>a) or (b).</w:t>
      </w:r>
    </w:p>
    <w:p w:rsidR="00832C23" w:rsidRPr="00997E2A" w:rsidRDefault="00832C23" w:rsidP="00832C23">
      <w:pPr>
        <w:pStyle w:val="notetext"/>
      </w:pPr>
      <w:r w:rsidRPr="00997E2A">
        <w:t>Note 1:</w:t>
      </w:r>
      <w:r w:rsidRPr="00997E2A">
        <w:tab/>
        <w:t xml:space="preserve">This section starts applying (together with the rest of </w:t>
      </w:r>
      <w:r w:rsidR="00FB3F6D" w:rsidRPr="00997E2A">
        <w:t>this Part</w:t>
      </w:r>
      <w:r w:rsidRPr="00997E2A">
        <w:t>) 24 months after the day this instrument commenced (see subsection</w:t>
      </w:r>
      <w:r w:rsidR="00997E2A" w:rsidRPr="00997E2A">
        <w:t> </w:t>
      </w:r>
      <w:r w:rsidRPr="00997E2A">
        <w:t>17(2) of this instrument).</w:t>
      </w:r>
    </w:p>
    <w:p w:rsidR="00710E06" w:rsidRPr="00997E2A" w:rsidRDefault="00832C23" w:rsidP="00710E06">
      <w:pPr>
        <w:pStyle w:val="notetext"/>
      </w:pPr>
      <w:r w:rsidRPr="00997E2A">
        <w:t>Note 2</w:t>
      </w:r>
      <w:r w:rsidR="005645C2" w:rsidRPr="00997E2A">
        <w:t>:</w:t>
      </w:r>
      <w:r w:rsidR="005645C2" w:rsidRPr="00997E2A">
        <w:tab/>
      </w:r>
      <w:r w:rsidRPr="00997E2A">
        <w:t>When</w:t>
      </w:r>
      <w:r w:rsidR="00710E06" w:rsidRPr="00997E2A">
        <w:t xml:space="preserve"> this </w:t>
      </w:r>
      <w:r w:rsidR="005645C2" w:rsidRPr="00997E2A">
        <w:t>instrument</w:t>
      </w:r>
      <w:r w:rsidR="00710E06" w:rsidRPr="00997E2A">
        <w:t xml:space="preserve"> commenced</w:t>
      </w:r>
      <w:r w:rsidR="005645C2" w:rsidRPr="00997E2A">
        <w:t>,</w:t>
      </w:r>
      <w:r w:rsidR="00710E06" w:rsidRPr="00997E2A">
        <w:t xml:space="preserve"> there was no </w:t>
      </w:r>
      <w:r w:rsidR="004B5858" w:rsidRPr="00997E2A">
        <w:t>standard</w:t>
      </w:r>
      <w:r w:rsidR="005645C2" w:rsidRPr="00997E2A">
        <w:t xml:space="preserve"> published by Standards Australia </w:t>
      </w:r>
      <w:r w:rsidRPr="00997E2A">
        <w:t>(</w:t>
      </w:r>
      <w:r w:rsidR="005645C2" w:rsidRPr="00997E2A">
        <w:t xml:space="preserve">or </w:t>
      </w:r>
      <w:r w:rsidRPr="00997E2A">
        <w:t>any other</w:t>
      </w:r>
      <w:r w:rsidR="005645C2" w:rsidRPr="00997E2A">
        <w:t xml:space="preserve"> appropriate body</w:t>
      </w:r>
      <w:r w:rsidRPr="00997E2A">
        <w:t>)</w:t>
      </w:r>
      <w:r w:rsidR="004B5858" w:rsidRPr="00997E2A">
        <w:t xml:space="preserve"> </w:t>
      </w:r>
      <w:r w:rsidR="005645C2" w:rsidRPr="00997E2A">
        <w:t>relating to operator protection devices</w:t>
      </w:r>
      <w:r w:rsidR="005B1750" w:rsidRPr="00997E2A">
        <w:t xml:space="preserve"> for general use quad bikes</w:t>
      </w:r>
      <w:r w:rsidR="005645C2" w:rsidRPr="00997E2A">
        <w:t>. If such a standard is published after the commencement of this instrument, under subsection</w:t>
      </w:r>
      <w:r w:rsidR="00997E2A" w:rsidRPr="00997E2A">
        <w:t> </w:t>
      </w:r>
      <w:r w:rsidR="005645C2" w:rsidRPr="00997E2A">
        <w:t>105(1)</w:t>
      </w:r>
      <w:r w:rsidR="00FB3F6D" w:rsidRPr="00997E2A">
        <w:t xml:space="preserve"> of the Australian Consumer Law</w:t>
      </w:r>
      <w:r w:rsidR="005645C2" w:rsidRPr="00997E2A">
        <w:t xml:space="preserve"> the Commonwealth Minister may declare that the published standard applies to </w:t>
      </w:r>
      <w:r w:rsidR="005B1750" w:rsidRPr="00997E2A">
        <w:t xml:space="preserve">such </w:t>
      </w:r>
      <w:r w:rsidR="005645C2" w:rsidRPr="00997E2A">
        <w:t xml:space="preserve">operator protection devices (with or without </w:t>
      </w:r>
      <w:r w:rsidRPr="00997E2A">
        <w:t>additions or variations</w:t>
      </w:r>
      <w:r w:rsidR="005645C2" w:rsidRPr="00997E2A">
        <w:t>). This section may also be amended as a consequence when such a declaration is made.</w:t>
      </w:r>
    </w:p>
    <w:p w:rsidR="00A00582" w:rsidRPr="00997E2A" w:rsidRDefault="00A00582" w:rsidP="00A00582">
      <w:pPr>
        <w:pStyle w:val="ActHead5"/>
      </w:pPr>
      <w:bookmarkStart w:id="18" w:name="_Toc76648309"/>
      <w:r w:rsidRPr="00997E2A">
        <w:rPr>
          <w:rStyle w:val="CharSectno"/>
        </w:rPr>
        <w:t>16</w:t>
      </w:r>
      <w:r w:rsidRPr="00997E2A">
        <w:t xml:space="preserve">  General use quad bikes—minimum lateral roll, forward pitch and rearward pitch requirements</w:t>
      </w:r>
      <w:bookmarkEnd w:id="18"/>
    </w:p>
    <w:p w:rsidR="00A00582" w:rsidRPr="00997E2A" w:rsidRDefault="00A00582" w:rsidP="00A00582">
      <w:pPr>
        <w:pStyle w:val="SubsectionHead"/>
      </w:pPr>
      <w:r w:rsidRPr="00997E2A">
        <w:t>Requirements</w:t>
      </w:r>
    </w:p>
    <w:p w:rsidR="00A00582" w:rsidRPr="00997E2A" w:rsidRDefault="00A00582" w:rsidP="00A00582">
      <w:pPr>
        <w:pStyle w:val="subsection"/>
      </w:pPr>
      <w:r w:rsidRPr="00997E2A">
        <w:tab/>
        <w:t>(1)</w:t>
      </w:r>
      <w:r w:rsidRPr="00997E2A">
        <w:tab/>
        <w:t>When tested in accordance with Schedule</w:t>
      </w:r>
      <w:r w:rsidR="00997E2A" w:rsidRPr="00997E2A">
        <w:t> </w:t>
      </w:r>
      <w:r w:rsidRPr="00997E2A">
        <w:t>1, each type and category of general use quad bike must meet the performance requirements provided by this section.</w:t>
      </w:r>
    </w:p>
    <w:p w:rsidR="00A00582" w:rsidRPr="00997E2A" w:rsidRDefault="00A00582" w:rsidP="00A00582">
      <w:pPr>
        <w:pStyle w:val="notetext"/>
      </w:pPr>
      <w:r w:rsidRPr="00997E2A">
        <w:t>Note:</w:t>
      </w:r>
      <w:r w:rsidRPr="00997E2A">
        <w:tab/>
        <w:t>For testing requirements, see Part</w:t>
      </w:r>
      <w:r w:rsidR="00997E2A" w:rsidRPr="00997E2A">
        <w:t> </w:t>
      </w:r>
      <w:r w:rsidRPr="00997E2A">
        <w:t>6 of Schedule</w:t>
      </w:r>
      <w:r w:rsidR="00997E2A" w:rsidRPr="00997E2A">
        <w:t> </w:t>
      </w:r>
      <w:r w:rsidRPr="00997E2A">
        <w:t>1.</w:t>
      </w:r>
    </w:p>
    <w:p w:rsidR="00A00582" w:rsidRPr="00997E2A" w:rsidRDefault="00A00582" w:rsidP="00A00582">
      <w:pPr>
        <w:pStyle w:val="SubsectionHead"/>
      </w:pPr>
      <w:r w:rsidRPr="00997E2A">
        <w:t>Lateral roll</w:t>
      </w:r>
    </w:p>
    <w:p w:rsidR="00A00582" w:rsidRPr="00997E2A" w:rsidRDefault="00A00582" w:rsidP="00A00582">
      <w:pPr>
        <w:pStyle w:val="subsection"/>
      </w:pPr>
      <w:r w:rsidRPr="00997E2A">
        <w:tab/>
        <w:t>(2)</w:t>
      </w:r>
      <w:r w:rsidRPr="00997E2A">
        <w:tab/>
        <w:t>The tilt table ratio for lateral roll stability must be equal to or greater than 0.55.</w:t>
      </w:r>
    </w:p>
    <w:p w:rsidR="00A00582" w:rsidRPr="00997E2A" w:rsidRDefault="00A00582" w:rsidP="00A00582">
      <w:pPr>
        <w:pStyle w:val="SubsectionHead"/>
      </w:pPr>
      <w:r w:rsidRPr="00997E2A">
        <w:t>Forward pitch</w:t>
      </w:r>
    </w:p>
    <w:p w:rsidR="00A00582" w:rsidRPr="00997E2A" w:rsidRDefault="00A00582" w:rsidP="00A00582">
      <w:pPr>
        <w:pStyle w:val="subsection"/>
      </w:pPr>
      <w:r w:rsidRPr="00997E2A">
        <w:tab/>
        <w:t>(3)</w:t>
      </w:r>
      <w:r w:rsidRPr="00997E2A">
        <w:tab/>
        <w:t>The tilt table ratio for forward pitch must be equal to or greater than 0.8.</w:t>
      </w:r>
    </w:p>
    <w:p w:rsidR="00A00582" w:rsidRPr="00997E2A" w:rsidRDefault="00A00582" w:rsidP="00A00582">
      <w:pPr>
        <w:pStyle w:val="SubsectionHead"/>
      </w:pPr>
      <w:r w:rsidRPr="00997E2A">
        <w:t>Rearward pitch</w:t>
      </w:r>
    </w:p>
    <w:p w:rsidR="00A00582" w:rsidRPr="00997E2A" w:rsidRDefault="00A00582" w:rsidP="00A00582">
      <w:pPr>
        <w:pStyle w:val="subsection"/>
      </w:pPr>
      <w:r w:rsidRPr="00997E2A">
        <w:tab/>
        <w:t>(4)</w:t>
      </w:r>
      <w:r w:rsidRPr="00997E2A">
        <w:tab/>
        <w:t>The tilt table ratio for rearward pitch must be equal to or greater than 0.8.</w:t>
      </w:r>
    </w:p>
    <w:p w:rsidR="00A00582" w:rsidRPr="00997E2A" w:rsidRDefault="00A00582" w:rsidP="00A00582">
      <w:pPr>
        <w:pStyle w:val="ActHead2"/>
        <w:pageBreakBefore/>
      </w:pPr>
      <w:bookmarkStart w:id="19" w:name="_Toc76648310"/>
      <w:r w:rsidRPr="00997E2A">
        <w:rPr>
          <w:rStyle w:val="CharPartNo"/>
        </w:rPr>
        <w:t>Part</w:t>
      </w:r>
      <w:r w:rsidR="00997E2A" w:rsidRPr="00997E2A">
        <w:rPr>
          <w:rStyle w:val="CharPartNo"/>
        </w:rPr>
        <w:t> </w:t>
      </w:r>
      <w:r w:rsidRPr="00997E2A">
        <w:rPr>
          <w:rStyle w:val="CharPartNo"/>
        </w:rPr>
        <w:t>4</w:t>
      </w:r>
      <w:r w:rsidRPr="00997E2A">
        <w:t>—</w:t>
      </w:r>
      <w:r w:rsidRPr="00997E2A">
        <w:rPr>
          <w:rStyle w:val="CharPartText"/>
        </w:rPr>
        <w:t>Application, saving and transitional provisions</w:t>
      </w:r>
      <w:bookmarkEnd w:id="19"/>
    </w:p>
    <w:p w:rsidR="00A00582" w:rsidRPr="00997E2A" w:rsidRDefault="00A00582" w:rsidP="00A00582">
      <w:pPr>
        <w:pStyle w:val="Header"/>
      </w:pPr>
      <w:r w:rsidRPr="00997E2A">
        <w:rPr>
          <w:rStyle w:val="CharDivNo"/>
        </w:rPr>
        <w:t xml:space="preserve"> </w:t>
      </w:r>
      <w:r w:rsidRPr="00997E2A">
        <w:rPr>
          <w:rStyle w:val="CharDivText"/>
        </w:rPr>
        <w:t xml:space="preserve"> </w:t>
      </w:r>
    </w:p>
    <w:p w:rsidR="00A00582" w:rsidRPr="00997E2A" w:rsidRDefault="00A00582" w:rsidP="00A00582">
      <w:pPr>
        <w:pStyle w:val="ActHead5"/>
      </w:pPr>
      <w:bookmarkStart w:id="20" w:name="_Toc76648311"/>
      <w:r w:rsidRPr="00997E2A">
        <w:rPr>
          <w:rStyle w:val="CharSectno"/>
        </w:rPr>
        <w:t>17</w:t>
      </w:r>
      <w:r w:rsidRPr="00997E2A">
        <w:t xml:space="preserve">  Application of this instrument as made</w:t>
      </w:r>
      <w:bookmarkEnd w:id="20"/>
    </w:p>
    <w:p w:rsidR="00A00582" w:rsidRPr="00997E2A" w:rsidRDefault="00A00582" w:rsidP="00A00582">
      <w:pPr>
        <w:pStyle w:val="subsection"/>
      </w:pPr>
      <w:r w:rsidRPr="00997E2A">
        <w:tab/>
        <w:t>(1)</w:t>
      </w:r>
      <w:r w:rsidRPr="00997E2A">
        <w:tab/>
        <w:t>Part</w:t>
      </w:r>
      <w:r w:rsidR="00997E2A" w:rsidRPr="00997E2A">
        <w:t> </w:t>
      </w:r>
      <w:r w:rsidRPr="00997E2A">
        <w:t>2 of this instrument, and Schedule</w:t>
      </w:r>
      <w:r w:rsidR="00997E2A" w:rsidRPr="00997E2A">
        <w:t> </w:t>
      </w:r>
      <w:r w:rsidRPr="00997E2A">
        <w:t>1 to this instrument, apply in relation to a quad bike on or after the day that is 12 months after the day this instrument commences.</w:t>
      </w:r>
    </w:p>
    <w:p w:rsidR="00A00582" w:rsidRPr="00997E2A" w:rsidRDefault="00A00582" w:rsidP="00A00582">
      <w:pPr>
        <w:pStyle w:val="subsection"/>
      </w:pPr>
      <w:r w:rsidRPr="00997E2A">
        <w:tab/>
        <w:t>(2)</w:t>
      </w:r>
      <w:r w:rsidRPr="00997E2A">
        <w:tab/>
        <w:t>Part</w:t>
      </w:r>
      <w:r w:rsidR="00997E2A" w:rsidRPr="00997E2A">
        <w:t> </w:t>
      </w:r>
      <w:r w:rsidRPr="00997E2A">
        <w:t>3 of this instrument applies in relation to a quad bike on or after the day that is 24 months after the day this instrument commences.</w:t>
      </w:r>
    </w:p>
    <w:p w:rsidR="00CA00C9" w:rsidRPr="00997E2A" w:rsidRDefault="00CA00C9" w:rsidP="00CA00C9">
      <w:pPr>
        <w:sectPr w:rsidR="00CA00C9" w:rsidRPr="00997E2A" w:rsidSect="00B63CE6">
          <w:headerReference w:type="even" r:id="rId23"/>
          <w:headerReference w:type="default" r:id="rId24"/>
          <w:footerReference w:type="even" r:id="rId25"/>
          <w:footerReference w:type="default" r:id="rId26"/>
          <w:footerReference w:type="first" r:id="rId27"/>
          <w:pgSz w:w="11907" w:h="16839" w:code="9"/>
          <w:pgMar w:top="2325" w:right="1797" w:bottom="1440" w:left="1797" w:header="720" w:footer="709" w:gutter="0"/>
          <w:pgNumType w:start="1"/>
          <w:cols w:space="720"/>
          <w:docGrid w:linePitch="299"/>
        </w:sectPr>
      </w:pPr>
    </w:p>
    <w:p w:rsidR="00A00582" w:rsidRPr="00997E2A" w:rsidRDefault="00A00582" w:rsidP="00A00582">
      <w:pPr>
        <w:pStyle w:val="ActHead1"/>
        <w:pageBreakBefore/>
      </w:pPr>
      <w:bookmarkStart w:id="21" w:name="_Toc76648312"/>
      <w:r w:rsidRPr="00997E2A">
        <w:rPr>
          <w:rStyle w:val="CharChapNo"/>
        </w:rPr>
        <w:t>Schedule</w:t>
      </w:r>
      <w:r w:rsidR="00997E2A" w:rsidRPr="00997E2A">
        <w:rPr>
          <w:rStyle w:val="CharChapNo"/>
        </w:rPr>
        <w:t> </w:t>
      </w:r>
      <w:r w:rsidRPr="00997E2A">
        <w:rPr>
          <w:rStyle w:val="CharChapNo"/>
        </w:rPr>
        <w:t>1</w:t>
      </w:r>
      <w:r w:rsidRPr="00997E2A">
        <w:t>—</w:t>
      </w:r>
      <w:r w:rsidRPr="00997E2A">
        <w:rPr>
          <w:rStyle w:val="CharChapText"/>
        </w:rPr>
        <w:t>Test procedures</w:t>
      </w:r>
      <w:bookmarkEnd w:id="21"/>
    </w:p>
    <w:p w:rsidR="00A00582" w:rsidRPr="00997E2A" w:rsidRDefault="00A00582" w:rsidP="00A00582">
      <w:pPr>
        <w:pStyle w:val="notemargin"/>
      </w:pPr>
      <w:r w:rsidRPr="00997E2A">
        <w:t>Note:</w:t>
      </w:r>
      <w:r w:rsidRPr="00997E2A">
        <w:tab/>
        <w:t>See section</w:t>
      </w:r>
      <w:r w:rsidR="00997E2A" w:rsidRPr="00997E2A">
        <w:t> </w:t>
      </w:r>
      <w:r w:rsidRPr="00997E2A">
        <w:t>12.</w:t>
      </w:r>
    </w:p>
    <w:p w:rsidR="00A00582" w:rsidRPr="00997E2A" w:rsidRDefault="00A00582" w:rsidP="00A00582">
      <w:pPr>
        <w:pStyle w:val="ActHead2"/>
      </w:pPr>
      <w:bookmarkStart w:id="22" w:name="_Toc76648313"/>
      <w:r w:rsidRPr="00997E2A">
        <w:rPr>
          <w:rStyle w:val="CharPartNo"/>
        </w:rPr>
        <w:t>Part</w:t>
      </w:r>
      <w:r w:rsidR="00997E2A" w:rsidRPr="00997E2A">
        <w:rPr>
          <w:rStyle w:val="CharPartNo"/>
        </w:rPr>
        <w:t> </w:t>
      </w:r>
      <w:r w:rsidRPr="00997E2A">
        <w:rPr>
          <w:rStyle w:val="CharPartNo"/>
        </w:rPr>
        <w:t>1</w:t>
      </w:r>
      <w:r w:rsidRPr="00997E2A">
        <w:t>—</w:t>
      </w:r>
      <w:r w:rsidRPr="00997E2A">
        <w:rPr>
          <w:rStyle w:val="CharPartText"/>
        </w:rPr>
        <w:t>General</w:t>
      </w:r>
      <w:bookmarkEnd w:id="22"/>
    </w:p>
    <w:p w:rsidR="00A00582" w:rsidRPr="00997E2A" w:rsidRDefault="00A00582" w:rsidP="00A00582">
      <w:pPr>
        <w:pStyle w:val="Header"/>
      </w:pPr>
      <w:r w:rsidRPr="00997E2A">
        <w:rPr>
          <w:rStyle w:val="CharDivNo"/>
        </w:rPr>
        <w:t xml:space="preserve"> </w:t>
      </w:r>
      <w:r w:rsidRPr="00997E2A">
        <w:rPr>
          <w:rStyle w:val="CharDivText"/>
        </w:rPr>
        <w:t xml:space="preserve"> </w:t>
      </w:r>
    </w:p>
    <w:p w:rsidR="00A00582" w:rsidRPr="00997E2A" w:rsidRDefault="00A00582" w:rsidP="00A00582">
      <w:pPr>
        <w:pStyle w:val="Subitem"/>
      </w:pPr>
      <w:r w:rsidRPr="00997E2A">
        <w:t>1.1</w:t>
      </w:r>
      <w:r w:rsidRPr="00997E2A">
        <w:tab/>
        <w:t>In this Schedule:</w:t>
      </w:r>
    </w:p>
    <w:p w:rsidR="00A00582" w:rsidRPr="00997E2A" w:rsidRDefault="00A00582" w:rsidP="00A00582">
      <w:pPr>
        <w:pStyle w:val="Item"/>
      </w:pPr>
      <w:r w:rsidRPr="00997E2A">
        <w:rPr>
          <w:b/>
          <w:i/>
        </w:rPr>
        <w:t>50 PAM H3 ATD</w:t>
      </w:r>
      <w:r w:rsidRPr="00997E2A">
        <w:t xml:space="preserve"> </w:t>
      </w:r>
      <w:r w:rsidR="00B72363" w:rsidRPr="00997E2A">
        <w:t xml:space="preserve">(short for 50th Percentile Average Male Hybrid III Anthropomorphic Test Device) </w:t>
      </w:r>
      <w:r w:rsidRPr="00997E2A">
        <w:t>means an ATD configured to represent the 50th percentile average male.</w:t>
      </w:r>
    </w:p>
    <w:p w:rsidR="00A00582" w:rsidRPr="00997E2A" w:rsidRDefault="00A00582" w:rsidP="00A00582">
      <w:pPr>
        <w:pStyle w:val="Item"/>
      </w:pPr>
      <w:r w:rsidRPr="00997E2A">
        <w:rPr>
          <w:b/>
          <w:i/>
        </w:rPr>
        <w:t>ATD</w:t>
      </w:r>
      <w:r w:rsidRPr="00997E2A">
        <w:t xml:space="preserve"> means an anthropomorphic test device.</w:t>
      </w:r>
    </w:p>
    <w:p w:rsidR="00A00582" w:rsidRPr="00997E2A" w:rsidRDefault="00A00582" w:rsidP="00A00582">
      <w:pPr>
        <w:pStyle w:val="Item"/>
      </w:pPr>
      <w:r w:rsidRPr="00997E2A">
        <w:rPr>
          <w:b/>
          <w:i/>
        </w:rPr>
        <w:t>CoG</w:t>
      </w:r>
      <w:r w:rsidRPr="00997E2A">
        <w:t xml:space="preserve"> means centre of gravity.</w:t>
      </w:r>
    </w:p>
    <w:p w:rsidR="00A00582" w:rsidRPr="00997E2A" w:rsidRDefault="00A00582" w:rsidP="00A00582">
      <w:pPr>
        <w:pStyle w:val="Item"/>
      </w:pPr>
      <w:r w:rsidRPr="00997E2A">
        <w:rPr>
          <w:b/>
          <w:i/>
        </w:rPr>
        <w:t>static stability</w:t>
      </w:r>
      <w:r w:rsidRPr="00997E2A">
        <w:t xml:space="preserve"> means the ability for a stationary body to resist tipping over.</w:t>
      </w:r>
    </w:p>
    <w:p w:rsidR="00A00582" w:rsidRPr="00997E2A" w:rsidRDefault="00A00582" w:rsidP="00A00582">
      <w:pPr>
        <w:pStyle w:val="notetext"/>
      </w:pPr>
      <w:r w:rsidRPr="00997E2A">
        <w:t>Note:</w:t>
      </w:r>
      <w:r w:rsidRPr="00997E2A">
        <w:tab/>
        <w:t>Key properties that affect the static stability of a quad bike are track width, wheelbase and the position of the centre of gravity.</w:t>
      </w:r>
    </w:p>
    <w:p w:rsidR="00A00582" w:rsidRPr="00997E2A" w:rsidRDefault="00A00582" w:rsidP="00A00582">
      <w:pPr>
        <w:pStyle w:val="Item"/>
      </w:pPr>
      <w:r w:rsidRPr="00997E2A">
        <w:rPr>
          <w:b/>
          <w:i/>
        </w:rPr>
        <w:t>tilt table ratio</w:t>
      </w:r>
      <w:r w:rsidRPr="00997E2A">
        <w:t xml:space="preserve"> or </w:t>
      </w:r>
      <w:r w:rsidRPr="00997E2A">
        <w:rPr>
          <w:b/>
          <w:i/>
        </w:rPr>
        <w:t>TTR</w:t>
      </w:r>
      <w:r w:rsidRPr="00997E2A">
        <w:t>, means the tangent of the maximum tilt table angle (see clauses</w:t>
      </w:r>
      <w:r w:rsidR="00997E2A" w:rsidRPr="00997E2A">
        <w:t> </w:t>
      </w:r>
      <w:r w:rsidRPr="00997E2A">
        <w:t>6.1.10 and 6.2.11).</w:t>
      </w:r>
    </w:p>
    <w:p w:rsidR="00A00582" w:rsidRPr="00997E2A" w:rsidRDefault="00A00582" w:rsidP="00A00582">
      <w:pPr>
        <w:pStyle w:val="notetext"/>
      </w:pPr>
      <w:r w:rsidRPr="00997E2A">
        <w:t>Note:</w:t>
      </w:r>
      <w:r w:rsidRPr="00997E2A">
        <w:tab/>
        <w:t>Some other terms used in this Schedule are defined in section</w:t>
      </w:r>
      <w:r w:rsidR="00997E2A" w:rsidRPr="00997E2A">
        <w:t> </w:t>
      </w:r>
      <w:r w:rsidRPr="00997E2A">
        <w:t xml:space="preserve">4 of this instrument. For the meaning of </w:t>
      </w:r>
      <w:r w:rsidRPr="00997E2A">
        <w:rPr>
          <w:b/>
          <w:i/>
        </w:rPr>
        <w:t>quad bike</w:t>
      </w:r>
      <w:r w:rsidRPr="00997E2A">
        <w:t xml:space="preserve"> (and types and categories of quad bike), see section</w:t>
      </w:r>
      <w:r w:rsidR="00997E2A" w:rsidRPr="00997E2A">
        <w:t> </w:t>
      </w:r>
      <w:r w:rsidRPr="00997E2A">
        <w:t>5 of this instrument.</w:t>
      </w:r>
    </w:p>
    <w:p w:rsidR="00A00582" w:rsidRPr="00997E2A" w:rsidRDefault="00A00582" w:rsidP="00A00582">
      <w:pPr>
        <w:pStyle w:val="Subitem"/>
      </w:pPr>
      <w:r w:rsidRPr="00997E2A">
        <w:t>1.2</w:t>
      </w:r>
      <w:r w:rsidRPr="00997E2A">
        <w:tab/>
        <w:t>The static stability of Type I, Category G (general use) and Category S (sports) and Type II, Category G (general) quad bikes is to be measured using a tilt table, with a 50</w:t>
      </w:r>
      <w:r w:rsidRPr="00997E2A">
        <w:rPr>
          <w:b/>
          <w:i/>
        </w:rPr>
        <w:t xml:space="preserve"> </w:t>
      </w:r>
      <w:r w:rsidRPr="00997E2A">
        <w:t>PAM H3 ATD simulated rider positioned in a standardised seating position as described in Part</w:t>
      </w:r>
      <w:r w:rsidR="00997E2A" w:rsidRPr="00997E2A">
        <w:t> </w:t>
      </w:r>
      <w:r w:rsidRPr="00997E2A">
        <w:t>4 of this Schedule.</w:t>
      </w:r>
    </w:p>
    <w:p w:rsidR="00A00582" w:rsidRPr="00997E2A" w:rsidRDefault="00A00582" w:rsidP="00A00582">
      <w:pPr>
        <w:pStyle w:val="Subitem"/>
      </w:pPr>
      <w:r w:rsidRPr="00997E2A">
        <w:t>1.3</w:t>
      </w:r>
      <w:r w:rsidRPr="00997E2A">
        <w:tab/>
        <w:t>The static stability of Type I, Category Y (youth) and Category T (transition) quad bikes is to be measured using a tilt table without an ATD.</w:t>
      </w:r>
    </w:p>
    <w:p w:rsidR="00A00582" w:rsidRPr="00997E2A" w:rsidRDefault="00A00582" w:rsidP="00A00582">
      <w:pPr>
        <w:pStyle w:val="Subitem"/>
      </w:pPr>
      <w:r w:rsidRPr="00997E2A">
        <w:t>1.4</w:t>
      </w:r>
      <w:r w:rsidRPr="00997E2A">
        <w:tab/>
        <w:t>The static stability factor for each direction (forward or rearward pitch, or lateral roll) is calculated as Tan (tilt table angle at 2 wheel lift).</w:t>
      </w:r>
    </w:p>
    <w:p w:rsidR="00A00582" w:rsidRPr="00997E2A" w:rsidRDefault="00A00582" w:rsidP="00A00582">
      <w:pPr>
        <w:pStyle w:val="Subitem"/>
      </w:pPr>
      <w:r w:rsidRPr="00997E2A">
        <w:t>1.5</w:t>
      </w:r>
      <w:r w:rsidRPr="00997E2A">
        <w:tab/>
        <w:t>Type I, Category G and Type II, Category G quad bikes are to be tested for each direction (forward and rearward pitch and lateral roll), and must meet the minimum performance requirements under section</w:t>
      </w:r>
      <w:r w:rsidR="00997E2A" w:rsidRPr="00997E2A">
        <w:t> </w:t>
      </w:r>
      <w:r w:rsidRPr="00997E2A">
        <w:t>16 of this instrument.</w:t>
      </w:r>
    </w:p>
    <w:p w:rsidR="00A00582" w:rsidRPr="00997E2A" w:rsidRDefault="00A00582" w:rsidP="00A00582">
      <w:pPr>
        <w:pStyle w:val="Subitem"/>
      </w:pPr>
      <w:r w:rsidRPr="00997E2A">
        <w:t>1.6</w:t>
      </w:r>
      <w:r w:rsidRPr="00997E2A">
        <w:tab/>
        <w:t>Type I, Category S, Category Y and Category T quad bikes are to be tested for lateral roll only.</w:t>
      </w:r>
    </w:p>
    <w:p w:rsidR="00A00582" w:rsidRPr="00997E2A" w:rsidRDefault="00A00582" w:rsidP="00A00582">
      <w:pPr>
        <w:pStyle w:val="ActHead2"/>
        <w:pageBreakBefore/>
      </w:pPr>
      <w:bookmarkStart w:id="23" w:name="_Toc76648314"/>
      <w:r w:rsidRPr="00997E2A">
        <w:rPr>
          <w:rStyle w:val="CharPartNo"/>
        </w:rPr>
        <w:t>Part</w:t>
      </w:r>
      <w:r w:rsidR="00997E2A" w:rsidRPr="00997E2A">
        <w:rPr>
          <w:rStyle w:val="CharPartNo"/>
        </w:rPr>
        <w:t> </w:t>
      </w:r>
      <w:r w:rsidRPr="00997E2A">
        <w:rPr>
          <w:rStyle w:val="CharPartNo"/>
        </w:rPr>
        <w:t>2</w:t>
      </w:r>
      <w:r w:rsidRPr="00997E2A">
        <w:t>—</w:t>
      </w:r>
      <w:r w:rsidRPr="00997E2A">
        <w:rPr>
          <w:rStyle w:val="CharPartText"/>
        </w:rPr>
        <w:t>Tilt table</w:t>
      </w:r>
      <w:bookmarkEnd w:id="23"/>
    </w:p>
    <w:p w:rsidR="00A00582" w:rsidRPr="00997E2A" w:rsidRDefault="00A00582" w:rsidP="00A00582">
      <w:pPr>
        <w:pStyle w:val="Header"/>
      </w:pPr>
      <w:r w:rsidRPr="00997E2A">
        <w:rPr>
          <w:rStyle w:val="CharDivNo"/>
        </w:rPr>
        <w:t xml:space="preserve"> </w:t>
      </w:r>
      <w:r w:rsidRPr="00997E2A">
        <w:rPr>
          <w:rStyle w:val="CharDivText"/>
        </w:rPr>
        <w:t xml:space="preserve"> </w:t>
      </w:r>
    </w:p>
    <w:p w:rsidR="00A00582" w:rsidRPr="00997E2A" w:rsidRDefault="00286A70" w:rsidP="00A00582">
      <w:pPr>
        <w:pStyle w:val="Subitem"/>
      </w:pPr>
      <w:r w:rsidRPr="00997E2A">
        <w:t>2.1</w:t>
      </w:r>
      <w:r w:rsidRPr="00997E2A">
        <w:tab/>
        <w:t>The tilt</w:t>
      </w:r>
      <w:r w:rsidR="00A00582" w:rsidRPr="00997E2A">
        <w:t xml:space="preserve"> table must have an adjustable slope, single plane tilt</w:t>
      </w:r>
      <w:r w:rsidR="00997E2A">
        <w:noBreakHyphen/>
      </w:r>
      <w:r w:rsidR="00A00582" w:rsidRPr="00997E2A">
        <w:t>table structure, with a range of 0° to 80° from horizontal.</w:t>
      </w:r>
    </w:p>
    <w:p w:rsidR="00A00582" w:rsidRPr="00997E2A" w:rsidRDefault="00A00582" w:rsidP="00A00582">
      <w:pPr>
        <w:pStyle w:val="Subitem"/>
      </w:pPr>
      <w:r w:rsidRPr="00997E2A">
        <w:t>2.2</w:t>
      </w:r>
      <w:r w:rsidRPr="00997E2A">
        <w:tab/>
        <w:t>The tilt table must have a surface that is rigid, flat and large enough to support all 4 quad bike wheels.</w:t>
      </w:r>
    </w:p>
    <w:p w:rsidR="00A00582" w:rsidRPr="00997E2A" w:rsidRDefault="00A00582" w:rsidP="00A00582">
      <w:pPr>
        <w:pStyle w:val="Subitem"/>
      </w:pPr>
      <w:r w:rsidRPr="00997E2A">
        <w:t>2.3</w:t>
      </w:r>
      <w:r w:rsidRPr="00997E2A">
        <w:tab/>
        <w:t>The tilt table surface must support a load cell under each of the 4 quad bike wheels.</w:t>
      </w:r>
    </w:p>
    <w:p w:rsidR="00A00582" w:rsidRPr="00997E2A" w:rsidRDefault="00A00582" w:rsidP="00A00582">
      <w:pPr>
        <w:pStyle w:val="Subitem"/>
      </w:pPr>
      <w:r w:rsidRPr="00997E2A">
        <w:t>2.4</w:t>
      </w:r>
      <w:r w:rsidRPr="00997E2A">
        <w:tab/>
        <w:t>A high friction surface is to be installed on the top surface of the downhill side load cells to prevent the low side tyres from slipping (anti</w:t>
      </w:r>
      <w:r w:rsidR="00997E2A">
        <w:noBreakHyphen/>
      </w:r>
      <w:r w:rsidRPr="00997E2A">
        <w:t>slip tape or expanded mesh may suit).</w:t>
      </w:r>
    </w:p>
    <w:p w:rsidR="00A00582" w:rsidRPr="00997E2A" w:rsidRDefault="00A00582" w:rsidP="00A00582">
      <w:pPr>
        <w:pStyle w:val="Subitem"/>
      </w:pPr>
      <w:r w:rsidRPr="00997E2A">
        <w:t>2.5</w:t>
      </w:r>
      <w:r w:rsidRPr="00997E2A">
        <w:tab/>
        <w:t>The ti</w:t>
      </w:r>
      <w:r w:rsidR="00286A70" w:rsidRPr="00997E2A">
        <w:t xml:space="preserve">lt </w:t>
      </w:r>
      <w:r w:rsidRPr="00997E2A">
        <w:t>table must have a tilt rate of nominally less than 1.0 degree per second (for at least the last 20° before tyre lift</w:t>
      </w:r>
      <w:r w:rsidR="00997E2A">
        <w:noBreakHyphen/>
      </w:r>
      <w:r w:rsidRPr="00997E2A">
        <w:t>off).</w:t>
      </w:r>
    </w:p>
    <w:p w:rsidR="00A00582" w:rsidRPr="00997E2A" w:rsidRDefault="00A00582" w:rsidP="00A00582">
      <w:pPr>
        <w:pStyle w:val="ActHead2"/>
        <w:pageBreakBefore/>
      </w:pPr>
      <w:bookmarkStart w:id="24" w:name="_Toc76648315"/>
      <w:r w:rsidRPr="00997E2A">
        <w:rPr>
          <w:rStyle w:val="CharPartNo"/>
        </w:rPr>
        <w:t>Part</w:t>
      </w:r>
      <w:r w:rsidR="00997E2A" w:rsidRPr="00997E2A">
        <w:rPr>
          <w:rStyle w:val="CharPartNo"/>
        </w:rPr>
        <w:t> </w:t>
      </w:r>
      <w:r w:rsidRPr="00997E2A">
        <w:rPr>
          <w:rStyle w:val="CharPartNo"/>
        </w:rPr>
        <w:t>3</w:t>
      </w:r>
      <w:r w:rsidRPr="00997E2A">
        <w:t>—</w:t>
      </w:r>
      <w:r w:rsidRPr="00997E2A">
        <w:rPr>
          <w:rStyle w:val="CharPartText"/>
        </w:rPr>
        <w:t>Test quad bike set</w:t>
      </w:r>
      <w:r w:rsidR="00997E2A" w:rsidRPr="00997E2A">
        <w:rPr>
          <w:rStyle w:val="CharPartText"/>
        </w:rPr>
        <w:noBreakHyphen/>
      </w:r>
      <w:r w:rsidRPr="00997E2A">
        <w:rPr>
          <w:rStyle w:val="CharPartText"/>
        </w:rPr>
        <w:t>up</w:t>
      </w:r>
      <w:bookmarkEnd w:id="24"/>
    </w:p>
    <w:p w:rsidR="00A00582" w:rsidRPr="00997E2A" w:rsidRDefault="00A00582" w:rsidP="00A00582">
      <w:pPr>
        <w:pStyle w:val="Header"/>
      </w:pPr>
      <w:r w:rsidRPr="00997E2A">
        <w:rPr>
          <w:rStyle w:val="CharDivNo"/>
        </w:rPr>
        <w:t xml:space="preserve"> </w:t>
      </w:r>
      <w:r w:rsidRPr="00997E2A">
        <w:rPr>
          <w:rStyle w:val="CharDivText"/>
        </w:rPr>
        <w:t xml:space="preserve"> </w:t>
      </w:r>
    </w:p>
    <w:p w:rsidR="00A00582" w:rsidRPr="00997E2A" w:rsidRDefault="00A00582" w:rsidP="00A00582">
      <w:pPr>
        <w:pStyle w:val="Subitem"/>
      </w:pPr>
      <w:r w:rsidRPr="00997E2A">
        <w:t>3.1</w:t>
      </w:r>
      <w:r w:rsidRPr="00997E2A">
        <w:tab/>
        <w:t>The test quad bike is to be prepared to kerb mass, that is, all standard equipment fitted and vehicle fluids are to be filled to maximum capacity (engine oil, transmission and differential fluids, coolant, brakes and fuel).</w:t>
      </w:r>
    </w:p>
    <w:p w:rsidR="00A00582" w:rsidRPr="00997E2A" w:rsidRDefault="00A00582" w:rsidP="00A00582">
      <w:pPr>
        <w:pStyle w:val="Subitem"/>
      </w:pPr>
      <w:r w:rsidRPr="00997E2A">
        <w:t>3.2</w:t>
      </w:r>
      <w:r w:rsidRPr="00997E2A">
        <w:tab/>
        <w:t>The tyres are to be inflated to the manufacturer’s recommended pressures. Where more than one pressure is specified, the lowest pressure is to be used.</w:t>
      </w:r>
    </w:p>
    <w:p w:rsidR="00A00582" w:rsidRPr="00997E2A" w:rsidRDefault="00A00582" w:rsidP="00A00582">
      <w:pPr>
        <w:pStyle w:val="Subitem"/>
      </w:pPr>
      <w:r w:rsidRPr="00997E2A">
        <w:t>3.3</w:t>
      </w:r>
      <w:r w:rsidRPr="00997E2A">
        <w:tab/>
        <w:t>Adjustable suspension is to be set at the value specified at the dealer delivered configuration.</w:t>
      </w:r>
    </w:p>
    <w:p w:rsidR="00A00582" w:rsidRPr="00997E2A" w:rsidRDefault="00A00582" w:rsidP="00A00582">
      <w:pPr>
        <w:pStyle w:val="ActHead2"/>
        <w:pageBreakBefore/>
      </w:pPr>
      <w:bookmarkStart w:id="25" w:name="_Toc76648316"/>
      <w:r w:rsidRPr="00997E2A">
        <w:rPr>
          <w:rStyle w:val="CharPartNo"/>
        </w:rPr>
        <w:t>Part</w:t>
      </w:r>
      <w:r w:rsidR="00997E2A" w:rsidRPr="00997E2A">
        <w:rPr>
          <w:rStyle w:val="CharPartNo"/>
        </w:rPr>
        <w:t> </w:t>
      </w:r>
      <w:r w:rsidRPr="00997E2A">
        <w:rPr>
          <w:rStyle w:val="CharPartNo"/>
        </w:rPr>
        <w:t>4</w:t>
      </w:r>
      <w:r w:rsidRPr="00997E2A">
        <w:t>—</w:t>
      </w:r>
      <w:r w:rsidRPr="00997E2A">
        <w:rPr>
          <w:rStyle w:val="CharPartText"/>
        </w:rPr>
        <w:t>Anthropomorphic test device</w:t>
      </w:r>
      <w:bookmarkEnd w:id="25"/>
    </w:p>
    <w:p w:rsidR="00A00582" w:rsidRPr="00997E2A" w:rsidRDefault="00A00582" w:rsidP="00A00582">
      <w:pPr>
        <w:pStyle w:val="Header"/>
      </w:pPr>
      <w:r w:rsidRPr="00997E2A">
        <w:rPr>
          <w:rStyle w:val="CharDivNo"/>
        </w:rPr>
        <w:t xml:space="preserve"> </w:t>
      </w:r>
      <w:r w:rsidRPr="00997E2A">
        <w:rPr>
          <w:rStyle w:val="CharDivText"/>
        </w:rPr>
        <w:t xml:space="preserve"> </w:t>
      </w:r>
    </w:p>
    <w:p w:rsidR="00A00582" w:rsidRPr="00997E2A" w:rsidRDefault="00A00582" w:rsidP="00A00582">
      <w:pPr>
        <w:pStyle w:val="Subitem"/>
      </w:pPr>
      <w:r w:rsidRPr="00997E2A">
        <w:t>4.1</w:t>
      </w:r>
      <w:r w:rsidRPr="00997E2A">
        <w:tab/>
        <w:t>For Type I Category G and Category S and Type II, Category G quad bikes, use the 50 PAM H3 ATD, clothed in form</w:t>
      </w:r>
      <w:r w:rsidR="00997E2A">
        <w:noBreakHyphen/>
      </w:r>
      <w:r w:rsidRPr="00997E2A">
        <w:t>fitting cotton clothing and shoes equivalent to those specified in US Military Standard MIL</w:t>
      </w:r>
      <w:r w:rsidR="00997E2A">
        <w:noBreakHyphen/>
      </w:r>
      <w:r w:rsidRPr="00997E2A">
        <w:t>S</w:t>
      </w:r>
      <w:r w:rsidR="00997E2A">
        <w:noBreakHyphen/>
      </w:r>
      <w:r w:rsidRPr="00997E2A">
        <w:t>13192: P: Shoes, Men’s, Dress, Oxford.</w:t>
      </w:r>
    </w:p>
    <w:p w:rsidR="00A00582" w:rsidRPr="00997E2A" w:rsidRDefault="00A00582" w:rsidP="00A00582">
      <w:pPr>
        <w:pStyle w:val="Subitem"/>
      </w:pPr>
      <w:r w:rsidRPr="00997E2A">
        <w:t>4.2</w:t>
      </w:r>
      <w:r w:rsidRPr="00997E2A">
        <w:tab/>
        <w:t>The ATD is to be secured to the seat so as to prevent independent movement.</w:t>
      </w:r>
    </w:p>
    <w:p w:rsidR="00A00582" w:rsidRPr="00997E2A" w:rsidRDefault="00A00582" w:rsidP="00A00582">
      <w:pPr>
        <w:pStyle w:val="Subitem"/>
      </w:pPr>
      <w:r w:rsidRPr="00997E2A">
        <w:t>4.3</w:t>
      </w:r>
      <w:r w:rsidRPr="00997E2A">
        <w:tab/>
        <w:t>The ATD pelvis is to remain parallel with the plane of the rider seat during tilting. Nominally, this is achieved by securing each leg downward toward the footrest. Hands are to be secured to the hand grips.</w:t>
      </w:r>
    </w:p>
    <w:p w:rsidR="00A00582" w:rsidRPr="00997E2A" w:rsidRDefault="00A00582" w:rsidP="00A00582">
      <w:pPr>
        <w:pStyle w:val="Subitem"/>
      </w:pPr>
      <w:r w:rsidRPr="00997E2A">
        <w:t>4.4</w:t>
      </w:r>
      <w:r w:rsidRPr="00997E2A">
        <w:tab/>
        <w:t>The ATD is to be positioned such that each hand is gripping the hand controls with the web of the hand in contact with the inner ridge of the hand grip. The arms are to be fully extended and the pelvis is to be centred laterally on the seat and located longitudinally such that the back angle (measured flat from the spine box) is vertical (±2.5°); the head roll angle is to be horizontal (±0.5°). The thighs are to be in contact with the fuel tank/cowling and the feet are to be positioned on the footrest with the leading edge of the heel in contact with the rear edge of the footrest.</w:t>
      </w:r>
    </w:p>
    <w:p w:rsidR="00A00582" w:rsidRPr="00997E2A" w:rsidRDefault="00A00582" w:rsidP="00A00582">
      <w:pPr>
        <w:pStyle w:val="Subitem"/>
      </w:pPr>
      <w:r w:rsidRPr="00997E2A">
        <w:t>4.5</w:t>
      </w:r>
      <w:r w:rsidRPr="00997E2A">
        <w:tab/>
        <w:t>The ATD pelvis angle and H point dimensions are to be recorded relative to the rear upper edge of the footrest (vertical (y) and horizontal (z) dimensions).</w:t>
      </w:r>
    </w:p>
    <w:p w:rsidR="00A00582" w:rsidRPr="00997E2A" w:rsidRDefault="00A00582" w:rsidP="00A00582">
      <w:pPr>
        <w:pStyle w:val="Subitem"/>
      </w:pPr>
      <w:r w:rsidRPr="00997E2A">
        <w:t>4.6</w:t>
      </w:r>
      <w:r w:rsidRPr="00997E2A">
        <w:tab/>
        <w:t>ATD limb joint stiffness is to be set at 1g.</w:t>
      </w:r>
    </w:p>
    <w:p w:rsidR="00A00582" w:rsidRPr="00997E2A" w:rsidRDefault="00A00582" w:rsidP="00A00582">
      <w:pPr>
        <w:pStyle w:val="notetext"/>
      </w:pPr>
      <w:r w:rsidRPr="00997E2A">
        <w:t>Note:</w:t>
      </w:r>
      <w:r w:rsidRPr="00997E2A">
        <w:tab/>
        <w:t>If the ATD cannot straddle the cowling, a pedestrian sit/stand pelvis may be required to be fitted to the device.</w:t>
      </w:r>
    </w:p>
    <w:p w:rsidR="00A00582" w:rsidRPr="00997E2A" w:rsidRDefault="00A00582" w:rsidP="00A00582">
      <w:pPr>
        <w:pStyle w:val="ActHead2"/>
        <w:pageBreakBefore/>
      </w:pPr>
      <w:bookmarkStart w:id="26" w:name="_Toc76648317"/>
      <w:r w:rsidRPr="00997E2A">
        <w:rPr>
          <w:rStyle w:val="CharPartNo"/>
        </w:rPr>
        <w:t>Part</w:t>
      </w:r>
      <w:r w:rsidR="00997E2A" w:rsidRPr="00997E2A">
        <w:rPr>
          <w:rStyle w:val="CharPartNo"/>
        </w:rPr>
        <w:t> </w:t>
      </w:r>
      <w:r w:rsidRPr="00997E2A">
        <w:rPr>
          <w:rStyle w:val="CharPartNo"/>
        </w:rPr>
        <w:t>5</w:t>
      </w:r>
      <w:r w:rsidRPr="00997E2A">
        <w:t>—</w:t>
      </w:r>
      <w:r w:rsidRPr="00997E2A">
        <w:rPr>
          <w:rStyle w:val="CharPartText"/>
        </w:rPr>
        <w:t>Determination of centre of gravity position</w:t>
      </w:r>
      <w:bookmarkEnd w:id="26"/>
    </w:p>
    <w:p w:rsidR="00A00582" w:rsidRPr="00997E2A" w:rsidRDefault="00A00582" w:rsidP="00A00582">
      <w:pPr>
        <w:pStyle w:val="Header"/>
      </w:pPr>
      <w:r w:rsidRPr="00997E2A">
        <w:rPr>
          <w:rStyle w:val="CharDivNo"/>
        </w:rPr>
        <w:t xml:space="preserve"> </w:t>
      </w:r>
      <w:r w:rsidRPr="00997E2A">
        <w:rPr>
          <w:rStyle w:val="CharDivText"/>
        </w:rPr>
        <w:t xml:space="preserve"> </w:t>
      </w:r>
    </w:p>
    <w:p w:rsidR="00A00582" w:rsidRPr="00997E2A" w:rsidRDefault="00A00582" w:rsidP="00A00582">
      <w:pPr>
        <w:pStyle w:val="Subitem"/>
      </w:pPr>
      <w:r w:rsidRPr="00997E2A">
        <w:t>5.1</w:t>
      </w:r>
      <w:r w:rsidRPr="00997E2A">
        <w:tab/>
        <w:t>Record the quad bike’s wheelbase and track width (front and rear). Check against the manufacturer’s documentation to confirm that the sample quad bike is within the manufacturer’s tolerances.</w:t>
      </w:r>
    </w:p>
    <w:p w:rsidR="00A00582" w:rsidRPr="00997E2A" w:rsidRDefault="00A00582" w:rsidP="00A00582">
      <w:pPr>
        <w:pStyle w:val="Subitem"/>
      </w:pPr>
      <w:r w:rsidRPr="00997E2A">
        <w:t>5.2</w:t>
      </w:r>
      <w:r w:rsidRPr="00997E2A">
        <w:tab/>
        <w:t>In test condition, weigh the quad bike on a flat, level surface to obtain the 4 individual wheel masses and calculate the quad bike’s longitudinal CoG and lateral CoG position.</w:t>
      </w:r>
    </w:p>
    <w:p w:rsidR="00A00582" w:rsidRPr="00997E2A" w:rsidRDefault="00A00582" w:rsidP="00A00582">
      <w:pPr>
        <w:pStyle w:val="ActHead2"/>
        <w:pageBreakBefore/>
      </w:pPr>
      <w:bookmarkStart w:id="27" w:name="_Toc76648318"/>
      <w:r w:rsidRPr="00997E2A">
        <w:rPr>
          <w:rStyle w:val="CharPartNo"/>
        </w:rPr>
        <w:t>Part</w:t>
      </w:r>
      <w:r w:rsidR="00997E2A" w:rsidRPr="00997E2A">
        <w:rPr>
          <w:rStyle w:val="CharPartNo"/>
        </w:rPr>
        <w:t> </w:t>
      </w:r>
      <w:r w:rsidRPr="00997E2A">
        <w:rPr>
          <w:rStyle w:val="CharPartNo"/>
        </w:rPr>
        <w:t>6</w:t>
      </w:r>
      <w:r w:rsidRPr="00997E2A">
        <w:t>—</w:t>
      </w:r>
      <w:r w:rsidRPr="00997E2A">
        <w:rPr>
          <w:rStyle w:val="CharPartText"/>
        </w:rPr>
        <w:t>Tilt test procedure</w:t>
      </w:r>
      <w:bookmarkEnd w:id="27"/>
    </w:p>
    <w:p w:rsidR="00A00582" w:rsidRPr="00997E2A" w:rsidRDefault="00A00582" w:rsidP="00A00582">
      <w:pPr>
        <w:pStyle w:val="ActHead3"/>
      </w:pPr>
      <w:bookmarkStart w:id="28" w:name="_Toc76648319"/>
      <w:r w:rsidRPr="00997E2A">
        <w:rPr>
          <w:rStyle w:val="CharDivNo"/>
        </w:rPr>
        <w:t>Division</w:t>
      </w:r>
      <w:r w:rsidR="00997E2A" w:rsidRPr="00997E2A">
        <w:rPr>
          <w:rStyle w:val="CharDivNo"/>
        </w:rPr>
        <w:t> </w:t>
      </w:r>
      <w:r w:rsidRPr="00997E2A">
        <w:rPr>
          <w:rStyle w:val="CharDivNo"/>
        </w:rPr>
        <w:t>6.1</w:t>
      </w:r>
      <w:r w:rsidRPr="00997E2A">
        <w:t>—</w:t>
      </w:r>
      <w:r w:rsidRPr="00997E2A">
        <w:rPr>
          <w:rStyle w:val="CharDivText"/>
        </w:rPr>
        <w:t>Lateral roll</w:t>
      </w:r>
      <w:bookmarkEnd w:id="28"/>
    </w:p>
    <w:p w:rsidR="00A00582" w:rsidRPr="00997E2A" w:rsidRDefault="00A00582" w:rsidP="00A00582">
      <w:pPr>
        <w:pStyle w:val="Subitem"/>
      </w:pPr>
      <w:r w:rsidRPr="00997E2A">
        <w:t>6.1.1</w:t>
      </w:r>
      <w:r w:rsidRPr="00997E2A">
        <w:tab/>
        <w:t>Position the quad bike on the tilt table with each wheel centred on a load cell.</w:t>
      </w:r>
    </w:p>
    <w:p w:rsidR="00A00582" w:rsidRPr="00997E2A" w:rsidRDefault="00A00582" w:rsidP="00A00582">
      <w:pPr>
        <w:pStyle w:val="Subitem"/>
      </w:pPr>
      <w:r w:rsidRPr="00997E2A">
        <w:t>6.1.2</w:t>
      </w:r>
      <w:r w:rsidRPr="00997E2A">
        <w:tab/>
        <w:t>Quad bikes are to be tested facing in both directions, to account for offset CoG position where this occurs. Both results must be reported. The quad bike’s characteristic lateral roll stability result is to be the lower of the 2 results achieved from testing in both roll directions.</w:t>
      </w:r>
    </w:p>
    <w:p w:rsidR="00A00582" w:rsidRPr="00997E2A" w:rsidRDefault="00A00582" w:rsidP="00A00582">
      <w:pPr>
        <w:pStyle w:val="Subitem"/>
      </w:pPr>
      <w:r w:rsidRPr="00997E2A">
        <w:t>6.1.3</w:t>
      </w:r>
      <w:r w:rsidRPr="00997E2A">
        <w:tab/>
        <w:t>Align the quad bike so that a line passing through the outer edges of the 2 downhill tyres is parallel to the line of the tilt axis of the tilt table.</w:t>
      </w:r>
    </w:p>
    <w:p w:rsidR="00A00582" w:rsidRPr="00997E2A" w:rsidRDefault="00A00582" w:rsidP="00A00582">
      <w:pPr>
        <w:pStyle w:val="Subitem"/>
      </w:pPr>
      <w:r w:rsidRPr="00997E2A">
        <w:t>6.1.4</w:t>
      </w:r>
      <w:r w:rsidRPr="00997E2A">
        <w:tab/>
        <w:t>Set the steering mechanism in the straight ahead position.</w:t>
      </w:r>
    </w:p>
    <w:p w:rsidR="00A00582" w:rsidRPr="00997E2A" w:rsidRDefault="00A00582" w:rsidP="00A00582">
      <w:pPr>
        <w:pStyle w:val="Subitem"/>
      </w:pPr>
      <w:r w:rsidRPr="00997E2A">
        <w:t>6.1.5</w:t>
      </w:r>
      <w:r w:rsidRPr="00997E2A">
        <w:tab/>
        <w:t>Apply the park brake or park mechanism to stop the quad bike from rolling.</w:t>
      </w:r>
    </w:p>
    <w:p w:rsidR="00A00582" w:rsidRPr="00997E2A" w:rsidRDefault="00A00582" w:rsidP="00A00582">
      <w:pPr>
        <w:pStyle w:val="Subitem"/>
      </w:pPr>
      <w:r w:rsidRPr="00997E2A">
        <w:t>6.1.6</w:t>
      </w:r>
      <w:r w:rsidRPr="00997E2A">
        <w:tab/>
        <w:t>Affix 2 catch straps (of less than 1 kg mass) between the quad bike and the tilt table with sufficient slack to allow full decompression (extension) of the uphill suspension and minimal wheel lift at tip</w:t>
      </w:r>
      <w:r w:rsidR="00997E2A">
        <w:noBreakHyphen/>
      </w:r>
      <w:r w:rsidRPr="00997E2A">
        <w:t>over.</w:t>
      </w:r>
    </w:p>
    <w:p w:rsidR="00A00582" w:rsidRPr="00997E2A" w:rsidRDefault="00A00582" w:rsidP="00A00582">
      <w:pPr>
        <w:pStyle w:val="Subitem"/>
      </w:pPr>
      <w:r w:rsidRPr="00997E2A">
        <w:t>6.1.7</w:t>
      </w:r>
      <w:r w:rsidRPr="00997E2A">
        <w:tab/>
        <w:t>Raise the tilt table until both uphill tyres have lost contact with the ground (that is, both uphill load cells show no load).</w:t>
      </w:r>
    </w:p>
    <w:p w:rsidR="00A00582" w:rsidRPr="00997E2A" w:rsidRDefault="00A00582" w:rsidP="00A00582">
      <w:pPr>
        <w:pStyle w:val="Subitem"/>
      </w:pPr>
      <w:r w:rsidRPr="00997E2A">
        <w:t>6.1.8</w:t>
      </w:r>
      <w:r w:rsidRPr="00997E2A">
        <w:tab/>
        <w:t>Record the tilt table angle at the moment of second uphill wheel lift (tip</w:t>
      </w:r>
      <w:r w:rsidR="00997E2A">
        <w:noBreakHyphen/>
      </w:r>
      <w:r w:rsidRPr="00997E2A">
        <w:t>over).</w:t>
      </w:r>
    </w:p>
    <w:p w:rsidR="00A00582" w:rsidRPr="00997E2A" w:rsidRDefault="00A00582" w:rsidP="00A00582">
      <w:pPr>
        <w:pStyle w:val="Subitem"/>
      </w:pPr>
      <w:r w:rsidRPr="00997E2A">
        <w:t>6.1.9</w:t>
      </w:r>
      <w:r w:rsidRPr="00997E2A">
        <w:tab/>
        <w:t>Return the tilt table to the horizontal position.</w:t>
      </w:r>
    </w:p>
    <w:p w:rsidR="00A00582" w:rsidRPr="00997E2A" w:rsidRDefault="00A00582" w:rsidP="00A00582">
      <w:pPr>
        <w:pStyle w:val="Subitem"/>
      </w:pPr>
      <w:r w:rsidRPr="00997E2A">
        <w:t>6.1.10</w:t>
      </w:r>
      <w:r w:rsidRPr="00997E2A">
        <w:tab/>
        <w:t>The static rollover threshold of the vehicle in g’s of lateral acceleration (1g = acceleration due to gravity), referred to as the tilt table ratio (or TTR), is calculated as Tan of tilt platform angle at 2 wheel lift (Tan Ø). The TTR is approximately equal to the static stability factor (or SSF) with variation due to CoG displacement due to vehicle body roll and suspension articulation, compliance in steering and suspension joints and deformation of the wheels and tyres.</w:t>
      </w:r>
    </w:p>
    <w:p w:rsidR="00A00582" w:rsidRPr="00997E2A" w:rsidRDefault="00A00582" w:rsidP="00A00582">
      <w:pPr>
        <w:pStyle w:val="ActHead3"/>
        <w:pageBreakBefore/>
      </w:pPr>
      <w:bookmarkStart w:id="29" w:name="_Toc76648320"/>
      <w:r w:rsidRPr="00997E2A">
        <w:rPr>
          <w:rStyle w:val="CharDivNo"/>
        </w:rPr>
        <w:t>Division</w:t>
      </w:r>
      <w:r w:rsidR="00997E2A" w:rsidRPr="00997E2A">
        <w:rPr>
          <w:rStyle w:val="CharDivNo"/>
        </w:rPr>
        <w:t> </w:t>
      </w:r>
      <w:r w:rsidRPr="00997E2A">
        <w:rPr>
          <w:rStyle w:val="CharDivNo"/>
        </w:rPr>
        <w:t>6.2</w:t>
      </w:r>
      <w:r w:rsidRPr="00997E2A">
        <w:t>—</w:t>
      </w:r>
      <w:r w:rsidRPr="00997E2A">
        <w:rPr>
          <w:rStyle w:val="CharDivText"/>
        </w:rPr>
        <w:t>Pitch</w:t>
      </w:r>
      <w:bookmarkEnd w:id="29"/>
    </w:p>
    <w:p w:rsidR="00A00582" w:rsidRPr="00997E2A" w:rsidRDefault="00A00582" w:rsidP="00A00582">
      <w:pPr>
        <w:pStyle w:val="Subitem"/>
      </w:pPr>
      <w:r w:rsidRPr="00997E2A">
        <w:t>6.2.1</w:t>
      </w:r>
      <w:r w:rsidRPr="00997E2A">
        <w:tab/>
        <w:t>Type 1, Category G and Type II, Category G quad bikes are to be tested in both forward and rearward pitch directions.</w:t>
      </w:r>
    </w:p>
    <w:p w:rsidR="00A00582" w:rsidRPr="00997E2A" w:rsidRDefault="00A00582" w:rsidP="00A00582">
      <w:pPr>
        <w:pStyle w:val="Subitem"/>
      </w:pPr>
      <w:r w:rsidRPr="00997E2A">
        <w:t>6.2.2</w:t>
      </w:r>
      <w:r w:rsidRPr="00997E2A">
        <w:tab/>
        <w:t>Position the quad bike on the tilt table with each wheel centred on a load cell.</w:t>
      </w:r>
    </w:p>
    <w:p w:rsidR="00A00582" w:rsidRPr="00997E2A" w:rsidRDefault="00A00582" w:rsidP="00A00582">
      <w:pPr>
        <w:pStyle w:val="Subitem"/>
      </w:pPr>
      <w:r w:rsidRPr="00997E2A">
        <w:t>6.2.3</w:t>
      </w:r>
      <w:r w:rsidRPr="00997E2A">
        <w:tab/>
        <w:t>Align the quad bike so that a line passing through the centreline of the contact patches of the 2 downhill tyres is parallel to the line of the tilt axis of the tilt table.</w:t>
      </w:r>
    </w:p>
    <w:p w:rsidR="00A00582" w:rsidRPr="00997E2A" w:rsidRDefault="00A00582" w:rsidP="00A00582">
      <w:pPr>
        <w:pStyle w:val="Subitem"/>
      </w:pPr>
      <w:r w:rsidRPr="00997E2A">
        <w:t>6.2.4</w:t>
      </w:r>
      <w:r w:rsidRPr="00997E2A">
        <w:tab/>
        <w:t>Set the steering mechanism in the straight ahead position.</w:t>
      </w:r>
    </w:p>
    <w:p w:rsidR="00A00582" w:rsidRPr="00997E2A" w:rsidRDefault="00A00582" w:rsidP="00A00582">
      <w:pPr>
        <w:pStyle w:val="Subitem"/>
      </w:pPr>
      <w:r w:rsidRPr="00997E2A">
        <w:t>6.2.5</w:t>
      </w:r>
      <w:r w:rsidRPr="00997E2A">
        <w:tab/>
        <w:t>Apply the park brake or park mechanism, or fix the wheel or the brake assembly (if required) to stop the quad bike from rolling.</w:t>
      </w:r>
    </w:p>
    <w:p w:rsidR="00A00582" w:rsidRPr="00997E2A" w:rsidRDefault="00A00582" w:rsidP="00A00582">
      <w:pPr>
        <w:pStyle w:val="Subitem"/>
      </w:pPr>
      <w:r w:rsidRPr="00997E2A">
        <w:t>6.2.6</w:t>
      </w:r>
      <w:r w:rsidRPr="00997E2A">
        <w:tab/>
        <w:t>If the low side tyres slip on the load cell surface prior to uphill wheel lift, affix a ratchet strap over each low side wheel such that the line of action of the strap passes through the contact patch of the tyre and the axle centreline, whilst still allowing the tyre to roll about the contact patch when the vehicle tips.</w:t>
      </w:r>
    </w:p>
    <w:p w:rsidR="00A00582" w:rsidRPr="00997E2A" w:rsidRDefault="00A00582" w:rsidP="00A00582">
      <w:pPr>
        <w:pStyle w:val="Subitem"/>
      </w:pPr>
      <w:r w:rsidRPr="00997E2A">
        <w:t>6.2.7</w:t>
      </w:r>
      <w:r w:rsidRPr="00997E2A">
        <w:tab/>
        <w:t>Affix 2 catch straps (of less than 1 kg mass) between the vehicle and the tilt table with sufficient slack to allow full decompression (extension) of the uphill suspension and minimal wheel lift at tip</w:t>
      </w:r>
      <w:r w:rsidR="00997E2A">
        <w:noBreakHyphen/>
      </w:r>
      <w:r w:rsidRPr="00997E2A">
        <w:t>over.</w:t>
      </w:r>
    </w:p>
    <w:p w:rsidR="00A00582" w:rsidRPr="00997E2A" w:rsidRDefault="00A00582" w:rsidP="00A00582">
      <w:pPr>
        <w:pStyle w:val="Subitem"/>
      </w:pPr>
      <w:r w:rsidRPr="00997E2A">
        <w:t>6.2.8</w:t>
      </w:r>
      <w:r w:rsidRPr="00997E2A">
        <w:tab/>
        <w:t>Raise the tilt table until both uphill tyres have lost contact with the ground (that is, both uphill load cells show no load).</w:t>
      </w:r>
    </w:p>
    <w:p w:rsidR="00A00582" w:rsidRPr="00997E2A" w:rsidRDefault="00A00582" w:rsidP="00A00582">
      <w:pPr>
        <w:pStyle w:val="Subitem"/>
      </w:pPr>
      <w:r w:rsidRPr="00997E2A">
        <w:t>6.2.9</w:t>
      </w:r>
      <w:r w:rsidRPr="00997E2A">
        <w:tab/>
        <w:t>Record the tilt table angle at the moment of second uphill wheel lift (tip</w:t>
      </w:r>
      <w:r w:rsidR="00997E2A">
        <w:noBreakHyphen/>
      </w:r>
      <w:r w:rsidRPr="00997E2A">
        <w:t>over).</w:t>
      </w:r>
    </w:p>
    <w:p w:rsidR="00A00582" w:rsidRPr="00997E2A" w:rsidRDefault="00A00582" w:rsidP="00A00582">
      <w:pPr>
        <w:pStyle w:val="Subitem"/>
      </w:pPr>
      <w:r w:rsidRPr="00997E2A">
        <w:t>6.2.10</w:t>
      </w:r>
      <w:r w:rsidRPr="00997E2A">
        <w:tab/>
        <w:t>Return the tilt table to the horizontal position.</w:t>
      </w:r>
    </w:p>
    <w:p w:rsidR="00A00582" w:rsidRPr="00997E2A" w:rsidRDefault="00A00582" w:rsidP="00A00582">
      <w:pPr>
        <w:pStyle w:val="Subitem"/>
      </w:pPr>
      <w:r w:rsidRPr="00997E2A">
        <w:t>6.2.11</w:t>
      </w:r>
      <w:r w:rsidRPr="00997E2A">
        <w:tab/>
        <w:t>The static pitch</w:t>
      </w:r>
      <w:r w:rsidR="00997E2A">
        <w:noBreakHyphen/>
      </w:r>
      <w:r w:rsidRPr="00997E2A">
        <w:t>over threshold of the vehicle in g’s of lateral acceleration (1g = acceleration due to gravity), referred to as the tilt table ratio (or TTR), is calculated as Tan of tilt table angle at 2 wheel lift (Tan Ø). The TTR is approximately equal to the static stability factor (or SSF) with variation due to CoG displacement due to vehicle body pitch and suspension articulation, compliance in steering and suspension joints and deformation of the wheels and tyres.</w:t>
      </w:r>
    </w:p>
    <w:p w:rsidR="00A00582" w:rsidRPr="00997E2A" w:rsidRDefault="00A00582" w:rsidP="00A00582">
      <w:pPr>
        <w:pStyle w:val="ActHead2"/>
        <w:pageBreakBefore/>
      </w:pPr>
      <w:bookmarkStart w:id="30" w:name="f_Check_Lines_above"/>
      <w:bookmarkStart w:id="31" w:name="_Toc76648321"/>
      <w:bookmarkEnd w:id="30"/>
      <w:r w:rsidRPr="00997E2A">
        <w:rPr>
          <w:rStyle w:val="CharPartNo"/>
        </w:rPr>
        <w:t>Part</w:t>
      </w:r>
      <w:r w:rsidR="00997E2A" w:rsidRPr="00997E2A">
        <w:rPr>
          <w:rStyle w:val="CharPartNo"/>
        </w:rPr>
        <w:t> </w:t>
      </w:r>
      <w:r w:rsidRPr="00997E2A">
        <w:rPr>
          <w:rStyle w:val="CharPartNo"/>
        </w:rPr>
        <w:t>7</w:t>
      </w:r>
      <w:r w:rsidRPr="00997E2A">
        <w:t>—</w:t>
      </w:r>
      <w:r w:rsidRPr="00997E2A">
        <w:rPr>
          <w:rStyle w:val="CharPartText"/>
        </w:rPr>
        <w:t>Instrumentation</w:t>
      </w:r>
      <w:bookmarkEnd w:id="31"/>
    </w:p>
    <w:p w:rsidR="00A00582" w:rsidRPr="00997E2A" w:rsidRDefault="00A00582" w:rsidP="00A00582">
      <w:pPr>
        <w:pStyle w:val="Header"/>
      </w:pPr>
      <w:r w:rsidRPr="00997E2A">
        <w:rPr>
          <w:rStyle w:val="CharDivNo"/>
        </w:rPr>
        <w:t xml:space="preserve"> </w:t>
      </w:r>
      <w:r w:rsidRPr="00997E2A">
        <w:rPr>
          <w:rStyle w:val="CharDivText"/>
        </w:rPr>
        <w:t xml:space="preserve"> </w:t>
      </w:r>
    </w:p>
    <w:p w:rsidR="00A00582" w:rsidRPr="00997E2A" w:rsidRDefault="00A00582" w:rsidP="00A00582">
      <w:pPr>
        <w:pStyle w:val="Subitem"/>
      </w:pPr>
      <w:r w:rsidRPr="00997E2A">
        <w:t>7.1</w:t>
      </w:r>
      <w:r w:rsidRPr="00997E2A">
        <w:tab/>
        <w:t>Four load cells with at least 700 kg load capacity and resolution of at least 0.5 kg.</w:t>
      </w:r>
    </w:p>
    <w:p w:rsidR="00A00582" w:rsidRPr="00997E2A" w:rsidRDefault="00A00582" w:rsidP="00A00582">
      <w:pPr>
        <w:pStyle w:val="Subitem"/>
      </w:pPr>
      <w:r w:rsidRPr="00997E2A">
        <w:t>7.2</w:t>
      </w:r>
      <w:r w:rsidRPr="00997E2A">
        <w:tab/>
        <w:t>Tilt angle sensor with a range of at least 80° and a resolution of at least 0.1°.</w:t>
      </w:r>
    </w:p>
    <w:p w:rsidR="00A00582" w:rsidRPr="00997E2A" w:rsidRDefault="00A00582" w:rsidP="00A00582">
      <w:pPr>
        <w:pStyle w:val="Subitem"/>
      </w:pPr>
      <w:r w:rsidRPr="00997E2A">
        <w:t>7.3</w:t>
      </w:r>
      <w:r w:rsidRPr="00997E2A">
        <w:tab/>
        <w:t>Data acquisition system acquisition rate of at least 100 samples per second (100Hz).</w:t>
      </w:r>
    </w:p>
    <w:p w:rsidR="00A00582" w:rsidRPr="00997E2A" w:rsidRDefault="00392E07" w:rsidP="00A00582">
      <w:pPr>
        <w:pStyle w:val="Subitem"/>
      </w:pPr>
      <w:r w:rsidRPr="00997E2A">
        <w:t>7.4</w:t>
      </w:r>
      <w:r w:rsidRPr="00997E2A">
        <w:tab/>
        <w:t>Real</w:t>
      </w:r>
      <w:r w:rsidR="00A00582" w:rsidRPr="00997E2A">
        <w:t xml:space="preserve"> time videography (front 45° view).</w:t>
      </w:r>
    </w:p>
    <w:p w:rsidR="00A00582" w:rsidRDefault="00A00582" w:rsidP="00A00582"/>
    <w:p w:rsidR="00A42C4E" w:rsidRDefault="00A42C4E" w:rsidP="00A00582">
      <w:pPr>
        <w:sectPr w:rsidR="00A42C4E" w:rsidSect="00B63CE6">
          <w:headerReference w:type="even" r:id="rId28"/>
          <w:headerReference w:type="default" r:id="rId29"/>
          <w:footerReference w:type="even" r:id="rId30"/>
          <w:footerReference w:type="default" r:id="rId31"/>
          <w:headerReference w:type="first" r:id="rId32"/>
          <w:footerReference w:type="first" r:id="rId33"/>
          <w:type w:val="continuous"/>
          <w:pgSz w:w="11907" w:h="16839" w:code="9"/>
          <w:pgMar w:top="2325" w:right="1797" w:bottom="1440" w:left="1797" w:header="720" w:footer="709" w:gutter="0"/>
          <w:cols w:space="708"/>
          <w:docGrid w:linePitch="360"/>
        </w:sectPr>
      </w:pPr>
    </w:p>
    <w:p w:rsidR="00A42C4E" w:rsidRDefault="00A42C4E" w:rsidP="00A42C4E">
      <w:pPr>
        <w:pStyle w:val="ENotesHeading1"/>
      </w:pPr>
      <w:bookmarkStart w:id="32" w:name="_Toc76648322"/>
      <w:r>
        <w:t>Endnotes</w:t>
      </w:r>
      <w:bookmarkEnd w:id="32"/>
    </w:p>
    <w:p w:rsidR="00F27B33" w:rsidRPr="007A36FC" w:rsidRDefault="00F27B33" w:rsidP="00F27B33">
      <w:pPr>
        <w:pStyle w:val="ENotesHeading2"/>
        <w:spacing w:line="240" w:lineRule="auto"/>
        <w:outlineLvl w:val="9"/>
      </w:pPr>
      <w:bookmarkStart w:id="33" w:name="_Toc76648323"/>
      <w:r w:rsidRPr="007A36FC">
        <w:t>Endnote 1—About the endnotes</w:t>
      </w:r>
      <w:bookmarkEnd w:id="33"/>
    </w:p>
    <w:p w:rsidR="00F27B33" w:rsidRDefault="00F27B33" w:rsidP="00F27B33">
      <w:pPr>
        <w:spacing w:after="120"/>
      </w:pPr>
      <w:r w:rsidRPr="00BC57F4">
        <w:t xml:space="preserve">The endnotes provide </w:t>
      </w:r>
      <w:r>
        <w:t>information about this compilation and the compiled law.</w:t>
      </w:r>
    </w:p>
    <w:p w:rsidR="00F27B33" w:rsidRPr="00BC57F4" w:rsidRDefault="00F27B33" w:rsidP="00F27B33">
      <w:pPr>
        <w:spacing w:after="120"/>
      </w:pPr>
      <w:r w:rsidRPr="00BC57F4">
        <w:t>The followi</w:t>
      </w:r>
      <w:r>
        <w:t>ng endnotes are included in every</w:t>
      </w:r>
      <w:r w:rsidRPr="00BC57F4">
        <w:t xml:space="preserve"> compilation:</w:t>
      </w:r>
    </w:p>
    <w:p w:rsidR="00F27B33" w:rsidRPr="00BC57F4" w:rsidRDefault="00F27B33" w:rsidP="00F27B33">
      <w:r w:rsidRPr="00BC57F4">
        <w:t>Endnote 1—About the endnotes</w:t>
      </w:r>
    </w:p>
    <w:p w:rsidR="00F27B33" w:rsidRPr="00BC57F4" w:rsidRDefault="00F27B33" w:rsidP="00F27B33">
      <w:r w:rsidRPr="00BC57F4">
        <w:t>Endnote 2—Abbreviation key</w:t>
      </w:r>
    </w:p>
    <w:p w:rsidR="00F27B33" w:rsidRPr="00BC57F4" w:rsidRDefault="00F27B33" w:rsidP="00F27B33">
      <w:r w:rsidRPr="00BC57F4">
        <w:t>Endnote 3—Legislation history</w:t>
      </w:r>
    </w:p>
    <w:p w:rsidR="00F27B33" w:rsidRDefault="00F27B33" w:rsidP="00F27B33">
      <w:pPr>
        <w:spacing w:after="120"/>
      </w:pPr>
      <w:r w:rsidRPr="00BC57F4">
        <w:t>Endnote 4—Amendment history</w:t>
      </w:r>
    </w:p>
    <w:p w:rsidR="00F27B33" w:rsidRPr="00BC57F4" w:rsidRDefault="00F27B33" w:rsidP="00F27B33">
      <w:r w:rsidRPr="00BC57F4">
        <w:rPr>
          <w:b/>
        </w:rPr>
        <w:t>Abbreviation key—</w:t>
      </w:r>
      <w:r>
        <w:rPr>
          <w:b/>
        </w:rPr>
        <w:t>E</w:t>
      </w:r>
      <w:r w:rsidRPr="00BC57F4">
        <w:rPr>
          <w:b/>
        </w:rPr>
        <w:t>ndnote 2</w:t>
      </w:r>
    </w:p>
    <w:p w:rsidR="00F27B33" w:rsidRPr="00BC57F4" w:rsidRDefault="00F27B33" w:rsidP="00F27B33">
      <w:pPr>
        <w:spacing w:after="120"/>
      </w:pPr>
      <w:r w:rsidRPr="00BC57F4">
        <w:t xml:space="preserve">The abbreviation key sets out abbreviations </w:t>
      </w:r>
      <w:r>
        <w:t xml:space="preserve">that may be </w:t>
      </w:r>
      <w:r w:rsidRPr="00BC57F4">
        <w:t>used in the endnotes.</w:t>
      </w:r>
    </w:p>
    <w:p w:rsidR="00F27B33" w:rsidRPr="00BC57F4" w:rsidRDefault="00F27B33" w:rsidP="00F27B33">
      <w:pPr>
        <w:rPr>
          <w:b/>
        </w:rPr>
      </w:pPr>
      <w:r w:rsidRPr="00BC57F4">
        <w:rPr>
          <w:b/>
        </w:rPr>
        <w:t>Legislation history and amendment history—</w:t>
      </w:r>
      <w:r>
        <w:rPr>
          <w:b/>
        </w:rPr>
        <w:t>E</w:t>
      </w:r>
      <w:r w:rsidRPr="00BC57F4">
        <w:rPr>
          <w:b/>
        </w:rPr>
        <w:t>ndnotes 3 and 4</w:t>
      </w:r>
    </w:p>
    <w:p w:rsidR="00F27B33" w:rsidRPr="00BC57F4" w:rsidRDefault="00F27B33" w:rsidP="00F27B33">
      <w:pPr>
        <w:spacing w:after="120"/>
      </w:pPr>
      <w:r w:rsidRPr="00BC57F4">
        <w:t>Amending laws are annotated in the legislation history and amendment history.</w:t>
      </w:r>
    </w:p>
    <w:p w:rsidR="00F27B33" w:rsidRPr="00BC57F4" w:rsidRDefault="00F27B33" w:rsidP="00F27B33">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F27B33" w:rsidRDefault="00F27B33" w:rsidP="00F27B33">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F27B33" w:rsidRPr="00FB4AD4" w:rsidRDefault="00F27B33" w:rsidP="00F27B33">
      <w:pPr>
        <w:rPr>
          <w:b/>
        </w:rPr>
      </w:pPr>
      <w:r w:rsidRPr="00FB4AD4">
        <w:rPr>
          <w:b/>
        </w:rPr>
        <w:t>Editorial changes</w:t>
      </w:r>
    </w:p>
    <w:p w:rsidR="00F27B33" w:rsidRDefault="00F27B33" w:rsidP="00F27B33">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F27B33" w:rsidRDefault="00F27B33" w:rsidP="00F27B33">
      <w:pPr>
        <w:spacing w:after="120"/>
      </w:pPr>
      <w:r>
        <w:t xml:space="preserve">If the compilation includes editorial changes, the endnotes include a brief outline of the changes in general terms. Full details of any changes can be obtained from the Office of Parliamentary Counsel. </w:t>
      </w:r>
    </w:p>
    <w:p w:rsidR="00F27B33" w:rsidRPr="00BC57F4" w:rsidRDefault="00F27B33" w:rsidP="00F27B33">
      <w:pPr>
        <w:keepNext/>
      </w:pPr>
      <w:r>
        <w:rPr>
          <w:b/>
        </w:rPr>
        <w:t>Misdescribed amendments</w:t>
      </w:r>
    </w:p>
    <w:p w:rsidR="00F27B33" w:rsidRDefault="00F27B33" w:rsidP="00F27B33">
      <w:pPr>
        <w:spacing w:after="120"/>
      </w:pPr>
      <w:r>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F27B33" w:rsidRDefault="00F27B33" w:rsidP="00F27B33">
      <w:pPr>
        <w:spacing w:before="120" w:after="240"/>
      </w:pPr>
      <w:r w:rsidRPr="00E466D8">
        <w:t>If a misdescribed amendment cannot be given effect as intended, the abbreviation “(md not incorp)” is added to the details of the amendment included in the amendment history.</w:t>
      </w:r>
    </w:p>
    <w:p w:rsidR="00F27B33" w:rsidRPr="001F4DF3" w:rsidRDefault="00F27B33" w:rsidP="00F27B33">
      <w:pPr>
        <w:pStyle w:val="ENotesHeading2"/>
        <w:pageBreakBefore/>
        <w:spacing w:after="240"/>
        <w:outlineLvl w:val="9"/>
      </w:pPr>
      <w:bookmarkStart w:id="34" w:name="_Toc76648324"/>
      <w:r w:rsidRPr="001F4DF3">
        <w:t>Endnote 2—Abbreviation key</w:t>
      </w:r>
      <w:bookmarkEnd w:id="34"/>
    </w:p>
    <w:tbl>
      <w:tblPr>
        <w:tblW w:w="5000" w:type="pct"/>
        <w:tblLook w:val="0000" w:firstRow="0" w:lastRow="0" w:firstColumn="0" w:lastColumn="0" w:noHBand="0" w:noVBand="0"/>
      </w:tblPr>
      <w:tblGrid>
        <w:gridCol w:w="4570"/>
        <w:gridCol w:w="3959"/>
      </w:tblGrid>
      <w:tr w:rsidR="00F27B33" w:rsidRPr="00EA5132" w:rsidTr="00F27B33">
        <w:tc>
          <w:tcPr>
            <w:tcW w:w="2679" w:type="pct"/>
            <w:shd w:val="clear" w:color="auto" w:fill="auto"/>
          </w:tcPr>
          <w:p w:rsidR="00F27B33" w:rsidRPr="00EA5132" w:rsidRDefault="00F27B33" w:rsidP="00F27B33">
            <w:pPr>
              <w:spacing w:before="60"/>
              <w:ind w:left="34"/>
              <w:rPr>
                <w:sz w:val="20"/>
              </w:rPr>
            </w:pPr>
            <w:r w:rsidRPr="00EA5132">
              <w:rPr>
                <w:sz w:val="20"/>
              </w:rPr>
              <w:t>ad = added or inserted</w:t>
            </w:r>
          </w:p>
        </w:tc>
        <w:tc>
          <w:tcPr>
            <w:tcW w:w="2321" w:type="pct"/>
            <w:shd w:val="clear" w:color="auto" w:fill="auto"/>
          </w:tcPr>
          <w:p w:rsidR="00F27B33" w:rsidRPr="00EA5132" w:rsidRDefault="00F27B33" w:rsidP="00F27B33">
            <w:pPr>
              <w:spacing w:before="60"/>
              <w:ind w:left="34"/>
              <w:rPr>
                <w:sz w:val="20"/>
              </w:rPr>
            </w:pPr>
            <w:r w:rsidRPr="00EA5132">
              <w:rPr>
                <w:sz w:val="20"/>
              </w:rPr>
              <w:t>o = order(s)</w:t>
            </w:r>
          </w:p>
        </w:tc>
      </w:tr>
      <w:tr w:rsidR="00F27B33" w:rsidRPr="00EA5132" w:rsidTr="00F27B33">
        <w:tc>
          <w:tcPr>
            <w:tcW w:w="2679" w:type="pct"/>
            <w:shd w:val="clear" w:color="auto" w:fill="auto"/>
          </w:tcPr>
          <w:p w:rsidR="00F27B33" w:rsidRPr="00EA5132" w:rsidRDefault="00F27B33" w:rsidP="00F27B33">
            <w:pPr>
              <w:spacing w:before="60"/>
              <w:ind w:left="34"/>
              <w:rPr>
                <w:sz w:val="20"/>
              </w:rPr>
            </w:pPr>
            <w:r w:rsidRPr="00EA5132">
              <w:rPr>
                <w:sz w:val="20"/>
              </w:rPr>
              <w:t>am = amended</w:t>
            </w:r>
          </w:p>
        </w:tc>
        <w:tc>
          <w:tcPr>
            <w:tcW w:w="2321" w:type="pct"/>
            <w:shd w:val="clear" w:color="auto" w:fill="auto"/>
          </w:tcPr>
          <w:p w:rsidR="00F27B33" w:rsidRPr="00EA5132" w:rsidRDefault="00F27B33" w:rsidP="00F27B33">
            <w:pPr>
              <w:spacing w:before="60"/>
              <w:ind w:left="34"/>
              <w:rPr>
                <w:sz w:val="20"/>
              </w:rPr>
            </w:pPr>
            <w:r w:rsidRPr="00EA5132">
              <w:rPr>
                <w:sz w:val="20"/>
              </w:rPr>
              <w:t>Ord = Ordinance</w:t>
            </w:r>
          </w:p>
        </w:tc>
      </w:tr>
      <w:tr w:rsidR="00F27B33" w:rsidRPr="00EA5132" w:rsidTr="00F27B33">
        <w:tc>
          <w:tcPr>
            <w:tcW w:w="2679" w:type="pct"/>
            <w:shd w:val="clear" w:color="auto" w:fill="auto"/>
          </w:tcPr>
          <w:p w:rsidR="00F27B33" w:rsidRPr="00EA5132" w:rsidRDefault="00F27B33" w:rsidP="00F27B33">
            <w:pPr>
              <w:spacing w:before="60"/>
              <w:ind w:left="34"/>
              <w:rPr>
                <w:sz w:val="20"/>
              </w:rPr>
            </w:pPr>
            <w:r w:rsidRPr="00EA5132">
              <w:rPr>
                <w:sz w:val="20"/>
              </w:rPr>
              <w:t>amdt = amendment</w:t>
            </w:r>
          </w:p>
        </w:tc>
        <w:tc>
          <w:tcPr>
            <w:tcW w:w="2321" w:type="pct"/>
            <w:shd w:val="clear" w:color="auto" w:fill="auto"/>
          </w:tcPr>
          <w:p w:rsidR="00F27B33" w:rsidRPr="00EA5132" w:rsidRDefault="00F27B33" w:rsidP="00F27B33">
            <w:pPr>
              <w:spacing w:before="60"/>
              <w:ind w:left="34"/>
              <w:rPr>
                <w:sz w:val="20"/>
              </w:rPr>
            </w:pPr>
            <w:r w:rsidRPr="00EA5132">
              <w:rPr>
                <w:sz w:val="20"/>
              </w:rPr>
              <w:t>orig = original</w:t>
            </w:r>
          </w:p>
        </w:tc>
      </w:tr>
      <w:tr w:rsidR="00F27B33" w:rsidRPr="00EA5132" w:rsidTr="00F27B33">
        <w:tc>
          <w:tcPr>
            <w:tcW w:w="2679" w:type="pct"/>
            <w:shd w:val="clear" w:color="auto" w:fill="auto"/>
          </w:tcPr>
          <w:p w:rsidR="00F27B33" w:rsidRPr="00EA5132" w:rsidRDefault="00F27B33" w:rsidP="00F27B33">
            <w:pPr>
              <w:spacing w:before="60"/>
              <w:ind w:left="34"/>
              <w:rPr>
                <w:sz w:val="20"/>
              </w:rPr>
            </w:pPr>
            <w:r w:rsidRPr="00EA5132">
              <w:rPr>
                <w:sz w:val="20"/>
              </w:rPr>
              <w:t>c = clause(s)</w:t>
            </w:r>
          </w:p>
        </w:tc>
        <w:tc>
          <w:tcPr>
            <w:tcW w:w="2321" w:type="pct"/>
            <w:shd w:val="clear" w:color="auto" w:fill="auto"/>
          </w:tcPr>
          <w:p w:rsidR="00F27B33" w:rsidRPr="00EA5132" w:rsidRDefault="00F27B33" w:rsidP="00F27B33">
            <w:pPr>
              <w:spacing w:before="60"/>
              <w:ind w:left="34"/>
              <w:rPr>
                <w:sz w:val="20"/>
              </w:rPr>
            </w:pPr>
            <w:r w:rsidRPr="00EA5132">
              <w:rPr>
                <w:sz w:val="20"/>
              </w:rPr>
              <w:t>par = paragraph(s)/subparagraph(s)</w:t>
            </w:r>
          </w:p>
        </w:tc>
      </w:tr>
      <w:tr w:rsidR="00F27B33" w:rsidRPr="00EA5132" w:rsidTr="00F27B33">
        <w:tc>
          <w:tcPr>
            <w:tcW w:w="2679" w:type="pct"/>
            <w:shd w:val="clear" w:color="auto" w:fill="auto"/>
          </w:tcPr>
          <w:p w:rsidR="00F27B33" w:rsidRPr="00EA5132" w:rsidRDefault="00F27B33" w:rsidP="00F27B33">
            <w:pPr>
              <w:spacing w:before="60"/>
              <w:ind w:left="34"/>
              <w:rPr>
                <w:sz w:val="20"/>
              </w:rPr>
            </w:pPr>
            <w:r w:rsidRPr="00EA5132">
              <w:rPr>
                <w:sz w:val="20"/>
              </w:rPr>
              <w:t>C[x] = Compilation No. x</w:t>
            </w:r>
          </w:p>
        </w:tc>
        <w:tc>
          <w:tcPr>
            <w:tcW w:w="2321" w:type="pct"/>
            <w:shd w:val="clear" w:color="auto" w:fill="auto"/>
          </w:tcPr>
          <w:p w:rsidR="00F27B33" w:rsidRPr="00EA5132" w:rsidRDefault="00F27B33" w:rsidP="00F27B33">
            <w:pPr>
              <w:ind w:left="34" w:firstLine="249"/>
              <w:rPr>
                <w:sz w:val="20"/>
              </w:rPr>
            </w:pPr>
            <w:r w:rsidRPr="00EA5132">
              <w:rPr>
                <w:sz w:val="20"/>
              </w:rPr>
              <w:t>/sub</w:t>
            </w:r>
            <w:r w:rsidRPr="00EA5132">
              <w:rPr>
                <w:sz w:val="20"/>
              </w:rPr>
              <w:noBreakHyphen/>
              <w:t>subparagraph(s)</w:t>
            </w:r>
          </w:p>
        </w:tc>
      </w:tr>
      <w:tr w:rsidR="00F27B33" w:rsidRPr="00EA5132" w:rsidTr="00F27B33">
        <w:tc>
          <w:tcPr>
            <w:tcW w:w="2679" w:type="pct"/>
            <w:shd w:val="clear" w:color="auto" w:fill="auto"/>
          </w:tcPr>
          <w:p w:rsidR="00F27B33" w:rsidRPr="00EA5132" w:rsidRDefault="00F27B33" w:rsidP="00F27B33">
            <w:pPr>
              <w:spacing w:before="60"/>
              <w:ind w:left="34"/>
              <w:rPr>
                <w:sz w:val="20"/>
              </w:rPr>
            </w:pPr>
            <w:r w:rsidRPr="00EA5132">
              <w:rPr>
                <w:sz w:val="20"/>
              </w:rPr>
              <w:t>Ch = Chapter(s)</w:t>
            </w:r>
          </w:p>
        </w:tc>
        <w:tc>
          <w:tcPr>
            <w:tcW w:w="2321" w:type="pct"/>
            <w:shd w:val="clear" w:color="auto" w:fill="auto"/>
          </w:tcPr>
          <w:p w:rsidR="00F27B33" w:rsidRPr="00EA5132" w:rsidRDefault="00F27B33" w:rsidP="00F27B33">
            <w:pPr>
              <w:spacing w:before="60"/>
              <w:ind w:left="34"/>
              <w:rPr>
                <w:sz w:val="20"/>
              </w:rPr>
            </w:pPr>
            <w:r w:rsidRPr="00EA5132">
              <w:rPr>
                <w:sz w:val="20"/>
              </w:rPr>
              <w:t>pres = present</w:t>
            </w:r>
          </w:p>
        </w:tc>
      </w:tr>
      <w:tr w:rsidR="00F27B33" w:rsidRPr="00EA5132" w:rsidTr="00F27B33">
        <w:tc>
          <w:tcPr>
            <w:tcW w:w="2679" w:type="pct"/>
            <w:shd w:val="clear" w:color="auto" w:fill="auto"/>
          </w:tcPr>
          <w:p w:rsidR="00F27B33" w:rsidRPr="00EA5132" w:rsidRDefault="00F27B33" w:rsidP="00F27B33">
            <w:pPr>
              <w:spacing w:before="60"/>
              <w:ind w:left="34"/>
              <w:rPr>
                <w:sz w:val="20"/>
              </w:rPr>
            </w:pPr>
            <w:r w:rsidRPr="00EA5132">
              <w:rPr>
                <w:sz w:val="20"/>
              </w:rPr>
              <w:t>def = definition(s)</w:t>
            </w:r>
          </w:p>
        </w:tc>
        <w:tc>
          <w:tcPr>
            <w:tcW w:w="2321" w:type="pct"/>
            <w:shd w:val="clear" w:color="auto" w:fill="auto"/>
          </w:tcPr>
          <w:p w:rsidR="00F27B33" w:rsidRPr="00EA5132" w:rsidRDefault="00F27B33" w:rsidP="00F27B33">
            <w:pPr>
              <w:spacing w:before="60"/>
              <w:ind w:left="34"/>
              <w:rPr>
                <w:sz w:val="20"/>
              </w:rPr>
            </w:pPr>
            <w:r w:rsidRPr="00EA5132">
              <w:rPr>
                <w:sz w:val="20"/>
              </w:rPr>
              <w:t>prev = previous</w:t>
            </w:r>
          </w:p>
        </w:tc>
      </w:tr>
      <w:tr w:rsidR="00F27B33" w:rsidRPr="00EA5132" w:rsidTr="00F27B33">
        <w:tc>
          <w:tcPr>
            <w:tcW w:w="2679" w:type="pct"/>
            <w:shd w:val="clear" w:color="auto" w:fill="auto"/>
          </w:tcPr>
          <w:p w:rsidR="00F27B33" w:rsidRPr="00EA5132" w:rsidRDefault="00F27B33" w:rsidP="00F27B33">
            <w:pPr>
              <w:spacing w:before="60"/>
              <w:ind w:left="34"/>
              <w:rPr>
                <w:sz w:val="20"/>
              </w:rPr>
            </w:pPr>
            <w:r w:rsidRPr="00EA5132">
              <w:rPr>
                <w:sz w:val="20"/>
              </w:rPr>
              <w:t>Dict = Dictionary</w:t>
            </w:r>
          </w:p>
        </w:tc>
        <w:tc>
          <w:tcPr>
            <w:tcW w:w="2321" w:type="pct"/>
            <w:shd w:val="clear" w:color="auto" w:fill="auto"/>
          </w:tcPr>
          <w:p w:rsidR="00F27B33" w:rsidRPr="00EA5132" w:rsidRDefault="00F27B33" w:rsidP="00F27B33">
            <w:pPr>
              <w:spacing w:before="60"/>
              <w:ind w:left="34"/>
              <w:rPr>
                <w:sz w:val="20"/>
              </w:rPr>
            </w:pPr>
            <w:r w:rsidRPr="00EA5132">
              <w:rPr>
                <w:sz w:val="20"/>
              </w:rPr>
              <w:t>(prev…) = previously</w:t>
            </w:r>
          </w:p>
        </w:tc>
      </w:tr>
      <w:tr w:rsidR="00F27B33" w:rsidRPr="00EA5132" w:rsidTr="00F27B33">
        <w:tc>
          <w:tcPr>
            <w:tcW w:w="2679" w:type="pct"/>
            <w:shd w:val="clear" w:color="auto" w:fill="auto"/>
          </w:tcPr>
          <w:p w:rsidR="00F27B33" w:rsidRPr="00EA5132" w:rsidRDefault="00F27B33" w:rsidP="00F27B33">
            <w:pPr>
              <w:spacing w:before="60"/>
              <w:ind w:left="34"/>
              <w:rPr>
                <w:sz w:val="20"/>
              </w:rPr>
            </w:pPr>
            <w:r w:rsidRPr="00EA5132">
              <w:rPr>
                <w:sz w:val="20"/>
              </w:rPr>
              <w:t>disallowed = disallowed by Parliament</w:t>
            </w:r>
          </w:p>
        </w:tc>
        <w:tc>
          <w:tcPr>
            <w:tcW w:w="2321" w:type="pct"/>
            <w:shd w:val="clear" w:color="auto" w:fill="auto"/>
          </w:tcPr>
          <w:p w:rsidR="00F27B33" w:rsidRPr="00EA5132" w:rsidRDefault="00F27B33" w:rsidP="00F27B33">
            <w:pPr>
              <w:spacing w:before="60"/>
              <w:ind w:left="34"/>
              <w:rPr>
                <w:sz w:val="20"/>
              </w:rPr>
            </w:pPr>
            <w:r w:rsidRPr="00EA5132">
              <w:rPr>
                <w:sz w:val="20"/>
              </w:rPr>
              <w:t>Pt = Part(s)</w:t>
            </w:r>
          </w:p>
        </w:tc>
      </w:tr>
      <w:tr w:rsidR="00F27B33" w:rsidRPr="00EA5132" w:rsidTr="00F27B33">
        <w:tc>
          <w:tcPr>
            <w:tcW w:w="2679" w:type="pct"/>
            <w:shd w:val="clear" w:color="auto" w:fill="auto"/>
          </w:tcPr>
          <w:p w:rsidR="00F27B33" w:rsidRPr="00EA5132" w:rsidRDefault="00F27B33" w:rsidP="00F27B33">
            <w:pPr>
              <w:spacing w:before="60"/>
              <w:ind w:left="34"/>
              <w:rPr>
                <w:sz w:val="20"/>
              </w:rPr>
            </w:pPr>
            <w:r w:rsidRPr="00EA5132">
              <w:rPr>
                <w:sz w:val="20"/>
              </w:rPr>
              <w:t>Div = Division(s)</w:t>
            </w:r>
          </w:p>
        </w:tc>
        <w:tc>
          <w:tcPr>
            <w:tcW w:w="2321" w:type="pct"/>
            <w:shd w:val="clear" w:color="auto" w:fill="auto"/>
          </w:tcPr>
          <w:p w:rsidR="00F27B33" w:rsidRPr="00EA5132" w:rsidRDefault="00F27B33" w:rsidP="00F27B33">
            <w:pPr>
              <w:spacing w:before="60"/>
              <w:ind w:left="34"/>
              <w:rPr>
                <w:sz w:val="20"/>
              </w:rPr>
            </w:pPr>
            <w:r w:rsidRPr="00EA5132">
              <w:rPr>
                <w:sz w:val="20"/>
              </w:rPr>
              <w:t>r = regulation(s)/rule(s)</w:t>
            </w:r>
          </w:p>
        </w:tc>
      </w:tr>
      <w:tr w:rsidR="00F27B33" w:rsidRPr="00EA5132" w:rsidTr="00F27B33">
        <w:tc>
          <w:tcPr>
            <w:tcW w:w="2679" w:type="pct"/>
            <w:shd w:val="clear" w:color="auto" w:fill="auto"/>
          </w:tcPr>
          <w:p w:rsidR="00F27B33" w:rsidRPr="00EA5132" w:rsidRDefault="00F27B33" w:rsidP="00F27B33">
            <w:pPr>
              <w:spacing w:before="60"/>
              <w:ind w:left="34"/>
              <w:rPr>
                <w:sz w:val="20"/>
              </w:rPr>
            </w:pPr>
            <w:r>
              <w:rPr>
                <w:sz w:val="20"/>
              </w:rPr>
              <w:t>ed = editorial change</w:t>
            </w:r>
          </w:p>
        </w:tc>
        <w:tc>
          <w:tcPr>
            <w:tcW w:w="2321" w:type="pct"/>
            <w:shd w:val="clear" w:color="auto" w:fill="auto"/>
          </w:tcPr>
          <w:p w:rsidR="00F27B33" w:rsidRPr="00EA5132" w:rsidRDefault="00F27B33" w:rsidP="00F27B33">
            <w:pPr>
              <w:spacing w:before="60"/>
              <w:ind w:left="34"/>
              <w:rPr>
                <w:sz w:val="20"/>
              </w:rPr>
            </w:pPr>
            <w:r w:rsidRPr="00EA5132">
              <w:rPr>
                <w:sz w:val="20"/>
              </w:rPr>
              <w:t>reloc = relocated</w:t>
            </w:r>
          </w:p>
        </w:tc>
      </w:tr>
      <w:tr w:rsidR="00F27B33" w:rsidRPr="00EA5132" w:rsidTr="00F27B33">
        <w:tc>
          <w:tcPr>
            <w:tcW w:w="2679" w:type="pct"/>
            <w:shd w:val="clear" w:color="auto" w:fill="auto"/>
          </w:tcPr>
          <w:p w:rsidR="00F27B33" w:rsidRPr="00EA5132" w:rsidRDefault="00F27B33" w:rsidP="00F27B33">
            <w:pPr>
              <w:spacing w:before="60"/>
              <w:ind w:left="34"/>
              <w:rPr>
                <w:sz w:val="20"/>
              </w:rPr>
            </w:pPr>
            <w:r w:rsidRPr="00EA5132">
              <w:rPr>
                <w:sz w:val="20"/>
              </w:rPr>
              <w:t>exp = expires/expired or ceases/ceased to have</w:t>
            </w:r>
          </w:p>
        </w:tc>
        <w:tc>
          <w:tcPr>
            <w:tcW w:w="2321" w:type="pct"/>
            <w:shd w:val="clear" w:color="auto" w:fill="auto"/>
          </w:tcPr>
          <w:p w:rsidR="00F27B33" w:rsidRPr="00EA5132" w:rsidRDefault="00F27B33" w:rsidP="00F27B33">
            <w:pPr>
              <w:spacing w:before="60"/>
              <w:ind w:left="34"/>
              <w:rPr>
                <w:sz w:val="20"/>
              </w:rPr>
            </w:pPr>
            <w:r w:rsidRPr="00EA5132">
              <w:rPr>
                <w:sz w:val="20"/>
              </w:rPr>
              <w:t>renum = renumbered</w:t>
            </w:r>
          </w:p>
        </w:tc>
      </w:tr>
      <w:tr w:rsidR="00F27B33" w:rsidRPr="00EA5132" w:rsidTr="00F27B33">
        <w:tc>
          <w:tcPr>
            <w:tcW w:w="2679" w:type="pct"/>
            <w:shd w:val="clear" w:color="auto" w:fill="auto"/>
          </w:tcPr>
          <w:p w:rsidR="00F27B33" w:rsidRPr="00EA5132" w:rsidRDefault="00F27B33" w:rsidP="00F27B33">
            <w:pPr>
              <w:ind w:left="34" w:firstLine="249"/>
              <w:rPr>
                <w:sz w:val="20"/>
              </w:rPr>
            </w:pPr>
            <w:r w:rsidRPr="00EA5132">
              <w:rPr>
                <w:sz w:val="20"/>
              </w:rPr>
              <w:t>effect</w:t>
            </w:r>
          </w:p>
        </w:tc>
        <w:tc>
          <w:tcPr>
            <w:tcW w:w="2321" w:type="pct"/>
            <w:shd w:val="clear" w:color="auto" w:fill="auto"/>
          </w:tcPr>
          <w:p w:rsidR="00F27B33" w:rsidRPr="00EA5132" w:rsidRDefault="00F27B33" w:rsidP="00F27B33">
            <w:pPr>
              <w:spacing w:before="60"/>
              <w:ind w:left="34"/>
              <w:rPr>
                <w:sz w:val="20"/>
              </w:rPr>
            </w:pPr>
            <w:r w:rsidRPr="00EA5132">
              <w:rPr>
                <w:sz w:val="20"/>
              </w:rPr>
              <w:t>rep = repealed</w:t>
            </w:r>
          </w:p>
        </w:tc>
      </w:tr>
      <w:tr w:rsidR="00F27B33" w:rsidRPr="00EA5132" w:rsidTr="00F27B33">
        <w:tc>
          <w:tcPr>
            <w:tcW w:w="2679" w:type="pct"/>
            <w:shd w:val="clear" w:color="auto" w:fill="auto"/>
          </w:tcPr>
          <w:p w:rsidR="00F27B33" w:rsidRPr="00EA5132" w:rsidRDefault="00F27B33" w:rsidP="00F27B33">
            <w:pPr>
              <w:spacing w:before="60"/>
              <w:ind w:left="34"/>
              <w:rPr>
                <w:sz w:val="20"/>
              </w:rPr>
            </w:pPr>
            <w:r w:rsidRPr="00EA5132">
              <w:rPr>
                <w:sz w:val="20"/>
              </w:rPr>
              <w:t>F = Federal Register of Legislat</w:t>
            </w:r>
            <w:r>
              <w:rPr>
                <w:sz w:val="20"/>
              </w:rPr>
              <w:t>ion</w:t>
            </w:r>
          </w:p>
        </w:tc>
        <w:tc>
          <w:tcPr>
            <w:tcW w:w="2321" w:type="pct"/>
            <w:shd w:val="clear" w:color="auto" w:fill="auto"/>
          </w:tcPr>
          <w:p w:rsidR="00F27B33" w:rsidRPr="00EA5132" w:rsidRDefault="00F27B33" w:rsidP="00F27B33">
            <w:pPr>
              <w:spacing w:before="60"/>
              <w:ind w:left="34"/>
              <w:rPr>
                <w:sz w:val="20"/>
              </w:rPr>
            </w:pPr>
            <w:r w:rsidRPr="00EA5132">
              <w:rPr>
                <w:sz w:val="20"/>
              </w:rPr>
              <w:t>rs = repealed and substituted</w:t>
            </w:r>
          </w:p>
        </w:tc>
      </w:tr>
      <w:tr w:rsidR="00F27B33" w:rsidRPr="00EA5132" w:rsidTr="00F27B33">
        <w:tc>
          <w:tcPr>
            <w:tcW w:w="2679" w:type="pct"/>
            <w:shd w:val="clear" w:color="auto" w:fill="auto"/>
          </w:tcPr>
          <w:p w:rsidR="00F27B33" w:rsidRPr="00EA5132" w:rsidRDefault="00F27B33" w:rsidP="00F27B33">
            <w:pPr>
              <w:spacing w:before="60"/>
              <w:ind w:left="34"/>
              <w:rPr>
                <w:sz w:val="20"/>
              </w:rPr>
            </w:pPr>
            <w:r w:rsidRPr="00EA5132">
              <w:rPr>
                <w:sz w:val="20"/>
              </w:rPr>
              <w:t>gaz = gazette</w:t>
            </w:r>
          </w:p>
        </w:tc>
        <w:tc>
          <w:tcPr>
            <w:tcW w:w="2321" w:type="pct"/>
            <w:shd w:val="clear" w:color="auto" w:fill="auto"/>
          </w:tcPr>
          <w:p w:rsidR="00F27B33" w:rsidRPr="00EA5132" w:rsidRDefault="00F27B33" w:rsidP="00F27B33">
            <w:pPr>
              <w:spacing w:before="60"/>
              <w:ind w:left="34"/>
              <w:rPr>
                <w:sz w:val="20"/>
              </w:rPr>
            </w:pPr>
            <w:r w:rsidRPr="00EA5132">
              <w:rPr>
                <w:sz w:val="20"/>
              </w:rPr>
              <w:t>s = section(s)/subsection(s)</w:t>
            </w:r>
          </w:p>
        </w:tc>
      </w:tr>
      <w:tr w:rsidR="00F27B33" w:rsidRPr="00EA5132" w:rsidTr="00F27B33">
        <w:tc>
          <w:tcPr>
            <w:tcW w:w="2679" w:type="pct"/>
            <w:shd w:val="clear" w:color="auto" w:fill="auto"/>
          </w:tcPr>
          <w:p w:rsidR="00F27B33" w:rsidRPr="00EA5132" w:rsidRDefault="00F27B33" w:rsidP="00F27B33">
            <w:pPr>
              <w:spacing w:before="60"/>
              <w:ind w:left="34"/>
              <w:rPr>
                <w:sz w:val="20"/>
              </w:rPr>
            </w:pPr>
            <w:r>
              <w:rPr>
                <w:sz w:val="20"/>
              </w:rPr>
              <w:t xml:space="preserve">LA = </w:t>
            </w:r>
            <w:r w:rsidRPr="00FB4AD4">
              <w:rPr>
                <w:i/>
                <w:sz w:val="20"/>
              </w:rPr>
              <w:t>Legislation Act 2003</w:t>
            </w:r>
          </w:p>
        </w:tc>
        <w:tc>
          <w:tcPr>
            <w:tcW w:w="2321" w:type="pct"/>
            <w:shd w:val="clear" w:color="auto" w:fill="auto"/>
          </w:tcPr>
          <w:p w:rsidR="00F27B33" w:rsidRPr="00EA5132" w:rsidRDefault="00F27B33" w:rsidP="00F27B33">
            <w:pPr>
              <w:spacing w:before="60"/>
              <w:ind w:left="34"/>
              <w:rPr>
                <w:sz w:val="20"/>
              </w:rPr>
            </w:pPr>
            <w:r w:rsidRPr="00EA5132">
              <w:rPr>
                <w:sz w:val="20"/>
              </w:rPr>
              <w:t>Sch = Schedule(s)</w:t>
            </w:r>
          </w:p>
        </w:tc>
      </w:tr>
      <w:tr w:rsidR="00F27B33" w:rsidRPr="00EA5132" w:rsidTr="00F27B33">
        <w:tc>
          <w:tcPr>
            <w:tcW w:w="2679" w:type="pct"/>
            <w:shd w:val="clear" w:color="auto" w:fill="auto"/>
          </w:tcPr>
          <w:p w:rsidR="00F27B33" w:rsidRPr="00EA5132" w:rsidRDefault="00F27B33" w:rsidP="00F27B33">
            <w:pPr>
              <w:spacing w:before="60"/>
              <w:ind w:left="34"/>
              <w:rPr>
                <w:sz w:val="20"/>
              </w:rPr>
            </w:pPr>
            <w:r w:rsidRPr="00EA5132">
              <w:rPr>
                <w:sz w:val="20"/>
              </w:rPr>
              <w:t xml:space="preserve">LIA = </w:t>
            </w:r>
            <w:r w:rsidRPr="00C5426A">
              <w:rPr>
                <w:i/>
                <w:sz w:val="20"/>
              </w:rPr>
              <w:t>Legislative Instruments Act 2003</w:t>
            </w:r>
          </w:p>
        </w:tc>
        <w:tc>
          <w:tcPr>
            <w:tcW w:w="2321" w:type="pct"/>
            <w:shd w:val="clear" w:color="auto" w:fill="auto"/>
          </w:tcPr>
          <w:p w:rsidR="00F27B33" w:rsidRPr="00EA5132" w:rsidRDefault="00F27B33" w:rsidP="00F27B33">
            <w:pPr>
              <w:spacing w:before="60"/>
              <w:ind w:left="34"/>
              <w:rPr>
                <w:sz w:val="20"/>
              </w:rPr>
            </w:pPr>
            <w:r w:rsidRPr="00EA5132">
              <w:rPr>
                <w:sz w:val="20"/>
              </w:rPr>
              <w:t>Sdiv = Subdivision(s)</w:t>
            </w:r>
          </w:p>
        </w:tc>
      </w:tr>
      <w:tr w:rsidR="00F27B33" w:rsidRPr="00EA5132" w:rsidTr="00F27B33">
        <w:tc>
          <w:tcPr>
            <w:tcW w:w="2679" w:type="pct"/>
            <w:shd w:val="clear" w:color="auto" w:fill="auto"/>
          </w:tcPr>
          <w:p w:rsidR="00F27B33" w:rsidRPr="00EA5132" w:rsidRDefault="00F27B33" w:rsidP="00F27B33">
            <w:pPr>
              <w:spacing w:before="60"/>
              <w:ind w:left="34"/>
              <w:rPr>
                <w:sz w:val="20"/>
              </w:rPr>
            </w:pPr>
            <w:r w:rsidRPr="00EA5132">
              <w:rPr>
                <w:sz w:val="20"/>
              </w:rPr>
              <w:t>(md) = misdescribed amendment can be given</w:t>
            </w:r>
          </w:p>
        </w:tc>
        <w:tc>
          <w:tcPr>
            <w:tcW w:w="2321" w:type="pct"/>
            <w:shd w:val="clear" w:color="auto" w:fill="auto"/>
          </w:tcPr>
          <w:p w:rsidR="00F27B33" w:rsidRPr="00EA5132" w:rsidRDefault="00F27B33" w:rsidP="00F27B33">
            <w:pPr>
              <w:spacing w:before="60"/>
              <w:ind w:left="34"/>
              <w:rPr>
                <w:sz w:val="20"/>
              </w:rPr>
            </w:pPr>
            <w:r w:rsidRPr="00EA5132">
              <w:rPr>
                <w:sz w:val="20"/>
              </w:rPr>
              <w:t>SLI = Select Legislative Instrument</w:t>
            </w:r>
          </w:p>
        </w:tc>
      </w:tr>
      <w:tr w:rsidR="00F27B33" w:rsidRPr="00EA5132" w:rsidTr="00F27B33">
        <w:tc>
          <w:tcPr>
            <w:tcW w:w="2679" w:type="pct"/>
            <w:shd w:val="clear" w:color="auto" w:fill="auto"/>
          </w:tcPr>
          <w:p w:rsidR="00F27B33" w:rsidRPr="00EA5132" w:rsidRDefault="00F27B33" w:rsidP="00F27B33">
            <w:pPr>
              <w:ind w:left="34" w:firstLine="249"/>
              <w:rPr>
                <w:sz w:val="20"/>
              </w:rPr>
            </w:pPr>
            <w:r w:rsidRPr="00EA5132">
              <w:rPr>
                <w:sz w:val="20"/>
              </w:rPr>
              <w:t>effect</w:t>
            </w:r>
          </w:p>
        </w:tc>
        <w:tc>
          <w:tcPr>
            <w:tcW w:w="2321" w:type="pct"/>
            <w:shd w:val="clear" w:color="auto" w:fill="auto"/>
          </w:tcPr>
          <w:p w:rsidR="00F27B33" w:rsidRPr="00EA5132" w:rsidRDefault="00F27B33" w:rsidP="00F27B33">
            <w:pPr>
              <w:spacing w:before="60"/>
              <w:ind w:left="34"/>
              <w:rPr>
                <w:sz w:val="20"/>
              </w:rPr>
            </w:pPr>
            <w:r w:rsidRPr="00EA5132">
              <w:rPr>
                <w:sz w:val="20"/>
              </w:rPr>
              <w:t>SR = Statutory Rules</w:t>
            </w:r>
          </w:p>
        </w:tc>
      </w:tr>
      <w:tr w:rsidR="00F27B33" w:rsidRPr="00EA5132" w:rsidTr="00F27B33">
        <w:tc>
          <w:tcPr>
            <w:tcW w:w="2679" w:type="pct"/>
            <w:shd w:val="clear" w:color="auto" w:fill="auto"/>
          </w:tcPr>
          <w:p w:rsidR="00F27B33" w:rsidRPr="00EA5132" w:rsidRDefault="00F27B33" w:rsidP="00F27B33">
            <w:pPr>
              <w:spacing w:before="60"/>
              <w:ind w:left="34"/>
              <w:rPr>
                <w:sz w:val="20"/>
              </w:rPr>
            </w:pPr>
            <w:r w:rsidRPr="00EA5132">
              <w:rPr>
                <w:sz w:val="20"/>
              </w:rPr>
              <w:t>(md not incorp) = misdescribed amendment</w:t>
            </w:r>
          </w:p>
        </w:tc>
        <w:tc>
          <w:tcPr>
            <w:tcW w:w="2321" w:type="pct"/>
            <w:shd w:val="clear" w:color="auto" w:fill="auto"/>
          </w:tcPr>
          <w:p w:rsidR="00F27B33" w:rsidRPr="00EA5132" w:rsidRDefault="00F27B33" w:rsidP="00F27B33">
            <w:pPr>
              <w:spacing w:before="60"/>
              <w:ind w:left="34"/>
              <w:rPr>
                <w:sz w:val="20"/>
              </w:rPr>
            </w:pPr>
            <w:r w:rsidRPr="00EA5132">
              <w:rPr>
                <w:sz w:val="20"/>
              </w:rPr>
              <w:t>Sub</w:t>
            </w:r>
            <w:r w:rsidRPr="00EA5132">
              <w:rPr>
                <w:sz w:val="20"/>
              </w:rPr>
              <w:noBreakHyphen/>
              <w:t>Ch = Sub</w:t>
            </w:r>
            <w:r w:rsidRPr="00EA5132">
              <w:rPr>
                <w:sz w:val="20"/>
              </w:rPr>
              <w:noBreakHyphen/>
              <w:t>Chapter(s)</w:t>
            </w:r>
          </w:p>
        </w:tc>
      </w:tr>
      <w:tr w:rsidR="00F27B33" w:rsidRPr="00EA5132" w:rsidTr="00F27B33">
        <w:tc>
          <w:tcPr>
            <w:tcW w:w="2679" w:type="pct"/>
            <w:shd w:val="clear" w:color="auto" w:fill="auto"/>
          </w:tcPr>
          <w:p w:rsidR="00F27B33" w:rsidRPr="00EA5132" w:rsidRDefault="00F27B33" w:rsidP="00F27B33">
            <w:pPr>
              <w:ind w:left="34" w:firstLine="249"/>
              <w:rPr>
                <w:sz w:val="20"/>
              </w:rPr>
            </w:pPr>
            <w:r w:rsidRPr="00EA5132">
              <w:rPr>
                <w:sz w:val="20"/>
              </w:rPr>
              <w:t>cannot be given effect</w:t>
            </w:r>
          </w:p>
        </w:tc>
        <w:tc>
          <w:tcPr>
            <w:tcW w:w="2321" w:type="pct"/>
            <w:shd w:val="clear" w:color="auto" w:fill="auto"/>
          </w:tcPr>
          <w:p w:rsidR="00F27B33" w:rsidRPr="00EA5132" w:rsidRDefault="00F27B33" w:rsidP="00F27B33">
            <w:pPr>
              <w:spacing w:before="60"/>
              <w:ind w:left="34"/>
              <w:rPr>
                <w:sz w:val="20"/>
              </w:rPr>
            </w:pPr>
            <w:r w:rsidRPr="00EA5132">
              <w:rPr>
                <w:sz w:val="20"/>
              </w:rPr>
              <w:t>SubPt = Subpart(s)</w:t>
            </w:r>
          </w:p>
        </w:tc>
      </w:tr>
      <w:tr w:rsidR="00F27B33" w:rsidRPr="00EA5132" w:rsidTr="00F27B33">
        <w:tc>
          <w:tcPr>
            <w:tcW w:w="2679" w:type="pct"/>
            <w:shd w:val="clear" w:color="auto" w:fill="auto"/>
          </w:tcPr>
          <w:p w:rsidR="00F27B33" w:rsidRPr="00EA5132" w:rsidRDefault="00F27B33" w:rsidP="00F27B33">
            <w:pPr>
              <w:spacing w:before="60"/>
              <w:ind w:left="34"/>
              <w:rPr>
                <w:sz w:val="20"/>
              </w:rPr>
            </w:pPr>
            <w:r w:rsidRPr="00EA5132">
              <w:rPr>
                <w:sz w:val="20"/>
              </w:rPr>
              <w:t>mod = modified/modification</w:t>
            </w:r>
          </w:p>
        </w:tc>
        <w:tc>
          <w:tcPr>
            <w:tcW w:w="2321" w:type="pct"/>
            <w:shd w:val="clear" w:color="auto" w:fill="auto"/>
          </w:tcPr>
          <w:p w:rsidR="00F27B33" w:rsidRPr="00EA5132" w:rsidRDefault="00F27B33" w:rsidP="00F27B33">
            <w:pPr>
              <w:spacing w:before="60"/>
              <w:ind w:left="34"/>
              <w:rPr>
                <w:sz w:val="20"/>
              </w:rPr>
            </w:pPr>
            <w:r w:rsidRPr="00C5426A">
              <w:rPr>
                <w:sz w:val="20"/>
                <w:u w:val="single"/>
              </w:rPr>
              <w:t>underlining</w:t>
            </w:r>
            <w:r w:rsidRPr="00EA5132">
              <w:rPr>
                <w:sz w:val="20"/>
              </w:rPr>
              <w:t xml:space="preserve"> = whole or part not</w:t>
            </w:r>
          </w:p>
        </w:tc>
      </w:tr>
      <w:tr w:rsidR="00F27B33" w:rsidRPr="00EA5132" w:rsidTr="00F27B33">
        <w:tc>
          <w:tcPr>
            <w:tcW w:w="2679" w:type="pct"/>
            <w:shd w:val="clear" w:color="auto" w:fill="auto"/>
          </w:tcPr>
          <w:p w:rsidR="00F27B33" w:rsidRPr="00EA5132" w:rsidRDefault="00F27B33" w:rsidP="00F27B33">
            <w:pPr>
              <w:spacing w:before="60"/>
              <w:ind w:left="34"/>
              <w:rPr>
                <w:sz w:val="20"/>
              </w:rPr>
            </w:pPr>
            <w:r w:rsidRPr="00EA5132">
              <w:rPr>
                <w:sz w:val="20"/>
              </w:rPr>
              <w:t>No. = Number(s)</w:t>
            </w:r>
          </w:p>
        </w:tc>
        <w:tc>
          <w:tcPr>
            <w:tcW w:w="2321" w:type="pct"/>
            <w:shd w:val="clear" w:color="auto" w:fill="auto"/>
          </w:tcPr>
          <w:p w:rsidR="00F27B33" w:rsidRPr="00EA5132" w:rsidRDefault="00F27B33" w:rsidP="00F27B33">
            <w:pPr>
              <w:ind w:left="34" w:firstLine="249"/>
              <w:rPr>
                <w:sz w:val="20"/>
              </w:rPr>
            </w:pPr>
            <w:r w:rsidRPr="00EA5132">
              <w:rPr>
                <w:sz w:val="20"/>
              </w:rPr>
              <w:t>commenced or to be commenced</w:t>
            </w:r>
          </w:p>
        </w:tc>
      </w:tr>
    </w:tbl>
    <w:p w:rsidR="00F27B33" w:rsidRDefault="00F27B33" w:rsidP="00F27B33"/>
    <w:p w:rsidR="00A42C4E" w:rsidRDefault="00A42C4E" w:rsidP="00A42C4E">
      <w:pPr>
        <w:pStyle w:val="ENotesHeading2"/>
        <w:pageBreakBefore/>
      </w:pPr>
      <w:bookmarkStart w:id="35" w:name="_Toc76648325"/>
      <w:r>
        <w:t>Endnote 3—Legislation history</w:t>
      </w:r>
      <w:bookmarkEnd w:id="35"/>
    </w:p>
    <w:p w:rsidR="00A42C4E" w:rsidRDefault="00A42C4E" w:rsidP="00A42C4E">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A42C4E" w:rsidRPr="0098546F" w:rsidTr="00F27B33">
        <w:trPr>
          <w:cantSplit/>
          <w:tblHeader/>
        </w:trPr>
        <w:tc>
          <w:tcPr>
            <w:tcW w:w="1250" w:type="pct"/>
            <w:tcBorders>
              <w:top w:val="single" w:sz="12" w:space="0" w:color="auto"/>
              <w:bottom w:val="single" w:sz="12" w:space="0" w:color="auto"/>
            </w:tcBorders>
            <w:shd w:val="clear" w:color="auto" w:fill="auto"/>
          </w:tcPr>
          <w:p w:rsidR="00A42C4E" w:rsidRPr="00E117A3" w:rsidRDefault="00A42C4E" w:rsidP="00A42C4E">
            <w:pPr>
              <w:pStyle w:val="ENoteTableHeading"/>
            </w:pPr>
            <w:r>
              <w:t>Name</w:t>
            </w:r>
          </w:p>
        </w:tc>
        <w:tc>
          <w:tcPr>
            <w:tcW w:w="1250" w:type="pct"/>
            <w:tcBorders>
              <w:top w:val="single" w:sz="12" w:space="0" w:color="auto"/>
              <w:bottom w:val="single" w:sz="12" w:space="0" w:color="auto"/>
            </w:tcBorders>
            <w:shd w:val="clear" w:color="auto" w:fill="auto"/>
          </w:tcPr>
          <w:p w:rsidR="00A42C4E" w:rsidRPr="00E117A3" w:rsidRDefault="00A42C4E" w:rsidP="00A42C4E">
            <w:pPr>
              <w:pStyle w:val="ENoteTableHeading"/>
            </w:pPr>
            <w:r>
              <w:t>R</w:t>
            </w:r>
            <w:r w:rsidRPr="00E117A3">
              <w:t>egistration</w:t>
            </w:r>
          </w:p>
        </w:tc>
        <w:tc>
          <w:tcPr>
            <w:tcW w:w="1250" w:type="pct"/>
            <w:tcBorders>
              <w:top w:val="single" w:sz="12" w:space="0" w:color="auto"/>
              <w:bottom w:val="single" w:sz="12" w:space="0" w:color="auto"/>
            </w:tcBorders>
            <w:shd w:val="clear" w:color="auto" w:fill="auto"/>
          </w:tcPr>
          <w:p w:rsidR="00A42C4E" w:rsidRPr="00E117A3" w:rsidRDefault="00A42C4E" w:rsidP="00A42C4E">
            <w:pPr>
              <w:pStyle w:val="ENoteTableHeading"/>
            </w:pPr>
            <w:r>
              <w:t>Commencement</w:t>
            </w:r>
          </w:p>
        </w:tc>
        <w:tc>
          <w:tcPr>
            <w:tcW w:w="1250" w:type="pct"/>
            <w:tcBorders>
              <w:top w:val="single" w:sz="12" w:space="0" w:color="auto"/>
              <w:bottom w:val="single" w:sz="12" w:space="0" w:color="auto"/>
            </w:tcBorders>
            <w:shd w:val="clear" w:color="auto" w:fill="auto"/>
          </w:tcPr>
          <w:p w:rsidR="00A42C4E" w:rsidRPr="00E117A3" w:rsidRDefault="00A42C4E" w:rsidP="00A42C4E">
            <w:pPr>
              <w:pStyle w:val="ENoteTableHeading"/>
            </w:pPr>
            <w:r w:rsidRPr="00E117A3">
              <w:t>Application, saving and transitional provisions</w:t>
            </w:r>
          </w:p>
        </w:tc>
      </w:tr>
      <w:tr w:rsidR="00A42C4E" w:rsidRPr="00E117A3" w:rsidTr="00F27B33">
        <w:trPr>
          <w:cantSplit/>
        </w:trPr>
        <w:tc>
          <w:tcPr>
            <w:tcW w:w="1250" w:type="pct"/>
            <w:tcBorders>
              <w:top w:val="single" w:sz="12" w:space="0" w:color="auto"/>
              <w:bottom w:val="single" w:sz="4" w:space="0" w:color="auto"/>
            </w:tcBorders>
            <w:shd w:val="clear" w:color="auto" w:fill="auto"/>
          </w:tcPr>
          <w:p w:rsidR="00A42C4E" w:rsidRPr="00E117A3" w:rsidRDefault="000820AA" w:rsidP="00A42C4E">
            <w:pPr>
              <w:pStyle w:val="ENoteTableText"/>
            </w:pPr>
            <w:r w:rsidRPr="000820AA">
              <w:t>Consumer Goods (Quad Bikes) Safety Standard 2019</w:t>
            </w:r>
          </w:p>
        </w:tc>
        <w:tc>
          <w:tcPr>
            <w:tcW w:w="1250" w:type="pct"/>
            <w:tcBorders>
              <w:top w:val="single" w:sz="12" w:space="0" w:color="auto"/>
              <w:bottom w:val="single" w:sz="4" w:space="0" w:color="auto"/>
            </w:tcBorders>
            <w:shd w:val="clear" w:color="auto" w:fill="auto"/>
          </w:tcPr>
          <w:p w:rsidR="00A42C4E" w:rsidRPr="00E117A3" w:rsidRDefault="000820AA" w:rsidP="00A42C4E">
            <w:pPr>
              <w:pStyle w:val="ENoteTableText"/>
            </w:pPr>
            <w:r>
              <w:t>10 Oct 2019 (F2019L01321)</w:t>
            </w:r>
          </w:p>
        </w:tc>
        <w:tc>
          <w:tcPr>
            <w:tcW w:w="1250" w:type="pct"/>
            <w:tcBorders>
              <w:top w:val="single" w:sz="12" w:space="0" w:color="auto"/>
              <w:bottom w:val="single" w:sz="4" w:space="0" w:color="auto"/>
            </w:tcBorders>
            <w:shd w:val="clear" w:color="auto" w:fill="auto"/>
          </w:tcPr>
          <w:p w:rsidR="00A42C4E" w:rsidRPr="00E117A3" w:rsidRDefault="000820AA" w:rsidP="00A42C4E">
            <w:pPr>
              <w:pStyle w:val="ENoteTableText"/>
            </w:pPr>
            <w:r>
              <w:t xml:space="preserve">11 Oct 2019 </w:t>
            </w:r>
            <w:r>
              <w:t>(s 2(1) item 1)</w:t>
            </w:r>
          </w:p>
        </w:tc>
        <w:tc>
          <w:tcPr>
            <w:tcW w:w="1250" w:type="pct"/>
            <w:tcBorders>
              <w:top w:val="single" w:sz="12" w:space="0" w:color="auto"/>
              <w:bottom w:val="single" w:sz="4" w:space="0" w:color="auto"/>
            </w:tcBorders>
            <w:shd w:val="clear" w:color="auto" w:fill="auto"/>
          </w:tcPr>
          <w:p w:rsidR="00A42C4E" w:rsidRPr="00E117A3" w:rsidRDefault="00A42C4E" w:rsidP="00A42C4E">
            <w:pPr>
              <w:pStyle w:val="ENoteTableText"/>
            </w:pPr>
          </w:p>
        </w:tc>
      </w:tr>
      <w:tr w:rsidR="00A42C4E" w:rsidTr="00F27B33">
        <w:trPr>
          <w:cantSplit/>
        </w:trPr>
        <w:tc>
          <w:tcPr>
            <w:tcW w:w="1250" w:type="pct"/>
            <w:tcBorders>
              <w:bottom w:val="single" w:sz="12" w:space="0" w:color="auto"/>
            </w:tcBorders>
            <w:shd w:val="clear" w:color="auto" w:fill="auto"/>
          </w:tcPr>
          <w:p w:rsidR="00A42C4E" w:rsidRPr="00E117A3" w:rsidRDefault="000820AA" w:rsidP="00A42C4E">
            <w:pPr>
              <w:pStyle w:val="ENoteTableText"/>
            </w:pPr>
            <w:r w:rsidRPr="000820AA">
              <w:t>Consumer Goods (Quad Bikes) Amendment Safety Standard 2021</w:t>
            </w:r>
          </w:p>
        </w:tc>
        <w:tc>
          <w:tcPr>
            <w:tcW w:w="1250" w:type="pct"/>
            <w:tcBorders>
              <w:bottom w:val="single" w:sz="12" w:space="0" w:color="auto"/>
            </w:tcBorders>
            <w:shd w:val="clear" w:color="auto" w:fill="auto"/>
          </w:tcPr>
          <w:p w:rsidR="00A42C4E" w:rsidRPr="00E117A3" w:rsidRDefault="000820AA" w:rsidP="00A42C4E">
            <w:pPr>
              <w:pStyle w:val="ENoteTableText"/>
            </w:pPr>
            <w:r>
              <w:t>28 June 2021 (F2021L00873)</w:t>
            </w:r>
          </w:p>
        </w:tc>
        <w:tc>
          <w:tcPr>
            <w:tcW w:w="1250" w:type="pct"/>
            <w:tcBorders>
              <w:bottom w:val="single" w:sz="12" w:space="0" w:color="auto"/>
            </w:tcBorders>
            <w:shd w:val="clear" w:color="auto" w:fill="auto"/>
          </w:tcPr>
          <w:p w:rsidR="00A42C4E" w:rsidRPr="00E117A3" w:rsidRDefault="000820AA" w:rsidP="00A42C4E">
            <w:pPr>
              <w:pStyle w:val="ENoteTableText"/>
            </w:pPr>
            <w:r>
              <w:t>29 June 2021 (s 2(1) item 1)</w:t>
            </w:r>
          </w:p>
        </w:tc>
        <w:tc>
          <w:tcPr>
            <w:tcW w:w="1250" w:type="pct"/>
            <w:tcBorders>
              <w:bottom w:val="single" w:sz="12" w:space="0" w:color="auto"/>
            </w:tcBorders>
            <w:shd w:val="clear" w:color="auto" w:fill="auto"/>
          </w:tcPr>
          <w:p w:rsidR="00A42C4E" w:rsidRPr="00E117A3" w:rsidRDefault="000820AA" w:rsidP="00A42C4E">
            <w:pPr>
              <w:pStyle w:val="ENoteTableText"/>
            </w:pPr>
            <w:r>
              <w:t>—</w:t>
            </w:r>
          </w:p>
        </w:tc>
      </w:tr>
    </w:tbl>
    <w:p w:rsidR="00A42C4E" w:rsidRDefault="00A42C4E" w:rsidP="002A1204">
      <w:pPr>
        <w:pStyle w:val="Tabletext"/>
      </w:pPr>
    </w:p>
    <w:p w:rsidR="00A42C4E" w:rsidRDefault="00A42C4E" w:rsidP="00A42C4E">
      <w:pPr>
        <w:pStyle w:val="ENotesHeading2"/>
        <w:pageBreakBefore/>
      </w:pPr>
      <w:bookmarkStart w:id="36" w:name="_Toc76648326"/>
      <w:r>
        <w:t>Endnote 4—Amendment history</w:t>
      </w:r>
      <w:bookmarkEnd w:id="36"/>
    </w:p>
    <w:p w:rsidR="00A42C4E" w:rsidRDefault="00A42C4E" w:rsidP="00A42C4E">
      <w:pPr>
        <w:pStyle w:val="Tabletext"/>
      </w:pPr>
    </w:p>
    <w:tbl>
      <w:tblPr>
        <w:tblW w:w="5000" w:type="pct"/>
        <w:tblLook w:val="0000" w:firstRow="0" w:lastRow="0" w:firstColumn="0" w:lastColumn="0" w:noHBand="0" w:noVBand="0"/>
      </w:tblPr>
      <w:tblGrid>
        <w:gridCol w:w="2576"/>
        <w:gridCol w:w="5953"/>
      </w:tblGrid>
      <w:tr w:rsidR="00A42C4E" w:rsidRPr="0098546F" w:rsidTr="00F27B33">
        <w:trPr>
          <w:cantSplit/>
          <w:tblHeader/>
        </w:trPr>
        <w:tc>
          <w:tcPr>
            <w:tcW w:w="1510" w:type="pct"/>
            <w:tcBorders>
              <w:top w:val="single" w:sz="12" w:space="0" w:color="auto"/>
              <w:bottom w:val="single" w:sz="12" w:space="0" w:color="auto"/>
            </w:tcBorders>
            <w:shd w:val="clear" w:color="auto" w:fill="auto"/>
          </w:tcPr>
          <w:p w:rsidR="00A42C4E" w:rsidRPr="00E117A3" w:rsidRDefault="00A42C4E" w:rsidP="00A42C4E">
            <w:pPr>
              <w:pStyle w:val="ENoteTableHeading"/>
              <w:tabs>
                <w:tab w:val="center" w:leader="dot" w:pos="2268"/>
              </w:tabs>
            </w:pPr>
            <w:r w:rsidRPr="00E117A3">
              <w:t>Provision affected</w:t>
            </w:r>
          </w:p>
        </w:tc>
        <w:tc>
          <w:tcPr>
            <w:tcW w:w="3490" w:type="pct"/>
            <w:tcBorders>
              <w:top w:val="single" w:sz="12" w:space="0" w:color="auto"/>
              <w:bottom w:val="single" w:sz="12" w:space="0" w:color="auto"/>
            </w:tcBorders>
            <w:shd w:val="clear" w:color="auto" w:fill="auto"/>
          </w:tcPr>
          <w:p w:rsidR="00A42C4E" w:rsidRPr="00E117A3" w:rsidRDefault="00A42C4E" w:rsidP="00A42C4E">
            <w:pPr>
              <w:pStyle w:val="ENoteTableHeading"/>
              <w:tabs>
                <w:tab w:val="center" w:leader="dot" w:pos="2268"/>
              </w:tabs>
            </w:pPr>
            <w:r w:rsidRPr="00E117A3">
              <w:t>How affected</w:t>
            </w:r>
          </w:p>
        </w:tc>
      </w:tr>
      <w:tr w:rsidR="00A42C4E" w:rsidRPr="00E117A3" w:rsidTr="00F27B33">
        <w:trPr>
          <w:cantSplit/>
        </w:trPr>
        <w:tc>
          <w:tcPr>
            <w:tcW w:w="1510" w:type="pct"/>
            <w:tcBorders>
              <w:top w:val="single" w:sz="12" w:space="0" w:color="auto"/>
            </w:tcBorders>
            <w:shd w:val="clear" w:color="auto" w:fill="auto"/>
          </w:tcPr>
          <w:p w:rsidR="00A42C4E" w:rsidRPr="002A1204" w:rsidRDefault="000820AA" w:rsidP="00A42C4E">
            <w:pPr>
              <w:pStyle w:val="ENoteTableText"/>
              <w:tabs>
                <w:tab w:val="center" w:leader="dot" w:pos="2268"/>
              </w:tabs>
              <w:rPr>
                <w:b/>
              </w:rPr>
            </w:pPr>
            <w:r>
              <w:rPr>
                <w:b/>
              </w:rPr>
              <w:t>Part 1</w:t>
            </w:r>
          </w:p>
        </w:tc>
        <w:tc>
          <w:tcPr>
            <w:tcW w:w="3490" w:type="pct"/>
            <w:tcBorders>
              <w:top w:val="single" w:sz="12" w:space="0" w:color="auto"/>
            </w:tcBorders>
            <w:shd w:val="clear" w:color="auto" w:fill="auto"/>
          </w:tcPr>
          <w:p w:rsidR="00A42C4E" w:rsidRPr="00E117A3" w:rsidRDefault="00A42C4E" w:rsidP="00A42C4E">
            <w:pPr>
              <w:pStyle w:val="ENoteTableText"/>
              <w:tabs>
                <w:tab w:val="center" w:leader="dot" w:pos="2268"/>
              </w:tabs>
            </w:pPr>
          </w:p>
        </w:tc>
      </w:tr>
      <w:tr w:rsidR="00A42C4E" w:rsidTr="00F27B33">
        <w:trPr>
          <w:cantSplit/>
        </w:trPr>
        <w:tc>
          <w:tcPr>
            <w:tcW w:w="1510" w:type="pct"/>
            <w:shd w:val="clear" w:color="auto" w:fill="auto"/>
          </w:tcPr>
          <w:p w:rsidR="00A42C4E" w:rsidRPr="00E117A3" w:rsidRDefault="000820AA" w:rsidP="00A42C4E">
            <w:pPr>
              <w:pStyle w:val="ENoteTableText"/>
              <w:tabs>
                <w:tab w:val="center" w:leader="dot" w:pos="2268"/>
              </w:tabs>
            </w:pPr>
            <w:r>
              <w:t>s 2</w:t>
            </w:r>
            <w:r>
              <w:tab/>
            </w:r>
          </w:p>
        </w:tc>
        <w:tc>
          <w:tcPr>
            <w:tcW w:w="3490" w:type="pct"/>
            <w:shd w:val="clear" w:color="auto" w:fill="auto"/>
          </w:tcPr>
          <w:p w:rsidR="00A42C4E" w:rsidRPr="00E117A3" w:rsidRDefault="000820AA" w:rsidP="00A42C4E">
            <w:pPr>
              <w:pStyle w:val="ENoteTableText"/>
              <w:tabs>
                <w:tab w:val="center" w:leader="dot" w:pos="2268"/>
              </w:tabs>
            </w:pPr>
            <w:r>
              <w:t>rep LA s</w:t>
            </w:r>
            <w:r w:rsidR="00A92518">
              <w:t xml:space="preserve"> </w:t>
            </w:r>
            <w:r>
              <w:t>48D</w:t>
            </w:r>
          </w:p>
        </w:tc>
      </w:tr>
      <w:tr w:rsidR="00A42C4E" w:rsidTr="002A1204">
        <w:trPr>
          <w:cantSplit/>
        </w:trPr>
        <w:tc>
          <w:tcPr>
            <w:tcW w:w="1510" w:type="pct"/>
            <w:shd w:val="clear" w:color="auto" w:fill="auto"/>
          </w:tcPr>
          <w:p w:rsidR="00A42C4E" w:rsidRPr="00E117A3" w:rsidRDefault="000820AA" w:rsidP="00A42C4E">
            <w:pPr>
              <w:pStyle w:val="ENoteTableText"/>
              <w:tabs>
                <w:tab w:val="center" w:leader="dot" w:pos="2268"/>
              </w:tabs>
            </w:pPr>
            <w:r>
              <w:t>s 4</w:t>
            </w:r>
            <w:r>
              <w:tab/>
            </w:r>
          </w:p>
        </w:tc>
        <w:tc>
          <w:tcPr>
            <w:tcW w:w="3490" w:type="pct"/>
            <w:shd w:val="clear" w:color="auto" w:fill="auto"/>
          </w:tcPr>
          <w:p w:rsidR="00A42C4E" w:rsidRPr="00E117A3" w:rsidRDefault="000820AA" w:rsidP="00A42C4E">
            <w:pPr>
              <w:pStyle w:val="ENoteTableText"/>
            </w:pPr>
            <w:r>
              <w:t>am F2021L00873</w:t>
            </w:r>
          </w:p>
        </w:tc>
      </w:tr>
      <w:tr w:rsidR="000820AA" w:rsidTr="002A1204">
        <w:trPr>
          <w:cantSplit/>
        </w:trPr>
        <w:tc>
          <w:tcPr>
            <w:tcW w:w="1510" w:type="pct"/>
            <w:shd w:val="clear" w:color="auto" w:fill="auto"/>
          </w:tcPr>
          <w:p w:rsidR="000820AA" w:rsidRPr="004D77A0" w:rsidRDefault="00B92C1F" w:rsidP="00A42C4E">
            <w:pPr>
              <w:pStyle w:val="ENoteTableText"/>
              <w:tabs>
                <w:tab w:val="center" w:leader="dot" w:pos="2268"/>
              </w:tabs>
              <w:rPr>
                <w:b/>
              </w:rPr>
            </w:pPr>
            <w:r>
              <w:rPr>
                <w:b/>
              </w:rPr>
              <w:t>Part 3</w:t>
            </w:r>
          </w:p>
        </w:tc>
        <w:tc>
          <w:tcPr>
            <w:tcW w:w="3490" w:type="pct"/>
            <w:shd w:val="clear" w:color="auto" w:fill="auto"/>
          </w:tcPr>
          <w:p w:rsidR="000820AA" w:rsidRDefault="000820AA" w:rsidP="00A42C4E">
            <w:pPr>
              <w:pStyle w:val="ENoteTableText"/>
            </w:pPr>
          </w:p>
        </w:tc>
      </w:tr>
      <w:tr w:rsidR="00B92C1F" w:rsidTr="00F27B33">
        <w:trPr>
          <w:cantSplit/>
        </w:trPr>
        <w:tc>
          <w:tcPr>
            <w:tcW w:w="1510" w:type="pct"/>
            <w:tcBorders>
              <w:bottom w:val="single" w:sz="12" w:space="0" w:color="auto"/>
            </w:tcBorders>
            <w:shd w:val="clear" w:color="auto" w:fill="auto"/>
          </w:tcPr>
          <w:p w:rsidR="00B92C1F" w:rsidRPr="004D77A0" w:rsidRDefault="00B92C1F" w:rsidP="00A42C4E">
            <w:pPr>
              <w:pStyle w:val="ENoteTableText"/>
              <w:tabs>
                <w:tab w:val="center" w:leader="dot" w:pos="2268"/>
              </w:tabs>
            </w:pPr>
            <w:r>
              <w:t>s 14</w:t>
            </w:r>
            <w:r>
              <w:tab/>
            </w:r>
          </w:p>
        </w:tc>
        <w:tc>
          <w:tcPr>
            <w:tcW w:w="3490" w:type="pct"/>
            <w:tcBorders>
              <w:bottom w:val="single" w:sz="12" w:space="0" w:color="auto"/>
            </w:tcBorders>
            <w:shd w:val="clear" w:color="auto" w:fill="auto"/>
          </w:tcPr>
          <w:p w:rsidR="00B92C1F" w:rsidRDefault="00B92C1F" w:rsidP="00A42C4E">
            <w:pPr>
              <w:pStyle w:val="ENoteTableText"/>
            </w:pPr>
            <w:r>
              <w:t>am F2021L00873</w:t>
            </w:r>
          </w:p>
        </w:tc>
      </w:tr>
    </w:tbl>
    <w:p w:rsidR="00A42C4E" w:rsidRDefault="00A42C4E" w:rsidP="00A42C4E">
      <w:pPr>
        <w:pStyle w:val="Tabletext"/>
      </w:pPr>
    </w:p>
    <w:p w:rsidR="00A42C4E" w:rsidRDefault="00A42C4E" w:rsidP="00A42C4E">
      <w:pPr>
        <w:sectPr w:rsidR="00A42C4E" w:rsidSect="00B63CE6">
          <w:headerReference w:type="even" r:id="rId34"/>
          <w:headerReference w:type="default" r:id="rId35"/>
          <w:footerReference w:type="even" r:id="rId36"/>
          <w:footerReference w:type="default" r:id="rId37"/>
          <w:headerReference w:type="first" r:id="rId38"/>
          <w:footerReference w:type="first" r:id="rId39"/>
          <w:pgSz w:w="11907" w:h="16839" w:code="9"/>
          <w:pgMar w:top="2325" w:right="1797" w:bottom="1440" w:left="1797" w:header="720" w:footer="709" w:gutter="0"/>
          <w:cols w:space="708"/>
          <w:docGrid w:linePitch="360"/>
        </w:sectPr>
      </w:pPr>
    </w:p>
    <w:p w:rsidR="00A42C4E" w:rsidRPr="00997E2A" w:rsidRDefault="00A42C4E" w:rsidP="00A42C4E"/>
    <w:sectPr w:rsidR="00A42C4E" w:rsidRPr="00997E2A" w:rsidSect="00B63CE6">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1204" w:rsidRDefault="002A1204" w:rsidP="00715914">
      <w:pPr>
        <w:spacing w:line="240" w:lineRule="auto"/>
      </w:pPr>
      <w:r>
        <w:separator/>
      </w:r>
    </w:p>
  </w:endnote>
  <w:endnote w:type="continuationSeparator" w:id="0">
    <w:p w:rsidR="002A1204" w:rsidRDefault="002A120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204" w:rsidRDefault="002A1204">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204" w:rsidRPr="007B3B51" w:rsidRDefault="002A1204" w:rsidP="00A42C4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A1204" w:rsidRPr="007B3B51" w:rsidTr="00F27B33">
      <w:tc>
        <w:tcPr>
          <w:tcW w:w="854" w:type="pct"/>
        </w:tcPr>
        <w:p w:rsidR="002A1204" w:rsidRPr="007B3B51" w:rsidRDefault="002A1204" w:rsidP="00A42C4E">
          <w:pPr>
            <w:rPr>
              <w:i/>
              <w:sz w:val="16"/>
              <w:szCs w:val="16"/>
            </w:rPr>
          </w:pPr>
        </w:p>
      </w:tc>
      <w:tc>
        <w:tcPr>
          <w:tcW w:w="3688" w:type="pct"/>
          <w:gridSpan w:val="3"/>
        </w:tcPr>
        <w:p w:rsidR="002A1204" w:rsidRPr="007B3B51" w:rsidRDefault="002A1204" w:rsidP="00A42C4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3CE6">
            <w:rPr>
              <w:i/>
              <w:noProof/>
              <w:sz w:val="16"/>
              <w:szCs w:val="16"/>
            </w:rPr>
            <w:t>Consumer Goods (Quad Bikes) Safety Standard 2019</w:t>
          </w:r>
          <w:r w:rsidRPr="007B3B51">
            <w:rPr>
              <w:i/>
              <w:sz w:val="16"/>
              <w:szCs w:val="16"/>
            </w:rPr>
            <w:fldChar w:fldCharType="end"/>
          </w:r>
        </w:p>
      </w:tc>
      <w:tc>
        <w:tcPr>
          <w:tcW w:w="458" w:type="pct"/>
        </w:tcPr>
        <w:p w:rsidR="002A1204" w:rsidRPr="007B3B51" w:rsidRDefault="002A1204" w:rsidP="00A42C4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2A1204" w:rsidRPr="00130F37" w:rsidTr="00F27B33">
      <w:tc>
        <w:tcPr>
          <w:tcW w:w="1499" w:type="pct"/>
          <w:gridSpan w:val="2"/>
        </w:tcPr>
        <w:p w:rsidR="002A1204" w:rsidRPr="00130F37" w:rsidRDefault="002A1204" w:rsidP="00A42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D77A0">
            <w:rPr>
              <w:sz w:val="16"/>
              <w:szCs w:val="16"/>
            </w:rPr>
            <w:t>1</w:t>
          </w:r>
          <w:r w:rsidRPr="00130F37">
            <w:rPr>
              <w:sz w:val="16"/>
              <w:szCs w:val="16"/>
            </w:rPr>
            <w:fldChar w:fldCharType="end"/>
          </w:r>
        </w:p>
      </w:tc>
      <w:tc>
        <w:tcPr>
          <w:tcW w:w="1999" w:type="pct"/>
        </w:tcPr>
        <w:p w:rsidR="002A1204" w:rsidRPr="00130F37" w:rsidRDefault="002A1204" w:rsidP="00A42C4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D77A0">
            <w:rPr>
              <w:sz w:val="16"/>
              <w:szCs w:val="16"/>
            </w:rPr>
            <w:t>29/06/2021</w:t>
          </w:r>
          <w:r w:rsidRPr="00130F37">
            <w:rPr>
              <w:sz w:val="16"/>
              <w:szCs w:val="16"/>
            </w:rPr>
            <w:fldChar w:fldCharType="end"/>
          </w:r>
        </w:p>
      </w:tc>
      <w:tc>
        <w:tcPr>
          <w:tcW w:w="1502" w:type="pct"/>
          <w:gridSpan w:val="2"/>
        </w:tcPr>
        <w:p w:rsidR="002A1204" w:rsidRPr="00130F37" w:rsidRDefault="002A1204" w:rsidP="00A42C4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D77A0">
            <w:rPr>
              <w:sz w:val="16"/>
              <w:szCs w:val="16"/>
            </w:rPr>
            <w:instrText>8 July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D77A0">
            <w:rPr>
              <w:sz w:val="16"/>
              <w:szCs w:val="16"/>
            </w:rPr>
            <w:instrText>08/07/2021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D77A0">
            <w:rPr>
              <w:noProof/>
              <w:sz w:val="16"/>
              <w:szCs w:val="16"/>
            </w:rPr>
            <w:t>08/07/2021</w:t>
          </w:r>
          <w:r w:rsidRPr="00130F37">
            <w:rPr>
              <w:sz w:val="16"/>
              <w:szCs w:val="16"/>
            </w:rPr>
            <w:fldChar w:fldCharType="end"/>
          </w:r>
        </w:p>
      </w:tc>
    </w:tr>
  </w:tbl>
  <w:p w:rsidR="002A1204" w:rsidRDefault="002A1204" w:rsidP="00A42C4E"/>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204" w:rsidRPr="00E33C1C" w:rsidRDefault="002A1204" w:rsidP="002179E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84"/>
      <w:gridCol w:w="6379"/>
      <w:gridCol w:w="709"/>
    </w:tblGrid>
    <w:tr w:rsidR="002A1204" w:rsidTr="00F27B33">
      <w:tc>
        <w:tcPr>
          <w:tcW w:w="817" w:type="pct"/>
          <w:tcBorders>
            <w:top w:val="nil"/>
            <w:left w:val="nil"/>
            <w:bottom w:val="nil"/>
            <w:right w:val="nil"/>
          </w:tcBorders>
        </w:tcPr>
        <w:p w:rsidR="002A1204" w:rsidRDefault="002A1204" w:rsidP="00FB0762">
          <w:pPr>
            <w:spacing w:line="0" w:lineRule="atLeast"/>
            <w:rPr>
              <w:sz w:val="18"/>
            </w:rPr>
          </w:pPr>
        </w:p>
      </w:tc>
      <w:tc>
        <w:tcPr>
          <w:tcW w:w="3765" w:type="pct"/>
          <w:tcBorders>
            <w:top w:val="nil"/>
            <w:left w:val="nil"/>
            <w:bottom w:val="nil"/>
            <w:right w:val="nil"/>
          </w:tcBorders>
        </w:tcPr>
        <w:p w:rsidR="002A1204" w:rsidRDefault="002A1204" w:rsidP="00FB07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D77A0">
            <w:rPr>
              <w:i/>
              <w:sz w:val="18"/>
            </w:rPr>
            <w:t>Consumer Goods (Quad Bikes) Safety Standard 2019</w:t>
          </w:r>
          <w:r w:rsidRPr="007A1328">
            <w:rPr>
              <w:i/>
              <w:sz w:val="18"/>
            </w:rPr>
            <w:fldChar w:fldCharType="end"/>
          </w:r>
        </w:p>
      </w:tc>
      <w:tc>
        <w:tcPr>
          <w:tcW w:w="418" w:type="pct"/>
          <w:tcBorders>
            <w:top w:val="nil"/>
            <w:left w:val="nil"/>
            <w:bottom w:val="nil"/>
            <w:right w:val="nil"/>
          </w:tcBorders>
        </w:tcPr>
        <w:p w:rsidR="002A1204" w:rsidRDefault="002A1204" w:rsidP="00FB07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19</w:t>
          </w:r>
          <w:r w:rsidRPr="00ED79B6">
            <w:rPr>
              <w:i/>
              <w:sz w:val="18"/>
            </w:rPr>
            <w:fldChar w:fldCharType="end"/>
          </w:r>
        </w:p>
      </w:tc>
    </w:tr>
  </w:tbl>
  <w:p w:rsidR="002A1204" w:rsidRPr="00ED79B6" w:rsidRDefault="002A1204" w:rsidP="002179E9">
    <w:pPr>
      <w:rPr>
        <w:i/>
        <w:sz w:val="18"/>
      </w:rPr>
    </w:pPr>
  </w:p>
  <w:p w:rsidR="002A1204" w:rsidRPr="00D50951" w:rsidRDefault="002A1204" w:rsidP="00D50951">
    <w:pPr>
      <w:pStyle w:val="Footer"/>
      <w:rPr>
        <w:i/>
        <w:sz w:val="18"/>
      </w:rPr>
    </w:pPr>
    <w:r w:rsidRPr="00D50951">
      <w:rPr>
        <w:i/>
        <w:sz w:val="18"/>
      </w:rPr>
      <w:t>OPC63626 - I</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204" w:rsidRPr="007B3B51" w:rsidRDefault="002A1204" w:rsidP="00A42C4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A1204" w:rsidRPr="007B3B51" w:rsidTr="00F27B33">
      <w:tc>
        <w:tcPr>
          <w:tcW w:w="854" w:type="pct"/>
        </w:tcPr>
        <w:p w:rsidR="002A1204" w:rsidRPr="007B3B51" w:rsidRDefault="002A1204" w:rsidP="00A42C4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gridSpan w:val="3"/>
        </w:tcPr>
        <w:p w:rsidR="002A1204" w:rsidRPr="007B3B51" w:rsidRDefault="002A1204" w:rsidP="00A42C4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3CE6">
            <w:rPr>
              <w:i/>
              <w:noProof/>
              <w:sz w:val="16"/>
              <w:szCs w:val="16"/>
            </w:rPr>
            <w:t>Consumer Goods (Quad Bikes) Safety Standard 2019</w:t>
          </w:r>
          <w:r w:rsidRPr="007B3B51">
            <w:rPr>
              <w:i/>
              <w:sz w:val="16"/>
              <w:szCs w:val="16"/>
            </w:rPr>
            <w:fldChar w:fldCharType="end"/>
          </w:r>
        </w:p>
      </w:tc>
      <w:tc>
        <w:tcPr>
          <w:tcW w:w="458" w:type="pct"/>
        </w:tcPr>
        <w:p w:rsidR="002A1204" w:rsidRPr="007B3B51" w:rsidRDefault="002A1204" w:rsidP="00A42C4E">
          <w:pPr>
            <w:jc w:val="right"/>
            <w:rPr>
              <w:sz w:val="16"/>
              <w:szCs w:val="16"/>
            </w:rPr>
          </w:pPr>
        </w:p>
      </w:tc>
    </w:tr>
    <w:tr w:rsidR="002A1204" w:rsidRPr="0055472E" w:rsidTr="00F27B33">
      <w:tc>
        <w:tcPr>
          <w:tcW w:w="1499" w:type="pct"/>
          <w:gridSpan w:val="2"/>
        </w:tcPr>
        <w:p w:rsidR="002A1204" w:rsidRPr="0055472E" w:rsidRDefault="002A1204" w:rsidP="00A42C4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D77A0">
            <w:rPr>
              <w:sz w:val="16"/>
              <w:szCs w:val="16"/>
            </w:rPr>
            <w:t>1</w:t>
          </w:r>
          <w:r w:rsidRPr="0055472E">
            <w:rPr>
              <w:sz w:val="16"/>
              <w:szCs w:val="16"/>
            </w:rPr>
            <w:fldChar w:fldCharType="end"/>
          </w:r>
        </w:p>
      </w:tc>
      <w:tc>
        <w:tcPr>
          <w:tcW w:w="1999" w:type="pct"/>
        </w:tcPr>
        <w:p w:rsidR="002A1204" w:rsidRPr="0055472E" w:rsidRDefault="002A1204" w:rsidP="00A42C4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D77A0">
            <w:rPr>
              <w:sz w:val="16"/>
              <w:szCs w:val="16"/>
            </w:rPr>
            <w:t>29/06/2021</w:t>
          </w:r>
          <w:r w:rsidRPr="0055472E">
            <w:rPr>
              <w:sz w:val="16"/>
              <w:szCs w:val="16"/>
            </w:rPr>
            <w:fldChar w:fldCharType="end"/>
          </w:r>
        </w:p>
      </w:tc>
      <w:tc>
        <w:tcPr>
          <w:tcW w:w="1502" w:type="pct"/>
          <w:gridSpan w:val="2"/>
        </w:tcPr>
        <w:p w:rsidR="002A1204" w:rsidRPr="0055472E" w:rsidRDefault="002A1204" w:rsidP="00A42C4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D77A0">
            <w:rPr>
              <w:sz w:val="16"/>
              <w:szCs w:val="16"/>
            </w:rPr>
            <w:instrText>8 July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D77A0">
            <w:rPr>
              <w:sz w:val="16"/>
              <w:szCs w:val="16"/>
            </w:rPr>
            <w:instrText>08/07/2021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D77A0">
            <w:rPr>
              <w:noProof/>
              <w:sz w:val="16"/>
              <w:szCs w:val="16"/>
            </w:rPr>
            <w:t>08/07/2021</w:t>
          </w:r>
          <w:r w:rsidRPr="0055472E">
            <w:rPr>
              <w:sz w:val="16"/>
              <w:szCs w:val="16"/>
            </w:rPr>
            <w:fldChar w:fldCharType="end"/>
          </w:r>
        </w:p>
      </w:tc>
    </w:tr>
  </w:tbl>
  <w:p w:rsidR="002A1204" w:rsidRDefault="002A1204" w:rsidP="00A42C4E"/>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204" w:rsidRPr="007B3B51" w:rsidRDefault="002A1204" w:rsidP="00A42C4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A1204" w:rsidRPr="007B3B51" w:rsidTr="00F27B33">
      <w:tc>
        <w:tcPr>
          <w:tcW w:w="854" w:type="pct"/>
        </w:tcPr>
        <w:p w:rsidR="002A1204" w:rsidRPr="007B3B51" w:rsidRDefault="002A1204" w:rsidP="00A42C4E">
          <w:pPr>
            <w:rPr>
              <w:i/>
              <w:sz w:val="16"/>
              <w:szCs w:val="16"/>
            </w:rPr>
          </w:pPr>
        </w:p>
      </w:tc>
      <w:tc>
        <w:tcPr>
          <w:tcW w:w="3688" w:type="pct"/>
          <w:gridSpan w:val="3"/>
        </w:tcPr>
        <w:p w:rsidR="002A1204" w:rsidRPr="007B3B51" w:rsidRDefault="002A1204" w:rsidP="00A42C4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3CE6">
            <w:rPr>
              <w:i/>
              <w:noProof/>
              <w:sz w:val="16"/>
              <w:szCs w:val="16"/>
            </w:rPr>
            <w:t>Consumer Goods (Quad Bikes) Safety Standard 2019</w:t>
          </w:r>
          <w:r w:rsidRPr="007B3B51">
            <w:rPr>
              <w:i/>
              <w:sz w:val="16"/>
              <w:szCs w:val="16"/>
            </w:rPr>
            <w:fldChar w:fldCharType="end"/>
          </w:r>
        </w:p>
      </w:tc>
      <w:tc>
        <w:tcPr>
          <w:tcW w:w="458" w:type="pct"/>
        </w:tcPr>
        <w:p w:rsidR="002A1204" w:rsidRPr="007B3B51" w:rsidRDefault="002A1204" w:rsidP="00A42C4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2A1204" w:rsidRPr="00130F37" w:rsidTr="00F27B33">
      <w:tc>
        <w:tcPr>
          <w:tcW w:w="1499" w:type="pct"/>
          <w:gridSpan w:val="2"/>
        </w:tcPr>
        <w:p w:rsidR="002A1204" w:rsidRPr="00130F37" w:rsidRDefault="002A1204" w:rsidP="00A42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D77A0">
            <w:rPr>
              <w:sz w:val="16"/>
              <w:szCs w:val="16"/>
            </w:rPr>
            <w:t>1</w:t>
          </w:r>
          <w:r w:rsidRPr="00130F37">
            <w:rPr>
              <w:sz w:val="16"/>
              <w:szCs w:val="16"/>
            </w:rPr>
            <w:fldChar w:fldCharType="end"/>
          </w:r>
        </w:p>
      </w:tc>
      <w:tc>
        <w:tcPr>
          <w:tcW w:w="1999" w:type="pct"/>
        </w:tcPr>
        <w:p w:rsidR="002A1204" w:rsidRPr="00130F37" w:rsidRDefault="002A1204" w:rsidP="00A42C4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D77A0">
            <w:rPr>
              <w:sz w:val="16"/>
              <w:szCs w:val="16"/>
            </w:rPr>
            <w:t>29/06/2021</w:t>
          </w:r>
          <w:r w:rsidRPr="00130F37">
            <w:rPr>
              <w:sz w:val="16"/>
              <w:szCs w:val="16"/>
            </w:rPr>
            <w:fldChar w:fldCharType="end"/>
          </w:r>
        </w:p>
      </w:tc>
      <w:tc>
        <w:tcPr>
          <w:tcW w:w="1502" w:type="pct"/>
          <w:gridSpan w:val="2"/>
        </w:tcPr>
        <w:p w:rsidR="002A1204" w:rsidRPr="00130F37" w:rsidRDefault="002A1204" w:rsidP="00A42C4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D77A0">
            <w:rPr>
              <w:sz w:val="16"/>
              <w:szCs w:val="16"/>
            </w:rPr>
            <w:instrText>8 July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D77A0">
            <w:rPr>
              <w:sz w:val="16"/>
              <w:szCs w:val="16"/>
            </w:rPr>
            <w:instrText>08/07/2021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D77A0">
            <w:rPr>
              <w:noProof/>
              <w:sz w:val="16"/>
              <w:szCs w:val="16"/>
            </w:rPr>
            <w:t>08/07/2021</w:t>
          </w:r>
          <w:r w:rsidRPr="00130F37">
            <w:rPr>
              <w:sz w:val="16"/>
              <w:szCs w:val="16"/>
            </w:rPr>
            <w:fldChar w:fldCharType="end"/>
          </w:r>
        </w:p>
      </w:tc>
    </w:tr>
  </w:tbl>
  <w:p w:rsidR="002A1204" w:rsidRDefault="002A1204" w:rsidP="00A42C4E"/>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204" w:rsidRDefault="002A1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204" w:rsidRDefault="002A1204" w:rsidP="00F27B33">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204" w:rsidRPr="00ED79B6" w:rsidRDefault="002A1204" w:rsidP="00F27B33">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204" w:rsidRPr="007B3B51" w:rsidRDefault="002A1204" w:rsidP="00A42C4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A1204" w:rsidRPr="007B3B51" w:rsidTr="00F27B33">
      <w:tc>
        <w:tcPr>
          <w:tcW w:w="854" w:type="pct"/>
        </w:tcPr>
        <w:p w:rsidR="002A1204" w:rsidRPr="007B3B51" w:rsidRDefault="002A1204" w:rsidP="00A42C4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gridSpan w:val="3"/>
        </w:tcPr>
        <w:p w:rsidR="002A1204" w:rsidRPr="007B3B51" w:rsidRDefault="002A1204" w:rsidP="00A42C4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D77A0">
            <w:rPr>
              <w:i/>
              <w:noProof/>
              <w:sz w:val="16"/>
              <w:szCs w:val="16"/>
            </w:rPr>
            <w:t>Consumer Goods (Quad Bikes) Safety Standard 2019</w:t>
          </w:r>
          <w:r w:rsidRPr="007B3B51">
            <w:rPr>
              <w:i/>
              <w:sz w:val="16"/>
              <w:szCs w:val="16"/>
            </w:rPr>
            <w:fldChar w:fldCharType="end"/>
          </w:r>
        </w:p>
      </w:tc>
      <w:tc>
        <w:tcPr>
          <w:tcW w:w="458" w:type="pct"/>
        </w:tcPr>
        <w:p w:rsidR="002A1204" w:rsidRPr="007B3B51" w:rsidRDefault="002A1204" w:rsidP="00A42C4E">
          <w:pPr>
            <w:jc w:val="right"/>
            <w:rPr>
              <w:sz w:val="16"/>
              <w:szCs w:val="16"/>
            </w:rPr>
          </w:pPr>
        </w:p>
      </w:tc>
    </w:tr>
    <w:tr w:rsidR="002A1204" w:rsidRPr="0055472E" w:rsidTr="00F27B33">
      <w:tc>
        <w:tcPr>
          <w:tcW w:w="1499" w:type="pct"/>
          <w:gridSpan w:val="2"/>
        </w:tcPr>
        <w:p w:rsidR="002A1204" w:rsidRPr="0055472E" w:rsidRDefault="002A1204" w:rsidP="00A42C4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D77A0">
            <w:rPr>
              <w:sz w:val="16"/>
              <w:szCs w:val="16"/>
            </w:rPr>
            <w:t>1</w:t>
          </w:r>
          <w:r w:rsidRPr="0055472E">
            <w:rPr>
              <w:sz w:val="16"/>
              <w:szCs w:val="16"/>
            </w:rPr>
            <w:fldChar w:fldCharType="end"/>
          </w:r>
        </w:p>
      </w:tc>
      <w:tc>
        <w:tcPr>
          <w:tcW w:w="1999" w:type="pct"/>
        </w:tcPr>
        <w:p w:rsidR="002A1204" w:rsidRPr="0055472E" w:rsidRDefault="002A1204" w:rsidP="00A42C4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D77A0">
            <w:rPr>
              <w:sz w:val="16"/>
              <w:szCs w:val="16"/>
            </w:rPr>
            <w:t>29/06/2021</w:t>
          </w:r>
          <w:r w:rsidRPr="0055472E">
            <w:rPr>
              <w:sz w:val="16"/>
              <w:szCs w:val="16"/>
            </w:rPr>
            <w:fldChar w:fldCharType="end"/>
          </w:r>
        </w:p>
      </w:tc>
      <w:tc>
        <w:tcPr>
          <w:tcW w:w="1502" w:type="pct"/>
          <w:gridSpan w:val="2"/>
        </w:tcPr>
        <w:p w:rsidR="002A1204" w:rsidRPr="0055472E" w:rsidRDefault="002A1204" w:rsidP="00A42C4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D77A0">
            <w:rPr>
              <w:sz w:val="16"/>
              <w:szCs w:val="16"/>
            </w:rPr>
            <w:instrText>8 July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D77A0">
            <w:rPr>
              <w:sz w:val="16"/>
              <w:szCs w:val="16"/>
            </w:rPr>
            <w:instrText>08/07/2021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D77A0">
            <w:rPr>
              <w:noProof/>
              <w:sz w:val="16"/>
              <w:szCs w:val="16"/>
            </w:rPr>
            <w:t>08/07/2021</w:t>
          </w:r>
          <w:r w:rsidRPr="0055472E">
            <w:rPr>
              <w:sz w:val="16"/>
              <w:szCs w:val="16"/>
            </w:rPr>
            <w:fldChar w:fldCharType="end"/>
          </w:r>
        </w:p>
      </w:tc>
    </w:tr>
  </w:tbl>
  <w:p w:rsidR="002A1204" w:rsidRDefault="002A1204" w:rsidP="00A42C4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204" w:rsidRPr="007B3B51" w:rsidRDefault="002A1204" w:rsidP="00A42C4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A1204" w:rsidRPr="007B3B51" w:rsidTr="00F27B33">
      <w:tc>
        <w:tcPr>
          <w:tcW w:w="854" w:type="pct"/>
        </w:tcPr>
        <w:p w:rsidR="002A1204" w:rsidRPr="007B3B51" w:rsidRDefault="002A1204" w:rsidP="00A42C4E">
          <w:pPr>
            <w:rPr>
              <w:i/>
              <w:sz w:val="16"/>
              <w:szCs w:val="16"/>
            </w:rPr>
          </w:pPr>
        </w:p>
      </w:tc>
      <w:tc>
        <w:tcPr>
          <w:tcW w:w="3688" w:type="pct"/>
          <w:gridSpan w:val="3"/>
        </w:tcPr>
        <w:p w:rsidR="002A1204" w:rsidRPr="007B3B51" w:rsidRDefault="002A1204" w:rsidP="00A42C4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3CE6">
            <w:rPr>
              <w:i/>
              <w:noProof/>
              <w:sz w:val="16"/>
              <w:szCs w:val="16"/>
            </w:rPr>
            <w:t>Consumer Goods (Quad Bikes) Safety Standard 2019</w:t>
          </w:r>
          <w:r w:rsidRPr="007B3B51">
            <w:rPr>
              <w:i/>
              <w:sz w:val="16"/>
              <w:szCs w:val="16"/>
            </w:rPr>
            <w:fldChar w:fldCharType="end"/>
          </w:r>
        </w:p>
      </w:tc>
      <w:tc>
        <w:tcPr>
          <w:tcW w:w="458" w:type="pct"/>
        </w:tcPr>
        <w:p w:rsidR="002A1204" w:rsidRPr="007B3B51" w:rsidRDefault="002A1204" w:rsidP="00A42C4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2A1204" w:rsidRPr="00130F37" w:rsidTr="00F27B33">
      <w:tc>
        <w:tcPr>
          <w:tcW w:w="1499" w:type="pct"/>
          <w:gridSpan w:val="2"/>
        </w:tcPr>
        <w:p w:rsidR="002A1204" w:rsidRPr="00130F37" w:rsidRDefault="002A1204" w:rsidP="00A42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D77A0">
            <w:rPr>
              <w:sz w:val="16"/>
              <w:szCs w:val="16"/>
            </w:rPr>
            <w:t>1</w:t>
          </w:r>
          <w:r w:rsidRPr="00130F37">
            <w:rPr>
              <w:sz w:val="16"/>
              <w:szCs w:val="16"/>
            </w:rPr>
            <w:fldChar w:fldCharType="end"/>
          </w:r>
        </w:p>
      </w:tc>
      <w:tc>
        <w:tcPr>
          <w:tcW w:w="1999" w:type="pct"/>
        </w:tcPr>
        <w:p w:rsidR="002A1204" w:rsidRPr="00130F37" w:rsidRDefault="002A1204" w:rsidP="00A42C4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D77A0">
            <w:rPr>
              <w:sz w:val="16"/>
              <w:szCs w:val="16"/>
            </w:rPr>
            <w:t>29/06/2021</w:t>
          </w:r>
          <w:r w:rsidRPr="00130F37">
            <w:rPr>
              <w:sz w:val="16"/>
              <w:szCs w:val="16"/>
            </w:rPr>
            <w:fldChar w:fldCharType="end"/>
          </w:r>
        </w:p>
      </w:tc>
      <w:tc>
        <w:tcPr>
          <w:tcW w:w="1502" w:type="pct"/>
          <w:gridSpan w:val="2"/>
        </w:tcPr>
        <w:p w:rsidR="002A1204" w:rsidRPr="00130F37" w:rsidRDefault="002A1204" w:rsidP="00A42C4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D77A0">
            <w:rPr>
              <w:sz w:val="16"/>
              <w:szCs w:val="16"/>
            </w:rPr>
            <w:instrText>8 July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D77A0">
            <w:rPr>
              <w:sz w:val="16"/>
              <w:szCs w:val="16"/>
            </w:rPr>
            <w:instrText>08/07/2021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D77A0">
            <w:rPr>
              <w:noProof/>
              <w:sz w:val="16"/>
              <w:szCs w:val="16"/>
            </w:rPr>
            <w:t>08/07/2021</w:t>
          </w:r>
          <w:r w:rsidRPr="00130F37">
            <w:rPr>
              <w:sz w:val="16"/>
              <w:szCs w:val="16"/>
            </w:rPr>
            <w:fldChar w:fldCharType="end"/>
          </w:r>
        </w:p>
      </w:tc>
    </w:tr>
  </w:tbl>
  <w:p w:rsidR="002A1204" w:rsidRDefault="002A1204" w:rsidP="00A42C4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204" w:rsidRPr="007B3B51" w:rsidRDefault="002A1204" w:rsidP="00A42C4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A1204" w:rsidRPr="007B3B51" w:rsidTr="00F27B33">
      <w:tc>
        <w:tcPr>
          <w:tcW w:w="854" w:type="pct"/>
        </w:tcPr>
        <w:p w:rsidR="002A1204" w:rsidRPr="007B3B51" w:rsidRDefault="002A1204" w:rsidP="00A42C4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gridSpan w:val="3"/>
        </w:tcPr>
        <w:p w:rsidR="002A1204" w:rsidRPr="007B3B51" w:rsidRDefault="002A1204" w:rsidP="00A42C4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3CE6">
            <w:rPr>
              <w:i/>
              <w:noProof/>
              <w:sz w:val="16"/>
              <w:szCs w:val="16"/>
            </w:rPr>
            <w:t>Consumer Goods (Quad Bikes) Safety Standard 2019</w:t>
          </w:r>
          <w:r w:rsidRPr="007B3B51">
            <w:rPr>
              <w:i/>
              <w:sz w:val="16"/>
              <w:szCs w:val="16"/>
            </w:rPr>
            <w:fldChar w:fldCharType="end"/>
          </w:r>
        </w:p>
      </w:tc>
      <w:tc>
        <w:tcPr>
          <w:tcW w:w="458" w:type="pct"/>
        </w:tcPr>
        <w:p w:rsidR="002A1204" w:rsidRPr="007B3B51" w:rsidRDefault="002A1204" w:rsidP="00A42C4E">
          <w:pPr>
            <w:jc w:val="right"/>
            <w:rPr>
              <w:sz w:val="16"/>
              <w:szCs w:val="16"/>
            </w:rPr>
          </w:pPr>
        </w:p>
      </w:tc>
    </w:tr>
    <w:tr w:rsidR="002A1204" w:rsidRPr="0055472E" w:rsidTr="00F27B33">
      <w:tc>
        <w:tcPr>
          <w:tcW w:w="1499" w:type="pct"/>
          <w:gridSpan w:val="2"/>
        </w:tcPr>
        <w:p w:rsidR="002A1204" w:rsidRPr="0055472E" w:rsidRDefault="002A1204" w:rsidP="00A42C4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D77A0">
            <w:rPr>
              <w:sz w:val="16"/>
              <w:szCs w:val="16"/>
            </w:rPr>
            <w:t>1</w:t>
          </w:r>
          <w:r w:rsidRPr="0055472E">
            <w:rPr>
              <w:sz w:val="16"/>
              <w:szCs w:val="16"/>
            </w:rPr>
            <w:fldChar w:fldCharType="end"/>
          </w:r>
        </w:p>
      </w:tc>
      <w:tc>
        <w:tcPr>
          <w:tcW w:w="1999" w:type="pct"/>
        </w:tcPr>
        <w:p w:rsidR="002A1204" w:rsidRPr="0055472E" w:rsidRDefault="002A1204" w:rsidP="00A42C4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D77A0">
            <w:rPr>
              <w:sz w:val="16"/>
              <w:szCs w:val="16"/>
            </w:rPr>
            <w:t>29/06/2021</w:t>
          </w:r>
          <w:r w:rsidRPr="0055472E">
            <w:rPr>
              <w:sz w:val="16"/>
              <w:szCs w:val="16"/>
            </w:rPr>
            <w:fldChar w:fldCharType="end"/>
          </w:r>
        </w:p>
      </w:tc>
      <w:tc>
        <w:tcPr>
          <w:tcW w:w="1502" w:type="pct"/>
          <w:gridSpan w:val="2"/>
        </w:tcPr>
        <w:p w:rsidR="002A1204" w:rsidRPr="0055472E" w:rsidRDefault="002A1204" w:rsidP="00A42C4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D77A0">
            <w:rPr>
              <w:sz w:val="16"/>
              <w:szCs w:val="16"/>
            </w:rPr>
            <w:instrText>8 July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D77A0">
            <w:rPr>
              <w:sz w:val="16"/>
              <w:szCs w:val="16"/>
            </w:rPr>
            <w:instrText>08/07/2021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D77A0">
            <w:rPr>
              <w:noProof/>
              <w:sz w:val="16"/>
              <w:szCs w:val="16"/>
            </w:rPr>
            <w:t>08/07/2021</w:t>
          </w:r>
          <w:r w:rsidRPr="0055472E">
            <w:rPr>
              <w:sz w:val="16"/>
              <w:szCs w:val="16"/>
            </w:rPr>
            <w:fldChar w:fldCharType="end"/>
          </w:r>
        </w:p>
      </w:tc>
    </w:tr>
  </w:tbl>
  <w:p w:rsidR="002A1204" w:rsidRDefault="002A1204" w:rsidP="00A42C4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204" w:rsidRPr="007B3B51" w:rsidRDefault="002A1204" w:rsidP="00A42C4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A1204" w:rsidRPr="007B3B51" w:rsidTr="00F27B33">
      <w:tc>
        <w:tcPr>
          <w:tcW w:w="854" w:type="pct"/>
        </w:tcPr>
        <w:p w:rsidR="002A1204" w:rsidRPr="007B3B51" w:rsidRDefault="002A1204" w:rsidP="00A42C4E">
          <w:pPr>
            <w:rPr>
              <w:i/>
              <w:sz w:val="16"/>
              <w:szCs w:val="16"/>
            </w:rPr>
          </w:pPr>
        </w:p>
      </w:tc>
      <w:tc>
        <w:tcPr>
          <w:tcW w:w="3688" w:type="pct"/>
          <w:gridSpan w:val="3"/>
        </w:tcPr>
        <w:p w:rsidR="002A1204" w:rsidRPr="007B3B51" w:rsidRDefault="002A1204" w:rsidP="00A42C4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3CE6">
            <w:rPr>
              <w:i/>
              <w:noProof/>
              <w:sz w:val="16"/>
              <w:szCs w:val="16"/>
            </w:rPr>
            <w:t>Consumer Goods (Quad Bikes) Safety Standard 2019</w:t>
          </w:r>
          <w:r w:rsidRPr="007B3B51">
            <w:rPr>
              <w:i/>
              <w:sz w:val="16"/>
              <w:szCs w:val="16"/>
            </w:rPr>
            <w:fldChar w:fldCharType="end"/>
          </w:r>
        </w:p>
      </w:tc>
      <w:tc>
        <w:tcPr>
          <w:tcW w:w="458" w:type="pct"/>
        </w:tcPr>
        <w:p w:rsidR="002A1204" w:rsidRPr="007B3B51" w:rsidRDefault="002A1204" w:rsidP="00A42C4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2A1204" w:rsidRPr="00130F37" w:rsidTr="00F27B33">
      <w:tc>
        <w:tcPr>
          <w:tcW w:w="1499" w:type="pct"/>
          <w:gridSpan w:val="2"/>
        </w:tcPr>
        <w:p w:rsidR="002A1204" w:rsidRPr="00130F37" w:rsidRDefault="002A1204" w:rsidP="00A42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D77A0">
            <w:rPr>
              <w:sz w:val="16"/>
              <w:szCs w:val="16"/>
            </w:rPr>
            <w:t>1</w:t>
          </w:r>
          <w:r w:rsidRPr="00130F37">
            <w:rPr>
              <w:sz w:val="16"/>
              <w:szCs w:val="16"/>
            </w:rPr>
            <w:fldChar w:fldCharType="end"/>
          </w:r>
        </w:p>
      </w:tc>
      <w:tc>
        <w:tcPr>
          <w:tcW w:w="1999" w:type="pct"/>
        </w:tcPr>
        <w:p w:rsidR="002A1204" w:rsidRPr="00130F37" w:rsidRDefault="002A1204" w:rsidP="00A42C4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D77A0">
            <w:rPr>
              <w:sz w:val="16"/>
              <w:szCs w:val="16"/>
            </w:rPr>
            <w:t>29/06/2021</w:t>
          </w:r>
          <w:r w:rsidRPr="00130F37">
            <w:rPr>
              <w:sz w:val="16"/>
              <w:szCs w:val="16"/>
            </w:rPr>
            <w:fldChar w:fldCharType="end"/>
          </w:r>
        </w:p>
      </w:tc>
      <w:tc>
        <w:tcPr>
          <w:tcW w:w="1502" w:type="pct"/>
          <w:gridSpan w:val="2"/>
        </w:tcPr>
        <w:p w:rsidR="002A1204" w:rsidRPr="00130F37" w:rsidRDefault="002A1204" w:rsidP="00A42C4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D77A0">
            <w:rPr>
              <w:sz w:val="16"/>
              <w:szCs w:val="16"/>
            </w:rPr>
            <w:instrText>8 July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D77A0">
            <w:rPr>
              <w:sz w:val="16"/>
              <w:szCs w:val="16"/>
            </w:rPr>
            <w:instrText>08/07/2021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D77A0">
            <w:rPr>
              <w:noProof/>
              <w:sz w:val="16"/>
              <w:szCs w:val="16"/>
            </w:rPr>
            <w:t>08/07/2021</w:t>
          </w:r>
          <w:r w:rsidRPr="00130F37">
            <w:rPr>
              <w:sz w:val="16"/>
              <w:szCs w:val="16"/>
            </w:rPr>
            <w:fldChar w:fldCharType="end"/>
          </w:r>
        </w:p>
      </w:tc>
    </w:tr>
  </w:tbl>
  <w:p w:rsidR="002A1204" w:rsidRDefault="002A1204" w:rsidP="00A42C4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204" w:rsidRPr="00E33C1C" w:rsidRDefault="002A1204" w:rsidP="00FB0762">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84"/>
      <w:gridCol w:w="6379"/>
      <w:gridCol w:w="709"/>
    </w:tblGrid>
    <w:tr w:rsidR="002A1204" w:rsidTr="00F27B33">
      <w:tc>
        <w:tcPr>
          <w:tcW w:w="817" w:type="pct"/>
          <w:tcBorders>
            <w:top w:val="nil"/>
            <w:left w:val="nil"/>
            <w:bottom w:val="nil"/>
            <w:right w:val="nil"/>
          </w:tcBorders>
        </w:tcPr>
        <w:p w:rsidR="002A1204" w:rsidRDefault="002A1204" w:rsidP="00FB0762">
          <w:pPr>
            <w:spacing w:line="0" w:lineRule="atLeast"/>
            <w:rPr>
              <w:sz w:val="18"/>
            </w:rPr>
          </w:pPr>
        </w:p>
      </w:tc>
      <w:tc>
        <w:tcPr>
          <w:tcW w:w="3765" w:type="pct"/>
          <w:tcBorders>
            <w:top w:val="nil"/>
            <w:left w:val="nil"/>
            <w:bottom w:val="nil"/>
            <w:right w:val="nil"/>
          </w:tcBorders>
        </w:tcPr>
        <w:p w:rsidR="002A1204" w:rsidRDefault="002A1204" w:rsidP="00FB07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D77A0">
            <w:rPr>
              <w:i/>
              <w:sz w:val="18"/>
            </w:rPr>
            <w:t>Consumer Goods (Quad Bikes) Safety Standard 2019</w:t>
          </w:r>
          <w:r w:rsidRPr="007A1328">
            <w:rPr>
              <w:i/>
              <w:sz w:val="18"/>
            </w:rPr>
            <w:fldChar w:fldCharType="end"/>
          </w:r>
        </w:p>
      </w:tc>
      <w:tc>
        <w:tcPr>
          <w:tcW w:w="418" w:type="pct"/>
          <w:tcBorders>
            <w:top w:val="nil"/>
            <w:left w:val="nil"/>
            <w:bottom w:val="nil"/>
            <w:right w:val="nil"/>
          </w:tcBorders>
        </w:tcPr>
        <w:p w:rsidR="002A1204" w:rsidRDefault="002A1204" w:rsidP="00FB07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19</w:t>
          </w:r>
          <w:r w:rsidRPr="00ED79B6">
            <w:rPr>
              <w:i/>
              <w:sz w:val="18"/>
            </w:rPr>
            <w:fldChar w:fldCharType="end"/>
          </w:r>
        </w:p>
      </w:tc>
    </w:tr>
  </w:tbl>
  <w:p w:rsidR="002A1204" w:rsidRPr="00ED79B6" w:rsidRDefault="002A1204" w:rsidP="00FB0762">
    <w:pPr>
      <w:rPr>
        <w:i/>
        <w:sz w:val="18"/>
      </w:rPr>
    </w:pPr>
  </w:p>
  <w:p w:rsidR="002A1204" w:rsidRPr="00D50951" w:rsidRDefault="002A1204" w:rsidP="00D50951">
    <w:pPr>
      <w:pStyle w:val="Footer"/>
      <w:rPr>
        <w:i/>
        <w:sz w:val="18"/>
      </w:rPr>
    </w:pPr>
    <w:r w:rsidRPr="00D50951">
      <w:rPr>
        <w:i/>
        <w:sz w:val="18"/>
      </w:rPr>
      <w:t>OPC63626 - I</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204" w:rsidRPr="007B3B51" w:rsidRDefault="002A1204" w:rsidP="00A42C4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A1204" w:rsidRPr="007B3B51" w:rsidTr="00F27B33">
      <w:tc>
        <w:tcPr>
          <w:tcW w:w="854" w:type="pct"/>
        </w:tcPr>
        <w:p w:rsidR="002A1204" w:rsidRPr="007B3B51" w:rsidRDefault="002A1204" w:rsidP="00A42C4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gridSpan w:val="3"/>
        </w:tcPr>
        <w:p w:rsidR="002A1204" w:rsidRPr="007B3B51" w:rsidRDefault="002A1204" w:rsidP="00A42C4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3CE6">
            <w:rPr>
              <w:i/>
              <w:noProof/>
              <w:sz w:val="16"/>
              <w:szCs w:val="16"/>
            </w:rPr>
            <w:t>Consumer Goods (Quad Bikes) Safety Standard 2019</w:t>
          </w:r>
          <w:r w:rsidRPr="007B3B51">
            <w:rPr>
              <w:i/>
              <w:sz w:val="16"/>
              <w:szCs w:val="16"/>
            </w:rPr>
            <w:fldChar w:fldCharType="end"/>
          </w:r>
        </w:p>
      </w:tc>
      <w:tc>
        <w:tcPr>
          <w:tcW w:w="458" w:type="pct"/>
        </w:tcPr>
        <w:p w:rsidR="002A1204" w:rsidRPr="007B3B51" w:rsidRDefault="002A1204" w:rsidP="00A42C4E">
          <w:pPr>
            <w:jc w:val="right"/>
            <w:rPr>
              <w:sz w:val="16"/>
              <w:szCs w:val="16"/>
            </w:rPr>
          </w:pPr>
        </w:p>
      </w:tc>
    </w:tr>
    <w:tr w:rsidR="002A1204" w:rsidRPr="0055472E" w:rsidTr="00F27B33">
      <w:tc>
        <w:tcPr>
          <w:tcW w:w="1499" w:type="pct"/>
          <w:gridSpan w:val="2"/>
        </w:tcPr>
        <w:p w:rsidR="002A1204" w:rsidRPr="0055472E" w:rsidRDefault="002A1204" w:rsidP="00A42C4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D77A0">
            <w:rPr>
              <w:sz w:val="16"/>
              <w:szCs w:val="16"/>
            </w:rPr>
            <w:t>1</w:t>
          </w:r>
          <w:r w:rsidRPr="0055472E">
            <w:rPr>
              <w:sz w:val="16"/>
              <w:szCs w:val="16"/>
            </w:rPr>
            <w:fldChar w:fldCharType="end"/>
          </w:r>
        </w:p>
      </w:tc>
      <w:tc>
        <w:tcPr>
          <w:tcW w:w="1999" w:type="pct"/>
        </w:tcPr>
        <w:p w:rsidR="002A1204" w:rsidRPr="0055472E" w:rsidRDefault="002A1204" w:rsidP="00A42C4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D77A0">
            <w:rPr>
              <w:sz w:val="16"/>
              <w:szCs w:val="16"/>
            </w:rPr>
            <w:t>29/06/2021</w:t>
          </w:r>
          <w:r w:rsidRPr="0055472E">
            <w:rPr>
              <w:sz w:val="16"/>
              <w:szCs w:val="16"/>
            </w:rPr>
            <w:fldChar w:fldCharType="end"/>
          </w:r>
        </w:p>
      </w:tc>
      <w:tc>
        <w:tcPr>
          <w:tcW w:w="1502" w:type="pct"/>
          <w:gridSpan w:val="2"/>
        </w:tcPr>
        <w:p w:rsidR="002A1204" w:rsidRPr="0055472E" w:rsidRDefault="002A1204" w:rsidP="00A42C4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D77A0">
            <w:rPr>
              <w:sz w:val="16"/>
              <w:szCs w:val="16"/>
            </w:rPr>
            <w:instrText>8 July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D77A0">
            <w:rPr>
              <w:sz w:val="16"/>
              <w:szCs w:val="16"/>
            </w:rPr>
            <w:instrText>08/07/2021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D77A0">
            <w:rPr>
              <w:noProof/>
              <w:sz w:val="16"/>
              <w:szCs w:val="16"/>
            </w:rPr>
            <w:t>08/07/2021</w:t>
          </w:r>
          <w:r w:rsidRPr="0055472E">
            <w:rPr>
              <w:sz w:val="16"/>
              <w:szCs w:val="16"/>
            </w:rPr>
            <w:fldChar w:fldCharType="end"/>
          </w:r>
        </w:p>
      </w:tc>
    </w:tr>
  </w:tbl>
  <w:p w:rsidR="002A1204" w:rsidRDefault="002A1204" w:rsidP="00A42C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1204" w:rsidRDefault="002A1204" w:rsidP="00715914">
      <w:pPr>
        <w:spacing w:line="240" w:lineRule="auto"/>
      </w:pPr>
      <w:r>
        <w:separator/>
      </w:r>
    </w:p>
  </w:footnote>
  <w:footnote w:type="continuationSeparator" w:id="0">
    <w:p w:rsidR="002A1204" w:rsidRDefault="002A1204"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204" w:rsidRDefault="002A1204" w:rsidP="00F27B33">
    <w:pPr>
      <w:pStyle w:val="Header"/>
      <w:pBdr>
        <w:bottom w:val="single" w:sz="6" w:space="1" w:color="auto"/>
      </w:pBdr>
    </w:pPr>
  </w:p>
  <w:p w:rsidR="002A1204" w:rsidRDefault="002A1204" w:rsidP="00F27B33">
    <w:pPr>
      <w:pStyle w:val="Header"/>
      <w:pBdr>
        <w:bottom w:val="single" w:sz="6" w:space="1" w:color="auto"/>
      </w:pBdr>
    </w:pPr>
  </w:p>
  <w:p w:rsidR="002A1204" w:rsidRPr="001E77D2" w:rsidRDefault="002A1204" w:rsidP="00F27B33">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204" w:rsidRPr="00D1021D" w:rsidRDefault="002A1204">
    <w:pPr>
      <w:jc w:val="right"/>
      <w:rPr>
        <w:sz w:val="20"/>
      </w:rPr>
    </w:pPr>
    <w:r w:rsidRPr="00D1021D">
      <w:rPr>
        <w:sz w:val="20"/>
      </w:rPr>
      <w:fldChar w:fldCharType="begin"/>
    </w:r>
    <w:r w:rsidRPr="00D1021D">
      <w:rPr>
        <w:sz w:val="20"/>
      </w:rPr>
      <w:instrText xml:space="preserve"> STYLEREF CharChapText </w:instrText>
    </w:r>
    <w:r w:rsidR="004D77A0">
      <w:rPr>
        <w:sz w:val="20"/>
      </w:rPr>
      <w:fldChar w:fldCharType="separate"/>
    </w:r>
    <w:r w:rsidR="00B63CE6">
      <w:rPr>
        <w:noProof/>
        <w:sz w:val="20"/>
      </w:rPr>
      <w:t>Test procedures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004D77A0">
      <w:rPr>
        <w:b/>
        <w:sz w:val="20"/>
      </w:rPr>
      <w:fldChar w:fldCharType="separate"/>
    </w:r>
    <w:r w:rsidR="00B63CE6">
      <w:rPr>
        <w:b/>
        <w:noProof/>
        <w:sz w:val="20"/>
      </w:rPr>
      <w:t>Schedule 1</w:t>
    </w:r>
    <w:r w:rsidRPr="00D1021D">
      <w:rPr>
        <w:b/>
        <w:sz w:val="20"/>
      </w:rPr>
      <w:fldChar w:fldCharType="end"/>
    </w:r>
  </w:p>
  <w:p w:rsidR="002A1204" w:rsidRPr="00D1021D" w:rsidRDefault="002A1204">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separate"/>
    </w:r>
    <w:r w:rsidR="00B63CE6">
      <w:rPr>
        <w:noProof/>
        <w:sz w:val="20"/>
      </w:rPr>
      <w:t>Instrumentation</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separate"/>
    </w:r>
    <w:r w:rsidR="00B63CE6">
      <w:rPr>
        <w:b/>
        <w:noProof/>
        <w:sz w:val="20"/>
      </w:rPr>
      <w:t>Part 7</w:t>
    </w:r>
    <w:r w:rsidRPr="00D1021D">
      <w:rPr>
        <w:b/>
        <w:sz w:val="20"/>
      </w:rPr>
      <w:fldChar w:fldCharType="end"/>
    </w:r>
  </w:p>
  <w:p w:rsidR="002A1204" w:rsidRPr="00D1021D" w:rsidRDefault="002A1204">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w:instrText>
    </w:r>
    <w:r w:rsidRPr="002179E9">
      <w:rPr>
        <w:b/>
        <w:sz w:val="20"/>
        <w:bdr w:val="single" w:sz="4" w:space="0" w:color="auto"/>
      </w:rPr>
      <w:instrText>L</w:instrText>
    </w:r>
    <w:r w:rsidRPr="00D1021D">
      <w:rPr>
        <w:b/>
        <w:sz w:val="20"/>
      </w:rPr>
      <w:instrText xml:space="preserve">EREF CharDivNo </w:instrText>
    </w:r>
    <w:r w:rsidRPr="00D1021D">
      <w:rPr>
        <w:b/>
        <w:sz w:val="20"/>
      </w:rPr>
      <w:fldChar w:fldCharType="end"/>
    </w:r>
  </w:p>
  <w:p w:rsidR="002A1204" w:rsidRPr="002179E9" w:rsidRDefault="002A1204" w:rsidP="002179E9">
    <w:pPr>
      <w:pBdr>
        <w:bottom w:val="single" w:sz="6" w:space="1" w:color="auto"/>
      </w:pBdr>
      <w:spacing w:after="120"/>
      <w:jc w:val="right"/>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204" w:rsidRPr="002179E9" w:rsidRDefault="002A1204">
    <w:pPr>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204" w:rsidRPr="00C4473E" w:rsidRDefault="002A1204" w:rsidP="00A42C4E">
    <w:pPr>
      <w:rPr>
        <w:sz w:val="26"/>
        <w:szCs w:val="26"/>
      </w:rPr>
    </w:pPr>
  </w:p>
  <w:p w:rsidR="002A1204" w:rsidRPr="00965EE7" w:rsidRDefault="002A1204" w:rsidP="00A42C4E">
    <w:pPr>
      <w:rPr>
        <w:b/>
        <w:sz w:val="20"/>
      </w:rPr>
    </w:pPr>
    <w:r w:rsidRPr="00965EE7">
      <w:rPr>
        <w:b/>
        <w:sz w:val="20"/>
      </w:rPr>
      <w:t>Endnotes</w:t>
    </w:r>
  </w:p>
  <w:p w:rsidR="002A1204" w:rsidRPr="007A1328" w:rsidRDefault="002A1204" w:rsidP="00A42C4E">
    <w:pPr>
      <w:rPr>
        <w:sz w:val="20"/>
      </w:rPr>
    </w:pPr>
  </w:p>
  <w:p w:rsidR="002A1204" w:rsidRPr="007A1328" w:rsidRDefault="002A1204" w:rsidP="00A42C4E">
    <w:pPr>
      <w:rPr>
        <w:b/>
        <w:sz w:val="24"/>
      </w:rPr>
    </w:pPr>
  </w:p>
  <w:p w:rsidR="002A1204" w:rsidRDefault="002A1204" w:rsidP="00A42C4E">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B63CE6">
      <w:rPr>
        <w:noProof/>
        <w:szCs w:val="22"/>
      </w:rPr>
      <w:t>Endnote 3—Legislation history</w:t>
    </w:r>
    <w:r w:rsidRPr="00C4473E">
      <w:rPr>
        <w:szCs w:val="22"/>
      </w:rPr>
      <w:fldChar w:fldCharType="end"/>
    </w:r>
  </w:p>
  <w:p w:rsidR="002A1204" w:rsidRPr="000B5E62" w:rsidRDefault="002A1204" w:rsidP="00A42C4E">
    <w:pPr>
      <w:rPr>
        <w:sz w:val="24"/>
        <w:szCs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204" w:rsidRPr="00C4473E" w:rsidRDefault="002A1204" w:rsidP="00A42C4E">
    <w:pPr>
      <w:jc w:val="right"/>
      <w:rPr>
        <w:sz w:val="26"/>
        <w:szCs w:val="26"/>
      </w:rPr>
    </w:pPr>
  </w:p>
  <w:p w:rsidR="002A1204" w:rsidRPr="00965EE7" w:rsidRDefault="002A1204" w:rsidP="00A42C4E">
    <w:pPr>
      <w:jc w:val="right"/>
      <w:rPr>
        <w:b/>
        <w:sz w:val="20"/>
      </w:rPr>
    </w:pPr>
    <w:r w:rsidRPr="00965EE7">
      <w:rPr>
        <w:b/>
        <w:sz w:val="20"/>
      </w:rPr>
      <w:t>Endnotes</w:t>
    </w:r>
  </w:p>
  <w:p w:rsidR="002A1204" w:rsidRPr="007A1328" w:rsidRDefault="002A1204" w:rsidP="00A42C4E">
    <w:pPr>
      <w:jc w:val="right"/>
      <w:rPr>
        <w:sz w:val="20"/>
      </w:rPr>
    </w:pPr>
  </w:p>
  <w:p w:rsidR="002A1204" w:rsidRPr="007A1328" w:rsidRDefault="002A1204" w:rsidP="00A42C4E">
    <w:pPr>
      <w:jc w:val="right"/>
      <w:rPr>
        <w:b/>
        <w:sz w:val="24"/>
      </w:rPr>
    </w:pPr>
  </w:p>
  <w:p w:rsidR="002A1204" w:rsidRPr="00C4473E" w:rsidRDefault="002A1204" w:rsidP="00A42C4E">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B63CE6">
      <w:rPr>
        <w:noProof/>
        <w:szCs w:val="22"/>
      </w:rPr>
      <w:t>Endnote 4—Amendment history</w:t>
    </w:r>
    <w:r w:rsidRPr="00C4473E">
      <w:rPr>
        <w:szCs w:val="22"/>
      </w:rPr>
      <w:fldChar w:fldCharType="end"/>
    </w:r>
  </w:p>
  <w:p w:rsidR="002A1204" w:rsidRPr="000B5E62" w:rsidRDefault="002A1204">
    <w:pPr>
      <w:rPr>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204" w:rsidRPr="000B5E62" w:rsidRDefault="002A1204">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204" w:rsidRDefault="002A1204" w:rsidP="00F27B33">
    <w:pPr>
      <w:pStyle w:val="Header"/>
      <w:pBdr>
        <w:bottom w:val="single" w:sz="4" w:space="1" w:color="auto"/>
      </w:pBdr>
    </w:pPr>
  </w:p>
  <w:p w:rsidR="002A1204" w:rsidRDefault="002A1204" w:rsidP="00F27B33">
    <w:pPr>
      <w:pStyle w:val="Header"/>
      <w:pBdr>
        <w:bottom w:val="single" w:sz="4" w:space="1" w:color="auto"/>
      </w:pBdr>
    </w:pPr>
  </w:p>
  <w:p w:rsidR="002A1204" w:rsidRPr="001E77D2" w:rsidRDefault="002A1204" w:rsidP="00F27B33">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204" w:rsidRPr="005F1388" w:rsidRDefault="002A1204" w:rsidP="00F27B33">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204" w:rsidRPr="00ED79B6" w:rsidRDefault="002A1204"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204" w:rsidRPr="00ED79B6" w:rsidRDefault="002A1204"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204" w:rsidRPr="00ED79B6" w:rsidRDefault="002A1204"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204" w:rsidRPr="00D1021D" w:rsidRDefault="002A1204">
    <w:pPr>
      <w:rPr>
        <w:sz w:val="20"/>
      </w:rPr>
    </w:pPr>
    <w:r w:rsidRPr="00D1021D">
      <w:rPr>
        <w:b/>
        <w:sz w:val="20"/>
      </w:rPr>
      <w:fldChar w:fldCharType="begin"/>
    </w:r>
    <w:r w:rsidRPr="00D1021D">
      <w:rPr>
        <w:b/>
        <w:sz w:val="20"/>
      </w:rPr>
      <w:instrText xml:space="preserve"> STYLEREF CharChapNo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end"/>
    </w:r>
  </w:p>
  <w:p w:rsidR="002A1204" w:rsidRPr="00D1021D" w:rsidRDefault="002A1204">
    <w:pPr>
      <w:rPr>
        <w:b/>
        <w:sz w:val="20"/>
      </w:rPr>
    </w:pPr>
    <w:r w:rsidRPr="00D1021D">
      <w:rPr>
        <w:b/>
        <w:sz w:val="20"/>
      </w:rPr>
      <w:fldChar w:fldCharType="begin"/>
    </w:r>
    <w:r w:rsidRPr="00D1021D">
      <w:rPr>
        <w:b/>
        <w:sz w:val="20"/>
      </w:rPr>
      <w:instrText xml:space="preserve"> STYLEREF CharPartNo </w:instrText>
    </w:r>
    <w:r w:rsidR="004D77A0">
      <w:rPr>
        <w:b/>
        <w:sz w:val="20"/>
      </w:rPr>
      <w:fldChar w:fldCharType="separate"/>
    </w:r>
    <w:r w:rsidR="00B63CE6">
      <w:rPr>
        <w:b/>
        <w:noProof/>
        <w:sz w:val="20"/>
      </w:rPr>
      <w:t>Part 3</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004D77A0">
      <w:rPr>
        <w:sz w:val="20"/>
      </w:rPr>
      <w:fldChar w:fldCharType="separate"/>
    </w:r>
    <w:r w:rsidR="00B63CE6">
      <w:rPr>
        <w:noProof/>
        <w:sz w:val="20"/>
      </w:rPr>
      <w:t>Requirements for general use quad bikes</w:t>
    </w:r>
    <w:r w:rsidRPr="00D1021D">
      <w:rPr>
        <w:sz w:val="20"/>
      </w:rPr>
      <w:fldChar w:fldCharType="end"/>
    </w:r>
  </w:p>
  <w:p w:rsidR="002A1204" w:rsidRPr="00D1021D" w:rsidRDefault="002A1204">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2A1204" w:rsidRPr="00D1021D" w:rsidRDefault="002A1204">
    <w:pPr>
      <w:rPr>
        <w:b/>
      </w:rPr>
    </w:pPr>
  </w:p>
  <w:p w:rsidR="002A1204" w:rsidRPr="00D1021D" w:rsidRDefault="002A1204" w:rsidP="00FB0762">
    <w:pPr>
      <w:pBdr>
        <w:bottom w:val="single" w:sz="6" w:space="1" w:color="auto"/>
      </w:pBdr>
      <w:spacing w:after="120"/>
    </w:pPr>
    <w:r w:rsidRPr="00D1021D">
      <w:rPr>
        <w:sz w:val="24"/>
      </w:rPr>
      <w:fldChar w:fldCharType="begin"/>
    </w:r>
    <w:r w:rsidRPr="00D1021D">
      <w:rPr>
        <w:sz w:val="24"/>
      </w:rPr>
      <w:instrText xml:space="preserve"> DOCPROPERTY  Header </w:instrText>
    </w:r>
    <w:r w:rsidRPr="00D1021D">
      <w:rPr>
        <w:sz w:val="24"/>
      </w:rPr>
      <w:fldChar w:fldCharType="separate"/>
    </w:r>
    <w:r w:rsidR="004D77A0">
      <w:rPr>
        <w:sz w:val="24"/>
      </w:rPr>
      <w:t>Section</w:t>
    </w:r>
    <w:r w:rsidRPr="00D1021D">
      <w:rPr>
        <w:sz w:val="24"/>
      </w:rPr>
      <w:fldChar w:fldCharType="end"/>
    </w:r>
    <w:r w:rsidRPr="00D1021D">
      <w:t xml:space="preserve"> </w:t>
    </w:r>
    <w:fldSimple w:instr=" STYLEREF CharSectno ">
      <w:r w:rsidR="00B63CE6">
        <w:rPr>
          <w:noProof/>
        </w:rPr>
        <w:t>16</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204" w:rsidRPr="00D1021D" w:rsidRDefault="002A1204">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end"/>
    </w:r>
  </w:p>
  <w:p w:rsidR="002A1204" w:rsidRPr="00D1021D" w:rsidRDefault="002A1204">
    <w:pPr>
      <w:jc w:val="right"/>
      <w:rPr>
        <w:b/>
        <w:sz w:val="20"/>
      </w:rPr>
    </w:pPr>
    <w:r w:rsidRPr="00D1021D">
      <w:rPr>
        <w:sz w:val="20"/>
      </w:rPr>
      <w:fldChar w:fldCharType="begin"/>
    </w:r>
    <w:r w:rsidRPr="00D1021D">
      <w:rPr>
        <w:sz w:val="20"/>
      </w:rPr>
      <w:instrText xml:space="preserve"> STYLEREF CharPartText </w:instrText>
    </w:r>
    <w:r w:rsidR="00B63CE6">
      <w:rPr>
        <w:sz w:val="20"/>
      </w:rPr>
      <w:fldChar w:fldCharType="separate"/>
    </w:r>
    <w:r w:rsidR="00B63CE6">
      <w:rPr>
        <w:noProof/>
        <w:sz w:val="20"/>
      </w:rPr>
      <w:t>Application, saving and transitional provisions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00B63CE6">
      <w:rPr>
        <w:b/>
        <w:sz w:val="20"/>
      </w:rPr>
      <w:fldChar w:fldCharType="separate"/>
    </w:r>
    <w:r w:rsidR="00B63CE6">
      <w:rPr>
        <w:b/>
        <w:noProof/>
        <w:sz w:val="20"/>
      </w:rPr>
      <w:t>Part 4</w:t>
    </w:r>
    <w:r w:rsidRPr="00D1021D">
      <w:rPr>
        <w:b/>
        <w:sz w:val="20"/>
      </w:rPr>
      <w:fldChar w:fldCharType="end"/>
    </w:r>
  </w:p>
  <w:p w:rsidR="002A1204" w:rsidRPr="00D1021D" w:rsidRDefault="002A1204">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2A1204" w:rsidRPr="00D1021D" w:rsidRDefault="002A1204">
    <w:pPr>
      <w:jc w:val="right"/>
      <w:rPr>
        <w:b/>
      </w:rPr>
    </w:pPr>
  </w:p>
  <w:p w:rsidR="002A1204" w:rsidRDefault="002A1204" w:rsidP="00FB0762">
    <w:pPr>
      <w:pBdr>
        <w:bottom w:val="single" w:sz="6" w:space="1" w:color="auto"/>
      </w:pBdr>
      <w:spacing w:after="120"/>
      <w:jc w:val="right"/>
    </w:pPr>
    <w:r w:rsidRPr="00D1021D">
      <w:rPr>
        <w:sz w:val="24"/>
      </w:rPr>
      <w:fldChar w:fldCharType="begin"/>
    </w:r>
    <w:r w:rsidRPr="00D1021D">
      <w:rPr>
        <w:sz w:val="24"/>
      </w:rPr>
      <w:instrText xml:space="preserve"> DOCPROPERTY  Header </w:instrText>
    </w:r>
    <w:r w:rsidRPr="00D1021D">
      <w:rPr>
        <w:sz w:val="24"/>
      </w:rPr>
      <w:fldChar w:fldCharType="separate"/>
    </w:r>
    <w:r w:rsidR="004D77A0">
      <w:rPr>
        <w:sz w:val="24"/>
      </w:rPr>
      <w:t>Section</w:t>
    </w:r>
    <w:r w:rsidRPr="00D1021D">
      <w:rPr>
        <w:sz w:val="24"/>
      </w:rPr>
      <w:fldChar w:fldCharType="end"/>
    </w:r>
    <w:r w:rsidRPr="00D1021D">
      <w:t xml:space="preserve"> </w:t>
    </w:r>
    <w:fldSimple w:instr=" STYLEREF CharSectno ">
      <w:r w:rsidR="00B63CE6">
        <w:rPr>
          <w:noProof/>
        </w:rPr>
        <w:t>17</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204" w:rsidRPr="00D1021D" w:rsidRDefault="002A1204">
    <w:pPr>
      <w:rPr>
        <w:sz w:val="20"/>
      </w:rPr>
    </w:pPr>
    <w:r w:rsidRPr="00D1021D">
      <w:rPr>
        <w:b/>
        <w:sz w:val="20"/>
      </w:rPr>
      <w:fldChar w:fldCharType="begin"/>
    </w:r>
    <w:r w:rsidRPr="00D1021D">
      <w:rPr>
        <w:b/>
        <w:sz w:val="20"/>
      </w:rPr>
      <w:instrText xml:space="preserve"> STYLEREF CharChapNo </w:instrText>
    </w:r>
    <w:r w:rsidR="004D77A0">
      <w:rPr>
        <w:b/>
        <w:sz w:val="20"/>
      </w:rPr>
      <w:fldChar w:fldCharType="separate"/>
    </w:r>
    <w:r w:rsidR="00B63CE6">
      <w:rPr>
        <w:b/>
        <w:noProof/>
        <w:sz w:val="20"/>
      </w:rPr>
      <w:t>Schedule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004D77A0">
      <w:rPr>
        <w:sz w:val="20"/>
      </w:rPr>
      <w:fldChar w:fldCharType="separate"/>
    </w:r>
    <w:r w:rsidR="00B63CE6">
      <w:rPr>
        <w:noProof/>
        <w:sz w:val="20"/>
      </w:rPr>
      <w:t>Test procedures</w:t>
    </w:r>
    <w:r w:rsidRPr="00D1021D">
      <w:rPr>
        <w:sz w:val="20"/>
      </w:rPr>
      <w:fldChar w:fldCharType="end"/>
    </w:r>
  </w:p>
  <w:p w:rsidR="002A1204" w:rsidRPr="00D1021D" w:rsidRDefault="002A1204">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separate"/>
    </w:r>
    <w:r w:rsidR="00B63CE6">
      <w:rPr>
        <w:b/>
        <w:noProof/>
        <w:sz w:val="20"/>
      </w:rPr>
      <w:t>Part 6</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separate"/>
    </w:r>
    <w:r w:rsidR="00B63CE6">
      <w:rPr>
        <w:noProof/>
        <w:sz w:val="20"/>
      </w:rPr>
      <w:t>Tilt test procedure</w:t>
    </w:r>
    <w:r w:rsidRPr="00D1021D">
      <w:rPr>
        <w:sz w:val="20"/>
      </w:rPr>
      <w:fldChar w:fldCharType="end"/>
    </w:r>
  </w:p>
  <w:p w:rsidR="002A1204" w:rsidRPr="00D1021D" w:rsidRDefault="002A1204">
    <w:pPr>
      <w:rPr>
        <w:sz w:val="20"/>
      </w:rPr>
    </w:pPr>
    <w:r w:rsidRPr="00D1021D">
      <w:rPr>
        <w:b/>
        <w:sz w:val="20"/>
      </w:rPr>
      <w:fldChar w:fldCharType="begin"/>
    </w:r>
    <w:r w:rsidRPr="00D1021D">
      <w:rPr>
        <w:b/>
        <w:sz w:val="20"/>
      </w:rPr>
      <w:instrText xml:space="preserve"> STYLEREF CharDivNo </w:instrText>
    </w:r>
    <w:r w:rsidR="00B63CE6">
      <w:rPr>
        <w:b/>
        <w:sz w:val="20"/>
      </w:rPr>
      <w:fldChar w:fldCharType="separate"/>
    </w:r>
    <w:r w:rsidR="00B63CE6">
      <w:rPr>
        <w:b/>
        <w:noProof/>
        <w:sz w:val="20"/>
      </w:rPr>
      <w:t>Division 6.2</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00B63CE6">
      <w:rPr>
        <w:sz w:val="20"/>
      </w:rPr>
      <w:fldChar w:fldCharType="separate"/>
    </w:r>
    <w:r w:rsidR="00B63CE6">
      <w:rPr>
        <w:noProof/>
        <w:sz w:val="20"/>
      </w:rPr>
      <w:t>Pitch</w:t>
    </w:r>
    <w:r w:rsidRPr="00D1021D">
      <w:rPr>
        <w:sz w:val="20"/>
      </w:rPr>
      <w:fldChar w:fldCharType="end"/>
    </w:r>
  </w:p>
  <w:p w:rsidR="002A1204" w:rsidRPr="002179E9" w:rsidRDefault="002A1204" w:rsidP="002179E9">
    <w:pPr>
      <w:pBdr>
        <w:bottom w:val="single" w:sz="6" w:space="1" w:color="auto"/>
      </w:pBdr>
      <w:spacing w:after="12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F7F1CFA"/>
    <w:multiLevelType w:val="hybridMultilevel"/>
    <w:tmpl w:val="D07EF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861ABF"/>
    <w:multiLevelType w:val="hybridMultilevel"/>
    <w:tmpl w:val="864A4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564DFD"/>
    <w:multiLevelType w:val="hybridMultilevel"/>
    <w:tmpl w:val="2E4A5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9F42327"/>
    <w:multiLevelType w:val="hybridMultilevel"/>
    <w:tmpl w:val="6EC86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B82394"/>
    <w:multiLevelType w:val="hybridMultilevel"/>
    <w:tmpl w:val="546ADF06"/>
    <w:lvl w:ilvl="0" w:tplc="403EE442">
      <w:start w:val="1"/>
      <w:numFmt w:val="lowerLetter"/>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20" w15:restartNumberingAfterBreak="0">
    <w:nsid w:val="3A964A73"/>
    <w:multiLevelType w:val="hybridMultilevel"/>
    <w:tmpl w:val="BD422644"/>
    <w:lvl w:ilvl="0" w:tplc="0C090011">
      <w:start w:val="1"/>
      <w:numFmt w:val="decimal"/>
      <w:lvlText w:val="%1)"/>
      <w:lvlJc w:val="left"/>
      <w:pPr>
        <w:ind w:left="928"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B7962DB"/>
    <w:multiLevelType w:val="hybridMultilevel"/>
    <w:tmpl w:val="5704A05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5" w15:restartNumberingAfterBreak="0">
    <w:nsid w:val="433D4476"/>
    <w:multiLevelType w:val="hybridMultilevel"/>
    <w:tmpl w:val="6CD24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E42507"/>
    <w:multiLevelType w:val="multilevel"/>
    <w:tmpl w:val="050A88F4"/>
    <w:lvl w:ilvl="0">
      <w:start w:val="1"/>
      <w:numFmt w:val="decimal"/>
      <w:lvlText w:val="%1."/>
      <w:lvlJc w:val="left"/>
      <w:pPr>
        <w:ind w:left="794" w:hanging="794"/>
      </w:pPr>
      <w:rPr>
        <w:rFonts w:hint="default"/>
        <w:b/>
      </w:rPr>
    </w:lvl>
    <w:lvl w:ilvl="1">
      <w:start w:val="1"/>
      <w:numFmt w:val="decimal"/>
      <w:lvlText w:val="%1.%2."/>
      <w:lvlJc w:val="left"/>
      <w:pPr>
        <w:ind w:left="794" w:hanging="794"/>
      </w:pPr>
      <w:rPr>
        <w:rFonts w:ascii="Arial" w:hAnsi="Arial" w:cs="Arial" w:hint="default"/>
        <w:b w:val="0"/>
      </w:rPr>
    </w:lvl>
    <w:lvl w:ilvl="2">
      <w:start w:val="1"/>
      <w:numFmt w:val="decimal"/>
      <w:lvlText w:val="%1.%2.%3."/>
      <w:lvlJc w:val="left"/>
      <w:pPr>
        <w:ind w:left="794" w:hanging="794"/>
      </w:pPr>
      <w:rPr>
        <w:rFonts w:hint="default"/>
        <w:b w:val="0"/>
      </w:rPr>
    </w:lvl>
    <w:lvl w:ilvl="3">
      <w:start w:val="1"/>
      <w:numFmt w:val="decimal"/>
      <w:lvlText w:val="%1.%2.%3.%4."/>
      <w:lvlJc w:val="left"/>
      <w:pPr>
        <w:ind w:left="794" w:hanging="794"/>
      </w:pPr>
      <w:rPr>
        <w:rFonts w:hint="default"/>
        <w:b w:val="0"/>
      </w:rPr>
    </w:lvl>
    <w:lvl w:ilvl="4">
      <w:start w:val="1"/>
      <w:numFmt w:val="decimal"/>
      <w:lvlText w:val="%1.%2.%3.%4.%5."/>
      <w:lvlJc w:val="left"/>
      <w:pPr>
        <w:ind w:left="794" w:hanging="794"/>
      </w:pPr>
      <w:rPr>
        <w:rFonts w:hint="default"/>
        <w:b w:val="0"/>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7" w15:restartNumberingAfterBreak="0">
    <w:nsid w:val="558A6451"/>
    <w:multiLevelType w:val="hybridMultilevel"/>
    <w:tmpl w:val="A2669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B453EE"/>
    <w:multiLevelType w:val="hybridMultilevel"/>
    <w:tmpl w:val="1C66F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180AFA"/>
    <w:multiLevelType w:val="hybridMultilevel"/>
    <w:tmpl w:val="3664FF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110340"/>
    <w:multiLevelType w:val="hybridMultilevel"/>
    <w:tmpl w:val="9B882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BE4CA2"/>
    <w:multiLevelType w:val="hybridMultilevel"/>
    <w:tmpl w:val="67F48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536723C"/>
    <w:multiLevelType w:val="hybridMultilevel"/>
    <w:tmpl w:val="8098BD1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758D6805"/>
    <w:multiLevelType w:val="hybridMultilevel"/>
    <w:tmpl w:val="7678655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5" w15:restartNumberingAfterBreak="0">
    <w:nsid w:val="7E9F7540"/>
    <w:multiLevelType w:val="hybridMultilevel"/>
    <w:tmpl w:val="5D3666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F52F0E"/>
    <w:multiLevelType w:val="hybridMultilevel"/>
    <w:tmpl w:val="C9BA5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1"/>
  </w:num>
  <w:num w:numId="13">
    <w:abstractNumId w:val="12"/>
  </w:num>
  <w:num w:numId="14">
    <w:abstractNumId w:val="17"/>
  </w:num>
  <w:num w:numId="15">
    <w:abstractNumId w:val="16"/>
  </w:num>
  <w:num w:numId="16">
    <w:abstractNumId w:val="10"/>
  </w:num>
  <w:num w:numId="17">
    <w:abstractNumId w:val="24"/>
  </w:num>
  <w:num w:numId="18">
    <w:abstractNumId w:val="23"/>
  </w:num>
  <w:num w:numId="19">
    <w:abstractNumId w:val="21"/>
  </w:num>
  <w:num w:numId="20">
    <w:abstractNumId w:val="25"/>
  </w:num>
  <w:num w:numId="21">
    <w:abstractNumId w:val="31"/>
  </w:num>
  <w:num w:numId="22">
    <w:abstractNumId w:val="13"/>
  </w:num>
  <w:num w:numId="23">
    <w:abstractNumId w:val="14"/>
  </w:num>
  <w:num w:numId="24">
    <w:abstractNumId w:val="34"/>
  </w:num>
  <w:num w:numId="25">
    <w:abstractNumId w:val="29"/>
  </w:num>
  <w:num w:numId="26">
    <w:abstractNumId w:val="18"/>
  </w:num>
  <w:num w:numId="27">
    <w:abstractNumId w:val="30"/>
  </w:num>
  <w:num w:numId="28">
    <w:abstractNumId w:val="26"/>
  </w:num>
  <w:num w:numId="29">
    <w:abstractNumId w:val="27"/>
  </w:num>
  <w:num w:numId="30">
    <w:abstractNumId w:val="36"/>
  </w:num>
  <w:num w:numId="31">
    <w:abstractNumId w:val="19"/>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35"/>
  </w:num>
  <w:num w:numId="37">
    <w:abstractNumId w:val="15"/>
  </w:num>
  <w:num w:numId="38">
    <w:abstractNumId w:val="32"/>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58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7477"/>
    <w:rsid w:val="00004470"/>
    <w:rsid w:val="00011C49"/>
    <w:rsid w:val="00012B34"/>
    <w:rsid w:val="00012CC7"/>
    <w:rsid w:val="000136AF"/>
    <w:rsid w:val="000176DD"/>
    <w:rsid w:val="00020AD9"/>
    <w:rsid w:val="00023246"/>
    <w:rsid w:val="000437C1"/>
    <w:rsid w:val="0005228B"/>
    <w:rsid w:val="0005365D"/>
    <w:rsid w:val="00053B58"/>
    <w:rsid w:val="000614BF"/>
    <w:rsid w:val="00061EDF"/>
    <w:rsid w:val="00066940"/>
    <w:rsid w:val="00072E5B"/>
    <w:rsid w:val="00076B98"/>
    <w:rsid w:val="00080472"/>
    <w:rsid w:val="000820AA"/>
    <w:rsid w:val="000922FE"/>
    <w:rsid w:val="000A604C"/>
    <w:rsid w:val="000B4189"/>
    <w:rsid w:val="000B58FA"/>
    <w:rsid w:val="000B7677"/>
    <w:rsid w:val="000B7E30"/>
    <w:rsid w:val="000C200D"/>
    <w:rsid w:val="000C2832"/>
    <w:rsid w:val="000C76BE"/>
    <w:rsid w:val="000D05EF"/>
    <w:rsid w:val="000D14C2"/>
    <w:rsid w:val="000D4838"/>
    <w:rsid w:val="000D4E0E"/>
    <w:rsid w:val="000E2261"/>
    <w:rsid w:val="000E5B70"/>
    <w:rsid w:val="000F0709"/>
    <w:rsid w:val="000F21C1"/>
    <w:rsid w:val="00101151"/>
    <w:rsid w:val="00104D80"/>
    <w:rsid w:val="0010745C"/>
    <w:rsid w:val="0011253D"/>
    <w:rsid w:val="0012476F"/>
    <w:rsid w:val="00125913"/>
    <w:rsid w:val="001323ED"/>
    <w:rsid w:val="00132CEB"/>
    <w:rsid w:val="00137D7C"/>
    <w:rsid w:val="00141E5E"/>
    <w:rsid w:val="00142B62"/>
    <w:rsid w:val="0014539C"/>
    <w:rsid w:val="001477D2"/>
    <w:rsid w:val="00153893"/>
    <w:rsid w:val="001560FE"/>
    <w:rsid w:val="00157B8B"/>
    <w:rsid w:val="001605C7"/>
    <w:rsid w:val="00166C2F"/>
    <w:rsid w:val="001809D7"/>
    <w:rsid w:val="001939E1"/>
    <w:rsid w:val="00194C3E"/>
    <w:rsid w:val="00195115"/>
    <w:rsid w:val="00195382"/>
    <w:rsid w:val="0019698D"/>
    <w:rsid w:val="001A01D2"/>
    <w:rsid w:val="001A0398"/>
    <w:rsid w:val="001A1FBA"/>
    <w:rsid w:val="001A3695"/>
    <w:rsid w:val="001B1FA5"/>
    <w:rsid w:val="001B61FF"/>
    <w:rsid w:val="001B7471"/>
    <w:rsid w:val="001C61C5"/>
    <w:rsid w:val="001C69C4"/>
    <w:rsid w:val="001D37EF"/>
    <w:rsid w:val="001E3590"/>
    <w:rsid w:val="001E7407"/>
    <w:rsid w:val="001E7758"/>
    <w:rsid w:val="001F4667"/>
    <w:rsid w:val="001F5D5E"/>
    <w:rsid w:val="001F6219"/>
    <w:rsid w:val="001F6CD4"/>
    <w:rsid w:val="00206C4D"/>
    <w:rsid w:val="0021053C"/>
    <w:rsid w:val="00210D47"/>
    <w:rsid w:val="00215AF1"/>
    <w:rsid w:val="00216A9E"/>
    <w:rsid w:val="00217918"/>
    <w:rsid w:val="002179E9"/>
    <w:rsid w:val="00222B84"/>
    <w:rsid w:val="00226562"/>
    <w:rsid w:val="002321E8"/>
    <w:rsid w:val="00236EEC"/>
    <w:rsid w:val="0024010F"/>
    <w:rsid w:val="00240749"/>
    <w:rsid w:val="00243018"/>
    <w:rsid w:val="002438DF"/>
    <w:rsid w:val="002443C1"/>
    <w:rsid w:val="002564A4"/>
    <w:rsid w:val="002618A1"/>
    <w:rsid w:val="0026736C"/>
    <w:rsid w:val="00281308"/>
    <w:rsid w:val="00284719"/>
    <w:rsid w:val="00286A70"/>
    <w:rsid w:val="00293966"/>
    <w:rsid w:val="00297ECB"/>
    <w:rsid w:val="002A1204"/>
    <w:rsid w:val="002A7BCF"/>
    <w:rsid w:val="002B0FEB"/>
    <w:rsid w:val="002C0CFB"/>
    <w:rsid w:val="002D043A"/>
    <w:rsid w:val="002D4942"/>
    <w:rsid w:val="002D559F"/>
    <w:rsid w:val="002D6224"/>
    <w:rsid w:val="002E203D"/>
    <w:rsid w:val="002E286A"/>
    <w:rsid w:val="002E3F4B"/>
    <w:rsid w:val="002E684E"/>
    <w:rsid w:val="002F2361"/>
    <w:rsid w:val="002F52E6"/>
    <w:rsid w:val="00300E53"/>
    <w:rsid w:val="003029CE"/>
    <w:rsid w:val="003041FA"/>
    <w:rsid w:val="00304F8B"/>
    <w:rsid w:val="00305B73"/>
    <w:rsid w:val="00321982"/>
    <w:rsid w:val="003240F8"/>
    <w:rsid w:val="003307F3"/>
    <w:rsid w:val="003354D2"/>
    <w:rsid w:val="00335BC6"/>
    <w:rsid w:val="00336C9D"/>
    <w:rsid w:val="003415D3"/>
    <w:rsid w:val="0034172E"/>
    <w:rsid w:val="00344701"/>
    <w:rsid w:val="00344CFC"/>
    <w:rsid w:val="00352B0F"/>
    <w:rsid w:val="003547F8"/>
    <w:rsid w:val="00356690"/>
    <w:rsid w:val="00360459"/>
    <w:rsid w:val="00383542"/>
    <w:rsid w:val="00383C92"/>
    <w:rsid w:val="00392E07"/>
    <w:rsid w:val="003A1D39"/>
    <w:rsid w:val="003B77A7"/>
    <w:rsid w:val="003C24D3"/>
    <w:rsid w:val="003C3C3D"/>
    <w:rsid w:val="003C6231"/>
    <w:rsid w:val="003D0BFE"/>
    <w:rsid w:val="003D5700"/>
    <w:rsid w:val="003E341B"/>
    <w:rsid w:val="003F7CDF"/>
    <w:rsid w:val="00404729"/>
    <w:rsid w:val="004116CD"/>
    <w:rsid w:val="004144EC"/>
    <w:rsid w:val="00417D19"/>
    <w:rsid w:val="00417EB9"/>
    <w:rsid w:val="00424CA9"/>
    <w:rsid w:val="00431E9B"/>
    <w:rsid w:val="00434021"/>
    <w:rsid w:val="004379E3"/>
    <w:rsid w:val="0044015E"/>
    <w:rsid w:val="0044291A"/>
    <w:rsid w:val="00444ABD"/>
    <w:rsid w:val="00445065"/>
    <w:rsid w:val="004618AC"/>
    <w:rsid w:val="00461C81"/>
    <w:rsid w:val="00467661"/>
    <w:rsid w:val="004705B7"/>
    <w:rsid w:val="00470658"/>
    <w:rsid w:val="00471F03"/>
    <w:rsid w:val="00472DBE"/>
    <w:rsid w:val="00474A19"/>
    <w:rsid w:val="00481E79"/>
    <w:rsid w:val="00484B72"/>
    <w:rsid w:val="00487025"/>
    <w:rsid w:val="00496F97"/>
    <w:rsid w:val="004A75F3"/>
    <w:rsid w:val="004B5858"/>
    <w:rsid w:val="004B6178"/>
    <w:rsid w:val="004C322A"/>
    <w:rsid w:val="004C6AE8"/>
    <w:rsid w:val="004D3593"/>
    <w:rsid w:val="004D3957"/>
    <w:rsid w:val="004D77A0"/>
    <w:rsid w:val="004E063A"/>
    <w:rsid w:val="004E088A"/>
    <w:rsid w:val="004E50C1"/>
    <w:rsid w:val="004E78D8"/>
    <w:rsid w:val="004E7BEC"/>
    <w:rsid w:val="00505D3D"/>
    <w:rsid w:val="00506AF6"/>
    <w:rsid w:val="00515A01"/>
    <w:rsid w:val="00515E3B"/>
    <w:rsid w:val="00516B8D"/>
    <w:rsid w:val="00525C9C"/>
    <w:rsid w:val="0053143B"/>
    <w:rsid w:val="00532001"/>
    <w:rsid w:val="0053277B"/>
    <w:rsid w:val="00537FBC"/>
    <w:rsid w:val="00543315"/>
    <w:rsid w:val="00553F40"/>
    <w:rsid w:val="00554954"/>
    <w:rsid w:val="005574D1"/>
    <w:rsid w:val="005645C2"/>
    <w:rsid w:val="00565BDC"/>
    <w:rsid w:val="00584811"/>
    <w:rsid w:val="00585784"/>
    <w:rsid w:val="00593AA6"/>
    <w:rsid w:val="00594161"/>
    <w:rsid w:val="00594749"/>
    <w:rsid w:val="005B1750"/>
    <w:rsid w:val="005B4067"/>
    <w:rsid w:val="005B42AB"/>
    <w:rsid w:val="005C09EC"/>
    <w:rsid w:val="005C18E2"/>
    <w:rsid w:val="005C3DCB"/>
    <w:rsid w:val="005C3F41"/>
    <w:rsid w:val="005D1C9D"/>
    <w:rsid w:val="005D2D09"/>
    <w:rsid w:val="005D4AC9"/>
    <w:rsid w:val="005D54F9"/>
    <w:rsid w:val="005D62F4"/>
    <w:rsid w:val="005D6CCB"/>
    <w:rsid w:val="005E3300"/>
    <w:rsid w:val="005E4F22"/>
    <w:rsid w:val="005F23CC"/>
    <w:rsid w:val="005F49B0"/>
    <w:rsid w:val="00600219"/>
    <w:rsid w:val="00603DC4"/>
    <w:rsid w:val="00611FC5"/>
    <w:rsid w:val="00620076"/>
    <w:rsid w:val="00625B85"/>
    <w:rsid w:val="00634614"/>
    <w:rsid w:val="006445A2"/>
    <w:rsid w:val="0065674E"/>
    <w:rsid w:val="00670EA1"/>
    <w:rsid w:val="00673B97"/>
    <w:rsid w:val="00677CC2"/>
    <w:rsid w:val="006905DE"/>
    <w:rsid w:val="0069207B"/>
    <w:rsid w:val="00692635"/>
    <w:rsid w:val="006944A8"/>
    <w:rsid w:val="00696041"/>
    <w:rsid w:val="006967A5"/>
    <w:rsid w:val="006A1A75"/>
    <w:rsid w:val="006A4D8D"/>
    <w:rsid w:val="006A6252"/>
    <w:rsid w:val="006A659B"/>
    <w:rsid w:val="006A72BD"/>
    <w:rsid w:val="006B0B26"/>
    <w:rsid w:val="006B52E2"/>
    <w:rsid w:val="006B5789"/>
    <w:rsid w:val="006B7507"/>
    <w:rsid w:val="006C30C5"/>
    <w:rsid w:val="006C31BB"/>
    <w:rsid w:val="006C7F8C"/>
    <w:rsid w:val="006D02ED"/>
    <w:rsid w:val="006D2A8A"/>
    <w:rsid w:val="006E1FD3"/>
    <w:rsid w:val="006E3858"/>
    <w:rsid w:val="006E6246"/>
    <w:rsid w:val="006F318F"/>
    <w:rsid w:val="006F4226"/>
    <w:rsid w:val="0070017E"/>
    <w:rsid w:val="00700888"/>
    <w:rsid w:val="00700B2C"/>
    <w:rsid w:val="00701623"/>
    <w:rsid w:val="007050A2"/>
    <w:rsid w:val="00707F26"/>
    <w:rsid w:val="00710E06"/>
    <w:rsid w:val="00713084"/>
    <w:rsid w:val="00714F20"/>
    <w:rsid w:val="0071590F"/>
    <w:rsid w:val="00715914"/>
    <w:rsid w:val="00716264"/>
    <w:rsid w:val="0071689E"/>
    <w:rsid w:val="00722679"/>
    <w:rsid w:val="00731E00"/>
    <w:rsid w:val="007349EF"/>
    <w:rsid w:val="007440B7"/>
    <w:rsid w:val="007500C8"/>
    <w:rsid w:val="00755C16"/>
    <w:rsid w:val="00755DD6"/>
    <w:rsid w:val="00756272"/>
    <w:rsid w:val="0076533F"/>
    <w:rsid w:val="0076681A"/>
    <w:rsid w:val="007715C9"/>
    <w:rsid w:val="00771613"/>
    <w:rsid w:val="00774EDD"/>
    <w:rsid w:val="007757EC"/>
    <w:rsid w:val="00783A7F"/>
    <w:rsid w:val="00783E89"/>
    <w:rsid w:val="00785B26"/>
    <w:rsid w:val="007874E3"/>
    <w:rsid w:val="00793915"/>
    <w:rsid w:val="007A15B9"/>
    <w:rsid w:val="007B5143"/>
    <w:rsid w:val="007C16D3"/>
    <w:rsid w:val="007C18ED"/>
    <w:rsid w:val="007C2253"/>
    <w:rsid w:val="007C7F4C"/>
    <w:rsid w:val="007D5A63"/>
    <w:rsid w:val="007D7B81"/>
    <w:rsid w:val="007E163D"/>
    <w:rsid w:val="007E667A"/>
    <w:rsid w:val="007F28C9"/>
    <w:rsid w:val="007F4C80"/>
    <w:rsid w:val="00803587"/>
    <w:rsid w:val="00805DAD"/>
    <w:rsid w:val="0080652D"/>
    <w:rsid w:val="008117E9"/>
    <w:rsid w:val="00824498"/>
    <w:rsid w:val="00827831"/>
    <w:rsid w:val="00832C23"/>
    <w:rsid w:val="00835006"/>
    <w:rsid w:val="00843AAA"/>
    <w:rsid w:val="00856A31"/>
    <w:rsid w:val="00864B24"/>
    <w:rsid w:val="00867B37"/>
    <w:rsid w:val="008739A7"/>
    <w:rsid w:val="008754D0"/>
    <w:rsid w:val="008775F7"/>
    <w:rsid w:val="00881AC8"/>
    <w:rsid w:val="008855C9"/>
    <w:rsid w:val="00886456"/>
    <w:rsid w:val="008A46E1"/>
    <w:rsid w:val="008A4F43"/>
    <w:rsid w:val="008A500C"/>
    <w:rsid w:val="008B13A8"/>
    <w:rsid w:val="008B1C4A"/>
    <w:rsid w:val="008B2706"/>
    <w:rsid w:val="008B3833"/>
    <w:rsid w:val="008C1C6C"/>
    <w:rsid w:val="008C48BE"/>
    <w:rsid w:val="008C5626"/>
    <w:rsid w:val="008D0EE0"/>
    <w:rsid w:val="008E4E63"/>
    <w:rsid w:val="008E4E84"/>
    <w:rsid w:val="008E6067"/>
    <w:rsid w:val="008F305E"/>
    <w:rsid w:val="008F3D05"/>
    <w:rsid w:val="008F54E7"/>
    <w:rsid w:val="008F6325"/>
    <w:rsid w:val="00903422"/>
    <w:rsid w:val="00906FA2"/>
    <w:rsid w:val="00915DF9"/>
    <w:rsid w:val="00922CA6"/>
    <w:rsid w:val="00923251"/>
    <w:rsid w:val="009254C3"/>
    <w:rsid w:val="00931413"/>
    <w:rsid w:val="00932377"/>
    <w:rsid w:val="0093684E"/>
    <w:rsid w:val="009445F5"/>
    <w:rsid w:val="00947D5A"/>
    <w:rsid w:val="009532A5"/>
    <w:rsid w:val="009601F4"/>
    <w:rsid w:val="009734A0"/>
    <w:rsid w:val="00982242"/>
    <w:rsid w:val="009868E9"/>
    <w:rsid w:val="00997E2A"/>
    <w:rsid w:val="009B37BE"/>
    <w:rsid w:val="009B6659"/>
    <w:rsid w:val="009C0574"/>
    <w:rsid w:val="009E2AB0"/>
    <w:rsid w:val="009E5CFC"/>
    <w:rsid w:val="009F2A9D"/>
    <w:rsid w:val="00A00582"/>
    <w:rsid w:val="00A00B69"/>
    <w:rsid w:val="00A013A4"/>
    <w:rsid w:val="00A04EC6"/>
    <w:rsid w:val="00A0553B"/>
    <w:rsid w:val="00A079CB"/>
    <w:rsid w:val="00A12128"/>
    <w:rsid w:val="00A15B86"/>
    <w:rsid w:val="00A22C98"/>
    <w:rsid w:val="00A22E6C"/>
    <w:rsid w:val="00A231E2"/>
    <w:rsid w:val="00A24014"/>
    <w:rsid w:val="00A30E29"/>
    <w:rsid w:val="00A3225E"/>
    <w:rsid w:val="00A32EDA"/>
    <w:rsid w:val="00A41983"/>
    <w:rsid w:val="00A42C03"/>
    <w:rsid w:val="00A42C4E"/>
    <w:rsid w:val="00A64912"/>
    <w:rsid w:val="00A70A74"/>
    <w:rsid w:val="00A71CD6"/>
    <w:rsid w:val="00A76A6C"/>
    <w:rsid w:val="00A868F8"/>
    <w:rsid w:val="00A900E0"/>
    <w:rsid w:val="00A92518"/>
    <w:rsid w:val="00AA2D75"/>
    <w:rsid w:val="00AA615A"/>
    <w:rsid w:val="00AB386A"/>
    <w:rsid w:val="00AD5641"/>
    <w:rsid w:val="00AD7889"/>
    <w:rsid w:val="00AE0AD4"/>
    <w:rsid w:val="00AE1FEE"/>
    <w:rsid w:val="00AF021B"/>
    <w:rsid w:val="00AF06CF"/>
    <w:rsid w:val="00B03DCE"/>
    <w:rsid w:val="00B05CF4"/>
    <w:rsid w:val="00B07CDB"/>
    <w:rsid w:val="00B107B1"/>
    <w:rsid w:val="00B16A31"/>
    <w:rsid w:val="00B16E65"/>
    <w:rsid w:val="00B17DFD"/>
    <w:rsid w:val="00B21FFB"/>
    <w:rsid w:val="00B241A8"/>
    <w:rsid w:val="00B308FE"/>
    <w:rsid w:val="00B31D88"/>
    <w:rsid w:val="00B33709"/>
    <w:rsid w:val="00B33B3C"/>
    <w:rsid w:val="00B403C0"/>
    <w:rsid w:val="00B50ADC"/>
    <w:rsid w:val="00B54F59"/>
    <w:rsid w:val="00B5654B"/>
    <w:rsid w:val="00B566B1"/>
    <w:rsid w:val="00B61A83"/>
    <w:rsid w:val="00B63834"/>
    <w:rsid w:val="00B63CE6"/>
    <w:rsid w:val="00B64013"/>
    <w:rsid w:val="00B643C2"/>
    <w:rsid w:val="00B65F8A"/>
    <w:rsid w:val="00B72363"/>
    <w:rsid w:val="00B72734"/>
    <w:rsid w:val="00B80199"/>
    <w:rsid w:val="00B83174"/>
    <w:rsid w:val="00B83204"/>
    <w:rsid w:val="00B92C1F"/>
    <w:rsid w:val="00B951B2"/>
    <w:rsid w:val="00B958A5"/>
    <w:rsid w:val="00BA0C87"/>
    <w:rsid w:val="00BA1B9A"/>
    <w:rsid w:val="00BA220B"/>
    <w:rsid w:val="00BA395D"/>
    <w:rsid w:val="00BA3A57"/>
    <w:rsid w:val="00BA691F"/>
    <w:rsid w:val="00BB0BDB"/>
    <w:rsid w:val="00BB2CE0"/>
    <w:rsid w:val="00BB4E1A"/>
    <w:rsid w:val="00BB51C7"/>
    <w:rsid w:val="00BC015E"/>
    <w:rsid w:val="00BC021B"/>
    <w:rsid w:val="00BC2970"/>
    <w:rsid w:val="00BC76AC"/>
    <w:rsid w:val="00BD0ECB"/>
    <w:rsid w:val="00BE2155"/>
    <w:rsid w:val="00BE2213"/>
    <w:rsid w:val="00BE719A"/>
    <w:rsid w:val="00BE720A"/>
    <w:rsid w:val="00BF0D73"/>
    <w:rsid w:val="00BF2465"/>
    <w:rsid w:val="00C07477"/>
    <w:rsid w:val="00C07AA7"/>
    <w:rsid w:val="00C11F2C"/>
    <w:rsid w:val="00C25E7F"/>
    <w:rsid w:val="00C2746F"/>
    <w:rsid w:val="00C324A0"/>
    <w:rsid w:val="00C3300F"/>
    <w:rsid w:val="00C41CD6"/>
    <w:rsid w:val="00C42BF8"/>
    <w:rsid w:val="00C50043"/>
    <w:rsid w:val="00C50714"/>
    <w:rsid w:val="00C6730A"/>
    <w:rsid w:val="00C7573B"/>
    <w:rsid w:val="00C93C03"/>
    <w:rsid w:val="00C974C1"/>
    <w:rsid w:val="00CA00C9"/>
    <w:rsid w:val="00CA35A1"/>
    <w:rsid w:val="00CA6436"/>
    <w:rsid w:val="00CB2C8E"/>
    <w:rsid w:val="00CB602E"/>
    <w:rsid w:val="00CC11ED"/>
    <w:rsid w:val="00CD5607"/>
    <w:rsid w:val="00CE051D"/>
    <w:rsid w:val="00CE1335"/>
    <w:rsid w:val="00CE3B22"/>
    <w:rsid w:val="00CE484A"/>
    <w:rsid w:val="00CE493D"/>
    <w:rsid w:val="00CF07FA"/>
    <w:rsid w:val="00CF0BB2"/>
    <w:rsid w:val="00CF3EE8"/>
    <w:rsid w:val="00CF77AB"/>
    <w:rsid w:val="00D04414"/>
    <w:rsid w:val="00D050E6"/>
    <w:rsid w:val="00D13441"/>
    <w:rsid w:val="00D150E7"/>
    <w:rsid w:val="00D23706"/>
    <w:rsid w:val="00D267A2"/>
    <w:rsid w:val="00D30A46"/>
    <w:rsid w:val="00D32E20"/>
    <w:rsid w:val="00D32F65"/>
    <w:rsid w:val="00D34AB1"/>
    <w:rsid w:val="00D35DBE"/>
    <w:rsid w:val="00D409FA"/>
    <w:rsid w:val="00D46C62"/>
    <w:rsid w:val="00D50951"/>
    <w:rsid w:val="00D52DC2"/>
    <w:rsid w:val="00D53BCC"/>
    <w:rsid w:val="00D56517"/>
    <w:rsid w:val="00D70DFB"/>
    <w:rsid w:val="00D766DF"/>
    <w:rsid w:val="00D84205"/>
    <w:rsid w:val="00D9355D"/>
    <w:rsid w:val="00DA186E"/>
    <w:rsid w:val="00DA3979"/>
    <w:rsid w:val="00DA4116"/>
    <w:rsid w:val="00DB251C"/>
    <w:rsid w:val="00DB4630"/>
    <w:rsid w:val="00DC0BB7"/>
    <w:rsid w:val="00DC4F88"/>
    <w:rsid w:val="00DD2855"/>
    <w:rsid w:val="00DD6A5B"/>
    <w:rsid w:val="00DE447D"/>
    <w:rsid w:val="00DF1783"/>
    <w:rsid w:val="00E05704"/>
    <w:rsid w:val="00E05B5D"/>
    <w:rsid w:val="00E11E44"/>
    <w:rsid w:val="00E1325A"/>
    <w:rsid w:val="00E16E7C"/>
    <w:rsid w:val="00E22482"/>
    <w:rsid w:val="00E25C4C"/>
    <w:rsid w:val="00E3270E"/>
    <w:rsid w:val="00E338EF"/>
    <w:rsid w:val="00E42D33"/>
    <w:rsid w:val="00E544BB"/>
    <w:rsid w:val="00E562C6"/>
    <w:rsid w:val="00E614DB"/>
    <w:rsid w:val="00E623F1"/>
    <w:rsid w:val="00E65729"/>
    <w:rsid w:val="00E662CB"/>
    <w:rsid w:val="00E72CB1"/>
    <w:rsid w:val="00E74DC7"/>
    <w:rsid w:val="00E750EA"/>
    <w:rsid w:val="00E76806"/>
    <w:rsid w:val="00E7702E"/>
    <w:rsid w:val="00E77445"/>
    <w:rsid w:val="00E8075A"/>
    <w:rsid w:val="00E94D5E"/>
    <w:rsid w:val="00EA7100"/>
    <w:rsid w:val="00EA719D"/>
    <w:rsid w:val="00EA7F9F"/>
    <w:rsid w:val="00EB1274"/>
    <w:rsid w:val="00EB6AD0"/>
    <w:rsid w:val="00ED2BB6"/>
    <w:rsid w:val="00ED34E1"/>
    <w:rsid w:val="00ED3B8D"/>
    <w:rsid w:val="00ED659C"/>
    <w:rsid w:val="00EE1E61"/>
    <w:rsid w:val="00EE217D"/>
    <w:rsid w:val="00EF2E3A"/>
    <w:rsid w:val="00F072A7"/>
    <w:rsid w:val="00F078DC"/>
    <w:rsid w:val="00F264BE"/>
    <w:rsid w:val="00F27B33"/>
    <w:rsid w:val="00F32BA8"/>
    <w:rsid w:val="00F349F1"/>
    <w:rsid w:val="00F35E32"/>
    <w:rsid w:val="00F37CD4"/>
    <w:rsid w:val="00F4350D"/>
    <w:rsid w:val="00F4555D"/>
    <w:rsid w:val="00F45A91"/>
    <w:rsid w:val="00F50F89"/>
    <w:rsid w:val="00F55058"/>
    <w:rsid w:val="00F567F7"/>
    <w:rsid w:val="00F57BF2"/>
    <w:rsid w:val="00F62036"/>
    <w:rsid w:val="00F65B52"/>
    <w:rsid w:val="00F66138"/>
    <w:rsid w:val="00F67BCA"/>
    <w:rsid w:val="00F70853"/>
    <w:rsid w:val="00F73857"/>
    <w:rsid w:val="00F73BD6"/>
    <w:rsid w:val="00F75266"/>
    <w:rsid w:val="00F754CD"/>
    <w:rsid w:val="00F75DDB"/>
    <w:rsid w:val="00F77739"/>
    <w:rsid w:val="00F82CA2"/>
    <w:rsid w:val="00F83989"/>
    <w:rsid w:val="00F85099"/>
    <w:rsid w:val="00F9379C"/>
    <w:rsid w:val="00F9632C"/>
    <w:rsid w:val="00FA0AD5"/>
    <w:rsid w:val="00FA1E52"/>
    <w:rsid w:val="00FB0762"/>
    <w:rsid w:val="00FB0CBC"/>
    <w:rsid w:val="00FB3F6D"/>
    <w:rsid w:val="00FB7719"/>
    <w:rsid w:val="00FE4688"/>
    <w:rsid w:val="00FF39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104D80"/>
    <w:pPr>
      <w:spacing w:line="260" w:lineRule="atLeast"/>
    </w:pPr>
    <w:rPr>
      <w:sz w:val="22"/>
    </w:rPr>
  </w:style>
  <w:style w:type="paragraph" w:styleId="Heading1">
    <w:name w:val="heading 1"/>
    <w:basedOn w:val="Normal"/>
    <w:next w:val="Normal"/>
    <w:link w:val="Heading1Char"/>
    <w:uiPriority w:val="9"/>
    <w:qFormat/>
    <w:rsid w:val="00997E2A"/>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97E2A"/>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97E2A"/>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97E2A"/>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97E2A"/>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97E2A"/>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97E2A"/>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97E2A"/>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97E2A"/>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rsid w:val="00104D8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4D80"/>
  </w:style>
  <w:style w:type="character" w:customStyle="1" w:styleId="OPCCharBase">
    <w:name w:val="OPCCharBase"/>
    <w:uiPriority w:val="1"/>
    <w:qFormat/>
    <w:rsid w:val="00104D80"/>
  </w:style>
  <w:style w:type="paragraph" w:customStyle="1" w:styleId="OPCParaBase">
    <w:name w:val="OPCParaBase"/>
    <w:qFormat/>
    <w:rsid w:val="00104D80"/>
    <w:pPr>
      <w:spacing w:line="260" w:lineRule="atLeast"/>
    </w:pPr>
    <w:rPr>
      <w:rFonts w:eastAsia="Times New Roman" w:cs="Times New Roman"/>
      <w:sz w:val="22"/>
      <w:lang w:eastAsia="en-AU"/>
    </w:rPr>
  </w:style>
  <w:style w:type="paragraph" w:customStyle="1" w:styleId="ShortT">
    <w:name w:val="ShortT"/>
    <w:basedOn w:val="OPCParaBase"/>
    <w:next w:val="Normal"/>
    <w:qFormat/>
    <w:rsid w:val="00104D80"/>
    <w:pPr>
      <w:spacing w:line="240" w:lineRule="auto"/>
    </w:pPr>
    <w:rPr>
      <w:b/>
      <w:sz w:val="40"/>
    </w:rPr>
  </w:style>
  <w:style w:type="paragraph" w:customStyle="1" w:styleId="ActHead1">
    <w:name w:val="ActHead 1"/>
    <w:aliases w:val="c"/>
    <w:basedOn w:val="OPCParaBase"/>
    <w:next w:val="Normal"/>
    <w:qFormat/>
    <w:rsid w:val="00104D8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04D8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04D8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04D8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04D8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04D8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04D8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04D8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04D8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04D80"/>
  </w:style>
  <w:style w:type="paragraph" w:customStyle="1" w:styleId="Blocks">
    <w:name w:val="Blocks"/>
    <w:aliases w:val="bb"/>
    <w:basedOn w:val="OPCParaBase"/>
    <w:qFormat/>
    <w:rsid w:val="00104D80"/>
    <w:pPr>
      <w:spacing w:line="240" w:lineRule="auto"/>
    </w:pPr>
    <w:rPr>
      <w:sz w:val="24"/>
    </w:rPr>
  </w:style>
  <w:style w:type="paragraph" w:customStyle="1" w:styleId="BoxText">
    <w:name w:val="BoxText"/>
    <w:aliases w:val="bt"/>
    <w:basedOn w:val="OPCParaBase"/>
    <w:qFormat/>
    <w:rsid w:val="00104D8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04D80"/>
    <w:rPr>
      <w:b/>
    </w:rPr>
  </w:style>
  <w:style w:type="paragraph" w:customStyle="1" w:styleId="BoxHeadItalic">
    <w:name w:val="BoxHeadItalic"/>
    <w:aliases w:val="bhi"/>
    <w:basedOn w:val="BoxText"/>
    <w:next w:val="BoxStep"/>
    <w:qFormat/>
    <w:rsid w:val="00104D80"/>
    <w:rPr>
      <w:i/>
    </w:rPr>
  </w:style>
  <w:style w:type="paragraph" w:customStyle="1" w:styleId="BoxList">
    <w:name w:val="BoxList"/>
    <w:aliases w:val="bl"/>
    <w:basedOn w:val="BoxText"/>
    <w:qFormat/>
    <w:rsid w:val="00104D80"/>
    <w:pPr>
      <w:ind w:left="1559" w:hanging="425"/>
    </w:pPr>
  </w:style>
  <w:style w:type="paragraph" w:customStyle="1" w:styleId="BoxNote">
    <w:name w:val="BoxNote"/>
    <w:aliases w:val="bn"/>
    <w:basedOn w:val="BoxText"/>
    <w:qFormat/>
    <w:rsid w:val="00104D80"/>
    <w:pPr>
      <w:tabs>
        <w:tab w:val="left" w:pos="1985"/>
      </w:tabs>
      <w:spacing w:before="122" w:line="198" w:lineRule="exact"/>
      <w:ind w:left="2948" w:hanging="1814"/>
    </w:pPr>
    <w:rPr>
      <w:sz w:val="18"/>
    </w:rPr>
  </w:style>
  <w:style w:type="paragraph" w:customStyle="1" w:styleId="BoxPara">
    <w:name w:val="BoxPara"/>
    <w:aliases w:val="bp"/>
    <w:basedOn w:val="BoxText"/>
    <w:qFormat/>
    <w:rsid w:val="00104D80"/>
    <w:pPr>
      <w:tabs>
        <w:tab w:val="right" w:pos="2268"/>
      </w:tabs>
      <w:ind w:left="2552" w:hanging="1418"/>
    </w:pPr>
  </w:style>
  <w:style w:type="paragraph" w:customStyle="1" w:styleId="BoxStep">
    <w:name w:val="BoxStep"/>
    <w:aliases w:val="bs"/>
    <w:basedOn w:val="BoxText"/>
    <w:qFormat/>
    <w:rsid w:val="00104D80"/>
    <w:pPr>
      <w:ind w:left="1985" w:hanging="851"/>
    </w:pPr>
  </w:style>
  <w:style w:type="character" w:customStyle="1" w:styleId="CharAmPartNo">
    <w:name w:val="CharAmPartNo"/>
    <w:basedOn w:val="OPCCharBase"/>
    <w:uiPriority w:val="1"/>
    <w:qFormat/>
    <w:rsid w:val="00104D80"/>
  </w:style>
  <w:style w:type="character" w:customStyle="1" w:styleId="CharAmPartText">
    <w:name w:val="CharAmPartText"/>
    <w:basedOn w:val="OPCCharBase"/>
    <w:uiPriority w:val="1"/>
    <w:qFormat/>
    <w:rsid w:val="00104D80"/>
  </w:style>
  <w:style w:type="character" w:customStyle="1" w:styleId="CharAmSchNo">
    <w:name w:val="CharAmSchNo"/>
    <w:basedOn w:val="OPCCharBase"/>
    <w:uiPriority w:val="1"/>
    <w:qFormat/>
    <w:rsid w:val="00104D80"/>
  </w:style>
  <w:style w:type="character" w:customStyle="1" w:styleId="CharAmSchText">
    <w:name w:val="CharAmSchText"/>
    <w:basedOn w:val="OPCCharBase"/>
    <w:uiPriority w:val="1"/>
    <w:qFormat/>
    <w:rsid w:val="00104D80"/>
  </w:style>
  <w:style w:type="character" w:customStyle="1" w:styleId="CharBoldItalic">
    <w:name w:val="CharBoldItalic"/>
    <w:basedOn w:val="OPCCharBase"/>
    <w:uiPriority w:val="1"/>
    <w:qFormat/>
    <w:rsid w:val="00104D80"/>
    <w:rPr>
      <w:b/>
      <w:i/>
    </w:rPr>
  </w:style>
  <w:style w:type="character" w:customStyle="1" w:styleId="CharChapNo">
    <w:name w:val="CharChapNo"/>
    <w:basedOn w:val="OPCCharBase"/>
    <w:qFormat/>
    <w:rsid w:val="00104D80"/>
  </w:style>
  <w:style w:type="character" w:customStyle="1" w:styleId="CharChapText">
    <w:name w:val="CharChapText"/>
    <w:basedOn w:val="OPCCharBase"/>
    <w:qFormat/>
    <w:rsid w:val="00104D80"/>
  </w:style>
  <w:style w:type="character" w:customStyle="1" w:styleId="CharDivNo">
    <w:name w:val="CharDivNo"/>
    <w:basedOn w:val="OPCCharBase"/>
    <w:qFormat/>
    <w:rsid w:val="00104D80"/>
  </w:style>
  <w:style w:type="character" w:customStyle="1" w:styleId="CharDivText">
    <w:name w:val="CharDivText"/>
    <w:basedOn w:val="OPCCharBase"/>
    <w:qFormat/>
    <w:rsid w:val="00104D80"/>
  </w:style>
  <w:style w:type="character" w:customStyle="1" w:styleId="CharItalic">
    <w:name w:val="CharItalic"/>
    <w:basedOn w:val="OPCCharBase"/>
    <w:uiPriority w:val="1"/>
    <w:qFormat/>
    <w:rsid w:val="00104D80"/>
    <w:rPr>
      <w:i/>
    </w:rPr>
  </w:style>
  <w:style w:type="character" w:customStyle="1" w:styleId="CharPartNo">
    <w:name w:val="CharPartNo"/>
    <w:basedOn w:val="OPCCharBase"/>
    <w:qFormat/>
    <w:rsid w:val="00104D80"/>
  </w:style>
  <w:style w:type="character" w:customStyle="1" w:styleId="CharPartText">
    <w:name w:val="CharPartText"/>
    <w:basedOn w:val="OPCCharBase"/>
    <w:qFormat/>
    <w:rsid w:val="00104D80"/>
  </w:style>
  <w:style w:type="character" w:customStyle="1" w:styleId="CharSectno">
    <w:name w:val="CharSectno"/>
    <w:basedOn w:val="OPCCharBase"/>
    <w:qFormat/>
    <w:rsid w:val="00104D80"/>
  </w:style>
  <w:style w:type="character" w:customStyle="1" w:styleId="CharSubdNo">
    <w:name w:val="CharSubdNo"/>
    <w:basedOn w:val="OPCCharBase"/>
    <w:uiPriority w:val="1"/>
    <w:qFormat/>
    <w:rsid w:val="00104D80"/>
  </w:style>
  <w:style w:type="character" w:customStyle="1" w:styleId="CharSubdText">
    <w:name w:val="CharSubdText"/>
    <w:basedOn w:val="OPCCharBase"/>
    <w:uiPriority w:val="1"/>
    <w:qFormat/>
    <w:rsid w:val="00104D80"/>
  </w:style>
  <w:style w:type="paragraph" w:customStyle="1" w:styleId="CTA--">
    <w:name w:val="CTA --"/>
    <w:basedOn w:val="OPCParaBase"/>
    <w:next w:val="Normal"/>
    <w:rsid w:val="00104D80"/>
    <w:pPr>
      <w:spacing w:before="60" w:line="240" w:lineRule="atLeast"/>
      <w:ind w:left="142" w:hanging="142"/>
    </w:pPr>
    <w:rPr>
      <w:sz w:val="20"/>
    </w:rPr>
  </w:style>
  <w:style w:type="paragraph" w:customStyle="1" w:styleId="CTA-">
    <w:name w:val="CTA -"/>
    <w:basedOn w:val="OPCParaBase"/>
    <w:rsid w:val="00104D80"/>
    <w:pPr>
      <w:spacing w:before="60" w:line="240" w:lineRule="atLeast"/>
      <w:ind w:left="85" w:hanging="85"/>
    </w:pPr>
    <w:rPr>
      <w:sz w:val="20"/>
    </w:rPr>
  </w:style>
  <w:style w:type="paragraph" w:customStyle="1" w:styleId="CTA---">
    <w:name w:val="CTA ---"/>
    <w:basedOn w:val="OPCParaBase"/>
    <w:next w:val="Normal"/>
    <w:rsid w:val="00104D80"/>
    <w:pPr>
      <w:spacing w:before="60" w:line="240" w:lineRule="atLeast"/>
      <w:ind w:left="198" w:hanging="198"/>
    </w:pPr>
    <w:rPr>
      <w:sz w:val="20"/>
    </w:rPr>
  </w:style>
  <w:style w:type="paragraph" w:customStyle="1" w:styleId="CTA----">
    <w:name w:val="CTA ----"/>
    <w:basedOn w:val="OPCParaBase"/>
    <w:next w:val="Normal"/>
    <w:rsid w:val="00104D80"/>
    <w:pPr>
      <w:spacing w:before="60" w:line="240" w:lineRule="atLeast"/>
      <w:ind w:left="255" w:hanging="255"/>
    </w:pPr>
    <w:rPr>
      <w:sz w:val="20"/>
    </w:rPr>
  </w:style>
  <w:style w:type="paragraph" w:customStyle="1" w:styleId="CTA1a">
    <w:name w:val="CTA 1(a)"/>
    <w:basedOn w:val="OPCParaBase"/>
    <w:rsid w:val="00104D80"/>
    <w:pPr>
      <w:tabs>
        <w:tab w:val="right" w:pos="414"/>
      </w:tabs>
      <w:spacing w:before="40" w:line="240" w:lineRule="atLeast"/>
      <w:ind w:left="675" w:hanging="675"/>
    </w:pPr>
    <w:rPr>
      <w:sz w:val="20"/>
    </w:rPr>
  </w:style>
  <w:style w:type="paragraph" w:customStyle="1" w:styleId="CTA1ai">
    <w:name w:val="CTA 1(a)(i)"/>
    <w:basedOn w:val="OPCParaBase"/>
    <w:rsid w:val="00104D80"/>
    <w:pPr>
      <w:tabs>
        <w:tab w:val="right" w:pos="1004"/>
      </w:tabs>
      <w:spacing w:before="40" w:line="240" w:lineRule="atLeast"/>
      <w:ind w:left="1253" w:hanging="1253"/>
    </w:pPr>
    <w:rPr>
      <w:sz w:val="20"/>
    </w:rPr>
  </w:style>
  <w:style w:type="paragraph" w:customStyle="1" w:styleId="CTA2a">
    <w:name w:val="CTA 2(a)"/>
    <w:basedOn w:val="OPCParaBase"/>
    <w:rsid w:val="00104D80"/>
    <w:pPr>
      <w:tabs>
        <w:tab w:val="right" w:pos="482"/>
      </w:tabs>
      <w:spacing w:before="40" w:line="240" w:lineRule="atLeast"/>
      <w:ind w:left="748" w:hanging="748"/>
    </w:pPr>
    <w:rPr>
      <w:sz w:val="20"/>
    </w:rPr>
  </w:style>
  <w:style w:type="paragraph" w:customStyle="1" w:styleId="CTA2ai">
    <w:name w:val="CTA 2(a)(i)"/>
    <w:basedOn w:val="OPCParaBase"/>
    <w:rsid w:val="00104D80"/>
    <w:pPr>
      <w:tabs>
        <w:tab w:val="right" w:pos="1089"/>
      </w:tabs>
      <w:spacing w:before="40" w:line="240" w:lineRule="atLeast"/>
      <w:ind w:left="1327" w:hanging="1327"/>
    </w:pPr>
    <w:rPr>
      <w:sz w:val="20"/>
    </w:rPr>
  </w:style>
  <w:style w:type="paragraph" w:customStyle="1" w:styleId="CTA3a">
    <w:name w:val="CTA 3(a)"/>
    <w:basedOn w:val="OPCParaBase"/>
    <w:rsid w:val="00104D80"/>
    <w:pPr>
      <w:tabs>
        <w:tab w:val="right" w:pos="556"/>
      </w:tabs>
      <w:spacing w:before="40" w:line="240" w:lineRule="atLeast"/>
      <w:ind w:left="805" w:hanging="805"/>
    </w:pPr>
    <w:rPr>
      <w:sz w:val="20"/>
    </w:rPr>
  </w:style>
  <w:style w:type="paragraph" w:customStyle="1" w:styleId="CTA3ai">
    <w:name w:val="CTA 3(a)(i)"/>
    <w:basedOn w:val="OPCParaBase"/>
    <w:rsid w:val="00104D80"/>
    <w:pPr>
      <w:tabs>
        <w:tab w:val="right" w:pos="1140"/>
      </w:tabs>
      <w:spacing w:before="40" w:line="240" w:lineRule="atLeast"/>
      <w:ind w:left="1361" w:hanging="1361"/>
    </w:pPr>
    <w:rPr>
      <w:sz w:val="20"/>
    </w:rPr>
  </w:style>
  <w:style w:type="paragraph" w:customStyle="1" w:styleId="CTA4a">
    <w:name w:val="CTA 4(a)"/>
    <w:basedOn w:val="OPCParaBase"/>
    <w:rsid w:val="00104D80"/>
    <w:pPr>
      <w:tabs>
        <w:tab w:val="right" w:pos="624"/>
      </w:tabs>
      <w:spacing w:before="40" w:line="240" w:lineRule="atLeast"/>
      <w:ind w:left="873" w:hanging="873"/>
    </w:pPr>
    <w:rPr>
      <w:sz w:val="20"/>
    </w:rPr>
  </w:style>
  <w:style w:type="paragraph" w:customStyle="1" w:styleId="CTA4ai">
    <w:name w:val="CTA 4(a)(i)"/>
    <w:basedOn w:val="OPCParaBase"/>
    <w:rsid w:val="00104D80"/>
    <w:pPr>
      <w:tabs>
        <w:tab w:val="right" w:pos="1213"/>
      </w:tabs>
      <w:spacing w:before="40" w:line="240" w:lineRule="atLeast"/>
      <w:ind w:left="1452" w:hanging="1452"/>
    </w:pPr>
    <w:rPr>
      <w:sz w:val="20"/>
    </w:rPr>
  </w:style>
  <w:style w:type="paragraph" w:customStyle="1" w:styleId="CTACAPS">
    <w:name w:val="CTA CAPS"/>
    <w:basedOn w:val="OPCParaBase"/>
    <w:rsid w:val="00104D80"/>
    <w:pPr>
      <w:spacing w:before="60" w:line="240" w:lineRule="atLeast"/>
    </w:pPr>
    <w:rPr>
      <w:sz w:val="20"/>
    </w:rPr>
  </w:style>
  <w:style w:type="paragraph" w:customStyle="1" w:styleId="CTAright">
    <w:name w:val="CTA right"/>
    <w:basedOn w:val="OPCParaBase"/>
    <w:rsid w:val="00104D80"/>
    <w:pPr>
      <w:spacing w:before="60" w:line="240" w:lineRule="auto"/>
      <w:jc w:val="right"/>
    </w:pPr>
    <w:rPr>
      <w:sz w:val="20"/>
    </w:rPr>
  </w:style>
  <w:style w:type="paragraph" w:customStyle="1" w:styleId="subsection">
    <w:name w:val="subsection"/>
    <w:aliases w:val="ss,Subsection"/>
    <w:basedOn w:val="OPCParaBase"/>
    <w:link w:val="subsectionChar"/>
    <w:rsid w:val="00104D80"/>
    <w:pPr>
      <w:tabs>
        <w:tab w:val="right" w:pos="1021"/>
      </w:tabs>
      <w:spacing w:before="180" w:line="240" w:lineRule="auto"/>
      <w:ind w:left="1134" w:hanging="1134"/>
    </w:pPr>
  </w:style>
  <w:style w:type="paragraph" w:customStyle="1" w:styleId="Definition">
    <w:name w:val="Definition"/>
    <w:aliases w:val="dd"/>
    <w:basedOn w:val="OPCParaBase"/>
    <w:rsid w:val="00104D80"/>
    <w:pPr>
      <w:spacing w:before="180" w:line="240" w:lineRule="auto"/>
      <w:ind w:left="1134"/>
    </w:pPr>
  </w:style>
  <w:style w:type="paragraph" w:customStyle="1" w:styleId="EndNotespara">
    <w:name w:val="EndNotes(para)"/>
    <w:aliases w:val="eta"/>
    <w:basedOn w:val="OPCParaBase"/>
    <w:next w:val="EndNotessubpara"/>
    <w:rsid w:val="00104D8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04D8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04D8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04D80"/>
    <w:pPr>
      <w:tabs>
        <w:tab w:val="right" w:pos="1412"/>
      </w:tabs>
      <w:spacing w:before="60" w:line="240" w:lineRule="auto"/>
      <w:ind w:left="1525" w:hanging="1525"/>
    </w:pPr>
    <w:rPr>
      <w:sz w:val="20"/>
    </w:rPr>
  </w:style>
  <w:style w:type="paragraph" w:customStyle="1" w:styleId="Formula">
    <w:name w:val="Formula"/>
    <w:basedOn w:val="OPCParaBase"/>
    <w:rsid w:val="00104D80"/>
    <w:pPr>
      <w:spacing w:line="240" w:lineRule="auto"/>
      <w:ind w:left="1134"/>
    </w:pPr>
    <w:rPr>
      <w:sz w:val="20"/>
    </w:rPr>
  </w:style>
  <w:style w:type="paragraph" w:styleId="Header">
    <w:name w:val="header"/>
    <w:basedOn w:val="OPCParaBase"/>
    <w:link w:val="HeaderChar"/>
    <w:unhideWhenUsed/>
    <w:rsid w:val="00104D8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04D80"/>
    <w:rPr>
      <w:rFonts w:eastAsia="Times New Roman" w:cs="Times New Roman"/>
      <w:sz w:val="16"/>
      <w:lang w:eastAsia="en-AU"/>
    </w:rPr>
  </w:style>
  <w:style w:type="paragraph" w:customStyle="1" w:styleId="House">
    <w:name w:val="House"/>
    <w:basedOn w:val="OPCParaBase"/>
    <w:rsid w:val="00104D80"/>
    <w:pPr>
      <w:spacing w:line="240" w:lineRule="auto"/>
    </w:pPr>
    <w:rPr>
      <w:sz w:val="28"/>
    </w:rPr>
  </w:style>
  <w:style w:type="paragraph" w:customStyle="1" w:styleId="Item">
    <w:name w:val="Item"/>
    <w:aliases w:val="i"/>
    <w:basedOn w:val="OPCParaBase"/>
    <w:next w:val="ItemHead"/>
    <w:rsid w:val="00104D80"/>
    <w:pPr>
      <w:keepLines/>
      <w:spacing w:before="80" w:line="240" w:lineRule="auto"/>
      <w:ind w:left="709"/>
    </w:pPr>
  </w:style>
  <w:style w:type="paragraph" w:customStyle="1" w:styleId="ItemHead">
    <w:name w:val="ItemHead"/>
    <w:aliases w:val="ih"/>
    <w:basedOn w:val="OPCParaBase"/>
    <w:next w:val="Item"/>
    <w:rsid w:val="00104D8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04D80"/>
    <w:pPr>
      <w:spacing w:line="240" w:lineRule="auto"/>
    </w:pPr>
    <w:rPr>
      <w:b/>
      <w:sz w:val="32"/>
    </w:rPr>
  </w:style>
  <w:style w:type="paragraph" w:customStyle="1" w:styleId="notedraft">
    <w:name w:val="note(draft)"/>
    <w:aliases w:val="nd"/>
    <w:basedOn w:val="OPCParaBase"/>
    <w:rsid w:val="00104D80"/>
    <w:pPr>
      <w:spacing w:before="240" w:line="240" w:lineRule="auto"/>
      <w:ind w:left="284" w:hanging="284"/>
    </w:pPr>
    <w:rPr>
      <w:i/>
      <w:sz w:val="24"/>
    </w:rPr>
  </w:style>
  <w:style w:type="paragraph" w:customStyle="1" w:styleId="notemargin">
    <w:name w:val="note(margin)"/>
    <w:aliases w:val="nm"/>
    <w:basedOn w:val="OPCParaBase"/>
    <w:rsid w:val="00104D80"/>
    <w:pPr>
      <w:tabs>
        <w:tab w:val="left" w:pos="709"/>
      </w:tabs>
      <w:spacing w:before="122" w:line="198" w:lineRule="exact"/>
      <w:ind w:left="709" w:hanging="709"/>
    </w:pPr>
    <w:rPr>
      <w:sz w:val="18"/>
    </w:rPr>
  </w:style>
  <w:style w:type="paragraph" w:customStyle="1" w:styleId="noteToPara">
    <w:name w:val="noteToPara"/>
    <w:aliases w:val="ntp"/>
    <w:basedOn w:val="OPCParaBase"/>
    <w:rsid w:val="00104D80"/>
    <w:pPr>
      <w:spacing w:before="122" w:line="198" w:lineRule="exact"/>
      <w:ind w:left="2353" w:hanging="709"/>
    </w:pPr>
    <w:rPr>
      <w:sz w:val="18"/>
    </w:rPr>
  </w:style>
  <w:style w:type="paragraph" w:customStyle="1" w:styleId="noteParlAmend">
    <w:name w:val="note(ParlAmend)"/>
    <w:aliases w:val="npp"/>
    <w:basedOn w:val="OPCParaBase"/>
    <w:next w:val="ParlAmend"/>
    <w:rsid w:val="00104D80"/>
    <w:pPr>
      <w:spacing w:line="240" w:lineRule="auto"/>
      <w:jc w:val="right"/>
    </w:pPr>
    <w:rPr>
      <w:rFonts w:ascii="Arial" w:hAnsi="Arial"/>
      <w:b/>
      <w:i/>
    </w:rPr>
  </w:style>
  <w:style w:type="paragraph" w:customStyle="1" w:styleId="Page1">
    <w:name w:val="Page1"/>
    <w:basedOn w:val="OPCParaBase"/>
    <w:rsid w:val="00104D80"/>
    <w:pPr>
      <w:spacing w:before="5600" w:line="240" w:lineRule="auto"/>
    </w:pPr>
    <w:rPr>
      <w:b/>
      <w:sz w:val="32"/>
    </w:rPr>
  </w:style>
  <w:style w:type="paragraph" w:customStyle="1" w:styleId="PageBreak">
    <w:name w:val="PageBreak"/>
    <w:aliases w:val="pb"/>
    <w:basedOn w:val="OPCParaBase"/>
    <w:rsid w:val="00104D80"/>
    <w:pPr>
      <w:spacing w:line="240" w:lineRule="auto"/>
    </w:pPr>
    <w:rPr>
      <w:sz w:val="20"/>
    </w:rPr>
  </w:style>
  <w:style w:type="paragraph" w:customStyle="1" w:styleId="paragraphsub">
    <w:name w:val="paragraph(sub)"/>
    <w:aliases w:val="aa"/>
    <w:basedOn w:val="OPCParaBase"/>
    <w:rsid w:val="00104D80"/>
    <w:pPr>
      <w:tabs>
        <w:tab w:val="right" w:pos="1985"/>
      </w:tabs>
      <w:spacing w:before="40" w:line="240" w:lineRule="auto"/>
      <w:ind w:left="2098" w:hanging="2098"/>
    </w:pPr>
  </w:style>
  <w:style w:type="paragraph" w:customStyle="1" w:styleId="paragraphsub-sub">
    <w:name w:val="paragraph(sub-sub)"/>
    <w:aliases w:val="aaa"/>
    <w:basedOn w:val="OPCParaBase"/>
    <w:rsid w:val="00104D80"/>
    <w:pPr>
      <w:tabs>
        <w:tab w:val="right" w:pos="2722"/>
      </w:tabs>
      <w:spacing w:before="40" w:line="240" w:lineRule="auto"/>
      <w:ind w:left="2835" w:hanging="2835"/>
    </w:pPr>
  </w:style>
  <w:style w:type="paragraph" w:customStyle="1" w:styleId="paragraph">
    <w:name w:val="paragraph"/>
    <w:aliases w:val="a"/>
    <w:basedOn w:val="OPCParaBase"/>
    <w:rsid w:val="00104D80"/>
    <w:pPr>
      <w:tabs>
        <w:tab w:val="right" w:pos="1531"/>
      </w:tabs>
      <w:spacing w:before="40" w:line="240" w:lineRule="auto"/>
      <w:ind w:left="1644" w:hanging="1644"/>
    </w:pPr>
  </w:style>
  <w:style w:type="paragraph" w:customStyle="1" w:styleId="ParlAmend">
    <w:name w:val="ParlAmend"/>
    <w:aliases w:val="pp"/>
    <w:basedOn w:val="OPCParaBase"/>
    <w:rsid w:val="00104D80"/>
    <w:pPr>
      <w:spacing w:before="240" w:line="240" w:lineRule="atLeast"/>
      <w:ind w:hanging="567"/>
    </w:pPr>
    <w:rPr>
      <w:sz w:val="24"/>
    </w:rPr>
  </w:style>
  <w:style w:type="paragraph" w:customStyle="1" w:styleId="Penalty">
    <w:name w:val="Penalty"/>
    <w:basedOn w:val="OPCParaBase"/>
    <w:rsid w:val="00104D80"/>
    <w:pPr>
      <w:tabs>
        <w:tab w:val="left" w:pos="2977"/>
      </w:tabs>
      <w:spacing w:before="180" w:line="240" w:lineRule="auto"/>
      <w:ind w:left="1985" w:hanging="851"/>
    </w:pPr>
  </w:style>
  <w:style w:type="paragraph" w:customStyle="1" w:styleId="Portfolio">
    <w:name w:val="Portfolio"/>
    <w:basedOn w:val="OPCParaBase"/>
    <w:rsid w:val="00104D80"/>
    <w:pPr>
      <w:spacing w:line="240" w:lineRule="auto"/>
    </w:pPr>
    <w:rPr>
      <w:i/>
      <w:sz w:val="20"/>
    </w:rPr>
  </w:style>
  <w:style w:type="paragraph" w:customStyle="1" w:styleId="Preamble">
    <w:name w:val="Preamble"/>
    <w:basedOn w:val="OPCParaBase"/>
    <w:next w:val="Normal"/>
    <w:rsid w:val="00104D8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04D80"/>
    <w:pPr>
      <w:spacing w:line="240" w:lineRule="auto"/>
    </w:pPr>
    <w:rPr>
      <w:i/>
      <w:sz w:val="20"/>
    </w:rPr>
  </w:style>
  <w:style w:type="paragraph" w:customStyle="1" w:styleId="Session">
    <w:name w:val="Session"/>
    <w:basedOn w:val="OPCParaBase"/>
    <w:rsid w:val="00104D80"/>
    <w:pPr>
      <w:spacing w:line="240" w:lineRule="auto"/>
    </w:pPr>
    <w:rPr>
      <w:sz w:val="28"/>
    </w:rPr>
  </w:style>
  <w:style w:type="paragraph" w:customStyle="1" w:styleId="Sponsor">
    <w:name w:val="Sponsor"/>
    <w:basedOn w:val="OPCParaBase"/>
    <w:rsid w:val="00104D80"/>
    <w:pPr>
      <w:spacing w:line="240" w:lineRule="auto"/>
    </w:pPr>
    <w:rPr>
      <w:i/>
    </w:rPr>
  </w:style>
  <w:style w:type="paragraph" w:customStyle="1" w:styleId="Subitem">
    <w:name w:val="Subitem"/>
    <w:aliases w:val="iss"/>
    <w:basedOn w:val="OPCParaBase"/>
    <w:rsid w:val="00104D80"/>
    <w:pPr>
      <w:spacing w:before="180" w:line="240" w:lineRule="auto"/>
      <w:ind w:left="709" w:hanging="709"/>
    </w:pPr>
  </w:style>
  <w:style w:type="paragraph" w:customStyle="1" w:styleId="SubitemHead">
    <w:name w:val="SubitemHead"/>
    <w:aliases w:val="issh"/>
    <w:basedOn w:val="OPCParaBase"/>
    <w:rsid w:val="00104D8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04D80"/>
    <w:pPr>
      <w:spacing w:before="40" w:line="240" w:lineRule="auto"/>
      <w:ind w:left="1134"/>
    </w:pPr>
  </w:style>
  <w:style w:type="paragraph" w:customStyle="1" w:styleId="SubsectionHead">
    <w:name w:val="SubsectionHead"/>
    <w:aliases w:val="ssh"/>
    <w:basedOn w:val="OPCParaBase"/>
    <w:next w:val="subsection"/>
    <w:rsid w:val="00104D80"/>
    <w:pPr>
      <w:keepNext/>
      <w:keepLines/>
      <w:spacing w:before="240" w:line="240" w:lineRule="auto"/>
      <w:ind w:left="1134"/>
    </w:pPr>
    <w:rPr>
      <w:i/>
    </w:rPr>
  </w:style>
  <w:style w:type="paragraph" w:customStyle="1" w:styleId="Tablea">
    <w:name w:val="Table(a)"/>
    <w:aliases w:val="ta"/>
    <w:basedOn w:val="OPCParaBase"/>
    <w:rsid w:val="00104D80"/>
    <w:pPr>
      <w:spacing w:before="60" w:line="240" w:lineRule="auto"/>
      <w:ind w:left="284" w:hanging="284"/>
    </w:pPr>
    <w:rPr>
      <w:sz w:val="20"/>
    </w:rPr>
  </w:style>
  <w:style w:type="paragraph" w:customStyle="1" w:styleId="TableAA">
    <w:name w:val="Table(AA)"/>
    <w:aliases w:val="taaa"/>
    <w:basedOn w:val="OPCParaBase"/>
    <w:rsid w:val="00104D8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04D8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04D80"/>
    <w:pPr>
      <w:spacing w:before="60" w:line="240" w:lineRule="atLeast"/>
    </w:pPr>
    <w:rPr>
      <w:sz w:val="20"/>
    </w:rPr>
  </w:style>
  <w:style w:type="paragraph" w:customStyle="1" w:styleId="TLPBoxTextnote">
    <w:name w:val="TLPBoxText(note"/>
    <w:aliases w:val="right)"/>
    <w:basedOn w:val="OPCParaBase"/>
    <w:rsid w:val="00104D8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04D8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04D80"/>
    <w:pPr>
      <w:spacing w:before="122" w:line="198" w:lineRule="exact"/>
      <w:ind w:left="1985" w:hanging="851"/>
      <w:jc w:val="right"/>
    </w:pPr>
    <w:rPr>
      <w:sz w:val="18"/>
    </w:rPr>
  </w:style>
  <w:style w:type="paragraph" w:customStyle="1" w:styleId="TLPTableBullet">
    <w:name w:val="TLPTableBullet"/>
    <w:aliases w:val="ttb"/>
    <w:basedOn w:val="OPCParaBase"/>
    <w:rsid w:val="00104D80"/>
    <w:pPr>
      <w:spacing w:line="240" w:lineRule="exact"/>
      <w:ind w:left="284" w:hanging="284"/>
    </w:pPr>
    <w:rPr>
      <w:sz w:val="20"/>
    </w:rPr>
  </w:style>
  <w:style w:type="paragraph" w:styleId="TOC1">
    <w:name w:val="toc 1"/>
    <w:basedOn w:val="OPCParaBase"/>
    <w:next w:val="Normal"/>
    <w:uiPriority w:val="39"/>
    <w:unhideWhenUsed/>
    <w:rsid w:val="00104D80"/>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104D80"/>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104D80"/>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104D80"/>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104D80"/>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104D80"/>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104D80"/>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104D80"/>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104D80"/>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04D80"/>
    <w:pPr>
      <w:keepLines/>
      <w:spacing w:before="240" w:after="120" w:line="240" w:lineRule="auto"/>
      <w:ind w:left="794"/>
    </w:pPr>
    <w:rPr>
      <w:b/>
      <w:kern w:val="28"/>
      <w:sz w:val="20"/>
    </w:rPr>
  </w:style>
  <w:style w:type="paragraph" w:customStyle="1" w:styleId="TofSectsHeading">
    <w:name w:val="TofSects(Heading)"/>
    <w:basedOn w:val="OPCParaBase"/>
    <w:rsid w:val="00104D80"/>
    <w:pPr>
      <w:spacing w:before="240" w:after="120" w:line="240" w:lineRule="auto"/>
    </w:pPr>
    <w:rPr>
      <w:b/>
      <w:sz w:val="24"/>
    </w:rPr>
  </w:style>
  <w:style w:type="paragraph" w:customStyle="1" w:styleId="TofSectsSection">
    <w:name w:val="TofSects(Section)"/>
    <w:basedOn w:val="OPCParaBase"/>
    <w:rsid w:val="00104D80"/>
    <w:pPr>
      <w:keepLines/>
      <w:spacing w:before="40" w:line="240" w:lineRule="auto"/>
      <w:ind w:left="1588" w:hanging="794"/>
    </w:pPr>
    <w:rPr>
      <w:kern w:val="28"/>
      <w:sz w:val="18"/>
    </w:rPr>
  </w:style>
  <w:style w:type="paragraph" w:customStyle="1" w:styleId="TofSectsSubdiv">
    <w:name w:val="TofSects(Subdiv)"/>
    <w:basedOn w:val="OPCParaBase"/>
    <w:rsid w:val="00104D80"/>
    <w:pPr>
      <w:keepLines/>
      <w:spacing w:before="80" w:line="240" w:lineRule="auto"/>
      <w:ind w:left="1588" w:hanging="794"/>
    </w:pPr>
    <w:rPr>
      <w:kern w:val="28"/>
    </w:rPr>
  </w:style>
  <w:style w:type="paragraph" w:customStyle="1" w:styleId="WRStyle">
    <w:name w:val="WR Style"/>
    <w:aliases w:val="WR"/>
    <w:basedOn w:val="OPCParaBase"/>
    <w:rsid w:val="00104D80"/>
    <w:pPr>
      <w:spacing w:before="240" w:line="240" w:lineRule="auto"/>
      <w:ind w:left="284" w:hanging="284"/>
    </w:pPr>
    <w:rPr>
      <w:b/>
      <w:i/>
      <w:kern w:val="28"/>
      <w:sz w:val="24"/>
    </w:rPr>
  </w:style>
  <w:style w:type="paragraph" w:customStyle="1" w:styleId="notepara">
    <w:name w:val="note(para)"/>
    <w:aliases w:val="na"/>
    <w:basedOn w:val="OPCParaBase"/>
    <w:rsid w:val="00104D80"/>
    <w:pPr>
      <w:spacing w:before="40" w:line="198" w:lineRule="exact"/>
      <w:ind w:left="2354" w:hanging="369"/>
    </w:pPr>
    <w:rPr>
      <w:sz w:val="18"/>
    </w:rPr>
  </w:style>
  <w:style w:type="paragraph" w:styleId="Footer">
    <w:name w:val="footer"/>
    <w:link w:val="FooterChar"/>
    <w:rsid w:val="00104D8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04D80"/>
    <w:rPr>
      <w:rFonts w:eastAsia="Times New Roman" w:cs="Times New Roman"/>
      <w:sz w:val="22"/>
      <w:szCs w:val="24"/>
      <w:lang w:eastAsia="en-AU"/>
    </w:rPr>
  </w:style>
  <w:style w:type="character" w:styleId="LineNumber">
    <w:name w:val="line number"/>
    <w:basedOn w:val="OPCCharBase"/>
    <w:uiPriority w:val="99"/>
    <w:unhideWhenUsed/>
    <w:rsid w:val="00104D80"/>
    <w:rPr>
      <w:sz w:val="16"/>
    </w:rPr>
  </w:style>
  <w:style w:type="table" w:customStyle="1" w:styleId="CFlag">
    <w:name w:val="CFlag"/>
    <w:basedOn w:val="TableNormal"/>
    <w:uiPriority w:val="99"/>
    <w:rsid w:val="00104D80"/>
    <w:rPr>
      <w:rFonts w:eastAsia="Times New Roman" w:cs="Times New Roman"/>
      <w:lang w:eastAsia="en-AU"/>
    </w:rPr>
    <w:tblPr/>
  </w:style>
  <w:style w:type="paragraph" w:styleId="BalloonText">
    <w:name w:val="Balloon Text"/>
    <w:basedOn w:val="Normal"/>
    <w:link w:val="BalloonTextChar"/>
    <w:uiPriority w:val="99"/>
    <w:unhideWhenUsed/>
    <w:rsid w:val="00104D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04D80"/>
    <w:rPr>
      <w:rFonts w:ascii="Tahoma" w:hAnsi="Tahoma" w:cs="Tahoma"/>
      <w:sz w:val="16"/>
      <w:szCs w:val="16"/>
    </w:rPr>
  </w:style>
  <w:style w:type="table" w:styleId="TableGrid">
    <w:name w:val="Table Grid"/>
    <w:basedOn w:val="TableNormal"/>
    <w:uiPriority w:val="59"/>
    <w:rsid w:val="00104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04D80"/>
    <w:rPr>
      <w:b/>
      <w:sz w:val="28"/>
      <w:szCs w:val="32"/>
    </w:rPr>
  </w:style>
  <w:style w:type="paragraph" w:customStyle="1" w:styleId="LegislationMadeUnder">
    <w:name w:val="LegislationMadeUnder"/>
    <w:basedOn w:val="OPCParaBase"/>
    <w:next w:val="Normal"/>
    <w:rsid w:val="00104D80"/>
    <w:rPr>
      <w:i/>
      <w:sz w:val="32"/>
      <w:szCs w:val="32"/>
    </w:rPr>
  </w:style>
  <w:style w:type="paragraph" w:customStyle="1" w:styleId="SignCoverPageEnd">
    <w:name w:val="SignCoverPageEnd"/>
    <w:basedOn w:val="OPCParaBase"/>
    <w:next w:val="Normal"/>
    <w:rsid w:val="00104D8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04D80"/>
    <w:pPr>
      <w:pBdr>
        <w:top w:val="single" w:sz="4" w:space="1" w:color="auto"/>
      </w:pBdr>
      <w:spacing w:before="360"/>
      <w:ind w:right="397"/>
      <w:jc w:val="both"/>
    </w:pPr>
  </w:style>
  <w:style w:type="paragraph" w:customStyle="1" w:styleId="NotesHeading1">
    <w:name w:val="NotesHeading 1"/>
    <w:basedOn w:val="OPCParaBase"/>
    <w:next w:val="Normal"/>
    <w:rsid w:val="00104D80"/>
    <w:pPr>
      <w:outlineLvl w:val="0"/>
    </w:pPr>
    <w:rPr>
      <w:b/>
      <w:sz w:val="28"/>
      <w:szCs w:val="28"/>
    </w:rPr>
  </w:style>
  <w:style w:type="paragraph" w:customStyle="1" w:styleId="NotesHeading2">
    <w:name w:val="NotesHeading 2"/>
    <w:basedOn w:val="OPCParaBase"/>
    <w:next w:val="Normal"/>
    <w:rsid w:val="00104D80"/>
    <w:rPr>
      <w:b/>
      <w:sz w:val="28"/>
      <w:szCs w:val="28"/>
    </w:rPr>
  </w:style>
  <w:style w:type="paragraph" w:customStyle="1" w:styleId="CompiledActNo">
    <w:name w:val="CompiledActNo"/>
    <w:basedOn w:val="OPCParaBase"/>
    <w:next w:val="Normal"/>
    <w:rsid w:val="00104D80"/>
    <w:rPr>
      <w:b/>
      <w:sz w:val="24"/>
      <w:szCs w:val="24"/>
    </w:rPr>
  </w:style>
  <w:style w:type="paragraph" w:customStyle="1" w:styleId="ENotesText">
    <w:name w:val="ENotesText"/>
    <w:aliases w:val="Ent"/>
    <w:basedOn w:val="OPCParaBase"/>
    <w:next w:val="Normal"/>
    <w:rsid w:val="00104D80"/>
    <w:pPr>
      <w:spacing w:before="120"/>
    </w:pPr>
  </w:style>
  <w:style w:type="paragraph" w:customStyle="1" w:styleId="CompiledMadeUnder">
    <w:name w:val="CompiledMadeUnder"/>
    <w:basedOn w:val="OPCParaBase"/>
    <w:next w:val="Normal"/>
    <w:rsid w:val="00104D80"/>
    <w:rPr>
      <w:i/>
      <w:sz w:val="24"/>
      <w:szCs w:val="24"/>
    </w:rPr>
  </w:style>
  <w:style w:type="paragraph" w:customStyle="1" w:styleId="Paragraphsub-sub-sub">
    <w:name w:val="Paragraph(sub-sub-sub)"/>
    <w:aliases w:val="aaaa"/>
    <w:basedOn w:val="OPCParaBase"/>
    <w:rsid w:val="00104D80"/>
    <w:pPr>
      <w:tabs>
        <w:tab w:val="right" w:pos="3402"/>
      </w:tabs>
      <w:spacing w:before="40" w:line="240" w:lineRule="auto"/>
      <w:ind w:left="3402" w:hanging="3402"/>
    </w:pPr>
  </w:style>
  <w:style w:type="paragraph" w:customStyle="1" w:styleId="TableTextEndNotes">
    <w:name w:val="TableTextEndNotes"/>
    <w:aliases w:val="Tten"/>
    <w:basedOn w:val="Normal"/>
    <w:rsid w:val="00104D80"/>
    <w:pPr>
      <w:spacing w:before="60" w:line="240" w:lineRule="auto"/>
    </w:pPr>
    <w:rPr>
      <w:rFonts w:cs="Arial"/>
      <w:sz w:val="20"/>
      <w:szCs w:val="22"/>
    </w:rPr>
  </w:style>
  <w:style w:type="paragraph" w:customStyle="1" w:styleId="NoteToSubpara">
    <w:name w:val="NoteToSubpara"/>
    <w:aliases w:val="nts"/>
    <w:basedOn w:val="OPCParaBase"/>
    <w:rsid w:val="00104D80"/>
    <w:pPr>
      <w:spacing w:before="40" w:line="198" w:lineRule="exact"/>
      <w:ind w:left="2835" w:hanging="709"/>
    </w:pPr>
    <w:rPr>
      <w:sz w:val="18"/>
    </w:rPr>
  </w:style>
  <w:style w:type="paragraph" w:customStyle="1" w:styleId="ENoteTableHeading">
    <w:name w:val="ENoteTableHeading"/>
    <w:aliases w:val="enth"/>
    <w:basedOn w:val="OPCParaBase"/>
    <w:rsid w:val="00104D80"/>
    <w:pPr>
      <w:keepNext/>
      <w:spacing w:before="60" w:line="240" w:lineRule="atLeast"/>
    </w:pPr>
    <w:rPr>
      <w:rFonts w:ascii="Arial" w:hAnsi="Arial"/>
      <w:b/>
      <w:sz w:val="16"/>
    </w:rPr>
  </w:style>
  <w:style w:type="paragraph" w:customStyle="1" w:styleId="ENoteTTi">
    <w:name w:val="ENoteTTi"/>
    <w:aliases w:val="entti"/>
    <w:basedOn w:val="OPCParaBase"/>
    <w:rsid w:val="00104D80"/>
    <w:pPr>
      <w:keepNext/>
      <w:spacing w:before="60" w:line="240" w:lineRule="atLeast"/>
      <w:ind w:left="170"/>
    </w:pPr>
    <w:rPr>
      <w:sz w:val="16"/>
    </w:rPr>
  </w:style>
  <w:style w:type="paragraph" w:customStyle="1" w:styleId="ENotesHeading1">
    <w:name w:val="ENotesHeading 1"/>
    <w:aliases w:val="Enh1,ENh1"/>
    <w:basedOn w:val="OPCParaBase"/>
    <w:next w:val="Normal"/>
    <w:rsid w:val="00104D80"/>
    <w:pPr>
      <w:spacing w:before="120"/>
      <w:outlineLvl w:val="1"/>
    </w:pPr>
    <w:rPr>
      <w:b/>
      <w:sz w:val="28"/>
      <w:szCs w:val="28"/>
    </w:rPr>
  </w:style>
  <w:style w:type="paragraph" w:customStyle="1" w:styleId="ENotesHeading2">
    <w:name w:val="ENotesHeading 2"/>
    <w:aliases w:val="Enh2,ENh2"/>
    <w:basedOn w:val="OPCParaBase"/>
    <w:next w:val="Normal"/>
    <w:rsid w:val="00104D80"/>
    <w:pPr>
      <w:spacing w:before="120" w:after="120"/>
      <w:outlineLvl w:val="2"/>
    </w:pPr>
    <w:rPr>
      <w:b/>
      <w:sz w:val="24"/>
      <w:szCs w:val="28"/>
    </w:rPr>
  </w:style>
  <w:style w:type="paragraph" w:customStyle="1" w:styleId="ENoteTTIndentHeading">
    <w:name w:val="ENoteTTIndentHeading"/>
    <w:aliases w:val="enTTHi"/>
    <w:basedOn w:val="OPCParaBase"/>
    <w:rsid w:val="00104D8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04D80"/>
    <w:pPr>
      <w:spacing w:before="60" w:line="240" w:lineRule="atLeast"/>
    </w:pPr>
    <w:rPr>
      <w:sz w:val="16"/>
    </w:rPr>
  </w:style>
  <w:style w:type="paragraph" w:customStyle="1" w:styleId="MadeunderText">
    <w:name w:val="MadeunderText"/>
    <w:basedOn w:val="OPCParaBase"/>
    <w:next w:val="CompiledMadeUnder"/>
    <w:rsid w:val="00104D80"/>
    <w:pPr>
      <w:spacing w:before="240"/>
    </w:pPr>
    <w:rPr>
      <w:sz w:val="24"/>
      <w:szCs w:val="24"/>
    </w:rPr>
  </w:style>
  <w:style w:type="paragraph" w:customStyle="1" w:styleId="ENotesHeading3">
    <w:name w:val="ENotesHeading 3"/>
    <w:aliases w:val="Enh3"/>
    <w:basedOn w:val="OPCParaBase"/>
    <w:next w:val="Normal"/>
    <w:rsid w:val="00104D80"/>
    <w:pPr>
      <w:keepNext/>
      <w:spacing w:before="120" w:line="240" w:lineRule="auto"/>
      <w:outlineLvl w:val="4"/>
    </w:pPr>
    <w:rPr>
      <w:b/>
      <w:szCs w:val="24"/>
    </w:rPr>
  </w:style>
  <w:style w:type="character" w:customStyle="1" w:styleId="CharSubPartTextCASA">
    <w:name w:val="CharSubPartText(CASA)"/>
    <w:basedOn w:val="OPCCharBase"/>
    <w:uiPriority w:val="1"/>
    <w:rsid w:val="00104D80"/>
  </w:style>
  <w:style w:type="character" w:customStyle="1" w:styleId="CharSubPartNoCASA">
    <w:name w:val="CharSubPartNo(CASA)"/>
    <w:basedOn w:val="OPCCharBase"/>
    <w:uiPriority w:val="1"/>
    <w:rsid w:val="00104D80"/>
  </w:style>
  <w:style w:type="paragraph" w:customStyle="1" w:styleId="ENoteTTIndentHeadingSub">
    <w:name w:val="ENoteTTIndentHeadingSub"/>
    <w:aliases w:val="enTTHis"/>
    <w:basedOn w:val="OPCParaBase"/>
    <w:rsid w:val="00104D80"/>
    <w:pPr>
      <w:keepNext/>
      <w:spacing w:before="60" w:line="240" w:lineRule="atLeast"/>
      <w:ind w:left="340"/>
    </w:pPr>
    <w:rPr>
      <w:b/>
      <w:sz w:val="16"/>
    </w:rPr>
  </w:style>
  <w:style w:type="paragraph" w:customStyle="1" w:styleId="ENoteTTiSub">
    <w:name w:val="ENoteTTiSub"/>
    <w:aliases w:val="enttis"/>
    <w:basedOn w:val="OPCParaBase"/>
    <w:rsid w:val="00104D80"/>
    <w:pPr>
      <w:keepNext/>
      <w:spacing w:before="60" w:line="240" w:lineRule="atLeast"/>
      <w:ind w:left="340"/>
    </w:pPr>
    <w:rPr>
      <w:sz w:val="16"/>
    </w:rPr>
  </w:style>
  <w:style w:type="paragraph" w:customStyle="1" w:styleId="SubDivisionMigration">
    <w:name w:val="SubDivisionMigration"/>
    <w:aliases w:val="sdm"/>
    <w:basedOn w:val="OPCParaBase"/>
    <w:rsid w:val="00104D8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04D8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04D80"/>
    <w:pPr>
      <w:spacing w:before="122" w:line="240" w:lineRule="auto"/>
      <w:ind w:left="1985" w:hanging="851"/>
    </w:pPr>
    <w:rPr>
      <w:sz w:val="18"/>
    </w:rPr>
  </w:style>
  <w:style w:type="paragraph" w:customStyle="1" w:styleId="FreeForm">
    <w:name w:val="FreeForm"/>
    <w:rsid w:val="00104D80"/>
    <w:rPr>
      <w:rFonts w:ascii="Arial" w:hAnsi="Arial"/>
      <w:sz w:val="22"/>
    </w:rPr>
  </w:style>
  <w:style w:type="paragraph" w:customStyle="1" w:styleId="SOText">
    <w:name w:val="SO Text"/>
    <w:aliases w:val="sot"/>
    <w:link w:val="SOTextChar"/>
    <w:rsid w:val="00104D8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04D80"/>
    <w:rPr>
      <w:sz w:val="22"/>
    </w:rPr>
  </w:style>
  <w:style w:type="paragraph" w:customStyle="1" w:styleId="SOTextNote">
    <w:name w:val="SO TextNote"/>
    <w:aliases w:val="sont"/>
    <w:basedOn w:val="SOText"/>
    <w:qFormat/>
    <w:rsid w:val="00104D80"/>
    <w:pPr>
      <w:spacing w:before="122" w:line="198" w:lineRule="exact"/>
      <w:ind w:left="1843" w:hanging="709"/>
    </w:pPr>
    <w:rPr>
      <w:sz w:val="18"/>
    </w:rPr>
  </w:style>
  <w:style w:type="paragraph" w:customStyle="1" w:styleId="SOPara">
    <w:name w:val="SO Para"/>
    <w:aliases w:val="soa"/>
    <w:basedOn w:val="SOText"/>
    <w:link w:val="SOParaChar"/>
    <w:qFormat/>
    <w:rsid w:val="00104D80"/>
    <w:pPr>
      <w:tabs>
        <w:tab w:val="right" w:pos="1786"/>
      </w:tabs>
      <w:spacing w:before="40"/>
      <w:ind w:left="2070" w:hanging="936"/>
    </w:pPr>
  </w:style>
  <w:style w:type="character" w:customStyle="1" w:styleId="SOParaChar">
    <w:name w:val="SO Para Char"/>
    <w:aliases w:val="soa Char"/>
    <w:basedOn w:val="DefaultParagraphFont"/>
    <w:link w:val="SOPara"/>
    <w:rsid w:val="00104D80"/>
    <w:rPr>
      <w:sz w:val="22"/>
    </w:rPr>
  </w:style>
  <w:style w:type="paragraph" w:customStyle="1" w:styleId="FileName">
    <w:name w:val="FileName"/>
    <w:basedOn w:val="Normal"/>
    <w:rsid w:val="00104D80"/>
  </w:style>
  <w:style w:type="paragraph" w:customStyle="1" w:styleId="TableHeading">
    <w:name w:val="TableHeading"/>
    <w:aliases w:val="th"/>
    <w:basedOn w:val="OPCParaBase"/>
    <w:next w:val="Tabletext"/>
    <w:rsid w:val="00104D80"/>
    <w:pPr>
      <w:keepNext/>
      <w:spacing w:before="60" w:line="240" w:lineRule="atLeast"/>
    </w:pPr>
    <w:rPr>
      <w:b/>
      <w:sz w:val="20"/>
    </w:rPr>
  </w:style>
  <w:style w:type="paragraph" w:customStyle="1" w:styleId="SOHeadBold">
    <w:name w:val="SO HeadBold"/>
    <w:aliases w:val="sohb"/>
    <w:basedOn w:val="SOText"/>
    <w:next w:val="SOText"/>
    <w:link w:val="SOHeadBoldChar"/>
    <w:qFormat/>
    <w:rsid w:val="00104D80"/>
    <w:rPr>
      <w:b/>
    </w:rPr>
  </w:style>
  <w:style w:type="character" w:customStyle="1" w:styleId="SOHeadBoldChar">
    <w:name w:val="SO HeadBold Char"/>
    <w:aliases w:val="sohb Char"/>
    <w:basedOn w:val="DefaultParagraphFont"/>
    <w:link w:val="SOHeadBold"/>
    <w:rsid w:val="00104D80"/>
    <w:rPr>
      <w:b/>
      <w:sz w:val="22"/>
    </w:rPr>
  </w:style>
  <w:style w:type="paragraph" w:customStyle="1" w:styleId="SOHeadItalic">
    <w:name w:val="SO HeadItalic"/>
    <w:aliases w:val="sohi"/>
    <w:basedOn w:val="SOText"/>
    <w:next w:val="SOText"/>
    <w:link w:val="SOHeadItalicChar"/>
    <w:qFormat/>
    <w:rsid w:val="00104D80"/>
    <w:rPr>
      <w:i/>
    </w:rPr>
  </w:style>
  <w:style w:type="character" w:customStyle="1" w:styleId="SOHeadItalicChar">
    <w:name w:val="SO HeadItalic Char"/>
    <w:aliases w:val="sohi Char"/>
    <w:basedOn w:val="DefaultParagraphFont"/>
    <w:link w:val="SOHeadItalic"/>
    <w:rsid w:val="00104D80"/>
    <w:rPr>
      <w:i/>
      <w:sz w:val="22"/>
    </w:rPr>
  </w:style>
  <w:style w:type="paragraph" w:customStyle="1" w:styleId="SOBullet">
    <w:name w:val="SO Bullet"/>
    <w:aliases w:val="sotb"/>
    <w:basedOn w:val="SOText"/>
    <w:link w:val="SOBulletChar"/>
    <w:qFormat/>
    <w:rsid w:val="00104D80"/>
    <w:pPr>
      <w:ind w:left="1559" w:hanging="425"/>
    </w:pPr>
  </w:style>
  <w:style w:type="character" w:customStyle="1" w:styleId="SOBulletChar">
    <w:name w:val="SO Bullet Char"/>
    <w:aliases w:val="sotb Char"/>
    <w:basedOn w:val="DefaultParagraphFont"/>
    <w:link w:val="SOBullet"/>
    <w:rsid w:val="00104D80"/>
    <w:rPr>
      <w:sz w:val="22"/>
    </w:rPr>
  </w:style>
  <w:style w:type="paragraph" w:customStyle="1" w:styleId="SOBulletNote">
    <w:name w:val="SO BulletNote"/>
    <w:aliases w:val="sonb"/>
    <w:basedOn w:val="SOTextNote"/>
    <w:link w:val="SOBulletNoteChar"/>
    <w:qFormat/>
    <w:rsid w:val="00104D80"/>
    <w:pPr>
      <w:tabs>
        <w:tab w:val="left" w:pos="1560"/>
      </w:tabs>
      <w:ind w:left="2268" w:hanging="1134"/>
    </w:pPr>
  </w:style>
  <w:style w:type="character" w:customStyle="1" w:styleId="SOBulletNoteChar">
    <w:name w:val="SO BulletNote Char"/>
    <w:aliases w:val="sonb Char"/>
    <w:basedOn w:val="DefaultParagraphFont"/>
    <w:link w:val="SOBulletNote"/>
    <w:rsid w:val="00104D80"/>
    <w:rPr>
      <w:sz w:val="18"/>
    </w:rPr>
  </w:style>
  <w:style w:type="paragraph" w:customStyle="1" w:styleId="SOText2">
    <w:name w:val="SO Text2"/>
    <w:aliases w:val="sot2"/>
    <w:basedOn w:val="Normal"/>
    <w:next w:val="SOText"/>
    <w:link w:val="SOText2Char"/>
    <w:rsid w:val="00997E2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97E2A"/>
    <w:rPr>
      <w:sz w:val="22"/>
    </w:rPr>
  </w:style>
  <w:style w:type="paragraph" w:customStyle="1" w:styleId="SubPartCASA">
    <w:name w:val="SubPart(CASA)"/>
    <w:aliases w:val="csp"/>
    <w:basedOn w:val="OPCParaBase"/>
    <w:next w:val="ActHead3"/>
    <w:rsid w:val="00104D80"/>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997E2A"/>
    <w:rPr>
      <w:rFonts w:eastAsia="Times New Roman" w:cs="Times New Roman"/>
      <w:sz w:val="22"/>
      <w:lang w:eastAsia="en-AU"/>
    </w:rPr>
  </w:style>
  <w:style w:type="character" w:customStyle="1" w:styleId="notetextChar">
    <w:name w:val="note(text) Char"/>
    <w:aliases w:val="n Char"/>
    <w:basedOn w:val="DefaultParagraphFont"/>
    <w:link w:val="notetext"/>
    <w:rsid w:val="00997E2A"/>
    <w:rPr>
      <w:rFonts w:eastAsia="Times New Roman" w:cs="Times New Roman"/>
      <w:sz w:val="18"/>
      <w:lang w:eastAsia="en-AU"/>
    </w:rPr>
  </w:style>
  <w:style w:type="character" w:customStyle="1" w:styleId="Heading1Char">
    <w:name w:val="Heading 1 Char"/>
    <w:basedOn w:val="DefaultParagraphFont"/>
    <w:link w:val="Heading1"/>
    <w:uiPriority w:val="9"/>
    <w:rsid w:val="00997E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97E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97E2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97E2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97E2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97E2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97E2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97E2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97E2A"/>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997E2A"/>
    <w:rPr>
      <w:rFonts w:ascii="Arial" w:hAnsi="Arial" w:cs="Arial" w:hint="default"/>
      <w:b/>
      <w:bCs/>
      <w:sz w:val="28"/>
      <w:szCs w:val="28"/>
    </w:rPr>
  </w:style>
  <w:style w:type="paragraph" w:styleId="Index1">
    <w:name w:val="index 1"/>
    <w:basedOn w:val="Normal"/>
    <w:next w:val="Normal"/>
    <w:autoRedefine/>
    <w:rsid w:val="00997E2A"/>
    <w:pPr>
      <w:ind w:left="240" w:hanging="240"/>
    </w:pPr>
  </w:style>
  <w:style w:type="paragraph" w:styleId="Index2">
    <w:name w:val="index 2"/>
    <w:basedOn w:val="Normal"/>
    <w:next w:val="Normal"/>
    <w:autoRedefine/>
    <w:rsid w:val="00997E2A"/>
    <w:pPr>
      <w:ind w:left="480" w:hanging="240"/>
    </w:pPr>
  </w:style>
  <w:style w:type="paragraph" w:styleId="Index3">
    <w:name w:val="index 3"/>
    <w:basedOn w:val="Normal"/>
    <w:next w:val="Normal"/>
    <w:autoRedefine/>
    <w:rsid w:val="00997E2A"/>
    <w:pPr>
      <w:ind w:left="720" w:hanging="240"/>
    </w:pPr>
  </w:style>
  <w:style w:type="paragraph" w:styleId="Index4">
    <w:name w:val="index 4"/>
    <w:basedOn w:val="Normal"/>
    <w:next w:val="Normal"/>
    <w:autoRedefine/>
    <w:rsid w:val="00997E2A"/>
    <w:pPr>
      <w:ind w:left="960" w:hanging="240"/>
    </w:pPr>
  </w:style>
  <w:style w:type="paragraph" w:styleId="Index5">
    <w:name w:val="index 5"/>
    <w:basedOn w:val="Normal"/>
    <w:next w:val="Normal"/>
    <w:autoRedefine/>
    <w:rsid w:val="00997E2A"/>
    <w:pPr>
      <w:ind w:left="1200" w:hanging="240"/>
    </w:pPr>
  </w:style>
  <w:style w:type="paragraph" w:styleId="Index6">
    <w:name w:val="index 6"/>
    <w:basedOn w:val="Normal"/>
    <w:next w:val="Normal"/>
    <w:autoRedefine/>
    <w:rsid w:val="00997E2A"/>
    <w:pPr>
      <w:ind w:left="1440" w:hanging="240"/>
    </w:pPr>
  </w:style>
  <w:style w:type="paragraph" w:styleId="Index7">
    <w:name w:val="index 7"/>
    <w:basedOn w:val="Normal"/>
    <w:next w:val="Normal"/>
    <w:autoRedefine/>
    <w:rsid w:val="00997E2A"/>
    <w:pPr>
      <w:ind w:left="1680" w:hanging="240"/>
    </w:pPr>
  </w:style>
  <w:style w:type="paragraph" w:styleId="Index8">
    <w:name w:val="index 8"/>
    <w:basedOn w:val="Normal"/>
    <w:next w:val="Normal"/>
    <w:autoRedefine/>
    <w:rsid w:val="00997E2A"/>
    <w:pPr>
      <w:ind w:left="1920" w:hanging="240"/>
    </w:pPr>
  </w:style>
  <w:style w:type="paragraph" w:styleId="Index9">
    <w:name w:val="index 9"/>
    <w:basedOn w:val="Normal"/>
    <w:next w:val="Normal"/>
    <w:autoRedefine/>
    <w:rsid w:val="00997E2A"/>
    <w:pPr>
      <w:ind w:left="2160" w:hanging="240"/>
    </w:pPr>
  </w:style>
  <w:style w:type="paragraph" w:styleId="NormalIndent">
    <w:name w:val="Normal Indent"/>
    <w:basedOn w:val="Normal"/>
    <w:rsid w:val="00997E2A"/>
    <w:pPr>
      <w:ind w:left="720"/>
    </w:pPr>
  </w:style>
  <w:style w:type="paragraph" w:styleId="FootnoteText">
    <w:name w:val="footnote text"/>
    <w:basedOn w:val="Normal"/>
    <w:link w:val="FootnoteTextChar"/>
    <w:rsid w:val="00997E2A"/>
    <w:rPr>
      <w:sz w:val="20"/>
    </w:rPr>
  </w:style>
  <w:style w:type="character" w:customStyle="1" w:styleId="FootnoteTextChar">
    <w:name w:val="Footnote Text Char"/>
    <w:basedOn w:val="DefaultParagraphFont"/>
    <w:link w:val="FootnoteText"/>
    <w:rsid w:val="00997E2A"/>
  </w:style>
  <w:style w:type="paragraph" w:styleId="CommentText">
    <w:name w:val="annotation text"/>
    <w:basedOn w:val="Normal"/>
    <w:link w:val="CommentTextChar"/>
    <w:rsid w:val="00997E2A"/>
    <w:rPr>
      <w:sz w:val="20"/>
    </w:rPr>
  </w:style>
  <w:style w:type="character" w:customStyle="1" w:styleId="CommentTextChar">
    <w:name w:val="Comment Text Char"/>
    <w:basedOn w:val="DefaultParagraphFont"/>
    <w:link w:val="CommentText"/>
    <w:rsid w:val="00997E2A"/>
  </w:style>
  <w:style w:type="paragraph" w:styleId="IndexHeading">
    <w:name w:val="index heading"/>
    <w:basedOn w:val="Normal"/>
    <w:next w:val="Index1"/>
    <w:rsid w:val="00997E2A"/>
    <w:rPr>
      <w:rFonts w:ascii="Arial" w:hAnsi="Arial" w:cs="Arial"/>
      <w:b/>
      <w:bCs/>
    </w:rPr>
  </w:style>
  <w:style w:type="paragraph" w:styleId="Caption">
    <w:name w:val="caption"/>
    <w:basedOn w:val="Normal"/>
    <w:next w:val="Normal"/>
    <w:qFormat/>
    <w:rsid w:val="00997E2A"/>
    <w:pPr>
      <w:spacing w:before="120" w:after="120"/>
    </w:pPr>
    <w:rPr>
      <w:b/>
      <w:bCs/>
      <w:sz w:val="20"/>
    </w:rPr>
  </w:style>
  <w:style w:type="paragraph" w:styleId="TableofFigures">
    <w:name w:val="table of figures"/>
    <w:basedOn w:val="Normal"/>
    <w:next w:val="Normal"/>
    <w:rsid w:val="00997E2A"/>
    <w:pPr>
      <w:ind w:left="480" w:hanging="480"/>
    </w:pPr>
  </w:style>
  <w:style w:type="paragraph" w:styleId="EnvelopeAddress">
    <w:name w:val="envelope address"/>
    <w:basedOn w:val="Normal"/>
    <w:rsid w:val="00997E2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97E2A"/>
    <w:rPr>
      <w:rFonts w:ascii="Arial" w:hAnsi="Arial" w:cs="Arial"/>
      <w:sz w:val="20"/>
    </w:rPr>
  </w:style>
  <w:style w:type="character" w:styleId="FootnoteReference">
    <w:name w:val="footnote reference"/>
    <w:basedOn w:val="DefaultParagraphFont"/>
    <w:rsid w:val="00997E2A"/>
    <w:rPr>
      <w:rFonts w:ascii="Times New Roman" w:hAnsi="Times New Roman"/>
      <w:sz w:val="20"/>
      <w:vertAlign w:val="superscript"/>
    </w:rPr>
  </w:style>
  <w:style w:type="character" w:styleId="CommentReference">
    <w:name w:val="annotation reference"/>
    <w:basedOn w:val="DefaultParagraphFont"/>
    <w:rsid w:val="00997E2A"/>
    <w:rPr>
      <w:sz w:val="16"/>
      <w:szCs w:val="16"/>
    </w:rPr>
  </w:style>
  <w:style w:type="character" w:styleId="PageNumber">
    <w:name w:val="page number"/>
    <w:basedOn w:val="DefaultParagraphFont"/>
    <w:rsid w:val="00997E2A"/>
  </w:style>
  <w:style w:type="character" w:styleId="EndnoteReference">
    <w:name w:val="endnote reference"/>
    <w:basedOn w:val="DefaultParagraphFont"/>
    <w:rsid w:val="00997E2A"/>
    <w:rPr>
      <w:vertAlign w:val="superscript"/>
    </w:rPr>
  </w:style>
  <w:style w:type="paragraph" w:styleId="EndnoteText">
    <w:name w:val="endnote text"/>
    <w:basedOn w:val="Normal"/>
    <w:link w:val="EndnoteTextChar"/>
    <w:rsid w:val="00997E2A"/>
    <w:rPr>
      <w:sz w:val="20"/>
    </w:rPr>
  </w:style>
  <w:style w:type="character" w:customStyle="1" w:styleId="EndnoteTextChar">
    <w:name w:val="Endnote Text Char"/>
    <w:basedOn w:val="DefaultParagraphFont"/>
    <w:link w:val="EndnoteText"/>
    <w:rsid w:val="00997E2A"/>
  </w:style>
  <w:style w:type="paragraph" w:styleId="TableofAuthorities">
    <w:name w:val="table of authorities"/>
    <w:basedOn w:val="Normal"/>
    <w:next w:val="Normal"/>
    <w:rsid w:val="00997E2A"/>
    <w:pPr>
      <w:ind w:left="240" w:hanging="240"/>
    </w:pPr>
  </w:style>
  <w:style w:type="paragraph" w:styleId="MacroText">
    <w:name w:val="macro"/>
    <w:link w:val="MacroTextChar"/>
    <w:rsid w:val="00997E2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97E2A"/>
    <w:rPr>
      <w:rFonts w:ascii="Courier New" w:eastAsia="Times New Roman" w:hAnsi="Courier New" w:cs="Courier New"/>
      <w:lang w:eastAsia="en-AU"/>
    </w:rPr>
  </w:style>
  <w:style w:type="paragraph" w:styleId="TOAHeading">
    <w:name w:val="toa heading"/>
    <w:basedOn w:val="Normal"/>
    <w:next w:val="Normal"/>
    <w:rsid w:val="00997E2A"/>
    <w:pPr>
      <w:spacing w:before="120"/>
    </w:pPr>
    <w:rPr>
      <w:rFonts w:ascii="Arial" w:hAnsi="Arial" w:cs="Arial"/>
      <w:b/>
      <w:bCs/>
    </w:rPr>
  </w:style>
  <w:style w:type="paragraph" w:styleId="List">
    <w:name w:val="List"/>
    <w:basedOn w:val="Normal"/>
    <w:rsid w:val="00997E2A"/>
    <w:pPr>
      <w:ind w:left="283" w:hanging="283"/>
    </w:pPr>
  </w:style>
  <w:style w:type="paragraph" w:styleId="ListBullet">
    <w:name w:val="List Bullet"/>
    <w:basedOn w:val="Normal"/>
    <w:autoRedefine/>
    <w:rsid w:val="00997E2A"/>
    <w:pPr>
      <w:tabs>
        <w:tab w:val="num" w:pos="360"/>
      </w:tabs>
      <w:ind w:left="360" w:hanging="360"/>
    </w:pPr>
  </w:style>
  <w:style w:type="paragraph" w:styleId="ListNumber">
    <w:name w:val="List Number"/>
    <w:basedOn w:val="Normal"/>
    <w:rsid w:val="00997E2A"/>
    <w:pPr>
      <w:tabs>
        <w:tab w:val="num" w:pos="360"/>
      </w:tabs>
      <w:ind w:left="360" w:hanging="360"/>
    </w:pPr>
  </w:style>
  <w:style w:type="paragraph" w:styleId="List2">
    <w:name w:val="List 2"/>
    <w:basedOn w:val="Normal"/>
    <w:rsid w:val="00997E2A"/>
    <w:pPr>
      <w:ind w:left="566" w:hanging="283"/>
    </w:pPr>
  </w:style>
  <w:style w:type="paragraph" w:styleId="List3">
    <w:name w:val="List 3"/>
    <w:basedOn w:val="Normal"/>
    <w:rsid w:val="00997E2A"/>
    <w:pPr>
      <w:ind w:left="849" w:hanging="283"/>
    </w:pPr>
  </w:style>
  <w:style w:type="paragraph" w:styleId="List4">
    <w:name w:val="List 4"/>
    <w:basedOn w:val="Normal"/>
    <w:rsid w:val="00997E2A"/>
    <w:pPr>
      <w:ind w:left="1132" w:hanging="283"/>
    </w:pPr>
  </w:style>
  <w:style w:type="paragraph" w:styleId="List5">
    <w:name w:val="List 5"/>
    <w:basedOn w:val="Normal"/>
    <w:rsid w:val="00997E2A"/>
    <w:pPr>
      <w:ind w:left="1415" w:hanging="283"/>
    </w:pPr>
  </w:style>
  <w:style w:type="paragraph" w:styleId="ListBullet2">
    <w:name w:val="List Bullet 2"/>
    <w:basedOn w:val="Normal"/>
    <w:autoRedefine/>
    <w:rsid w:val="00997E2A"/>
    <w:pPr>
      <w:tabs>
        <w:tab w:val="num" w:pos="360"/>
      </w:tabs>
    </w:pPr>
  </w:style>
  <w:style w:type="paragraph" w:styleId="ListBullet3">
    <w:name w:val="List Bullet 3"/>
    <w:basedOn w:val="Normal"/>
    <w:autoRedefine/>
    <w:rsid w:val="00997E2A"/>
    <w:pPr>
      <w:tabs>
        <w:tab w:val="num" w:pos="926"/>
      </w:tabs>
      <w:ind w:left="926" w:hanging="360"/>
    </w:pPr>
  </w:style>
  <w:style w:type="paragraph" w:styleId="ListBullet4">
    <w:name w:val="List Bullet 4"/>
    <w:basedOn w:val="Normal"/>
    <w:autoRedefine/>
    <w:rsid w:val="00997E2A"/>
    <w:pPr>
      <w:tabs>
        <w:tab w:val="num" w:pos="1209"/>
      </w:tabs>
      <w:ind w:left="1209" w:hanging="360"/>
    </w:pPr>
  </w:style>
  <w:style w:type="paragraph" w:styleId="ListBullet5">
    <w:name w:val="List Bullet 5"/>
    <w:basedOn w:val="Normal"/>
    <w:autoRedefine/>
    <w:rsid w:val="00997E2A"/>
    <w:pPr>
      <w:tabs>
        <w:tab w:val="num" w:pos="1492"/>
      </w:tabs>
      <w:ind w:left="1492" w:hanging="360"/>
    </w:pPr>
  </w:style>
  <w:style w:type="paragraph" w:styleId="ListNumber2">
    <w:name w:val="List Number 2"/>
    <w:basedOn w:val="Normal"/>
    <w:rsid w:val="00997E2A"/>
    <w:pPr>
      <w:tabs>
        <w:tab w:val="num" w:pos="643"/>
      </w:tabs>
      <w:ind w:left="643" w:hanging="360"/>
    </w:pPr>
  </w:style>
  <w:style w:type="paragraph" w:styleId="ListNumber3">
    <w:name w:val="List Number 3"/>
    <w:basedOn w:val="Normal"/>
    <w:rsid w:val="00997E2A"/>
    <w:pPr>
      <w:tabs>
        <w:tab w:val="num" w:pos="926"/>
      </w:tabs>
      <w:ind w:left="926" w:hanging="360"/>
    </w:pPr>
  </w:style>
  <w:style w:type="paragraph" w:styleId="ListNumber4">
    <w:name w:val="List Number 4"/>
    <w:basedOn w:val="Normal"/>
    <w:rsid w:val="00997E2A"/>
    <w:pPr>
      <w:tabs>
        <w:tab w:val="num" w:pos="1209"/>
      </w:tabs>
      <w:ind w:left="1209" w:hanging="360"/>
    </w:pPr>
  </w:style>
  <w:style w:type="paragraph" w:styleId="ListNumber5">
    <w:name w:val="List Number 5"/>
    <w:basedOn w:val="Normal"/>
    <w:rsid w:val="00997E2A"/>
    <w:pPr>
      <w:tabs>
        <w:tab w:val="num" w:pos="1492"/>
      </w:tabs>
      <w:ind w:left="1492" w:hanging="360"/>
    </w:pPr>
  </w:style>
  <w:style w:type="paragraph" w:styleId="Title">
    <w:name w:val="Title"/>
    <w:basedOn w:val="Normal"/>
    <w:link w:val="TitleChar"/>
    <w:qFormat/>
    <w:rsid w:val="00997E2A"/>
    <w:pPr>
      <w:spacing w:before="240" w:after="60"/>
    </w:pPr>
    <w:rPr>
      <w:rFonts w:ascii="Arial" w:hAnsi="Arial" w:cs="Arial"/>
      <w:b/>
      <w:bCs/>
      <w:sz w:val="40"/>
      <w:szCs w:val="40"/>
    </w:rPr>
  </w:style>
  <w:style w:type="character" w:customStyle="1" w:styleId="TitleChar">
    <w:name w:val="Title Char"/>
    <w:basedOn w:val="DefaultParagraphFont"/>
    <w:link w:val="Title"/>
    <w:rsid w:val="00997E2A"/>
    <w:rPr>
      <w:rFonts w:ascii="Arial" w:hAnsi="Arial" w:cs="Arial"/>
      <w:b/>
      <w:bCs/>
      <w:sz w:val="40"/>
      <w:szCs w:val="40"/>
    </w:rPr>
  </w:style>
  <w:style w:type="paragraph" w:styleId="Closing">
    <w:name w:val="Closing"/>
    <w:basedOn w:val="Normal"/>
    <w:link w:val="ClosingChar"/>
    <w:rsid w:val="00997E2A"/>
    <w:pPr>
      <w:ind w:left="4252"/>
    </w:pPr>
  </w:style>
  <w:style w:type="character" w:customStyle="1" w:styleId="ClosingChar">
    <w:name w:val="Closing Char"/>
    <w:basedOn w:val="DefaultParagraphFont"/>
    <w:link w:val="Closing"/>
    <w:rsid w:val="00997E2A"/>
    <w:rPr>
      <w:sz w:val="22"/>
    </w:rPr>
  </w:style>
  <w:style w:type="paragraph" w:styleId="Signature">
    <w:name w:val="Signature"/>
    <w:basedOn w:val="Normal"/>
    <w:link w:val="SignatureChar"/>
    <w:rsid w:val="00997E2A"/>
    <w:pPr>
      <w:ind w:left="4252"/>
    </w:pPr>
  </w:style>
  <w:style w:type="character" w:customStyle="1" w:styleId="SignatureChar">
    <w:name w:val="Signature Char"/>
    <w:basedOn w:val="DefaultParagraphFont"/>
    <w:link w:val="Signature"/>
    <w:rsid w:val="00997E2A"/>
    <w:rPr>
      <w:sz w:val="22"/>
    </w:rPr>
  </w:style>
  <w:style w:type="paragraph" w:styleId="BodyText">
    <w:name w:val="Body Text"/>
    <w:basedOn w:val="Normal"/>
    <w:link w:val="BodyTextChar"/>
    <w:rsid w:val="00997E2A"/>
    <w:pPr>
      <w:spacing w:after="120"/>
    </w:pPr>
  </w:style>
  <w:style w:type="character" w:customStyle="1" w:styleId="BodyTextChar">
    <w:name w:val="Body Text Char"/>
    <w:basedOn w:val="DefaultParagraphFont"/>
    <w:link w:val="BodyText"/>
    <w:rsid w:val="00997E2A"/>
    <w:rPr>
      <w:sz w:val="22"/>
    </w:rPr>
  </w:style>
  <w:style w:type="paragraph" w:styleId="BodyTextIndent">
    <w:name w:val="Body Text Indent"/>
    <w:basedOn w:val="Normal"/>
    <w:link w:val="BodyTextIndentChar"/>
    <w:rsid w:val="00997E2A"/>
    <w:pPr>
      <w:spacing w:after="120"/>
      <w:ind w:left="283"/>
    </w:pPr>
  </w:style>
  <w:style w:type="character" w:customStyle="1" w:styleId="BodyTextIndentChar">
    <w:name w:val="Body Text Indent Char"/>
    <w:basedOn w:val="DefaultParagraphFont"/>
    <w:link w:val="BodyTextIndent"/>
    <w:rsid w:val="00997E2A"/>
    <w:rPr>
      <w:sz w:val="22"/>
    </w:rPr>
  </w:style>
  <w:style w:type="paragraph" w:styleId="ListContinue">
    <w:name w:val="List Continue"/>
    <w:basedOn w:val="Normal"/>
    <w:rsid w:val="00997E2A"/>
    <w:pPr>
      <w:spacing w:after="120"/>
      <w:ind w:left="283"/>
    </w:pPr>
  </w:style>
  <w:style w:type="paragraph" w:styleId="ListContinue2">
    <w:name w:val="List Continue 2"/>
    <w:basedOn w:val="Normal"/>
    <w:rsid w:val="00997E2A"/>
    <w:pPr>
      <w:spacing w:after="120"/>
      <w:ind w:left="566"/>
    </w:pPr>
  </w:style>
  <w:style w:type="paragraph" w:styleId="ListContinue3">
    <w:name w:val="List Continue 3"/>
    <w:basedOn w:val="Normal"/>
    <w:rsid w:val="00997E2A"/>
    <w:pPr>
      <w:spacing w:after="120"/>
      <w:ind w:left="849"/>
    </w:pPr>
  </w:style>
  <w:style w:type="paragraph" w:styleId="ListContinue4">
    <w:name w:val="List Continue 4"/>
    <w:basedOn w:val="Normal"/>
    <w:rsid w:val="00997E2A"/>
    <w:pPr>
      <w:spacing w:after="120"/>
      <w:ind w:left="1132"/>
    </w:pPr>
  </w:style>
  <w:style w:type="paragraph" w:styleId="ListContinue5">
    <w:name w:val="List Continue 5"/>
    <w:basedOn w:val="Normal"/>
    <w:rsid w:val="00997E2A"/>
    <w:pPr>
      <w:spacing w:after="120"/>
      <w:ind w:left="1415"/>
    </w:pPr>
  </w:style>
  <w:style w:type="paragraph" w:styleId="MessageHeader">
    <w:name w:val="Message Header"/>
    <w:basedOn w:val="Normal"/>
    <w:link w:val="MessageHeaderChar"/>
    <w:rsid w:val="00997E2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97E2A"/>
    <w:rPr>
      <w:rFonts w:ascii="Arial" w:hAnsi="Arial" w:cs="Arial"/>
      <w:sz w:val="22"/>
      <w:shd w:val="pct20" w:color="auto" w:fill="auto"/>
    </w:rPr>
  </w:style>
  <w:style w:type="paragraph" w:styleId="Subtitle">
    <w:name w:val="Subtitle"/>
    <w:basedOn w:val="Normal"/>
    <w:link w:val="SubtitleChar"/>
    <w:qFormat/>
    <w:rsid w:val="00997E2A"/>
    <w:pPr>
      <w:spacing w:after="60"/>
      <w:jc w:val="center"/>
      <w:outlineLvl w:val="1"/>
    </w:pPr>
    <w:rPr>
      <w:rFonts w:ascii="Arial" w:hAnsi="Arial" w:cs="Arial"/>
    </w:rPr>
  </w:style>
  <w:style w:type="character" w:customStyle="1" w:styleId="SubtitleChar">
    <w:name w:val="Subtitle Char"/>
    <w:basedOn w:val="DefaultParagraphFont"/>
    <w:link w:val="Subtitle"/>
    <w:rsid w:val="00997E2A"/>
    <w:rPr>
      <w:rFonts w:ascii="Arial" w:hAnsi="Arial" w:cs="Arial"/>
      <w:sz w:val="22"/>
    </w:rPr>
  </w:style>
  <w:style w:type="paragraph" w:styleId="Salutation">
    <w:name w:val="Salutation"/>
    <w:basedOn w:val="Normal"/>
    <w:next w:val="Normal"/>
    <w:link w:val="SalutationChar"/>
    <w:rsid w:val="00997E2A"/>
  </w:style>
  <w:style w:type="character" w:customStyle="1" w:styleId="SalutationChar">
    <w:name w:val="Salutation Char"/>
    <w:basedOn w:val="DefaultParagraphFont"/>
    <w:link w:val="Salutation"/>
    <w:rsid w:val="00997E2A"/>
    <w:rPr>
      <w:sz w:val="22"/>
    </w:rPr>
  </w:style>
  <w:style w:type="paragraph" w:styleId="Date">
    <w:name w:val="Date"/>
    <w:basedOn w:val="Normal"/>
    <w:next w:val="Normal"/>
    <w:link w:val="DateChar"/>
    <w:rsid w:val="00997E2A"/>
  </w:style>
  <w:style w:type="character" w:customStyle="1" w:styleId="DateChar">
    <w:name w:val="Date Char"/>
    <w:basedOn w:val="DefaultParagraphFont"/>
    <w:link w:val="Date"/>
    <w:rsid w:val="00997E2A"/>
    <w:rPr>
      <w:sz w:val="22"/>
    </w:rPr>
  </w:style>
  <w:style w:type="paragraph" w:styleId="BodyTextFirstIndent">
    <w:name w:val="Body Text First Indent"/>
    <w:basedOn w:val="BodyText"/>
    <w:link w:val="BodyTextFirstIndentChar"/>
    <w:rsid w:val="00997E2A"/>
    <w:pPr>
      <w:ind w:firstLine="210"/>
    </w:pPr>
  </w:style>
  <w:style w:type="character" w:customStyle="1" w:styleId="BodyTextFirstIndentChar">
    <w:name w:val="Body Text First Indent Char"/>
    <w:basedOn w:val="BodyTextChar"/>
    <w:link w:val="BodyTextFirstIndent"/>
    <w:rsid w:val="00997E2A"/>
    <w:rPr>
      <w:sz w:val="22"/>
    </w:rPr>
  </w:style>
  <w:style w:type="paragraph" w:styleId="BodyTextFirstIndent2">
    <w:name w:val="Body Text First Indent 2"/>
    <w:basedOn w:val="BodyTextIndent"/>
    <w:link w:val="BodyTextFirstIndent2Char"/>
    <w:rsid w:val="00997E2A"/>
    <w:pPr>
      <w:ind w:firstLine="210"/>
    </w:pPr>
  </w:style>
  <w:style w:type="character" w:customStyle="1" w:styleId="BodyTextFirstIndent2Char">
    <w:name w:val="Body Text First Indent 2 Char"/>
    <w:basedOn w:val="BodyTextIndentChar"/>
    <w:link w:val="BodyTextFirstIndent2"/>
    <w:rsid w:val="00997E2A"/>
    <w:rPr>
      <w:sz w:val="22"/>
    </w:rPr>
  </w:style>
  <w:style w:type="paragraph" w:styleId="BodyText2">
    <w:name w:val="Body Text 2"/>
    <w:basedOn w:val="Normal"/>
    <w:link w:val="BodyText2Char"/>
    <w:rsid w:val="00997E2A"/>
    <w:pPr>
      <w:spacing w:after="120" w:line="480" w:lineRule="auto"/>
    </w:pPr>
  </w:style>
  <w:style w:type="character" w:customStyle="1" w:styleId="BodyText2Char">
    <w:name w:val="Body Text 2 Char"/>
    <w:basedOn w:val="DefaultParagraphFont"/>
    <w:link w:val="BodyText2"/>
    <w:rsid w:val="00997E2A"/>
    <w:rPr>
      <w:sz w:val="22"/>
    </w:rPr>
  </w:style>
  <w:style w:type="paragraph" w:styleId="BodyText3">
    <w:name w:val="Body Text 3"/>
    <w:basedOn w:val="Normal"/>
    <w:link w:val="BodyText3Char"/>
    <w:rsid w:val="00997E2A"/>
    <w:pPr>
      <w:spacing w:after="120"/>
    </w:pPr>
    <w:rPr>
      <w:sz w:val="16"/>
      <w:szCs w:val="16"/>
    </w:rPr>
  </w:style>
  <w:style w:type="character" w:customStyle="1" w:styleId="BodyText3Char">
    <w:name w:val="Body Text 3 Char"/>
    <w:basedOn w:val="DefaultParagraphFont"/>
    <w:link w:val="BodyText3"/>
    <w:rsid w:val="00997E2A"/>
    <w:rPr>
      <w:sz w:val="16"/>
      <w:szCs w:val="16"/>
    </w:rPr>
  </w:style>
  <w:style w:type="paragraph" w:styleId="BodyTextIndent2">
    <w:name w:val="Body Text Indent 2"/>
    <w:basedOn w:val="Normal"/>
    <w:link w:val="BodyTextIndent2Char"/>
    <w:rsid w:val="00997E2A"/>
    <w:pPr>
      <w:spacing w:after="120" w:line="480" w:lineRule="auto"/>
      <w:ind w:left="283"/>
    </w:pPr>
  </w:style>
  <w:style w:type="character" w:customStyle="1" w:styleId="BodyTextIndent2Char">
    <w:name w:val="Body Text Indent 2 Char"/>
    <w:basedOn w:val="DefaultParagraphFont"/>
    <w:link w:val="BodyTextIndent2"/>
    <w:rsid w:val="00997E2A"/>
    <w:rPr>
      <w:sz w:val="22"/>
    </w:rPr>
  </w:style>
  <w:style w:type="paragraph" w:styleId="BodyTextIndent3">
    <w:name w:val="Body Text Indent 3"/>
    <w:basedOn w:val="Normal"/>
    <w:link w:val="BodyTextIndent3Char"/>
    <w:rsid w:val="00997E2A"/>
    <w:pPr>
      <w:spacing w:after="120"/>
      <w:ind w:left="283"/>
    </w:pPr>
    <w:rPr>
      <w:sz w:val="16"/>
      <w:szCs w:val="16"/>
    </w:rPr>
  </w:style>
  <w:style w:type="character" w:customStyle="1" w:styleId="BodyTextIndent3Char">
    <w:name w:val="Body Text Indent 3 Char"/>
    <w:basedOn w:val="DefaultParagraphFont"/>
    <w:link w:val="BodyTextIndent3"/>
    <w:rsid w:val="00997E2A"/>
    <w:rPr>
      <w:sz w:val="16"/>
      <w:szCs w:val="16"/>
    </w:rPr>
  </w:style>
  <w:style w:type="paragraph" w:styleId="BlockText">
    <w:name w:val="Block Text"/>
    <w:basedOn w:val="Normal"/>
    <w:rsid w:val="00997E2A"/>
    <w:pPr>
      <w:spacing w:after="120"/>
      <w:ind w:left="1440" w:right="1440"/>
    </w:pPr>
  </w:style>
  <w:style w:type="character" w:styleId="Hyperlink">
    <w:name w:val="Hyperlink"/>
    <w:basedOn w:val="DefaultParagraphFont"/>
    <w:rsid w:val="00997E2A"/>
    <w:rPr>
      <w:color w:val="0000FF"/>
      <w:u w:val="single"/>
    </w:rPr>
  </w:style>
  <w:style w:type="character" w:styleId="FollowedHyperlink">
    <w:name w:val="FollowedHyperlink"/>
    <w:basedOn w:val="DefaultParagraphFont"/>
    <w:rsid w:val="00997E2A"/>
    <w:rPr>
      <w:color w:val="800080"/>
      <w:u w:val="single"/>
    </w:rPr>
  </w:style>
  <w:style w:type="character" w:styleId="Strong">
    <w:name w:val="Strong"/>
    <w:basedOn w:val="DefaultParagraphFont"/>
    <w:qFormat/>
    <w:rsid w:val="00997E2A"/>
    <w:rPr>
      <w:b/>
      <w:bCs/>
    </w:rPr>
  </w:style>
  <w:style w:type="character" w:styleId="Emphasis">
    <w:name w:val="Emphasis"/>
    <w:basedOn w:val="DefaultParagraphFont"/>
    <w:qFormat/>
    <w:rsid w:val="00997E2A"/>
    <w:rPr>
      <w:i/>
      <w:iCs/>
    </w:rPr>
  </w:style>
  <w:style w:type="paragraph" w:styleId="DocumentMap">
    <w:name w:val="Document Map"/>
    <w:basedOn w:val="Normal"/>
    <w:link w:val="DocumentMapChar"/>
    <w:rsid w:val="00997E2A"/>
    <w:pPr>
      <w:shd w:val="clear" w:color="auto" w:fill="000080"/>
    </w:pPr>
    <w:rPr>
      <w:rFonts w:ascii="Tahoma" w:hAnsi="Tahoma" w:cs="Tahoma"/>
    </w:rPr>
  </w:style>
  <w:style w:type="character" w:customStyle="1" w:styleId="DocumentMapChar">
    <w:name w:val="Document Map Char"/>
    <w:basedOn w:val="DefaultParagraphFont"/>
    <w:link w:val="DocumentMap"/>
    <w:rsid w:val="00997E2A"/>
    <w:rPr>
      <w:rFonts w:ascii="Tahoma" w:hAnsi="Tahoma" w:cs="Tahoma"/>
      <w:sz w:val="22"/>
      <w:shd w:val="clear" w:color="auto" w:fill="000080"/>
    </w:rPr>
  </w:style>
  <w:style w:type="paragraph" w:styleId="PlainText">
    <w:name w:val="Plain Text"/>
    <w:basedOn w:val="Normal"/>
    <w:link w:val="PlainTextChar"/>
    <w:rsid w:val="00997E2A"/>
    <w:rPr>
      <w:rFonts w:ascii="Courier New" w:hAnsi="Courier New" w:cs="Courier New"/>
      <w:sz w:val="20"/>
    </w:rPr>
  </w:style>
  <w:style w:type="character" w:customStyle="1" w:styleId="PlainTextChar">
    <w:name w:val="Plain Text Char"/>
    <w:basedOn w:val="DefaultParagraphFont"/>
    <w:link w:val="PlainText"/>
    <w:rsid w:val="00997E2A"/>
    <w:rPr>
      <w:rFonts w:ascii="Courier New" w:hAnsi="Courier New" w:cs="Courier New"/>
    </w:rPr>
  </w:style>
  <w:style w:type="paragraph" w:styleId="E-mailSignature">
    <w:name w:val="E-mail Signature"/>
    <w:basedOn w:val="Normal"/>
    <w:link w:val="E-mailSignatureChar"/>
    <w:rsid w:val="00997E2A"/>
  </w:style>
  <w:style w:type="character" w:customStyle="1" w:styleId="E-mailSignatureChar">
    <w:name w:val="E-mail Signature Char"/>
    <w:basedOn w:val="DefaultParagraphFont"/>
    <w:link w:val="E-mailSignature"/>
    <w:rsid w:val="00997E2A"/>
    <w:rPr>
      <w:sz w:val="22"/>
    </w:rPr>
  </w:style>
  <w:style w:type="paragraph" w:styleId="NormalWeb">
    <w:name w:val="Normal (Web)"/>
    <w:basedOn w:val="Normal"/>
    <w:rsid w:val="00997E2A"/>
  </w:style>
  <w:style w:type="character" w:styleId="HTMLAcronym">
    <w:name w:val="HTML Acronym"/>
    <w:basedOn w:val="DefaultParagraphFont"/>
    <w:rsid w:val="00997E2A"/>
  </w:style>
  <w:style w:type="paragraph" w:styleId="HTMLAddress">
    <w:name w:val="HTML Address"/>
    <w:basedOn w:val="Normal"/>
    <w:link w:val="HTMLAddressChar"/>
    <w:rsid w:val="00997E2A"/>
    <w:rPr>
      <w:i/>
      <w:iCs/>
    </w:rPr>
  </w:style>
  <w:style w:type="character" w:customStyle="1" w:styleId="HTMLAddressChar">
    <w:name w:val="HTML Address Char"/>
    <w:basedOn w:val="DefaultParagraphFont"/>
    <w:link w:val="HTMLAddress"/>
    <w:rsid w:val="00997E2A"/>
    <w:rPr>
      <w:i/>
      <w:iCs/>
      <w:sz w:val="22"/>
    </w:rPr>
  </w:style>
  <w:style w:type="character" w:styleId="HTMLCite">
    <w:name w:val="HTML Cite"/>
    <w:basedOn w:val="DefaultParagraphFont"/>
    <w:rsid w:val="00997E2A"/>
    <w:rPr>
      <w:i/>
      <w:iCs/>
    </w:rPr>
  </w:style>
  <w:style w:type="character" w:styleId="HTMLCode">
    <w:name w:val="HTML Code"/>
    <w:basedOn w:val="DefaultParagraphFont"/>
    <w:rsid w:val="00997E2A"/>
    <w:rPr>
      <w:rFonts w:ascii="Courier New" w:hAnsi="Courier New" w:cs="Courier New"/>
      <w:sz w:val="20"/>
      <w:szCs w:val="20"/>
    </w:rPr>
  </w:style>
  <w:style w:type="character" w:styleId="HTMLDefinition">
    <w:name w:val="HTML Definition"/>
    <w:basedOn w:val="DefaultParagraphFont"/>
    <w:rsid w:val="00997E2A"/>
    <w:rPr>
      <w:i/>
      <w:iCs/>
    </w:rPr>
  </w:style>
  <w:style w:type="character" w:styleId="HTMLKeyboard">
    <w:name w:val="HTML Keyboard"/>
    <w:basedOn w:val="DefaultParagraphFont"/>
    <w:rsid w:val="00997E2A"/>
    <w:rPr>
      <w:rFonts w:ascii="Courier New" w:hAnsi="Courier New" w:cs="Courier New"/>
      <w:sz w:val="20"/>
      <w:szCs w:val="20"/>
    </w:rPr>
  </w:style>
  <w:style w:type="paragraph" w:styleId="HTMLPreformatted">
    <w:name w:val="HTML Preformatted"/>
    <w:basedOn w:val="Normal"/>
    <w:link w:val="HTMLPreformattedChar"/>
    <w:rsid w:val="00997E2A"/>
    <w:rPr>
      <w:rFonts w:ascii="Courier New" w:hAnsi="Courier New" w:cs="Courier New"/>
      <w:sz w:val="20"/>
    </w:rPr>
  </w:style>
  <w:style w:type="character" w:customStyle="1" w:styleId="HTMLPreformattedChar">
    <w:name w:val="HTML Preformatted Char"/>
    <w:basedOn w:val="DefaultParagraphFont"/>
    <w:link w:val="HTMLPreformatted"/>
    <w:rsid w:val="00997E2A"/>
    <w:rPr>
      <w:rFonts w:ascii="Courier New" w:hAnsi="Courier New" w:cs="Courier New"/>
    </w:rPr>
  </w:style>
  <w:style w:type="character" w:styleId="HTMLSample">
    <w:name w:val="HTML Sample"/>
    <w:basedOn w:val="DefaultParagraphFont"/>
    <w:rsid w:val="00997E2A"/>
    <w:rPr>
      <w:rFonts w:ascii="Courier New" w:hAnsi="Courier New" w:cs="Courier New"/>
    </w:rPr>
  </w:style>
  <w:style w:type="character" w:styleId="HTMLTypewriter">
    <w:name w:val="HTML Typewriter"/>
    <w:basedOn w:val="DefaultParagraphFont"/>
    <w:rsid w:val="00997E2A"/>
    <w:rPr>
      <w:rFonts w:ascii="Courier New" w:hAnsi="Courier New" w:cs="Courier New"/>
      <w:sz w:val="20"/>
      <w:szCs w:val="20"/>
    </w:rPr>
  </w:style>
  <w:style w:type="character" w:styleId="HTMLVariable">
    <w:name w:val="HTML Variable"/>
    <w:basedOn w:val="DefaultParagraphFont"/>
    <w:rsid w:val="00997E2A"/>
    <w:rPr>
      <w:i/>
      <w:iCs/>
    </w:rPr>
  </w:style>
  <w:style w:type="paragraph" w:styleId="CommentSubject">
    <w:name w:val="annotation subject"/>
    <w:basedOn w:val="CommentText"/>
    <w:next w:val="CommentText"/>
    <w:link w:val="CommentSubjectChar"/>
    <w:rsid w:val="00997E2A"/>
    <w:rPr>
      <w:b/>
      <w:bCs/>
    </w:rPr>
  </w:style>
  <w:style w:type="character" w:customStyle="1" w:styleId="CommentSubjectChar">
    <w:name w:val="Comment Subject Char"/>
    <w:basedOn w:val="CommentTextChar"/>
    <w:link w:val="CommentSubject"/>
    <w:rsid w:val="00997E2A"/>
    <w:rPr>
      <w:b/>
      <w:bCs/>
    </w:rPr>
  </w:style>
  <w:style w:type="numbering" w:styleId="1ai">
    <w:name w:val="Outline List 1"/>
    <w:basedOn w:val="NoList"/>
    <w:rsid w:val="00997E2A"/>
    <w:pPr>
      <w:numPr>
        <w:numId w:val="14"/>
      </w:numPr>
    </w:pPr>
  </w:style>
  <w:style w:type="numbering" w:styleId="111111">
    <w:name w:val="Outline List 2"/>
    <w:basedOn w:val="NoList"/>
    <w:rsid w:val="00997E2A"/>
    <w:pPr>
      <w:numPr>
        <w:numId w:val="15"/>
      </w:numPr>
    </w:pPr>
  </w:style>
  <w:style w:type="numbering" w:styleId="ArticleSection">
    <w:name w:val="Outline List 3"/>
    <w:basedOn w:val="NoList"/>
    <w:rsid w:val="00997E2A"/>
    <w:pPr>
      <w:numPr>
        <w:numId w:val="17"/>
      </w:numPr>
    </w:pPr>
  </w:style>
  <w:style w:type="table" w:styleId="TableSimple1">
    <w:name w:val="Table Simple 1"/>
    <w:basedOn w:val="TableNormal"/>
    <w:rsid w:val="00997E2A"/>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97E2A"/>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97E2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97E2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97E2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97E2A"/>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97E2A"/>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97E2A"/>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97E2A"/>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97E2A"/>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97E2A"/>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97E2A"/>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97E2A"/>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97E2A"/>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97E2A"/>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97E2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97E2A"/>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97E2A"/>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97E2A"/>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97E2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97E2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97E2A"/>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97E2A"/>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97E2A"/>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97E2A"/>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97E2A"/>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97E2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97E2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97E2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97E2A"/>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97E2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97E2A"/>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97E2A"/>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97E2A"/>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97E2A"/>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97E2A"/>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97E2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97E2A"/>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97E2A"/>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97E2A"/>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97E2A"/>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97E2A"/>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97E2A"/>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997E2A"/>
    <w:rPr>
      <w:rFonts w:eastAsia="Times New Roman" w:cs="Times New Roman"/>
      <w:b/>
      <w:kern w:val="28"/>
      <w:sz w:val="24"/>
      <w:lang w:eastAsia="en-AU"/>
    </w:rPr>
  </w:style>
  <w:style w:type="paragraph" w:customStyle="1" w:styleId="ETAsubitem">
    <w:name w:val="ETA(subitem)"/>
    <w:basedOn w:val="OPCParaBase"/>
    <w:rsid w:val="00997E2A"/>
    <w:pPr>
      <w:tabs>
        <w:tab w:val="right" w:pos="340"/>
      </w:tabs>
      <w:spacing w:before="60" w:line="240" w:lineRule="auto"/>
      <w:ind w:left="454" w:hanging="454"/>
    </w:pPr>
    <w:rPr>
      <w:sz w:val="20"/>
    </w:rPr>
  </w:style>
  <w:style w:type="paragraph" w:customStyle="1" w:styleId="ETApara">
    <w:name w:val="ETA(para)"/>
    <w:basedOn w:val="OPCParaBase"/>
    <w:rsid w:val="00997E2A"/>
    <w:pPr>
      <w:tabs>
        <w:tab w:val="right" w:pos="754"/>
      </w:tabs>
      <w:spacing w:before="60" w:line="240" w:lineRule="auto"/>
      <w:ind w:left="828" w:hanging="828"/>
    </w:pPr>
    <w:rPr>
      <w:sz w:val="20"/>
    </w:rPr>
  </w:style>
  <w:style w:type="paragraph" w:customStyle="1" w:styleId="ETAsubpara">
    <w:name w:val="ETA(subpara)"/>
    <w:basedOn w:val="OPCParaBase"/>
    <w:rsid w:val="00997E2A"/>
    <w:pPr>
      <w:tabs>
        <w:tab w:val="right" w:pos="1083"/>
      </w:tabs>
      <w:spacing w:before="60" w:line="240" w:lineRule="auto"/>
      <w:ind w:left="1191" w:hanging="1191"/>
    </w:pPr>
    <w:rPr>
      <w:sz w:val="20"/>
    </w:rPr>
  </w:style>
  <w:style w:type="paragraph" w:customStyle="1" w:styleId="ETAsub-subpara">
    <w:name w:val="ETA(sub-subpara)"/>
    <w:basedOn w:val="OPCParaBase"/>
    <w:rsid w:val="00997E2A"/>
    <w:pPr>
      <w:tabs>
        <w:tab w:val="right" w:pos="1412"/>
      </w:tabs>
      <w:spacing w:before="60" w:line="240" w:lineRule="auto"/>
      <w:ind w:left="1525" w:hanging="1525"/>
    </w:pPr>
    <w:rPr>
      <w:sz w:val="20"/>
    </w:rPr>
  </w:style>
  <w:style w:type="paragraph" w:customStyle="1" w:styleId="Transitional">
    <w:name w:val="Transitional"/>
    <w:aliases w:val="tr"/>
    <w:basedOn w:val="Normal"/>
    <w:next w:val="Normal"/>
    <w:rsid w:val="00104D80"/>
    <w:pPr>
      <w:keepNext/>
      <w:keepLines/>
      <w:spacing w:before="220" w:line="240" w:lineRule="auto"/>
      <w:ind w:left="709" w:hanging="709"/>
    </w:pPr>
    <w:rPr>
      <w:rFonts w:ascii="Arial" w:eastAsia="Times New Roman" w:hAnsi="Arial" w:cs="Times New Roman"/>
      <w:b/>
      <w:kern w:val="28"/>
      <w:sz w:val="24"/>
      <w:lang w:eastAsia="en-AU"/>
    </w:rPr>
  </w:style>
  <w:style w:type="paragraph" w:styleId="ListParagraph">
    <w:name w:val="List Paragraph"/>
    <w:basedOn w:val="Normal"/>
    <w:uiPriority w:val="34"/>
    <w:qFormat/>
    <w:rsid w:val="00012CC7"/>
    <w:pPr>
      <w:ind w:left="720"/>
      <w:contextualSpacing/>
    </w:pPr>
  </w:style>
  <w:style w:type="paragraph" w:customStyle="1" w:styleId="ActHead10">
    <w:name w:val="ActHead 10"/>
    <w:aliases w:val="sp"/>
    <w:basedOn w:val="OPCParaBase"/>
    <w:next w:val="ActHead3"/>
    <w:rsid w:val="00104D80"/>
    <w:pPr>
      <w:keepNext/>
      <w:spacing w:before="280" w:line="240" w:lineRule="auto"/>
      <w:outlineLvl w:val="1"/>
    </w:pPr>
    <w:rPr>
      <w:b/>
      <w:sz w:val="32"/>
      <w:szCs w:val="30"/>
    </w:rPr>
  </w:style>
  <w:style w:type="paragraph" w:customStyle="1" w:styleId="EnStatement">
    <w:name w:val="EnStatement"/>
    <w:basedOn w:val="Normal"/>
    <w:rsid w:val="00104D80"/>
    <w:pPr>
      <w:numPr>
        <w:numId w:val="39"/>
      </w:numPr>
    </w:pPr>
    <w:rPr>
      <w:rFonts w:eastAsia="Times New Roman" w:cs="Times New Roman"/>
      <w:lang w:eastAsia="en-AU"/>
    </w:rPr>
  </w:style>
  <w:style w:type="paragraph" w:customStyle="1" w:styleId="EnStatementHeading">
    <w:name w:val="EnStatementHeading"/>
    <w:basedOn w:val="Normal"/>
    <w:rsid w:val="00104D80"/>
    <w:rPr>
      <w:rFonts w:eastAsia="Times New Roman" w:cs="Times New Roman"/>
      <w:b/>
      <w:lang w:eastAsia="en-AU"/>
    </w:rPr>
  </w:style>
  <w:style w:type="paragraph" w:styleId="Revision">
    <w:name w:val="Revision"/>
    <w:hidden/>
    <w:uiPriority w:val="99"/>
    <w:semiHidden/>
    <w:rsid w:val="00F7385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25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image" Target="media/image2.jpeg"/><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footer" Target="footer11.xm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footer" Target="footer1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jpeg"/><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98ABB-C3B8-4A25-A1A6-C3EFE013B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27</Pages>
  <Words>5252</Words>
  <Characters>25936</Characters>
  <Application>Microsoft Office Word</Application>
  <DocSecurity>0</DocSecurity>
  <PresentationFormat/>
  <Lines>648</Lines>
  <Paragraphs>395</Paragraphs>
  <ScaleCrop>false</ScaleCrop>
  <HeadingPairs>
    <vt:vector size="2" baseType="variant">
      <vt:variant>
        <vt:lpstr>Title</vt:lpstr>
      </vt:variant>
      <vt:variant>
        <vt:i4>1</vt:i4>
      </vt:variant>
    </vt:vector>
  </HeadingPairs>
  <TitlesOfParts>
    <vt:vector size="1" baseType="lpstr">
      <vt:lpstr>Consumer Goods (Quad Bikes) Safety Standard 2019</vt:lpstr>
    </vt:vector>
  </TitlesOfParts>
  <Manager/>
  <Company/>
  <LinksUpToDate>false</LinksUpToDate>
  <CharactersWithSpaces>30854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Goods (Quad Bikes) Safety Standard 2019</dc:title>
  <dc:subject/>
  <dc:creator/>
  <cp:keywords/>
  <dc:description/>
  <cp:lastModifiedBy/>
  <cp:revision>1</cp:revision>
  <cp:lastPrinted>2019-05-08T01:47:00Z</cp:lastPrinted>
  <dcterms:created xsi:type="dcterms:W3CDTF">2021-07-08T04:54:00Z</dcterms:created>
  <dcterms:modified xsi:type="dcterms:W3CDTF">2021-07-08T04:54:00Z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Consumer Goods (Quad Bikes) Safety Standard 2019</vt:lpwstr>
  </property>
  <property fmtid="{D5CDD505-2E9C-101B-9397-08002B2CF9AE}" pid="4" name="Header">
    <vt:lpwstr>Section</vt:lpwstr>
  </property>
  <property fmtid="{D5CDD505-2E9C-101B-9397-08002B2CF9AE}" pid="5" name="Class">
    <vt:lpwstr>Standard</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Unk</vt:lpwstr>
  </property>
  <property fmtid="{D5CDD505-2E9C-101B-9397-08002B2CF9AE}" pid="10" name="ID">
    <vt:lpwstr>OPC63626</vt:lpwstr>
  </property>
  <property fmtid="{D5CDD505-2E9C-101B-9397-08002B2CF9AE}" pid="11" name="Classification">
    <vt:lpwstr>OFFICIAL</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I</vt:lpwstr>
  </property>
  <property fmtid="{D5CDD505-2E9C-101B-9397-08002B2CF9AE}" pid="16" name="CounterSign">
    <vt:lpwstr/>
  </property>
  <property fmtid="{D5CDD505-2E9C-101B-9397-08002B2CF9AE}" pid="17" name="DateMade">
    <vt:lpwstr>10 October 2019</vt:lpwstr>
  </property>
  <property fmtid="{D5CDD505-2E9C-101B-9397-08002B2CF9AE}" pid="18" name="Converted">
    <vt:bool>false</vt:bool>
  </property>
  <property fmtid="{D5CDD505-2E9C-101B-9397-08002B2CF9AE}" pid="19" name="Compilation">
    <vt:lpwstr>Yes</vt:lpwstr>
  </property>
  <property fmtid="{D5CDD505-2E9C-101B-9397-08002B2CF9AE}" pid="20" name="CompilationNumber">
    <vt:lpwstr>1</vt:lpwstr>
  </property>
  <property fmtid="{D5CDD505-2E9C-101B-9397-08002B2CF9AE}" pid="21" name="StartDate">
    <vt:lpwstr>29 June 2021</vt:lpwstr>
  </property>
  <property fmtid="{D5CDD505-2E9C-101B-9397-08002B2CF9AE}" pid="22" name="IncludesUpTo">
    <vt:lpwstr>F2021L00873</vt:lpwstr>
  </property>
  <property fmtid="{D5CDD505-2E9C-101B-9397-08002B2CF9AE}" pid="23" name="RegisteredDate">
    <vt:lpwstr>8 July 2021</vt:lpwstr>
  </property>
  <property fmtid="{D5CDD505-2E9C-101B-9397-08002B2CF9AE}" pid="24" name="CompilationVersion">
    <vt:i4>3</vt:i4>
  </property>
</Properties>
</file>