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98A75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C498AE3" wp14:editId="6C498AE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98A76" w14:textId="77777777" w:rsidR="005E317F" w:rsidRDefault="005E317F" w:rsidP="005E317F">
      <w:pPr>
        <w:rPr>
          <w:sz w:val="19"/>
        </w:rPr>
      </w:pPr>
    </w:p>
    <w:p w14:paraId="6C498A77" w14:textId="77777777" w:rsidR="005E317F" w:rsidRPr="00E500D4" w:rsidRDefault="005B401B" w:rsidP="005E317F">
      <w:pPr>
        <w:pStyle w:val="ShortT"/>
      </w:pPr>
      <w:r>
        <w:t>Superannuation</w:t>
      </w:r>
      <w:r w:rsidR="005E317F" w:rsidRPr="00DA182D">
        <w:t xml:space="preserve"> </w:t>
      </w:r>
      <w:r w:rsidR="005E317F">
        <w:t>Amendment (</w:t>
      </w:r>
      <w:r w:rsidR="00485AF2">
        <w:t>PSS</w:t>
      </w:r>
      <w:r>
        <w:t xml:space="preserve"> Trust Deed</w:t>
      </w:r>
      <w:r w:rsidR="005E317F">
        <w:t xml:space="preserve">) </w:t>
      </w:r>
      <w:r w:rsidR="006D5D26">
        <w:t xml:space="preserve">Instrument </w:t>
      </w:r>
      <w:r>
        <w:t>2019</w:t>
      </w:r>
    </w:p>
    <w:p w14:paraId="6C498A78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311642">
        <w:rPr>
          <w:szCs w:val="22"/>
        </w:rPr>
        <w:t xml:space="preserve">Mathias Hubert Paul </w:t>
      </w:r>
      <w:r w:rsidR="005B401B">
        <w:rPr>
          <w:szCs w:val="22"/>
        </w:rPr>
        <w:t>Cormann,</w:t>
      </w:r>
      <w:r w:rsidRPr="00DA182D">
        <w:rPr>
          <w:szCs w:val="22"/>
        </w:rPr>
        <w:t xml:space="preserve"> </w:t>
      </w:r>
      <w:r w:rsidR="005B401B">
        <w:rPr>
          <w:szCs w:val="22"/>
        </w:rPr>
        <w:t>Minister for</w:t>
      </w:r>
      <w:bookmarkStart w:id="0" w:name="_GoBack"/>
      <w:bookmarkEnd w:id="0"/>
      <w:r w:rsidR="005B401B">
        <w:rPr>
          <w:szCs w:val="22"/>
        </w:rPr>
        <w:t xml:space="preserve"> Finance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5B401B">
        <w:rPr>
          <w:szCs w:val="22"/>
        </w:rPr>
        <w:t>amendment instrument</w:t>
      </w:r>
      <w:r w:rsidRPr="00DA182D">
        <w:rPr>
          <w:szCs w:val="22"/>
        </w:rPr>
        <w:t>.</w:t>
      </w:r>
    </w:p>
    <w:p w14:paraId="6C498A79" w14:textId="39936436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E41928">
        <w:rPr>
          <w:szCs w:val="22"/>
        </w:rPr>
        <w:t>: 16 September 2019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C498A7A" w14:textId="77777777" w:rsidR="005E317F" w:rsidRDefault="0031164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MATHIAS </w:t>
      </w:r>
      <w:r w:rsidR="005B401B">
        <w:rPr>
          <w:szCs w:val="22"/>
        </w:rPr>
        <w:t xml:space="preserve">HUBERT </w:t>
      </w:r>
      <w:r>
        <w:rPr>
          <w:szCs w:val="22"/>
        </w:rPr>
        <w:t xml:space="preserve">PAUL </w:t>
      </w:r>
      <w:r w:rsidR="005B401B">
        <w:rPr>
          <w:szCs w:val="22"/>
        </w:rPr>
        <w:t>CORMANN</w:t>
      </w:r>
      <w:r w:rsidR="005E317F" w:rsidRPr="00A75FE9">
        <w:rPr>
          <w:szCs w:val="22"/>
        </w:rPr>
        <w:t xml:space="preserve"> </w:t>
      </w:r>
    </w:p>
    <w:p w14:paraId="6C498A7B" w14:textId="77777777" w:rsidR="005E317F" w:rsidRPr="000D3FB9" w:rsidRDefault="005B401B" w:rsidP="005E317F">
      <w:pPr>
        <w:pStyle w:val="SignCoverPageEnd"/>
        <w:ind w:right="91"/>
        <w:rPr>
          <w:sz w:val="22"/>
        </w:rPr>
      </w:pPr>
      <w:r w:rsidRPr="005B401B">
        <w:rPr>
          <w:sz w:val="22"/>
        </w:rPr>
        <w:t>Minis</w:t>
      </w:r>
      <w:r>
        <w:rPr>
          <w:sz w:val="22"/>
        </w:rPr>
        <w:t>ter for Finance</w:t>
      </w:r>
    </w:p>
    <w:p w14:paraId="6C498A7C" w14:textId="77777777" w:rsidR="00B20990" w:rsidRDefault="00B20990" w:rsidP="00B20990"/>
    <w:p w14:paraId="6C498A7D" w14:textId="77777777" w:rsidR="00B20990" w:rsidRDefault="00B20990" w:rsidP="00B20990">
      <w:pPr>
        <w:sectPr w:rsidR="00B20990" w:rsidSect="00AD27B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C498A7E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6C498A7F" w14:textId="77777777" w:rsidR="005E317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317F">
        <w:rPr>
          <w:noProof/>
        </w:rPr>
        <w:t>1</w:t>
      </w:r>
      <w:r w:rsidR="005E317F">
        <w:rPr>
          <w:noProof/>
        </w:rPr>
        <w:tab/>
        <w:t>Name</w:t>
      </w:r>
      <w:r w:rsidR="005E317F" w:rsidRPr="005E317F">
        <w:rPr>
          <w:noProof/>
          <w:sz w:val="20"/>
        </w:rPr>
        <w:tab/>
      </w:r>
      <w:r w:rsidR="005E317F" w:rsidRPr="005E317F">
        <w:rPr>
          <w:noProof/>
          <w:sz w:val="20"/>
        </w:rPr>
        <w:fldChar w:fldCharType="begin"/>
      </w:r>
      <w:r w:rsidR="005E317F" w:rsidRPr="005E317F">
        <w:rPr>
          <w:noProof/>
          <w:sz w:val="20"/>
        </w:rPr>
        <w:instrText xml:space="preserve"> PAGEREF _Toc478567687 \h </w:instrText>
      </w:r>
      <w:r w:rsidR="005E317F" w:rsidRPr="005E317F">
        <w:rPr>
          <w:noProof/>
          <w:sz w:val="20"/>
        </w:rPr>
      </w:r>
      <w:r w:rsidR="005E317F" w:rsidRPr="005E317F">
        <w:rPr>
          <w:noProof/>
          <w:sz w:val="20"/>
        </w:rPr>
        <w:fldChar w:fldCharType="separate"/>
      </w:r>
      <w:r w:rsidR="00283C10">
        <w:rPr>
          <w:noProof/>
          <w:sz w:val="20"/>
        </w:rPr>
        <w:t>1</w:t>
      </w:r>
      <w:r w:rsidR="005E317F" w:rsidRPr="005E317F">
        <w:rPr>
          <w:noProof/>
          <w:sz w:val="20"/>
        </w:rPr>
        <w:fldChar w:fldCharType="end"/>
      </w:r>
    </w:p>
    <w:p w14:paraId="6C498A80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_Toc478567688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283C10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6C498A81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_Toc478567689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283C10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6C498A82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_Toc478567690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283C10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6C498A83" w14:textId="77777777" w:rsidR="005E317F" w:rsidRPr="00001A77" w:rsidRDefault="00E771E9" w:rsidP="00001A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 xml:space="preserve">Schedule 1—Amendment of the </w:t>
      </w:r>
      <w:r w:rsidRPr="00E771E9">
        <w:rPr>
          <w:noProof/>
        </w:rPr>
        <w:t xml:space="preserve">Public Sector Superannuation Scheme </w:t>
      </w:r>
      <w:r w:rsidRPr="00B96824">
        <w:rPr>
          <w:noProof/>
        </w:rPr>
        <w:t>Trust Deed</w:t>
      </w:r>
      <w:r w:rsidR="005E317F" w:rsidRPr="005E317F">
        <w:rPr>
          <w:b w:val="0"/>
          <w:noProof/>
          <w:sz w:val="20"/>
        </w:rPr>
        <w:tab/>
      </w:r>
      <w:r w:rsidR="005E317F" w:rsidRPr="005E317F">
        <w:rPr>
          <w:b w:val="0"/>
          <w:noProof/>
          <w:sz w:val="20"/>
        </w:rPr>
        <w:fldChar w:fldCharType="begin"/>
      </w:r>
      <w:r w:rsidR="005E317F" w:rsidRPr="005E317F">
        <w:rPr>
          <w:b w:val="0"/>
          <w:noProof/>
          <w:sz w:val="20"/>
        </w:rPr>
        <w:instrText xml:space="preserve"> PAGEREF _Toc478567691 \h </w:instrText>
      </w:r>
      <w:r w:rsidR="005E317F" w:rsidRPr="005E317F">
        <w:rPr>
          <w:b w:val="0"/>
          <w:noProof/>
          <w:sz w:val="20"/>
        </w:rPr>
      </w:r>
      <w:r w:rsidR="005E317F" w:rsidRPr="005E317F">
        <w:rPr>
          <w:b w:val="0"/>
          <w:noProof/>
          <w:sz w:val="20"/>
        </w:rPr>
        <w:fldChar w:fldCharType="separate"/>
      </w:r>
      <w:r w:rsidR="00283C10">
        <w:rPr>
          <w:b w:val="0"/>
          <w:noProof/>
          <w:sz w:val="20"/>
        </w:rPr>
        <w:t>2</w:t>
      </w:r>
      <w:r w:rsidR="005E317F" w:rsidRPr="005E317F">
        <w:rPr>
          <w:b w:val="0"/>
          <w:noProof/>
          <w:sz w:val="20"/>
        </w:rPr>
        <w:fldChar w:fldCharType="end"/>
      </w:r>
    </w:p>
    <w:p w14:paraId="6C498A84" w14:textId="77777777" w:rsidR="001F57E4" w:rsidRDefault="001F57E4" w:rsidP="00E54ECD">
      <w:pPr>
        <w:pStyle w:val="TOC9"/>
        <w:rPr>
          <w:i w:val="0"/>
          <w:noProof/>
        </w:rPr>
      </w:pPr>
      <w:r>
        <w:rPr>
          <w:noProof/>
        </w:rPr>
        <w:t xml:space="preserve">Amendments relating </w:t>
      </w:r>
      <w:r w:rsidR="00B5749C">
        <w:rPr>
          <w:noProof/>
        </w:rPr>
        <w:t>to children</w:t>
      </w:r>
      <w:r w:rsidRPr="005E317F">
        <w:rPr>
          <w:i w:val="0"/>
          <w:noProof/>
        </w:rPr>
        <w:tab/>
      </w:r>
      <w:r>
        <w:rPr>
          <w:i w:val="0"/>
          <w:noProof/>
        </w:rPr>
        <w:t>2</w:t>
      </w:r>
    </w:p>
    <w:p w14:paraId="6C498A85" w14:textId="77777777" w:rsidR="00E54ECD" w:rsidRPr="00E54ECD" w:rsidRDefault="00E54ECD" w:rsidP="00E54ECD">
      <w:pPr>
        <w:ind w:left="851" w:right="-51"/>
        <w:rPr>
          <w:sz w:val="20"/>
          <w:lang w:eastAsia="en-AU"/>
        </w:rPr>
      </w:pPr>
      <w:r>
        <w:rPr>
          <w:i/>
          <w:sz w:val="20"/>
          <w:lang w:eastAsia="en-AU"/>
        </w:rPr>
        <w:t>Application and Transitional items</w:t>
      </w:r>
      <w:r>
        <w:rPr>
          <w:i/>
          <w:sz w:val="20"/>
          <w:lang w:eastAsia="en-AU"/>
        </w:rPr>
        <w:tab/>
      </w:r>
      <w:r>
        <w:rPr>
          <w:i/>
          <w:sz w:val="20"/>
          <w:lang w:eastAsia="en-AU"/>
        </w:rPr>
        <w:tab/>
      </w:r>
      <w:r>
        <w:rPr>
          <w:i/>
          <w:sz w:val="20"/>
          <w:lang w:eastAsia="en-AU"/>
        </w:rPr>
        <w:tab/>
      </w:r>
      <w:r>
        <w:rPr>
          <w:i/>
          <w:sz w:val="20"/>
          <w:lang w:eastAsia="en-AU"/>
        </w:rPr>
        <w:tab/>
      </w:r>
      <w:r>
        <w:rPr>
          <w:i/>
          <w:sz w:val="20"/>
          <w:lang w:eastAsia="en-AU"/>
        </w:rPr>
        <w:tab/>
      </w:r>
      <w:r>
        <w:rPr>
          <w:i/>
          <w:sz w:val="20"/>
          <w:lang w:eastAsia="en-AU"/>
        </w:rPr>
        <w:tab/>
      </w:r>
      <w:r>
        <w:rPr>
          <w:sz w:val="20"/>
          <w:lang w:eastAsia="en-AU"/>
        </w:rPr>
        <w:t xml:space="preserve">     </w:t>
      </w:r>
      <w:r w:rsidRPr="00E54ECD">
        <w:rPr>
          <w:sz w:val="20"/>
          <w:lang w:eastAsia="en-AU"/>
        </w:rPr>
        <w:t>2</w:t>
      </w:r>
    </w:p>
    <w:p w14:paraId="6C498A86" w14:textId="77777777" w:rsidR="00E54ECD" w:rsidRPr="00E54ECD" w:rsidRDefault="00E54ECD" w:rsidP="00E54ECD">
      <w:pPr>
        <w:ind w:left="851"/>
        <w:rPr>
          <w:lang w:eastAsia="en-AU"/>
        </w:rPr>
      </w:pPr>
    </w:p>
    <w:p w14:paraId="6C498A87" w14:textId="77777777" w:rsidR="00E54ECD" w:rsidRPr="00E54ECD" w:rsidRDefault="00E54ECD" w:rsidP="00E54ECD">
      <w:pPr>
        <w:ind w:left="851"/>
        <w:rPr>
          <w:lang w:eastAsia="en-AU"/>
        </w:rPr>
      </w:pPr>
    </w:p>
    <w:p w14:paraId="6C498A88" w14:textId="77777777" w:rsidR="00FD3F37" w:rsidRPr="00F550E2" w:rsidRDefault="00FD3F37" w:rsidP="00F550E2">
      <w:pPr>
        <w:pStyle w:val="TOC9"/>
        <w:tabs>
          <w:tab w:val="left" w:pos="1701"/>
        </w:tabs>
        <w:rPr>
          <w:i w:val="0"/>
          <w:noProof/>
        </w:rPr>
      </w:pPr>
    </w:p>
    <w:p w14:paraId="6C498A89" w14:textId="77777777" w:rsidR="001F57E4" w:rsidRPr="001F57E4" w:rsidRDefault="001F57E4" w:rsidP="001F57E4">
      <w:pPr>
        <w:rPr>
          <w:noProof/>
          <w:lang w:val="en-US" w:eastAsia="en-AU"/>
        </w:rPr>
      </w:pPr>
    </w:p>
    <w:p w14:paraId="6C498A8A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C498A8B" w14:textId="77777777" w:rsidR="00B20990" w:rsidRDefault="00B20990" w:rsidP="00B20990"/>
    <w:p w14:paraId="6C498A8C" w14:textId="77777777" w:rsidR="00B20990" w:rsidRDefault="00B20990" w:rsidP="00B20990">
      <w:pPr>
        <w:sectPr w:rsidR="00B20990" w:rsidSect="00E54EC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 w:code="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C498A8D" w14:textId="77777777"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6C498A8E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5B401B">
        <w:rPr>
          <w:i/>
        </w:rPr>
        <w:t>Superannuation</w:t>
      </w:r>
      <w:r w:rsidR="000739BA">
        <w:rPr>
          <w:i/>
        </w:rPr>
        <w:t xml:space="preserve"> Amendment (PSS Trust Deed) Instrument 2019</w:t>
      </w:r>
      <w:r w:rsidRPr="009C2562">
        <w:t>.</w:t>
      </w:r>
    </w:p>
    <w:p w14:paraId="6C498A8F" w14:textId="77777777" w:rsidR="005E317F" w:rsidRDefault="005E317F" w:rsidP="005E317F">
      <w:pPr>
        <w:pStyle w:val="ActHead5"/>
      </w:pPr>
      <w:bookmarkStart w:id="4" w:name="_Toc478567688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6C498A90" w14:textId="77777777" w:rsidR="003509D0" w:rsidRDefault="003509D0" w:rsidP="003509D0">
      <w:pPr>
        <w:pStyle w:val="subsection"/>
        <w:numPr>
          <w:ilvl w:val="0"/>
          <w:numId w:val="22"/>
        </w:numPr>
      </w:pPr>
      <w: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C498A91" w14:textId="77777777" w:rsidR="003509D0" w:rsidRDefault="003509D0" w:rsidP="00D94349">
      <w:pPr>
        <w:pStyle w:val="subsection"/>
      </w:pPr>
    </w:p>
    <w:tbl>
      <w:tblPr>
        <w:tblStyle w:val="TableGrid"/>
        <w:tblW w:w="0" w:type="auto"/>
        <w:tblInd w:w="1381" w:type="dxa"/>
        <w:tblLook w:val="04A0" w:firstRow="1" w:lastRow="0" w:firstColumn="1" w:lastColumn="0" w:noHBand="0" w:noVBand="1"/>
      </w:tblPr>
      <w:tblGrid>
        <w:gridCol w:w="2588"/>
        <w:gridCol w:w="2280"/>
        <w:gridCol w:w="2280"/>
      </w:tblGrid>
      <w:tr w:rsidR="003509D0" w14:paraId="6C498A93" w14:textId="77777777" w:rsidTr="00041955">
        <w:tc>
          <w:tcPr>
            <w:tcW w:w="7148" w:type="dxa"/>
            <w:gridSpan w:val="3"/>
          </w:tcPr>
          <w:p w14:paraId="6C498A92" w14:textId="77777777" w:rsidR="003509D0" w:rsidRPr="00E46022" w:rsidRDefault="003509D0" w:rsidP="00041955">
            <w:pPr>
              <w:pStyle w:val="subsection"/>
              <w:ind w:left="0" w:firstLine="0"/>
              <w:rPr>
                <w:b/>
              </w:rPr>
            </w:pPr>
            <w:r w:rsidRPr="00E46022">
              <w:rPr>
                <w:b/>
              </w:rPr>
              <w:t>Commencement information</w:t>
            </w:r>
          </w:p>
        </w:tc>
      </w:tr>
      <w:tr w:rsidR="003509D0" w14:paraId="6C498A97" w14:textId="77777777" w:rsidTr="00041955">
        <w:tc>
          <w:tcPr>
            <w:tcW w:w="2588" w:type="dxa"/>
          </w:tcPr>
          <w:p w14:paraId="6C498A94" w14:textId="77777777" w:rsidR="003509D0" w:rsidRPr="00E46022" w:rsidRDefault="003509D0" w:rsidP="00041955">
            <w:pPr>
              <w:pStyle w:val="subsection"/>
              <w:ind w:left="0" w:firstLine="0"/>
              <w:rPr>
                <w:b/>
              </w:rPr>
            </w:pPr>
            <w:r w:rsidRPr="00E46022">
              <w:rPr>
                <w:b/>
              </w:rPr>
              <w:t>Column 1</w:t>
            </w:r>
          </w:p>
        </w:tc>
        <w:tc>
          <w:tcPr>
            <w:tcW w:w="2280" w:type="dxa"/>
          </w:tcPr>
          <w:p w14:paraId="6C498A95" w14:textId="77777777" w:rsidR="003509D0" w:rsidRPr="00E46022" w:rsidRDefault="003509D0" w:rsidP="00041955">
            <w:pPr>
              <w:pStyle w:val="subsection"/>
              <w:ind w:left="0" w:firstLine="0"/>
              <w:rPr>
                <w:b/>
              </w:rPr>
            </w:pPr>
            <w:r w:rsidRPr="00E46022">
              <w:rPr>
                <w:b/>
              </w:rPr>
              <w:t>Column 2</w:t>
            </w:r>
          </w:p>
        </w:tc>
        <w:tc>
          <w:tcPr>
            <w:tcW w:w="2280" w:type="dxa"/>
          </w:tcPr>
          <w:p w14:paraId="6C498A96" w14:textId="77777777" w:rsidR="003509D0" w:rsidRPr="00E46022" w:rsidRDefault="003509D0" w:rsidP="00041955">
            <w:pPr>
              <w:pStyle w:val="subsection"/>
              <w:ind w:left="0" w:firstLine="0"/>
              <w:rPr>
                <w:b/>
              </w:rPr>
            </w:pPr>
            <w:r w:rsidRPr="00E46022">
              <w:rPr>
                <w:b/>
              </w:rPr>
              <w:t>Column 3</w:t>
            </w:r>
          </w:p>
        </w:tc>
      </w:tr>
      <w:tr w:rsidR="003509D0" w14:paraId="6C498A9B" w14:textId="77777777" w:rsidTr="00041955">
        <w:tc>
          <w:tcPr>
            <w:tcW w:w="2588" w:type="dxa"/>
          </w:tcPr>
          <w:p w14:paraId="6C498A98" w14:textId="77777777" w:rsidR="003509D0" w:rsidRPr="00E46022" w:rsidRDefault="003509D0" w:rsidP="00041955">
            <w:pPr>
              <w:pStyle w:val="subsection"/>
              <w:ind w:left="0" w:firstLine="0"/>
              <w:rPr>
                <w:b/>
              </w:rPr>
            </w:pPr>
            <w:r w:rsidRPr="00E46022">
              <w:rPr>
                <w:b/>
              </w:rPr>
              <w:t>Provisions</w:t>
            </w:r>
          </w:p>
        </w:tc>
        <w:tc>
          <w:tcPr>
            <w:tcW w:w="2280" w:type="dxa"/>
          </w:tcPr>
          <w:p w14:paraId="6C498A99" w14:textId="77777777" w:rsidR="003509D0" w:rsidRPr="00E46022" w:rsidRDefault="003509D0" w:rsidP="00041955">
            <w:pPr>
              <w:pStyle w:val="subsection"/>
              <w:ind w:left="0" w:firstLine="0"/>
              <w:rPr>
                <w:b/>
              </w:rPr>
            </w:pPr>
            <w:r w:rsidRPr="00E46022">
              <w:rPr>
                <w:b/>
              </w:rPr>
              <w:t>Commencement</w:t>
            </w:r>
          </w:p>
        </w:tc>
        <w:tc>
          <w:tcPr>
            <w:tcW w:w="2280" w:type="dxa"/>
          </w:tcPr>
          <w:p w14:paraId="6C498A9A" w14:textId="77777777" w:rsidR="003509D0" w:rsidRPr="00E46022" w:rsidRDefault="003509D0" w:rsidP="00041955">
            <w:pPr>
              <w:pStyle w:val="subsection"/>
              <w:ind w:left="0" w:firstLine="0"/>
              <w:rPr>
                <w:b/>
              </w:rPr>
            </w:pPr>
            <w:r w:rsidRPr="00E46022">
              <w:rPr>
                <w:b/>
              </w:rPr>
              <w:t>Date/Details</w:t>
            </w:r>
          </w:p>
        </w:tc>
      </w:tr>
      <w:tr w:rsidR="003509D0" w14:paraId="6C498A9F" w14:textId="77777777" w:rsidTr="00041955">
        <w:tc>
          <w:tcPr>
            <w:tcW w:w="2588" w:type="dxa"/>
          </w:tcPr>
          <w:p w14:paraId="6C498A9C" w14:textId="77777777" w:rsidR="003509D0" w:rsidRDefault="003509D0" w:rsidP="003509D0">
            <w:pPr>
              <w:pStyle w:val="subsection"/>
              <w:numPr>
                <w:ilvl w:val="0"/>
                <w:numId w:val="21"/>
              </w:numPr>
              <w:tabs>
                <w:tab w:val="clear" w:pos="1021"/>
                <w:tab w:val="right" w:pos="604"/>
              </w:tabs>
              <w:ind w:left="604" w:hanging="244"/>
            </w:pPr>
            <w:r>
              <w:t>Sections 1 to 4 and anything in this instrument not elsewhere covered by this table</w:t>
            </w:r>
          </w:p>
        </w:tc>
        <w:tc>
          <w:tcPr>
            <w:tcW w:w="2280" w:type="dxa"/>
          </w:tcPr>
          <w:p w14:paraId="6C498A9D" w14:textId="77777777" w:rsidR="003509D0" w:rsidRDefault="003509D0" w:rsidP="00041955">
            <w:pPr>
              <w:pStyle w:val="subsection"/>
              <w:ind w:left="0" w:firstLine="0"/>
            </w:pPr>
            <w:r>
              <w:t xml:space="preserve">The day after this instrument is registered on the </w:t>
            </w:r>
            <w:r w:rsidRPr="00276618">
              <w:t>Federal Register of Legislation</w:t>
            </w:r>
          </w:p>
        </w:tc>
        <w:tc>
          <w:tcPr>
            <w:tcW w:w="2280" w:type="dxa"/>
          </w:tcPr>
          <w:p w14:paraId="6C498A9E" w14:textId="77777777" w:rsidR="003509D0" w:rsidRDefault="003509D0" w:rsidP="00041955">
            <w:pPr>
              <w:pStyle w:val="subsection"/>
              <w:ind w:left="0" w:firstLine="0"/>
            </w:pPr>
          </w:p>
        </w:tc>
      </w:tr>
      <w:tr w:rsidR="003509D0" w14:paraId="6C498AA3" w14:textId="77777777" w:rsidTr="00041955">
        <w:tc>
          <w:tcPr>
            <w:tcW w:w="2588" w:type="dxa"/>
          </w:tcPr>
          <w:p w14:paraId="6C498AA0" w14:textId="77777777" w:rsidR="003509D0" w:rsidRDefault="00635F9F" w:rsidP="002837DF">
            <w:pPr>
              <w:pStyle w:val="subsection"/>
              <w:numPr>
                <w:ilvl w:val="0"/>
                <w:numId w:val="21"/>
              </w:numPr>
              <w:ind w:left="605" w:hanging="245"/>
            </w:pPr>
            <w:r>
              <w:t>I</w:t>
            </w:r>
            <w:r w:rsidR="00D4308D">
              <w:t>tems 1, 2 and 4</w:t>
            </w:r>
            <w:r w:rsidR="004B7987">
              <w:t xml:space="preserve"> in</w:t>
            </w:r>
            <w:r w:rsidR="005C749D">
              <w:t xml:space="preserve"> </w:t>
            </w:r>
            <w:r w:rsidR="00B32578">
              <w:t>the Schedule to this instrument</w:t>
            </w:r>
          </w:p>
        </w:tc>
        <w:tc>
          <w:tcPr>
            <w:tcW w:w="2280" w:type="dxa"/>
          </w:tcPr>
          <w:p w14:paraId="6C498AA1" w14:textId="77777777" w:rsidR="003509D0" w:rsidRDefault="00E41D17" w:rsidP="00041955">
            <w:pPr>
              <w:pStyle w:val="subsection"/>
              <w:ind w:left="0" w:firstLine="0"/>
            </w:pPr>
            <w:r>
              <w:t>1 January 2020</w:t>
            </w:r>
          </w:p>
        </w:tc>
        <w:tc>
          <w:tcPr>
            <w:tcW w:w="2280" w:type="dxa"/>
          </w:tcPr>
          <w:p w14:paraId="6C498AA2" w14:textId="77777777" w:rsidR="003509D0" w:rsidRDefault="003509D0" w:rsidP="00041955">
            <w:pPr>
              <w:pStyle w:val="subsection"/>
              <w:ind w:left="0" w:firstLine="0"/>
            </w:pPr>
          </w:p>
        </w:tc>
      </w:tr>
      <w:tr w:rsidR="005C749D" w14:paraId="6C498AA7" w14:textId="77777777" w:rsidTr="00041955">
        <w:tc>
          <w:tcPr>
            <w:tcW w:w="2588" w:type="dxa"/>
          </w:tcPr>
          <w:p w14:paraId="6C498AA4" w14:textId="77777777" w:rsidR="005C749D" w:rsidRDefault="00635F9F" w:rsidP="00635F9F">
            <w:pPr>
              <w:pStyle w:val="subsection"/>
              <w:numPr>
                <w:ilvl w:val="0"/>
                <w:numId w:val="21"/>
              </w:numPr>
              <w:ind w:left="605" w:right="-70" w:hanging="245"/>
            </w:pPr>
            <w:r>
              <w:t>I</w:t>
            </w:r>
            <w:r w:rsidR="00D4308D">
              <w:t>tem 3</w:t>
            </w:r>
            <w:r w:rsidR="004B7987">
              <w:t xml:space="preserve"> in</w:t>
            </w:r>
            <w:r>
              <w:t xml:space="preserve"> </w:t>
            </w:r>
            <w:r w:rsidR="00B32578">
              <w:t xml:space="preserve">the </w:t>
            </w:r>
            <w:r w:rsidR="005C749D">
              <w:t>S</w:t>
            </w:r>
            <w:r w:rsidR="00B32578">
              <w:t>chedule to this instrument</w:t>
            </w:r>
          </w:p>
        </w:tc>
        <w:tc>
          <w:tcPr>
            <w:tcW w:w="2280" w:type="dxa"/>
          </w:tcPr>
          <w:p w14:paraId="6C498AA5" w14:textId="77777777" w:rsidR="00635F9F" w:rsidRDefault="005C749D" w:rsidP="00041955">
            <w:pPr>
              <w:pStyle w:val="subsection"/>
              <w:ind w:left="0" w:firstLine="0"/>
            </w:pPr>
            <w:r>
              <w:t xml:space="preserve">The day after this instrument is registered on the </w:t>
            </w:r>
            <w:r w:rsidRPr="00276618">
              <w:t>Federal Register of Legislation</w:t>
            </w:r>
            <w:r w:rsidR="00635F9F">
              <w:br/>
            </w:r>
          </w:p>
        </w:tc>
        <w:tc>
          <w:tcPr>
            <w:tcW w:w="2280" w:type="dxa"/>
          </w:tcPr>
          <w:p w14:paraId="6C498AA6" w14:textId="77777777" w:rsidR="005C749D" w:rsidRDefault="005C749D" w:rsidP="00041955">
            <w:pPr>
              <w:pStyle w:val="subsection"/>
              <w:ind w:left="0" w:firstLine="0"/>
            </w:pPr>
          </w:p>
        </w:tc>
      </w:tr>
    </w:tbl>
    <w:p w14:paraId="6C498AA8" w14:textId="77777777" w:rsidR="003509D0" w:rsidRPr="00D94349" w:rsidRDefault="003509D0" w:rsidP="00DA4D2C">
      <w:pPr>
        <w:pStyle w:val="subsection"/>
        <w:numPr>
          <w:ilvl w:val="0"/>
          <w:numId w:val="22"/>
        </w:numPr>
      </w:pPr>
      <w:r>
        <w:t>Any information in column 3 of this instrument is not part of this instrument. Information may be inserted in this column, or information in it may be edited, in any published version of this instrument.</w:t>
      </w:r>
    </w:p>
    <w:p w14:paraId="6C498AA9" w14:textId="77777777" w:rsidR="003509D0" w:rsidRPr="003509D0" w:rsidRDefault="005E317F" w:rsidP="003509D0">
      <w:pPr>
        <w:pStyle w:val="ActHead5"/>
      </w:pPr>
      <w:bookmarkStart w:id="5" w:name="_Toc478567689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6C498AAA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50998">
        <w:t>s</w:t>
      </w:r>
      <w:r w:rsidR="000739BA">
        <w:t xml:space="preserve">ection 5 of the </w:t>
      </w:r>
      <w:r w:rsidR="000739BA" w:rsidRPr="000739BA">
        <w:rPr>
          <w:i/>
        </w:rPr>
        <w:t>Superannuation Act 1990</w:t>
      </w:r>
      <w:r w:rsidRPr="009C2562">
        <w:t>.</w:t>
      </w:r>
    </w:p>
    <w:p w14:paraId="6C498AAB" w14:textId="77777777" w:rsidR="005E317F" w:rsidRPr="006065DA" w:rsidRDefault="005E317F" w:rsidP="005E317F">
      <w:pPr>
        <w:pStyle w:val="ActHead5"/>
      </w:pPr>
      <w:bookmarkStart w:id="6" w:name="_Toc478567690"/>
      <w:r w:rsidRPr="006065DA">
        <w:t>4  Schedules</w:t>
      </w:r>
      <w:bookmarkEnd w:id="6"/>
    </w:p>
    <w:p w14:paraId="6C498AAC" w14:textId="77777777" w:rsidR="005E317F" w:rsidRDefault="005E317F" w:rsidP="005E317F">
      <w:pPr>
        <w:pStyle w:val="subsection"/>
      </w:pPr>
      <w:r w:rsidRPr="006065DA">
        <w:tab/>
      </w:r>
      <w:r w:rsidRPr="006065DA">
        <w:tab/>
      </w:r>
      <w:r w:rsidRPr="008D3A3A">
        <w:t>Each i</w:t>
      </w:r>
      <w:r w:rsidR="008D3A3A" w:rsidRPr="008D3A3A">
        <w:t>nstrument that is specified in the</w:t>
      </w:r>
      <w:r w:rsidRPr="008D3A3A">
        <w:t xml:space="preserve"> Schedule to this instrument is amended or repealed as set out in the applicable items in the Schedule</w:t>
      </w:r>
      <w:r w:rsidR="008D3A3A">
        <w:t>,</w:t>
      </w:r>
      <w:r w:rsidRPr="008D3A3A">
        <w:t xml:space="preserve"> </w:t>
      </w:r>
      <w:r w:rsidR="008D3A3A" w:rsidRPr="008D3A3A">
        <w:t>and any other item in the</w:t>
      </w:r>
      <w:r w:rsidRPr="008D3A3A">
        <w:t xml:space="preserve"> Schedule to this instrument has effect according to its terms.</w:t>
      </w:r>
    </w:p>
    <w:p w14:paraId="6C498AAD" w14:textId="77777777" w:rsidR="005E317F" w:rsidRDefault="005E317F" w:rsidP="005E317F">
      <w:pPr>
        <w:pStyle w:val="ActHead6"/>
        <w:pageBreakBefore/>
        <w:rPr>
          <w:rStyle w:val="CharAmSchText"/>
        </w:rPr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bookmarkEnd w:id="7"/>
      <w:r w:rsidR="00E771E9">
        <w:rPr>
          <w:rStyle w:val="CharAmSchText"/>
        </w:rPr>
        <w:t>Amendment of the P</w:t>
      </w:r>
      <w:r w:rsidR="00E54ECD">
        <w:rPr>
          <w:rStyle w:val="CharAmSchText"/>
        </w:rPr>
        <w:t xml:space="preserve">ublic Sector </w:t>
      </w:r>
      <w:r w:rsidR="00E771E9">
        <w:rPr>
          <w:rStyle w:val="CharAmSchText"/>
        </w:rPr>
        <w:t>S</w:t>
      </w:r>
      <w:r w:rsidR="00E54ECD">
        <w:rPr>
          <w:rStyle w:val="CharAmSchText"/>
        </w:rPr>
        <w:t xml:space="preserve">uperannuation </w:t>
      </w:r>
      <w:r w:rsidR="00E771E9">
        <w:rPr>
          <w:rStyle w:val="CharAmSchText"/>
        </w:rPr>
        <w:t>S</w:t>
      </w:r>
      <w:r w:rsidR="00E54ECD">
        <w:rPr>
          <w:rStyle w:val="CharAmSchText"/>
        </w:rPr>
        <w:t>cheme</w:t>
      </w:r>
      <w:r w:rsidR="00E771E9">
        <w:rPr>
          <w:rStyle w:val="CharAmSchText"/>
        </w:rPr>
        <w:t xml:space="preserve"> Trust Deed</w:t>
      </w:r>
    </w:p>
    <w:p w14:paraId="6C498AAE" w14:textId="77777777" w:rsidR="001B40F0" w:rsidRPr="001B40F0" w:rsidRDefault="001B40F0" w:rsidP="001B40F0">
      <w:pPr>
        <w:pStyle w:val="ActHead7"/>
      </w:pPr>
      <w:r w:rsidRPr="00853BB2">
        <w:t>Amendments relating to children</w:t>
      </w:r>
    </w:p>
    <w:p w14:paraId="6C498AAF" w14:textId="77777777" w:rsidR="005E317F" w:rsidRPr="00E40432" w:rsidRDefault="005E317F" w:rsidP="005E317F">
      <w:pPr>
        <w:pStyle w:val="ItemHead"/>
      </w:pPr>
      <w:r w:rsidRPr="00E40432">
        <w:t xml:space="preserve">1  </w:t>
      </w:r>
      <w:r w:rsidR="0052759B">
        <w:t>Rule</w:t>
      </w:r>
      <w:r w:rsidR="005D1F7A">
        <w:t xml:space="preserve"> 1.2.1 Definition of </w:t>
      </w:r>
      <w:r w:rsidR="005D1F7A" w:rsidRPr="005D1F7A">
        <w:rPr>
          <w:i/>
        </w:rPr>
        <w:t>eligible child</w:t>
      </w:r>
      <w:r w:rsidR="00A4465A" w:rsidRPr="00E40432">
        <w:t xml:space="preserve"> </w:t>
      </w:r>
    </w:p>
    <w:p w14:paraId="6C498AB0" w14:textId="77777777" w:rsidR="003851A7" w:rsidRPr="00A74A49" w:rsidRDefault="005D1F7A" w:rsidP="00943366">
      <w:pPr>
        <w:pStyle w:val="Item"/>
        <w:rPr>
          <w:szCs w:val="22"/>
        </w:rPr>
      </w:pPr>
      <w:r w:rsidRPr="00A74A49">
        <w:rPr>
          <w:szCs w:val="22"/>
        </w:rPr>
        <w:t>Omit</w:t>
      </w:r>
      <w:r w:rsidR="00EE1742" w:rsidRPr="00A74A49">
        <w:rPr>
          <w:szCs w:val="22"/>
        </w:rPr>
        <w:t>:</w:t>
      </w:r>
      <w:r w:rsidR="003851A7" w:rsidRPr="00A74A49">
        <w:rPr>
          <w:szCs w:val="22"/>
        </w:rPr>
        <w:tab/>
      </w:r>
    </w:p>
    <w:p w14:paraId="6C498AB1" w14:textId="77777777" w:rsidR="005D1F7A" w:rsidRPr="00A74A49" w:rsidRDefault="00FB46FD" w:rsidP="00451C54">
      <w:pPr>
        <w:pStyle w:val="Item"/>
        <w:numPr>
          <w:ilvl w:val="0"/>
          <w:numId w:val="15"/>
        </w:numPr>
        <w:tabs>
          <w:tab w:val="left" w:pos="1072"/>
        </w:tabs>
        <w:spacing w:before="0" w:after="120"/>
        <w:ind w:hanging="357"/>
        <w:rPr>
          <w:szCs w:val="22"/>
        </w:rPr>
      </w:pPr>
      <w:r w:rsidRPr="00A74A49">
        <w:rPr>
          <w:szCs w:val="22"/>
        </w:rPr>
        <w:t>has not reached age 16; or</w:t>
      </w:r>
    </w:p>
    <w:p w14:paraId="6C498AB2" w14:textId="77777777" w:rsidR="00FB46FD" w:rsidRPr="00A74A49" w:rsidRDefault="00FB46FD" w:rsidP="0049233F">
      <w:pPr>
        <w:pStyle w:val="ItemHead"/>
        <w:numPr>
          <w:ilvl w:val="0"/>
          <w:numId w:val="15"/>
        </w:numPr>
        <w:spacing w:before="0" w:after="120"/>
        <w:ind w:hanging="357"/>
        <w:rPr>
          <w:rFonts w:ascii="Times New Roman" w:hAnsi="Times New Roman"/>
          <w:b w:val="0"/>
          <w:sz w:val="22"/>
          <w:szCs w:val="22"/>
        </w:rPr>
      </w:pPr>
      <w:r w:rsidRPr="00A74A49">
        <w:rPr>
          <w:rFonts w:ascii="Times New Roman" w:hAnsi="Times New Roman"/>
          <w:b w:val="0"/>
          <w:sz w:val="22"/>
          <w:szCs w:val="22"/>
        </w:rPr>
        <w:t xml:space="preserve">is age 16 or more but less than </w:t>
      </w:r>
      <w:r w:rsidR="00F44F30">
        <w:rPr>
          <w:rFonts w:ascii="Times New Roman" w:hAnsi="Times New Roman"/>
          <w:b w:val="0"/>
          <w:sz w:val="22"/>
          <w:szCs w:val="22"/>
        </w:rPr>
        <w:t xml:space="preserve">age </w:t>
      </w:r>
      <w:r w:rsidRPr="00A74A49">
        <w:rPr>
          <w:rFonts w:ascii="Times New Roman" w:hAnsi="Times New Roman"/>
          <w:b w:val="0"/>
          <w:sz w:val="22"/>
          <w:szCs w:val="22"/>
        </w:rPr>
        <w:t>25 and:</w:t>
      </w:r>
    </w:p>
    <w:p w14:paraId="6C498AB3" w14:textId="77777777" w:rsidR="00FB46FD" w:rsidRPr="00A74A49" w:rsidRDefault="00FB46FD" w:rsidP="0049233F">
      <w:pPr>
        <w:pStyle w:val="Item"/>
        <w:numPr>
          <w:ilvl w:val="0"/>
          <w:numId w:val="16"/>
        </w:numPr>
        <w:spacing w:before="0" w:after="120"/>
        <w:ind w:hanging="357"/>
        <w:rPr>
          <w:szCs w:val="22"/>
        </w:rPr>
      </w:pPr>
      <w:r w:rsidRPr="00A74A49">
        <w:rPr>
          <w:szCs w:val="22"/>
        </w:rPr>
        <w:t xml:space="preserve">is receiving full-time education at a school, college or university; and </w:t>
      </w:r>
    </w:p>
    <w:p w14:paraId="6C498AB4" w14:textId="77777777" w:rsidR="005D1F7A" w:rsidRPr="0049233F" w:rsidRDefault="00FB46FD" w:rsidP="0049233F">
      <w:pPr>
        <w:pStyle w:val="Item"/>
        <w:numPr>
          <w:ilvl w:val="0"/>
          <w:numId w:val="16"/>
        </w:numPr>
        <w:spacing w:before="0" w:after="120"/>
        <w:ind w:hanging="357"/>
        <w:rPr>
          <w:szCs w:val="22"/>
        </w:rPr>
      </w:pPr>
      <w:r w:rsidRPr="00A74A49">
        <w:rPr>
          <w:szCs w:val="22"/>
        </w:rPr>
        <w:t>is not ordinarily</w:t>
      </w:r>
      <w:r w:rsidR="00F40F35">
        <w:rPr>
          <w:szCs w:val="22"/>
        </w:rPr>
        <w:t xml:space="preserve"> employed or self-employed;</w:t>
      </w:r>
    </w:p>
    <w:p w14:paraId="6C498AB5" w14:textId="77777777" w:rsidR="00D5068D" w:rsidRDefault="00A4465A" w:rsidP="00A4465A">
      <w:pPr>
        <w:pStyle w:val="Item"/>
        <w:rPr>
          <w:szCs w:val="22"/>
        </w:rPr>
      </w:pPr>
      <w:r w:rsidRPr="00A74A49">
        <w:rPr>
          <w:szCs w:val="22"/>
        </w:rPr>
        <w:t>substitute:</w:t>
      </w:r>
      <w:r w:rsidR="00EE1742" w:rsidRPr="00A74A49">
        <w:rPr>
          <w:szCs w:val="22"/>
        </w:rPr>
        <w:t xml:space="preserve"> </w:t>
      </w:r>
    </w:p>
    <w:p w14:paraId="6C498AB6" w14:textId="77777777" w:rsidR="00FB46FD" w:rsidRPr="00A74A49" w:rsidRDefault="00D5068D" w:rsidP="0049233F">
      <w:pPr>
        <w:pStyle w:val="Item"/>
        <w:numPr>
          <w:ilvl w:val="0"/>
          <w:numId w:val="15"/>
        </w:numPr>
        <w:spacing w:before="0" w:after="120"/>
        <w:ind w:hanging="357"/>
        <w:rPr>
          <w:szCs w:val="22"/>
        </w:rPr>
      </w:pPr>
      <w:r>
        <w:rPr>
          <w:szCs w:val="22"/>
        </w:rPr>
        <w:t>is under the age of 18 years</w:t>
      </w:r>
      <w:r w:rsidR="00FB46FD" w:rsidRPr="00A74A49">
        <w:rPr>
          <w:szCs w:val="22"/>
        </w:rPr>
        <w:t>; or</w:t>
      </w:r>
    </w:p>
    <w:p w14:paraId="6C498AB7" w14:textId="77777777" w:rsidR="00E40432" w:rsidRPr="00A22E77" w:rsidRDefault="00D5068D" w:rsidP="0049233F">
      <w:pPr>
        <w:pStyle w:val="ItemHead"/>
        <w:numPr>
          <w:ilvl w:val="0"/>
          <w:numId w:val="15"/>
        </w:numPr>
        <w:spacing w:before="0" w:after="120"/>
        <w:ind w:hanging="35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has reached the age of 18 years but is under the age of 25 years and is receiving full-time education at a school, college or university</w:t>
      </w:r>
      <w:r w:rsidR="00F40F35">
        <w:rPr>
          <w:rFonts w:ascii="Times New Roman" w:hAnsi="Times New Roman"/>
          <w:b w:val="0"/>
          <w:sz w:val="22"/>
          <w:szCs w:val="22"/>
        </w:rPr>
        <w:t>;</w:t>
      </w:r>
    </w:p>
    <w:p w14:paraId="6C498AB8" w14:textId="77777777" w:rsidR="00855637" w:rsidRDefault="0052759B" w:rsidP="00E13AAA">
      <w:pPr>
        <w:pStyle w:val="ItemHead"/>
        <w:spacing w:after="120"/>
        <w:rPr>
          <w:i/>
        </w:rPr>
      </w:pPr>
      <w:r>
        <w:t>2  Rule</w:t>
      </w:r>
      <w:r w:rsidR="00855637">
        <w:t xml:space="preserve"> 1.2.1 Definition of </w:t>
      </w:r>
      <w:r w:rsidR="00855637" w:rsidRPr="00855637">
        <w:rPr>
          <w:i/>
        </w:rPr>
        <w:t>partially dependent child</w:t>
      </w:r>
    </w:p>
    <w:p w14:paraId="6C498AB9" w14:textId="77777777" w:rsidR="003851A7" w:rsidRPr="00A74A49" w:rsidRDefault="00EE1742" w:rsidP="0049233F">
      <w:pPr>
        <w:pStyle w:val="Item"/>
        <w:spacing w:before="0" w:after="120"/>
        <w:rPr>
          <w:szCs w:val="22"/>
        </w:rPr>
      </w:pPr>
      <w:r w:rsidRPr="00A74A49">
        <w:rPr>
          <w:szCs w:val="22"/>
        </w:rPr>
        <w:t>Omit:</w:t>
      </w:r>
    </w:p>
    <w:p w14:paraId="6C498ABA" w14:textId="77777777" w:rsidR="00855637" w:rsidRPr="00A74A49" w:rsidRDefault="00855637" w:rsidP="0049233F">
      <w:pPr>
        <w:pStyle w:val="Rulebullet"/>
        <w:numPr>
          <w:ilvl w:val="0"/>
          <w:numId w:val="20"/>
        </w:numPr>
        <w:tabs>
          <w:tab w:val="clear" w:pos="3195"/>
          <w:tab w:val="left" w:pos="993"/>
        </w:tabs>
        <w:spacing w:before="0"/>
        <w:ind w:left="1418" w:hanging="425"/>
        <w:rPr>
          <w:sz w:val="22"/>
          <w:szCs w:val="22"/>
        </w:rPr>
      </w:pPr>
      <w:r w:rsidRPr="00A74A49">
        <w:rPr>
          <w:sz w:val="22"/>
          <w:szCs w:val="22"/>
        </w:rPr>
        <w:t xml:space="preserve">is not an </w:t>
      </w:r>
      <w:r w:rsidRPr="00A74A49">
        <w:rPr>
          <w:b/>
          <w:sz w:val="22"/>
          <w:szCs w:val="22"/>
        </w:rPr>
        <w:t>eligible child</w:t>
      </w:r>
      <w:r w:rsidRPr="00A74A49">
        <w:rPr>
          <w:sz w:val="22"/>
          <w:szCs w:val="22"/>
        </w:rPr>
        <w:t xml:space="preserve">; and </w:t>
      </w:r>
    </w:p>
    <w:p w14:paraId="6C498ABB" w14:textId="77777777" w:rsidR="00855637" w:rsidRPr="00A74A49" w:rsidRDefault="00855637" w:rsidP="0049233F">
      <w:pPr>
        <w:pStyle w:val="Rulebullet"/>
        <w:numPr>
          <w:ilvl w:val="0"/>
          <w:numId w:val="20"/>
        </w:numPr>
        <w:tabs>
          <w:tab w:val="clear" w:pos="3195"/>
          <w:tab w:val="num" w:pos="3402"/>
        </w:tabs>
        <w:spacing w:before="0"/>
        <w:ind w:left="1418" w:hanging="425"/>
        <w:rPr>
          <w:sz w:val="22"/>
          <w:szCs w:val="22"/>
        </w:rPr>
      </w:pPr>
      <w:r w:rsidRPr="00A74A49">
        <w:rPr>
          <w:sz w:val="22"/>
          <w:szCs w:val="22"/>
        </w:rPr>
        <w:t xml:space="preserve">is aged less than 16, or is aged 16 or more but less than age 25 and: </w:t>
      </w:r>
    </w:p>
    <w:p w14:paraId="6C498ABC" w14:textId="77777777" w:rsidR="00855637" w:rsidRPr="00A74A49" w:rsidRDefault="00855637" w:rsidP="0049233F">
      <w:pPr>
        <w:pStyle w:val="Ruledash"/>
        <w:numPr>
          <w:ilvl w:val="0"/>
          <w:numId w:val="27"/>
        </w:numPr>
        <w:spacing w:before="0"/>
        <w:rPr>
          <w:sz w:val="22"/>
          <w:szCs w:val="22"/>
        </w:rPr>
      </w:pPr>
      <w:r w:rsidRPr="00A74A49">
        <w:rPr>
          <w:sz w:val="22"/>
          <w:szCs w:val="22"/>
        </w:rPr>
        <w:t>is receiving a full-time education at a school, college or university; and</w:t>
      </w:r>
    </w:p>
    <w:p w14:paraId="6C498ABD" w14:textId="77777777" w:rsidR="00855637" w:rsidRPr="00A74A49" w:rsidRDefault="00855637" w:rsidP="0049233F">
      <w:pPr>
        <w:pStyle w:val="Ruledash"/>
        <w:numPr>
          <w:ilvl w:val="0"/>
          <w:numId w:val="27"/>
        </w:numPr>
        <w:spacing w:before="0"/>
        <w:rPr>
          <w:sz w:val="22"/>
          <w:szCs w:val="22"/>
        </w:rPr>
      </w:pPr>
      <w:r w:rsidRPr="00A74A49">
        <w:rPr>
          <w:sz w:val="22"/>
          <w:szCs w:val="22"/>
        </w:rPr>
        <w:t>is not ordinarily employed or self-employed;</w:t>
      </w:r>
    </w:p>
    <w:p w14:paraId="6C498ABE" w14:textId="77777777" w:rsidR="003851A7" w:rsidRPr="00A74A49" w:rsidRDefault="00817A59" w:rsidP="0049233F">
      <w:pPr>
        <w:pStyle w:val="Ruledash"/>
        <w:numPr>
          <w:ilvl w:val="0"/>
          <w:numId w:val="0"/>
        </w:numPr>
        <w:spacing w:before="0"/>
        <w:ind w:left="1069" w:hanging="360"/>
        <w:rPr>
          <w:sz w:val="22"/>
          <w:szCs w:val="22"/>
        </w:rPr>
      </w:pPr>
      <w:r w:rsidRPr="00A74A49">
        <w:rPr>
          <w:sz w:val="22"/>
          <w:szCs w:val="22"/>
        </w:rPr>
        <w:t>substitute:</w:t>
      </w:r>
    </w:p>
    <w:p w14:paraId="6C498ABF" w14:textId="77777777" w:rsidR="00817A59" w:rsidRPr="00A74A49" w:rsidRDefault="00817A59" w:rsidP="0049233F">
      <w:pPr>
        <w:pStyle w:val="Rulebullet"/>
        <w:numPr>
          <w:ilvl w:val="0"/>
          <w:numId w:val="20"/>
        </w:numPr>
        <w:tabs>
          <w:tab w:val="clear" w:pos="3195"/>
        </w:tabs>
        <w:spacing w:before="0"/>
        <w:ind w:left="1418" w:hanging="425"/>
        <w:rPr>
          <w:sz w:val="22"/>
          <w:szCs w:val="22"/>
        </w:rPr>
      </w:pPr>
      <w:r w:rsidRPr="00A74A49">
        <w:rPr>
          <w:sz w:val="22"/>
          <w:szCs w:val="22"/>
        </w:rPr>
        <w:t xml:space="preserve">is not an </w:t>
      </w:r>
      <w:r w:rsidRPr="00A74A49">
        <w:rPr>
          <w:b/>
          <w:sz w:val="22"/>
          <w:szCs w:val="22"/>
        </w:rPr>
        <w:t>eligible child</w:t>
      </w:r>
      <w:r w:rsidRPr="00A74A49">
        <w:rPr>
          <w:sz w:val="22"/>
          <w:szCs w:val="22"/>
        </w:rPr>
        <w:t xml:space="preserve">; and </w:t>
      </w:r>
    </w:p>
    <w:p w14:paraId="6C498AC0" w14:textId="77777777" w:rsidR="00817A59" w:rsidRPr="00A74A49" w:rsidRDefault="00724064" w:rsidP="0049233F">
      <w:pPr>
        <w:pStyle w:val="Rulebullet"/>
        <w:numPr>
          <w:ilvl w:val="0"/>
          <w:numId w:val="26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is under </w:t>
      </w:r>
      <w:r w:rsidR="00D5068D">
        <w:rPr>
          <w:sz w:val="22"/>
          <w:szCs w:val="22"/>
        </w:rPr>
        <w:t xml:space="preserve">the </w:t>
      </w:r>
      <w:r w:rsidR="00817A59" w:rsidRPr="00A74A49">
        <w:rPr>
          <w:sz w:val="22"/>
          <w:szCs w:val="22"/>
        </w:rPr>
        <w:t>age</w:t>
      </w:r>
      <w:r w:rsidR="00D5068D">
        <w:rPr>
          <w:sz w:val="22"/>
          <w:szCs w:val="22"/>
        </w:rPr>
        <w:t xml:space="preserve"> of</w:t>
      </w:r>
      <w:r w:rsidR="00817A59" w:rsidRPr="00A74A49">
        <w:rPr>
          <w:sz w:val="22"/>
          <w:szCs w:val="22"/>
        </w:rPr>
        <w:t xml:space="preserve"> 18</w:t>
      </w:r>
      <w:r w:rsidR="00D5068D">
        <w:rPr>
          <w:sz w:val="22"/>
          <w:szCs w:val="22"/>
        </w:rPr>
        <w:t xml:space="preserve"> years</w:t>
      </w:r>
      <w:r w:rsidR="00817A59" w:rsidRPr="00A74A49">
        <w:rPr>
          <w:sz w:val="22"/>
          <w:szCs w:val="22"/>
        </w:rPr>
        <w:t xml:space="preserve">; or </w:t>
      </w:r>
    </w:p>
    <w:p w14:paraId="6C498AC1" w14:textId="77777777" w:rsidR="00855637" w:rsidRDefault="00724064" w:rsidP="0049233F">
      <w:pPr>
        <w:pStyle w:val="Rulebullet"/>
        <w:numPr>
          <w:ilvl w:val="0"/>
          <w:numId w:val="26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has reached the age of</w:t>
      </w:r>
      <w:r w:rsidR="00817A59" w:rsidRPr="00A74A49">
        <w:rPr>
          <w:sz w:val="22"/>
          <w:szCs w:val="22"/>
        </w:rPr>
        <w:t xml:space="preserve"> 18 </w:t>
      </w:r>
      <w:r>
        <w:rPr>
          <w:sz w:val="22"/>
          <w:szCs w:val="22"/>
        </w:rPr>
        <w:t xml:space="preserve">years but is under the age of 25 years and is receiving </w:t>
      </w:r>
      <w:r w:rsidR="00817A59" w:rsidRPr="00A74A49">
        <w:rPr>
          <w:sz w:val="22"/>
          <w:szCs w:val="22"/>
        </w:rPr>
        <w:t xml:space="preserve">full-time education at </w:t>
      </w:r>
      <w:r w:rsidR="00B4399D">
        <w:rPr>
          <w:sz w:val="22"/>
          <w:szCs w:val="22"/>
        </w:rPr>
        <w:t xml:space="preserve">a school, college or </w:t>
      </w:r>
      <w:r w:rsidR="009E67E8">
        <w:rPr>
          <w:sz w:val="22"/>
          <w:szCs w:val="22"/>
        </w:rPr>
        <w:t>university;</w:t>
      </w:r>
    </w:p>
    <w:p w14:paraId="6C498AC2" w14:textId="77777777" w:rsidR="00883CDB" w:rsidRPr="00FC1112" w:rsidRDefault="00883CDB" w:rsidP="00FC1112">
      <w:pPr>
        <w:pStyle w:val="ActHead7"/>
      </w:pPr>
      <w:r w:rsidRPr="00853BB2">
        <w:t>A</w:t>
      </w:r>
      <w:r>
        <w:t>pplication and transitional items</w:t>
      </w:r>
    </w:p>
    <w:p w14:paraId="6C498AC3" w14:textId="77777777" w:rsidR="003C7D45" w:rsidRPr="00E13AAA" w:rsidRDefault="005E317F" w:rsidP="00E13AAA">
      <w:pPr>
        <w:pStyle w:val="ItemHead"/>
        <w:spacing w:after="120"/>
      </w:pPr>
      <w:r w:rsidRPr="006605F4">
        <w:t>3</w:t>
      </w:r>
      <w:r w:rsidRPr="00E40432">
        <w:t xml:space="preserve">  </w:t>
      </w:r>
      <w:r w:rsidR="00062879" w:rsidRPr="00E40432">
        <w:t>Application of amendments</w:t>
      </w:r>
    </w:p>
    <w:p w14:paraId="6C498AC4" w14:textId="77777777" w:rsidR="00682A47" w:rsidRPr="00A74A49" w:rsidRDefault="005C643C" w:rsidP="0074254D">
      <w:pPr>
        <w:pStyle w:val="Subitem"/>
        <w:spacing w:before="0" w:after="120"/>
        <w:ind w:left="1418"/>
        <w:rPr>
          <w:szCs w:val="22"/>
        </w:rPr>
      </w:pPr>
      <w:r w:rsidRPr="00A74A49">
        <w:rPr>
          <w:szCs w:val="22"/>
        </w:rPr>
        <w:t>(1)</w:t>
      </w:r>
      <w:r w:rsidRPr="00A74A49">
        <w:rPr>
          <w:szCs w:val="22"/>
        </w:rPr>
        <w:tab/>
      </w:r>
      <w:r w:rsidR="00566033">
        <w:rPr>
          <w:szCs w:val="22"/>
        </w:rPr>
        <w:t>The amendments to</w:t>
      </w:r>
      <w:r w:rsidR="00682A47" w:rsidRPr="00A74A49">
        <w:rPr>
          <w:szCs w:val="22"/>
        </w:rPr>
        <w:t xml:space="preserve"> </w:t>
      </w:r>
      <w:r w:rsidR="00F8736F" w:rsidRPr="00A74A49">
        <w:rPr>
          <w:szCs w:val="22"/>
        </w:rPr>
        <w:t xml:space="preserve">the </w:t>
      </w:r>
      <w:r w:rsidR="00A200BD" w:rsidRPr="00FC1112">
        <w:rPr>
          <w:i/>
          <w:szCs w:val="22"/>
        </w:rPr>
        <w:t>Public Sector Superannuation Trust Deed</w:t>
      </w:r>
      <w:r w:rsidR="00A200BD">
        <w:rPr>
          <w:szCs w:val="22"/>
        </w:rPr>
        <w:t xml:space="preserve"> (the </w:t>
      </w:r>
      <w:r w:rsidR="00F8736F" w:rsidRPr="00FC1112">
        <w:rPr>
          <w:b/>
          <w:i/>
          <w:szCs w:val="22"/>
        </w:rPr>
        <w:t>PSS</w:t>
      </w:r>
      <w:r w:rsidR="00241651" w:rsidRPr="00FC1112">
        <w:rPr>
          <w:b/>
          <w:i/>
          <w:szCs w:val="22"/>
        </w:rPr>
        <w:t xml:space="preserve"> Trust Deed</w:t>
      </w:r>
      <w:r w:rsidR="00A200BD">
        <w:rPr>
          <w:szCs w:val="22"/>
        </w:rPr>
        <w:t>)</w:t>
      </w:r>
      <w:r w:rsidR="00241651" w:rsidRPr="00A74A49">
        <w:rPr>
          <w:szCs w:val="22"/>
        </w:rPr>
        <w:t xml:space="preserve"> </w:t>
      </w:r>
      <w:r w:rsidR="003A24F9">
        <w:rPr>
          <w:szCs w:val="22"/>
        </w:rPr>
        <w:t>made by this Schedule</w:t>
      </w:r>
      <w:r w:rsidR="00682A47" w:rsidRPr="00A74A49">
        <w:rPr>
          <w:szCs w:val="22"/>
        </w:rPr>
        <w:t xml:space="preserve"> apply to a person (the </w:t>
      </w:r>
      <w:r w:rsidR="00682A47" w:rsidRPr="00A74A49">
        <w:rPr>
          <w:b/>
          <w:i/>
          <w:szCs w:val="22"/>
        </w:rPr>
        <w:t>young person</w:t>
      </w:r>
      <w:r w:rsidR="00682A47" w:rsidRPr="00A74A49">
        <w:rPr>
          <w:szCs w:val="22"/>
        </w:rPr>
        <w:t xml:space="preserve">), in relation to paying a benefit </w:t>
      </w:r>
      <w:r w:rsidR="007A53C3">
        <w:rPr>
          <w:szCs w:val="22"/>
        </w:rPr>
        <w:t>in accordance with</w:t>
      </w:r>
      <w:r w:rsidR="00B96824">
        <w:rPr>
          <w:szCs w:val="22"/>
        </w:rPr>
        <w:t xml:space="preserve"> the Rules set out in the PSS Trust Deed (</w:t>
      </w:r>
      <w:r w:rsidR="00682A47" w:rsidRPr="00A74A49">
        <w:rPr>
          <w:szCs w:val="22"/>
        </w:rPr>
        <w:t xml:space="preserve">the </w:t>
      </w:r>
      <w:r w:rsidR="00B96824">
        <w:rPr>
          <w:szCs w:val="22"/>
        </w:rPr>
        <w:t>PSS Rules)</w:t>
      </w:r>
      <w:r w:rsidR="00324E57" w:rsidRPr="00A74A49">
        <w:rPr>
          <w:szCs w:val="22"/>
        </w:rPr>
        <w:t xml:space="preserve"> </w:t>
      </w:r>
      <w:r w:rsidR="00682A47" w:rsidRPr="00A74A49">
        <w:rPr>
          <w:szCs w:val="22"/>
        </w:rPr>
        <w:t>to the extent that the benefit is payable for a day occurring on or after:</w:t>
      </w:r>
    </w:p>
    <w:p w14:paraId="6C498AC5" w14:textId="77777777" w:rsidR="00682A47" w:rsidRPr="00A74A49" w:rsidRDefault="0074254D" w:rsidP="0049233F">
      <w:pPr>
        <w:pStyle w:val="paragraph"/>
        <w:tabs>
          <w:tab w:val="clear" w:pos="1531"/>
          <w:tab w:val="left" w:pos="1985"/>
        </w:tabs>
        <w:spacing w:before="0" w:after="120"/>
        <w:ind w:left="1560" w:hanging="142"/>
        <w:rPr>
          <w:szCs w:val="22"/>
        </w:rPr>
      </w:pPr>
      <w:r>
        <w:rPr>
          <w:szCs w:val="22"/>
        </w:rPr>
        <w:tab/>
        <w:t>(a)</w:t>
      </w:r>
      <w:r>
        <w:rPr>
          <w:szCs w:val="22"/>
        </w:rPr>
        <w:tab/>
        <w:t>1 January 2020</w:t>
      </w:r>
      <w:r w:rsidR="00682A47" w:rsidRPr="00A74A49">
        <w:rPr>
          <w:szCs w:val="22"/>
        </w:rPr>
        <w:t>, if:</w:t>
      </w:r>
    </w:p>
    <w:p w14:paraId="6C498AC6" w14:textId="77777777" w:rsidR="00682A47" w:rsidRPr="00A74A49" w:rsidRDefault="00682A47" w:rsidP="0049233F">
      <w:pPr>
        <w:pStyle w:val="paragraphsub"/>
        <w:tabs>
          <w:tab w:val="clear" w:pos="1985"/>
          <w:tab w:val="left" w:pos="2552"/>
          <w:tab w:val="right" w:pos="2694"/>
        </w:tabs>
        <w:spacing w:before="0" w:after="120"/>
        <w:ind w:left="2545" w:hanging="560"/>
        <w:rPr>
          <w:szCs w:val="22"/>
        </w:rPr>
      </w:pPr>
      <w:r w:rsidRPr="00A74A49">
        <w:rPr>
          <w:szCs w:val="22"/>
        </w:rPr>
        <w:t>(i)</w:t>
      </w:r>
      <w:r w:rsidRPr="00A74A49">
        <w:rPr>
          <w:szCs w:val="22"/>
        </w:rPr>
        <w:tab/>
        <w:t xml:space="preserve">the benefit is payable because of the death of a person that occurred on or after </w:t>
      </w:r>
      <w:r w:rsidR="0074254D">
        <w:rPr>
          <w:szCs w:val="22"/>
        </w:rPr>
        <w:t>1 January 2020</w:t>
      </w:r>
      <w:r w:rsidRPr="00A74A49">
        <w:rPr>
          <w:szCs w:val="22"/>
        </w:rPr>
        <w:t>; or</w:t>
      </w:r>
    </w:p>
    <w:p w14:paraId="6C498AC7" w14:textId="77777777" w:rsidR="00682A47" w:rsidRPr="00A74A49" w:rsidRDefault="00682A47" w:rsidP="0049233F">
      <w:pPr>
        <w:pStyle w:val="paragraphsub"/>
        <w:tabs>
          <w:tab w:val="clear" w:pos="1985"/>
          <w:tab w:val="right" w:pos="2694"/>
        </w:tabs>
        <w:spacing w:before="0" w:after="120"/>
        <w:ind w:left="2552" w:hanging="567"/>
        <w:rPr>
          <w:szCs w:val="22"/>
        </w:rPr>
      </w:pPr>
      <w:r w:rsidRPr="00A74A49">
        <w:rPr>
          <w:szCs w:val="22"/>
        </w:rPr>
        <w:lastRenderedPageBreak/>
        <w:t>(ii)</w:t>
      </w:r>
      <w:r w:rsidRPr="00A74A49">
        <w:rPr>
          <w:szCs w:val="22"/>
        </w:rPr>
        <w:tab/>
      </w:r>
      <w:r w:rsidR="004A5F9D">
        <w:rPr>
          <w:szCs w:val="22"/>
        </w:rPr>
        <w:t>on 31</w:t>
      </w:r>
      <w:r w:rsidR="0074254D">
        <w:rPr>
          <w:szCs w:val="22"/>
        </w:rPr>
        <w:t xml:space="preserve"> December 2019</w:t>
      </w:r>
      <w:r w:rsidRPr="00A74A49">
        <w:rPr>
          <w:szCs w:val="22"/>
        </w:rPr>
        <w:t xml:space="preserve">, a benefit was payable under the </w:t>
      </w:r>
      <w:r w:rsidR="00B96824">
        <w:rPr>
          <w:szCs w:val="22"/>
        </w:rPr>
        <w:t>PSS Rules</w:t>
      </w:r>
      <w:r w:rsidR="00211FB6">
        <w:rPr>
          <w:szCs w:val="22"/>
        </w:rPr>
        <w:t xml:space="preserve"> </w:t>
      </w:r>
      <w:r w:rsidRPr="00A74A49">
        <w:rPr>
          <w:szCs w:val="22"/>
        </w:rPr>
        <w:t>to or for the young person, or to or for another person in respect of the young person; or</w:t>
      </w:r>
    </w:p>
    <w:p w14:paraId="6C498AC8" w14:textId="77777777" w:rsidR="00682A47" w:rsidRPr="00A74A49" w:rsidRDefault="00682A47" w:rsidP="0049233F">
      <w:pPr>
        <w:pStyle w:val="paragraph"/>
        <w:tabs>
          <w:tab w:val="clear" w:pos="1531"/>
          <w:tab w:val="left" w:pos="1985"/>
        </w:tabs>
        <w:spacing w:before="0" w:after="120"/>
        <w:ind w:left="1560" w:hanging="142"/>
        <w:rPr>
          <w:szCs w:val="22"/>
        </w:rPr>
      </w:pPr>
      <w:r w:rsidRPr="00A74A49">
        <w:rPr>
          <w:szCs w:val="22"/>
        </w:rPr>
        <w:tab/>
        <w:t>(b)</w:t>
      </w:r>
      <w:r w:rsidRPr="00A74A49">
        <w:rPr>
          <w:szCs w:val="22"/>
        </w:rPr>
        <w:tab/>
        <w:t xml:space="preserve">the </w:t>
      </w:r>
      <w:r w:rsidRPr="004A7F8C">
        <w:rPr>
          <w:szCs w:val="22"/>
        </w:rPr>
        <w:t>later of</w:t>
      </w:r>
      <w:r w:rsidRPr="00A74A49">
        <w:rPr>
          <w:szCs w:val="22"/>
        </w:rPr>
        <w:t xml:space="preserve"> </w:t>
      </w:r>
      <w:r w:rsidR="009651F8">
        <w:rPr>
          <w:szCs w:val="22"/>
        </w:rPr>
        <w:t xml:space="preserve">1 January 2020 </w:t>
      </w:r>
      <w:r w:rsidRPr="00A74A49">
        <w:rPr>
          <w:szCs w:val="22"/>
        </w:rPr>
        <w:t>and the day notice is first given as men</w:t>
      </w:r>
      <w:r w:rsidR="00F44F30">
        <w:rPr>
          <w:szCs w:val="22"/>
        </w:rPr>
        <w:t>tioned in subitem (2</w:t>
      </w:r>
      <w:r w:rsidRPr="00A74A49">
        <w:rPr>
          <w:szCs w:val="22"/>
        </w:rPr>
        <w:t>), if:</w:t>
      </w:r>
    </w:p>
    <w:p w14:paraId="6C498AC9" w14:textId="77777777" w:rsidR="00682A47" w:rsidRPr="00A74A49" w:rsidRDefault="00241651" w:rsidP="0049233F">
      <w:pPr>
        <w:pStyle w:val="paragraphsub"/>
        <w:tabs>
          <w:tab w:val="left" w:pos="2127"/>
          <w:tab w:val="left" w:pos="2552"/>
        </w:tabs>
        <w:spacing w:before="0" w:after="120"/>
        <w:ind w:left="1560" w:firstLine="425"/>
        <w:rPr>
          <w:szCs w:val="22"/>
        </w:rPr>
      </w:pPr>
      <w:r w:rsidRPr="00A74A49">
        <w:rPr>
          <w:szCs w:val="22"/>
        </w:rPr>
        <w:t>(i)</w:t>
      </w:r>
      <w:r w:rsidRPr="00A74A49">
        <w:rPr>
          <w:szCs w:val="22"/>
        </w:rPr>
        <w:tab/>
      </w:r>
      <w:r w:rsidR="00682A47" w:rsidRPr="00A74A49">
        <w:rPr>
          <w:szCs w:val="22"/>
        </w:rPr>
        <w:t>subparagraphs (a)(i) and (ii) do not apply; and</w:t>
      </w:r>
    </w:p>
    <w:p w14:paraId="6C498ACA" w14:textId="77777777" w:rsidR="00682A47" w:rsidRPr="00A74A49" w:rsidRDefault="00682A47" w:rsidP="0049233F">
      <w:pPr>
        <w:pStyle w:val="paragraphsub"/>
        <w:tabs>
          <w:tab w:val="clear" w:pos="1985"/>
          <w:tab w:val="left" w:pos="2410"/>
          <w:tab w:val="right" w:pos="2552"/>
        </w:tabs>
        <w:spacing w:before="0" w:after="120"/>
        <w:ind w:left="1985" w:hanging="142"/>
        <w:rPr>
          <w:szCs w:val="22"/>
        </w:rPr>
      </w:pPr>
      <w:r w:rsidRPr="00A74A49">
        <w:rPr>
          <w:szCs w:val="22"/>
        </w:rPr>
        <w:tab/>
      </w:r>
      <w:r w:rsidR="001E1060" w:rsidRPr="00A74A49">
        <w:rPr>
          <w:szCs w:val="22"/>
        </w:rPr>
        <w:t>(ii)</w:t>
      </w:r>
      <w:r w:rsidR="001E1060" w:rsidRPr="00A74A49">
        <w:rPr>
          <w:szCs w:val="22"/>
        </w:rPr>
        <w:tab/>
      </w:r>
      <w:r w:rsidR="001E1060" w:rsidRPr="00A74A49">
        <w:rPr>
          <w:szCs w:val="22"/>
        </w:rPr>
        <w:tab/>
        <w:t xml:space="preserve">  </w:t>
      </w:r>
      <w:r w:rsidRPr="00A74A49">
        <w:rPr>
          <w:szCs w:val="22"/>
        </w:rPr>
        <w:t>such notice is given.</w:t>
      </w:r>
    </w:p>
    <w:p w14:paraId="6C498ACB" w14:textId="77777777" w:rsidR="00682A47" w:rsidRPr="00A74A49" w:rsidRDefault="009A356E" w:rsidP="0049233F">
      <w:pPr>
        <w:pStyle w:val="Subitem"/>
        <w:spacing w:before="0" w:after="120"/>
        <w:ind w:left="1560" w:hanging="851"/>
        <w:rPr>
          <w:szCs w:val="22"/>
        </w:rPr>
      </w:pPr>
      <w:r>
        <w:rPr>
          <w:szCs w:val="22"/>
        </w:rPr>
        <w:t>(2</w:t>
      </w:r>
      <w:r w:rsidR="00682A47" w:rsidRPr="00A74A49">
        <w:rPr>
          <w:szCs w:val="22"/>
        </w:rPr>
        <w:t>)</w:t>
      </w:r>
      <w:r w:rsidR="00682A47" w:rsidRPr="00A74A49">
        <w:rPr>
          <w:szCs w:val="22"/>
        </w:rPr>
        <w:tab/>
      </w:r>
      <w:r w:rsidR="00F44F30">
        <w:rPr>
          <w:szCs w:val="22"/>
        </w:rPr>
        <w:t>For the purposes of paragraph (1</w:t>
      </w:r>
      <w:r w:rsidR="00682A47" w:rsidRPr="00A74A49">
        <w:rPr>
          <w:szCs w:val="22"/>
        </w:rPr>
        <w:t>)</w:t>
      </w:r>
      <w:r w:rsidR="00F44F30">
        <w:rPr>
          <w:szCs w:val="22"/>
        </w:rPr>
        <w:t xml:space="preserve">(b), </w:t>
      </w:r>
      <w:r w:rsidR="00336417">
        <w:rPr>
          <w:szCs w:val="22"/>
        </w:rPr>
        <w:t>a notice can be</w:t>
      </w:r>
      <w:r w:rsidR="00F8132B">
        <w:rPr>
          <w:szCs w:val="22"/>
        </w:rPr>
        <w:t xml:space="preserve"> given on a</w:t>
      </w:r>
      <w:r w:rsidR="00F44F30">
        <w:rPr>
          <w:szCs w:val="22"/>
        </w:rPr>
        <w:t xml:space="preserve"> day</w:t>
      </w:r>
      <w:r w:rsidR="00682A47" w:rsidRPr="00A74A49">
        <w:rPr>
          <w:szCs w:val="22"/>
        </w:rPr>
        <w:t xml:space="preserve"> occurring on or after</w:t>
      </w:r>
      <w:r w:rsidR="009651F8">
        <w:rPr>
          <w:szCs w:val="22"/>
        </w:rPr>
        <w:t xml:space="preserve"> </w:t>
      </w:r>
      <w:r w:rsidR="00AA194D">
        <w:rPr>
          <w:szCs w:val="22"/>
        </w:rPr>
        <w:t>the day that this instrument is registered on the Federal Register of Legislation</w:t>
      </w:r>
      <w:r w:rsidR="005C749D">
        <w:rPr>
          <w:szCs w:val="22"/>
        </w:rPr>
        <w:t>,</w:t>
      </w:r>
      <w:r w:rsidR="004E356D">
        <w:rPr>
          <w:szCs w:val="22"/>
        </w:rPr>
        <w:t xml:space="preserve"> on which</w:t>
      </w:r>
      <w:r w:rsidR="00682A47" w:rsidRPr="00A74A49">
        <w:rPr>
          <w:szCs w:val="22"/>
        </w:rPr>
        <w:t>:</w:t>
      </w:r>
    </w:p>
    <w:p w14:paraId="6C498ACC" w14:textId="77777777" w:rsidR="001B40F0" w:rsidRPr="00A74A49" w:rsidRDefault="00682A47" w:rsidP="0049233F">
      <w:pPr>
        <w:pStyle w:val="paragraph"/>
        <w:tabs>
          <w:tab w:val="clear" w:pos="1531"/>
        </w:tabs>
        <w:spacing w:before="0" w:after="120"/>
        <w:ind w:left="1985" w:hanging="425"/>
        <w:rPr>
          <w:szCs w:val="22"/>
        </w:rPr>
      </w:pPr>
      <w:r w:rsidRPr="00A74A49">
        <w:rPr>
          <w:szCs w:val="22"/>
        </w:rPr>
        <w:t>(a)</w:t>
      </w:r>
      <w:r w:rsidRPr="00A74A49">
        <w:rPr>
          <w:szCs w:val="22"/>
        </w:rPr>
        <w:tab/>
        <w:t xml:space="preserve">an application is made under the </w:t>
      </w:r>
      <w:r w:rsidR="00B96824">
        <w:rPr>
          <w:szCs w:val="22"/>
        </w:rPr>
        <w:t>PSS Rules</w:t>
      </w:r>
      <w:r w:rsidRPr="00A74A49">
        <w:rPr>
          <w:szCs w:val="22"/>
        </w:rPr>
        <w:t xml:space="preserve"> for a benefit to be paid to or for the young person, or to or for another person in respect of the young person; or</w:t>
      </w:r>
      <w:r w:rsidR="00B911D4" w:rsidRPr="00A74A49">
        <w:rPr>
          <w:szCs w:val="22"/>
        </w:rPr>
        <w:t xml:space="preserve">    </w:t>
      </w:r>
    </w:p>
    <w:p w14:paraId="6C498ACD" w14:textId="77777777" w:rsidR="00B911D4" w:rsidRPr="00A74A49" w:rsidRDefault="00B911D4" w:rsidP="0049233F">
      <w:pPr>
        <w:pStyle w:val="paragraph"/>
        <w:tabs>
          <w:tab w:val="clear" w:pos="1531"/>
        </w:tabs>
        <w:spacing w:before="0" w:after="120"/>
        <w:ind w:left="1985" w:hanging="425"/>
        <w:rPr>
          <w:szCs w:val="22"/>
        </w:rPr>
      </w:pPr>
      <w:r w:rsidRPr="00F44F30">
        <w:rPr>
          <w:szCs w:val="22"/>
        </w:rPr>
        <w:t>(b)</w:t>
      </w:r>
      <w:r w:rsidRPr="00F44F30">
        <w:rPr>
          <w:szCs w:val="22"/>
        </w:rPr>
        <w:tab/>
        <w:t>either of the following persons requests C</w:t>
      </w:r>
      <w:r w:rsidR="00700DB1" w:rsidRPr="00F44F30">
        <w:rPr>
          <w:szCs w:val="22"/>
        </w:rPr>
        <w:t>SC</w:t>
      </w:r>
      <w:r w:rsidRPr="00F44F30">
        <w:rPr>
          <w:szCs w:val="22"/>
        </w:rPr>
        <w:t xml:space="preserve"> to</w:t>
      </w:r>
      <w:r w:rsidRPr="00A74A49">
        <w:rPr>
          <w:szCs w:val="22"/>
        </w:rPr>
        <w:t xml:space="preserve"> apply the amendments to the young person:</w:t>
      </w:r>
    </w:p>
    <w:p w14:paraId="6C498ACE" w14:textId="77777777" w:rsidR="00B911D4" w:rsidRPr="00A74A49" w:rsidRDefault="00700DB1" w:rsidP="0049233F">
      <w:pPr>
        <w:pStyle w:val="paragraph"/>
        <w:tabs>
          <w:tab w:val="clear" w:pos="1531"/>
          <w:tab w:val="left" w:pos="2552"/>
        </w:tabs>
        <w:spacing w:before="0" w:after="120"/>
        <w:ind w:left="1985" w:firstLine="0"/>
        <w:rPr>
          <w:szCs w:val="22"/>
        </w:rPr>
      </w:pPr>
      <w:r w:rsidRPr="00A74A49">
        <w:rPr>
          <w:szCs w:val="22"/>
        </w:rPr>
        <w:t>(i)</w:t>
      </w:r>
      <w:r w:rsidRPr="00A74A49">
        <w:rPr>
          <w:szCs w:val="22"/>
        </w:rPr>
        <w:tab/>
        <w:t xml:space="preserve">the young person; </w:t>
      </w:r>
    </w:p>
    <w:p w14:paraId="6C498ACF" w14:textId="77777777" w:rsidR="00682A47" w:rsidRDefault="00700DB1" w:rsidP="0049233F">
      <w:pPr>
        <w:pStyle w:val="paragraph"/>
        <w:tabs>
          <w:tab w:val="clear" w:pos="1531"/>
          <w:tab w:val="left" w:pos="2552"/>
        </w:tabs>
        <w:spacing w:before="0" w:after="120"/>
        <w:ind w:left="2552" w:hanging="567"/>
        <w:rPr>
          <w:szCs w:val="22"/>
        </w:rPr>
      </w:pPr>
      <w:r w:rsidRPr="00A74A49">
        <w:rPr>
          <w:szCs w:val="22"/>
        </w:rPr>
        <w:t>(ii)</w:t>
      </w:r>
      <w:r w:rsidRPr="00A74A49">
        <w:rPr>
          <w:szCs w:val="22"/>
        </w:rPr>
        <w:tab/>
        <w:t>a person to whom a benefit is payable (or would be payable, were the</w:t>
      </w:r>
      <w:r w:rsidR="00350D7B">
        <w:rPr>
          <w:szCs w:val="22"/>
        </w:rPr>
        <w:t xml:space="preserve"> amendments to apply) under the </w:t>
      </w:r>
      <w:r w:rsidR="00B96824">
        <w:rPr>
          <w:szCs w:val="22"/>
        </w:rPr>
        <w:t>PSS Rules</w:t>
      </w:r>
      <w:r w:rsidRPr="00A74A49">
        <w:rPr>
          <w:szCs w:val="22"/>
        </w:rPr>
        <w:t xml:space="preserve"> for or in respect of the young person.</w:t>
      </w:r>
    </w:p>
    <w:p w14:paraId="6C498AD0" w14:textId="77777777" w:rsidR="00AA194D" w:rsidRPr="00F13011" w:rsidRDefault="00AA194D" w:rsidP="00AA194D">
      <w:pPr>
        <w:pStyle w:val="ItemHead"/>
      </w:pPr>
      <w:r>
        <w:t xml:space="preserve">4  </w:t>
      </w:r>
      <w:r w:rsidRPr="00F13011">
        <w:t xml:space="preserve">Transitional </w:t>
      </w:r>
      <w:r w:rsidR="00883CDB">
        <w:t>provision – amendments do not decrease existing benefits</w:t>
      </w:r>
    </w:p>
    <w:p w14:paraId="6C498AD1" w14:textId="77777777" w:rsidR="00AA194D" w:rsidRPr="00F13011" w:rsidRDefault="00AA194D" w:rsidP="00C65BF1">
      <w:pPr>
        <w:pStyle w:val="Subitem"/>
        <w:spacing w:after="120"/>
      </w:pPr>
      <w:r w:rsidRPr="00F13011">
        <w:t>(1)</w:t>
      </w:r>
      <w:r w:rsidRPr="00F13011">
        <w:tab/>
        <w:t>This item applies if:</w:t>
      </w:r>
    </w:p>
    <w:p w14:paraId="6C498AD2" w14:textId="77777777" w:rsidR="00AA194D" w:rsidRPr="00F13011" w:rsidRDefault="00AA194D" w:rsidP="00C65BF1">
      <w:pPr>
        <w:pStyle w:val="paragraph"/>
        <w:spacing w:after="120"/>
      </w:pPr>
      <w:r w:rsidRPr="00F13011">
        <w:tab/>
        <w:t>(a)</w:t>
      </w:r>
      <w:r w:rsidRPr="00F13011">
        <w:tab/>
        <w:t>apart fr</w:t>
      </w:r>
      <w:r w:rsidR="00731949">
        <w:t xml:space="preserve">om this item, the amendments to the </w:t>
      </w:r>
      <w:r w:rsidR="00B96824">
        <w:t>PSS Rules</w:t>
      </w:r>
      <w:r w:rsidR="00211FB6">
        <w:t xml:space="preserve"> </w:t>
      </w:r>
      <w:r w:rsidRPr="00F13011">
        <w:t xml:space="preserve">would reduce (including to nil) the amount of a benefit (the </w:t>
      </w:r>
      <w:r w:rsidRPr="00F13011">
        <w:rPr>
          <w:b/>
          <w:i/>
        </w:rPr>
        <w:t>existing beneficiary’s post</w:t>
      </w:r>
      <w:r>
        <w:rPr>
          <w:b/>
          <w:i/>
        </w:rPr>
        <w:noBreakHyphen/>
      </w:r>
      <w:r w:rsidRPr="00F13011">
        <w:rPr>
          <w:b/>
          <w:i/>
        </w:rPr>
        <w:t>commencement benefit</w:t>
      </w:r>
      <w:r w:rsidRPr="00F13011">
        <w:t xml:space="preserve">) payable under the </w:t>
      </w:r>
      <w:r w:rsidR="00B96824">
        <w:t>PSS Rules</w:t>
      </w:r>
      <w:r w:rsidR="00211FB6">
        <w:t xml:space="preserve"> </w:t>
      </w:r>
      <w:r w:rsidRPr="00F13011">
        <w:t xml:space="preserve">to or for a person (the </w:t>
      </w:r>
      <w:r w:rsidRPr="00F13011">
        <w:rPr>
          <w:b/>
          <w:i/>
        </w:rPr>
        <w:t>existing beneficiary</w:t>
      </w:r>
      <w:r w:rsidRPr="00F13011">
        <w:t>):</w:t>
      </w:r>
    </w:p>
    <w:p w14:paraId="6C498AD3" w14:textId="77777777" w:rsidR="00AA194D" w:rsidRPr="00F13011" w:rsidRDefault="00AA194D" w:rsidP="00C65BF1">
      <w:pPr>
        <w:pStyle w:val="paragraphsub"/>
        <w:spacing w:after="120"/>
      </w:pPr>
      <w:r w:rsidRPr="00F13011">
        <w:tab/>
        <w:t>(i)</w:t>
      </w:r>
      <w:r w:rsidRPr="00F13011">
        <w:tab/>
        <w:t xml:space="preserve">for a day occurring on or after </w:t>
      </w:r>
      <w:r w:rsidR="00731949">
        <w:t>1 January 2020 (</w:t>
      </w:r>
      <w:r w:rsidR="00731949" w:rsidRPr="00731949">
        <w:rPr>
          <w:b/>
          <w:i/>
        </w:rPr>
        <w:t>post-commencement day</w:t>
      </w:r>
      <w:r w:rsidR="00731949">
        <w:t xml:space="preserve">); </w:t>
      </w:r>
      <w:r w:rsidRPr="00F13011">
        <w:t>and</w:t>
      </w:r>
    </w:p>
    <w:p w14:paraId="6C498AD4" w14:textId="77777777" w:rsidR="00AA194D" w:rsidRPr="00F948D1" w:rsidRDefault="00AA194D" w:rsidP="00C65BF1">
      <w:pPr>
        <w:pStyle w:val="paragraphsub"/>
        <w:spacing w:after="120"/>
      </w:pPr>
      <w:r w:rsidRPr="00F13011">
        <w:tab/>
        <w:t>(ii)</w:t>
      </w:r>
      <w:r w:rsidRPr="00F13011">
        <w:tab/>
      </w:r>
      <w:r w:rsidRPr="00F948D1">
        <w:t xml:space="preserve">because of the death of a person (the </w:t>
      </w:r>
      <w:r w:rsidRPr="00F948D1">
        <w:rPr>
          <w:b/>
          <w:i/>
        </w:rPr>
        <w:t>deceased person</w:t>
      </w:r>
      <w:r w:rsidRPr="00F948D1">
        <w:t>); and</w:t>
      </w:r>
    </w:p>
    <w:p w14:paraId="6C498AD5" w14:textId="77777777" w:rsidR="00AA194D" w:rsidRPr="00F13011" w:rsidRDefault="00AA194D" w:rsidP="00C65BF1">
      <w:pPr>
        <w:pStyle w:val="paragraph"/>
        <w:spacing w:after="120"/>
      </w:pPr>
      <w:r w:rsidRPr="00F948D1">
        <w:tab/>
        <w:t>(b)</w:t>
      </w:r>
      <w:r w:rsidRPr="00F948D1">
        <w:tab/>
        <w:t xml:space="preserve">apart from this item, the amendments would increase (including from nil) the amount of a benefit (the </w:t>
      </w:r>
      <w:r w:rsidRPr="00F948D1">
        <w:rPr>
          <w:b/>
          <w:i/>
        </w:rPr>
        <w:t>new beneficiary’s post</w:t>
      </w:r>
      <w:r w:rsidRPr="00F948D1">
        <w:rPr>
          <w:b/>
          <w:i/>
        </w:rPr>
        <w:noBreakHyphen/>
        <w:t>commencement benefit</w:t>
      </w:r>
      <w:r w:rsidR="00731949" w:rsidRPr="00F948D1">
        <w:t xml:space="preserve">) payable under the </w:t>
      </w:r>
      <w:r w:rsidR="00B96824">
        <w:t>PSS Rules</w:t>
      </w:r>
      <w:r w:rsidR="005440E1">
        <w:t xml:space="preserve"> </w:t>
      </w:r>
      <w:r w:rsidRPr="00F948D1">
        <w:t xml:space="preserve">to or for a person (the </w:t>
      </w:r>
      <w:r w:rsidRPr="00F948D1">
        <w:rPr>
          <w:b/>
          <w:i/>
        </w:rPr>
        <w:t>new beneficiary</w:t>
      </w:r>
      <w:r w:rsidRPr="00F948D1">
        <w:t>) other than the existing beneficiary:</w:t>
      </w:r>
    </w:p>
    <w:p w14:paraId="6C498AD6" w14:textId="77777777" w:rsidR="00AA194D" w:rsidRPr="00F13011" w:rsidRDefault="00AA194D" w:rsidP="00C65BF1">
      <w:pPr>
        <w:pStyle w:val="paragraphsub"/>
        <w:spacing w:after="120"/>
      </w:pPr>
      <w:r w:rsidRPr="00F13011">
        <w:tab/>
        <w:t>(i)</w:t>
      </w:r>
      <w:r w:rsidRPr="00F13011">
        <w:tab/>
        <w:t xml:space="preserve">for </w:t>
      </w:r>
      <w:r w:rsidRPr="00816782">
        <w:t xml:space="preserve">the </w:t>
      </w:r>
      <w:r w:rsidRPr="00816782">
        <w:rPr>
          <w:i/>
        </w:rPr>
        <w:t>post</w:t>
      </w:r>
      <w:r w:rsidRPr="00816782">
        <w:rPr>
          <w:i/>
        </w:rPr>
        <w:noBreakHyphen/>
        <w:t>commencement day</w:t>
      </w:r>
      <w:r w:rsidRPr="00816782">
        <w:t>; and</w:t>
      </w:r>
    </w:p>
    <w:p w14:paraId="6C498AD7" w14:textId="77777777" w:rsidR="00AA194D" w:rsidRPr="00F13011" w:rsidRDefault="00AA194D" w:rsidP="00C65BF1">
      <w:pPr>
        <w:pStyle w:val="paragraphsub"/>
        <w:spacing w:after="120"/>
      </w:pPr>
      <w:r w:rsidRPr="00F13011">
        <w:tab/>
        <w:t>(ii)</w:t>
      </w:r>
      <w:r w:rsidRPr="00F13011">
        <w:tab/>
        <w:t>because of the death of the deceased person, or a spouse of the deceased person; and</w:t>
      </w:r>
    </w:p>
    <w:p w14:paraId="6C498AD8" w14:textId="77777777" w:rsidR="00AA194D" w:rsidRPr="00F13011" w:rsidRDefault="00AA194D" w:rsidP="00C65BF1">
      <w:pPr>
        <w:pStyle w:val="paragraph"/>
        <w:spacing w:after="120"/>
      </w:pPr>
      <w:r w:rsidRPr="00F13011">
        <w:tab/>
        <w:t>(c)</w:t>
      </w:r>
      <w:r w:rsidRPr="00F13011">
        <w:tab/>
      </w:r>
      <w:r w:rsidR="00B96824">
        <w:t>a benefit was payable under the PSS Rules</w:t>
      </w:r>
      <w:r w:rsidRPr="00F13011">
        <w:t>:</w:t>
      </w:r>
    </w:p>
    <w:p w14:paraId="6C498AD9" w14:textId="77777777" w:rsidR="00AA194D" w:rsidRPr="00F13011" w:rsidRDefault="00AA194D" w:rsidP="00C65BF1">
      <w:pPr>
        <w:pStyle w:val="paragraphsub"/>
        <w:spacing w:after="120"/>
      </w:pPr>
      <w:r w:rsidRPr="00F13011">
        <w:tab/>
        <w:t>(i)</w:t>
      </w:r>
      <w:r w:rsidRPr="00F13011">
        <w:tab/>
        <w:t>to or for the existing beneficiary; or</w:t>
      </w:r>
    </w:p>
    <w:p w14:paraId="6C498ADA" w14:textId="77777777" w:rsidR="00AA194D" w:rsidRPr="00F13011" w:rsidRDefault="00AA194D" w:rsidP="00C65BF1">
      <w:pPr>
        <w:pStyle w:val="paragraphsub"/>
        <w:spacing w:after="120"/>
      </w:pPr>
      <w:r w:rsidRPr="00F13011">
        <w:tab/>
        <w:t>(ii)</w:t>
      </w:r>
      <w:r w:rsidRPr="00F13011">
        <w:tab/>
        <w:t>to another person in respect of the existing beneficiary;</w:t>
      </w:r>
    </w:p>
    <w:p w14:paraId="6C498ADB" w14:textId="77777777" w:rsidR="00AA194D" w:rsidRPr="00F13011" w:rsidRDefault="00AA194D" w:rsidP="00C65BF1">
      <w:pPr>
        <w:pStyle w:val="paragraph"/>
        <w:spacing w:after="120"/>
      </w:pPr>
      <w:r w:rsidRPr="00F13011">
        <w:tab/>
      </w:r>
      <w:r w:rsidRPr="00F13011">
        <w:tab/>
        <w:t>in relation to the death of the deceased person, or a spouse of the deceased person, for the day occurring immediately before that commencement.</w:t>
      </w:r>
    </w:p>
    <w:p w14:paraId="6C498ADC" w14:textId="77777777" w:rsidR="00AA194D" w:rsidRPr="00604F60" w:rsidRDefault="00AA194D" w:rsidP="00AA194D">
      <w:pPr>
        <w:pStyle w:val="Subitem"/>
      </w:pPr>
      <w:r w:rsidRPr="00F13011">
        <w:lastRenderedPageBreak/>
        <w:t>(2)</w:t>
      </w:r>
      <w:r w:rsidRPr="00F13011">
        <w:tab/>
        <w:t>The amount of the existing beneficiary’s post</w:t>
      </w:r>
      <w:r>
        <w:noBreakHyphen/>
      </w:r>
      <w:r w:rsidRPr="00F13011">
        <w:t>commencement benefit for the post</w:t>
      </w:r>
      <w:r>
        <w:noBreakHyphen/>
      </w:r>
      <w:r w:rsidRPr="00604F60">
        <w:t>commencement day is increased to what it would have been if this</w:t>
      </w:r>
      <w:r w:rsidR="00731949" w:rsidRPr="00604F60">
        <w:t xml:space="preserve"> instrument had not been made</w:t>
      </w:r>
      <w:r w:rsidRPr="00604F60">
        <w:t>.</w:t>
      </w:r>
    </w:p>
    <w:p w14:paraId="6C498ADD" w14:textId="77777777" w:rsidR="00AA194D" w:rsidRPr="00F13011" w:rsidRDefault="00AA194D" w:rsidP="00AA194D">
      <w:pPr>
        <w:pStyle w:val="Subitem"/>
      </w:pPr>
      <w:r w:rsidRPr="00604F60">
        <w:t>(3)</w:t>
      </w:r>
      <w:r w:rsidRPr="00604F60">
        <w:tab/>
        <w:t>If there is only one new beneficiary, the amount of the new beneficiary’s post</w:t>
      </w:r>
      <w:r w:rsidRPr="00604F60">
        <w:noBreakHyphen/>
        <w:t>commencement benefit for the post</w:t>
      </w:r>
      <w:r w:rsidRPr="00604F60">
        <w:noBreakHyphen/>
        <w:t xml:space="preserve">commencement day is reduced by the amount of the increase mentioned in </w:t>
      </w:r>
      <w:r w:rsidR="00335E38" w:rsidRPr="00604F60">
        <w:t>subparagraph</w:t>
      </w:r>
      <w:r w:rsidRPr="00604F60">
        <w:t> (2).</w:t>
      </w:r>
    </w:p>
    <w:p w14:paraId="6C498ADE" w14:textId="77777777" w:rsidR="00AA194D" w:rsidRPr="00F13011" w:rsidRDefault="00AA194D" w:rsidP="00AA194D">
      <w:pPr>
        <w:pStyle w:val="Subitem"/>
      </w:pPr>
      <w:r w:rsidRPr="00F13011">
        <w:t>(4)</w:t>
      </w:r>
      <w:r w:rsidRPr="00F13011">
        <w:tab/>
        <w:t>If there is more than one new beneficiary:</w:t>
      </w:r>
    </w:p>
    <w:p w14:paraId="6C498ADF" w14:textId="77777777" w:rsidR="00AA194D" w:rsidRPr="00F13011" w:rsidRDefault="00AA194D" w:rsidP="00AA194D">
      <w:pPr>
        <w:pStyle w:val="paragraph"/>
      </w:pPr>
      <w:r w:rsidRPr="00F13011">
        <w:tab/>
        <w:t>(a)</w:t>
      </w:r>
      <w:r w:rsidRPr="00F13011">
        <w:tab/>
        <w:t>the total amount of the new beneficiaries’ post</w:t>
      </w:r>
      <w:r>
        <w:noBreakHyphen/>
      </w:r>
      <w:r w:rsidRPr="00F13011">
        <w:t>commencement benefits for the post</w:t>
      </w:r>
      <w:r>
        <w:noBreakHyphen/>
      </w:r>
      <w:r w:rsidRPr="00F13011">
        <w:t>commencement day is reduced by the amount of the increase mentioned in subitem (2); and</w:t>
      </w:r>
    </w:p>
    <w:p w14:paraId="6C498AE0" w14:textId="77777777" w:rsidR="00AA194D" w:rsidRPr="00F13011" w:rsidRDefault="00AA194D" w:rsidP="00AA194D">
      <w:pPr>
        <w:pStyle w:val="paragraph"/>
      </w:pPr>
      <w:r w:rsidRPr="00F13011">
        <w:tab/>
        <w:t>(b)</w:t>
      </w:r>
      <w:r w:rsidRPr="00F13011">
        <w:tab/>
        <w:t>that reduction is applied to each new beneficiary’s post</w:t>
      </w:r>
      <w:r>
        <w:noBreakHyphen/>
      </w:r>
      <w:r w:rsidRPr="00F13011">
        <w:t>commencement benefit in proportion to his or her share of the total.</w:t>
      </w:r>
    </w:p>
    <w:p w14:paraId="6C498AE1" w14:textId="77777777" w:rsidR="0049233F" w:rsidRPr="0049233F" w:rsidRDefault="0049233F" w:rsidP="0049233F">
      <w:pPr>
        <w:pStyle w:val="numberlist"/>
        <w:spacing w:before="120" w:beforeAutospacing="0" w:after="120" w:afterAutospacing="0"/>
        <w:ind w:left="1417" w:hanging="697"/>
        <w:rPr>
          <w:color w:val="000000"/>
          <w:sz w:val="22"/>
          <w:szCs w:val="22"/>
        </w:rPr>
      </w:pPr>
    </w:p>
    <w:p w14:paraId="6C498AE2" w14:textId="77777777" w:rsidR="003F6F52" w:rsidRPr="00DA182D" w:rsidRDefault="003F6F52" w:rsidP="006605F4">
      <w:pPr>
        <w:pStyle w:val="BodyNum"/>
        <w:numPr>
          <w:ilvl w:val="0"/>
          <w:numId w:val="0"/>
        </w:numPr>
      </w:pPr>
    </w:p>
    <w:sectPr w:rsidR="003F6F52" w:rsidRPr="00DA182D" w:rsidSect="00B20990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98AE7" w14:textId="77777777" w:rsidR="00994269" w:rsidRDefault="00994269" w:rsidP="0048364F">
      <w:pPr>
        <w:spacing w:line="240" w:lineRule="auto"/>
      </w:pPr>
      <w:r>
        <w:separator/>
      </w:r>
    </w:p>
  </w:endnote>
  <w:endnote w:type="continuationSeparator" w:id="0">
    <w:p w14:paraId="6C498AE8" w14:textId="77777777" w:rsidR="00994269" w:rsidRDefault="0099426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6C498AEC" w14:textId="77777777" w:rsidTr="0001176A">
      <w:tc>
        <w:tcPr>
          <w:tcW w:w="5000" w:type="pct"/>
        </w:tcPr>
        <w:p w14:paraId="6C498AEB" w14:textId="77777777" w:rsidR="009278C1" w:rsidRDefault="009278C1" w:rsidP="0001176A">
          <w:pPr>
            <w:rPr>
              <w:sz w:val="18"/>
            </w:rPr>
          </w:pPr>
        </w:p>
      </w:tc>
    </w:tr>
  </w:tbl>
  <w:p w14:paraId="6C498AED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6C498AEF" w14:textId="77777777" w:rsidTr="00C160A1">
      <w:tc>
        <w:tcPr>
          <w:tcW w:w="5000" w:type="pct"/>
        </w:tcPr>
        <w:p w14:paraId="6C498AEE" w14:textId="77777777" w:rsidR="00B20990" w:rsidRDefault="00B20990" w:rsidP="007946FE">
          <w:pPr>
            <w:rPr>
              <w:sz w:val="18"/>
            </w:rPr>
          </w:pPr>
        </w:p>
      </w:tc>
    </w:tr>
  </w:tbl>
  <w:p w14:paraId="6C498AF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AF2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6C498AF4" w14:textId="77777777" w:rsidTr="00C160A1">
      <w:tc>
        <w:tcPr>
          <w:tcW w:w="5000" w:type="pct"/>
        </w:tcPr>
        <w:p w14:paraId="6C498AF3" w14:textId="77777777" w:rsidR="00B20990" w:rsidRDefault="00B20990" w:rsidP="00465764">
          <w:pPr>
            <w:rPr>
              <w:sz w:val="18"/>
            </w:rPr>
          </w:pPr>
        </w:p>
      </w:tc>
    </w:tr>
  </w:tbl>
  <w:p w14:paraId="6C498AF5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AF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6C498AFC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C498AF9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498AFA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83C10">
            <w:rPr>
              <w:i/>
              <w:noProof/>
              <w:sz w:val="18"/>
            </w:rPr>
            <w:t>Superannuation Amendment (PSS Trust Deed)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C498AF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C498AF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C498AF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C498AFF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B00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20990" w14:paraId="6C498B04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C498B01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498B02" w14:textId="43C0533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41928">
            <w:rPr>
              <w:i/>
              <w:noProof/>
              <w:sz w:val="18"/>
            </w:rPr>
            <w:t>Superannuation Amendment (PSS Trust Deed)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C498B03" w14:textId="1940D08C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192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C498B0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C498B05" w14:textId="77777777" w:rsidR="00B20990" w:rsidRDefault="00B20990" w:rsidP="007946FE">
          <w:pPr>
            <w:rPr>
              <w:sz w:val="18"/>
            </w:rPr>
          </w:pPr>
        </w:p>
      </w:tc>
    </w:tr>
  </w:tbl>
  <w:p w14:paraId="6C498B0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B0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6C498B1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498B0F" w14:textId="292AF6E0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192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498B10" w14:textId="6FC33BF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41928">
            <w:rPr>
              <w:i/>
              <w:noProof/>
              <w:sz w:val="18"/>
            </w:rPr>
            <w:t>Superannuation Amendment (PSS Trust Deed)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C498B1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C498B1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498B1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C498B15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B1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C498B1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498B1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498B18" w14:textId="2384FB3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41928">
            <w:rPr>
              <w:i/>
              <w:noProof/>
              <w:sz w:val="18"/>
            </w:rPr>
            <w:t>Superannuation Amendment (PSS Trust Deed)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498B19" w14:textId="4C500200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192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C498B1C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498B1B" w14:textId="77777777" w:rsidR="00EE57E8" w:rsidRDefault="00EE57E8" w:rsidP="00EE57E8">
          <w:pPr>
            <w:rPr>
              <w:sz w:val="18"/>
            </w:rPr>
          </w:pPr>
        </w:p>
      </w:tc>
    </w:tr>
  </w:tbl>
  <w:p w14:paraId="6C498B1D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B1E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C498B2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498B1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498B20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83C1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498B2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C498B2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498B23" w14:textId="473FAFC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83C10">
            <w:rPr>
              <w:i/>
              <w:noProof/>
              <w:sz w:val="18"/>
            </w:rPr>
            <w:t>G:\FMG\Super\Superannuation_Policy\Defined_Benefit_Arrangements\PSS Amending Deed 2019 - Child changes\Copies sent for CSC Board meeting\Superannuation Amendment (PSS Trust Deed) Instrument 2019.docx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41928">
            <w:rPr>
              <w:i/>
              <w:noProof/>
              <w:sz w:val="18"/>
            </w:rPr>
            <w:t>24/9/2019 11:02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498B2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98AE5" w14:textId="77777777" w:rsidR="00994269" w:rsidRDefault="00994269" w:rsidP="0048364F">
      <w:pPr>
        <w:spacing w:line="240" w:lineRule="auto"/>
      </w:pPr>
      <w:r>
        <w:separator/>
      </w:r>
    </w:p>
  </w:footnote>
  <w:footnote w:type="continuationSeparator" w:id="0">
    <w:p w14:paraId="6C498AE6" w14:textId="77777777" w:rsidR="00994269" w:rsidRDefault="0099426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AE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AE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AF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AF6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AF7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B08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B09" w14:textId="77777777" w:rsidR="00EE57E8" w:rsidRPr="00A961C4" w:rsidRDefault="00EE57E8" w:rsidP="0048364F">
    <w:pPr>
      <w:rPr>
        <w:b/>
        <w:sz w:val="20"/>
      </w:rPr>
    </w:pPr>
  </w:p>
  <w:p w14:paraId="6C498B0A" w14:textId="77777777" w:rsidR="00EE57E8" w:rsidRPr="00A961C4" w:rsidRDefault="00EE57E8" w:rsidP="0048364F">
    <w:pPr>
      <w:rPr>
        <w:b/>
        <w:sz w:val="20"/>
      </w:rPr>
    </w:pPr>
  </w:p>
  <w:p w14:paraId="6C498B0B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B0C" w14:textId="77777777" w:rsidR="00EE57E8" w:rsidRPr="00A961C4" w:rsidRDefault="00EE57E8" w:rsidP="0048364F">
    <w:pPr>
      <w:jc w:val="right"/>
      <w:rPr>
        <w:b/>
        <w:sz w:val="20"/>
      </w:rPr>
    </w:pPr>
  </w:p>
  <w:p w14:paraId="6C498B0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929D4"/>
    <w:multiLevelType w:val="hybridMultilevel"/>
    <w:tmpl w:val="5794428C"/>
    <w:lvl w:ilvl="0" w:tplc="E3748A26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00853"/>
    <w:multiLevelType w:val="hybridMultilevel"/>
    <w:tmpl w:val="DAE046F2"/>
    <w:lvl w:ilvl="0" w:tplc="0AF827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0E0B3E"/>
    <w:multiLevelType w:val="hybridMultilevel"/>
    <w:tmpl w:val="FA7E6B7A"/>
    <w:lvl w:ilvl="0" w:tplc="409E4BAA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416C1686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7506D866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54DCED58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0C8656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79AF41E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AB405DD4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E34A3D2A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D3D2B696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2BA35463"/>
    <w:multiLevelType w:val="hybridMultilevel"/>
    <w:tmpl w:val="2EA26A64"/>
    <w:lvl w:ilvl="0" w:tplc="409E4BAA">
      <w:start w:val="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38CF2646"/>
    <w:multiLevelType w:val="hybridMultilevel"/>
    <w:tmpl w:val="2806CE66"/>
    <w:lvl w:ilvl="0" w:tplc="A65CA2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D2B4CDB"/>
    <w:multiLevelType w:val="hybridMultilevel"/>
    <w:tmpl w:val="4806688C"/>
    <w:lvl w:ilvl="0" w:tplc="5BA05AAE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1" w:tplc="416C1686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7506D866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54DCED58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0C8656A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79AF41E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AB405DD4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E34A3D2A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D3D2B696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F6B30B5"/>
    <w:multiLevelType w:val="hybridMultilevel"/>
    <w:tmpl w:val="897281A8"/>
    <w:lvl w:ilvl="0" w:tplc="409E4BAA">
      <w:start w:val="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3FBA7CCB"/>
    <w:multiLevelType w:val="hybridMultilevel"/>
    <w:tmpl w:val="1E9A78B0"/>
    <w:lvl w:ilvl="0" w:tplc="409E4BAA">
      <w:start w:val="2"/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2" w15:restartNumberingAfterBreak="0">
    <w:nsid w:val="547E2350"/>
    <w:multiLevelType w:val="singleLevel"/>
    <w:tmpl w:val="B8A89068"/>
    <w:lvl w:ilvl="0">
      <w:start w:val="1"/>
      <w:numFmt w:val="bullet"/>
      <w:pStyle w:val="Rule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</w:abstractNum>
  <w:abstractNum w:abstractNumId="23" w15:restartNumberingAfterBreak="0">
    <w:nsid w:val="5A6A5464"/>
    <w:multiLevelType w:val="hybridMultilevel"/>
    <w:tmpl w:val="A7E43E68"/>
    <w:lvl w:ilvl="0" w:tplc="409E4BAA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416C1686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7506D866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54DCED58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0C8656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79AF41E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AB405DD4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E34A3D2A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D3D2B696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5B9F3140"/>
    <w:multiLevelType w:val="hybridMultilevel"/>
    <w:tmpl w:val="66765C14"/>
    <w:lvl w:ilvl="0" w:tplc="FFFFFFFF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416C1686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7506D866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54DCED58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0C8656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79AF41E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AB405DD4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E34A3D2A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D3D2B696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008346D"/>
    <w:multiLevelType w:val="hybridMultilevel"/>
    <w:tmpl w:val="C6AE74C0"/>
    <w:lvl w:ilvl="0" w:tplc="E3748A26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6" w15:restartNumberingAfterBreak="0">
    <w:nsid w:val="7D642EA7"/>
    <w:multiLevelType w:val="hybridMultilevel"/>
    <w:tmpl w:val="023C20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1C14"/>
    <w:multiLevelType w:val="hybridMultilevel"/>
    <w:tmpl w:val="A15A9BC6"/>
    <w:lvl w:ilvl="0" w:tplc="5BECDE70">
      <w:start w:val="1"/>
      <w:numFmt w:val="bullet"/>
      <w:pStyle w:val="Ruledash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4"/>
  </w:num>
  <w:num w:numId="14">
    <w:abstractNumId w:val="21"/>
  </w:num>
  <w:num w:numId="15">
    <w:abstractNumId w:val="13"/>
  </w:num>
  <w:num w:numId="16">
    <w:abstractNumId w:val="20"/>
  </w:num>
  <w:num w:numId="17">
    <w:abstractNumId w:val="1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915" w:hanging="360"/>
        </w:pPr>
        <w:rPr>
          <w:rFonts w:ascii="Symbol" w:hAnsi="Symbol" w:hint="default"/>
        </w:rPr>
      </w:lvl>
    </w:lvlOverride>
  </w:num>
  <w:num w:numId="18">
    <w:abstractNumId w:val="22"/>
  </w:num>
  <w:num w:numId="19">
    <w:abstractNumId w:val="27"/>
  </w:num>
  <w:num w:numId="20">
    <w:abstractNumId w:val="19"/>
  </w:num>
  <w:num w:numId="21">
    <w:abstractNumId w:val="26"/>
  </w:num>
  <w:num w:numId="22">
    <w:abstractNumId w:val="25"/>
  </w:num>
  <w:num w:numId="23">
    <w:abstractNumId w:val="11"/>
  </w:num>
  <w:num w:numId="24">
    <w:abstractNumId w:val="15"/>
  </w:num>
  <w:num w:numId="25">
    <w:abstractNumId w:val="24"/>
  </w:num>
  <w:num w:numId="26">
    <w:abstractNumId w:val="23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69"/>
    <w:rsid w:val="00000263"/>
    <w:rsid w:val="00000802"/>
    <w:rsid w:val="00001A77"/>
    <w:rsid w:val="000113BC"/>
    <w:rsid w:val="000136AF"/>
    <w:rsid w:val="0001492A"/>
    <w:rsid w:val="0004044E"/>
    <w:rsid w:val="0005120E"/>
    <w:rsid w:val="00054577"/>
    <w:rsid w:val="000614BF"/>
    <w:rsid w:val="00062879"/>
    <w:rsid w:val="0007169C"/>
    <w:rsid w:val="000739BA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52E5A"/>
    <w:rsid w:val="00160BD7"/>
    <w:rsid w:val="001643C9"/>
    <w:rsid w:val="00165568"/>
    <w:rsid w:val="00166082"/>
    <w:rsid w:val="00166C2F"/>
    <w:rsid w:val="001716C9"/>
    <w:rsid w:val="00171C04"/>
    <w:rsid w:val="00175541"/>
    <w:rsid w:val="00180445"/>
    <w:rsid w:val="00184261"/>
    <w:rsid w:val="00193461"/>
    <w:rsid w:val="001939E1"/>
    <w:rsid w:val="0019452E"/>
    <w:rsid w:val="00195382"/>
    <w:rsid w:val="001A3B9F"/>
    <w:rsid w:val="001A5520"/>
    <w:rsid w:val="001A65C0"/>
    <w:rsid w:val="001B40F0"/>
    <w:rsid w:val="001B7A5D"/>
    <w:rsid w:val="001C69C4"/>
    <w:rsid w:val="001E0A8D"/>
    <w:rsid w:val="001E1060"/>
    <w:rsid w:val="001E3590"/>
    <w:rsid w:val="001E7407"/>
    <w:rsid w:val="001F1A46"/>
    <w:rsid w:val="001F57E4"/>
    <w:rsid w:val="00201D27"/>
    <w:rsid w:val="0021153A"/>
    <w:rsid w:val="00211FB6"/>
    <w:rsid w:val="00217286"/>
    <w:rsid w:val="002245A6"/>
    <w:rsid w:val="002302EA"/>
    <w:rsid w:val="00237614"/>
    <w:rsid w:val="00240749"/>
    <w:rsid w:val="00241651"/>
    <w:rsid w:val="002468D7"/>
    <w:rsid w:val="00247E97"/>
    <w:rsid w:val="002514FD"/>
    <w:rsid w:val="00251B34"/>
    <w:rsid w:val="00256981"/>
    <w:rsid w:val="00256C81"/>
    <w:rsid w:val="002837DF"/>
    <w:rsid w:val="00283C10"/>
    <w:rsid w:val="00285CDD"/>
    <w:rsid w:val="00291167"/>
    <w:rsid w:val="0029489E"/>
    <w:rsid w:val="00297ECB"/>
    <w:rsid w:val="002A3BD7"/>
    <w:rsid w:val="002A5723"/>
    <w:rsid w:val="002B79AF"/>
    <w:rsid w:val="002C152A"/>
    <w:rsid w:val="002D043A"/>
    <w:rsid w:val="003056B0"/>
    <w:rsid w:val="00311642"/>
    <w:rsid w:val="0031713F"/>
    <w:rsid w:val="003222D1"/>
    <w:rsid w:val="00324E57"/>
    <w:rsid w:val="0032750F"/>
    <w:rsid w:val="00335E38"/>
    <w:rsid w:val="00336417"/>
    <w:rsid w:val="003415D3"/>
    <w:rsid w:val="003418FD"/>
    <w:rsid w:val="003442F6"/>
    <w:rsid w:val="00346335"/>
    <w:rsid w:val="003509D0"/>
    <w:rsid w:val="00350D7B"/>
    <w:rsid w:val="00352B0F"/>
    <w:rsid w:val="003561B0"/>
    <w:rsid w:val="00382B19"/>
    <w:rsid w:val="003851A7"/>
    <w:rsid w:val="00397893"/>
    <w:rsid w:val="003A15AC"/>
    <w:rsid w:val="003A24F9"/>
    <w:rsid w:val="003B0627"/>
    <w:rsid w:val="003B5686"/>
    <w:rsid w:val="003B5CF8"/>
    <w:rsid w:val="003C59CD"/>
    <w:rsid w:val="003C5F2B"/>
    <w:rsid w:val="003C7D35"/>
    <w:rsid w:val="003C7D45"/>
    <w:rsid w:val="003D0BFE"/>
    <w:rsid w:val="003D5700"/>
    <w:rsid w:val="003F6F52"/>
    <w:rsid w:val="004022CA"/>
    <w:rsid w:val="0040399E"/>
    <w:rsid w:val="004116CD"/>
    <w:rsid w:val="00414ADE"/>
    <w:rsid w:val="00424CA9"/>
    <w:rsid w:val="004257BB"/>
    <w:rsid w:val="0044291A"/>
    <w:rsid w:val="00451C54"/>
    <w:rsid w:val="004600B0"/>
    <w:rsid w:val="00460499"/>
    <w:rsid w:val="00460FBA"/>
    <w:rsid w:val="00461A26"/>
    <w:rsid w:val="00474835"/>
    <w:rsid w:val="004819C7"/>
    <w:rsid w:val="0048364F"/>
    <w:rsid w:val="00485AF2"/>
    <w:rsid w:val="004877FC"/>
    <w:rsid w:val="00490F2E"/>
    <w:rsid w:val="0049233F"/>
    <w:rsid w:val="00496F97"/>
    <w:rsid w:val="004A53EA"/>
    <w:rsid w:val="004A5F9D"/>
    <w:rsid w:val="004A7F8C"/>
    <w:rsid w:val="004B35E7"/>
    <w:rsid w:val="004B7987"/>
    <w:rsid w:val="004D2B86"/>
    <w:rsid w:val="004D4E65"/>
    <w:rsid w:val="004E2E78"/>
    <w:rsid w:val="004E356D"/>
    <w:rsid w:val="004E4A80"/>
    <w:rsid w:val="004F1FAC"/>
    <w:rsid w:val="004F676E"/>
    <w:rsid w:val="004F71C0"/>
    <w:rsid w:val="00516B8D"/>
    <w:rsid w:val="005220CA"/>
    <w:rsid w:val="0052756C"/>
    <w:rsid w:val="0052759B"/>
    <w:rsid w:val="00530230"/>
    <w:rsid w:val="00530CC9"/>
    <w:rsid w:val="00531B46"/>
    <w:rsid w:val="00537FBC"/>
    <w:rsid w:val="00540A57"/>
    <w:rsid w:val="00541D73"/>
    <w:rsid w:val="00543469"/>
    <w:rsid w:val="005440E1"/>
    <w:rsid w:val="00546FA3"/>
    <w:rsid w:val="00557C7A"/>
    <w:rsid w:val="00562A58"/>
    <w:rsid w:val="0056541A"/>
    <w:rsid w:val="00566033"/>
    <w:rsid w:val="005757BD"/>
    <w:rsid w:val="00581211"/>
    <w:rsid w:val="00584811"/>
    <w:rsid w:val="00593480"/>
    <w:rsid w:val="00593AA6"/>
    <w:rsid w:val="00594161"/>
    <w:rsid w:val="00594749"/>
    <w:rsid w:val="00594956"/>
    <w:rsid w:val="005B1555"/>
    <w:rsid w:val="005B401B"/>
    <w:rsid w:val="005B4067"/>
    <w:rsid w:val="005C3F41"/>
    <w:rsid w:val="005C4EF0"/>
    <w:rsid w:val="005C643C"/>
    <w:rsid w:val="005C749D"/>
    <w:rsid w:val="005D1F7A"/>
    <w:rsid w:val="005D5EA1"/>
    <w:rsid w:val="005E098C"/>
    <w:rsid w:val="005E1F8D"/>
    <w:rsid w:val="005E317F"/>
    <w:rsid w:val="005E61D3"/>
    <w:rsid w:val="00600219"/>
    <w:rsid w:val="00604F60"/>
    <w:rsid w:val="006065DA"/>
    <w:rsid w:val="00606AA4"/>
    <w:rsid w:val="00635F9F"/>
    <w:rsid w:val="00640402"/>
    <w:rsid w:val="00640F78"/>
    <w:rsid w:val="00655D6A"/>
    <w:rsid w:val="00656DE9"/>
    <w:rsid w:val="006605F4"/>
    <w:rsid w:val="00661FFB"/>
    <w:rsid w:val="006663A3"/>
    <w:rsid w:val="00672876"/>
    <w:rsid w:val="00672F33"/>
    <w:rsid w:val="00677CC2"/>
    <w:rsid w:val="00682A47"/>
    <w:rsid w:val="00685F42"/>
    <w:rsid w:val="0069207B"/>
    <w:rsid w:val="006A304E"/>
    <w:rsid w:val="006B7006"/>
    <w:rsid w:val="006C7F8C"/>
    <w:rsid w:val="006D5D26"/>
    <w:rsid w:val="006D7AB9"/>
    <w:rsid w:val="00700B2C"/>
    <w:rsid w:val="00700DB1"/>
    <w:rsid w:val="00703D3B"/>
    <w:rsid w:val="00713084"/>
    <w:rsid w:val="00717463"/>
    <w:rsid w:val="00720FC2"/>
    <w:rsid w:val="00722E89"/>
    <w:rsid w:val="00724064"/>
    <w:rsid w:val="00731949"/>
    <w:rsid w:val="00731E00"/>
    <w:rsid w:val="007331C4"/>
    <w:rsid w:val="007339C7"/>
    <w:rsid w:val="00735D4C"/>
    <w:rsid w:val="0074254D"/>
    <w:rsid w:val="007440B7"/>
    <w:rsid w:val="00747993"/>
    <w:rsid w:val="00750998"/>
    <w:rsid w:val="007631A4"/>
    <w:rsid w:val="007634AD"/>
    <w:rsid w:val="007715C9"/>
    <w:rsid w:val="00774EDD"/>
    <w:rsid w:val="007757EC"/>
    <w:rsid w:val="00783D86"/>
    <w:rsid w:val="007A53C3"/>
    <w:rsid w:val="007A6863"/>
    <w:rsid w:val="007B1BF1"/>
    <w:rsid w:val="007B5AD1"/>
    <w:rsid w:val="007C78B4"/>
    <w:rsid w:val="007E32B6"/>
    <w:rsid w:val="007E486B"/>
    <w:rsid w:val="007E7D4A"/>
    <w:rsid w:val="007F47E4"/>
    <w:rsid w:val="007F48ED"/>
    <w:rsid w:val="007F5E3F"/>
    <w:rsid w:val="00812F45"/>
    <w:rsid w:val="00816782"/>
    <w:rsid w:val="00817A59"/>
    <w:rsid w:val="00836FE9"/>
    <w:rsid w:val="00837502"/>
    <w:rsid w:val="0084172C"/>
    <w:rsid w:val="0085175E"/>
    <w:rsid w:val="00853BB2"/>
    <w:rsid w:val="00855637"/>
    <w:rsid w:val="00856A31"/>
    <w:rsid w:val="008754D0"/>
    <w:rsid w:val="00877C69"/>
    <w:rsid w:val="00877D48"/>
    <w:rsid w:val="0088345B"/>
    <w:rsid w:val="00883CDB"/>
    <w:rsid w:val="0088736A"/>
    <w:rsid w:val="008A14A0"/>
    <w:rsid w:val="008A16A5"/>
    <w:rsid w:val="008A418D"/>
    <w:rsid w:val="008A5C57"/>
    <w:rsid w:val="008C0629"/>
    <w:rsid w:val="008D0EE0"/>
    <w:rsid w:val="008D3A3A"/>
    <w:rsid w:val="008D7243"/>
    <w:rsid w:val="008D7A27"/>
    <w:rsid w:val="008E4702"/>
    <w:rsid w:val="008E69AA"/>
    <w:rsid w:val="008F4F1C"/>
    <w:rsid w:val="008F5223"/>
    <w:rsid w:val="008F6C3C"/>
    <w:rsid w:val="0090238A"/>
    <w:rsid w:val="0090662B"/>
    <w:rsid w:val="009069AD"/>
    <w:rsid w:val="00910E64"/>
    <w:rsid w:val="00922764"/>
    <w:rsid w:val="009278C1"/>
    <w:rsid w:val="00932377"/>
    <w:rsid w:val="009346E3"/>
    <w:rsid w:val="009348C2"/>
    <w:rsid w:val="00943366"/>
    <w:rsid w:val="0094523D"/>
    <w:rsid w:val="00951182"/>
    <w:rsid w:val="009651F8"/>
    <w:rsid w:val="00976A63"/>
    <w:rsid w:val="00994269"/>
    <w:rsid w:val="009A356E"/>
    <w:rsid w:val="009B2490"/>
    <w:rsid w:val="009B50E5"/>
    <w:rsid w:val="009C3431"/>
    <w:rsid w:val="009C5989"/>
    <w:rsid w:val="009C6A32"/>
    <w:rsid w:val="009D08DA"/>
    <w:rsid w:val="009D1C70"/>
    <w:rsid w:val="009E67E8"/>
    <w:rsid w:val="009F48A5"/>
    <w:rsid w:val="00A06860"/>
    <w:rsid w:val="00A136F5"/>
    <w:rsid w:val="00A200BD"/>
    <w:rsid w:val="00A22E77"/>
    <w:rsid w:val="00A231E2"/>
    <w:rsid w:val="00A2550D"/>
    <w:rsid w:val="00A2779C"/>
    <w:rsid w:val="00A379BB"/>
    <w:rsid w:val="00A4169B"/>
    <w:rsid w:val="00A4465A"/>
    <w:rsid w:val="00A50D55"/>
    <w:rsid w:val="00A52FDA"/>
    <w:rsid w:val="00A62793"/>
    <w:rsid w:val="00A64912"/>
    <w:rsid w:val="00A70A74"/>
    <w:rsid w:val="00A74A49"/>
    <w:rsid w:val="00A9231A"/>
    <w:rsid w:val="00A943D4"/>
    <w:rsid w:val="00A95BC7"/>
    <w:rsid w:val="00AA0343"/>
    <w:rsid w:val="00AA194D"/>
    <w:rsid w:val="00AA78CE"/>
    <w:rsid w:val="00AA7B26"/>
    <w:rsid w:val="00AB3675"/>
    <w:rsid w:val="00AC767C"/>
    <w:rsid w:val="00AD27BF"/>
    <w:rsid w:val="00AD3467"/>
    <w:rsid w:val="00AD5641"/>
    <w:rsid w:val="00AF33DB"/>
    <w:rsid w:val="00AF7205"/>
    <w:rsid w:val="00B032D8"/>
    <w:rsid w:val="00B055B5"/>
    <w:rsid w:val="00B05D72"/>
    <w:rsid w:val="00B20990"/>
    <w:rsid w:val="00B23FAF"/>
    <w:rsid w:val="00B32578"/>
    <w:rsid w:val="00B33B3C"/>
    <w:rsid w:val="00B40D74"/>
    <w:rsid w:val="00B42649"/>
    <w:rsid w:val="00B4399D"/>
    <w:rsid w:val="00B46467"/>
    <w:rsid w:val="00B52663"/>
    <w:rsid w:val="00B56DCB"/>
    <w:rsid w:val="00B5749C"/>
    <w:rsid w:val="00B61728"/>
    <w:rsid w:val="00B770D2"/>
    <w:rsid w:val="00B8239C"/>
    <w:rsid w:val="00B911D4"/>
    <w:rsid w:val="00B91C5A"/>
    <w:rsid w:val="00B93516"/>
    <w:rsid w:val="00B96776"/>
    <w:rsid w:val="00B96824"/>
    <w:rsid w:val="00B973E5"/>
    <w:rsid w:val="00B97554"/>
    <w:rsid w:val="00BA47A3"/>
    <w:rsid w:val="00BA5026"/>
    <w:rsid w:val="00BA7B5B"/>
    <w:rsid w:val="00BB6E79"/>
    <w:rsid w:val="00BC6F40"/>
    <w:rsid w:val="00BE3C0F"/>
    <w:rsid w:val="00BE42C5"/>
    <w:rsid w:val="00BE719A"/>
    <w:rsid w:val="00BE720A"/>
    <w:rsid w:val="00BF03FB"/>
    <w:rsid w:val="00BF0723"/>
    <w:rsid w:val="00BF37BA"/>
    <w:rsid w:val="00BF6650"/>
    <w:rsid w:val="00C02B04"/>
    <w:rsid w:val="00C067E5"/>
    <w:rsid w:val="00C164CA"/>
    <w:rsid w:val="00C26051"/>
    <w:rsid w:val="00C36EA3"/>
    <w:rsid w:val="00C42BF8"/>
    <w:rsid w:val="00C460AE"/>
    <w:rsid w:val="00C50043"/>
    <w:rsid w:val="00C5015F"/>
    <w:rsid w:val="00C50399"/>
    <w:rsid w:val="00C50A0F"/>
    <w:rsid w:val="00C50F4A"/>
    <w:rsid w:val="00C65BF1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0C5"/>
    <w:rsid w:val="00D12B0D"/>
    <w:rsid w:val="00D13441"/>
    <w:rsid w:val="00D17D51"/>
    <w:rsid w:val="00D243A3"/>
    <w:rsid w:val="00D33440"/>
    <w:rsid w:val="00D4308D"/>
    <w:rsid w:val="00D45013"/>
    <w:rsid w:val="00D5068D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4349"/>
    <w:rsid w:val="00DA2439"/>
    <w:rsid w:val="00DA4D2C"/>
    <w:rsid w:val="00DA6F05"/>
    <w:rsid w:val="00DB0BB0"/>
    <w:rsid w:val="00DB64FC"/>
    <w:rsid w:val="00DE149E"/>
    <w:rsid w:val="00E034DB"/>
    <w:rsid w:val="00E05704"/>
    <w:rsid w:val="00E12F1A"/>
    <w:rsid w:val="00E13AAA"/>
    <w:rsid w:val="00E22935"/>
    <w:rsid w:val="00E40432"/>
    <w:rsid w:val="00E41928"/>
    <w:rsid w:val="00E41D17"/>
    <w:rsid w:val="00E44ABE"/>
    <w:rsid w:val="00E54292"/>
    <w:rsid w:val="00E54ECD"/>
    <w:rsid w:val="00E60191"/>
    <w:rsid w:val="00E74DC7"/>
    <w:rsid w:val="00E771E9"/>
    <w:rsid w:val="00E87699"/>
    <w:rsid w:val="00E92E27"/>
    <w:rsid w:val="00E9586B"/>
    <w:rsid w:val="00E97334"/>
    <w:rsid w:val="00EB3A99"/>
    <w:rsid w:val="00EB65F8"/>
    <w:rsid w:val="00ED4928"/>
    <w:rsid w:val="00EE1742"/>
    <w:rsid w:val="00EE21B1"/>
    <w:rsid w:val="00EE3FFE"/>
    <w:rsid w:val="00EE57E8"/>
    <w:rsid w:val="00EE6190"/>
    <w:rsid w:val="00EF2E3A"/>
    <w:rsid w:val="00EF473D"/>
    <w:rsid w:val="00EF6402"/>
    <w:rsid w:val="00F047E2"/>
    <w:rsid w:val="00F04D57"/>
    <w:rsid w:val="00F078DC"/>
    <w:rsid w:val="00F13E86"/>
    <w:rsid w:val="00F1415B"/>
    <w:rsid w:val="00F20B52"/>
    <w:rsid w:val="00F32FCB"/>
    <w:rsid w:val="00F33523"/>
    <w:rsid w:val="00F40F35"/>
    <w:rsid w:val="00F44F30"/>
    <w:rsid w:val="00F550E2"/>
    <w:rsid w:val="00F677A9"/>
    <w:rsid w:val="00F8121C"/>
    <w:rsid w:val="00F8132B"/>
    <w:rsid w:val="00F84CF5"/>
    <w:rsid w:val="00F8612E"/>
    <w:rsid w:val="00F8736F"/>
    <w:rsid w:val="00F94583"/>
    <w:rsid w:val="00F948D1"/>
    <w:rsid w:val="00FA420B"/>
    <w:rsid w:val="00FA5E2F"/>
    <w:rsid w:val="00FA6DA5"/>
    <w:rsid w:val="00FB46FD"/>
    <w:rsid w:val="00FB6AEE"/>
    <w:rsid w:val="00FC1112"/>
    <w:rsid w:val="00FC3EAC"/>
    <w:rsid w:val="00FD3F37"/>
    <w:rsid w:val="00FE2E15"/>
    <w:rsid w:val="00FE3022"/>
    <w:rsid w:val="00FF39DE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C498A75"/>
  <w15:docId w15:val="{8AEDAE11-2954-429D-B687-C25D2986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A4465A"/>
    <w:rPr>
      <w:rFonts w:eastAsia="Times New Roman" w:cs="Times New Roman"/>
      <w:sz w:val="22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A4465A"/>
    <w:rPr>
      <w:rFonts w:eastAsia="Times New Roman" w:cs="Times New Roman"/>
      <w:sz w:val="22"/>
      <w:lang w:eastAsia="en-AU"/>
    </w:rPr>
  </w:style>
  <w:style w:type="paragraph" w:customStyle="1" w:styleId="Rulebullet">
    <w:name w:val="Rule bullet"/>
    <w:basedOn w:val="Normal"/>
    <w:rsid w:val="00855637"/>
    <w:pPr>
      <w:numPr>
        <w:numId w:val="18"/>
      </w:numPr>
      <w:spacing w:before="120" w:after="120" w:line="240" w:lineRule="auto"/>
    </w:pPr>
    <w:rPr>
      <w:rFonts w:eastAsia="Times New Roman" w:cs="Times New Roman"/>
      <w:sz w:val="24"/>
    </w:rPr>
  </w:style>
  <w:style w:type="paragraph" w:customStyle="1" w:styleId="Ruledash">
    <w:name w:val="Rule dash"/>
    <w:basedOn w:val="Rulebullet"/>
    <w:rsid w:val="00855637"/>
    <w:pPr>
      <w:numPr>
        <w:numId w:val="19"/>
      </w:numPr>
    </w:pPr>
  </w:style>
  <w:style w:type="paragraph" w:customStyle="1" w:styleId="numberlist">
    <w:name w:val="numberlist"/>
    <w:basedOn w:val="Normal"/>
    <w:rsid w:val="0049233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AA194D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mel\AppData\Local\Packages\Microsoft.MicrosoftEdge_8wekyb3d8bbwe\TempState\Downloads\template_-_amending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5fb5116-7131-45fb-9d92-926478776364" ContentTypeId="0x010100B321FEA60C5BA343A52BC94EC00ABC9E07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e44f6412bf40639855518abb1a08cc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 and Public Law</TermName>
          <TermId xmlns="http://schemas.microsoft.com/office/infopath/2007/PartnerControls">5202c132-9c9f-436f-a5ca-abd69606100b</TermId>
        </TermInfo>
      </Terms>
    </iee44f6412bf40639855518abb1a08cc>
    <kb73b3df24114868a21db4ce3ca83710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b73b3df24114868a21db4ce3ca83710>
    <k90b8697a98d4606834ec03f7c33303a xmlns="82ff9d9b-d3fc-4aad-bc42-9949ee83b815">
      <Terms xmlns="http://schemas.microsoft.com/office/infopath/2007/PartnerControls"/>
    </k90b8697a98d4606834ec03f7c33303a>
    <SecClass xmlns="82ff9d9b-d3fc-4aad-bc42-9949ee83b815">UNCLASSIFIED</SecClass>
    <_dlc_DocId xmlns="67a709a9-7539-4d0f-aed5-94eb6312c732">FIN201933931-22883953-70760</_dlc_DocId>
    <TaxCatchAll xmlns="82ff9d9b-d3fc-4aad-bc42-9949ee83b815">
      <Value>2</Value>
      <Value>1</Value>
    </TaxCatchAll>
    <k710d1823c744f64b20abec111d3c509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710d1823c744f64b20abec111d3c509>
    <_dlc_DocIdUrl xmlns="67a709a9-7539-4d0f-aed5-94eb6312c732">
      <Url>https://f1.prdmgd.finance.gov.au/sites/50033931/_layouts/15/DocIdRedir.aspx?ID=FIN201933931-22883953-70760</Url>
      <Description>FIN201933931-22883953-70760</Description>
    </_dlc_DocIdUrl>
    <TaxKeywordTaxHTField xmlns="82ff9d9b-d3fc-4aad-bc42-9949ee83b815">
      <Terms xmlns="http://schemas.microsoft.com/office/infopath/2007/PartnerControls"/>
    </TaxKeywordTaxHTField>
    <LMName xmlns="82ff9d9b-d3fc-4aad-bc42-9949ee83b815" xsi:nil="true"/>
    <LastModDate xmlns="82ff9d9b-d3fc-4aad-bc42-9949ee83b815" xsi:nil="true"/>
    <RelatedItem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Word Document" ma:contentTypeID="0x010100B321FEA60C5BA343A52BC94EC00ABC9E070100266755EB5612C54A92FEC68EDC39B1A1" ma:contentTypeVersion="57" ma:contentTypeDescription="Finance Word Document" ma:contentTypeScope="" ma:versionID="0eac8607944fb90b2220f3e1d53790d7">
  <xsd:schema xmlns:xsd="http://www.w3.org/2001/XMLSchema" xmlns:xs="http://www.w3.org/2001/XMLSchema" xmlns:p="http://schemas.microsoft.com/office/2006/metadata/properties" xmlns:ns1="http://schemas.microsoft.com/sharepoint/v3" xmlns:ns2="82ff9d9b-d3fc-4aad-bc42-9949ee83b815" xmlns:ns3="67a709a9-7539-4d0f-aed5-94eb6312c732" targetNamespace="http://schemas.microsoft.com/office/2006/metadata/properties" ma:root="true" ma:fieldsID="69b30c91cffdc447e3e1700086efc2c7" ns1:_="" ns2:_="" ns3:_="">
    <xsd:import namespace="http://schemas.microsoft.com/sharepoint/v3"/>
    <xsd:import namespace="82ff9d9b-d3fc-4aad-bc42-9949ee83b815"/>
    <xsd:import namespace="67a709a9-7539-4d0f-aed5-94eb6312c732"/>
    <xsd:element name="properties">
      <xsd:complexType>
        <xsd:sequence>
          <xsd:element name="documentManagement">
            <xsd:complexType>
              <xsd:all>
                <xsd:element ref="ns2:SecClass" minOccurs="0"/>
                <xsd:element ref="ns1:RelatedItems" minOccurs="0"/>
                <xsd:element ref="ns2:LMName" minOccurs="0"/>
                <xsd:element ref="ns2:LastModDate" minOccurs="0"/>
                <xsd:element ref="ns2:k710d1823c744f64b20abec111d3c509" minOccurs="0"/>
                <xsd:element ref="ns2:kb73b3df24114868a21db4ce3ca83710" minOccurs="0"/>
                <xsd:element ref="ns2:TaxKeywordTaxHTField" minOccurs="0"/>
                <xsd:element ref="ns2:TaxCatchAll" minOccurs="0"/>
                <xsd:element ref="ns2:k90b8697a98d4606834ec03f7c33303a" minOccurs="0"/>
                <xsd:element ref="ns2:iee44f6412bf40639855518abb1a08cc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7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f9d9b-d3fc-4aad-bc42-9949ee83b815" elementFormDefault="qualified">
    <xsd:import namespace="http://schemas.microsoft.com/office/2006/documentManagement/types"/>
    <xsd:import namespace="http://schemas.microsoft.com/office/infopath/2007/PartnerControls"/>
    <xsd:element name="SecClass" ma:index="3" nillable="true" ma:displayName="Security Classification" ma:default="UNCLASSIFIED" ma:description="Security Classification" ma:format="Dropdown" ma:internalName="SecClass" ma:readOnly="false">
      <xsd:simpleType>
        <xsd:restriction base="dms:Choice">
          <xsd:enumeration value="UNOFFICIAL"/>
          <xsd:enumeration value="UNCLASSIFIED"/>
          <xsd:enumeration value="UNCLASSIFIED - Sensitive: Personal"/>
          <xsd:enumeration value="UNCLASSIFIED - Sensitive: Legal"/>
          <xsd:enumeration value="UNCLASSIFIED - Sensitive"/>
          <xsd:enumeration value="For Official Use Only"/>
          <xsd:enumeration value="PROTECTED"/>
          <xsd:enumeration value="PROTECTED - Sensitive: Cabinet"/>
          <xsd:enumeration value="PROTECTED - Sensitive: Personal"/>
          <xsd:enumeration value="PROTECTED - Sensitive: Legal"/>
          <xsd:enumeration value="PROTECTED - Sensitive"/>
        </xsd:restriction>
      </xsd:simpleType>
    </xsd:element>
    <xsd:element name="LMName" ma:index="9" nillable="true" ma:displayName="Last Modified by Name" ma:description="For archiving purposes" ma:internalName="LMName">
      <xsd:simpleType>
        <xsd:restriction base="dms:Text"/>
      </xsd:simpleType>
    </xsd:element>
    <xsd:element name="LastModDate" ma:index="10" nillable="true" ma:displayName="Last User 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k710d1823c744f64b20abec111d3c509" ma:index="13" nillable="true" ma:taxonomy="true" ma:internalName="k710d1823c744f64b20abec111d3c509" ma:taxonomyFieldName="InitiatingEntity" ma:displayName="Initiating Entity" ma:indexed="true" ma:fieldId="{4710d182-3c74-4f64-b20a-bec111d3c509}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73b3df24114868a21db4ce3ca83710" ma:index="15" nillable="true" ma:taxonomy="true" ma:internalName="kb73b3df24114868a21db4ce3ca83710" ma:taxonomyFieldName="AbtEntity" ma:displayName="About Entity" ma:fieldId="{4b73b3df-2411-4868-a21d-b4ce3ca83710}" ma:taxonomyMulti="true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c5fb5116-7131-45fb-9d92-9264787763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description="" ma:hidden="true" ma:list="{0779774a-81c2-4628-9acf-756ad12964f4}" ma:internalName="TaxCatchAll" ma:showField="CatchAllData" ma:web="67a709a9-7539-4d0f-aed5-94eb6312c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0b8697a98d4606834ec03f7c33303a" ma:index="20" nillable="true" ma:taxonomy="true" ma:internalName="k90b8697a98d4606834ec03f7c33303a" ma:taxonomyFieldName="Function_x0020_and_x0020_Activity" ma:displayName="Function and Activity" ma:indexed="true" ma:default="" ma:fieldId="{490b8697-a98d-4606-834e-c03f7c33303a}" ma:sspId="c5fb5116-7131-45fb-9d92-926478776364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e44f6412bf40639855518abb1a08cc" ma:index="22" nillable="true" ma:taxonomy="true" ma:internalName="iee44f6412bf40639855518abb1a08cc" ma:taxonomyFieldName="OrgUnit" ma:displayName="Organisation Unit" ma:indexed="true" ma:fieldId="{2ee44f64-12bf-4063-9855-518abb1a08cc}" ma:sspId="c5fb5116-7131-45fb-9d92-926478776364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0779774a-81c2-4628-9acf-756ad12964f4}" ma:internalName="TaxCatchAllLabel" ma:readOnly="true" ma:showField="CatchAllDataLabel" ma:web="67a709a9-7539-4d0f-aed5-94eb6312c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09a9-7539-4d0f-aed5-94eb6312c732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5" nillable="true" ma:displayName="Information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6ED3C-9D30-4B0A-93D4-8F649BAB4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9859B7-7DE6-40DB-A410-52216EB76AD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9DF3A30-8AF8-446A-AB7E-D221C7A7CBB5}">
  <ds:schemaRefs>
    <ds:schemaRef ds:uri="http://purl.org/dc/elements/1.1/"/>
    <ds:schemaRef ds:uri="http://schemas.microsoft.com/office/2006/metadata/properties"/>
    <ds:schemaRef ds:uri="82ff9d9b-d3fc-4aad-bc42-9949ee83b81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a709a9-7539-4d0f-aed5-94eb6312c73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6C1B123-C8BF-48DA-938A-39E9BB80C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ff9d9b-d3fc-4aad-bc42-9949ee83b815"/>
    <ds:schemaRef ds:uri="67a709a9-7539-4d0f-aed5-94eb6312c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132468-4475-4A0B-AA79-22868AD08DA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2FE9DF8-A214-4B42-899B-B6672694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(1)</Template>
  <TotalTime>8</TotalTime>
  <Pages>8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Neiberding, Melissa</dc:creator>
  <cp:lastModifiedBy>McKenzie, Ashlea</cp:lastModifiedBy>
  <cp:revision>4</cp:revision>
  <cp:lastPrinted>2019-09-02T01:58:00Z</cp:lastPrinted>
  <dcterms:created xsi:type="dcterms:W3CDTF">2019-09-10T03:01:00Z</dcterms:created>
  <dcterms:modified xsi:type="dcterms:W3CDTF">2019-09-24T01:26:00Z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btEntity">
    <vt:lpwstr>1;#Department of Finance|fd660e8f-8f31-49bd-92a3-d31d4da31afe</vt:lpwstr>
  </property>
  <property fmtid="{D5CDD505-2E9C-101B-9397-08002B2CF9AE}" pid="4" name="ContentTypeId">
    <vt:lpwstr>0x010100B321FEA60C5BA343A52BC94EC00ABC9E070100266755EB5612C54A92FEC68EDC39B1A1</vt:lpwstr>
  </property>
  <property fmtid="{D5CDD505-2E9C-101B-9397-08002B2CF9AE}" pid="5" name="Function and Activity">
    <vt:lpwstr/>
  </property>
  <property fmtid="{D5CDD505-2E9C-101B-9397-08002B2CF9AE}" pid="6" name="OrgUnit">
    <vt:lpwstr>2;#Admin and Public Law|5202c132-9c9f-436f-a5ca-abd69606100b</vt:lpwstr>
  </property>
  <property fmtid="{D5CDD505-2E9C-101B-9397-08002B2CF9AE}" pid="7" name="_dlc_DocIdItemGuid">
    <vt:lpwstr>d6a550f4-d50d-4c9c-90b5-e99ca47aa0c4</vt:lpwstr>
  </property>
  <property fmtid="{D5CDD505-2E9C-101B-9397-08002B2CF9AE}" pid="8" name="InitiatingEntity">
    <vt:lpwstr>1;#Department of Finance|fd660e8f-8f31-49bd-92a3-d31d4da31afe</vt:lpwstr>
  </property>
</Properties>
</file>